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BD4FC0" w14:textId="7C4DA435" w:rsidR="007D0D95" w:rsidRDefault="00DC49C6" w:rsidP="00BB6AD5">
      <w:pPr>
        <w:spacing w:after="240" w:line="240" w:lineRule="auto"/>
        <w:jc w:val="center"/>
        <w:rPr>
          <w:rFonts w:eastAsia="Kozuka Gothic Pro R"/>
          <w:b/>
          <w:bCs/>
          <w:color w:val="2E74B5" w:themeColor="accent5" w:themeShade="BF"/>
          <w:sz w:val="24"/>
          <w:szCs w:val="24"/>
        </w:rPr>
      </w:pPr>
      <w:r>
        <w:rPr>
          <w:rFonts w:ascii="Helvetica" w:hAnsi="Helvetica" w:cs="Segoe UI"/>
          <w:b/>
          <w:noProof/>
          <w:color w:val="FFFFFF" w:themeColor="background1"/>
          <w:sz w:val="40"/>
          <w:szCs w:val="40"/>
          <w:lang w:eastAsia="en-AU"/>
        </w:rPr>
        <w:drawing>
          <wp:anchor distT="0" distB="0" distL="114300" distR="114300" simplePos="0" relativeHeight="251744256" behindDoc="1" locked="0" layoutInCell="1" allowOverlap="1" wp14:anchorId="5C58B00B" wp14:editId="5A54CB30">
            <wp:simplePos x="0" y="0"/>
            <wp:positionH relativeFrom="page">
              <wp:posOffset>-6337409</wp:posOffset>
            </wp:positionH>
            <wp:positionV relativeFrom="paragraph">
              <wp:posOffset>-945515</wp:posOffset>
            </wp:positionV>
            <wp:extent cx="14252028" cy="10689617"/>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4252028" cy="10689617"/>
                    </a:xfrm>
                    <a:prstGeom prst="rect">
                      <a:avLst/>
                    </a:prstGeom>
                    <a:noFill/>
                  </pic:spPr>
                </pic:pic>
              </a:graphicData>
            </a:graphic>
            <wp14:sizeRelH relativeFrom="margin">
              <wp14:pctWidth>0</wp14:pctWidth>
            </wp14:sizeRelH>
            <wp14:sizeRelV relativeFrom="margin">
              <wp14:pctHeight>0</wp14:pctHeight>
            </wp14:sizeRelV>
          </wp:anchor>
        </w:drawing>
      </w:r>
      <w:r w:rsidR="00F0073C">
        <w:rPr>
          <w:noProof/>
          <w:lang w:eastAsia="en-AU"/>
        </w:rPr>
        <w:drawing>
          <wp:anchor distT="0" distB="0" distL="114300" distR="114300" simplePos="0" relativeHeight="251743232" behindDoc="0" locked="0" layoutInCell="1" allowOverlap="1" wp14:anchorId="4DA44763" wp14:editId="6DB4EF35">
            <wp:simplePos x="0" y="0"/>
            <wp:positionH relativeFrom="margin">
              <wp:posOffset>2171065</wp:posOffset>
            </wp:positionH>
            <wp:positionV relativeFrom="paragraph">
              <wp:posOffset>190</wp:posOffset>
            </wp:positionV>
            <wp:extent cx="1555115" cy="1227455"/>
            <wp:effectExtent l="0" t="0" r="6985" b="0"/>
            <wp:wrapThrough wrapText="bothSides">
              <wp:wrapPolygon edited="0">
                <wp:start x="9790" y="0"/>
                <wp:lineTo x="7144" y="1341"/>
                <wp:lineTo x="4763" y="3688"/>
                <wp:lineTo x="4763" y="7710"/>
                <wp:lineTo x="8203" y="10727"/>
                <wp:lineTo x="0" y="11063"/>
                <wp:lineTo x="0" y="15085"/>
                <wp:lineTo x="2646" y="16091"/>
                <wp:lineTo x="529" y="19108"/>
                <wp:lineTo x="794" y="21120"/>
                <wp:lineTo x="18786" y="21120"/>
                <wp:lineTo x="20374" y="21120"/>
                <wp:lineTo x="20903" y="21120"/>
                <wp:lineTo x="20374" y="18438"/>
                <wp:lineTo x="19316" y="16091"/>
                <wp:lineTo x="21432" y="15085"/>
                <wp:lineTo x="21432" y="11398"/>
                <wp:lineTo x="16934" y="7040"/>
                <wp:lineTo x="16934" y="4023"/>
                <wp:lineTo x="15082" y="2011"/>
                <wp:lineTo x="11642" y="0"/>
                <wp:lineTo x="9790"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BRMPA-stacked-white-PNG.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555115" cy="1227455"/>
                    </a:xfrm>
                    <a:prstGeom prst="rect">
                      <a:avLst/>
                    </a:prstGeom>
                  </pic:spPr>
                </pic:pic>
              </a:graphicData>
            </a:graphic>
            <wp14:sizeRelH relativeFrom="margin">
              <wp14:pctWidth>0</wp14:pctWidth>
            </wp14:sizeRelH>
            <wp14:sizeRelV relativeFrom="margin">
              <wp14:pctHeight>0</wp14:pctHeight>
            </wp14:sizeRelV>
          </wp:anchor>
        </w:drawing>
      </w:r>
    </w:p>
    <w:p w14:paraId="3722B313" w14:textId="46036E49" w:rsidR="007D0D95" w:rsidRDefault="007D0D95" w:rsidP="00BB6AD5">
      <w:pPr>
        <w:spacing w:after="240" w:line="240" w:lineRule="auto"/>
        <w:jc w:val="center"/>
        <w:rPr>
          <w:rFonts w:eastAsia="Kozuka Gothic Pro R"/>
          <w:b/>
          <w:bCs/>
          <w:color w:val="2E74B5" w:themeColor="accent5" w:themeShade="BF"/>
          <w:sz w:val="24"/>
          <w:szCs w:val="24"/>
        </w:rPr>
      </w:pPr>
    </w:p>
    <w:p w14:paraId="5761CEB6" w14:textId="19863CF9" w:rsidR="00A56EE9" w:rsidRDefault="00A56EE9" w:rsidP="00BB6AD5">
      <w:pPr>
        <w:spacing w:after="240" w:line="240" w:lineRule="auto"/>
        <w:jc w:val="center"/>
        <w:rPr>
          <w:rFonts w:eastAsia="Kozuka Gothic Pro R"/>
          <w:b/>
          <w:bCs/>
          <w:color w:val="2E74B5" w:themeColor="accent5" w:themeShade="BF"/>
          <w:sz w:val="24"/>
          <w:szCs w:val="24"/>
        </w:rPr>
      </w:pPr>
    </w:p>
    <w:p w14:paraId="4C51577E" w14:textId="6FF27A1E" w:rsidR="007D0D95" w:rsidRDefault="007D0D95" w:rsidP="007D0D95">
      <w:pPr>
        <w:tabs>
          <w:tab w:val="left" w:pos="553"/>
        </w:tabs>
        <w:spacing w:after="0" w:line="240" w:lineRule="auto"/>
        <w:rPr>
          <w:rFonts w:ascii="Helvetica" w:hAnsi="Helvetica" w:cs="Segoe UI"/>
          <w:b/>
          <w:color w:val="FFFFFF" w:themeColor="background1"/>
          <w:sz w:val="40"/>
          <w:szCs w:val="40"/>
        </w:rPr>
      </w:pPr>
    </w:p>
    <w:p w14:paraId="298F2CDC" w14:textId="4443C890" w:rsidR="007D0D95" w:rsidRDefault="003D1424" w:rsidP="007D0D95">
      <w:pPr>
        <w:tabs>
          <w:tab w:val="left" w:pos="553"/>
        </w:tabs>
        <w:spacing w:after="0" w:line="240" w:lineRule="auto"/>
        <w:rPr>
          <w:rFonts w:ascii="Helvetica" w:hAnsi="Helvetica" w:cs="Segoe UI"/>
          <w:b/>
          <w:color w:val="FFFFFF" w:themeColor="background1"/>
          <w:sz w:val="40"/>
          <w:szCs w:val="40"/>
        </w:rPr>
      </w:pPr>
      <w:r>
        <w:rPr>
          <w:noProof/>
          <w:lang w:eastAsia="en-AU"/>
        </w:rPr>
        <mc:AlternateContent>
          <mc:Choice Requires="wps">
            <w:drawing>
              <wp:anchor distT="45720" distB="45720" distL="114300" distR="114300" simplePos="0" relativeHeight="251709440" behindDoc="0" locked="0" layoutInCell="1" allowOverlap="1" wp14:anchorId="57620C34" wp14:editId="7F6A0C5F">
                <wp:simplePos x="0" y="0"/>
                <wp:positionH relativeFrom="margin">
                  <wp:align>center</wp:align>
                </wp:positionH>
                <wp:positionV relativeFrom="paragraph">
                  <wp:posOffset>553720</wp:posOffset>
                </wp:positionV>
                <wp:extent cx="6158865" cy="398145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8865" cy="3981450"/>
                        </a:xfrm>
                        <a:prstGeom prst="rect">
                          <a:avLst/>
                        </a:prstGeom>
                        <a:noFill/>
                        <a:ln w="9525">
                          <a:noFill/>
                          <a:miter lim="800000"/>
                          <a:headEnd/>
                          <a:tailEnd/>
                        </a:ln>
                      </wps:spPr>
                      <wps:txbx>
                        <w:txbxContent>
                          <w:p w14:paraId="73E2AF56" w14:textId="77777777" w:rsidR="008B5998" w:rsidRPr="00DC49C6" w:rsidRDefault="008B5998" w:rsidP="00C013A1">
                            <w:pPr>
                              <w:spacing w:after="240" w:line="240" w:lineRule="auto"/>
                              <w:contextualSpacing/>
                              <w:jc w:val="center"/>
                              <w:rPr>
                                <w:rFonts w:eastAsia="Kozuka Gothic Pro R"/>
                                <w:color w:val="FFFFFF" w:themeColor="background1"/>
                                <w:sz w:val="56"/>
                                <w:szCs w:val="56"/>
                              </w:rPr>
                            </w:pPr>
                            <w:r w:rsidRPr="00DC49C6">
                              <w:rPr>
                                <w:rFonts w:eastAsia="Kozuka Gothic Pro R"/>
                                <w:color w:val="FFFFFF" w:themeColor="background1"/>
                                <w:sz w:val="56"/>
                                <w:szCs w:val="56"/>
                              </w:rPr>
                              <w:t>Independent assessment of</w:t>
                            </w:r>
                          </w:p>
                          <w:p w14:paraId="5A6D64E9" w14:textId="77777777" w:rsidR="008B5998" w:rsidRPr="00DC49C6" w:rsidRDefault="008B5998" w:rsidP="00C013A1">
                            <w:pPr>
                              <w:spacing w:after="240" w:line="240" w:lineRule="auto"/>
                              <w:contextualSpacing/>
                              <w:jc w:val="center"/>
                              <w:rPr>
                                <w:rFonts w:eastAsia="Kozuka Gothic Pro R"/>
                                <w:color w:val="FFFFFF" w:themeColor="background1"/>
                                <w:sz w:val="56"/>
                                <w:szCs w:val="56"/>
                              </w:rPr>
                            </w:pPr>
                            <w:proofErr w:type="gramStart"/>
                            <w:r w:rsidRPr="00DC49C6">
                              <w:rPr>
                                <w:rFonts w:eastAsia="Kozuka Gothic Pro R"/>
                                <w:color w:val="FFFFFF" w:themeColor="background1"/>
                                <w:sz w:val="56"/>
                                <w:szCs w:val="56"/>
                              </w:rPr>
                              <w:t>management</w:t>
                            </w:r>
                            <w:proofErr w:type="gramEnd"/>
                            <w:r w:rsidRPr="00DC49C6">
                              <w:rPr>
                                <w:rFonts w:eastAsia="Kozuka Gothic Pro R"/>
                                <w:color w:val="FFFFFF" w:themeColor="background1"/>
                                <w:sz w:val="56"/>
                                <w:szCs w:val="56"/>
                              </w:rPr>
                              <w:t xml:space="preserve"> effectiveness for the</w:t>
                            </w:r>
                          </w:p>
                          <w:p w14:paraId="4BBC344D" w14:textId="77777777" w:rsidR="008B5998" w:rsidRDefault="008B5998" w:rsidP="003D1424">
                            <w:pPr>
                              <w:spacing w:after="100" w:afterAutospacing="1" w:line="240" w:lineRule="auto"/>
                              <w:contextualSpacing/>
                              <w:jc w:val="center"/>
                              <w:rPr>
                                <w:rFonts w:eastAsia="Kozuka Gothic Pro R"/>
                                <w:color w:val="FFFFFF" w:themeColor="background1"/>
                                <w:sz w:val="56"/>
                                <w:szCs w:val="56"/>
                              </w:rPr>
                            </w:pPr>
                          </w:p>
                          <w:p w14:paraId="0E8FB029" w14:textId="77777777" w:rsidR="008B5998" w:rsidRDefault="008B5998" w:rsidP="003D1424">
                            <w:pPr>
                              <w:spacing w:after="100" w:afterAutospacing="1" w:line="240" w:lineRule="auto"/>
                              <w:contextualSpacing/>
                              <w:jc w:val="center"/>
                              <w:rPr>
                                <w:rFonts w:eastAsia="Kozuka Gothic Pro R"/>
                                <w:color w:val="FFFFFF" w:themeColor="background1"/>
                                <w:sz w:val="56"/>
                                <w:szCs w:val="56"/>
                              </w:rPr>
                            </w:pPr>
                          </w:p>
                          <w:p w14:paraId="3180DB35" w14:textId="77777777" w:rsidR="008B5998" w:rsidRDefault="008B5998" w:rsidP="003D1424">
                            <w:pPr>
                              <w:spacing w:after="100" w:afterAutospacing="1" w:line="240" w:lineRule="auto"/>
                              <w:contextualSpacing/>
                              <w:jc w:val="center"/>
                              <w:rPr>
                                <w:rFonts w:eastAsia="Kozuka Gothic Pro R"/>
                                <w:color w:val="FFFFFF" w:themeColor="background1"/>
                                <w:sz w:val="56"/>
                                <w:szCs w:val="56"/>
                              </w:rPr>
                            </w:pPr>
                          </w:p>
                          <w:p w14:paraId="7AEF0EB0" w14:textId="4C59FCB0" w:rsidR="008B5998" w:rsidRPr="003D1424" w:rsidRDefault="008B5998" w:rsidP="003D1424">
                            <w:pPr>
                              <w:spacing w:after="100" w:afterAutospacing="1" w:line="240" w:lineRule="auto"/>
                              <w:contextualSpacing/>
                              <w:jc w:val="center"/>
                              <w:rPr>
                                <w:rFonts w:eastAsia="Kozuka Gothic Pro R"/>
                                <w:color w:val="F15F4C"/>
                                <w:sz w:val="56"/>
                                <w:szCs w:val="56"/>
                              </w:rPr>
                            </w:pPr>
                            <w:r w:rsidRPr="003D1424">
                              <w:rPr>
                                <w:rFonts w:eastAsia="Kozuka Gothic Pro R"/>
                                <w:color w:val="F15F4C"/>
                                <w:sz w:val="56"/>
                                <w:szCs w:val="56"/>
                              </w:rPr>
                              <w:t>Great Barrier Reef</w:t>
                            </w:r>
                          </w:p>
                          <w:p w14:paraId="0154B646" w14:textId="77777777" w:rsidR="008B5998" w:rsidRPr="00543E9D" w:rsidRDefault="008B5998" w:rsidP="00C013A1">
                            <w:pPr>
                              <w:spacing w:after="0" w:line="240" w:lineRule="auto"/>
                              <w:jc w:val="center"/>
                              <w:rPr>
                                <w:rFonts w:eastAsia="Kozuka Gothic Pro EL"/>
                                <w:b/>
                                <w:color w:val="F15F4C"/>
                                <w:sz w:val="96"/>
                                <w:szCs w:val="96"/>
                              </w:rPr>
                            </w:pPr>
                            <w:r w:rsidRPr="00543E9D">
                              <w:rPr>
                                <w:rFonts w:eastAsia="Kozuka Gothic Pro EL"/>
                                <w:b/>
                                <w:color w:val="F15F4C"/>
                                <w:sz w:val="96"/>
                                <w:szCs w:val="96"/>
                              </w:rPr>
                              <w:t>Outlook Report</w:t>
                            </w:r>
                          </w:p>
                          <w:p w14:paraId="29E153B4" w14:textId="77777777" w:rsidR="008B5998" w:rsidRPr="00543E9D" w:rsidRDefault="008B5998" w:rsidP="00C013A1">
                            <w:pPr>
                              <w:ind w:hanging="567"/>
                              <w:jc w:val="center"/>
                              <w:rPr>
                                <w:rFonts w:eastAsia="Kozuka Gothic Pro R"/>
                                <w:b/>
                                <w:color w:val="F15F4C"/>
                                <w:sz w:val="96"/>
                                <w:szCs w:val="96"/>
                              </w:rPr>
                            </w:pPr>
                            <w:r w:rsidRPr="00543E9D">
                              <w:rPr>
                                <w:rFonts w:eastAsia="Kozuka Gothic Pro R"/>
                                <w:b/>
                                <w:color w:val="F15F4C"/>
                                <w:sz w:val="96"/>
                                <w:szCs w:val="96"/>
                              </w:rPr>
                              <w:t>2019</w:t>
                            </w:r>
                          </w:p>
                          <w:p w14:paraId="57620CEF" w14:textId="77777777" w:rsidR="008B5998" w:rsidRPr="00DC49C6" w:rsidRDefault="008B5998">
                            <w:pPr>
                              <w:rPr>
                                <w:color w:val="FFFFFF" w:themeColor="background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620C34" id="_x0000_t202" coordsize="21600,21600" o:spt="202" path="m,l,21600r21600,l21600,xe">
                <v:stroke joinstyle="miter"/>
                <v:path gradientshapeok="t" o:connecttype="rect"/>
              </v:shapetype>
              <v:shape id="Text Box 2" o:spid="_x0000_s1026" type="#_x0000_t202" style="position:absolute;margin-left:0;margin-top:43.6pt;width:484.95pt;height:313.5pt;z-index:25170944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" filled="f" stroked="f">
                <v:textbox>
                  <w:txbxContent>
                    <w:p w14:paraId="73E2AF56" w14:textId="77777777" w:rsidR="008B5998" w:rsidRPr="00DC49C6" w:rsidRDefault="008B5998" w:rsidP="00C013A1">
                      <w:pPr>
                        <w:spacing w:after="240" w:line="240" w:lineRule="auto"/>
                        <w:contextualSpacing/>
                        <w:jc w:val="center"/>
                        <w:rPr>
                          <w:rFonts w:eastAsia="Kozuka Gothic Pro R"/>
                          <w:color w:val="FFFFFF" w:themeColor="background1"/>
                          <w:sz w:val="56"/>
                          <w:szCs w:val="56"/>
                        </w:rPr>
                      </w:pPr>
                      <w:r w:rsidRPr="00DC49C6">
                        <w:rPr>
                          <w:rFonts w:eastAsia="Kozuka Gothic Pro R"/>
                          <w:color w:val="FFFFFF" w:themeColor="background1"/>
                          <w:sz w:val="56"/>
                          <w:szCs w:val="56"/>
                        </w:rPr>
                        <w:t>Independent assessment of</w:t>
                      </w:r>
                    </w:p>
                    <w:p w14:paraId="5A6D64E9" w14:textId="77777777" w:rsidR="008B5998" w:rsidRPr="00DC49C6" w:rsidRDefault="008B5998" w:rsidP="00C013A1">
                      <w:pPr>
                        <w:spacing w:after="240" w:line="240" w:lineRule="auto"/>
                        <w:contextualSpacing/>
                        <w:jc w:val="center"/>
                        <w:rPr>
                          <w:rFonts w:eastAsia="Kozuka Gothic Pro R"/>
                          <w:color w:val="FFFFFF" w:themeColor="background1"/>
                          <w:sz w:val="56"/>
                          <w:szCs w:val="56"/>
                        </w:rPr>
                      </w:pPr>
                      <w:proofErr w:type="gramStart"/>
                      <w:r w:rsidRPr="00DC49C6">
                        <w:rPr>
                          <w:rFonts w:eastAsia="Kozuka Gothic Pro R"/>
                          <w:color w:val="FFFFFF" w:themeColor="background1"/>
                          <w:sz w:val="56"/>
                          <w:szCs w:val="56"/>
                        </w:rPr>
                        <w:t>management</w:t>
                      </w:r>
                      <w:proofErr w:type="gramEnd"/>
                      <w:r w:rsidRPr="00DC49C6">
                        <w:rPr>
                          <w:rFonts w:eastAsia="Kozuka Gothic Pro R"/>
                          <w:color w:val="FFFFFF" w:themeColor="background1"/>
                          <w:sz w:val="56"/>
                          <w:szCs w:val="56"/>
                        </w:rPr>
                        <w:t xml:space="preserve"> effectiveness for the</w:t>
                      </w:r>
                    </w:p>
                    <w:p w14:paraId="4BBC344D" w14:textId="77777777" w:rsidR="008B5998" w:rsidRDefault="008B5998" w:rsidP="003D1424">
                      <w:pPr>
                        <w:spacing w:after="100" w:afterAutospacing="1" w:line="240" w:lineRule="auto"/>
                        <w:contextualSpacing/>
                        <w:jc w:val="center"/>
                        <w:rPr>
                          <w:rFonts w:eastAsia="Kozuka Gothic Pro R"/>
                          <w:color w:val="FFFFFF" w:themeColor="background1"/>
                          <w:sz w:val="56"/>
                          <w:szCs w:val="56"/>
                        </w:rPr>
                      </w:pPr>
                    </w:p>
                    <w:p w14:paraId="0E8FB029" w14:textId="77777777" w:rsidR="008B5998" w:rsidRDefault="008B5998" w:rsidP="003D1424">
                      <w:pPr>
                        <w:spacing w:after="100" w:afterAutospacing="1" w:line="240" w:lineRule="auto"/>
                        <w:contextualSpacing/>
                        <w:jc w:val="center"/>
                        <w:rPr>
                          <w:rFonts w:eastAsia="Kozuka Gothic Pro R"/>
                          <w:color w:val="FFFFFF" w:themeColor="background1"/>
                          <w:sz w:val="56"/>
                          <w:szCs w:val="56"/>
                        </w:rPr>
                      </w:pPr>
                    </w:p>
                    <w:p w14:paraId="3180DB35" w14:textId="77777777" w:rsidR="008B5998" w:rsidRDefault="008B5998" w:rsidP="003D1424">
                      <w:pPr>
                        <w:spacing w:after="100" w:afterAutospacing="1" w:line="240" w:lineRule="auto"/>
                        <w:contextualSpacing/>
                        <w:jc w:val="center"/>
                        <w:rPr>
                          <w:rFonts w:eastAsia="Kozuka Gothic Pro R"/>
                          <w:color w:val="FFFFFF" w:themeColor="background1"/>
                          <w:sz w:val="56"/>
                          <w:szCs w:val="56"/>
                        </w:rPr>
                      </w:pPr>
                    </w:p>
                    <w:p w14:paraId="7AEF0EB0" w14:textId="4C59FCB0" w:rsidR="008B5998" w:rsidRPr="003D1424" w:rsidRDefault="008B5998" w:rsidP="003D1424">
                      <w:pPr>
                        <w:spacing w:after="100" w:afterAutospacing="1" w:line="240" w:lineRule="auto"/>
                        <w:contextualSpacing/>
                        <w:jc w:val="center"/>
                        <w:rPr>
                          <w:rFonts w:eastAsia="Kozuka Gothic Pro R"/>
                          <w:color w:val="F15F4C"/>
                          <w:sz w:val="56"/>
                          <w:szCs w:val="56"/>
                        </w:rPr>
                      </w:pPr>
                      <w:r w:rsidRPr="003D1424">
                        <w:rPr>
                          <w:rFonts w:eastAsia="Kozuka Gothic Pro R"/>
                          <w:color w:val="F15F4C"/>
                          <w:sz w:val="56"/>
                          <w:szCs w:val="56"/>
                        </w:rPr>
                        <w:t>Great Barrier Reef</w:t>
                      </w:r>
                    </w:p>
                    <w:p w14:paraId="0154B646" w14:textId="77777777" w:rsidR="008B5998" w:rsidRPr="00543E9D" w:rsidRDefault="008B5998" w:rsidP="00C013A1">
                      <w:pPr>
                        <w:spacing w:after="0" w:line="240" w:lineRule="auto"/>
                        <w:jc w:val="center"/>
                        <w:rPr>
                          <w:rFonts w:eastAsia="Kozuka Gothic Pro EL"/>
                          <w:b/>
                          <w:color w:val="F15F4C"/>
                          <w:sz w:val="96"/>
                          <w:szCs w:val="96"/>
                        </w:rPr>
                      </w:pPr>
                      <w:r w:rsidRPr="00543E9D">
                        <w:rPr>
                          <w:rFonts w:eastAsia="Kozuka Gothic Pro EL"/>
                          <w:b/>
                          <w:color w:val="F15F4C"/>
                          <w:sz w:val="96"/>
                          <w:szCs w:val="96"/>
                        </w:rPr>
                        <w:t>Outlook Report</w:t>
                      </w:r>
                    </w:p>
                    <w:p w14:paraId="29E153B4" w14:textId="77777777" w:rsidR="008B5998" w:rsidRPr="00543E9D" w:rsidRDefault="008B5998" w:rsidP="00C013A1">
                      <w:pPr>
                        <w:ind w:hanging="567"/>
                        <w:jc w:val="center"/>
                        <w:rPr>
                          <w:rFonts w:eastAsia="Kozuka Gothic Pro R"/>
                          <w:b/>
                          <w:color w:val="F15F4C"/>
                          <w:sz w:val="96"/>
                          <w:szCs w:val="96"/>
                        </w:rPr>
                      </w:pPr>
                      <w:r w:rsidRPr="00543E9D">
                        <w:rPr>
                          <w:rFonts w:eastAsia="Kozuka Gothic Pro R"/>
                          <w:b/>
                          <w:color w:val="F15F4C"/>
                          <w:sz w:val="96"/>
                          <w:szCs w:val="96"/>
                        </w:rPr>
                        <w:t>2019</w:t>
                      </w:r>
                    </w:p>
                    <w:p w14:paraId="57620CEF" w14:textId="77777777" w:rsidR="008B5998" w:rsidRPr="00DC49C6" w:rsidRDefault="008B5998">
                      <w:pPr>
                        <w:rPr>
                          <w:color w:val="FFFFFF" w:themeColor="background1"/>
                        </w:rPr>
                      </w:pPr>
                    </w:p>
                  </w:txbxContent>
                </v:textbox>
                <w10:wrap type="square" anchorx="margin"/>
              </v:shape>
            </w:pict>
          </mc:Fallback>
        </mc:AlternateContent>
      </w:r>
    </w:p>
    <w:p w14:paraId="5761CEC4" w14:textId="5D408C04" w:rsidR="00A56EE9" w:rsidRDefault="00A56EE9" w:rsidP="007D0D95">
      <w:pPr>
        <w:tabs>
          <w:tab w:val="left" w:pos="553"/>
        </w:tabs>
        <w:spacing w:after="0" w:line="240" w:lineRule="auto"/>
        <w:rPr>
          <w:rFonts w:ascii="Helvetica" w:hAnsi="Helvetica" w:cs="Segoe UI"/>
          <w:b/>
          <w:color w:val="FFFFFF" w:themeColor="background1"/>
          <w:sz w:val="40"/>
          <w:szCs w:val="40"/>
        </w:rPr>
      </w:pPr>
    </w:p>
    <w:p w14:paraId="104865B3" w14:textId="698DF682" w:rsidR="00DC49C6" w:rsidRDefault="00DC49C6" w:rsidP="007D0D95">
      <w:pPr>
        <w:tabs>
          <w:tab w:val="left" w:pos="553"/>
        </w:tabs>
        <w:spacing w:after="0" w:line="240" w:lineRule="auto"/>
        <w:rPr>
          <w:rFonts w:ascii="Helvetica" w:hAnsi="Helvetica" w:cs="Segoe UI"/>
          <w:b/>
          <w:color w:val="FFFFFF" w:themeColor="background1"/>
          <w:sz w:val="40"/>
          <w:szCs w:val="40"/>
        </w:rPr>
      </w:pPr>
    </w:p>
    <w:p w14:paraId="4EC79DF8" w14:textId="52C78309" w:rsidR="00DC49C6" w:rsidRDefault="00DC49C6" w:rsidP="007D0D95">
      <w:pPr>
        <w:tabs>
          <w:tab w:val="left" w:pos="553"/>
        </w:tabs>
        <w:spacing w:after="0" w:line="240" w:lineRule="auto"/>
        <w:rPr>
          <w:rFonts w:ascii="Helvetica" w:hAnsi="Helvetica" w:cs="Segoe UI"/>
          <w:b/>
          <w:color w:val="FFFFFF" w:themeColor="background1"/>
          <w:sz w:val="40"/>
          <w:szCs w:val="40"/>
        </w:rPr>
      </w:pPr>
    </w:p>
    <w:p w14:paraId="14B400FE" w14:textId="4AFADD71" w:rsidR="00DC49C6" w:rsidRDefault="00266C86" w:rsidP="007D0D95">
      <w:pPr>
        <w:tabs>
          <w:tab w:val="left" w:pos="553"/>
        </w:tabs>
        <w:spacing w:after="0" w:line="240" w:lineRule="auto"/>
        <w:rPr>
          <w:rFonts w:ascii="Helvetica" w:hAnsi="Helvetica" w:cs="Segoe UI"/>
          <w:b/>
          <w:color w:val="FFFFFF" w:themeColor="background1"/>
          <w:sz w:val="40"/>
          <w:szCs w:val="40"/>
        </w:rPr>
      </w:pPr>
      <w:r>
        <w:rPr>
          <w:noProof/>
          <w:lang w:eastAsia="en-AU"/>
        </w:rPr>
        <mc:AlternateContent>
          <mc:Choice Requires="wps">
            <w:drawing>
              <wp:anchor distT="45720" distB="45720" distL="114300" distR="114300" simplePos="0" relativeHeight="251741184" behindDoc="0" locked="0" layoutInCell="1" allowOverlap="1" wp14:anchorId="0D334959" wp14:editId="68F36813">
                <wp:simplePos x="0" y="0"/>
                <wp:positionH relativeFrom="margin">
                  <wp:posOffset>-354965</wp:posOffset>
                </wp:positionH>
                <wp:positionV relativeFrom="paragraph">
                  <wp:posOffset>611593</wp:posOffset>
                </wp:positionV>
                <wp:extent cx="6614160" cy="1245235"/>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4160" cy="1245235"/>
                        </a:xfrm>
                        <a:prstGeom prst="rect">
                          <a:avLst/>
                        </a:prstGeom>
                        <a:noFill/>
                        <a:ln w="9525">
                          <a:noFill/>
                          <a:miter lim="800000"/>
                          <a:headEnd/>
                          <a:tailEnd/>
                        </a:ln>
                      </wps:spPr>
                      <wps:txbx>
                        <w:txbxContent>
                          <w:p w14:paraId="6DDBF72F" w14:textId="77777777" w:rsidR="008B5998" w:rsidRPr="00DC49C6" w:rsidRDefault="008B5998" w:rsidP="007D0D95">
                            <w:pPr>
                              <w:spacing w:after="0" w:line="360" w:lineRule="auto"/>
                              <w:jc w:val="center"/>
                              <w:rPr>
                                <w:rFonts w:ascii="Helvetica" w:hAnsi="Helvetica" w:cs="Segoe UI"/>
                                <w:b/>
                                <w:sz w:val="28"/>
                                <w:szCs w:val="28"/>
                              </w:rPr>
                            </w:pPr>
                            <w:r w:rsidRPr="00DC49C6">
                              <w:rPr>
                                <w:rFonts w:ascii="Helvetica" w:hAnsi="Helvetica" w:cs="Segoe UI"/>
                                <w:b/>
                                <w:sz w:val="28"/>
                                <w:szCs w:val="28"/>
                              </w:rPr>
                              <w:t>Report prepared by:</w:t>
                            </w:r>
                          </w:p>
                          <w:p w14:paraId="2AA6C468" w14:textId="77777777" w:rsidR="008B5998" w:rsidRPr="00DC49C6" w:rsidRDefault="008B5998" w:rsidP="007D0D95">
                            <w:pPr>
                              <w:spacing w:after="0" w:line="360" w:lineRule="auto"/>
                              <w:jc w:val="center"/>
                              <w:rPr>
                                <w:rFonts w:ascii="Helvetica" w:hAnsi="Helvetica" w:cs="Segoe UI"/>
                                <w:sz w:val="24"/>
                                <w:szCs w:val="24"/>
                              </w:rPr>
                            </w:pPr>
                            <w:r w:rsidRPr="00DC49C6">
                              <w:rPr>
                                <w:rFonts w:ascii="Helvetica" w:hAnsi="Helvetica" w:cs="Segoe UI"/>
                                <w:sz w:val="24"/>
                                <w:szCs w:val="24"/>
                              </w:rPr>
                              <w:t>Andrea Leverington</w:t>
                            </w:r>
                            <w:r w:rsidRPr="00DC49C6">
                              <w:rPr>
                                <w:rFonts w:ascii="Helvetica" w:hAnsi="Helvetica" w:cs="Segoe UI"/>
                                <w:sz w:val="24"/>
                                <w:szCs w:val="24"/>
                                <w:vertAlign w:val="superscript"/>
                              </w:rPr>
                              <w:t>1</w:t>
                            </w:r>
                            <w:r w:rsidRPr="00DC49C6">
                              <w:rPr>
                                <w:rFonts w:ascii="Helvetica" w:hAnsi="Helvetica" w:cs="Segoe UI"/>
                                <w:sz w:val="24"/>
                                <w:szCs w:val="24"/>
                              </w:rPr>
                              <w:t>, Marc Hockings</w:t>
                            </w:r>
                            <w:r w:rsidRPr="00DC49C6">
                              <w:rPr>
                                <w:rFonts w:ascii="Helvetica" w:hAnsi="Helvetica" w:cs="Segoe UI"/>
                                <w:sz w:val="24"/>
                                <w:szCs w:val="24"/>
                                <w:vertAlign w:val="superscript"/>
                              </w:rPr>
                              <w:t>1</w:t>
                            </w:r>
                            <w:r w:rsidRPr="00DC49C6">
                              <w:rPr>
                                <w:rFonts w:ascii="Helvetica" w:hAnsi="Helvetica" w:cs="Segoe UI"/>
                                <w:sz w:val="24"/>
                                <w:szCs w:val="24"/>
                              </w:rPr>
                              <w:t>, Fiona Leverington</w:t>
                            </w:r>
                            <w:r w:rsidRPr="00DC49C6">
                              <w:rPr>
                                <w:rFonts w:ascii="Helvetica" w:hAnsi="Helvetica" w:cs="Segoe UI"/>
                                <w:sz w:val="24"/>
                                <w:szCs w:val="24"/>
                                <w:vertAlign w:val="superscript"/>
                              </w:rPr>
                              <w:t>1</w:t>
                            </w:r>
                            <w:r w:rsidRPr="00DC49C6">
                              <w:rPr>
                                <w:rFonts w:ascii="Helvetica" w:hAnsi="Helvetica" w:cs="Segoe UI"/>
                                <w:sz w:val="24"/>
                                <w:szCs w:val="24"/>
                              </w:rPr>
                              <w:t>, Colin Trinder</w:t>
                            </w:r>
                            <w:r w:rsidRPr="00DC49C6">
                              <w:rPr>
                                <w:rFonts w:ascii="Helvetica" w:hAnsi="Helvetica" w:cs="Segoe UI"/>
                                <w:sz w:val="24"/>
                                <w:szCs w:val="24"/>
                                <w:vertAlign w:val="superscript"/>
                              </w:rPr>
                              <w:t>2</w:t>
                            </w:r>
                            <w:r w:rsidRPr="00DC49C6">
                              <w:rPr>
                                <w:rFonts w:ascii="Helvetica" w:hAnsi="Helvetica" w:cs="Segoe UI"/>
                                <w:sz w:val="24"/>
                                <w:szCs w:val="24"/>
                              </w:rPr>
                              <w:t xml:space="preserve"> and John Polglaze</w:t>
                            </w:r>
                            <w:r w:rsidRPr="00DC49C6">
                              <w:rPr>
                                <w:rFonts w:ascii="Helvetica" w:hAnsi="Helvetica" w:cs="Segoe UI"/>
                                <w:sz w:val="24"/>
                                <w:szCs w:val="24"/>
                                <w:vertAlign w:val="superscript"/>
                              </w:rPr>
                              <w:t>2</w:t>
                            </w:r>
                          </w:p>
                          <w:p w14:paraId="5AC986D9" w14:textId="77777777" w:rsidR="008B5998" w:rsidRPr="00DC49C6" w:rsidRDefault="008B5998" w:rsidP="007D0D95">
                            <w:pPr>
                              <w:spacing w:after="0" w:line="360" w:lineRule="auto"/>
                              <w:jc w:val="center"/>
                              <w:rPr>
                                <w:rFonts w:ascii="Helvetica" w:hAnsi="Helvetica" w:cs="Segoe UI"/>
                                <w:b/>
                                <w:sz w:val="28"/>
                                <w:szCs w:val="28"/>
                              </w:rPr>
                            </w:pPr>
                            <w:proofErr w:type="gramStart"/>
                            <w:r w:rsidRPr="00DC49C6">
                              <w:rPr>
                                <w:rFonts w:ascii="Helvetica" w:hAnsi="Helvetica" w:cs="Segoe UI"/>
                                <w:b/>
                                <w:sz w:val="28"/>
                                <w:szCs w:val="28"/>
                              </w:rPr>
                              <w:t>for</w:t>
                            </w:r>
                            <w:proofErr w:type="gramEnd"/>
                            <w:r w:rsidRPr="00DC49C6">
                              <w:rPr>
                                <w:rFonts w:ascii="Helvetica" w:hAnsi="Helvetica" w:cs="Segoe UI"/>
                                <w:b/>
                                <w:sz w:val="28"/>
                                <w:szCs w:val="28"/>
                              </w:rPr>
                              <w:t xml:space="preserve"> the</w:t>
                            </w:r>
                          </w:p>
                          <w:p w14:paraId="00470E19" w14:textId="77777777" w:rsidR="008B5998" w:rsidRPr="00DC49C6" w:rsidRDefault="008B5998" w:rsidP="007D0D95">
                            <w:pPr>
                              <w:spacing w:after="0" w:line="360" w:lineRule="auto"/>
                              <w:jc w:val="center"/>
                              <w:rPr>
                                <w:rFonts w:ascii="Helvetica" w:hAnsi="Helvetica" w:cs="Segoe UI"/>
                                <w:b/>
                                <w:sz w:val="28"/>
                                <w:szCs w:val="28"/>
                              </w:rPr>
                            </w:pPr>
                            <w:r w:rsidRPr="00DC49C6">
                              <w:rPr>
                                <w:rFonts w:ascii="Helvetica" w:hAnsi="Helvetica" w:cs="Segoe UI"/>
                                <w:i/>
                                <w:sz w:val="28"/>
                                <w:szCs w:val="28"/>
                              </w:rPr>
                              <w:t>Great Barrier Reef Marine Park Authority</w:t>
                            </w:r>
                          </w:p>
                          <w:p w14:paraId="3E98A4C9" w14:textId="77777777" w:rsidR="008B5998" w:rsidRPr="00DC49C6" w:rsidRDefault="008B5998" w:rsidP="00C013A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334959" id="_x0000_s1027" type="#_x0000_t202" style="position:absolute;margin-left:-27.95pt;margin-top:48.15pt;width:520.8pt;height:98.05pt;z-index:2517411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" filled="f" stroked="f">
                <v:textbox>
                  <w:txbxContent>
                    <w:p w14:paraId="6DDBF72F" w14:textId="77777777" w:rsidR="008B5998" w:rsidRPr="00DC49C6" w:rsidRDefault="008B5998" w:rsidP="007D0D95">
                      <w:pPr>
                        <w:spacing w:after="0" w:line="360" w:lineRule="auto"/>
                        <w:jc w:val="center"/>
                        <w:rPr>
                          <w:rFonts w:ascii="Helvetica" w:hAnsi="Helvetica" w:cs="Segoe UI"/>
                          <w:b/>
                          <w:sz w:val="28"/>
                          <w:szCs w:val="28"/>
                        </w:rPr>
                      </w:pPr>
                      <w:r w:rsidRPr="00DC49C6">
                        <w:rPr>
                          <w:rFonts w:ascii="Helvetica" w:hAnsi="Helvetica" w:cs="Segoe UI"/>
                          <w:b/>
                          <w:sz w:val="28"/>
                          <w:szCs w:val="28"/>
                        </w:rPr>
                        <w:t>Report prepared by:</w:t>
                      </w:r>
                    </w:p>
                    <w:p w14:paraId="2AA6C468" w14:textId="77777777" w:rsidR="008B5998" w:rsidRPr="00DC49C6" w:rsidRDefault="008B5998" w:rsidP="007D0D95">
                      <w:pPr>
                        <w:spacing w:after="0" w:line="360" w:lineRule="auto"/>
                        <w:jc w:val="center"/>
                        <w:rPr>
                          <w:rFonts w:ascii="Helvetica" w:hAnsi="Helvetica" w:cs="Segoe UI"/>
                          <w:sz w:val="24"/>
                          <w:szCs w:val="24"/>
                        </w:rPr>
                      </w:pPr>
                      <w:r w:rsidRPr="00DC49C6">
                        <w:rPr>
                          <w:rFonts w:ascii="Helvetica" w:hAnsi="Helvetica" w:cs="Segoe UI"/>
                          <w:sz w:val="24"/>
                          <w:szCs w:val="24"/>
                        </w:rPr>
                        <w:t>Andrea Leverington</w:t>
                      </w:r>
                      <w:r w:rsidRPr="00DC49C6">
                        <w:rPr>
                          <w:rFonts w:ascii="Helvetica" w:hAnsi="Helvetica" w:cs="Segoe UI"/>
                          <w:sz w:val="24"/>
                          <w:szCs w:val="24"/>
                          <w:vertAlign w:val="superscript"/>
                        </w:rPr>
                        <w:t>1</w:t>
                      </w:r>
                      <w:r w:rsidRPr="00DC49C6">
                        <w:rPr>
                          <w:rFonts w:ascii="Helvetica" w:hAnsi="Helvetica" w:cs="Segoe UI"/>
                          <w:sz w:val="24"/>
                          <w:szCs w:val="24"/>
                        </w:rPr>
                        <w:t>, Marc Hockings</w:t>
                      </w:r>
                      <w:r w:rsidRPr="00DC49C6">
                        <w:rPr>
                          <w:rFonts w:ascii="Helvetica" w:hAnsi="Helvetica" w:cs="Segoe UI"/>
                          <w:sz w:val="24"/>
                          <w:szCs w:val="24"/>
                          <w:vertAlign w:val="superscript"/>
                        </w:rPr>
                        <w:t>1</w:t>
                      </w:r>
                      <w:r w:rsidRPr="00DC49C6">
                        <w:rPr>
                          <w:rFonts w:ascii="Helvetica" w:hAnsi="Helvetica" w:cs="Segoe UI"/>
                          <w:sz w:val="24"/>
                          <w:szCs w:val="24"/>
                        </w:rPr>
                        <w:t>, Fiona Leverington</w:t>
                      </w:r>
                      <w:r w:rsidRPr="00DC49C6">
                        <w:rPr>
                          <w:rFonts w:ascii="Helvetica" w:hAnsi="Helvetica" w:cs="Segoe UI"/>
                          <w:sz w:val="24"/>
                          <w:szCs w:val="24"/>
                          <w:vertAlign w:val="superscript"/>
                        </w:rPr>
                        <w:t>1</w:t>
                      </w:r>
                      <w:r w:rsidRPr="00DC49C6">
                        <w:rPr>
                          <w:rFonts w:ascii="Helvetica" w:hAnsi="Helvetica" w:cs="Segoe UI"/>
                          <w:sz w:val="24"/>
                          <w:szCs w:val="24"/>
                        </w:rPr>
                        <w:t>, Colin Trinder</w:t>
                      </w:r>
                      <w:r w:rsidRPr="00DC49C6">
                        <w:rPr>
                          <w:rFonts w:ascii="Helvetica" w:hAnsi="Helvetica" w:cs="Segoe UI"/>
                          <w:sz w:val="24"/>
                          <w:szCs w:val="24"/>
                          <w:vertAlign w:val="superscript"/>
                        </w:rPr>
                        <w:t>2</w:t>
                      </w:r>
                      <w:r w:rsidRPr="00DC49C6">
                        <w:rPr>
                          <w:rFonts w:ascii="Helvetica" w:hAnsi="Helvetica" w:cs="Segoe UI"/>
                          <w:sz w:val="24"/>
                          <w:szCs w:val="24"/>
                        </w:rPr>
                        <w:t xml:space="preserve"> and John Polglaze</w:t>
                      </w:r>
                      <w:r w:rsidRPr="00DC49C6">
                        <w:rPr>
                          <w:rFonts w:ascii="Helvetica" w:hAnsi="Helvetica" w:cs="Segoe UI"/>
                          <w:sz w:val="24"/>
                          <w:szCs w:val="24"/>
                          <w:vertAlign w:val="superscript"/>
                        </w:rPr>
                        <w:t>2</w:t>
                      </w:r>
                    </w:p>
                    <w:p w14:paraId="5AC986D9" w14:textId="77777777" w:rsidR="008B5998" w:rsidRPr="00DC49C6" w:rsidRDefault="008B5998" w:rsidP="007D0D95">
                      <w:pPr>
                        <w:spacing w:after="0" w:line="360" w:lineRule="auto"/>
                        <w:jc w:val="center"/>
                        <w:rPr>
                          <w:rFonts w:ascii="Helvetica" w:hAnsi="Helvetica" w:cs="Segoe UI"/>
                          <w:b/>
                          <w:sz w:val="28"/>
                          <w:szCs w:val="28"/>
                        </w:rPr>
                      </w:pPr>
                      <w:proofErr w:type="gramStart"/>
                      <w:r w:rsidRPr="00DC49C6">
                        <w:rPr>
                          <w:rFonts w:ascii="Helvetica" w:hAnsi="Helvetica" w:cs="Segoe UI"/>
                          <w:b/>
                          <w:sz w:val="28"/>
                          <w:szCs w:val="28"/>
                        </w:rPr>
                        <w:t>for</w:t>
                      </w:r>
                      <w:proofErr w:type="gramEnd"/>
                      <w:r w:rsidRPr="00DC49C6">
                        <w:rPr>
                          <w:rFonts w:ascii="Helvetica" w:hAnsi="Helvetica" w:cs="Segoe UI"/>
                          <w:b/>
                          <w:sz w:val="28"/>
                          <w:szCs w:val="28"/>
                        </w:rPr>
                        <w:t xml:space="preserve"> the</w:t>
                      </w:r>
                    </w:p>
                    <w:p w14:paraId="00470E19" w14:textId="77777777" w:rsidR="008B5998" w:rsidRPr="00DC49C6" w:rsidRDefault="008B5998" w:rsidP="007D0D95">
                      <w:pPr>
                        <w:spacing w:after="0" w:line="360" w:lineRule="auto"/>
                        <w:jc w:val="center"/>
                        <w:rPr>
                          <w:rFonts w:ascii="Helvetica" w:hAnsi="Helvetica" w:cs="Segoe UI"/>
                          <w:b/>
                          <w:sz w:val="28"/>
                          <w:szCs w:val="28"/>
                        </w:rPr>
                      </w:pPr>
                      <w:r w:rsidRPr="00DC49C6">
                        <w:rPr>
                          <w:rFonts w:ascii="Helvetica" w:hAnsi="Helvetica" w:cs="Segoe UI"/>
                          <w:i/>
                          <w:sz w:val="28"/>
                          <w:szCs w:val="28"/>
                        </w:rPr>
                        <w:t>Great Barrier Reef Marine Park Authority</w:t>
                      </w:r>
                    </w:p>
                    <w:p w14:paraId="3E98A4C9" w14:textId="77777777" w:rsidR="008B5998" w:rsidRPr="00DC49C6" w:rsidRDefault="008B5998" w:rsidP="00C013A1"/>
                  </w:txbxContent>
                </v:textbox>
                <w10:wrap type="square" anchorx="margin"/>
              </v:shape>
            </w:pict>
          </mc:Fallback>
        </mc:AlternateContent>
      </w:r>
    </w:p>
    <w:p w14:paraId="5761CEC5" w14:textId="132B2B2E" w:rsidR="00A56EE9" w:rsidRPr="001B5C49" w:rsidRDefault="00A56EE9" w:rsidP="00BB6AD5">
      <w:pPr>
        <w:spacing w:after="0" w:line="240" w:lineRule="auto"/>
        <w:jc w:val="center"/>
        <w:rPr>
          <w:rFonts w:ascii="Helvetica" w:hAnsi="Helvetica" w:cs="Segoe UI"/>
          <w:b/>
          <w:color w:val="FFFFFF" w:themeColor="background1"/>
          <w:sz w:val="28"/>
          <w:szCs w:val="28"/>
        </w:rPr>
      </w:pPr>
    </w:p>
    <w:p w14:paraId="5761CECA" w14:textId="763E5337" w:rsidR="00A56EE9" w:rsidRDefault="00A56EE9" w:rsidP="00BB6AD5">
      <w:pPr>
        <w:jc w:val="center"/>
      </w:pPr>
      <w:r w:rsidRPr="001B5C49">
        <w:rPr>
          <w:rFonts w:ascii="Helvetica" w:hAnsi="Helvetica" w:cs="Times New Roman"/>
          <w:b/>
          <w:noProof/>
          <w:color w:val="FFFFFF" w:themeColor="background1"/>
          <w:lang w:eastAsia="en-AU"/>
        </w:rPr>
        <w:drawing>
          <wp:inline distT="0" distB="0" distL="0" distR="0" wp14:anchorId="57620C3A" wp14:editId="249DD46C">
            <wp:extent cx="1333500" cy="1067026"/>
            <wp:effectExtent l="0" t="0" r="0" b="0"/>
            <wp:docPr id="30" name="Picture 30" descr="Coat of Arms as the Australian Government Great Barrier Reef Marine Park Authority logo"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47684" cy="1078376"/>
                    </a:xfrm>
                    <a:prstGeom prst="rect">
                      <a:avLst/>
                    </a:prstGeom>
                  </pic:spPr>
                </pic:pic>
              </a:graphicData>
            </a:graphic>
          </wp:inline>
        </w:drawing>
      </w:r>
    </w:p>
    <w:p w14:paraId="5761CECC" w14:textId="1824A2D4" w:rsidR="00A56EE9" w:rsidRDefault="00A56EE9" w:rsidP="00BB6AD5"/>
    <w:p w14:paraId="5761CECD" w14:textId="76E5A865" w:rsidR="00A56EE9" w:rsidRPr="001B5C49" w:rsidRDefault="003D1424" w:rsidP="00BB6AD5">
      <w:pPr>
        <w:spacing w:after="0" w:line="240" w:lineRule="auto"/>
        <w:jc w:val="center"/>
        <w:rPr>
          <w:rFonts w:ascii="Helvetica" w:hAnsi="Helvetica" w:cs="Times New Roman"/>
        </w:rPr>
      </w:pPr>
      <w:r w:rsidRPr="001B5C49">
        <w:rPr>
          <w:rFonts w:ascii="Kozuka Gothic Pro R" w:eastAsia="Kozuka Gothic Pro R" w:hAnsi="Kozuka Gothic Pro R" w:cs="Segoe UI"/>
          <w:noProof/>
          <w:color w:val="FFFFFF" w:themeColor="background1"/>
          <w:sz w:val="56"/>
          <w:szCs w:val="56"/>
          <w:lang w:eastAsia="en-AU"/>
        </w:rPr>
        <mc:AlternateContent>
          <mc:Choice Requires="wps">
            <w:drawing>
              <wp:anchor distT="0" distB="0" distL="114300" distR="114300" simplePos="0" relativeHeight="251707392" behindDoc="1" locked="0" layoutInCell="1" allowOverlap="1" wp14:anchorId="57620C3C" wp14:editId="047EB285">
                <wp:simplePos x="0" y="0"/>
                <wp:positionH relativeFrom="margin">
                  <wp:align>center</wp:align>
                </wp:positionH>
                <wp:positionV relativeFrom="paragraph">
                  <wp:posOffset>220345</wp:posOffset>
                </wp:positionV>
                <wp:extent cx="7146925" cy="31242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6925" cy="3124200"/>
                        </a:xfrm>
                        <a:prstGeom prst="rect">
                          <a:avLst/>
                        </a:prstGeom>
                        <a:solidFill>
                          <a:srgbClr val="FFFFFF"/>
                        </a:solidFill>
                        <a:ln w="9525">
                          <a:noFill/>
                          <a:miter lim="800000"/>
                          <a:headEnd/>
                          <a:tailEnd/>
                        </a:ln>
                      </wps:spPr>
                      <wps:txbx>
                        <w:txbxContent>
                          <w:p w14:paraId="57620CF3" w14:textId="14E3DE1E" w:rsidR="008B5998" w:rsidRDefault="008B5998" w:rsidP="00C013A1">
                            <w:pPr>
                              <w:spacing w:after="240" w:line="240" w:lineRule="auto"/>
                              <w:contextualSpacing/>
                              <w:jc w:val="center"/>
                              <w:rPr>
                                <w:rFonts w:eastAsia="Kozuka Gothic Pro R"/>
                                <w:sz w:val="56"/>
                                <w:szCs w:val="56"/>
                              </w:rPr>
                            </w:pPr>
                            <w:r>
                              <w:rPr>
                                <w:rFonts w:eastAsia="Kozuka Gothic Pro R"/>
                                <w:sz w:val="56"/>
                                <w:szCs w:val="56"/>
                              </w:rPr>
                              <w:t>Independent a</w:t>
                            </w:r>
                            <w:r w:rsidRPr="00533605">
                              <w:rPr>
                                <w:rFonts w:eastAsia="Kozuka Gothic Pro R"/>
                                <w:sz w:val="56"/>
                                <w:szCs w:val="56"/>
                              </w:rPr>
                              <w:t>ssessment of</w:t>
                            </w:r>
                          </w:p>
                          <w:p w14:paraId="57620CF4" w14:textId="3D5A77C3" w:rsidR="008B5998" w:rsidRDefault="008B5998" w:rsidP="00C013A1">
                            <w:pPr>
                              <w:spacing w:after="240" w:line="240" w:lineRule="auto"/>
                              <w:contextualSpacing/>
                              <w:jc w:val="center"/>
                              <w:rPr>
                                <w:rFonts w:eastAsia="Kozuka Gothic Pro R"/>
                                <w:sz w:val="56"/>
                                <w:szCs w:val="56"/>
                              </w:rPr>
                            </w:pPr>
                            <w:proofErr w:type="gramStart"/>
                            <w:r w:rsidRPr="00533605">
                              <w:rPr>
                                <w:rFonts w:eastAsia="Kozuka Gothic Pro R"/>
                                <w:sz w:val="56"/>
                                <w:szCs w:val="56"/>
                              </w:rPr>
                              <w:t>management</w:t>
                            </w:r>
                            <w:proofErr w:type="gramEnd"/>
                            <w:r w:rsidRPr="00533605">
                              <w:rPr>
                                <w:rFonts w:eastAsia="Kozuka Gothic Pro R"/>
                                <w:sz w:val="56"/>
                                <w:szCs w:val="56"/>
                              </w:rPr>
                              <w:t xml:space="preserve"> effectiveness for the</w:t>
                            </w:r>
                          </w:p>
                          <w:p w14:paraId="52B13ADF" w14:textId="1555F00D" w:rsidR="008B5998" w:rsidRDefault="008B5998" w:rsidP="003D1424">
                            <w:pPr>
                              <w:spacing w:after="240" w:line="240" w:lineRule="auto"/>
                              <w:contextualSpacing/>
                              <w:rPr>
                                <w:rFonts w:eastAsia="Kozuka Gothic Pro R"/>
                                <w:sz w:val="56"/>
                                <w:szCs w:val="56"/>
                              </w:rPr>
                            </w:pPr>
                          </w:p>
                          <w:p w14:paraId="40A4C50D" w14:textId="77777777" w:rsidR="008B5998" w:rsidRPr="003D1424" w:rsidRDefault="008B5998" w:rsidP="003D1424">
                            <w:pPr>
                              <w:spacing w:after="100" w:afterAutospacing="1" w:line="240" w:lineRule="auto"/>
                              <w:contextualSpacing/>
                              <w:jc w:val="center"/>
                              <w:rPr>
                                <w:rFonts w:eastAsia="Kozuka Gothic Pro R"/>
                                <w:color w:val="F15F4C"/>
                                <w:sz w:val="56"/>
                                <w:szCs w:val="56"/>
                              </w:rPr>
                            </w:pPr>
                            <w:r w:rsidRPr="003D1424">
                              <w:rPr>
                                <w:rFonts w:eastAsia="Kozuka Gothic Pro R"/>
                                <w:color w:val="F15F4C"/>
                                <w:sz w:val="56"/>
                                <w:szCs w:val="56"/>
                              </w:rPr>
                              <w:t>Great Barrier Reef</w:t>
                            </w:r>
                          </w:p>
                          <w:p w14:paraId="0C2860F0" w14:textId="77777777" w:rsidR="008B5998" w:rsidRPr="00AD61AA" w:rsidRDefault="008B5998" w:rsidP="003D1424">
                            <w:pPr>
                              <w:spacing w:after="0" w:line="240" w:lineRule="auto"/>
                              <w:jc w:val="center"/>
                              <w:rPr>
                                <w:rFonts w:eastAsia="Kozuka Gothic Pro EL"/>
                                <w:b/>
                                <w:color w:val="F15F4C"/>
                                <w:sz w:val="96"/>
                                <w:szCs w:val="96"/>
                              </w:rPr>
                            </w:pPr>
                            <w:r w:rsidRPr="00AD61AA">
                              <w:rPr>
                                <w:rFonts w:eastAsia="Kozuka Gothic Pro EL"/>
                                <w:b/>
                                <w:color w:val="F15F4C"/>
                                <w:sz w:val="96"/>
                                <w:szCs w:val="96"/>
                              </w:rPr>
                              <w:t>Outlook Report</w:t>
                            </w:r>
                          </w:p>
                          <w:p w14:paraId="041B892B" w14:textId="77777777" w:rsidR="008B5998" w:rsidRPr="00AD61AA" w:rsidRDefault="008B5998" w:rsidP="003D1424">
                            <w:pPr>
                              <w:ind w:hanging="567"/>
                              <w:jc w:val="center"/>
                              <w:rPr>
                                <w:rFonts w:eastAsia="Kozuka Gothic Pro R"/>
                                <w:b/>
                                <w:color w:val="F15F4C"/>
                                <w:sz w:val="96"/>
                                <w:szCs w:val="96"/>
                              </w:rPr>
                            </w:pPr>
                            <w:r w:rsidRPr="00AD61AA">
                              <w:rPr>
                                <w:rFonts w:eastAsia="Kozuka Gothic Pro R"/>
                                <w:b/>
                                <w:color w:val="F15F4C"/>
                                <w:sz w:val="96"/>
                                <w:szCs w:val="96"/>
                              </w:rPr>
                              <w:t>2019</w:t>
                            </w:r>
                          </w:p>
                          <w:p w14:paraId="57620CF8" w14:textId="77777777" w:rsidR="008B5998" w:rsidRDefault="008B5998" w:rsidP="00BB6AD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620C3C" id="_x0000_s1028" type="#_x0000_t202" style="position:absolute;left:0;text-align:left;margin-left:0;margin-top:17.35pt;width:562.75pt;height:246pt;z-index:-2516090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" stroked="f">
                <v:textbox>
                  <w:txbxContent>
                    <w:p w14:paraId="57620CF3" w14:textId="14E3DE1E" w:rsidR="008B5998" w:rsidRDefault="008B5998" w:rsidP="00C013A1">
                      <w:pPr>
                        <w:spacing w:after="240" w:line="240" w:lineRule="auto"/>
                        <w:contextualSpacing/>
                        <w:jc w:val="center"/>
                        <w:rPr>
                          <w:rFonts w:eastAsia="Kozuka Gothic Pro R"/>
                          <w:sz w:val="56"/>
                          <w:szCs w:val="56"/>
                        </w:rPr>
                      </w:pPr>
                      <w:r>
                        <w:rPr>
                          <w:rFonts w:eastAsia="Kozuka Gothic Pro R"/>
                          <w:sz w:val="56"/>
                          <w:szCs w:val="56"/>
                        </w:rPr>
                        <w:t>Independent a</w:t>
                      </w:r>
                      <w:r w:rsidRPr="00533605">
                        <w:rPr>
                          <w:rFonts w:eastAsia="Kozuka Gothic Pro R"/>
                          <w:sz w:val="56"/>
                          <w:szCs w:val="56"/>
                        </w:rPr>
                        <w:t>ssessment of</w:t>
                      </w:r>
                    </w:p>
                    <w:p w14:paraId="57620CF4" w14:textId="3D5A77C3" w:rsidR="008B5998" w:rsidRDefault="008B5998" w:rsidP="00C013A1">
                      <w:pPr>
                        <w:spacing w:after="240" w:line="240" w:lineRule="auto"/>
                        <w:contextualSpacing/>
                        <w:jc w:val="center"/>
                        <w:rPr>
                          <w:rFonts w:eastAsia="Kozuka Gothic Pro R"/>
                          <w:sz w:val="56"/>
                          <w:szCs w:val="56"/>
                        </w:rPr>
                      </w:pPr>
                      <w:proofErr w:type="gramStart"/>
                      <w:r w:rsidRPr="00533605">
                        <w:rPr>
                          <w:rFonts w:eastAsia="Kozuka Gothic Pro R"/>
                          <w:sz w:val="56"/>
                          <w:szCs w:val="56"/>
                        </w:rPr>
                        <w:t>management</w:t>
                      </w:r>
                      <w:proofErr w:type="gramEnd"/>
                      <w:r w:rsidRPr="00533605">
                        <w:rPr>
                          <w:rFonts w:eastAsia="Kozuka Gothic Pro R"/>
                          <w:sz w:val="56"/>
                          <w:szCs w:val="56"/>
                        </w:rPr>
                        <w:t xml:space="preserve"> effectiveness for the</w:t>
                      </w:r>
                    </w:p>
                    <w:p w14:paraId="52B13ADF" w14:textId="1555F00D" w:rsidR="008B5998" w:rsidRDefault="008B5998" w:rsidP="003D1424">
                      <w:pPr>
                        <w:spacing w:after="240" w:line="240" w:lineRule="auto"/>
                        <w:contextualSpacing/>
                        <w:rPr>
                          <w:rFonts w:eastAsia="Kozuka Gothic Pro R"/>
                          <w:sz w:val="56"/>
                          <w:szCs w:val="56"/>
                        </w:rPr>
                      </w:pPr>
                    </w:p>
                    <w:p w14:paraId="40A4C50D" w14:textId="77777777" w:rsidR="008B5998" w:rsidRPr="003D1424" w:rsidRDefault="008B5998" w:rsidP="003D1424">
                      <w:pPr>
                        <w:spacing w:after="100" w:afterAutospacing="1" w:line="240" w:lineRule="auto"/>
                        <w:contextualSpacing/>
                        <w:jc w:val="center"/>
                        <w:rPr>
                          <w:rFonts w:eastAsia="Kozuka Gothic Pro R"/>
                          <w:color w:val="F15F4C"/>
                          <w:sz w:val="56"/>
                          <w:szCs w:val="56"/>
                        </w:rPr>
                      </w:pPr>
                      <w:r w:rsidRPr="003D1424">
                        <w:rPr>
                          <w:rFonts w:eastAsia="Kozuka Gothic Pro R"/>
                          <w:color w:val="F15F4C"/>
                          <w:sz w:val="56"/>
                          <w:szCs w:val="56"/>
                        </w:rPr>
                        <w:t>Great Barrier Reef</w:t>
                      </w:r>
                    </w:p>
                    <w:p w14:paraId="0C2860F0" w14:textId="77777777" w:rsidR="008B5998" w:rsidRPr="00AD61AA" w:rsidRDefault="008B5998" w:rsidP="003D1424">
                      <w:pPr>
                        <w:spacing w:after="0" w:line="240" w:lineRule="auto"/>
                        <w:jc w:val="center"/>
                        <w:rPr>
                          <w:rFonts w:eastAsia="Kozuka Gothic Pro EL"/>
                          <w:b/>
                          <w:color w:val="F15F4C"/>
                          <w:sz w:val="96"/>
                          <w:szCs w:val="96"/>
                        </w:rPr>
                      </w:pPr>
                      <w:r w:rsidRPr="00AD61AA">
                        <w:rPr>
                          <w:rFonts w:eastAsia="Kozuka Gothic Pro EL"/>
                          <w:b/>
                          <w:color w:val="F15F4C"/>
                          <w:sz w:val="96"/>
                          <w:szCs w:val="96"/>
                        </w:rPr>
                        <w:t>Outlook Report</w:t>
                      </w:r>
                    </w:p>
                    <w:p w14:paraId="041B892B" w14:textId="77777777" w:rsidR="008B5998" w:rsidRPr="00AD61AA" w:rsidRDefault="008B5998" w:rsidP="003D1424">
                      <w:pPr>
                        <w:ind w:hanging="567"/>
                        <w:jc w:val="center"/>
                        <w:rPr>
                          <w:rFonts w:eastAsia="Kozuka Gothic Pro R"/>
                          <w:b/>
                          <w:color w:val="F15F4C"/>
                          <w:sz w:val="96"/>
                          <w:szCs w:val="96"/>
                        </w:rPr>
                      </w:pPr>
                      <w:r w:rsidRPr="00AD61AA">
                        <w:rPr>
                          <w:rFonts w:eastAsia="Kozuka Gothic Pro R"/>
                          <w:b/>
                          <w:color w:val="F15F4C"/>
                          <w:sz w:val="96"/>
                          <w:szCs w:val="96"/>
                        </w:rPr>
                        <w:t>2019</w:t>
                      </w:r>
                    </w:p>
                    <w:p w14:paraId="57620CF8" w14:textId="77777777" w:rsidR="008B5998" w:rsidRDefault="008B5998" w:rsidP="00BB6AD5"/>
                  </w:txbxContent>
                </v:textbox>
                <w10:wrap anchorx="margin"/>
              </v:shape>
            </w:pict>
          </mc:Fallback>
        </mc:AlternateContent>
      </w:r>
      <w:r w:rsidR="00A56EE9" w:rsidRPr="001B5C49">
        <w:rPr>
          <w:rFonts w:ascii="Helvetica" w:hAnsi="Helvetica" w:cs="Times New Roman"/>
          <w:b/>
          <w:noProof/>
          <w:color w:val="FFFFFF" w:themeColor="background1"/>
          <w:lang w:eastAsia="en-AU"/>
        </w:rPr>
        <mc:AlternateContent>
          <mc:Choice Requires="wps">
            <w:drawing>
              <wp:inline distT="0" distB="0" distL="0" distR="0" wp14:anchorId="57620C3E" wp14:editId="2DA19016">
                <wp:extent cx="1762125" cy="0"/>
                <wp:effectExtent l="0" t="0" r="9525" b="19050"/>
                <wp:docPr id="26" name="Straight Connector 26" descr="Straight line connector" title="Connector"/>
                <wp:cNvGraphicFramePr/>
                <a:graphic xmlns:a="http://schemas.openxmlformats.org/drawingml/2006/main">
                  <a:graphicData uri="http://schemas.microsoft.com/office/word/2010/wordprocessingShape">
                    <wps:wsp>
                      <wps:cNvCnPr/>
                      <wps:spPr>
                        <a:xfrm>
                          <a:off x="0" y="0"/>
                          <a:ext cx="1762125" cy="0"/>
                        </a:xfrm>
                        <a:prstGeom prst="line">
                          <a:avLst/>
                        </a:prstGeom>
                        <a:noFill/>
                        <a:ln w="9525" cap="flat" cmpd="sng" algn="ctr">
                          <a:solidFill>
                            <a:sysClr val="windowText" lastClr="000000"/>
                          </a:solidFill>
                          <a:prstDash val="solid"/>
                        </a:ln>
                        <a:effectLst/>
                      </wps:spPr>
                      <wps:bodyPr/>
                    </wps:wsp>
                  </a:graphicData>
                </a:graphic>
              </wp:inline>
            </w:drawing>
          </mc:Choice>
          <mc:Fallback xmlns:w16se="http://schemas.microsoft.com/office/word/2015/wordml/symex" xmlns:cx1="http://schemas.microsoft.com/office/drawing/2015/9/8/chartex" xmlns:cx="http://schemas.microsoft.com/office/drawing/2014/chartex">
            <w:pict>
              <v:line w14:anchorId="40C29A7D" id="Straight Connector 26" o:spid="_x0000_s1026" alt="Title: Connector - Description: Straight line connector" style="visibility:visible;mso-wrap-style:square;mso-left-percent:-10001;mso-top-percent:-10001;mso-position-horizontal:absolute;mso-position-horizontal-relative:char;mso-position-vertical:absolute;mso-position-vertical-relative:line;mso-left-percent:-10001;mso-top-percent:-10001" from="0,0" to="138.7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" strokecolor="windowText">
                <w10:anchorlock/>
              </v:line>
            </w:pict>
          </mc:Fallback>
        </mc:AlternateContent>
      </w:r>
    </w:p>
    <w:p w14:paraId="5761CECE" w14:textId="1B646E3C" w:rsidR="00A56EE9" w:rsidRPr="001B5C49" w:rsidRDefault="00A56EE9" w:rsidP="00BB6AD5">
      <w:pPr>
        <w:spacing w:after="0" w:line="240" w:lineRule="auto"/>
        <w:jc w:val="center"/>
        <w:rPr>
          <w:rFonts w:ascii="Helvetica" w:hAnsi="Helvetica" w:cs="Times New Roman"/>
        </w:rPr>
      </w:pPr>
    </w:p>
    <w:p w14:paraId="5761CECF" w14:textId="77777777" w:rsidR="00A56EE9" w:rsidRPr="001B5C49" w:rsidRDefault="00A56EE9" w:rsidP="00BB6AD5">
      <w:pPr>
        <w:spacing w:after="0" w:line="240" w:lineRule="auto"/>
        <w:jc w:val="center"/>
        <w:rPr>
          <w:rFonts w:ascii="Helvetica" w:hAnsi="Helvetica" w:cs="Times New Roman"/>
        </w:rPr>
      </w:pPr>
    </w:p>
    <w:p w14:paraId="5761CED0" w14:textId="77777777" w:rsidR="00A56EE9" w:rsidRPr="001B5C49" w:rsidRDefault="00A56EE9" w:rsidP="00BB6AD5">
      <w:pPr>
        <w:spacing w:after="0" w:line="240" w:lineRule="auto"/>
        <w:jc w:val="center"/>
        <w:rPr>
          <w:rFonts w:ascii="Helvetica" w:hAnsi="Helvetica" w:cs="Times New Roman"/>
        </w:rPr>
      </w:pPr>
    </w:p>
    <w:p w14:paraId="5761CED1" w14:textId="77777777" w:rsidR="00A56EE9" w:rsidRPr="001B5C49" w:rsidRDefault="00A56EE9" w:rsidP="00BB6AD5">
      <w:pPr>
        <w:spacing w:after="0" w:line="240" w:lineRule="auto"/>
        <w:jc w:val="center"/>
        <w:rPr>
          <w:rFonts w:ascii="Helvetica" w:hAnsi="Helvetica" w:cs="Times New Roman"/>
        </w:rPr>
      </w:pPr>
    </w:p>
    <w:p w14:paraId="5761CED2" w14:textId="77777777" w:rsidR="00A56EE9" w:rsidRPr="001B5C49" w:rsidRDefault="00A56EE9" w:rsidP="00BB6AD5">
      <w:pPr>
        <w:spacing w:after="0" w:line="240" w:lineRule="auto"/>
        <w:jc w:val="center"/>
        <w:rPr>
          <w:rFonts w:ascii="Helvetica" w:hAnsi="Helvetica" w:cs="Times New Roman"/>
        </w:rPr>
      </w:pPr>
    </w:p>
    <w:p w14:paraId="5761CED3" w14:textId="77777777" w:rsidR="00A56EE9" w:rsidRPr="001B5C49" w:rsidRDefault="00A56EE9" w:rsidP="00BB6AD5">
      <w:pPr>
        <w:spacing w:after="0" w:line="240" w:lineRule="auto"/>
        <w:jc w:val="center"/>
        <w:rPr>
          <w:rFonts w:ascii="Helvetica" w:hAnsi="Helvetica" w:cs="Times New Roman"/>
        </w:rPr>
      </w:pPr>
    </w:p>
    <w:p w14:paraId="5761CED4" w14:textId="77777777" w:rsidR="00A56EE9" w:rsidRPr="001B5C49" w:rsidRDefault="00A56EE9" w:rsidP="00BB6AD5">
      <w:pPr>
        <w:spacing w:after="0" w:line="240" w:lineRule="auto"/>
        <w:jc w:val="center"/>
        <w:rPr>
          <w:rFonts w:ascii="Helvetica" w:hAnsi="Helvetica" w:cs="Times New Roman"/>
        </w:rPr>
      </w:pPr>
    </w:p>
    <w:p w14:paraId="5761CED5" w14:textId="77777777" w:rsidR="00A56EE9" w:rsidRPr="001B5C49" w:rsidRDefault="00A56EE9" w:rsidP="00BB6AD5">
      <w:pPr>
        <w:spacing w:after="0" w:line="240" w:lineRule="auto"/>
        <w:jc w:val="center"/>
        <w:rPr>
          <w:rFonts w:ascii="Helvetica" w:hAnsi="Helvetica" w:cs="Times New Roman"/>
        </w:rPr>
      </w:pPr>
    </w:p>
    <w:p w14:paraId="5761CED6" w14:textId="77777777" w:rsidR="00A56EE9" w:rsidRPr="001B5C49" w:rsidRDefault="00A56EE9" w:rsidP="00BB6AD5">
      <w:pPr>
        <w:spacing w:after="0" w:line="240" w:lineRule="auto"/>
        <w:jc w:val="center"/>
        <w:rPr>
          <w:rFonts w:ascii="Helvetica" w:hAnsi="Helvetica" w:cs="Times New Roman"/>
        </w:rPr>
      </w:pPr>
    </w:p>
    <w:p w14:paraId="5761CED7" w14:textId="77777777" w:rsidR="00A56EE9" w:rsidRPr="001B5C49" w:rsidRDefault="00A56EE9" w:rsidP="00BB6AD5">
      <w:pPr>
        <w:spacing w:after="0" w:line="240" w:lineRule="auto"/>
        <w:jc w:val="center"/>
        <w:rPr>
          <w:rFonts w:ascii="Helvetica" w:hAnsi="Helvetica" w:cs="Times New Roman"/>
        </w:rPr>
      </w:pPr>
    </w:p>
    <w:p w14:paraId="5761CED8" w14:textId="77777777" w:rsidR="00A56EE9" w:rsidRPr="001B5C49" w:rsidRDefault="00A56EE9" w:rsidP="00BB6AD5">
      <w:pPr>
        <w:spacing w:after="0" w:line="240" w:lineRule="auto"/>
        <w:jc w:val="center"/>
        <w:rPr>
          <w:rFonts w:ascii="Helvetica" w:hAnsi="Helvetica" w:cs="Times New Roman"/>
        </w:rPr>
      </w:pPr>
    </w:p>
    <w:p w14:paraId="5761CED9" w14:textId="77777777" w:rsidR="00A56EE9" w:rsidRPr="001B5C49" w:rsidRDefault="00A56EE9" w:rsidP="00BB6AD5">
      <w:pPr>
        <w:spacing w:after="0" w:line="240" w:lineRule="auto"/>
        <w:jc w:val="center"/>
        <w:rPr>
          <w:rFonts w:ascii="Helvetica" w:hAnsi="Helvetica" w:cs="Times New Roman"/>
        </w:rPr>
      </w:pPr>
    </w:p>
    <w:p w14:paraId="5761CEDA" w14:textId="77777777" w:rsidR="00A56EE9" w:rsidRPr="001B5C49" w:rsidRDefault="00A56EE9" w:rsidP="00BB6AD5">
      <w:pPr>
        <w:spacing w:after="0" w:line="240" w:lineRule="auto"/>
        <w:jc w:val="center"/>
        <w:rPr>
          <w:rFonts w:ascii="Helvetica" w:hAnsi="Helvetica" w:cs="Times New Roman"/>
        </w:rPr>
      </w:pPr>
    </w:p>
    <w:p w14:paraId="5761CEDB" w14:textId="77777777" w:rsidR="00A56EE9" w:rsidRPr="001B5C49" w:rsidRDefault="00A56EE9" w:rsidP="00BB6AD5">
      <w:pPr>
        <w:spacing w:after="0" w:line="240" w:lineRule="auto"/>
        <w:jc w:val="center"/>
        <w:rPr>
          <w:rFonts w:ascii="Helvetica" w:hAnsi="Helvetica" w:cs="Times New Roman"/>
        </w:rPr>
      </w:pPr>
    </w:p>
    <w:p w14:paraId="5761CEDC" w14:textId="77777777" w:rsidR="00A56EE9" w:rsidRPr="001B5C49" w:rsidRDefault="00A56EE9" w:rsidP="00BB6AD5">
      <w:pPr>
        <w:spacing w:after="0" w:line="240" w:lineRule="auto"/>
        <w:jc w:val="center"/>
        <w:rPr>
          <w:rFonts w:ascii="Helvetica" w:hAnsi="Helvetica" w:cs="Times New Roman"/>
        </w:rPr>
      </w:pPr>
    </w:p>
    <w:p w14:paraId="5761CEDD" w14:textId="77777777" w:rsidR="00A56EE9" w:rsidRPr="001B5C49" w:rsidRDefault="00A56EE9" w:rsidP="00BB6AD5">
      <w:pPr>
        <w:spacing w:after="0" w:line="240" w:lineRule="auto"/>
        <w:jc w:val="center"/>
        <w:rPr>
          <w:rFonts w:ascii="Helvetica" w:hAnsi="Helvetica" w:cs="Times New Roman"/>
        </w:rPr>
      </w:pPr>
    </w:p>
    <w:p w14:paraId="5761CEDE" w14:textId="77777777" w:rsidR="00A56EE9" w:rsidRPr="001B5C49" w:rsidRDefault="00A56EE9" w:rsidP="00BB6AD5">
      <w:pPr>
        <w:spacing w:after="0" w:line="240" w:lineRule="auto"/>
        <w:jc w:val="center"/>
        <w:rPr>
          <w:rFonts w:ascii="Helvetica" w:hAnsi="Helvetica" w:cs="Times New Roman"/>
        </w:rPr>
      </w:pPr>
    </w:p>
    <w:p w14:paraId="5761CEDF" w14:textId="77777777" w:rsidR="00A56EE9" w:rsidRPr="001B5C49" w:rsidRDefault="00A56EE9" w:rsidP="00BB6AD5">
      <w:pPr>
        <w:spacing w:after="0" w:line="240" w:lineRule="auto"/>
        <w:jc w:val="center"/>
        <w:rPr>
          <w:rFonts w:ascii="Helvetica" w:hAnsi="Helvetica" w:cs="Times New Roman"/>
        </w:rPr>
      </w:pPr>
    </w:p>
    <w:p w14:paraId="5761CEE0" w14:textId="77777777" w:rsidR="00A56EE9" w:rsidRPr="001B5C49" w:rsidRDefault="00A56EE9" w:rsidP="00BB6AD5">
      <w:pPr>
        <w:spacing w:after="0" w:line="240" w:lineRule="auto"/>
        <w:jc w:val="center"/>
        <w:rPr>
          <w:rFonts w:ascii="Helvetica" w:hAnsi="Helvetica" w:cs="Times New Roman"/>
        </w:rPr>
      </w:pPr>
    </w:p>
    <w:p w14:paraId="5761CEE1" w14:textId="77777777" w:rsidR="00A56EE9" w:rsidRPr="001B5C49" w:rsidRDefault="00A56EE9" w:rsidP="00BB6AD5">
      <w:pPr>
        <w:spacing w:after="0" w:line="240" w:lineRule="auto"/>
        <w:jc w:val="center"/>
        <w:rPr>
          <w:rFonts w:ascii="Helvetica" w:hAnsi="Helvetica" w:cs="Times New Roman"/>
        </w:rPr>
      </w:pPr>
      <w:r w:rsidRPr="001B5C49">
        <w:rPr>
          <w:rFonts w:ascii="Helvetica" w:hAnsi="Helvetica" w:cs="Times New Roman"/>
          <w:b/>
          <w:noProof/>
          <w:color w:val="FFFFFF" w:themeColor="background1"/>
          <w:lang w:eastAsia="en-AU"/>
        </w:rPr>
        <mc:AlternateContent>
          <mc:Choice Requires="wps">
            <w:drawing>
              <wp:inline distT="0" distB="0" distL="0" distR="0" wp14:anchorId="57620C40" wp14:editId="57620C41">
                <wp:extent cx="1762125" cy="0"/>
                <wp:effectExtent l="0" t="0" r="9525" b="19050"/>
                <wp:docPr id="27" name="Straight Connector 27" descr="Straight line connector" title="Connector"/>
                <wp:cNvGraphicFramePr/>
                <a:graphic xmlns:a="http://schemas.openxmlformats.org/drawingml/2006/main">
                  <a:graphicData uri="http://schemas.microsoft.com/office/word/2010/wordprocessingShape">
                    <wps:wsp>
                      <wps:cNvCnPr/>
                      <wps:spPr>
                        <a:xfrm>
                          <a:off x="0" y="0"/>
                          <a:ext cx="1762125" cy="0"/>
                        </a:xfrm>
                        <a:prstGeom prst="line">
                          <a:avLst/>
                        </a:prstGeom>
                        <a:noFill/>
                        <a:ln w="9525" cap="flat" cmpd="sng" algn="ctr">
                          <a:solidFill>
                            <a:srgbClr val="4BACC6">
                              <a:lumMod val="50000"/>
                            </a:srgbClr>
                          </a:solidFill>
                          <a:prstDash val="solid"/>
                        </a:ln>
                        <a:effectLst/>
                      </wps:spPr>
                      <wps:bodyPr/>
                    </wps:wsp>
                  </a:graphicData>
                </a:graphic>
              </wp:inline>
            </w:drawing>
          </mc:Choice>
          <mc:Fallback xmlns:w16se="http://schemas.microsoft.com/office/word/2015/wordml/symex" xmlns:cx1="http://schemas.microsoft.com/office/drawing/2015/9/8/chartex" xmlns:cx="http://schemas.microsoft.com/office/drawing/2014/chartex">
            <w:pict>
              <v:line w14:anchorId="6CF02444" id="Straight Connector 27" o:spid="_x0000_s1026" alt="Title: Connector - Description: Straight line connector" style="visibility:visible;mso-wrap-style:square;mso-left-percent:-10001;mso-top-percent:-10001;mso-position-horizontal:absolute;mso-position-horizontal-relative:char;mso-position-vertical:absolute;mso-position-vertical-relative:line;mso-left-percent:-10001;mso-top-percent:-10001" from="0,0" to="138.7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" strokecolor="#215968">
                <w10:anchorlock/>
              </v:line>
            </w:pict>
          </mc:Fallback>
        </mc:AlternateContent>
      </w:r>
    </w:p>
    <w:p w14:paraId="5761CEE2" w14:textId="77777777" w:rsidR="00A56EE9" w:rsidRPr="001B5C49" w:rsidRDefault="00A56EE9" w:rsidP="00BB6AD5">
      <w:pPr>
        <w:spacing w:after="0" w:line="240" w:lineRule="auto"/>
        <w:jc w:val="center"/>
        <w:rPr>
          <w:rFonts w:ascii="Helvetica" w:hAnsi="Helvetica" w:cs="Times New Roman"/>
        </w:rPr>
      </w:pPr>
    </w:p>
    <w:p w14:paraId="5761CEE3" w14:textId="4CA3B2CE" w:rsidR="00A56EE9" w:rsidRPr="001B5C49" w:rsidRDefault="00A56EE9" w:rsidP="00BB6AD5">
      <w:pPr>
        <w:spacing w:after="0" w:line="240" w:lineRule="auto"/>
        <w:jc w:val="center"/>
        <w:rPr>
          <w:rFonts w:ascii="Helvetica" w:hAnsi="Helvetica" w:cs="Times New Roman"/>
        </w:rPr>
      </w:pPr>
      <w:r w:rsidRPr="001B5C49">
        <w:rPr>
          <w:rFonts w:ascii="Helvetica" w:hAnsi="Helvetica" w:cs="Segoe UI"/>
          <w:b/>
          <w:noProof/>
          <w:color w:val="FFFFFF" w:themeColor="background1"/>
          <w:sz w:val="28"/>
          <w:szCs w:val="28"/>
          <w:lang w:eastAsia="en-AU"/>
        </w:rPr>
        <mc:AlternateContent>
          <mc:Choice Requires="wps">
            <w:drawing>
              <wp:anchor distT="0" distB="0" distL="114300" distR="114300" simplePos="0" relativeHeight="251708416" behindDoc="0" locked="0" layoutInCell="1" allowOverlap="1" wp14:anchorId="57620C42" wp14:editId="7503355A">
                <wp:simplePos x="0" y="0"/>
                <wp:positionH relativeFrom="page">
                  <wp:posOffset>419100</wp:posOffset>
                </wp:positionH>
                <wp:positionV relativeFrom="paragraph">
                  <wp:posOffset>153035</wp:posOffset>
                </wp:positionV>
                <wp:extent cx="6721434" cy="1295400"/>
                <wp:effectExtent l="0" t="0" r="381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1434" cy="1295400"/>
                        </a:xfrm>
                        <a:prstGeom prst="rect">
                          <a:avLst/>
                        </a:prstGeom>
                        <a:solidFill>
                          <a:srgbClr val="FFFFFF"/>
                        </a:solidFill>
                        <a:ln w="9525">
                          <a:noFill/>
                          <a:miter lim="800000"/>
                          <a:headEnd/>
                          <a:tailEnd/>
                        </a:ln>
                      </wps:spPr>
                      <wps:txbx>
                        <w:txbxContent>
                          <w:p w14:paraId="305B3086" w14:textId="77777777" w:rsidR="008B5998" w:rsidRPr="007D0D95" w:rsidRDefault="008B5998" w:rsidP="007D0D95">
                            <w:pPr>
                              <w:spacing w:after="0" w:line="360" w:lineRule="auto"/>
                              <w:jc w:val="center"/>
                              <w:rPr>
                                <w:rFonts w:ascii="Helvetica" w:hAnsi="Helvetica" w:cs="Segoe UI"/>
                                <w:b/>
                                <w:sz w:val="28"/>
                                <w:szCs w:val="28"/>
                              </w:rPr>
                            </w:pPr>
                            <w:r w:rsidRPr="007D0D95">
                              <w:rPr>
                                <w:rFonts w:ascii="Helvetica" w:hAnsi="Helvetica" w:cs="Segoe UI"/>
                                <w:b/>
                                <w:sz w:val="28"/>
                                <w:szCs w:val="28"/>
                              </w:rPr>
                              <w:t>Report prepared by:</w:t>
                            </w:r>
                          </w:p>
                          <w:p w14:paraId="35614D83" w14:textId="77777777" w:rsidR="008B5998" w:rsidRPr="007D0D95" w:rsidRDefault="008B5998" w:rsidP="007D0D95">
                            <w:pPr>
                              <w:spacing w:after="0" w:line="360" w:lineRule="auto"/>
                              <w:jc w:val="center"/>
                              <w:rPr>
                                <w:rFonts w:ascii="Helvetica" w:hAnsi="Helvetica" w:cs="Segoe UI"/>
                                <w:sz w:val="24"/>
                                <w:szCs w:val="24"/>
                              </w:rPr>
                            </w:pPr>
                            <w:r w:rsidRPr="007D0D95">
                              <w:rPr>
                                <w:rFonts w:ascii="Helvetica" w:hAnsi="Helvetica" w:cs="Segoe UI"/>
                                <w:sz w:val="24"/>
                                <w:szCs w:val="24"/>
                              </w:rPr>
                              <w:t>Andrea Leverington</w:t>
                            </w:r>
                            <w:r w:rsidRPr="007D0D95">
                              <w:rPr>
                                <w:rFonts w:ascii="Helvetica" w:hAnsi="Helvetica" w:cs="Segoe UI"/>
                                <w:sz w:val="24"/>
                                <w:szCs w:val="24"/>
                                <w:vertAlign w:val="superscript"/>
                              </w:rPr>
                              <w:t>1</w:t>
                            </w:r>
                            <w:r w:rsidRPr="007D0D95">
                              <w:rPr>
                                <w:rFonts w:ascii="Helvetica" w:hAnsi="Helvetica" w:cs="Segoe UI"/>
                                <w:sz w:val="24"/>
                                <w:szCs w:val="24"/>
                              </w:rPr>
                              <w:t>, Marc Hockings</w:t>
                            </w:r>
                            <w:r w:rsidRPr="007D0D95">
                              <w:rPr>
                                <w:rFonts w:ascii="Helvetica" w:hAnsi="Helvetica" w:cs="Segoe UI"/>
                                <w:sz w:val="24"/>
                                <w:szCs w:val="24"/>
                                <w:vertAlign w:val="superscript"/>
                              </w:rPr>
                              <w:t>1</w:t>
                            </w:r>
                            <w:r w:rsidRPr="007D0D95">
                              <w:rPr>
                                <w:rFonts w:ascii="Helvetica" w:hAnsi="Helvetica" w:cs="Segoe UI"/>
                                <w:sz w:val="24"/>
                                <w:szCs w:val="24"/>
                              </w:rPr>
                              <w:t>, Fiona Leverington</w:t>
                            </w:r>
                            <w:r w:rsidRPr="007D0D95">
                              <w:rPr>
                                <w:rFonts w:ascii="Helvetica" w:hAnsi="Helvetica" w:cs="Segoe UI"/>
                                <w:sz w:val="24"/>
                                <w:szCs w:val="24"/>
                                <w:vertAlign w:val="superscript"/>
                              </w:rPr>
                              <w:t>1</w:t>
                            </w:r>
                            <w:r w:rsidRPr="007D0D95">
                              <w:rPr>
                                <w:rFonts w:ascii="Helvetica" w:hAnsi="Helvetica" w:cs="Segoe UI"/>
                                <w:sz w:val="24"/>
                                <w:szCs w:val="24"/>
                              </w:rPr>
                              <w:t>, Colin Trinder</w:t>
                            </w:r>
                            <w:r w:rsidRPr="007D0D95">
                              <w:rPr>
                                <w:rFonts w:ascii="Helvetica" w:hAnsi="Helvetica" w:cs="Segoe UI"/>
                                <w:sz w:val="24"/>
                                <w:szCs w:val="24"/>
                                <w:vertAlign w:val="superscript"/>
                              </w:rPr>
                              <w:t>2</w:t>
                            </w:r>
                            <w:r w:rsidRPr="007D0D95">
                              <w:rPr>
                                <w:rFonts w:ascii="Helvetica" w:hAnsi="Helvetica" w:cs="Segoe UI"/>
                                <w:sz w:val="24"/>
                                <w:szCs w:val="24"/>
                              </w:rPr>
                              <w:t xml:space="preserve"> and John Polglaze</w:t>
                            </w:r>
                            <w:r w:rsidRPr="007D0D95">
                              <w:rPr>
                                <w:rFonts w:ascii="Helvetica" w:hAnsi="Helvetica" w:cs="Segoe UI"/>
                                <w:sz w:val="24"/>
                                <w:szCs w:val="24"/>
                                <w:vertAlign w:val="superscript"/>
                              </w:rPr>
                              <w:t>2</w:t>
                            </w:r>
                          </w:p>
                          <w:p w14:paraId="70E76358" w14:textId="77777777" w:rsidR="008B5998" w:rsidRPr="007D0D95" w:rsidRDefault="008B5998" w:rsidP="007D0D95">
                            <w:pPr>
                              <w:spacing w:after="0" w:line="360" w:lineRule="auto"/>
                              <w:jc w:val="center"/>
                              <w:rPr>
                                <w:rFonts w:ascii="Helvetica" w:hAnsi="Helvetica" w:cs="Segoe UI"/>
                                <w:b/>
                                <w:sz w:val="28"/>
                                <w:szCs w:val="28"/>
                              </w:rPr>
                            </w:pPr>
                            <w:proofErr w:type="gramStart"/>
                            <w:r w:rsidRPr="007D0D95">
                              <w:rPr>
                                <w:rFonts w:ascii="Helvetica" w:hAnsi="Helvetica" w:cs="Segoe UI"/>
                                <w:b/>
                                <w:sz w:val="28"/>
                                <w:szCs w:val="28"/>
                              </w:rPr>
                              <w:t>for</w:t>
                            </w:r>
                            <w:proofErr w:type="gramEnd"/>
                            <w:r w:rsidRPr="007D0D95">
                              <w:rPr>
                                <w:rFonts w:ascii="Helvetica" w:hAnsi="Helvetica" w:cs="Segoe UI"/>
                                <w:b/>
                                <w:sz w:val="28"/>
                                <w:szCs w:val="28"/>
                              </w:rPr>
                              <w:t xml:space="preserve"> the</w:t>
                            </w:r>
                          </w:p>
                          <w:p w14:paraId="77DB0F1E" w14:textId="77777777" w:rsidR="008B5998" w:rsidRPr="007D0D95" w:rsidRDefault="008B5998" w:rsidP="007D0D95">
                            <w:pPr>
                              <w:spacing w:after="0" w:line="360" w:lineRule="auto"/>
                              <w:jc w:val="center"/>
                              <w:rPr>
                                <w:rFonts w:ascii="Helvetica" w:hAnsi="Helvetica" w:cs="Segoe UI"/>
                                <w:b/>
                                <w:sz w:val="28"/>
                                <w:szCs w:val="28"/>
                              </w:rPr>
                            </w:pPr>
                            <w:r w:rsidRPr="007D0D95">
                              <w:rPr>
                                <w:rFonts w:ascii="Helvetica" w:hAnsi="Helvetica" w:cs="Segoe UI"/>
                                <w:i/>
                                <w:sz w:val="28"/>
                                <w:szCs w:val="28"/>
                              </w:rPr>
                              <w:t>Great Barrier Reef Marine Park Authority</w:t>
                            </w:r>
                          </w:p>
                          <w:p w14:paraId="57620CFD" w14:textId="77777777" w:rsidR="008B5998" w:rsidRPr="00564969" w:rsidRDefault="008B5998" w:rsidP="00C013A1">
                            <w:pPr>
                              <w:ind w:left="-1134"/>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620C42" id="_x0000_s1029" type="#_x0000_t202" style="position:absolute;left:0;text-align:left;margin-left:33pt;margin-top:12.05pt;width:529.25pt;height:102pt;z-index:251708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" stroked="f">
                <v:textbox>
                  <w:txbxContent>
                    <w:p w14:paraId="305B3086" w14:textId="77777777" w:rsidR="008B5998" w:rsidRPr="007D0D95" w:rsidRDefault="008B5998" w:rsidP="007D0D95">
                      <w:pPr>
                        <w:spacing w:after="0" w:line="360" w:lineRule="auto"/>
                        <w:jc w:val="center"/>
                        <w:rPr>
                          <w:rFonts w:ascii="Helvetica" w:hAnsi="Helvetica" w:cs="Segoe UI"/>
                          <w:b/>
                          <w:sz w:val="28"/>
                          <w:szCs w:val="28"/>
                        </w:rPr>
                      </w:pPr>
                      <w:r w:rsidRPr="007D0D95">
                        <w:rPr>
                          <w:rFonts w:ascii="Helvetica" w:hAnsi="Helvetica" w:cs="Segoe UI"/>
                          <w:b/>
                          <w:sz w:val="28"/>
                          <w:szCs w:val="28"/>
                        </w:rPr>
                        <w:t>Report prepared by:</w:t>
                      </w:r>
                    </w:p>
                    <w:p w14:paraId="35614D83" w14:textId="77777777" w:rsidR="008B5998" w:rsidRPr="007D0D95" w:rsidRDefault="008B5998" w:rsidP="007D0D95">
                      <w:pPr>
                        <w:spacing w:after="0" w:line="360" w:lineRule="auto"/>
                        <w:jc w:val="center"/>
                        <w:rPr>
                          <w:rFonts w:ascii="Helvetica" w:hAnsi="Helvetica" w:cs="Segoe UI"/>
                          <w:sz w:val="24"/>
                          <w:szCs w:val="24"/>
                        </w:rPr>
                      </w:pPr>
                      <w:r w:rsidRPr="007D0D95">
                        <w:rPr>
                          <w:rFonts w:ascii="Helvetica" w:hAnsi="Helvetica" w:cs="Segoe UI"/>
                          <w:sz w:val="24"/>
                          <w:szCs w:val="24"/>
                        </w:rPr>
                        <w:t>Andrea Leverington</w:t>
                      </w:r>
                      <w:r w:rsidRPr="007D0D95">
                        <w:rPr>
                          <w:rFonts w:ascii="Helvetica" w:hAnsi="Helvetica" w:cs="Segoe UI"/>
                          <w:sz w:val="24"/>
                          <w:szCs w:val="24"/>
                          <w:vertAlign w:val="superscript"/>
                        </w:rPr>
                        <w:t>1</w:t>
                      </w:r>
                      <w:r w:rsidRPr="007D0D95">
                        <w:rPr>
                          <w:rFonts w:ascii="Helvetica" w:hAnsi="Helvetica" w:cs="Segoe UI"/>
                          <w:sz w:val="24"/>
                          <w:szCs w:val="24"/>
                        </w:rPr>
                        <w:t>, Marc Hockings</w:t>
                      </w:r>
                      <w:r w:rsidRPr="007D0D95">
                        <w:rPr>
                          <w:rFonts w:ascii="Helvetica" w:hAnsi="Helvetica" w:cs="Segoe UI"/>
                          <w:sz w:val="24"/>
                          <w:szCs w:val="24"/>
                          <w:vertAlign w:val="superscript"/>
                        </w:rPr>
                        <w:t>1</w:t>
                      </w:r>
                      <w:r w:rsidRPr="007D0D95">
                        <w:rPr>
                          <w:rFonts w:ascii="Helvetica" w:hAnsi="Helvetica" w:cs="Segoe UI"/>
                          <w:sz w:val="24"/>
                          <w:szCs w:val="24"/>
                        </w:rPr>
                        <w:t>, Fiona Leverington</w:t>
                      </w:r>
                      <w:r w:rsidRPr="007D0D95">
                        <w:rPr>
                          <w:rFonts w:ascii="Helvetica" w:hAnsi="Helvetica" w:cs="Segoe UI"/>
                          <w:sz w:val="24"/>
                          <w:szCs w:val="24"/>
                          <w:vertAlign w:val="superscript"/>
                        </w:rPr>
                        <w:t>1</w:t>
                      </w:r>
                      <w:r w:rsidRPr="007D0D95">
                        <w:rPr>
                          <w:rFonts w:ascii="Helvetica" w:hAnsi="Helvetica" w:cs="Segoe UI"/>
                          <w:sz w:val="24"/>
                          <w:szCs w:val="24"/>
                        </w:rPr>
                        <w:t>, Colin Trinder</w:t>
                      </w:r>
                      <w:r w:rsidRPr="007D0D95">
                        <w:rPr>
                          <w:rFonts w:ascii="Helvetica" w:hAnsi="Helvetica" w:cs="Segoe UI"/>
                          <w:sz w:val="24"/>
                          <w:szCs w:val="24"/>
                          <w:vertAlign w:val="superscript"/>
                        </w:rPr>
                        <w:t>2</w:t>
                      </w:r>
                      <w:r w:rsidRPr="007D0D95">
                        <w:rPr>
                          <w:rFonts w:ascii="Helvetica" w:hAnsi="Helvetica" w:cs="Segoe UI"/>
                          <w:sz w:val="24"/>
                          <w:szCs w:val="24"/>
                        </w:rPr>
                        <w:t xml:space="preserve"> and John Polglaze</w:t>
                      </w:r>
                      <w:r w:rsidRPr="007D0D95">
                        <w:rPr>
                          <w:rFonts w:ascii="Helvetica" w:hAnsi="Helvetica" w:cs="Segoe UI"/>
                          <w:sz w:val="24"/>
                          <w:szCs w:val="24"/>
                          <w:vertAlign w:val="superscript"/>
                        </w:rPr>
                        <w:t>2</w:t>
                      </w:r>
                    </w:p>
                    <w:p w14:paraId="70E76358" w14:textId="77777777" w:rsidR="008B5998" w:rsidRPr="007D0D95" w:rsidRDefault="008B5998" w:rsidP="007D0D95">
                      <w:pPr>
                        <w:spacing w:after="0" w:line="360" w:lineRule="auto"/>
                        <w:jc w:val="center"/>
                        <w:rPr>
                          <w:rFonts w:ascii="Helvetica" w:hAnsi="Helvetica" w:cs="Segoe UI"/>
                          <w:b/>
                          <w:sz w:val="28"/>
                          <w:szCs w:val="28"/>
                        </w:rPr>
                      </w:pPr>
                      <w:proofErr w:type="gramStart"/>
                      <w:r w:rsidRPr="007D0D95">
                        <w:rPr>
                          <w:rFonts w:ascii="Helvetica" w:hAnsi="Helvetica" w:cs="Segoe UI"/>
                          <w:b/>
                          <w:sz w:val="28"/>
                          <w:szCs w:val="28"/>
                        </w:rPr>
                        <w:t>for</w:t>
                      </w:r>
                      <w:proofErr w:type="gramEnd"/>
                      <w:r w:rsidRPr="007D0D95">
                        <w:rPr>
                          <w:rFonts w:ascii="Helvetica" w:hAnsi="Helvetica" w:cs="Segoe UI"/>
                          <w:b/>
                          <w:sz w:val="28"/>
                          <w:szCs w:val="28"/>
                        </w:rPr>
                        <w:t xml:space="preserve"> the</w:t>
                      </w:r>
                    </w:p>
                    <w:p w14:paraId="77DB0F1E" w14:textId="77777777" w:rsidR="008B5998" w:rsidRPr="007D0D95" w:rsidRDefault="008B5998" w:rsidP="007D0D95">
                      <w:pPr>
                        <w:spacing w:after="0" w:line="360" w:lineRule="auto"/>
                        <w:jc w:val="center"/>
                        <w:rPr>
                          <w:rFonts w:ascii="Helvetica" w:hAnsi="Helvetica" w:cs="Segoe UI"/>
                          <w:b/>
                          <w:sz w:val="28"/>
                          <w:szCs w:val="28"/>
                        </w:rPr>
                      </w:pPr>
                      <w:r w:rsidRPr="007D0D95">
                        <w:rPr>
                          <w:rFonts w:ascii="Helvetica" w:hAnsi="Helvetica" w:cs="Segoe UI"/>
                          <w:i/>
                          <w:sz w:val="28"/>
                          <w:szCs w:val="28"/>
                        </w:rPr>
                        <w:t>Great Barrier Reef Marine Park Authority</w:t>
                      </w:r>
                    </w:p>
                    <w:p w14:paraId="57620CFD" w14:textId="77777777" w:rsidR="008B5998" w:rsidRPr="00564969" w:rsidRDefault="008B5998" w:rsidP="00C013A1">
                      <w:pPr>
                        <w:ind w:left="-1134"/>
                        <w:jc w:val="center"/>
                      </w:pPr>
                    </w:p>
                  </w:txbxContent>
                </v:textbox>
                <w10:wrap anchorx="page"/>
              </v:shape>
            </w:pict>
          </mc:Fallback>
        </mc:AlternateContent>
      </w:r>
    </w:p>
    <w:p w14:paraId="5761CEE4" w14:textId="77777777" w:rsidR="00A56EE9" w:rsidRDefault="00A56EE9" w:rsidP="00BB6AD5"/>
    <w:p w14:paraId="5761CEE5" w14:textId="77777777" w:rsidR="00A56EE9" w:rsidRDefault="00A56EE9" w:rsidP="00BB6AD5"/>
    <w:p w14:paraId="5761CEE6" w14:textId="77777777" w:rsidR="00A56EE9" w:rsidRDefault="00A56EE9" w:rsidP="00BB6AD5"/>
    <w:p w14:paraId="5761CEE7" w14:textId="77777777" w:rsidR="00A56EE9" w:rsidRDefault="00A56EE9" w:rsidP="00BB6AD5"/>
    <w:p w14:paraId="5761CEE8" w14:textId="77777777" w:rsidR="00A56EE9" w:rsidRDefault="00A56EE9" w:rsidP="00BB6AD5"/>
    <w:p w14:paraId="403AAD15" w14:textId="77777777" w:rsidR="003D1424" w:rsidRDefault="003D1424" w:rsidP="00BB6AD5">
      <w:pPr>
        <w:rPr>
          <w:sz w:val="18"/>
          <w:vertAlign w:val="superscript"/>
        </w:rPr>
      </w:pPr>
    </w:p>
    <w:p w14:paraId="4E80B249" w14:textId="77777777" w:rsidR="00714795" w:rsidRDefault="00714795" w:rsidP="00BB6AD5">
      <w:pPr>
        <w:rPr>
          <w:sz w:val="18"/>
          <w:vertAlign w:val="superscript"/>
        </w:rPr>
      </w:pPr>
    </w:p>
    <w:p w14:paraId="5761CEE9" w14:textId="4D5981C2" w:rsidR="00A56EE9" w:rsidRPr="00AB1D45" w:rsidRDefault="00A56EE9" w:rsidP="00BB6AD5">
      <w:pPr>
        <w:rPr>
          <w:sz w:val="18"/>
        </w:rPr>
      </w:pPr>
      <w:r w:rsidRPr="00AB1D45">
        <w:rPr>
          <w:sz w:val="18"/>
          <w:vertAlign w:val="superscript"/>
        </w:rPr>
        <w:t>1</w:t>
      </w:r>
      <w:r w:rsidRPr="00AB1D45">
        <w:rPr>
          <w:sz w:val="18"/>
        </w:rPr>
        <w:t xml:space="preserve"> Protected Area Solutions</w:t>
      </w:r>
      <w:r>
        <w:rPr>
          <w:sz w:val="18"/>
        </w:rPr>
        <w:t xml:space="preserve"> Pty Ltd</w:t>
      </w:r>
    </w:p>
    <w:p w14:paraId="5761CEEA" w14:textId="6B99FDAA" w:rsidR="00A56EE9" w:rsidRPr="00AB1D45" w:rsidRDefault="00BA4651" w:rsidP="00BB6AD5">
      <w:pPr>
        <w:rPr>
          <w:vertAlign w:val="superscript"/>
        </w:rPr>
      </w:pPr>
      <w:r>
        <w:rPr>
          <w:noProof/>
          <w:lang w:eastAsia="en-AU"/>
        </w:rPr>
        <w:drawing>
          <wp:anchor distT="0" distB="0" distL="114300" distR="114300" simplePos="0" relativeHeight="251737088" behindDoc="0" locked="0" layoutInCell="1" allowOverlap="1" wp14:anchorId="57620C44" wp14:editId="77D5DAD2">
            <wp:simplePos x="0" y="0"/>
            <wp:positionH relativeFrom="column">
              <wp:posOffset>-194554</wp:posOffset>
            </wp:positionH>
            <wp:positionV relativeFrom="paragraph">
              <wp:posOffset>252960</wp:posOffset>
            </wp:positionV>
            <wp:extent cx="2791460" cy="1122680"/>
            <wp:effectExtent l="0" t="0" r="2540" b="0"/>
            <wp:wrapSquare wrapText="bothSides"/>
            <wp:docPr id="9" name="Picture 9" descr="Logo of protected area solutions"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ogoscreenshot.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91460" cy="1122680"/>
                    </a:xfrm>
                    <a:prstGeom prst="rect">
                      <a:avLst/>
                    </a:prstGeom>
                  </pic:spPr>
                </pic:pic>
              </a:graphicData>
            </a:graphic>
            <wp14:sizeRelH relativeFrom="page">
              <wp14:pctWidth>0</wp14:pctWidth>
            </wp14:sizeRelH>
            <wp14:sizeRelV relativeFrom="page">
              <wp14:pctHeight>0</wp14:pctHeight>
            </wp14:sizeRelV>
          </wp:anchor>
        </w:drawing>
      </w:r>
      <w:r w:rsidR="00A56EE9" w:rsidRPr="00AB1D45">
        <w:rPr>
          <w:vertAlign w:val="superscript"/>
        </w:rPr>
        <w:t>2</w:t>
      </w:r>
      <w:r w:rsidR="00A56EE9" w:rsidRPr="00AB1D45">
        <w:rPr>
          <w:sz w:val="18"/>
        </w:rPr>
        <w:t xml:space="preserve"> Ground Zero </w:t>
      </w:r>
      <w:r w:rsidR="00A56EE9">
        <w:rPr>
          <w:sz w:val="18"/>
        </w:rPr>
        <w:t>Pty Ltd</w:t>
      </w:r>
    </w:p>
    <w:p w14:paraId="5761CEEB" w14:textId="0233D076" w:rsidR="00A56EE9" w:rsidRDefault="00A56EE9" w:rsidP="00BB6AD5"/>
    <w:p w14:paraId="5761CEEC" w14:textId="08F0BDE9" w:rsidR="00A56EE9" w:rsidRDefault="00BA4651" w:rsidP="00BB6AD5">
      <w:r>
        <w:rPr>
          <w:noProof/>
          <w:lang w:eastAsia="en-AU"/>
        </w:rPr>
        <w:drawing>
          <wp:inline distT="0" distB="0" distL="0" distR="0" wp14:anchorId="16B2445A" wp14:editId="53A3F90F">
            <wp:extent cx="1089498" cy="536854"/>
            <wp:effectExtent l="0" t="0" r="0" b="0"/>
            <wp:docPr id="15" name="Picture 15" descr="Logo of Ground Zero Environmental"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ZE-Logo-Inline.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127648" cy="555653"/>
                    </a:xfrm>
                    <a:prstGeom prst="rect">
                      <a:avLst/>
                    </a:prstGeom>
                  </pic:spPr>
                </pic:pic>
              </a:graphicData>
            </a:graphic>
          </wp:inline>
        </w:drawing>
      </w:r>
    </w:p>
    <w:p w14:paraId="4E22B7D7" w14:textId="7029F69B" w:rsidR="00BA4651" w:rsidRPr="00BA4651" w:rsidRDefault="00BA4651" w:rsidP="00BA4651">
      <w:pPr>
        <w:spacing w:after="0" w:line="240" w:lineRule="auto"/>
        <w:rPr>
          <w:rFonts w:ascii="Times New Roman" w:eastAsia="Times New Roman" w:hAnsi="Times New Roman" w:cs="Times New Roman"/>
          <w:sz w:val="24"/>
          <w:szCs w:val="24"/>
        </w:rPr>
      </w:pPr>
      <w:r w:rsidRPr="00BA4651">
        <w:rPr>
          <w:rFonts w:ascii="Times New Roman" w:eastAsia="Times New Roman" w:hAnsi="Times New Roman" w:cs="Times New Roman"/>
          <w:sz w:val="24"/>
          <w:szCs w:val="24"/>
        </w:rPr>
        <w:fldChar w:fldCharType="begin"/>
      </w:r>
      <w:r w:rsidRPr="00BA4651">
        <w:rPr>
          <w:rFonts w:ascii="Times New Roman" w:eastAsia="Times New Roman" w:hAnsi="Times New Roman" w:cs="Times New Roman"/>
          <w:sz w:val="24"/>
          <w:szCs w:val="24"/>
        </w:rPr>
        <w:instrText xml:space="preserve"> INCLUDEPICTURE "cid:1DD77224-0E20-49F5-9D5E-AA0515097549" \* MERGEFORMATINET </w:instrText>
      </w:r>
      <w:r w:rsidRPr="00BA4651">
        <w:rPr>
          <w:rFonts w:ascii="Times New Roman" w:eastAsia="Times New Roman" w:hAnsi="Times New Roman" w:cs="Times New Roman"/>
          <w:sz w:val="24"/>
          <w:szCs w:val="24"/>
        </w:rPr>
        <w:fldChar w:fldCharType="separate"/>
      </w:r>
      <w:r w:rsidRPr="00BA4651">
        <w:rPr>
          <w:rFonts w:ascii="Times New Roman" w:eastAsia="Times New Roman" w:hAnsi="Times New Roman" w:cs="Times New Roman"/>
          <w:noProof/>
          <w:sz w:val="24"/>
          <w:szCs w:val="24"/>
          <w:lang w:eastAsia="en-AU"/>
        </w:rPr>
        <mc:AlternateContent>
          <mc:Choice Requires="wps">
            <w:drawing>
              <wp:inline distT="0" distB="0" distL="0" distR="0" wp14:anchorId="7D555820" wp14:editId="6E268A27">
                <wp:extent cx="301625" cy="301625"/>
                <wp:effectExtent l="0" t="0" r="0" b="3175"/>
                <wp:docPr id="14" name="Rectangle 14" descr="GZE-Logo-Inline.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1625"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A6561A" w14:textId="77777777" w:rsidR="008B5998" w:rsidRDefault="008B5998" w:rsidP="00541601">
                            <w:pPr>
                              <w:jc w:val="center"/>
                            </w:pPr>
                          </w:p>
                        </w:txbxContent>
                      </wps:txbx>
                      <wps:bodyPr rot="0" vert="horz" wrap="square" lIns="91440" tIns="45720" rIns="91440" bIns="45720" anchor="t" anchorCtr="0" upright="1">
                        <a:noAutofit/>
                      </wps:bodyPr>
                    </wps:wsp>
                  </a:graphicData>
                </a:graphic>
              </wp:inline>
            </w:drawing>
          </mc:Choice>
          <mc:Fallback>
            <w:pict>
              <v:rect w14:anchorId="7D555820" id="Rectangle 14" o:spid="_x0000_s1030" alt="GZE-Logo-Inline.png" style="width:23.75pt;height:2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" filled="f" stroked="f">
                <o:lock v:ext="edit" aspectratio="t"/>
                <v:textbox>
                  <w:txbxContent>
                    <w:p w14:paraId="33A6561A" w14:textId="77777777" w:rsidR="008B5998" w:rsidRDefault="008B5998" w:rsidP="00541601">
                      <w:pPr>
                        <w:jc w:val="center"/>
                      </w:pPr>
                    </w:p>
                  </w:txbxContent>
                </v:textbox>
                <w10:anchorlock/>
              </v:rect>
            </w:pict>
          </mc:Fallback>
        </mc:AlternateContent>
      </w:r>
      <w:r w:rsidRPr="00BA4651">
        <w:rPr>
          <w:rFonts w:ascii="Times New Roman" w:eastAsia="Times New Roman" w:hAnsi="Times New Roman" w:cs="Times New Roman"/>
          <w:sz w:val="24"/>
          <w:szCs w:val="24"/>
        </w:rPr>
        <w:fldChar w:fldCharType="end"/>
      </w:r>
    </w:p>
    <w:p w14:paraId="5761CEF0" w14:textId="45443190" w:rsidR="00A56EE9" w:rsidRDefault="00A56EE9" w:rsidP="00BB6AD5">
      <w:pPr>
        <w:spacing w:before="120" w:after="120"/>
        <w:rPr>
          <w:rFonts w:cs="Arial"/>
          <w:sz w:val="18"/>
          <w:szCs w:val="18"/>
        </w:rPr>
      </w:pPr>
      <w:r w:rsidRPr="0010252A">
        <w:rPr>
          <w:rFonts w:cs="Arial"/>
          <w:sz w:val="18"/>
          <w:szCs w:val="18"/>
        </w:rPr>
        <w:t>© Commonwealth of Australia 20</w:t>
      </w:r>
      <w:r>
        <w:rPr>
          <w:rFonts w:cs="Arial"/>
          <w:sz w:val="18"/>
          <w:szCs w:val="18"/>
        </w:rPr>
        <w:t>19</w:t>
      </w:r>
      <w:r w:rsidRPr="0010252A">
        <w:rPr>
          <w:rFonts w:cs="Arial"/>
          <w:sz w:val="18"/>
          <w:szCs w:val="18"/>
        </w:rPr>
        <w:cr/>
      </w:r>
      <w:r w:rsidRPr="0010252A">
        <w:rPr>
          <w:rFonts w:cs="Arial"/>
          <w:sz w:val="18"/>
          <w:szCs w:val="18"/>
        </w:rPr>
        <w:cr/>
        <w:t>Published by the Great Barrier Reef Ma</w:t>
      </w:r>
      <w:r>
        <w:rPr>
          <w:rFonts w:cs="Arial"/>
          <w:sz w:val="18"/>
          <w:szCs w:val="18"/>
        </w:rPr>
        <w:t>rine Park Authority</w:t>
      </w:r>
      <w:r>
        <w:rPr>
          <w:rFonts w:cs="Arial"/>
          <w:sz w:val="18"/>
          <w:szCs w:val="18"/>
        </w:rPr>
        <w:cr/>
      </w:r>
      <w:r>
        <w:rPr>
          <w:rFonts w:cs="Arial"/>
          <w:sz w:val="18"/>
          <w:szCs w:val="18"/>
        </w:rPr>
        <w:cr/>
        <w:t xml:space="preserve">ISBN </w:t>
      </w:r>
      <w:r w:rsidRPr="00E32DD0">
        <w:rPr>
          <w:rFonts w:cs="Arial"/>
          <w:sz w:val="18"/>
          <w:szCs w:val="18"/>
        </w:rPr>
        <w:t>978</w:t>
      </w:r>
      <w:r>
        <w:rPr>
          <w:rFonts w:cs="Arial"/>
          <w:sz w:val="18"/>
          <w:szCs w:val="18"/>
        </w:rPr>
        <w:t xml:space="preserve"> 0</w:t>
      </w:r>
      <w:r w:rsidRPr="00E32DD0">
        <w:rPr>
          <w:rFonts w:cs="Arial"/>
          <w:sz w:val="18"/>
          <w:szCs w:val="18"/>
        </w:rPr>
        <w:t>64</w:t>
      </w:r>
      <w:r>
        <w:rPr>
          <w:rFonts w:cs="Arial"/>
          <w:sz w:val="18"/>
          <w:szCs w:val="18"/>
        </w:rPr>
        <w:t xml:space="preserve"> </w:t>
      </w:r>
      <w:r w:rsidRPr="00E32DD0">
        <w:rPr>
          <w:rFonts w:cs="Arial"/>
          <w:sz w:val="18"/>
          <w:szCs w:val="18"/>
        </w:rPr>
        <w:t>809</w:t>
      </w:r>
      <w:r>
        <w:rPr>
          <w:rFonts w:cs="Arial"/>
          <w:sz w:val="18"/>
          <w:szCs w:val="18"/>
        </w:rPr>
        <w:t xml:space="preserve"> </w:t>
      </w:r>
      <w:r w:rsidRPr="00E32DD0">
        <w:rPr>
          <w:rFonts w:cs="Arial"/>
          <w:sz w:val="18"/>
          <w:szCs w:val="18"/>
        </w:rPr>
        <w:t>650</w:t>
      </w:r>
      <w:r>
        <w:rPr>
          <w:rFonts w:cs="Arial"/>
          <w:sz w:val="18"/>
          <w:szCs w:val="18"/>
        </w:rPr>
        <w:t xml:space="preserve"> </w:t>
      </w:r>
      <w:r w:rsidRPr="00E32DD0">
        <w:rPr>
          <w:rFonts w:cs="Arial"/>
          <w:sz w:val="18"/>
          <w:szCs w:val="18"/>
        </w:rPr>
        <w:t>4</w:t>
      </w:r>
    </w:p>
    <w:p w14:paraId="5761CEF1" w14:textId="77777777" w:rsidR="00A56EE9" w:rsidRDefault="00A56EE9" w:rsidP="00BB6AD5">
      <w:pPr>
        <w:tabs>
          <w:tab w:val="center" w:pos="4153"/>
          <w:tab w:val="right" w:pos="8306"/>
        </w:tabs>
        <w:spacing w:after="0" w:line="240" w:lineRule="auto"/>
        <w:rPr>
          <w:rFonts w:eastAsia="Times New Roman"/>
          <w:color w:val="000000"/>
          <w:sz w:val="18"/>
          <w:szCs w:val="18"/>
        </w:rPr>
      </w:pPr>
    </w:p>
    <w:p w14:paraId="5761CEF2" w14:textId="77777777" w:rsidR="00A56EE9" w:rsidRPr="00F33F99" w:rsidRDefault="00A56EE9" w:rsidP="00BB6AD5">
      <w:pPr>
        <w:tabs>
          <w:tab w:val="center" w:pos="4153"/>
          <w:tab w:val="right" w:pos="8306"/>
        </w:tabs>
        <w:spacing w:after="0" w:line="240" w:lineRule="auto"/>
        <w:rPr>
          <w:rFonts w:eastAsia="Times New Roman"/>
          <w:color w:val="000000"/>
          <w:sz w:val="18"/>
          <w:szCs w:val="18"/>
        </w:rPr>
      </w:pPr>
      <w:r>
        <w:rPr>
          <w:rFonts w:cs="Arial"/>
          <w:sz w:val="18"/>
          <w:szCs w:val="18"/>
        </w:rPr>
        <w:t xml:space="preserve">This report </w:t>
      </w:r>
      <w:r w:rsidRPr="0010252A">
        <w:rPr>
          <w:rFonts w:cs="Arial"/>
          <w:sz w:val="18"/>
          <w:szCs w:val="18"/>
        </w:rPr>
        <w:t xml:space="preserve">is licensed by the Commonwealth of Australia for use under a Creative Commons By Attribution 4.0 International licence with the </w:t>
      </w:r>
      <w:r w:rsidRPr="00895CC7">
        <w:rPr>
          <w:rFonts w:cs="Arial"/>
          <w:sz w:val="18"/>
          <w:szCs w:val="18"/>
        </w:rPr>
        <w:t xml:space="preserve">exception of </w:t>
      </w:r>
      <w:r w:rsidRPr="00895CC7">
        <w:rPr>
          <w:rFonts w:cs="Arial"/>
          <w:color w:val="000000" w:themeColor="text1"/>
          <w:sz w:val="18"/>
          <w:szCs w:val="18"/>
        </w:rPr>
        <w:t xml:space="preserve">the Coat of Arms of the Commonwealth of Australia, the logo of the Great Barrier Reef Marine Park Authority, Protected Area Solutions Pty Ltd </w:t>
      </w:r>
      <w:r w:rsidRPr="00895CC7">
        <w:rPr>
          <w:rFonts w:cs="Arial"/>
          <w:color w:val="000000" w:themeColor="text1"/>
          <w:sz w:val="18"/>
          <w:szCs w:val="18"/>
        </w:rPr>
        <w:lastRenderedPageBreak/>
        <w:t xml:space="preserve">and Ground Zero Pty Ltd any </w:t>
      </w:r>
      <w:r w:rsidRPr="0010252A">
        <w:rPr>
          <w:rFonts w:cs="Arial"/>
          <w:sz w:val="18"/>
          <w:szCs w:val="18"/>
        </w:rPr>
        <w:t>other material protected by a trademark, content supplied by third parti</w:t>
      </w:r>
      <w:r w:rsidRPr="008E5466">
        <w:rPr>
          <w:rFonts w:cs="Arial"/>
          <w:sz w:val="18"/>
          <w:szCs w:val="18"/>
        </w:rPr>
        <w:t xml:space="preserve">es </w:t>
      </w:r>
      <w:r w:rsidRPr="005E1A55">
        <w:rPr>
          <w:rFonts w:cs="Arial"/>
          <w:sz w:val="18"/>
          <w:szCs w:val="18"/>
        </w:rPr>
        <w:t>and any photographs</w:t>
      </w:r>
      <w:r w:rsidRPr="008E5466">
        <w:rPr>
          <w:rFonts w:cs="Arial"/>
          <w:sz w:val="18"/>
          <w:szCs w:val="18"/>
        </w:rPr>
        <w:t>. For licence</w:t>
      </w:r>
      <w:r w:rsidRPr="0010252A">
        <w:rPr>
          <w:rFonts w:cs="Arial"/>
          <w:sz w:val="18"/>
          <w:szCs w:val="18"/>
        </w:rPr>
        <w:t xml:space="preserve"> conditions see: </w:t>
      </w:r>
      <w:hyperlink r:id="rId17" w:tooltip="the creative commons web site" w:history="1">
        <w:r w:rsidRPr="0010252A">
          <w:rPr>
            <w:rStyle w:val="Hyperlink"/>
            <w:rFonts w:cs="Arial"/>
            <w:sz w:val="18"/>
            <w:szCs w:val="18"/>
          </w:rPr>
          <w:t>http://creativecommons.org/licences/by/4.0</w:t>
        </w:r>
      </w:hyperlink>
      <w:r w:rsidRPr="0010252A">
        <w:rPr>
          <w:rFonts w:cs="Arial"/>
          <w:sz w:val="18"/>
          <w:szCs w:val="18"/>
        </w:rPr>
        <w:t xml:space="preserve"> </w:t>
      </w:r>
      <w:r w:rsidRPr="0010252A">
        <w:rPr>
          <w:rFonts w:cs="Arial"/>
          <w:sz w:val="18"/>
          <w:szCs w:val="18"/>
        </w:rPr>
        <w:cr/>
      </w:r>
      <w:r w:rsidRPr="00F33F99">
        <w:rPr>
          <w:rFonts w:eastAsia="Times New Roman"/>
          <w:noProof/>
          <w:color w:val="000000"/>
          <w:sz w:val="18"/>
          <w:szCs w:val="18"/>
          <w:lang w:eastAsia="en-AU"/>
        </w:rPr>
        <w:drawing>
          <wp:inline distT="0" distB="0" distL="0" distR="0" wp14:anchorId="57620C48" wp14:editId="78B37889">
            <wp:extent cx="1226820" cy="426720"/>
            <wp:effectExtent l="0" t="0" r="0" b="0"/>
            <wp:docPr id="4" name="Picture 4" descr="Title: Creative Commons BY licence information - Description: This work is licensed under the Creative Commons Attribution 4.0 International License. &#10;For licence conditions see: http://creativecommons.org/licences/by/4.0  "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itle: Creative Commons BY licence information - Description: This work is licensed under the Creative Commons Attribution 3.0 Australia License. To view a copy of this license, visit http://creativecommons.org/licenses/by/3.0/au/ or send a letter to Creative Commons, 444 Castro Street, Suite 900, Mountain View, California, 94041, USA."/>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1226820" cy="426720"/>
                    </a:xfrm>
                    <a:prstGeom prst="rect">
                      <a:avLst/>
                    </a:prstGeom>
                    <a:noFill/>
                    <a:ln>
                      <a:noFill/>
                    </a:ln>
                  </pic:spPr>
                </pic:pic>
              </a:graphicData>
            </a:graphic>
          </wp:inline>
        </w:drawing>
      </w:r>
    </w:p>
    <w:p w14:paraId="5761CEF3" w14:textId="77777777" w:rsidR="00A56EE9" w:rsidRPr="00F33F99" w:rsidRDefault="00A56EE9" w:rsidP="00BB6AD5">
      <w:pPr>
        <w:tabs>
          <w:tab w:val="center" w:pos="4153"/>
          <w:tab w:val="right" w:pos="8306"/>
        </w:tabs>
        <w:spacing w:after="0" w:line="240" w:lineRule="auto"/>
        <w:rPr>
          <w:rFonts w:eastAsia="Times New Roman"/>
          <w:color w:val="000000"/>
          <w:sz w:val="18"/>
          <w:szCs w:val="18"/>
        </w:rPr>
      </w:pPr>
    </w:p>
    <w:p w14:paraId="5761CEF4" w14:textId="77777777" w:rsidR="00A56EE9" w:rsidRPr="00F33F99" w:rsidRDefault="00A56EE9" w:rsidP="00BB6AD5">
      <w:pPr>
        <w:tabs>
          <w:tab w:val="center" w:pos="4153"/>
          <w:tab w:val="right" w:pos="8306"/>
        </w:tabs>
        <w:spacing w:after="0" w:line="240" w:lineRule="auto"/>
        <w:rPr>
          <w:rFonts w:eastAsia="Times New Roman"/>
          <w:color w:val="000000"/>
          <w:sz w:val="18"/>
          <w:szCs w:val="18"/>
        </w:rPr>
      </w:pPr>
    </w:p>
    <w:p w14:paraId="542EA736" w14:textId="77777777" w:rsidR="00926029" w:rsidRPr="00A14EAC" w:rsidRDefault="00926029" w:rsidP="00926029">
      <w:pPr>
        <w:tabs>
          <w:tab w:val="center" w:pos="4153"/>
          <w:tab w:val="right" w:pos="8306"/>
        </w:tabs>
        <w:rPr>
          <w:rFonts w:cs="Arial"/>
          <w:color w:val="000000"/>
          <w:sz w:val="18"/>
          <w:szCs w:val="18"/>
        </w:rPr>
      </w:pPr>
      <w:r w:rsidRPr="000812D9">
        <w:rPr>
          <w:rFonts w:cs="Arial"/>
          <w:color w:val="000000"/>
          <w:sz w:val="18"/>
          <w:szCs w:val="18"/>
        </w:rPr>
        <w:t xml:space="preserve">Protected Area Solutions </w:t>
      </w:r>
      <w:r w:rsidRPr="00A14EAC">
        <w:rPr>
          <w:rFonts w:cs="Arial"/>
          <w:color w:val="000000"/>
          <w:sz w:val="18"/>
          <w:szCs w:val="18"/>
        </w:rPr>
        <w:t>has made all reasonable efforts to identify content supplied by third parties using the following format ‘© Copyright, [name of third party]’. Permission may need to be obtained from third parties to re-use their material.</w:t>
      </w:r>
    </w:p>
    <w:p w14:paraId="5761CEF7" w14:textId="77777777" w:rsidR="00A56EE9" w:rsidRPr="00F33F99" w:rsidRDefault="00A56EE9" w:rsidP="00BB6AD5">
      <w:pPr>
        <w:spacing w:after="0" w:line="240" w:lineRule="auto"/>
        <w:rPr>
          <w:rFonts w:eastAsia="Times New Roman"/>
          <w:sz w:val="18"/>
          <w:szCs w:val="18"/>
        </w:rPr>
      </w:pPr>
    </w:p>
    <w:p w14:paraId="5761CEF8" w14:textId="77777777" w:rsidR="00A56EE9" w:rsidRPr="00F33F99" w:rsidRDefault="00A56EE9" w:rsidP="00BB6AD5">
      <w:pPr>
        <w:spacing w:after="0" w:line="240" w:lineRule="auto"/>
        <w:rPr>
          <w:rFonts w:eastAsia="Times New Roman"/>
          <w:b/>
          <w:sz w:val="18"/>
          <w:szCs w:val="18"/>
        </w:rPr>
      </w:pPr>
      <w:r w:rsidRPr="00F33F99">
        <w:rPr>
          <w:rFonts w:eastAsia="Times New Roman"/>
          <w:b/>
          <w:sz w:val="18"/>
          <w:szCs w:val="18"/>
        </w:rPr>
        <w:t>Disclaimer</w:t>
      </w:r>
    </w:p>
    <w:p w14:paraId="00893FF2" w14:textId="77777777" w:rsidR="00926029" w:rsidRPr="000812D9" w:rsidRDefault="00926029" w:rsidP="00926029">
      <w:pPr>
        <w:rPr>
          <w:rFonts w:cs="Arial"/>
          <w:color w:val="000000"/>
          <w:sz w:val="18"/>
          <w:szCs w:val="18"/>
        </w:rPr>
      </w:pPr>
      <w:r w:rsidRPr="000812D9">
        <w:rPr>
          <w:rFonts w:cs="Arial"/>
          <w:color w:val="000000"/>
          <w:sz w:val="18"/>
          <w:szCs w:val="18"/>
        </w:rPr>
        <w:t xml:space="preserve">This report was prepared by Protected Area Solutions in good faith exercising all due care and attention, but no representation or warranty, express or implied, is made as to the relevance, accuracy, completeness or fitness for purpose of this document in respect of any particular user’s circumstances. Users of this document should satisfy themselves concerning its application to, and where necessary seek expert advice in respect of, their situation. The views expressed within are not necessarily the views of the Great Barrier Reef Marine Park Authority and may not represent their policy. </w:t>
      </w:r>
    </w:p>
    <w:p w14:paraId="5761CEFA" w14:textId="77777777" w:rsidR="00A56EE9" w:rsidRDefault="00A56EE9" w:rsidP="00BB6AD5">
      <w:pPr>
        <w:spacing w:after="0" w:line="240" w:lineRule="auto"/>
        <w:rPr>
          <w:rFonts w:eastAsia="Times New Roman"/>
          <w:b/>
          <w:color w:val="000000"/>
          <w:sz w:val="18"/>
          <w:szCs w:val="18"/>
        </w:rPr>
      </w:pPr>
    </w:p>
    <w:p w14:paraId="5761CEFB" w14:textId="77777777" w:rsidR="00A56EE9" w:rsidRPr="00F33F99" w:rsidRDefault="00A56EE9" w:rsidP="00BB6AD5">
      <w:pPr>
        <w:spacing w:after="0" w:line="240" w:lineRule="auto"/>
        <w:rPr>
          <w:rFonts w:eastAsia="Times New Roman"/>
          <w:b/>
          <w:color w:val="000000"/>
          <w:sz w:val="18"/>
          <w:szCs w:val="18"/>
        </w:rPr>
      </w:pPr>
      <w:r>
        <w:rPr>
          <w:rFonts w:eastAsia="Times New Roman"/>
          <w:b/>
          <w:color w:val="000000"/>
          <w:sz w:val="18"/>
          <w:szCs w:val="18"/>
        </w:rPr>
        <w:t xml:space="preserve">A catalogue record for this report is available from the </w:t>
      </w:r>
      <w:r w:rsidRPr="00F33F99">
        <w:rPr>
          <w:rFonts w:eastAsia="Times New Roman"/>
          <w:b/>
          <w:color w:val="000000"/>
          <w:sz w:val="18"/>
          <w:szCs w:val="18"/>
        </w:rPr>
        <w:t>National Library of Australia</w:t>
      </w:r>
    </w:p>
    <w:p w14:paraId="5761CEFC" w14:textId="77777777" w:rsidR="00A56EE9" w:rsidRPr="00F33F99" w:rsidRDefault="00A56EE9" w:rsidP="00BB6AD5">
      <w:pPr>
        <w:spacing w:after="0" w:line="240" w:lineRule="auto"/>
        <w:rPr>
          <w:rFonts w:eastAsia="Times New Roman"/>
          <w:b/>
          <w:color w:val="000000"/>
          <w:sz w:val="18"/>
          <w:szCs w:val="18"/>
        </w:rPr>
      </w:pPr>
      <w:r w:rsidRPr="00F33F99">
        <w:rPr>
          <w:rFonts w:eastAsia="Times New Roman"/>
          <w:b/>
          <w:color w:val="000000"/>
          <w:sz w:val="18"/>
          <w:szCs w:val="18"/>
        </w:rPr>
        <w:br/>
      </w:r>
    </w:p>
    <w:p w14:paraId="5761CEFD" w14:textId="77777777" w:rsidR="00A56EE9" w:rsidRPr="00F33F99" w:rsidRDefault="00A56EE9" w:rsidP="00BB6AD5">
      <w:pPr>
        <w:spacing w:after="0" w:line="240" w:lineRule="auto"/>
        <w:rPr>
          <w:rFonts w:eastAsia="Times New Roman"/>
          <w:b/>
          <w:bCs/>
          <w:sz w:val="18"/>
          <w:szCs w:val="18"/>
        </w:rPr>
      </w:pPr>
      <w:r w:rsidRPr="00F33F99">
        <w:rPr>
          <w:rFonts w:eastAsia="Times New Roman"/>
          <w:b/>
          <w:bCs/>
          <w:sz w:val="18"/>
          <w:szCs w:val="18"/>
        </w:rPr>
        <w:t>This publication should be cited as:</w:t>
      </w:r>
    </w:p>
    <w:p w14:paraId="5761CEFE" w14:textId="75A5AB3A" w:rsidR="00A56EE9" w:rsidRPr="00F33F99" w:rsidRDefault="00A56EE9" w:rsidP="00BB6AD5">
      <w:pPr>
        <w:spacing w:after="120" w:line="240" w:lineRule="auto"/>
        <w:rPr>
          <w:rFonts w:eastAsia="Times New Roman"/>
          <w:b/>
          <w:color w:val="000000" w:themeColor="text1"/>
          <w:sz w:val="18"/>
          <w:szCs w:val="18"/>
        </w:rPr>
      </w:pPr>
      <w:r w:rsidRPr="008E5466">
        <w:rPr>
          <w:rFonts w:eastAsia="Times New Roman"/>
          <w:color w:val="000000"/>
          <w:sz w:val="18"/>
          <w:szCs w:val="18"/>
        </w:rPr>
        <w:t>L</w:t>
      </w:r>
      <w:r>
        <w:rPr>
          <w:rFonts w:eastAsia="Times New Roman"/>
          <w:color w:val="000000"/>
          <w:sz w:val="18"/>
          <w:szCs w:val="18"/>
        </w:rPr>
        <w:t>everington</w:t>
      </w:r>
      <w:r w:rsidRPr="008E5466">
        <w:rPr>
          <w:rFonts w:eastAsia="Times New Roman"/>
          <w:color w:val="000000"/>
          <w:sz w:val="18"/>
          <w:szCs w:val="18"/>
        </w:rPr>
        <w:t xml:space="preserve">, A.; Hockings, M.; </w:t>
      </w:r>
      <w:r w:rsidRPr="00E2287E">
        <w:rPr>
          <w:rFonts w:eastAsia="Times New Roman"/>
          <w:color w:val="000000"/>
          <w:sz w:val="18"/>
          <w:szCs w:val="18"/>
        </w:rPr>
        <w:t>Leverington</w:t>
      </w:r>
      <w:r w:rsidRPr="008E5466">
        <w:rPr>
          <w:rFonts w:eastAsia="Times New Roman"/>
          <w:color w:val="000000"/>
          <w:sz w:val="18"/>
          <w:szCs w:val="18"/>
        </w:rPr>
        <w:t>, F.; Trinder, C.; and Polglaze, J. 2019</w:t>
      </w:r>
      <w:r w:rsidRPr="00F33F99">
        <w:rPr>
          <w:rFonts w:eastAsia="Times New Roman"/>
          <w:color w:val="000000"/>
          <w:sz w:val="18"/>
          <w:szCs w:val="18"/>
        </w:rPr>
        <w:t xml:space="preserve">, </w:t>
      </w:r>
      <w:r w:rsidRPr="00F33F99">
        <w:rPr>
          <w:rFonts w:eastAsia="Times New Roman"/>
          <w:i/>
          <w:color w:val="000000"/>
          <w:sz w:val="18"/>
          <w:szCs w:val="18"/>
        </w:rPr>
        <w:t xml:space="preserve">Independent </w:t>
      </w:r>
      <w:r w:rsidR="00DD6FCE">
        <w:rPr>
          <w:rFonts w:eastAsia="Times New Roman"/>
          <w:i/>
          <w:color w:val="000000"/>
          <w:sz w:val="18"/>
          <w:szCs w:val="18"/>
        </w:rPr>
        <w:t>A</w:t>
      </w:r>
      <w:r w:rsidRPr="00F33F99">
        <w:rPr>
          <w:rFonts w:eastAsia="Times New Roman"/>
          <w:i/>
          <w:color w:val="000000"/>
          <w:sz w:val="18"/>
          <w:szCs w:val="18"/>
        </w:rPr>
        <w:t xml:space="preserve">ssessment of </w:t>
      </w:r>
      <w:r w:rsidR="00DD6FCE">
        <w:rPr>
          <w:rFonts w:eastAsia="Times New Roman"/>
          <w:i/>
          <w:color w:val="000000"/>
          <w:sz w:val="18"/>
          <w:szCs w:val="18"/>
        </w:rPr>
        <w:t>M</w:t>
      </w:r>
      <w:r w:rsidRPr="00F33F99">
        <w:rPr>
          <w:rFonts w:eastAsia="Times New Roman"/>
          <w:i/>
          <w:color w:val="000000"/>
          <w:sz w:val="18"/>
          <w:szCs w:val="18"/>
        </w:rPr>
        <w:t xml:space="preserve">anagement </w:t>
      </w:r>
      <w:r w:rsidR="00DD6FCE">
        <w:rPr>
          <w:rFonts w:eastAsia="Times New Roman"/>
          <w:i/>
          <w:color w:val="000000"/>
          <w:sz w:val="18"/>
          <w:szCs w:val="18"/>
        </w:rPr>
        <w:t>E</w:t>
      </w:r>
      <w:r w:rsidRPr="00F33F99">
        <w:rPr>
          <w:rFonts w:eastAsia="Times New Roman"/>
          <w:i/>
          <w:color w:val="000000"/>
          <w:sz w:val="18"/>
          <w:szCs w:val="18"/>
        </w:rPr>
        <w:t xml:space="preserve">ffectiveness </w:t>
      </w:r>
      <w:r w:rsidRPr="00F33F99">
        <w:rPr>
          <w:rFonts w:eastAsia="Times New Roman"/>
          <w:i/>
          <w:color w:val="000000" w:themeColor="text1"/>
          <w:sz w:val="18"/>
          <w:szCs w:val="18"/>
        </w:rPr>
        <w:t xml:space="preserve">for the Great Barrier Reef </w:t>
      </w:r>
      <w:r w:rsidR="00DD6FCE">
        <w:rPr>
          <w:rFonts w:eastAsia="Times New Roman"/>
          <w:i/>
          <w:color w:val="000000" w:themeColor="text1"/>
          <w:sz w:val="18"/>
          <w:szCs w:val="18"/>
        </w:rPr>
        <w:t>O</w:t>
      </w:r>
      <w:r w:rsidRPr="00F33F99">
        <w:rPr>
          <w:rFonts w:eastAsia="Times New Roman"/>
          <w:i/>
          <w:color w:val="000000" w:themeColor="text1"/>
          <w:sz w:val="18"/>
          <w:szCs w:val="18"/>
        </w:rPr>
        <w:t xml:space="preserve">utlook </w:t>
      </w:r>
      <w:r w:rsidR="00DD6FCE">
        <w:rPr>
          <w:rFonts w:eastAsia="Times New Roman"/>
          <w:i/>
          <w:color w:val="000000" w:themeColor="text1"/>
          <w:sz w:val="18"/>
          <w:szCs w:val="18"/>
        </w:rPr>
        <w:t>R</w:t>
      </w:r>
      <w:r w:rsidRPr="00F33F99">
        <w:rPr>
          <w:rFonts w:eastAsia="Times New Roman"/>
          <w:i/>
          <w:color w:val="000000" w:themeColor="text1"/>
          <w:sz w:val="18"/>
          <w:szCs w:val="18"/>
        </w:rPr>
        <w:t>eport 201</w:t>
      </w:r>
      <w:r>
        <w:rPr>
          <w:rFonts w:eastAsia="Times New Roman"/>
          <w:i/>
          <w:color w:val="000000" w:themeColor="text1"/>
          <w:sz w:val="18"/>
          <w:szCs w:val="18"/>
        </w:rPr>
        <w:t>9</w:t>
      </w:r>
      <w:r w:rsidRPr="00F33F99">
        <w:rPr>
          <w:rFonts w:eastAsia="Times New Roman"/>
          <w:color w:val="000000" w:themeColor="text1"/>
          <w:sz w:val="18"/>
          <w:szCs w:val="18"/>
        </w:rPr>
        <w:t>, Great Barrier Reef Marine Park Authority, Townsville.</w:t>
      </w:r>
    </w:p>
    <w:p w14:paraId="5761CEFF" w14:textId="77777777" w:rsidR="00A56EE9" w:rsidRPr="00F33F99" w:rsidRDefault="00A56EE9" w:rsidP="00BB6AD5">
      <w:pPr>
        <w:spacing w:after="120" w:line="240" w:lineRule="auto"/>
        <w:rPr>
          <w:rFonts w:eastAsia="Times New Roman"/>
          <w:color w:val="000000" w:themeColor="text1"/>
          <w:sz w:val="18"/>
          <w:szCs w:val="18"/>
        </w:rPr>
      </w:pPr>
      <w:r w:rsidRPr="00F33F99">
        <w:rPr>
          <w:rFonts w:eastAsia="Times New Roman"/>
          <w:color w:val="000000" w:themeColor="text1"/>
          <w:sz w:val="18"/>
          <w:szCs w:val="18"/>
        </w:rPr>
        <w:t xml:space="preserve">The assessment and associated text in the report relating to management of defence activities, ports and shipping were prepared by </w:t>
      </w:r>
      <w:r>
        <w:rPr>
          <w:rFonts w:eastAsia="Times New Roman"/>
          <w:color w:val="000000" w:themeColor="text1"/>
          <w:sz w:val="18"/>
          <w:szCs w:val="18"/>
        </w:rPr>
        <w:t>Ground Zero Pty Ltd.</w:t>
      </w:r>
      <w:r w:rsidRPr="00F33F99">
        <w:rPr>
          <w:rFonts w:eastAsia="Times New Roman"/>
          <w:color w:val="000000" w:themeColor="text1"/>
          <w:sz w:val="18"/>
          <w:szCs w:val="18"/>
        </w:rPr>
        <w:t xml:space="preserve"> All other sections of the report were prepared by </w:t>
      </w:r>
      <w:r>
        <w:rPr>
          <w:rFonts w:eastAsia="Times New Roman"/>
          <w:color w:val="000000" w:themeColor="text1"/>
          <w:sz w:val="18"/>
          <w:szCs w:val="18"/>
        </w:rPr>
        <w:t>Protected Area Solutions Pty Ltd.</w:t>
      </w:r>
    </w:p>
    <w:p w14:paraId="5761CF00" w14:textId="77777777" w:rsidR="00A56EE9" w:rsidRPr="00F33F99" w:rsidRDefault="00A56EE9" w:rsidP="00BB6AD5">
      <w:pPr>
        <w:spacing w:after="0" w:line="240" w:lineRule="auto"/>
        <w:rPr>
          <w:rFonts w:eastAsia="Times New Roman"/>
          <w:sz w:val="18"/>
          <w:szCs w:val="18"/>
        </w:rPr>
      </w:pPr>
    </w:p>
    <w:p w14:paraId="5761CF01" w14:textId="77777777" w:rsidR="00A56EE9" w:rsidRPr="0010252A" w:rsidRDefault="00A56EE9" w:rsidP="00BB6AD5">
      <w:pPr>
        <w:rPr>
          <w:rFonts w:cs="Arial"/>
          <w:sz w:val="18"/>
          <w:szCs w:val="18"/>
        </w:rPr>
      </w:pPr>
      <w:r w:rsidRPr="0010252A">
        <w:rPr>
          <w:rFonts w:cs="Arial"/>
          <w:sz w:val="18"/>
          <w:szCs w:val="18"/>
        </w:rPr>
        <w:t>Comments and questions regarding this document should be addressed to:</w:t>
      </w:r>
    </w:p>
    <w:p w14:paraId="5761CF02" w14:textId="77777777" w:rsidR="00A56EE9" w:rsidRPr="0010252A" w:rsidRDefault="00A56EE9" w:rsidP="00BB6AD5">
      <w:pPr>
        <w:rPr>
          <w:rFonts w:cs="Arial"/>
          <w:sz w:val="18"/>
          <w:szCs w:val="18"/>
        </w:rPr>
      </w:pPr>
      <w:r w:rsidRPr="0010252A">
        <w:rPr>
          <w:noProof/>
          <w:lang w:eastAsia="en-AU"/>
        </w:rPr>
        <w:t xml:space="preserve"> </w:t>
      </w:r>
      <w:r w:rsidRPr="0010252A">
        <w:rPr>
          <w:noProof/>
          <w:lang w:eastAsia="en-AU"/>
        </w:rPr>
        <w:drawing>
          <wp:inline distT="0" distB="0" distL="0" distR="0" wp14:anchorId="57620C4A" wp14:editId="19E01115">
            <wp:extent cx="1818640" cy="725805"/>
            <wp:effectExtent l="0" t="0" r="0" b="0"/>
            <wp:docPr id="269" name="Picture 269" descr="Australian Coat of Arms symbol and Great Barrier Reef Marine Park Authority name"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5761CF03" w14:textId="77777777" w:rsidR="00A56EE9" w:rsidRPr="0010252A" w:rsidRDefault="00A56EE9" w:rsidP="00BB6AD5">
      <w:pPr>
        <w:spacing w:after="0"/>
        <w:ind w:left="1134"/>
        <w:rPr>
          <w:rFonts w:cs="Arial"/>
          <w:sz w:val="18"/>
          <w:szCs w:val="18"/>
        </w:rPr>
      </w:pPr>
      <w:r w:rsidRPr="0010252A">
        <w:rPr>
          <w:rFonts w:cs="Arial"/>
          <w:sz w:val="18"/>
          <w:szCs w:val="18"/>
        </w:rPr>
        <w:t>Great Barrier Reef Marine Park Authority</w:t>
      </w:r>
    </w:p>
    <w:p w14:paraId="5761CF04" w14:textId="43D8923D" w:rsidR="00A56EE9" w:rsidRPr="0010252A" w:rsidRDefault="00714795" w:rsidP="00BB6AD5">
      <w:pPr>
        <w:spacing w:after="0"/>
        <w:ind w:left="1134"/>
        <w:rPr>
          <w:rFonts w:cs="Arial"/>
          <w:sz w:val="18"/>
          <w:szCs w:val="18"/>
        </w:rPr>
      </w:pPr>
      <w:r>
        <w:rPr>
          <w:rFonts w:cs="Arial"/>
          <w:sz w:val="18"/>
          <w:szCs w:val="18"/>
        </w:rPr>
        <w:t>280</w:t>
      </w:r>
      <w:r w:rsidR="00A56EE9" w:rsidRPr="0010252A">
        <w:rPr>
          <w:rFonts w:cs="Arial"/>
          <w:sz w:val="18"/>
          <w:szCs w:val="18"/>
        </w:rPr>
        <w:t xml:space="preserve"> Flinders Street</w:t>
      </w:r>
    </w:p>
    <w:p w14:paraId="5761CF05" w14:textId="77777777" w:rsidR="00A56EE9" w:rsidRPr="0010252A" w:rsidRDefault="00A56EE9" w:rsidP="00BB6AD5">
      <w:pPr>
        <w:spacing w:after="0"/>
        <w:ind w:left="1134"/>
        <w:rPr>
          <w:rFonts w:cs="Arial"/>
          <w:sz w:val="18"/>
          <w:szCs w:val="18"/>
        </w:rPr>
      </w:pPr>
      <w:r w:rsidRPr="0010252A">
        <w:rPr>
          <w:rFonts w:cs="Arial"/>
          <w:sz w:val="18"/>
          <w:szCs w:val="18"/>
        </w:rPr>
        <w:t>(PO Box 1379)</w:t>
      </w:r>
    </w:p>
    <w:p w14:paraId="5761CF06" w14:textId="77777777" w:rsidR="00A56EE9" w:rsidRPr="0010252A" w:rsidRDefault="00A56EE9" w:rsidP="00BB6AD5">
      <w:pPr>
        <w:spacing w:after="0"/>
        <w:ind w:left="1134"/>
        <w:rPr>
          <w:rFonts w:cs="Arial"/>
          <w:sz w:val="18"/>
          <w:szCs w:val="18"/>
        </w:rPr>
      </w:pPr>
      <w:r w:rsidRPr="0010252A">
        <w:rPr>
          <w:rFonts w:cs="Arial"/>
          <w:sz w:val="18"/>
          <w:szCs w:val="18"/>
        </w:rPr>
        <w:t>Townsville QLD 4810, Australia</w:t>
      </w:r>
    </w:p>
    <w:p w14:paraId="5761CF07" w14:textId="77777777" w:rsidR="00A56EE9" w:rsidRPr="0010252A" w:rsidRDefault="00A56EE9" w:rsidP="00BB6AD5">
      <w:pPr>
        <w:ind w:left="1134"/>
        <w:rPr>
          <w:rFonts w:cs="Arial"/>
          <w:sz w:val="18"/>
          <w:szCs w:val="18"/>
        </w:rPr>
      </w:pPr>
    </w:p>
    <w:p w14:paraId="5761CF08" w14:textId="77777777" w:rsidR="00A56EE9" w:rsidRPr="0010252A" w:rsidRDefault="00A56EE9" w:rsidP="00BB6AD5">
      <w:pPr>
        <w:spacing w:after="0"/>
        <w:ind w:left="1134"/>
        <w:rPr>
          <w:rFonts w:cs="Arial"/>
          <w:sz w:val="18"/>
          <w:szCs w:val="18"/>
        </w:rPr>
      </w:pPr>
      <w:r w:rsidRPr="0010252A">
        <w:rPr>
          <w:rFonts w:cs="Arial"/>
          <w:sz w:val="18"/>
          <w:szCs w:val="18"/>
        </w:rPr>
        <w:t>Phone: (07) 4750 0700</w:t>
      </w:r>
    </w:p>
    <w:p w14:paraId="5761CF09" w14:textId="3DD75F77" w:rsidR="00A56EE9" w:rsidRPr="0010252A" w:rsidRDefault="00A56EE9" w:rsidP="00BB6AD5">
      <w:pPr>
        <w:spacing w:after="0"/>
        <w:ind w:left="1134"/>
        <w:rPr>
          <w:rFonts w:cs="Arial"/>
          <w:sz w:val="18"/>
          <w:szCs w:val="18"/>
        </w:rPr>
      </w:pPr>
      <w:r w:rsidRPr="0010252A">
        <w:rPr>
          <w:rFonts w:cs="Arial"/>
          <w:sz w:val="18"/>
          <w:szCs w:val="18"/>
        </w:rPr>
        <w:cr/>
        <w:t xml:space="preserve">Email: </w:t>
      </w:r>
      <w:hyperlink r:id="rId21" w:tooltip="email for information" w:history="1">
        <w:r w:rsidRPr="0010252A">
          <w:rPr>
            <w:rStyle w:val="Hyperlink"/>
            <w:rFonts w:cs="Arial"/>
            <w:sz w:val="18"/>
            <w:szCs w:val="18"/>
          </w:rPr>
          <w:t>info@gbrmpa.gov.au</w:t>
        </w:r>
      </w:hyperlink>
    </w:p>
    <w:p w14:paraId="5761CF0A" w14:textId="424A73EF" w:rsidR="00A56EE9" w:rsidRDefault="008B5998" w:rsidP="00BB6AD5">
      <w:pPr>
        <w:ind w:left="414" w:firstLine="720"/>
        <w:rPr>
          <w:rFonts w:cs="Arial"/>
          <w:sz w:val="18"/>
          <w:szCs w:val="18"/>
        </w:rPr>
      </w:pPr>
      <w:hyperlink r:id="rId22" w:tooltip="GBRMPA website" w:history="1">
        <w:r w:rsidR="00A56EE9" w:rsidRPr="00AC7418">
          <w:rPr>
            <w:rStyle w:val="Hyperlink"/>
            <w:rFonts w:cs="Arial"/>
            <w:sz w:val="18"/>
            <w:szCs w:val="18"/>
          </w:rPr>
          <w:t>www.gbrmpa.gov.au</w:t>
        </w:r>
      </w:hyperlink>
    </w:p>
    <w:p w14:paraId="5761CF0B" w14:textId="77777777" w:rsidR="00A56EE9" w:rsidRDefault="00A56EE9">
      <w:pPr>
        <w:rPr>
          <w:rFonts w:cs="Arial"/>
          <w:sz w:val="18"/>
          <w:szCs w:val="18"/>
        </w:rPr>
      </w:pPr>
      <w:r>
        <w:rPr>
          <w:rFonts w:cs="Arial"/>
          <w:sz w:val="18"/>
          <w:szCs w:val="18"/>
        </w:rPr>
        <w:br w:type="page"/>
      </w:r>
    </w:p>
    <w:p w14:paraId="5761CF0C" w14:textId="77777777" w:rsidR="00A56EE9" w:rsidRDefault="00A56EE9" w:rsidP="00BB6AD5">
      <w:pPr>
        <w:pStyle w:val="Header3"/>
      </w:pPr>
      <w:bookmarkStart w:id="0" w:name="_Toc523423745"/>
      <w:r>
        <w:lastRenderedPageBreak/>
        <w:t>Contents</w:t>
      </w:r>
      <w:bookmarkEnd w:id="0"/>
    </w:p>
    <w:p w14:paraId="5761CF0D" w14:textId="2215F3B5" w:rsidR="00A56EE9" w:rsidRDefault="00A56EE9">
      <w:pPr>
        <w:pStyle w:val="TOC2"/>
        <w:tabs>
          <w:tab w:val="right" w:leader="dot" w:pos="9016"/>
        </w:tabs>
        <w:rPr>
          <w:rFonts w:eastAsiaTheme="minorEastAsia" w:cstheme="minorBidi"/>
          <w:smallCaps w:val="0"/>
          <w:noProof/>
          <w:sz w:val="22"/>
          <w:szCs w:val="22"/>
          <w:lang w:val="en-GB" w:eastAsia="en-GB"/>
        </w:rPr>
      </w:pPr>
      <w:r>
        <w:rPr>
          <w:b/>
          <w:bCs/>
          <w:caps/>
        </w:rPr>
        <w:fldChar w:fldCharType="begin"/>
      </w:r>
      <w:r>
        <w:rPr>
          <w:b/>
          <w:bCs/>
          <w:caps/>
        </w:rPr>
        <w:instrText xml:space="preserve"> TOC \o "1-3" \h \z \u </w:instrText>
      </w:r>
      <w:r>
        <w:rPr>
          <w:b/>
          <w:bCs/>
          <w:caps/>
        </w:rPr>
        <w:fldChar w:fldCharType="separate"/>
      </w:r>
      <w:hyperlink w:anchor="_Toc523423745" w:history="1">
        <w:r w:rsidRPr="0056417B">
          <w:rPr>
            <w:rStyle w:val="Hyperlink"/>
            <w:noProof/>
          </w:rPr>
          <w:t>Contents</w:t>
        </w:r>
        <w:r>
          <w:rPr>
            <w:noProof/>
            <w:webHidden/>
          </w:rPr>
          <w:tab/>
        </w:r>
        <w:r>
          <w:rPr>
            <w:noProof/>
            <w:webHidden/>
          </w:rPr>
          <w:fldChar w:fldCharType="begin"/>
        </w:r>
        <w:r>
          <w:rPr>
            <w:noProof/>
            <w:webHidden/>
          </w:rPr>
          <w:instrText xml:space="preserve"> PAGEREF _Toc523423745 \h </w:instrText>
        </w:r>
        <w:r>
          <w:rPr>
            <w:noProof/>
            <w:webHidden/>
          </w:rPr>
        </w:r>
        <w:r>
          <w:rPr>
            <w:noProof/>
            <w:webHidden/>
          </w:rPr>
          <w:fldChar w:fldCharType="separate"/>
        </w:r>
        <w:r w:rsidR="00A4170C">
          <w:rPr>
            <w:noProof/>
            <w:webHidden/>
          </w:rPr>
          <w:t>4</w:t>
        </w:r>
        <w:r>
          <w:rPr>
            <w:noProof/>
            <w:webHidden/>
          </w:rPr>
          <w:fldChar w:fldCharType="end"/>
        </w:r>
      </w:hyperlink>
    </w:p>
    <w:p w14:paraId="5761CF0E" w14:textId="129F0507" w:rsidR="00A56EE9" w:rsidRDefault="008B5998">
      <w:pPr>
        <w:pStyle w:val="TOC1"/>
        <w:tabs>
          <w:tab w:val="right" w:leader="dot" w:pos="9016"/>
        </w:tabs>
        <w:rPr>
          <w:rFonts w:eastAsiaTheme="minorEastAsia" w:cstheme="minorBidi"/>
          <w:b w:val="0"/>
          <w:bCs w:val="0"/>
          <w:caps w:val="0"/>
          <w:noProof/>
          <w:sz w:val="22"/>
          <w:szCs w:val="22"/>
          <w:lang w:val="en-GB" w:eastAsia="en-GB"/>
        </w:rPr>
      </w:pPr>
      <w:hyperlink w:anchor="_Toc523423746" w:history="1">
        <w:r w:rsidR="00A56EE9" w:rsidRPr="0056417B">
          <w:rPr>
            <w:rStyle w:val="Hyperlink"/>
            <w:noProof/>
          </w:rPr>
          <w:t>Executive Summary</w:t>
        </w:r>
        <w:r w:rsidR="00A56EE9">
          <w:rPr>
            <w:noProof/>
            <w:webHidden/>
          </w:rPr>
          <w:tab/>
        </w:r>
        <w:r w:rsidR="00A56EE9">
          <w:rPr>
            <w:noProof/>
            <w:webHidden/>
          </w:rPr>
          <w:fldChar w:fldCharType="begin"/>
        </w:r>
        <w:r w:rsidR="00A56EE9">
          <w:rPr>
            <w:noProof/>
            <w:webHidden/>
          </w:rPr>
          <w:instrText xml:space="preserve"> PAGEREF _Toc523423746 \h </w:instrText>
        </w:r>
        <w:r w:rsidR="00A56EE9">
          <w:rPr>
            <w:noProof/>
            <w:webHidden/>
          </w:rPr>
        </w:r>
        <w:r w:rsidR="00A56EE9">
          <w:rPr>
            <w:noProof/>
            <w:webHidden/>
          </w:rPr>
          <w:fldChar w:fldCharType="separate"/>
        </w:r>
        <w:r w:rsidR="00A4170C">
          <w:rPr>
            <w:noProof/>
            <w:webHidden/>
          </w:rPr>
          <w:t>i</w:t>
        </w:r>
        <w:r w:rsidR="00A56EE9">
          <w:rPr>
            <w:noProof/>
            <w:webHidden/>
          </w:rPr>
          <w:fldChar w:fldCharType="end"/>
        </w:r>
      </w:hyperlink>
    </w:p>
    <w:p w14:paraId="5761CF0F" w14:textId="3D00BCFE"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47" w:history="1">
        <w:r w:rsidR="00A56EE9" w:rsidRPr="0056417B">
          <w:rPr>
            <w:rStyle w:val="Hyperlink"/>
            <w:noProof/>
          </w:rPr>
          <w:t>Framework for the report</w:t>
        </w:r>
        <w:r w:rsidR="00A56EE9">
          <w:rPr>
            <w:noProof/>
            <w:webHidden/>
          </w:rPr>
          <w:tab/>
        </w:r>
        <w:r w:rsidR="00A56EE9">
          <w:rPr>
            <w:noProof/>
            <w:webHidden/>
          </w:rPr>
          <w:fldChar w:fldCharType="begin"/>
        </w:r>
        <w:r w:rsidR="00A56EE9">
          <w:rPr>
            <w:noProof/>
            <w:webHidden/>
          </w:rPr>
          <w:instrText xml:space="preserve"> PAGEREF _Toc523423747 \h </w:instrText>
        </w:r>
        <w:r w:rsidR="00A56EE9">
          <w:rPr>
            <w:noProof/>
            <w:webHidden/>
          </w:rPr>
        </w:r>
        <w:r w:rsidR="00A56EE9">
          <w:rPr>
            <w:noProof/>
            <w:webHidden/>
          </w:rPr>
          <w:fldChar w:fldCharType="separate"/>
        </w:r>
        <w:r w:rsidR="00A4170C">
          <w:rPr>
            <w:noProof/>
            <w:webHidden/>
          </w:rPr>
          <w:t>i</w:t>
        </w:r>
        <w:r w:rsidR="00A56EE9">
          <w:rPr>
            <w:noProof/>
            <w:webHidden/>
          </w:rPr>
          <w:fldChar w:fldCharType="end"/>
        </w:r>
      </w:hyperlink>
    </w:p>
    <w:p w14:paraId="5761CF10" w14:textId="40A2FD16"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48" w:history="1">
        <w:r w:rsidR="00A56EE9" w:rsidRPr="0056417B">
          <w:rPr>
            <w:rStyle w:val="Hyperlink"/>
            <w:noProof/>
          </w:rPr>
          <w:t>Key findings</w:t>
        </w:r>
        <w:r w:rsidR="00A56EE9">
          <w:rPr>
            <w:noProof/>
            <w:webHidden/>
          </w:rPr>
          <w:tab/>
        </w:r>
        <w:r w:rsidR="00A56EE9">
          <w:rPr>
            <w:noProof/>
            <w:webHidden/>
          </w:rPr>
          <w:fldChar w:fldCharType="begin"/>
        </w:r>
        <w:r w:rsidR="00A56EE9">
          <w:rPr>
            <w:noProof/>
            <w:webHidden/>
          </w:rPr>
          <w:instrText xml:space="preserve"> PAGEREF _Toc523423748 \h </w:instrText>
        </w:r>
        <w:r w:rsidR="00A56EE9">
          <w:rPr>
            <w:noProof/>
            <w:webHidden/>
          </w:rPr>
        </w:r>
        <w:r w:rsidR="00A56EE9">
          <w:rPr>
            <w:noProof/>
            <w:webHidden/>
          </w:rPr>
          <w:fldChar w:fldCharType="separate"/>
        </w:r>
        <w:r w:rsidR="00A4170C">
          <w:rPr>
            <w:noProof/>
            <w:webHidden/>
          </w:rPr>
          <w:t>i</w:t>
        </w:r>
        <w:r w:rsidR="00A56EE9">
          <w:rPr>
            <w:noProof/>
            <w:webHidden/>
          </w:rPr>
          <w:fldChar w:fldCharType="end"/>
        </w:r>
      </w:hyperlink>
    </w:p>
    <w:p w14:paraId="5761CF11" w14:textId="2BD9E39B"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49" w:history="1">
        <w:r w:rsidR="00A56EE9" w:rsidRPr="0056417B">
          <w:rPr>
            <w:rStyle w:val="Hyperlink"/>
            <w:noProof/>
          </w:rPr>
          <w:t>Trends</w:t>
        </w:r>
        <w:r w:rsidR="00A56EE9">
          <w:rPr>
            <w:noProof/>
            <w:webHidden/>
          </w:rPr>
          <w:tab/>
        </w:r>
        <w:r w:rsidR="00A56EE9">
          <w:rPr>
            <w:noProof/>
            <w:webHidden/>
          </w:rPr>
          <w:fldChar w:fldCharType="begin"/>
        </w:r>
        <w:r w:rsidR="00A56EE9">
          <w:rPr>
            <w:noProof/>
            <w:webHidden/>
          </w:rPr>
          <w:instrText xml:space="preserve"> PAGEREF _Toc523423749 \h </w:instrText>
        </w:r>
        <w:r w:rsidR="00A56EE9">
          <w:rPr>
            <w:noProof/>
            <w:webHidden/>
          </w:rPr>
        </w:r>
        <w:r w:rsidR="00A56EE9">
          <w:rPr>
            <w:noProof/>
            <w:webHidden/>
          </w:rPr>
          <w:fldChar w:fldCharType="separate"/>
        </w:r>
        <w:r w:rsidR="00A4170C">
          <w:rPr>
            <w:noProof/>
            <w:webHidden/>
          </w:rPr>
          <w:t>iii</w:t>
        </w:r>
        <w:r w:rsidR="00A56EE9">
          <w:rPr>
            <w:noProof/>
            <w:webHidden/>
          </w:rPr>
          <w:fldChar w:fldCharType="end"/>
        </w:r>
      </w:hyperlink>
    </w:p>
    <w:p w14:paraId="5761CF12" w14:textId="784ED3CE"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50" w:history="1">
        <w:r w:rsidR="00A56EE9" w:rsidRPr="0056417B">
          <w:rPr>
            <w:rStyle w:val="Hyperlink"/>
            <w:noProof/>
          </w:rPr>
          <w:t>Managing direct use</w:t>
        </w:r>
        <w:r w:rsidR="00A56EE9">
          <w:rPr>
            <w:noProof/>
            <w:webHidden/>
          </w:rPr>
          <w:tab/>
        </w:r>
        <w:r w:rsidR="00A56EE9">
          <w:rPr>
            <w:noProof/>
            <w:webHidden/>
          </w:rPr>
          <w:fldChar w:fldCharType="begin"/>
        </w:r>
        <w:r w:rsidR="00A56EE9">
          <w:rPr>
            <w:noProof/>
            <w:webHidden/>
          </w:rPr>
          <w:instrText xml:space="preserve"> PAGEREF _Toc523423750 \h </w:instrText>
        </w:r>
        <w:r w:rsidR="00A56EE9">
          <w:rPr>
            <w:noProof/>
            <w:webHidden/>
          </w:rPr>
        </w:r>
        <w:r w:rsidR="00A56EE9">
          <w:rPr>
            <w:noProof/>
            <w:webHidden/>
          </w:rPr>
          <w:fldChar w:fldCharType="separate"/>
        </w:r>
        <w:r w:rsidR="00A4170C">
          <w:rPr>
            <w:noProof/>
            <w:webHidden/>
          </w:rPr>
          <w:t>iv</w:t>
        </w:r>
        <w:r w:rsidR="00A56EE9">
          <w:rPr>
            <w:noProof/>
            <w:webHidden/>
          </w:rPr>
          <w:fldChar w:fldCharType="end"/>
        </w:r>
      </w:hyperlink>
    </w:p>
    <w:p w14:paraId="5761CF13" w14:textId="0E36A840"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51" w:history="1">
        <w:r w:rsidR="00A56EE9" w:rsidRPr="0056417B">
          <w:rPr>
            <w:rStyle w:val="Hyperlink"/>
            <w:noProof/>
          </w:rPr>
          <w:t>Commercial marine tourism</w:t>
        </w:r>
        <w:r w:rsidR="00A56EE9">
          <w:rPr>
            <w:noProof/>
            <w:webHidden/>
          </w:rPr>
          <w:tab/>
        </w:r>
        <w:r w:rsidR="00A56EE9">
          <w:rPr>
            <w:noProof/>
            <w:webHidden/>
          </w:rPr>
          <w:fldChar w:fldCharType="begin"/>
        </w:r>
        <w:r w:rsidR="00A56EE9">
          <w:rPr>
            <w:noProof/>
            <w:webHidden/>
          </w:rPr>
          <w:instrText xml:space="preserve"> PAGEREF _Toc523423751 \h </w:instrText>
        </w:r>
        <w:r w:rsidR="00A56EE9">
          <w:rPr>
            <w:noProof/>
            <w:webHidden/>
          </w:rPr>
        </w:r>
        <w:r w:rsidR="00A56EE9">
          <w:rPr>
            <w:noProof/>
            <w:webHidden/>
          </w:rPr>
          <w:fldChar w:fldCharType="separate"/>
        </w:r>
        <w:r w:rsidR="00A4170C">
          <w:rPr>
            <w:noProof/>
            <w:webHidden/>
          </w:rPr>
          <w:t>iv</w:t>
        </w:r>
        <w:r w:rsidR="00A56EE9">
          <w:rPr>
            <w:noProof/>
            <w:webHidden/>
          </w:rPr>
          <w:fldChar w:fldCharType="end"/>
        </w:r>
      </w:hyperlink>
    </w:p>
    <w:p w14:paraId="5761CF14" w14:textId="1CD92A9E"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52" w:history="1">
        <w:r w:rsidR="00A56EE9" w:rsidRPr="0056417B">
          <w:rPr>
            <w:rStyle w:val="Hyperlink"/>
            <w:noProof/>
          </w:rPr>
          <w:t>Fishing (Commercial and Recreational)</w:t>
        </w:r>
        <w:r w:rsidR="00A56EE9">
          <w:rPr>
            <w:noProof/>
            <w:webHidden/>
          </w:rPr>
          <w:tab/>
        </w:r>
        <w:r w:rsidR="00A56EE9">
          <w:rPr>
            <w:noProof/>
            <w:webHidden/>
          </w:rPr>
          <w:fldChar w:fldCharType="begin"/>
        </w:r>
        <w:r w:rsidR="00A56EE9">
          <w:rPr>
            <w:noProof/>
            <w:webHidden/>
          </w:rPr>
          <w:instrText xml:space="preserve"> PAGEREF _Toc523423752 \h </w:instrText>
        </w:r>
        <w:r w:rsidR="00A56EE9">
          <w:rPr>
            <w:noProof/>
            <w:webHidden/>
          </w:rPr>
        </w:r>
        <w:r w:rsidR="00A56EE9">
          <w:rPr>
            <w:noProof/>
            <w:webHidden/>
          </w:rPr>
          <w:fldChar w:fldCharType="separate"/>
        </w:r>
        <w:r w:rsidR="00A4170C">
          <w:rPr>
            <w:noProof/>
            <w:webHidden/>
          </w:rPr>
          <w:t>v</w:t>
        </w:r>
        <w:r w:rsidR="00A56EE9">
          <w:rPr>
            <w:noProof/>
            <w:webHidden/>
          </w:rPr>
          <w:fldChar w:fldCharType="end"/>
        </w:r>
      </w:hyperlink>
    </w:p>
    <w:p w14:paraId="5761CF15" w14:textId="308AA1A2"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53" w:history="1">
        <w:r w:rsidR="00A56EE9" w:rsidRPr="0056417B">
          <w:rPr>
            <w:rStyle w:val="Hyperlink"/>
            <w:noProof/>
          </w:rPr>
          <w:t>Ports</w:t>
        </w:r>
        <w:r w:rsidR="00A56EE9">
          <w:rPr>
            <w:noProof/>
            <w:webHidden/>
          </w:rPr>
          <w:tab/>
        </w:r>
        <w:r w:rsidR="00A56EE9">
          <w:rPr>
            <w:noProof/>
            <w:webHidden/>
          </w:rPr>
          <w:fldChar w:fldCharType="begin"/>
        </w:r>
        <w:r w:rsidR="00A56EE9">
          <w:rPr>
            <w:noProof/>
            <w:webHidden/>
          </w:rPr>
          <w:instrText xml:space="preserve"> PAGEREF _Toc523423753 \h </w:instrText>
        </w:r>
        <w:r w:rsidR="00A56EE9">
          <w:rPr>
            <w:noProof/>
            <w:webHidden/>
          </w:rPr>
        </w:r>
        <w:r w:rsidR="00A56EE9">
          <w:rPr>
            <w:noProof/>
            <w:webHidden/>
          </w:rPr>
          <w:fldChar w:fldCharType="separate"/>
        </w:r>
        <w:r w:rsidR="00A4170C">
          <w:rPr>
            <w:noProof/>
            <w:webHidden/>
          </w:rPr>
          <w:t>v</w:t>
        </w:r>
        <w:r w:rsidR="00A56EE9">
          <w:rPr>
            <w:noProof/>
            <w:webHidden/>
          </w:rPr>
          <w:fldChar w:fldCharType="end"/>
        </w:r>
      </w:hyperlink>
    </w:p>
    <w:p w14:paraId="5761CF16" w14:textId="0A95D4F7"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54" w:history="1">
        <w:r w:rsidR="00A56EE9" w:rsidRPr="0056417B">
          <w:rPr>
            <w:rStyle w:val="Hyperlink"/>
            <w:noProof/>
          </w:rPr>
          <w:t>Research activities</w:t>
        </w:r>
        <w:r w:rsidR="00A56EE9">
          <w:rPr>
            <w:noProof/>
            <w:webHidden/>
          </w:rPr>
          <w:tab/>
        </w:r>
        <w:r w:rsidR="00A56EE9">
          <w:rPr>
            <w:noProof/>
            <w:webHidden/>
          </w:rPr>
          <w:fldChar w:fldCharType="begin"/>
        </w:r>
        <w:r w:rsidR="00A56EE9">
          <w:rPr>
            <w:noProof/>
            <w:webHidden/>
          </w:rPr>
          <w:instrText xml:space="preserve"> PAGEREF _Toc523423754 \h </w:instrText>
        </w:r>
        <w:r w:rsidR="00A56EE9">
          <w:rPr>
            <w:noProof/>
            <w:webHidden/>
          </w:rPr>
        </w:r>
        <w:r w:rsidR="00A56EE9">
          <w:rPr>
            <w:noProof/>
            <w:webHidden/>
          </w:rPr>
          <w:fldChar w:fldCharType="separate"/>
        </w:r>
        <w:r w:rsidR="00A4170C">
          <w:rPr>
            <w:noProof/>
            <w:webHidden/>
          </w:rPr>
          <w:t>v</w:t>
        </w:r>
        <w:r w:rsidR="00A56EE9">
          <w:rPr>
            <w:noProof/>
            <w:webHidden/>
          </w:rPr>
          <w:fldChar w:fldCharType="end"/>
        </w:r>
      </w:hyperlink>
    </w:p>
    <w:p w14:paraId="5761CF17" w14:textId="7772A68B"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55" w:history="1">
        <w:r w:rsidR="00A56EE9" w:rsidRPr="0056417B">
          <w:rPr>
            <w:rStyle w:val="Hyperlink"/>
            <w:noProof/>
          </w:rPr>
          <w:t>Recreational use (excluding fishing)</w:t>
        </w:r>
        <w:r w:rsidR="00A56EE9">
          <w:rPr>
            <w:noProof/>
            <w:webHidden/>
          </w:rPr>
          <w:tab/>
        </w:r>
        <w:r w:rsidR="00A56EE9">
          <w:rPr>
            <w:noProof/>
            <w:webHidden/>
          </w:rPr>
          <w:fldChar w:fldCharType="begin"/>
        </w:r>
        <w:r w:rsidR="00A56EE9">
          <w:rPr>
            <w:noProof/>
            <w:webHidden/>
          </w:rPr>
          <w:instrText xml:space="preserve"> PAGEREF _Toc523423755 \h </w:instrText>
        </w:r>
        <w:r w:rsidR="00A56EE9">
          <w:rPr>
            <w:noProof/>
            <w:webHidden/>
          </w:rPr>
        </w:r>
        <w:r w:rsidR="00A56EE9">
          <w:rPr>
            <w:noProof/>
            <w:webHidden/>
          </w:rPr>
          <w:fldChar w:fldCharType="separate"/>
        </w:r>
        <w:r w:rsidR="00A4170C">
          <w:rPr>
            <w:noProof/>
            <w:webHidden/>
          </w:rPr>
          <w:t>vi</w:t>
        </w:r>
        <w:r w:rsidR="00A56EE9">
          <w:rPr>
            <w:noProof/>
            <w:webHidden/>
          </w:rPr>
          <w:fldChar w:fldCharType="end"/>
        </w:r>
      </w:hyperlink>
    </w:p>
    <w:p w14:paraId="5761CF18" w14:textId="40CFDD8E"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56" w:history="1">
        <w:r w:rsidR="00A56EE9" w:rsidRPr="0056417B">
          <w:rPr>
            <w:rStyle w:val="Hyperlink"/>
            <w:noProof/>
          </w:rPr>
          <w:t>Shipping</w:t>
        </w:r>
        <w:r w:rsidR="00A56EE9">
          <w:rPr>
            <w:noProof/>
            <w:webHidden/>
          </w:rPr>
          <w:tab/>
        </w:r>
        <w:r w:rsidR="00A56EE9">
          <w:rPr>
            <w:noProof/>
            <w:webHidden/>
          </w:rPr>
          <w:fldChar w:fldCharType="begin"/>
        </w:r>
        <w:r w:rsidR="00A56EE9">
          <w:rPr>
            <w:noProof/>
            <w:webHidden/>
          </w:rPr>
          <w:instrText xml:space="preserve"> PAGEREF _Toc523423756 \h </w:instrText>
        </w:r>
        <w:r w:rsidR="00A56EE9">
          <w:rPr>
            <w:noProof/>
            <w:webHidden/>
          </w:rPr>
        </w:r>
        <w:r w:rsidR="00A56EE9">
          <w:rPr>
            <w:noProof/>
            <w:webHidden/>
          </w:rPr>
          <w:fldChar w:fldCharType="separate"/>
        </w:r>
        <w:r w:rsidR="00A4170C">
          <w:rPr>
            <w:noProof/>
            <w:webHidden/>
          </w:rPr>
          <w:t>vii</w:t>
        </w:r>
        <w:r w:rsidR="00A56EE9">
          <w:rPr>
            <w:noProof/>
            <w:webHidden/>
          </w:rPr>
          <w:fldChar w:fldCharType="end"/>
        </w:r>
      </w:hyperlink>
    </w:p>
    <w:p w14:paraId="5761CF19" w14:textId="42429ABB"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57" w:history="1">
        <w:r w:rsidR="00A56EE9" w:rsidRPr="0056417B">
          <w:rPr>
            <w:rStyle w:val="Hyperlink"/>
            <w:noProof/>
          </w:rPr>
          <w:t>Traditional use of marine resources</w:t>
        </w:r>
        <w:r w:rsidR="00A56EE9">
          <w:rPr>
            <w:noProof/>
            <w:webHidden/>
          </w:rPr>
          <w:tab/>
        </w:r>
        <w:r w:rsidR="00A56EE9">
          <w:rPr>
            <w:noProof/>
            <w:webHidden/>
          </w:rPr>
          <w:fldChar w:fldCharType="begin"/>
        </w:r>
        <w:r w:rsidR="00A56EE9">
          <w:rPr>
            <w:noProof/>
            <w:webHidden/>
          </w:rPr>
          <w:instrText xml:space="preserve"> PAGEREF _Toc523423757 \h </w:instrText>
        </w:r>
        <w:r w:rsidR="00A56EE9">
          <w:rPr>
            <w:noProof/>
            <w:webHidden/>
          </w:rPr>
        </w:r>
        <w:r w:rsidR="00A56EE9">
          <w:rPr>
            <w:noProof/>
            <w:webHidden/>
          </w:rPr>
          <w:fldChar w:fldCharType="separate"/>
        </w:r>
        <w:r w:rsidR="00A4170C">
          <w:rPr>
            <w:noProof/>
            <w:webHidden/>
          </w:rPr>
          <w:t>vii</w:t>
        </w:r>
        <w:r w:rsidR="00A56EE9">
          <w:rPr>
            <w:noProof/>
            <w:webHidden/>
          </w:rPr>
          <w:fldChar w:fldCharType="end"/>
        </w:r>
      </w:hyperlink>
    </w:p>
    <w:p w14:paraId="5761CF1A" w14:textId="1F2C37D2"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58" w:history="1">
        <w:r w:rsidR="00A56EE9" w:rsidRPr="0056417B">
          <w:rPr>
            <w:rStyle w:val="Hyperlink"/>
            <w:noProof/>
          </w:rPr>
          <w:t>Managing external factors influencing the Region</w:t>
        </w:r>
        <w:r w:rsidR="00A56EE9">
          <w:rPr>
            <w:noProof/>
            <w:webHidden/>
          </w:rPr>
          <w:tab/>
        </w:r>
        <w:r w:rsidR="00A56EE9">
          <w:rPr>
            <w:noProof/>
            <w:webHidden/>
          </w:rPr>
          <w:fldChar w:fldCharType="begin"/>
        </w:r>
        <w:r w:rsidR="00A56EE9">
          <w:rPr>
            <w:noProof/>
            <w:webHidden/>
          </w:rPr>
          <w:instrText xml:space="preserve"> PAGEREF _Toc523423758 \h </w:instrText>
        </w:r>
        <w:r w:rsidR="00A56EE9">
          <w:rPr>
            <w:noProof/>
            <w:webHidden/>
          </w:rPr>
        </w:r>
        <w:r w:rsidR="00A56EE9">
          <w:rPr>
            <w:noProof/>
            <w:webHidden/>
          </w:rPr>
          <w:fldChar w:fldCharType="separate"/>
        </w:r>
        <w:r w:rsidR="00A4170C">
          <w:rPr>
            <w:noProof/>
            <w:webHidden/>
          </w:rPr>
          <w:t>viii</w:t>
        </w:r>
        <w:r w:rsidR="00A56EE9">
          <w:rPr>
            <w:noProof/>
            <w:webHidden/>
          </w:rPr>
          <w:fldChar w:fldCharType="end"/>
        </w:r>
      </w:hyperlink>
    </w:p>
    <w:p w14:paraId="5761CF1B" w14:textId="349B88D1"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59" w:history="1">
        <w:r w:rsidR="00A56EE9" w:rsidRPr="0056417B">
          <w:rPr>
            <w:rStyle w:val="Hyperlink"/>
            <w:noProof/>
          </w:rPr>
          <w:t>Climate change</w:t>
        </w:r>
        <w:r w:rsidR="00A56EE9">
          <w:rPr>
            <w:noProof/>
            <w:webHidden/>
          </w:rPr>
          <w:tab/>
        </w:r>
        <w:r w:rsidR="00A56EE9">
          <w:rPr>
            <w:noProof/>
            <w:webHidden/>
          </w:rPr>
          <w:fldChar w:fldCharType="begin"/>
        </w:r>
        <w:r w:rsidR="00A56EE9">
          <w:rPr>
            <w:noProof/>
            <w:webHidden/>
          </w:rPr>
          <w:instrText xml:space="preserve"> PAGEREF _Toc523423759 \h </w:instrText>
        </w:r>
        <w:r w:rsidR="00A56EE9">
          <w:rPr>
            <w:noProof/>
            <w:webHidden/>
          </w:rPr>
        </w:r>
        <w:r w:rsidR="00A56EE9">
          <w:rPr>
            <w:noProof/>
            <w:webHidden/>
          </w:rPr>
          <w:fldChar w:fldCharType="separate"/>
        </w:r>
        <w:r w:rsidR="00A4170C">
          <w:rPr>
            <w:noProof/>
            <w:webHidden/>
          </w:rPr>
          <w:t>viii</w:t>
        </w:r>
        <w:r w:rsidR="00A56EE9">
          <w:rPr>
            <w:noProof/>
            <w:webHidden/>
          </w:rPr>
          <w:fldChar w:fldCharType="end"/>
        </w:r>
      </w:hyperlink>
    </w:p>
    <w:p w14:paraId="5761CF1C" w14:textId="229C1230"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60" w:history="1">
        <w:r w:rsidR="00A56EE9" w:rsidRPr="0056417B">
          <w:rPr>
            <w:rStyle w:val="Hyperlink"/>
            <w:noProof/>
          </w:rPr>
          <w:t>Coastal development</w:t>
        </w:r>
        <w:r w:rsidR="00A56EE9">
          <w:rPr>
            <w:noProof/>
            <w:webHidden/>
          </w:rPr>
          <w:tab/>
        </w:r>
        <w:r w:rsidR="00A56EE9">
          <w:rPr>
            <w:noProof/>
            <w:webHidden/>
          </w:rPr>
          <w:fldChar w:fldCharType="begin"/>
        </w:r>
        <w:r w:rsidR="00A56EE9">
          <w:rPr>
            <w:noProof/>
            <w:webHidden/>
          </w:rPr>
          <w:instrText xml:space="preserve"> PAGEREF _Toc523423760 \h </w:instrText>
        </w:r>
        <w:r w:rsidR="00A56EE9">
          <w:rPr>
            <w:noProof/>
            <w:webHidden/>
          </w:rPr>
        </w:r>
        <w:r w:rsidR="00A56EE9">
          <w:rPr>
            <w:noProof/>
            <w:webHidden/>
          </w:rPr>
          <w:fldChar w:fldCharType="separate"/>
        </w:r>
        <w:r w:rsidR="00A4170C">
          <w:rPr>
            <w:noProof/>
            <w:webHidden/>
          </w:rPr>
          <w:t>ix</w:t>
        </w:r>
        <w:r w:rsidR="00A56EE9">
          <w:rPr>
            <w:noProof/>
            <w:webHidden/>
          </w:rPr>
          <w:fldChar w:fldCharType="end"/>
        </w:r>
      </w:hyperlink>
    </w:p>
    <w:p w14:paraId="5761CF1D" w14:textId="3A97075A"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61" w:history="1">
        <w:r w:rsidR="00A56EE9" w:rsidRPr="0056417B">
          <w:rPr>
            <w:rStyle w:val="Hyperlink"/>
            <w:noProof/>
          </w:rPr>
          <w:t>Land-based run-off</w:t>
        </w:r>
        <w:r w:rsidR="00A56EE9">
          <w:rPr>
            <w:noProof/>
            <w:webHidden/>
          </w:rPr>
          <w:tab/>
        </w:r>
        <w:r w:rsidR="00A56EE9">
          <w:rPr>
            <w:noProof/>
            <w:webHidden/>
          </w:rPr>
          <w:fldChar w:fldCharType="begin"/>
        </w:r>
        <w:r w:rsidR="00A56EE9">
          <w:rPr>
            <w:noProof/>
            <w:webHidden/>
          </w:rPr>
          <w:instrText xml:space="preserve"> PAGEREF _Toc523423761 \h </w:instrText>
        </w:r>
        <w:r w:rsidR="00A56EE9">
          <w:rPr>
            <w:noProof/>
            <w:webHidden/>
          </w:rPr>
        </w:r>
        <w:r w:rsidR="00A56EE9">
          <w:rPr>
            <w:noProof/>
            <w:webHidden/>
          </w:rPr>
          <w:fldChar w:fldCharType="separate"/>
        </w:r>
        <w:r w:rsidR="00A4170C">
          <w:rPr>
            <w:noProof/>
            <w:webHidden/>
          </w:rPr>
          <w:t>ix</w:t>
        </w:r>
        <w:r w:rsidR="00A56EE9">
          <w:rPr>
            <w:noProof/>
            <w:webHidden/>
          </w:rPr>
          <w:fldChar w:fldCharType="end"/>
        </w:r>
      </w:hyperlink>
    </w:p>
    <w:p w14:paraId="5761CF1E" w14:textId="13E03158"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62" w:history="1">
        <w:r w:rsidR="00A56EE9" w:rsidRPr="0056417B">
          <w:rPr>
            <w:rStyle w:val="Hyperlink"/>
            <w:noProof/>
          </w:rPr>
          <w:t>Managing to protect the Region’s values</w:t>
        </w:r>
        <w:r w:rsidR="00A56EE9">
          <w:rPr>
            <w:noProof/>
            <w:webHidden/>
          </w:rPr>
          <w:tab/>
        </w:r>
        <w:r w:rsidR="00A56EE9">
          <w:rPr>
            <w:noProof/>
            <w:webHidden/>
          </w:rPr>
          <w:fldChar w:fldCharType="begin"/>
        </w:r>
        <w:r w:rsidR="00A56EE9">
          <w:rPr>
            <w:noProof/>
            <w:webHidden/>
          </w:rPr>
          <w:instrText xml:space="preserve"> PAGEREF _Toc523423762 \h </w:instrText>
        </w:r>
        <w:r w:rsidR="00A56EE9">
          <w:rPr>
            <w:noProof/>
            <w:webHidden/>
          </w:rPr>
        </w:r>
        <w:r w:rsidR="00A56EE9">
          <w:rPr>
            <w:noProof/>
            <w:webHidden/>
          </w:rPr>
          <w:fldChar w:fldCharType="separate"/>
        </w:r>
        <w:r w:rsidR="00A4170C">
          <w:rPr>
            <w:noProof/>
            <w:webHidden/>
          </w:rPr>
          <w:t>x</w:t>
        </w:r>
        <w:r w:rsidR="00A56EE9">
          <w:rPr>
            <w:noProof/>
            <w:webHidden/>
          </w:rPr>
          <w:fldChar w:fldCharType="end"/>
        </w:r>
      </w:hyperlink>
    </w:p>
    <w:p w14:paraId="5761CF1F" w14:textId="7B538119"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63" w:history="1">
        <w:r w:rsidR="00A56EE9" w:rsidRPr="0056417B">
          <w:rPr>
            <w:rStyle w:val="Hyperlink"/>
            <w:noProof/>
          </w:rPr>
          <w:t>Biodiversity values</w:t>
        </w:r>
        <w:r w:rsidR="00A56EE9">
          <w:rPr>
            <w:noProof/>
            <w:webHidden/>
          </w:rPr>
          <w:tab/>
        </w:r>
        <w:r w:rsidR="00A56EE9">
          <w:rPr>
            <w:noProof/>
            <w:webHidden/>
          </w:rPr>
          <w:fldChar w:fldCharType="begin"/>
        </w:r>
        <w:r w:rsidR="00A56EE9">
          <w:rPr>
            <w:noProof/>
            <w:webHidden/>
          </w:rPr>
          <w:instrText xml:space="preserve"> PAGEREF _Toc523423763 \h </w:instrText>
        </w:r>
        <w:r w:rsidR="00A56EE9">
          <w:rPr>
            <w:noProof/>
            <w:webHidden/>
          </w:rPr>
        </w:r>
        <w:r w:rsidR="00A56EE9">
          <w:rPr>
            <w:noProof/>
            <w:webHidden/>
          </w:rPr>
          <w:fldChar w:fldCharType="separate"/>
        </w:r>
        <w:r w:rsidR="00A4170C">
          <w:rPr>
            <w:noProof/>
            <w:webHidden/>
          </w:rPr>
          <w:t>x</w:t>
        </w:r>
        <w:r w:rsidR="00A56EE9">
          <w:rPr>
            <w:noProof/>
            <w:webHidden/>
          </w:rPr>
          <w:fldChar w:fldCharType="end"/>
        </w:r>
      </w:hyperlink>
    </w:p>
    <w:p w14:paraId="5761CF20" w14:textId="24C20060"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64" w:history="1">
        <w:r w:rsidR="00A56EE9" w:rsidRPr="0056417B">
          <w:rPr>
            <w:rStyle w:val="Hyperlink"/>
            <w:noProof/>
          </w:rPr>
          <w:t>Heritage values</w:t>
        </w:r>
        <w:r w:rsidR="00A56EE9">
          <w:rPr>
            <w:noProof/>
            <w:webHidden/>
          </w:rPr>
          <w:tab/>
        </w:r>
        <w:r w:rsidR="00A56EE9">
          <w:rPr>
            <w:noProof/>
            <w:webHidden/>
          </w:rPr>
          <w:fldChar w:fldCharType="begin"/>
        </w:r>
        <w:r w:rsidR="00A56EE9">
          <w:rPr>
            <w:noProof/>
            <w:webHidden/>
          </w:rPr>
          <w:instrText xml:space="preserve"> PAGEREF _Toc523423764 \h </w:instrText>
        </w:r>
        <w:r w:rsidR="00A56EE9">
          <w:rPr>
            <w:noProof/>
            <w:webHidden/>
          </w:rPr>
        </w:r>
        <w:r w:rsidR="00A56EE9">
          <w:rPr>
            <w:noProof/>
            <w:webHidden/>
          </w:rPr>
          <w:fldChar w:fldCharType="separate"/>
        </w:r>
        <w:r w:rsidR="00A4170C">
          <w:rPr>
            <w:noProof/>
            <w:webHidden/>
          </w:rPr>
          <w:t>x</w:t>
        </w:r>
        <w:r w:rsidR="00A56EE9">
          <w:rPr>
            <w:noProof/>
            <w:webHidden/>
          </w:rPr>
          <w:fldChar w:fldCharType="end"/>
        </w:r>
      </w:hyperlink>
    </w:p>
    <w:p w14:paraId="5761CF21" w14:textId="10BADE88"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65" w:history="1">
        <w:r w:rsidR="00A56EE9" w:rsidRPr="0056417B">
          <w:rPr>
            <w:rStyle w:val="Hyperlink"/>
            <w:noProof/>
          </w:rPr>
          <w:t>Community benefits of the environment</w:t>
        </w:r>
        <w:r w:rsidR="00A56EE9">
          <w:rPr>
            <w:noProof/>
            <w:webHidden/>
          </w:rPr>
          <w:tab/>
        </w:r>
        <w:r w:rsidR="00A56EE9">
          <w:rPr>
            <w:noProof/>
            <w:webHidden/>
          </w:rPr>
          <w:fldChar w:fldCharType="begin"/>
        </w:r>
        <w:r w:rsidR="00A56EE9">
          <w:rPr>
            <w:noProof/>
            <w:webHidden/>
          </w:rPr>
          <w:instrText xml:space="preserve"> PAGEREF _Toc523423765 \h </w:instrText>
        </w:r>
        <w:r w:rsidR="00A56EE9">
          <w:rPr>
            <w:noProof/>
            <w:webHidden/>
          </w:rPr>
        </w:r>
        <w:r w:rsidR="00A56EE9">
          <w:rPr>
            <w:noProof/>
            <w:webHidden/>
          </w:rPr>
          <w:fldChar w:fldCharType="separate"/>
        </w:r>
        <w:r w:rsidR="00A4170C">
          <w:rPr>
            <w:noProof/>
            <w:webHidden/>
          </w:rPr>
          <w:t>xi</w:t>
        </w:r>
        <w:r w:rsidR="00A56EE9">
          <w:rPr>
            <w:noProof/>
            <w:webHidden/>
          </w:rPr>
          <w:fldChar w:fldCharType="end"/>
        </w:r>
      </w:hyperlink>
    </w:p>
    <w:p w14:paraId="5761CF22" w14:textId="1CA0810E"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66" w:history="1">
        <w:r w:rsidR="00A56EE9" w:rsidRPr="0056417B">
          <w:rPr>
            <w:rStyle w:val="Hyperlink"/>
            <w:noProof/>
          </w:rPr>
          <w:t>Management of elements within the management framework</w:t>
        </w:r>
        <w:r w:rsidR="00A56EE9">
          <w:rPr>
            <w:noProof/>
            <w:webHidden/>
          </w:rPr>
          <w:tab/>
        </w:r>
        <w:r w:rsidR="00A56EE9">
          <w:rPr>
            <w:noProof/>
            <w:webHidden/>
          </w:rPr>
          <w:fldChar w:fldCharType="begin"/>
        </w:r>
        <w:r w:rsidR="00A56EE9">
          <w:rPr>
            <w:noProof/>
            <w:webHidden/>
          </w:rPr>
          <w:instrText xml:space="preserve"> PAGEREF _Toc523423766 \h </w:instrText>
        </w:r>
        <w:r w:rsidR="00A56EE9">
          <w:rPr>
            <w:noProof/>
            <w:webHidden/>
          </w:rPr>
        </w:r>
        <w:r w:rsidR="00A56EE9">
          <w:rPr>
            <w:noProof/>
            <w:webHidden/>
          </w:rPr>
          <w:fldChar w:fldCharType="separate"/>
        </w:r>
        <w:r w:rsidR="00A4170C">
          <w:rPr>
            <w:noProof/>
            <w:webHidden/>
          </w:rPr>
          <w:t>xi</w:t>
        </w:r>
        <w:r w:rsidR="00A56EE9">
          <w:rPr>
            <w:noProof/>
            <w:webHidden/>
          </w:rPr>
          <w:fldChar w:fldCharType="end"/>
        </w:r>
      </w:hyperlink>
    </w:p>
    <w:p w14:paraId="5761CF23" w14:textId="5EB8952F"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67" w:history="1">
        <w:r w:rsidR="00A56EE9" w:rsidRPr="0056417B">
          <w:rPr>
            <w:rStyle w:val="Hyperlink"/>
            <w:noProof/>
          </w:rPr>
          <w:t>Management approaches</w:t>
        </w:r>
        <w:r w:rsidR="00A56EE9">
          <w:rPr>
            <w:noProof/>
            <w:webHidden/>
          </w:rPr>
          <w:tab/>
        </w:r>
        <w:r w:rsidR="00A56EE9">
          <w:rPr>
            <w:noProof/>
            <w:webHidden/>
          </w:rPr>
          <w:fldChar w:fldCharType="begin"/>
        </w:r>
        <w:r w:rsidR="00A56EE9">
          <w:rPr>
            <w:noProof/>
            <w:webHidden/>
          </w:rPr>
          <w:instrText xml:space="preserve"> PAGEREF _Toc523423767 \h </w:instrText>
        </w:r>
        <w:r w:rsidR="00A56EE9">
          <w:rPr>
            <w:noProof/>
            <w:webHidden/>
          </w:rPr>
        </w:r>
        <w:r w:rsidR="00A56EE9">
          <w:rPr>
            <w:noProof/>
            <w:webHidden/>
          </w:rPr>
          <w:fldChar w:fldCharType="separate"/>
        </w:r>
        <w:r w:rsidR="00A4170C">
          <w:rPr>
            <w:noProof/>
            <w:webHidden/>
          </w:rPr>
          <w:t>xii</w:t>
        </w:r>
        <w:r w:rsidR="00A56EE9">
          <w:rPr>
            <w:noProof/>
            <w:webHidden/>
          </w:rPr>
          <w:fldChar w:fldCharType="end"/>
        </w:r>
      </w:hyperlink>
    </w:p>
    <w:p w14:paraId="5761CF24" w14:textId="36EA5FC4"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68" w:history="1">
        <w:r w:rsidR="00A56EE9" w:rsidRPr="0056417B">
          <w:rPr>
            <w:rStyle w:val="Hyperlink"/>
            <w:noProof/>
          </w:rPr>
          <w:t>Environmental regulation</w:t>
        </w:r>
        <w:r w:rsidR="00A56EE9">
          <w:rPr>
            <w:noProof/>
            <w:webHidden/>
          </w:rPr>
          <w:tab/>
        </w:r>
        <w:r w:rsidR="00A56EE9">
          <w:rPr>
            <w:noProof/>
            <w:webHidden/>
          </w:rPr>
          <w:fldChar w:fldCharType="begin"/>
        </w:r>
        <w:r w:rsidR="00A56EE9">
          <w:rPr>
            <w:noProof/>
            <w:webHidden/>
          </w:rPr>
          <w:instrText xml:space="preserve"> PAGEREF _Toc523423768 \h </w:instrText>
        </w:r>
        <w:r w:rsidR="00A56EE9">
          <w:rPr>
            <w:noProof/>
            <w:webHidden/>
          </w:rPr>
        </w:r>
        <w:r w:rsidR="00A56EE9">
          <w:rPr>
            <w:noProof/>
            <w:webHidden/>
          </w:rPr>
          <w:fldChar w:fldCharType="separate"/>
        </w:r>
        <w:r w:rsidR="00A4170C">
          <w:rPr>
            <w:noProof/>
            <w:webHidden/>
          </w:rPr>
          <w:t>xii</w:t>
        </w:r>
        <w:r w:rsidR="00A56EE9">
          <w:rPr>
            <w:noProof/>
            <w:webHidden/>
          </w:rPr>
          <w:fldChar w:fldCharType="end"/>
        </w:r>
      </w:hyperlink>
    </w:p>
    <w:p w14:paraId="5761CF25" w14:textId="41D26866"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69" w:history="1">
        <w:r w:rsidR="00A56EE9" w:rsidRPr="0056417B">
          <w:rPr>
            <w:rStyle w:val="Hyperlink"/>
            <w:noProof/>
          </w:rPr>
          <w:t>Engagement</w:t>
        </w:r>
        <w:r w:rsidR="00A56EE9">
          <w:rPr>
            <w:noProof/>
            <w:webHidden/>
          </w:rPr>
          <w:tab/>
        </w:r>
        <w:r w:rsidR="00A56EE9">
          <w:rPr>
            <w:noProof/>
            <w:webHidden/>
          </w:rPr>
          <w:fldChar w:fldCharType="begin"/>
        </w:r>
        <w:r w:rsidR="00A56EE9">
          <w:rPr>
            <w:noProof/>
            <w:webHidden/>
          </w:rPr>
          <w:instrText xml:space="preserve"> PAGEREF _Toc523423769 \h </w:instrText>
        </w:r>
        <w:r w:rsidR="00A56EE9">
          <w:rPr>
            <w:noProof/>
            <w:webHidden/>
          </w:rPr>
        </w:r>
        <w:r w:rsidR="00A56EE9">
          <w:rPr>
            <w:noProof/>
            <w:webHidden/>
          </w:rPr>
          <w:fldChar w:fldCharType="separate"/>
        </w:r>
        <w:r w:rsidR="00A4170C">
          <w:rPr>
            <w:noProof/>
            <w:webHidden/>
          </w:rPr>
          <w:t>xiii</w:t>
        </w:r>
        <w:r w:rsidR="00A56EE9">
          <w:rPr>
            <w:noProof/>
            <w:webHidden/>
          </w:rPr>
          <w:fldChar w:fldCharType="end"/>
        </w:r>
      </w:hyperlink>
    </w:p>
    <w:p w14:paraId="5761CF26" w14:textId="3B89863B"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70" w:history="1">
        <w:r w:rsidR="00A56EE9" w:rsidRPr="0056417B">
          <w:rPr>
            <w:rStyle w:val="Hyperlink"/>
            <w:noProof/>
          </w:rPr>
          <w:t>Knowledge, innovation and integration</w:t>
        </w:r>
        <w:r w:rsidR="00A56EE9">
          <w:rPr>
            <w:noProof/>
            <w:webHidden/>
          </w:rPr>
          <w:tab/>
        </w:r>
        <w:r w:rsidR="00A56EE9">
          <w:rPr>
            <w:noProof/>
            <w:webHidden/>
          </w:rPr>
          <w:fldChar w:fldCharType="begin"/>
        </w:r>
        <w:r w:rsidR="00A56EE9">
          <w:rPr>
            <w:noProof/>
            <w:webHidden/>
          </w:rPr>
          <w:instrText xml:space="preserve"> PAGEREF _Toc523423770 \h </w:instrText>
        </w:r>
        <w:r w:rsidR="00A56EE9">
          <w:rPr>
            <w:noProof/>
            <w:webHidden/>
          </w:rPr>
        </w:r>
        <w:r w:rsidR="00A56EE9">
          <w:rPr>
            <w:noProof/>
            <w:webHidden/>
          </w:rPr>
          <w:fldChar w:fldCharType="separate"/>
        </w:r>
        <w:r w:rsidR="00A4170C">
          <w:rPr>
            <w:noProof/>
            <w:webHidden/>
          </w:rPr>
          <w:t>xiv</w:t>
        </w:r>
        <w:r w:rsidR="00A56EE9">
          <w:rPr>
            <w:noProof/>
            <w:webHidden/>
          </w:rPr>
          <w:fldChar w:fldCharType="end"/>
        </w:r>
      </w:hyperlink>
    </w:p>
    <w:p w14:paraId="5761CF27" w14:textId="6971E5C2" w:rsidR="00A56EE9" w:rsidRDefault="008B5998">
      <w:pPr>
        <w:pStyle w:val="TOC2"/>
        <w:tabs>
          <w:tab w:val="right" w:leader="dot" w:pos="9016"/>
        </w:tabs>
        <w:rPr>
          <w:rFonts w:eastAsiaTheme="minorEastAsia" w:cstheme="minorBidi"/>
          <w:smallCaps w:val="0"/>
          <w:noProof/>
          <w:sz w:val="22"/>
          <w:szCs w:val="22"/>
          <w:lang w:val="en-GB" w:eastAsia="en-GB"/>
        </w:rPr>
      </w:pPr>
      <w:hyperlink w:anchor="_Toc523423771" w:history="1">
        <w:r w:rsidR="00A56EE9" w:rsidRPr="0056417B">
          <w:rPr>
            <w:rStyle w:val="Hyperlink"/>
            <w:noProof/>
          </w:rPr>
          <w:t>Resourcing of management arrangements</w:t>
        </w:r>
        <w:r w:rsidR="00A56EE9">
          <w:rPr>
            <w:noProof/>
            <w:webHidden/>
          </w:rPr>
          <w:tab/>
        </w:r>
        <w:r w:rsidR="00A56EE9">
          <w:rPr>
            <w:noProof/>
            <w:webHidden/>
          </w:rPr>
          <w:fldChar w:fldCharType="begin"/>
        </w:r>
        <w:r w:rsidR="00A56EE9">
          <w:rPr>
            <w:noProof/>
            <w:webHidden/>
          </w:rPr>
          <w:instrText xml:space="preserve"> PAGEREF _Toc523423771 \h </w:instrText>
        </w:r>
        <w:r w:rsidR="00A56EE9">
          <w:rPr>
            <w:noProof/>
            <w:webHidden/>
          </w:rPr>
        </w:r>
        <w:r w:rsidR="00A56EE9">
          <w:rPr>
            <w:noProof/>
            <w:webHidden/>
          </w:rPr>
          <w:fldChar w:fldCharType="separate"/>
        </w:r>
        <w:r w:rsidR="00A4170C">
          <w:rPr>
            <w:noProof/>
            <w:webHidden/>
          </w:rPr>
          <w:t>xiv</w:t>
        </w:r>
        <w:r w:rsidR="00A56EE9">
          <w:rPr>
            <w:noProof/>
            <w:webHidden/>
          </w:rPr>
          <w:fldChar w:fldCharType="end"/>
        </w:r>
      </w:hyperlink>
    </w:p>
    <w:p w14:paraId="5761CF28" w14:textId="6FAB2925" w:rsidR="00A56EE9" w:rsidRDefault="008B5998">
      <w:pPr>
        <w:pStyle w:val="TOC1"/>
        <w:tabs>
          <w:tab w:val="left" w:pos="440"/>
          <w:tab w:val="right" w:leader="dot" w:pos="9016"/>
        </w:tabs>
        <w:rPr>
          <w:rFonts w:eastAsiaTheme="minorEastAsia" w:cstheme="minorBidi"/>
          <w:b w:val="0"/>
          <w:bCs w:val="0"/>
          <w:caps w:val="0"/>
          <w:noProof/>
          <w:sz w:val="22"/>
          <w:szCs w:val="22"/>
          <w:lang w:val="en-GB" w:eastAsia="en-GB"/>
        </w:rPr>
      </w:pPr>
      <w:hyperlink w:anchor="_Toc523423772" w:history="1">
        <w:r w:rsidR="00A56EE9" w:rsidRPr="0056417B">
          <w:rPr>
            <w:rStyle w:val="Hyperlink"/>
            <w:noProof/>
          </w:rPr>
          <w:t>1.</w:t>
        </w:r>
        <w:r w:rsidR="00A56EE9">
          <w:rPr>
            <w:rFonts w:eastAsiaTheme="minorEastAsia" w:cstheme="minorBidi"/>
            <w:b w:val="0"/>
            <w:bCs w:val="0"/>
            <w:caps w:val="0"/>
            <w:noProof/>
            <w:sz w:val="22"/>
            <w:szCs w:val="22"/>
            <w:lang w:val="en-GB" w:eastAsia="en-GB"/>
          </w:rPr>
          <w:tab/>
        </w:r>
        <w:r w:rsidR="00A56EE9" w:rsidRPr="0056417B">
          <w:rPr>
            <w:rStyle w:val="Hyperlink"/>
            <w:noProof/>
          </w:rPr>
          <w:t>Management effectiveness evaluation methodology</w:t>
        </w:r>
        <w:r w:rsidR="00A56EE9">
          <w:rPr>
            <w:noProof/>
            <w:webHidden/>
          </w:rPr>
          <w:tab/>
        </w:r>
        <w:r w:rsidR="00A56EE9">
          <w:rPr>
            <w:noProof/>
            <w:webHidden/>
          </w:rPr>
          <w:fldChar w:fldCharType="begin"/>
        </w:r>
        <w:r w:rsidR="00A56EE9">
          <w:rPr>
            <w:noProof/>
            <w:webHidden/>
          </w:rPr>
          <w:instrText xml:space="preserve"> PAGEREF _Toc523423772 \h </w:instrText>
        </w:r>
        <w:r w:rsidR="00A56EE9">
          <w:rPr>
            <w:noProof/>
            <w:webHidden/>
          </w:rPr>
        </w:r>
        <w:r w:rsidR="00A56EE9">
          <w:rPr>
            <w:noProof/>
            <w:webHidden/>
          </w:rPr>
          <w:fldChar w:fldCharType="separate"/>
        </w:r>
        <w:r w:rsidR="00A4170C">
          <w:rPr>
            <w:noProof/>
            <w:webHidden/>
          </w:rPr>
          <w:t>16</w:t>
        </w:r>
        <w:r w:rsidR="00A56EE9">
          <w:rPr>
            <w:noProof/>
            <w:webHidden/>
          </w:rPr>
          <w:fldChar w:fldCharType="end"/>
        </w:r>
      </w:hyperlink>
    </w:p>
    <w:p w14:paraId="5761CF29" w14:textId="50CAD71B"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73" w:history="1">
        <w:r w:rsidR="00A56EE9" w:rsidRPr="0056417B">
          <w:rPr>
            <w:rStyle w:val="Hyperlink"/>
            <w:noProof/>
          </w:rPr>
          <w:t>1.1</w:t>
        </w:r>
        <w:r w:rsidR="00A56EE9">
          <w:rPr>
            <w:rFonts w:eastAsiaTheme="minorEastAsia" w:cstheme="minorBidi"/>
            <w:smallCaps w:val="0"/>
            <w:noProof/>
            <w:sz w:val="22"/>
            <w:szCs w:val="22"/>
            <w:lang w:val="en-GB" w:eastAsia="en-GB"/>
          </w:rPr>
          <w:tab/>
        </w:r>
        <w:r w:rsidR="00A56EE9" w:rsidRPr="0056417B">
          <w:rPr>
            <w:rStyle w:val="Hyperlink"/>
            <w:noProof/>
          </w:rPr>
          <w:t>Management effectiveness evaluation framework</w:t>
        </w:r>
        <w:r w:rsidR="00A56EE9">
          <w:rPr>
            <w:noProof/>
            <w:webHidden/>
          </w:rPr>
          <w:tab/>
        </w:r>
        <w:r w:rsidR="00A56EE9">
          <w:rPr>
            <w:noProof/>
            <w:webHidden/>
          </w:rPr>
          <w:fldChar w:fldCharType="begin"/>
        </w:r>
        <w:r w:rsidR="00A56EE9">
          <w:rPr>
            <w:noProof/>
            <w:webHidden/>
          </w:rPr>
          <w:instrText xml:space="preserve"> PAGEREF _Toc523423773 \h </w:instrText>
        </w:r>
        <w:r w:rsidR="00A56EE9">
          <w:rPr>
            <w:noProof/>
            <w:webHidden/>
          </w:rPr>
        </w:r>
        <w:r w:rsidR="00A56EE9">
          <w:rPr>
            <w:noProof/>
            <w:webHidden/>
          </w:rPr>
          <w:fldChar w:fldCharType="separate"/>
        </w:r>
        <w:r w:rsidR="00A4170C">
          <w:rPr>
            <w:noProof/>
            <w:webHidden/>
          </w:rPr>
          <w:t>16</w:t>
        </w:r>
        <w:r w:rsidR="00A56EE9">
          <w:rPr>
            <w:noProof/>
            <w:webHidden/>
          </w:rPr>
          <w:fldChar w:fldCharType="end"/>
        </w:r>
      </w:hyperlink>
    </w:p>
    <w:p w14:paraId="5761CF2A" w14:textId="0AF155BB"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74" w:history="1">
        <w:r w:rsidR="00A56EE9" w:rsidRPr="0056417B">
          <w:rPr>
            <w:rStyle w:val="Hyperlink"/>
            <w:noProof/>
          </w:rPr>
          <w:t>1.3</w:t>
        </w:r>
        <w:r w:rsidR="00A56EE9">
          <w:rPr>
            <w:rFonts w:eastAsiaTheme="minorEastAsia" w:cstheme="minorBidi"/>
            <w:smallCaps w:val="0"/>
            <w:noProof/>
            <w:sz w:val="22"/>
            <w:szCs w:val="22"/>
            <w:lang w:val="en-GB" w:eastAsia="en-GB"/>
          </w:rPr>
          <w:tab/>
        </w:r>
        <w:r w:rsidR="00A56EE9" w:rsidRPr="0056417B">
          <w:rPr>
            <w:rStyle w:val="Hyperlink"/>
            <w:noProof/>
          </w:rPr>
          <w:t>Management topics</w:t>
        </w:r>
        <w:r w:rsidR="00A56EE9">
          <w:rPr>
            <w:noProof/>
            <w:webHidden/>
          </w:rPr>
          <w:tab/>
        </w:r>
        <w:r w:rsidR="00A56EE9">
          <w:rPr>
            <w:noProof/>
            <w:webHidden/>
          </w:rPr>
          <w:fldChar w:fldCharType="begin"/>
        </w:r>
        <w:r w:rsidR="00A56EE9">
          <w:rPr>
            <w:noProof/>
            <w:webHidden/>
          </w:rPr>
          <w:instrText xml:space="preserve"> PAGEREF _Toc523423774 \h </w:instrText>
        </w:r>
        <w:r w:rsidR="00A56EE9">
          <w:rPr>
            <w:noProof/>
            <w:webHidden/>
          </w:rPr>
        </w:r>
        <w:r w:rsidR="00A56EE9">
          <w:rPr>
            <w:noProof/>
            <w:webHidden/>
          </w:rPr>
          <w:fldChar w:fldCharType="separate"/>
        </w:r>
        <w:r w:rsidR="00A4170C">
          <w:rPr>
            <w:noProof/>
            <w:webHidden/>
          </w:rPr>
          <w:t>18</w:t>
        </w:r>
        <w:r w:rsidR="00A56EE9">
          <w:rPr>
            <w:noProof/>
            <w:webHidden/>
          </w:rPr>
          <w:fldChar w:fldCharType="end"/>
        </w:r>
      </w:hyperlink>
    </w:p>
    <w:p w14:paraId="5761CF2B" w14:textId="3332D8F7"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75" w:history="1">
        <w:r w:rsidR="00A56EE9" w:rsidRPr="0056417B">
          <w:rPr>
            <w:rStyle w:val="Hyperlink"/>
            <w:noProof/>
          </w:rPr>
          <w:t>1.4</w:t>
        </w:r>
        <w:r w:rsidR="00A56EE9">
          <w:rPr>
            <w:rFonts w:eastAsiaTheme="minorEastAsia" w:cstheme="minorBidi"/>
            <w:smallCaps w:val="0"/>
            <w:noProof/>
            <w:sz w:val="22"/>
            <w:szCs w:val="22"/>
            <w:lang w:val="en-GB" w:eastAsia="en-GB"/>
          </w:rPr>
          <w:tab/>
        </w:r>
        <w:r w:rsidR="00A56EE9" w:rsidRPr="0056417B">
          <w:rPr>
            <w:rStyle w:val="Hyperlink"/>
            <w:noProof/>
          </w:rPr>
          <w:t>Assessment ratings, grades and trends</w:t>
        </w:r>
        <w:r w:rsidR="00A56EE9">
          <w:rPr>
            <w:noProof/>
            <w:webHidden/>
          </w:rPr>
          <w:tab/>
        </w:r>
        <w:r w:rsidR="00A56EE9">
          <w:rPr>
            <w:noProof/>
            <w:webHidden/>
          </w:rPr>
          <w:fldChar w:fldCharType="begin"/>
        </w:r>
        <w:r w:rsidR="00A56EE9">
          <w:rPr>
            <w:noProof/>
            <w:webHidden/>
          </w:rPr>
          <w:instrText xml:space="preserve"> PAGEREF _Toc523423775 \h </w:instrText>
        </w:r>
        <w:r w:rsidR="00A56EE9">
          <w:rPr>
            <w:noProof/>
            <w:webHidden/>
          </w:rPr>
        </w:r>
        <w:r w:rsidR="00A56EE9">
          <w:rPr>
            <w:noProof/>
            <w:webHidden/>
          </w:rPr>
          <w:fldChar w:fldCharType="separate"/>
        </w:r>
        <w:r w:rsidR="00A4170C">
          <w:rPr>
            <w:noProof/>
            <w:webHidden/>
          </w:rPr>
          <w:t>20</w:t>
        </w:r>
        <w:r w:rsidR="00A56EE9">
          <w:rPr>
            <w:noProof/>
            <w:webHidden/>
          </w:rPr>
          <w:fldChar w:fldCharType="end"/>
        </w:r>
      </w:hyperlink>
    </w:p>
    <w:p w14:paraId="5761CF2C" w14:textId="4363E266"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76" w:history="1">
        <w:r w:rsidR="00A56EE9" w:rsidRPr="0056417B">
          <w:rPr>
            <w:rStyle w:val="Hyperlink"/>
            <w:noProof/>
          </w:rPr>
          <w:t>1.5</w:t>
        </w:r>
        <w:r w:rsidR="00A56EE9">
          <w:rPr>
            <w:rFonts w:eastAsiaTheme="minorEastAsia" w:cstheme="minorBidi"/>
            <w:smallCaps w:val="0"/>
            <w:noProof/>
            <w:sz w:val="22"/>
            <w:szCs w:val="22"/>
            <w:lang w:val="en-GB" w:eastAsia="en-GB"/>
          </w:rPr>
          <w:tab/>
        </w:r>
        <w:r w:rsidR="00A56EE9" w:rsidRPr="0056417B">
          <w:rPr>
            <w:rStyle w:val="Hyperlink"/>
            <w:noProof/>
          </w:rPr>
          <w:t>Assessment process</w:t>
        </w:r>
        <w:r w:rsidR="00A56EE9">
          <w:rPr>
            <w:noProof/>
            <w:webHidden/>
          </w:rPr>
          <w:tab/>
        </w:r>
        <w:r w:rsidR="00A56EE9">
          <w:rPr>
            <w:noProof/>
            <w:webHidden/>
          </w:rPr>
          <w:fldChar w:fldCharType="begin"/>
        </w:r>
        <w:r w:rsidR="00A56EE9">
          <w:rPr>
            <w:noProof/>
            <w:webHidden/>
          </w:rPr>
          <w:instrText xml:space="preserve"> PAGEREF _Toc523423776 \h </w:instrText>
        </w:r>
        <w:r w:rsidR="00A56EE9">
          <w:rPr>
            <w:noProof/>
            <w:webHidden/>
          </w:rPr>
        </w:r>
        <w:r w:rsidR="00A56EE9">
          <w:rPr>
            <w:noProof/>
            <w:webHidden/>
          </w:rPr>
          <w:fldChar w:fldCharType="separate"/>
        </w:r>
        <w:r w:rsidR="00A4170C">
          <w:rPr>
            <w:noProof/>
            <w:webHidden/>
          </w:rPr>
          <w:t>21</w:t>
        </w:r>
        <w:r w:rsidR="00A56EE9">
          <w:rPr>
            <w:noProof/>
            <w:webHidden/>
          </w:rPr>
          <w:fldChar w:fldCharType="end"/>
        </w:r>
      </w:hyperlink>
    </w:p>
    <w:p w14:paraId="5761CF2D" w14:textId="6563DE40"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77" w:history="1">
        <w:r w:rsidR="00A56EE9" w:rsidRPr="0056417B">
          <w:rPr>
            <w:rStyle w:val="Hyperlink"/>
            <w:noProof/>
          </w:rPr>
          <w:t>1.6</w:t>
        </w:r>
        <w:r w:rsidR="00A56EE9">
          <w:rPr>
            <w:rFonts w:eastAsiaTheme="minorEastAsia" w:cstheme="minorBidi"/>
            <w:smallCaps w:val="0"/>
            <w:noProof/>
            <w:sz w:val="22"/>
            <w:szCs w:val="22"/>
            <w:lang w:val="en-GB" w:eastAsia="en-GB"/>
          </w:rPr>
          <w:tab/>
        </w:r>
        <w:r w:rsidR="00A56EE9" w:rsidRPr="0056417B">
          <w:rPr>
            <w:rStyle w:val="Hyperlink"/>
            <w:noProof/>
          </w:rPr>
          <w:t>Management effectiveness of management tools and approaches</w:t>
        </w:r>
        <w:r w:rsidR="00A56EE9">
          <w:rPr>
            <w:noProof/>
            <w:webHidden/>
          </w:rPr>
          <w:tab/>
        </w:r>
        <w:r w:rsidR="00A56EE9">
          <w:rPr>
            <w:noProof/>
            <w:webHidden/>
          </w:rPr>
          <w:fldChar w:fldCharType="begin"/>
        </w:r>
        <w:r w:rsidR="00A56EE9">
          <w:rPr>
            <w:noProof/>
            <w:webHidden/>
          </w:rPr>
          <w:instrText xml:space="preserve"> PAGEREF _Toc523423777 \h </w:instrText>
        </w:r>
        <w:r w:rsidR="00A56EE9">
          <w:rPr>
            <w:noProof/>
            <w:webHidden/>
          </w:rPr>
        </w:r>
        <w:r w:rsidR="00A56EE9">
          <w:rPr>
            <w:noProof/>
            <w:webHidden/>
          </w:rPr>
          <w:fldChar w:fldCharType="separate"/>
        </w:r>
        <w:r w:rsidR="00A4170C">
          <w:rPr>
            <w:noProof/>
            <w:webHidden/>
          </w:rPr>
          <w:t>22</w:t>
        </w:r>
        <w:r w:rsidR="00A56EE9">
          <w:rPr>
            <w:noProof/>
            <w:webHidden/>
          </w:rPr>
          <w:fldChar w:fldCharType="end"/>
        </w:r>
      </w:hyperlink>
    </w:p>
    <w:p w14:paraId="5761CF2E" w14:textId="43BC0BF2" w:rsidR="00A56EE9" w:rsidRDefault="008B5998">
      <w:pPr>
        <w:pStyle w:val="TOC1"/>
        <w:tabs>
          <w:tab w:val="left" w:pos="440"/>
          <w:tab w:val="right" w:leader="dot" w:pos="9016"/>
        </w:tabs>
        <w:rPr>
          <w:rFonts w:eastAsiaTheme="minorEastAsia" w:cstheme="minorBidi"/>
          <w:b w:val="0"/>
          <w:bCs w:val="0"/>
          <w:caps w:val="0"/>
          <w:noProof/>
          <w:sz w:val="22"/>
          <w:szCs w:val="22"/>
          <w:lang w:val="en-GB" w:eastAsia="en-GB"/>
        </w:rPr>
      </w:pPr>
      <w:hyperlink w:anchor="_Toc523423778" w:history="1">
        <w:r w:rsidR="00A56EE9" w:rsidRPr="0056417B">
          <w:rPr>
            <w:rStyle w:val="Hyperlink"/>
            <w:noProof/>
          </w:rPr>
          <w:t>2.</w:t>
        </w:r>
        <w:r w:rsidR="00A56EE9">
          <w:rPr>
            <w:rFonts w:eastAsiaTheme="minorEastAsia" w:cstheme="minorBidi"/>
            <w:b w:val="0"/>
            <w:bCs w:val="0"/>
            <w:caps w:val="0"/>
            <w:noProof/>
            <w:sz w:val="22"/>
            <w:szCs w:val="22"/>
            <w:lang w:val="en-GB" w:eastAsia="en-GB"/>
          </w:rPr>
          <w:tab/>
        </w:r>
        <w:r w:rsidR="00A56EE9" w:rsidRPr="0056417B">
          <w:rPr>
            <w:rStyle w:val="Hyperlink"/>
            <w:noProof/>
          </w:rPr>
          <w:t>Assessment of managing direct use of the Region</w:t>
        </w:r>
        <w:r w:rsidR="00A56EE9">
          <w:rPr>
            <w:noProof/>
            <w:webHidden/>
          </w:rPr>
          <w:tab/>
        </w:r>
        <w:r w:rsidR="00A56EE9">
          <w:rPr>
            <w:noProof/>
            <w:webHidden/>
          </w:rPr>
          <w:fldChar w:fldCharType="begin"/>
        </w:r>
        <w:r w:rsidR="00A56EE9">
          <w:rPr>
            <w:noProof/>
            <w:webHidden/>
          </w:rPr>
          <w:instrText xml:space="preserve"> PAGEREF _Toc523423778 \h </w:instrText>
        </w:r>
        <w:r w:rsidR="00A56EE9">
          <w:rPr>
            <w:noProof/>
            <w:webHidden/>
          </w:rPr>
        </w:r>
        <w:r w:rsidR="00A56EE9">
          <w:rPr>
            <w:noProof/>
            <w:webHidden/>
          </w:rPr>
          <w:fldChar w:fldCharType="separate"/>
        </w:r>
        <w:r w:rsidR="00A4170C">
          <w:rPr>
            <w:noProof/>
            <w:webHidden/>
          </w:rPr>
          <w:t>24</w:t>
        </w:r>
        <w:r w:rsidR="00A56EE9">
          <w:rPr>
            <w:noProof/>
            <w:webHidden/>
          </w:rPr>
          <w:fldChar w:fldCharType="end"/>
        </w:r>
      </w:hyperlink>
    </w:p>
    <w:p w14:paraId="5761CF2F" w14:textId="7B866724"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79" w:history="1">
        <w:r w:rsidR="00A56EE9" w:rsidRPr="0056417B">
          <w:rPr>
            <w:rStyle w:val="Hyperlink"/>
            <w:noProof/>
          </w:rPr>
          <w:t>2.1</w:t>
        </w:r>
        <w:r w:rsidR="00A56EE9">
          <w:rPr>
            <w:rFonts w:eastAsiaTheme="minorEastAsia" w:cstheme="minorBidi"/>
            <w:smallCaps w:val="0"/>
            <w:noProof/>
            <w:sz w:val="22"/>
            <w:szCs w:val="22"/>
            <w:lang w:val="en-GB" w:eastAsia="en-GB"/>
          </w:rPr>
          <w:tab/>
        </w:r>
        <w:r w:rsidR="00A56EE9" w:rsidRPr="0056417B">
          <w:rPr>
            <w:rStyle w:val="Hyperlink"/>
            <w:noProof/>
          </w:rPr>
          <w:t>Commercial marine tourism</w:t>
        </w:r>
        <w:r w:rsidR="00A56EE9">
          <w:rPr>
            <w:noProof/>
            <w:webHidden/>
          </w:rPr>
          <w:tab/>
        </w:r>
        <w:r w:rsidR="00A56EE9">
          <w:rPr>
            <w:noProof/>
            <w:webHidden/>
          </w:rPr>
          <w:fldChar w:fldCharType="begin"/>
        </w:r>
        <w:r w:rsidR="00A56EE9">
          <w:rPr>
            <w:noProof/>
            <w:webHidden/>
          </w:rPr>
          <w:instrText xml:space="preserve"> PAGEREF _Toc523423779 \h </w:instrText>
        </w:r>
        <w:r w:rsidR="00A56EE9">
          <w:rPr>
            <w:noProof/>
            <w:webHidden/>
          </w:rPr>
        </w:r>
        <w:r w:rsidR="00A56EE9">
          <w:rPr>
            <w:noProof/>
            <w:webHidden/>
          </w:rPr>
          <w:fldChar w:fldCharType="separate"/>
        </w:r>
        <w:r w:rsidR="00A4170C">
          <w:rPr>
            <w:noProof/>
            <w:webHidden/>
          </w:rPr>
          <w:t>24</w:t>
        </w:r>
        <w:r w:rsidR="00A56EE9">
          <w:rPr>
            <w:noProof/>
            <w:webHidden/>
          </w:rPr>
          <w:fldChar w:fldCharType="end"/>
        </w:r>
      </w:hyperlink>
    </w:p>
    <w:p w14:paraId="5761CF30" w14:textId="37BB757E"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80" w:history="1">
        <w:r w:rsidR="00A56EE9" w:rsidRPr="0056417B">
          <w:rPr>
            <w:rStyle w:val="Hyperlink"/>
            <w:noProof/>
          </w:rPr>
          <w:t>2.2</w:t>
        </w:r>
        <w:r w:rsidR="00A56EE9">
          <w:rPr>
            <w:rFonts w:eastAsiaTheme="minorEastAsia" w:cstheme="minorBidi"/>
            <w:smallCaps w:val="0"/>
            <w:noProof/>
            <w:sz w:val="22"/>
            <w:szCs w:val="22"/>
            <w:lang w:val="en-GB" w:eastAsia="en-GB"/>
          </w:rPr>
          <w:tab/>
        </w:r>
        <w:r w:rsidR="00A56EE9" w:rsidRPr="0056417B">
          <w:rPr>
            <w:rStyle w:val="Hyperlink"/>
            <w:noProof/>
          </w:rPr>
          <w:t>Defence activities</w:t>
        </w:r>
        <w:r w:rsidR="00A56EE9">
          <w:rPr>
            <w:noProof/>
            <w:webHidden/>
          </w:rPr>
          <w:tab/>
        </w:r>
        <w:r w:rsidR="00A56EE9">
          <w:rPr>
            <w:noProof/>
            <w:webHidden/>
          </w:rPr>
          <w:fldChar w:fldCharType="begin"/>
        </w:r>
        <w:r w:rsidR="00A56EE9">
          <w:rPr>
            <w:noProof/>
            <w:webHidden/>
          </w:rPr>
          <w:instrText xml:space="preserve"> PAGEREF _Toc523423780 \h </w:instrText>
        </w:r>
        <w:r w:rsidR="00A56EE9">
          <w:rPr>
            <w:noProof/>
            <w:webHidden/>
          </w:rPr>
        </w:r>
        <w:r w:rsidR="00A56EE9">
          <w:rPr>
            <w:noProof/>
            <w:webHidden/>
          </w:rPr>
          <w:fldChar w:fldCharType="separate"/>
        </w:r>
        <w:r w:rsidR="00A4170C">
          <w:rPr>
            <w:noProof/>
            <w:webHidden/>
          </w:rPr>
          <w:t>27</w:t>
        </w:r>
        <w:r w:rsidR="00A56EE9">
          <w:rPr>
            <w:noProof/>
            <w:webHidden/>
          </w:rPr>
          <w:fldChar w:fldCharType="end"/>
        </w:r>
      </w:hyperlink>
    </w:p>
    <w:p w14:paraId="5761CF31" w14:textId="1D0BAF93"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81" w:history="1">
        <w:r w:rsidR="00A56EE9" w:rsidRPr="0056417B">
          <w:rPr>
            <w:rStyle w:val="Hyperlink"/>
            <w:noProof/>
          </w:rPr>
          <w:t>2.3</w:t>
        </w:r>
        <w:r w:rsidR="00A56EE9">
          <w:rPr>
            <w:rFonts w:eastAsiaTheme="minorEastAsia" w:cstheme="minorBidi"/>
            <w:smallCaps w:val="0"/>
            <w:noProof/>
            <w:sz w:val="22"/>
            <w:szCs w:val="22"/>
            <w:lang w:val="en-GB" w:eastAsia="en-GB"/>
          </w:rPr>
          <w:tab/>
        </w:r>
        <w:r w:rsidR="00A56EE9" w:rsidRPr="0056417B">
          <w:rPr>
            <w:rStyle w:val="Hyperlink"/>
            <w:noProof/>
          </w:rPr>
          <w:t>Fishing</w:t>
        </w:r>
        <w:r w:rsidR="00A56EE9">
          <w:rPr>
            <w:noProof/>
            <w:webHidden/>
          </w:rPr>
          <w:tab/>
        </w:r>
        <w:r w:rsidR="00A56EE9">
          <w:rPr>
            <w:noProof/>
            <w:webHidden/>
          </w:rPr>
          <w:fldChar w:fldCharType="begin"/>
        </w:r>
        <w:r w:rsidR="00A56EE9">
          <w:rPr>
            <w:noProof/>
            <w:webHidden/>
          </w:rPr>
          <w:instrText xml:space="preserve"> PAGEREF _Toc523423781 \h </w:instrText>
        </w:r>
        <w:r w:rsidR="00A56EE9">
          <w:rPr>
            <w:noProof/>
            <w:webHidden/>
          </w:rPr>
        </w:r>
        <w:r w:rsidR="00A56EE9">
          <w:rPr>
            <w:noProof/>
            <w:webHidden/>
          </w:rPr>
          <w:fldChar w:fldCharType="separate"/>
        </w:r>
        <w:r w:rsidR="00A4170C">
          <w:rPr>
            <w:noProof/>
            <w:webHidden/>
          </w:rPr>
          <w:t>29</w:t>
        </w:r>
        <w:r w:rsidR="00A56EE9">
          <w:rPr>
            <w:noProof/>
            <w:webHidden/>
          </w:rPr>
          <w:fldChar w:fldCharType="end"/>
        </w:r>
      </w:hyperlink>
    </w:p>
    <w:p w14:paraId="5761CF32" w14:textId="1DD8C1A3"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82" w:history="1">
        <w:r w:rsidR="00A56EE9" w:rsidRPr="0056417B">
          <w:rPr>
            <w:rStyle w:val="Hyperlink"/>
            <w:noProof/>
          </w:rPr>
          <w:t>2.4</w:t>
        </w:r>
        <w:r w:rsidR="00A56EE9">
          <w:rPr>
            <w:rFonts w:eastAsiaTheme="minorEastAsia" w:cstheme="minorBidi"/>
            <w:smallCaps w:val="0"/>
            <w:noProof/>
            <w:sz w:val="22"/>
            <w:szCs w:val="22"/>
            <w:lang w:val="en-GB" w:eastAsia="en-GB"/>
          </w:rPr>
          <w:tab/>
        </w:r>
        <w:r w:rsidR="00A56EE9" w:rsidRPr="0056417B">
          <w:rPr>
            <w:rStyle w:val="Hyperlink"/>
            <w:noProof/>
          </w:rPr>
          <w:t>Ports</w:t>
        </w:r>
        <w:r w:rsidR="00A56EE9">
          <w:rPr>
            <w:noProof/>
            <w:webHidden/>
          </w:rPr>
          <w:tab/>
        </w:r>
        <w:r w:rsidR="00A56EE9">
          <w:rPr>
            <w:noProof/>
            <w:webHidden/>
          </w:rPr>
          <w:fldChar w:fldCharType="begin"/>
        </w:r>
        <w:r w:rsidR="00A56EE9">
          <w:rPr>
            <w:noProof/>
            <w:webHidden/>
          </w:rPr>
          <w:instrText xml:space="preserve"> PAGEREF _Toc523423782 \h </w:instrText>
        </w:r>
        <w:r w:rsidR="00A56EE9">
          <w:rPr>
            <w:noProof/>
            <w:webHidden/>
          </w:rPr>
        </w:r>
        <w:r w:rsidR="00A56EE9">
          <w:rPr>
            <w:noProof/>
            <w:webHidden/>
          </w:rPr>
          <w:fldChar w:fldCharType="separate"/>
        </w:r>
        <w:r w:rsidR="00A4170C">
          <w:rPr>
            <w:noProof/>
            <w:webHidden/>
          </w:rPr>
          <w:t>32</w:t>
        </w:r>
        <w:r w:rsidR="00A56EE9">
          <w:rPr>
            <w:noProof/>
            <w:webHidden/>
          </w:rPr>
          <w:fldChar w:fldCharType="end"/>
        </w:r>
      </w:hyperlink>
    </w:p>
    <w:p w14:paraId="5761CF33" w14:textId="710A6A35"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83" w:history="1">
        <w:r w:rsidR="00A56EE9" w:rsidRPr="0056417B">
          <w:rPr>
            <w:rStyle w:val="Hyperlink"/>
            <w:noProof/>
          </w:rPr>
          <w:t>2.5</w:t>
        </w:r>
        <w:r w:rsidR="00A56EE9">
          <w:rPr>
            <w:rFonts w:eastAsiaTheme="minorEastAsia" w:cstheme="minorBidi"/>
            <w:smallCaps w:val="0"/>
            <w:noProof/>
            <w:sz w:val="22"/>
            <w:szCs w:val="22"/>
            <w:lang w:val="en-GB" w:eastAsia="en-GB"/>
          </w:rPr>
          <w:tab/>
        </w:r>
        <w:r w:rsidR="00A56EE9" w:rsidRPr="0056417B">
          <w:rPr>
            <w:rStyle w:val="Hyperlink"/>
            <w:noProof/>
          </w:rPr>
          <w:t>Recreation (not including fishing)</w:t>
        </w:r>
        <w:r w:rsidR="00A56EE9">
          <w:rPr>
            <w:noProof/>
            <w:webHidden/>
          </w:rPr>
          <w:tab/>
        </w:r>
        <w:r w:rsidR="00A56EE9">
          <w:rPr>
            <w:noProof/>
            <w:webHidden/>
          </w:rPr>
          <w:fldChar w:fldCharType="begin"/>
        </w:r>
        <w:r w:rsidR="00A56EE9">
          <w:rPr>
            <w:noProof/>
            <w:webHidden/>
          </w:rPr>
          <w:instrText xml:space="preserve"> PAGEREF _Toc523423783 \h </w:instrText>
        </w:r>
        <w:r w:rsidR="00A56EE9">
          <w:rPr>
            <w:noProof/>
            <w:webHidden/>
          </w:rPr>
        </w:r>
        <w:r w:rsidR="00A56EE9">
          <w:rPr>
            <w:noProof/>
            <w:webHidden/>
          </w:rPr>
          <w:fldChar w:fldCharType="separate"/>
        </w:r>
        <w:r w:rsidR="00A4170C">
          <w:rPr>
            <w:noProof/>
            <w:webHidden/>
          </w:rPr>
          <w:t>34</w:t>
        </w:r>
        <w:r w:rsidR="00A56EE9">
          <w:rPr>
            <w:noProof/>
            <w:webHidden/>
          </w:rPr>
          <w:fldChar w:fldCharType="end"/>
        </w:r>
      </w:hyperlink>
    </w:p>
    <w:p w14:paraId="5761CF34" w14:textId="1567DBD2"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84" w:history="1">
        <w:r w:rsidR="00A56EE9" w:rsidRPr="0056417B">
          <w:rPr>
            <w:rStyle w:val="Hyperlink"/>
            <w:noProof/>
          </w:rPr>
          <w:t>2.6</w:t>
        </w:r>
        <w:r w:rsidR="00A56EE9">
          <w:rPr>
            <w:rFonts w:eastAsiaTheme="minorEastAsia" w:cstheme="minorBidi"/>
            <w:smallCaps w:val="0"/>
            <w:noProof/>
            <w:sz w:val="22"/>
            <w:szCs w:val="22"/>
            <w:lang w:val="en-GB" w:eastAsia="en-GB"/>
          </w:rPr>
          <w:tab/>
        </w:r>
        <w:r w:rsidR="00A56EE9" w:rsidRPr="0056417B">
          <w:rPr>
            <w:rStyle w:val="Hyperlink"/>
            <w:noProof/>
          </w:rPr>
          <w:t>Research activities</w:t>
        </w:r>
        <w:r w:rsidR="00A56EE9">
          <w:rPr>
            <w:noProof/>
            <w:webHidden/>
          </w:rPr>
          <w:tab/>
        </w:r>
        <w:r w:rsidR="00A56EE9">
          <w:rPr>
            <w:noProof/>
            <w:webHidden/>
          </w:rPr>
          <w:fldChar w:fldCharType="begin"/>
        </w:r>
        <w:r w:rsidR="00A56EE9">
          <w:rPr>
            <w:noProof/>
            <w:webHidden/>
          </w:rPr>
          <w:instrText xml:space="preserve"> PAGEREF _Toc523423784 \h </w:instrText>
        </w:r>
        <w:r w:rsidR="00A56EE9">
          <w:rPr>
            <w:noProof/>
            <w:webHidden/>
          </w:rPr>
        </w:r>
        <w:r w:rsidR="00A56EE9">
          <w:rPr>
            <w:noProof/>
            <w:webHidden/>
          </w:rPr>
          <w:fldChar w:fldCharType="separate"/>
        </w:r>
        <w:r w:rsidR="00A4170C">
          <w:rPr>
            <w:noProof/>
            <w:webHidden/>
          </w:rPr>
          <w:t>36</w:t>
        </w:r>
        <w:r w:rsidR="00A56EE9">
          <w:rPr>
            <w:noProof/>
            <w:webHidden/>
          </w:rPr>
          <w:fldChar w:fldCharType="end"/>
        </w:r>
      </w:hyperlink>
    </w:p>
    <w:p w14:paraId="5761CF35" w14:textId="6C9A774A"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85" w:history="1">
        <w:r w:rsidR="00A56EE9" w:rsidRPr="0056417B">
          <w:rPr>
            <w:rStyle w:val="Hyperlink"/>
            <w:noProof/>
          </w:rPr>
          <w:t>2.7</w:t>
        </w:r>
        <w:r w:rsidR="00A56EE9">
          <w:rPr>
            <w:rFonts w:eastAsiaTheme="minorEastAsia" w:cstheme="minorBidi"/>
            <w:smallCaps w:val="0"/>
            <w:noProof/>
            <w:sz w:val="22"/>
            <w:szCs w:val="22"/>
            <w:lang w:val="en-GB" w:eastAsia="en-GB"/>
          </w:rPr>
          <w:tab/>
        </w:r>
        <w:r w:rsidR="00A56EE9" w:rsidRPr="0056417B">
          <w:rPr>
            <w:rStyle w:val="Hyperlink"/>
            <w:noProof/>
          </w:rPr>
          <w:t>Shipping</w:t>
        </w:r>
        <w:r w:rsidR="00A56EE9">
          <w:rPr>
            <w:noProof/>
            <w:webHidden/>
          </w:rPr>
          <w:tab/>
        </w:r>
        <w:r w:rsidR="00A56EE9">
          <w:rPr>
            <w:noProof/>
            <w:webHidden/>
          </w:rPr>
          <w:fldChar w:fldCharType="begin"/>
        </w:r>
        <w:r w:rsidR="00A56EE9">
          <w:rPr>
            <w:noProof/>
            <w:webHidden/>
          </w:rPr>
          <w:instrText xml:space="preserve"> PAGEREF _Toc523423785 \h </w:instrText>
        </w:r>
        <w:r w:rsidR="00A56EE9">
          <w:rPr>
            <w:noProof/>
            <w:webHidden/>
          </w:rPr>
        </w:r>
        <w:r w:rsidR="00A56EE9">
          <w:rPr>
            <w:noProof/>
            <w:webHidden/>
          </w:rPr>
          <w:fldChar w:fldCharType="separate"/>
        </w:r>
        <w:r w:rsidR="00A4170C">
          <w:rPr>
            <w:noProof/>
            <w:webHidden/>
          </w:rPr>
          <w:t>39</w:t>
        </w:r>
        <w:r w:rsidR="00A56EE9">
          <w:rPr>
            <w:noProof/>
            <w:webHidden/>
          </w:rPr>
          <w:fldChar w:fldCharType="end"/>
        </w:r>
      </w:hyperlink>
    </w:p>
    <w:p w14:paraId="5761CF36" w14:textId="1D2395EA"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86" w:history="1">
        <w:r w:rsidR="00A56EE9" w:rsidRPr="0056417B">
          <w:rPr>
            <w:rStyle w:val="Hyperlink"/>
            <w:noProof/>
          </w:rPr>
          <w:t>2.8</w:t>
        </w:r>
        <w:r w:rsidR="00A56EE9">
          <w:rPr>
            <w:rFonts w:eastAsiaTheme="minorEastAsia" w:cstheme="minorBidi"/>
            <w:smallCaps w:val="0"/>
            <w:noProof/>
            <w:sz w:val="22"/>
            <w:szCs w:val="22"/>
            <w:lang w:val="en-GB" w:eastAsia="en-GB"/>
          </w:rPr>
          <w:tab/>
        </w:r>
        <w:r w:rsidR="00A56EE9" w:rsidRPr="0056417B">
          <w:rPr>
            <w:rStyle w:val="Hyperlink"/>
            <w:noProof/>
          </w:rPr>
          <w:t>Traditional Use of Marine Resources</w:t>
        </w:r>
        <w:r w:rsidR="00A56EE9">
          <w:rPr>
            <w:noProof/>
            <w:webHidden/>
          </w:rPr>
          <w:tab/>
        </w:r>
        <w:r w:rsidR="00A56EE9">
          <w:rPr>
            <w:noProof/>
            <w:webHidden/>
          </w:rPr>
          <w:fldChar w:fldCharType="begin"/>
        </w:r>
        <w:r w:rsidR="00A56EE9">
          <w:rPr>
            <w:noProof/>
            <w:webHidden/>
          </w:rPr>
          <w:instrText xml:space="preserve"> PAGEREF _Toc523423786 \h </w:instrText>
        </w:r>
        <w:r w:rsidR="00A56EE9">
          <w:rPr>
            <w:noProof/>
            <w:webHidden/>
          </w:rPr>
        </w:r>
        <w:r w:rsidR="00A56EE9">
          <w:rPr>
            <w:noProof/>
            <w:webHidden/>
          </w:rPr>
          <w:fldChar w:fldCharType="separate"/>
        </w:r>
        <w:r w:rsidR="00A4170C">
          <w:rPr>
            <w:noProof/>
            <w:webHidden/>
          </w:rPr>
          <w:t>41</w:t>
        </w:r>
        <w:r w:rsidR="00A56EE9">
          <w:rPr>
            <w:noProof/>
            <w:webHidden/>
          </w:rPr>
          <w:fldChar w:fldCharType="end"/>
        </w:r>
      </w:hyperlink>
    </w:p>
    <w:p w14:paraId="5761CF37" w14:textId="63DE9394" w:rsidR="00A56EE9" w:rsidRDefault="008B5998">
      <w:pPr>
        <w:pStyle w:val="TOC1"/>
        <w:tabs>
          <w:tab w:val="left" w:pos="440"/>
          <w:tab w:val="right" w:leader="dot" w:pos="9016"/>
        </w:tabs>
        <w:rPr>
          <w:rFonts w:eastAsiaTheme="minorEastAsia" w:cstheme="minorBidi"/>
          <w:b w:val="0"/>
          <w:bCs w:val="0"/>
          <w:caps w:val="0"/>
          <w:noProof/>
          <w:sz w:val="22"/>
          <w:szCs w:val="22"/>
          <w:lang w:val="en-GB" w:eastAsia="en-GB"/>
        </w:rPr>
      </w:pPr>
      <w:hyperlink w:anchor="_Toc523423787" w:history="1">
        <w:r w:rsidR="00A56EE9" w:rsidRPr="0056417B">
          <w:rPr>
            <w:rStyle w:val="Hyperlink"/>
            <w:noProof/>
          </w:rPr>
          <w:t>3.</w:t>
        </w:r>
        <w:r w:rsidR="00A56EE9">
          <w:rPr>
            <w:rFonts w:eastAsiaTheme="minorEastAsia" w:cstheme="minorBidi"/>
            <w:b w:val="0"/>
            <w:bCs w:val="0"/>
            <w:caps w:val="0"/>
            <w:noProof/>
            <w:sz w:val="22"/>
            <w:szCs w:val="22"/>
            <w:lang w:val="en-GB" w:eastAsia="en-GB"/>
          </w:rPr>
          <w:tab/>
        </w:r>
        <w:r w:rsidR="00A56EE9" w:rsidRPr="0056417B">
          <w:rPr>
            <w:rStyle w:val="Hyperlink"/>
            <w:noProof/>
          </w:rPr>
          <w:t>Assessment of managing external factors influencing the Region</w:t>
        </w:r>
        <w:r w:rsidR="00A56EE9">
          <w:rPr>
            <w:noProof/>
            <w:webHidden/>
          </w:rPr>
          <w:tab/>
        </w:r>
        <w:r w:rsidR="00A56EE9">
          <w:rPr>
            <w:noProof/>
            <w:webHidden/>
          </w:rPr>
          <w:fldChar w:fldCharType="begin"/>
        </w:r>
        <w:r w:rsidR="00A56EE9">
          <w:rPr>
            <w:noProof/>
            <w:webHidden/>
          </w:rPr>
          <w:instrText xml:space="preserve"> PAGEREF _Toc523423787 \h </w:instrText>
        </w:r>
        <w:r w:rsidR="00A56EE9">
          <w:rPr>
            <w:noProof/>
            <w:webHidden/>
          </w:rPr>
        </w:r>
        <w:r w:rsidR="00A56EE9">
          <w:rPr>
            <w:noProof/>
            <w:webHidden/>
          </w:rPr>
          <w:fldChar w:fldCharType="separate"/>
        </w:r>
        <w:r w:rsidR="00A4170C">
          <w:rPr>
            <w:noProof/>
            <w:webHidden/>
          </w:rPr>
          <w:t>43</w:t>
        </w:r>
        <w:r w:rsidR="00A56EE9">
          <w:rPr>
            <w:noProof/>
            <w:webHidden/>
          </w:rPr>
          <w:fldChar w:fldCharType="end"/>
        </w:r>
      </w:hyperlink>
    </w:p>
    <w:p w14:paraId="5761CF38" w14:textId="16605D41"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88" w:history="1">
        <w:r w:rsidR="00A56EE9" w:rsidRPr="0056417B">
          <w:rPr>
            <w:rStyle w:val="Hyperlink"/>
            <w:noProof/>
          </w:rPr>
          <w:t>3.1</w:t>
        </w:r>
        <w:r w:rsidR="00A56EE9">
          <w:rPr>
            <w:rFonts w:eastAsiaTheme="minorEastAsia" w:cstheme="minorBidi"/>
            <w:smallCaps w:val="0"/>
            <w:noProof/>
            <w:sz w:val="22"/>
            <w:szCs w:val="22"/>
            <w:lang w:val="en-GB" w:eastAsia="en-GB"/>
          </w:rPr>
          <w:tab/>
        </w:r>
        <w:r w:rsidR="00A56EE9" w:rsidRPr="0056417B">
          <w:rPr>
            <w:rStyle w:val="Hyperlink"/>
            <w:noProof/>
          </w:rPr>
          <w:t>Climate change</w:t>
        </w:r>
        <w:r w:rsidR="00A56EE9">
          <w:rPr>
            <w:noProof/>
            <w:webHidden/>
          </w:rPr>
          <w:tab/>
        </w:r>
        <w:r w:rsidR="00A56EE9">
          <w:rPr>
            <w:noProof/>
            <w:webHidden/>
          </w:rPr>
          <w:fldChar w:fldCharType="begin"/>
        </w:r>
        <w:r w:rsidR="00A56EE9">
          <w:rPr>
            <w:noProof/>
            <w:webHidden/>
          </w:rPr>
          <w:instrText xml:space="preserve"> PAGEREF _Toc523423788 \h </w:instrText>
        </w:r>
        <w:r w:rsidR="00A56EE9">
          <w:rPr>
            <w:noProof/>
            <w:webHidden/>
          </w:rPr>
        </w:r>
        <w:r w:rsidR="00A56EE9">
          <w:rPr>
            <w:noProof/>
            <w:webHidden/>
          </w:rPr>
          <w:fldChar w:fldCharType="separate"/>
        </w:r>
        <w:r w:rsidR="00A4170C">
          <w:rPr>
            <w:noProof/>
            <w:webHidden/>
          </w:rPr>
          <w:t>43</w:t>
        </w:r>
        <w:r w:rsidR="00A56EE9">
          <w:rPr>
            <w:noProof/>
            <w:webHidden/>
          </w:rPr>
          <w:fldChar w:fldCharType="end"/>
        </w:r>
      </w:hyperlink>
    </w:p>
    <w:p w14:paraId="5761CF39" w14:textId="631835F4"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89" w:history="1">
        <w:r w:rsidR="00A56EE9" w:rsidRPr="0056417B">
          <w:rPr>
            <w:rStyle w:val="Hyperlink"/>
            <w:noProof/>
          </w:rPr>
          <w:t>3.2</w:t>
        </w:r>
        <w:r w:rsidR="00A56EE9">
          <w:rPr>
            <w:rFonts w:eastAsiaTheme="minorEastAsia" w:cstheme="minorBidi"/>
            <w:smallCaps w:val="0"/>
            <w:noProof/>
            <w:sz w:val="22"/>
            <w:szCs w:val="22"/>
            <w:lang w:val="en-GB" w:eastAsia="en-GB"/>
          </w:rPr>
          <w:tab/>
        </w:r>
        <w:r w:rsidR="00A56EE9" w:rsidRPr="0056417B">
          <w:rPr>
            <w:rStyle w:val="Hyperlink"/>
            <w:noProof/>
          </w:rPr>
          <w:t>Coastal development</w:t>
        </w:r>
        <w:r w:rsidR="00A56EE9">
          <w:rPr>
            <w:noProof/>
            <w:webHidden/>
          </w:rPr>
          <w:tab/>
        </w:r>
        <w:r w:rsidR="00A56EE9">
          <w:rPr>
            <w:noProof/>
            <w:webHidden/>
          </w:rPr>
          <w:fldChar w:fldCharType="begin"/>
        </w:r>
        <w:r w:rsidR="00A56EE9">
          <w:rPr>
            <w:noProof/>
            <w:webHidden/>
          </w:rPr>
          <w:instrText xml:space="preserve"> PAGEREF _Toc523423789 \h </w:instrText>
        </w:r>
        <w:r w:rsidR="00A56EE9">
          <w:rPr>
            <w:noProof/>
            <w:webHidden/>
          </w:rPr>
        </w:r>
        <w:r w:rsidR="00A56EE9">
          <w:rPr>
            <w:noProof/>
            <w:webHidden/>
          </w:rPr>
          <w:fldChar w:fldCharType="separate"/>
        </w:r>
        <w:r w:rsidR="00A4170C">
          <w:rPr>
            <w:noProof/>
            <w:webHidden/>
          </w:rPr>
          <w:t>46</w:t>
        </w:r>
        <w:r w:rsidR="00A56EE9">
          <w:rPr>
            <w:noProof/>
            <w:webHidden/>
          </w:rPr>
          <w:fldChar w:fldCharType="end"/>
        </w:r>
      </w:hyperlink>
    </w:p>
    <w:p w14:paraId="5761CF3A" w14:textId="0BF10857"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90" w:history="1">
        <w:r w:rsidR="00A56EE9" w:rsidRPr="0056417B">
          <w:rPr>
            <w:rStyle w:val="Hyperlink"/>
            <w:noProof/>
          </w:rPr>
          <w:t>3.3</w:t>
        </w:r>
        <w:r w:rsidR="00A56EE9">
          <w:rPr>
            <w:rFonts w:eastAsiaTheme="minorEastAsia" w:cstheme="minorBidi"/>
            <w:smallCaps w:val="0"/>
            <w:noProof/>
            <w:sz w:val="22"/>
            <w:szCs w:val="22"/>
            <w:lang w:val="en-GB" w:eastAsia="en-GB"/>
          </w:rPr>
          <w:tab/>
        </w:r>
        <w:r w:rsidR="00A56EE9" w:rsidRPr="0056417B">
          <w:rPr>
            <w:rStyle w:val="Hyperlink"/>
            <w:noProof/>
          </w:rPr>
          <w:t>Land-based run-off</w:t>
        </w:r>
        <w:r w:rsidR="00A56EE9">
          <w:rPr>
            <w:noProof/>
            <w:webHidden/>
          </w:rPr>
          <w:tab/>
        </w:r>
        <w:r w:rsidR="00A56EE9">
          <w:rPr>
            <w:noProof/>
            <w:webHidden/>
          </w:rPr>
          <w:fldChar w:fldCharType="begin"/>
        </w:r>
        <w:r w:rsidR="00A56EE9">
          <w:rPr>
            <w:noProof/>
            <w:webHidden/>
          </w:rPr>
          <w:instrText xml:space="preserve"> PAGEREF _Toc523423790 \h </w:instrText>
        </w:r>
        <w:r w:rsidR="00A56EE9">
          <w:rPr>
            <w:noProof/>
            <w:webHidden/>
          </w:rPr>
        </w:r>
        <w:r w:rsidR="00A56EE9">
          <w:rPr>
            <w:noProof/>
            <w:webHidden/>
          </w:rPr>
          <w:fldChar w:fldCharType="separate"/>
        </w:r>
        <w:r w:rsidR="00A4170C">
          <w:rPr>
            <w:noProof/>
            <w:webHidden/>
          </w:rPr>
          <w:t>49</w:t>
        </w:r>
        <w:r w:rsidR="00A56EE9">
          <w:rPr>
            <w:noProof/>
            <w:webHidden/>
          </w:rPr>
          <w:fldChar w:fldCharType="end"/>
        </w:r>
      </w:hyperlink>
    </w:p>
    <w:p w14:paraId="5761CF3B" w14:textId="0FDB7119" w:rsidR="00A56EE9" w:rsidRDefault="008B5998">
      <w:pPr>
        <w:pStyle w:val="TOC1"/>
        <w:tabs>
          <w:tab w:val="left" w:pos="440"/>
          <w:tab w:val="right" w:leader="dot" w:pos="9016"/>
        </w:tabs>
        <w:rPr>
          <w:rFonts w:eastAsiaTheme="minorEastAsia" w:cstheme="minorBidi"/>
          <w:b w:val="0"/>
          <w:bCs w:val="0"/>
          <w:caps w:val="0"/>
          <w:noProof/>
          <w:sz w:val="22"/>
          <w:szCs w:val="22"/>
          <w:lang w:val="en-GB" w:eastAsia="en-GB"/>
        </w:rPr>
      </w:pPr>
      <w:hyperlink w:anchor="_Toc523423791" w:history="1">
        <w:r w:rsidR="00A56EE9" w:rsidRPr="0056417B">
          <w:rPr>
            <w:rStyle w:val="Hyperlink"/>
            <w:noProof/>
          </w:rPr>
          <w:t>4.</w:t>
        </w:r>
        <w:r w:rsidR="00A56EE9">
          <w:rPr>
            <w:rFonts w:eastAsiaTheme="minorEastAsia" w:cstheme="minorBidi"/>
            <w:b w:val="0"/>
            <w:bCs w:val="0"/>
            <w:caps w:val="0"/>
            <w:noProof/>
            <w:sz w:val="22"/>
            <w:szCs w:val="22"/>
            <w:lang w:val="en-GB" w:eastAsia="en-GB"/>
          </w:rPr>
          <w:tab/>
        </w:r>
        <w:r w:rsidR="00A56EE9" w:rsidRPr="0056417B">
          <w:rPr>
            <w:rStyle w:val="Hyperlink"/>
            <w:noProof/>
          </w:rPr>
          <w:t>Assessment of managing to protect the Region’s values</w:t>
        </w:r>
        <w:r w:rsidR="00A56EE9">
          <w:rPr>
            <w:noProof/>
            <w:webHidden/>
          </w:rPr>
          <w:tab/>
        </w:r>
        <w:r w:rsidR="00A56EE9">
          <w:rPr>
            <w:noProof/>
            <w:webHidden/>
          </w:rPr>
          <w:fldChar w:fldCharType="begin"/>
        </w:r>
        <w:r w:rsidR="00A56EE9">
          <w:rPr>
            <w:noProof/>
            <w:webHidden/>
          </w:rPr>
          <w:instrText xml:space="preserve"> PAGEREF _Toc523423791 \h </w:instrText>
        </w:r>
        <w:r w:rsidR="00A56EE9">
          <w:rPr>
            <w:noProof/>
            <w:webHidden/>
          </w:rPr>
        </w:r>
        <w:r w:rsidR="00A56EE9">
          <w:rPr>
            <w:noProof/>
            <w:webHidden/>
          </w:rPr>
          <w:fldChar w:fldCharType="separate"/>
        </w:r>
        <w:r w:rsidR="00A4170C">
          <w:rPr>
            <w:noProof/>
            <w:webHidden/>
          </w:rPr>
          <w:t>51</w:t>
        </w:r>
        <w:r w:rsidR="00A56EE9">
          <w:rPr>
            <w:noProof/>
            <w:webHidden/>
          </w:rPr>
          <w:fldChar w:fldCharType="end"/>
        </w:r>
      </w:hyperlink>
    </w:p>
    <w:p w14:paraId="5761CF3C" w14:textId="276F8F39"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92" w:history="1">
        <w:r w:rsidR="00A56EE9" w:rsidRPr="0056417B">
          <w:rPr>
            <w:rStyle w:val="Hyperlink"/>
            <w:noProof/>
          </w:rPr>
          <w:t>4.1</w:t>
        </w:r>
        <w:r w:rsidR="00A56EE9">
          <w:rPr>
            <w:rFonts w:eastAsiaTheme="minorEastAsia" w:cstheme="minorBidi"/>
            <w:smallCaps w:val="0"/>
            <w:noProof/>
            <w:sz w:val="22"/>
            <w:szCs w:val="22"/>
            <w:lang w:val="en-GB" w:eastAsia="en-GB"/>
          </w:rPr>
          <w:tab/>
        </w:r>
        <w:r w:rsidR="00A56EE9" w:rsidRPr="0056417B">
          <w:rPr>
            <w:rStyle w:val="Hyperlink"/>
            <w:noProof/>
          </w:rPr>
          <w:t>Biodiversity values</w:t>
        </w:r>
        <w:r w:rsidR="00A56EE9">
          <w:rPr>
            <w:noProof/>
            <w:webHidden/>
          </w:rPr>
          <w:tab/>
        </w:r>
        <w:r w:rsidR="00A56EE9">
          <w:rPr>
            <w:noProof/>
            <w:webHidden/>
          </w:rPr>
          <w:fldChar w:fldCharType="begin"/>
        </w:r>
        <w:r w:rsidR="00A56EE9">
          <w:rPr>
            <w:noProof/>
            <w:webHidden/>
          </w:rPr>
          <w:instrText xml:space="preserve"> PAGEREF _Toc523423792 \h </w:instrText>
        </w:r>
        <w:r w:rsidR="00A56EE9">
          <w:rPr>
            <w:noProof/>
            <w:webHidden/>
          </w:rPr>
        </w:r>
        <w:r w:rsidR="00A56EE9">
          <w:rPr>
            <w:noProof/>
            <w:webHidden/>
          </w:rPr>
          <w:fldChar w:fldCharType="separate"/>
        </w:r>
        <w:r w:rsidR="00A4170C">
          <w:rPr>
            <w:noProof/>
            <w:webHidden/>
          </w:rPr>
          <w:t>51</w:t>
        </w:r>
        <w:r w:rsidR="00A56EE9">
          <w:rPr>
            <w:noProof/>
            <w:webHidden/>
          </w:rPr>
          <w:fldChar w:fldCharType="end"/>
        </w:r>
      </w:hyperlink>
    </w:p>
    <w:p w14:paraId="5761CF3D" w14:textId="22316FCF"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93" w:history="1">
        <w:r w:rsidR="00A56EE9" w:rsidRPr="0056417B">
          <w:rPr>
            <w:rStyle w:val="Hyperlink"/>
            <w:noProof/>
          </w:rPr>
          <w:t>4.2</w:t>
        </w:r>
        <w:r w:rsidR="00A56EE9">
          <w:rPr>
            <w:rFonts w:eastAsiaTheme="minorEastAsia" w:cstheme="minorBidi"/>
            <w:smallCaps w:val="0"/>
            <w:noProof/>
            <w:sz w:val="22"/>
            <w:szCs w:val="22"/>
            <w:lang w:val="en-GB" w:eastAsia="en-GB"/>
          </w:rPr>
          <w:tab/>
        </w:r>
        <w:r w:rsidR="00A56EE9" w:rsidRPr="0056417B">
          <w:rPr>
            <w:rStyle w:val="Hyperlink"/>
            <w:noProof/>
          </w:rPr>
          <w:t>Heritage values</w:t>
        </w:r>
        <w:r w:rsidR="00A56EE9">
          <w:rPr>
            <w:noProof/>
            <w:webHidden/>
          </w:rPr>
          <w:tab/>
        </w:r>
        <w:r w:rsidR="00A56EE9">
          <w:rPr>
            <w:noProof/>
            <w:webHidden/>
          </w:rPr>
          <w:fldChar w:fldCharType="begin"/>
        </w:r>
        <w:r w:rsidR="00A56EE9">
          <w:rPr>
            <w:noProof/>
            <w:webHidden/>
          </w:rPr>
          <w:instrText xml:space="preserve"> PAGEREF _Toc523423793 \h </w:instrText>
        </w:r>
        <w:r w:rsidR="00A56EE9">
          <w:rPr>
            <w:noProof/>
            <w:webHidden/>
          </w:rPr>
        </w:r>
        <w:r w:rsidR="00A56EE9">
          <w:rPr>
            <w:noProof/>
            <w:webHidden/>
          </w:rPr>
          <w:fldChar w:fldCharType="separate"/>
        </w:r>
        <w:r w:rsidR="00A4170C">
          <w:rPr>
            <w:noProof/>
            <w:webHidden/>
          </w:rPr>
          <w:t>54</w:t>
        </w:r>
        <w:r w:rsidR="00A56EE9">
          <w:rPr>
            <w:noProof/>
            <w:webHidden/>
          </w:rPr>
          <w:fldChar w:fldCharType="end"/>
        </w:r>
      </w:hyperlink>
    </w:p>
    <w:p w14:paraId="5761CF3E" w14:textId="2518041A"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94" w:history="1">
        <w:r w:rsidR="00A56EE9" w:rsidRPr="0056417B">
          <w:rPr>
            <w:rStyle w:val="Hyperlink"/>
            <w:noProof/>
          </w:rPr>
          <w:t>4.3</w:t>
        </w:r>
        <w:r w:rsidR="00A56EE9">
          <w:rPr>
            <w:rFonts w:eastAsiaTheme="minorEastAsia" w:cstheme="minorBidi"/>
            <w:smallCaps w:val="0"/>
            <w:noProof/>
            <w:sz w:val="22"/>
            <w:szCs w:val="22"/>
            <w:lang w:val="en-GB" w:eastAsia="en-GB"/>
          </w:rPr>
          <w:tab/>
        </w:r>
        <w:r w:rsidR="00A56EE9" w:rsidRPr="0056417B">
          <w:rPr>
            <w:rStyle w:val="Hyperlink"/>
            <w:noProof/>
          </w:rPr>
          <w:t>Community benefits of the environment</w:t>
        </w:r>
        <w:r w:rsidR="00A56EE9">
          <w:rPr>
            <w:noProof/>
            <w:webHidden/>
          </w:rPr>
          <w:tab/>
        </w:r>
        <w:r w:rsidR="00A56EE9">
          <w:rPr>
            <w:noProof/>
            <w:webHidden/>
          </w:rPr>
          <w:fldChar w:fldCharType="begin"/>
        </w:r>
        <w:r w:rsidR="00A56EE9">
          <w:rPr>
            <w:noProof/>
            <w:webHidden/>
          </w:rPr>
          <w:instrText xml:space="preserve"> PAGEREF _Toc523423794 \h </w:instrText>
        </w:r>
        <w:r w:rsidR="00A56EE9">
          <w:rPr>
            <w:noProof/>
            <w:webHidden/>
          </w:rPr>
        </w:r>
        <w:r w:rsidR="00A56EE9">
          <w:rPr>
            <w:noProof/>
            <w:webHidden/>
          </w:rPr>
          <w:fldChar w:fldCharType="separate"/>
        </w:r>
        <w:r w:rsidR="00A4170C">
          <w:rPr>
            <w:noProof/>
            <w:webHidden/>
          </w:rPr>
          <w:t>59</w:t>
        </w:r>
        <w:r w:rsidR="00A56EE9">
          <w:rPr>
            <w:noProof/>
            <w:webHidden/>
          </w:rPr>
          <w:fldChar w:fldCharType="end"/>
        </w:r>
      </w:hyperlink>
    </w:p>
    <w:p w14:paraId="5761CF3F" w14:textId="3F45B802" w:rsidR="00A56EE9" w:rsidRDefault="008B5998">
      <w:pPr>
        <w:pStyle w:val="TOC1"/>
        <w:tabs>
          <w:tab w:val="left" w:pos="440"/>
          <w:tab w:val="right" w:leader="dot" w:pos="9016"/>
        </w:tabs>
        <w:rPr>
          <w:rFonts w:eastAsiaTheme="minorEastAsia" w:cstheme="minorBidi"/>
          <w:b w:val="0"/>
          <w:bCs w:val="0"/>
          <w:caps w:val="0"/>
          <w:noProof/>
          <w:sz w:val="22"/>
          <w:szCs w:val="22"/>
          <w:lang w:val="en-GB" w:eastAsia="en-GB"/>
        </w:rPr>
      </w:pPr>
      <w:hyperlink w:anchor="_Toc523423795" w:history="1">
        <w:r w:rsidR="00A56EE9" w:rsidRPr="0056417B">
          <w:rPr>
            <w:rStyle w:val="Hyperlink"/>
            <w:noProof/>
          </w:rPr>
          <w:t>5.</w:t>
        </w:r>
        <w:r w:rsidR="00A56EE9">
          <w:rPr>
            <w:rFonts w:eastAsiaTheme="minorEastAsia" w:cstheme="minorBidi"/>
            <w:b w:val="0"/>
            <w:bCs w:val="0"/>
            <w:caps w:val="0"/>
            <w:noProof/>
            <w:sz w:val="22"/>
            <w:szCs w:val="22"/>
            <w:lang w:val="en-GB" w:eastAsia="en-GB"/>
          </w:rPr>
          <w:tab/>
        </w:r>
        <w:r w:rsidR="00A56EE9" w:rsidRPr="0056417B">
          <w:rPr>
            <w:rStyle w:val="Hyperlink"/>
            <w:noProof/>
          </w:rPr>
          <w:t>Assessment of the six elements within the management effectiveness framework</w:t>
        </w:r>
        <w:r w:rsidR="00A56EE9">
          <w:rPr>
            <w:noProof/>
            <w:webHidden/>
          </w:rPr>
          <w:tab/>
        </w:r>
        <w:r w:rsidR="00A56EE9">
          <w:rPr>
            <w:noProof/>
            <w:webHidden/>
          </w:rPr>
          <w:fldChar w:fldCharType="begin"/>
        </w:r>
        <w:r w:rsidR="00A56EE9">
          <w:rPr>
            <w:noProof/>
            <w:webHidden/>
          </w:rPr>
          <w:instrText xml:space="preserve"> PAGEREF _Toc523423795 \h </w:instrText>
        </w:r>
        <w:r w:rsidR="00A56EE9">
          <w:rPr>
            <w:noProof/>
            <w:webHidden/>
          </w:rPr>
        </w:r>
        <w:r w:rsidR="00A56EE9">
          <w:rPr>
            <w:noProof/>
            <w:webHidden/>
          </w:rPr>
          <w:fldChar w:fldCharType="separate"/>
        </w:r>
        <w:r w:rsidR="00A4170C">
          <w:rPr>
            <w:noProof/>
            <w:webHidden/>
          </w:rPr>
          <w:t>62</w:t>
        </w:r>
        <w:r w:rsidR="00A56EE9">
          <w:rPr>
            <w:noProof/>
            <w:webHidden/>
          </w:rPr>
          <w:fldChar w:fldCharType="end"/>
        </w:r>
      </w:hyperlink>
    </w:p>
    <w:p w14:paraId="5761CF40" w14:textId="506ADAA0"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96" w:history="1">
        <w:r w:rsidR="00A56EE9" w:rsidRPr="0056417B">
          <w:rPr>
            <w:rStyle w:val="Hyperlink"/>
            <w:noProof/>
          </w:rPr>
          <w:t>5.1</w:t>
        </w:r>
        <w:r w:rsidR="00A56EE9">
          <w:rPr>
            <w:rFonts w:eastAsiaTheme="minorEastAsia" w:cstheme="minorBidi"/>
            <w:smallCaps w:val="0"/>
            <w:noProof/>
            <w:sz w:val="22"/>
            <w:szCs w:val="22"/>
            <w:lang w:val="en-GB" w:eastAsia="en-GB"/>
          </w:rPr>
          <w:tab/>
        </w:r>
        <w:r w:rsidR="00A56EE9" w:rsidRPr="0056417B">
          <w:rPr>
            <w:rStyle w:val="Hyperlink"/>
            <w:noProof/>
          </w:rPr>
          <w:t>Context</w:t>
        </w:r>
        <w:r w:rsidR="00A56EE9">
          <w:rPr>
            <w:noProof/>
            <w:webHidden/>
          </w:rPr>
          <w:tab/>
        </w:r>
        <w:r w:rsidR="00A56EE9">
          <w:rPr>
            <w:noProof/>
            <w:webHidden/>
          </w:rPr>
          <w:fldChar w:fldCharType="begin"/>
        </w:r>
        <w:r w:rsidR="00A56EE9">
          <w:rPr>
            <w:noProof/>
            <w:webHidden/>
          </w:rPr>
          <w:instrText xml:space="preserve"> PAGEREF _Toc523423796 \h </w:instrText>
        </w:r>
        <w:r w:rsidR="00A56EE9">
          <w:rPr>
            <w:noProof/>
            <w:webHidden/>
          </w:rPr>
        </w:r>
        <w:r w:rsidR="00A56EE9">
          <w:rPr>
            <w:noProof/>
            <w:webHidden/>
          </w:rPr>
          <w:fldChar w:fldCharType="separate"/>
        </w:r>
        <w:r w:rsidR="00A4170C">
          <w:rPr>
            <w:noProof/>
            <w:webHidden/>
          </w:rPr>
          <w:t>64</w:t>
        </w:r>
        <w:r w:rsidR="00A56EE9">
          <w:rPr>
            <w:noProof/>
            <w:webHidden/>
          </w:rPr>
          <w:fldChar w:fldCharType="end"/>
        </w:r>
      </w:hyperlink>
    </w:p>
    <w:p w14:paraId="5761CF41" w14:textId="1AF82F33"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97" w:history="1">
        <w:r w:rsidR="00A56EE9" w:rsidRPr="0056417B">
          <w:rPr>
            <w:rStyle w:val="Hyperlink"/>
            <w:noProof/>
          </w:rPr>
          <w:t>5.2</w:t>
        </w:r>
        <w:r w:rsidR="00A56EE9">
          <w:rPr>
            <w:rFonts w:eastAsiaTheme="minorEastAsia" w:cstheme="minorBidi"/>
            <w:smallCaps w:val="0"/>
            <w:noProof/>
            <w:sz w:val="22"/>
            <w:szCs w:val="22"/>
            <w:lang w:val="en-GB" w:eastAsia="en-GB"/>
          </w:rPr>
          <w:tab/>
        </w:r>
        <w:r w:rsidR="00A56EE9" w:rsidRPr="0056417B">
          <w:rPr>
            <w:rStyle w:val="Hyperlink"/>
            <w:noProof/>
          </w:rPr>
          <w:t>Planning</w:t>
        </w:r>
        <w:r w:rsidR="00A56EE9">
          <w:rPr>
            <w:noProof/>
            <w:webHidden/>
          </w:rPr>
          <w:tab/>
        </w:r>
        <w:r w:rsidR="00A56EE9">
          <w:rPr>
            <w:noProof/>
            <w:webHidden/>
          </w:rPr>
          <w:fldChar w:fldCharType="begin"/>
        </w:r>
        <w:r w:rsidR="00A56EE9">
          <w:rPr>
            <w:noProof/>
            <w:webHidden/>
          </w:rPr>
          <w:instrText xml:space="preserve"> PAGEREF _Toc523423797 \h </w:instrText>
        </w:r>
        <w:r w:rsidR="00A56EE9">
          <w:rPr>
            <w:noProof/>
            <w:webHidden/>
          </w:rPr>
        </w:r>
        <w:r w:rsidR="00A56EE9">
          <w:rPr>
            <w:noProof/>
            <w:webHidden/>
          </w:rPr>
          <w:fldChar w:fldCharType="separate"/>
        </w:r>
        <w:r w:rsidR="00A4170C">
          <w:rPr>
            <w:noProof/>
            <w:webHidden/>
          </w:rPr>
          <w:t>64</w:t>
        </w:r>
        <w:r w:rsidR="00A56EE9">
          <w:rPr>
            <w:noProof/>
            <w:webHidden/>
          </w:rPr>
          <w:fldChar w:fldCharType="end"/>
        </w:r>
      </w:hyperlink>
    </w:p>
    <w:p w14:paraId="5761CF42" w14:textId="70C003A2"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98" w:history="1">
        <w:r w:rsidR="00A56EE9" w:rsidRPr="0056417B">
          <w:rPr>
            <w:rStyle w:val="Hyperlink"/>
            <w:noProof/>
          </w:rPr>
          <w:t>5.3</w:t>
        </w:r>
        <w:r w:rsidR="00A56EE9">
          <w:rPr>
            <w:rFonts w:eastAsiaTheme="minorEastAsia" w:cstheme="minorBidi"/>
            <w:smallCaps w:val="0"/>
            <w:noProof/>
            <w:sz w:val="22"/>
            <w:szCs w:val="22"/>
            <w:lang w:val="en-GB" w:eastAsia="en-GB"/>
          </w:rPr>
          <w:tab/>
        </w:r>
        <w:r w:rsidR="00A56EE9" w:rsidRPr="0056417B">
          <w:rPr>
            <w:rStyle w:val="Hyperlink"/>
            <w:noProof/>
          </w:rPr>
          <w:t>Inputs</w:t>
        </w:r>
        <w:r w:rsidR="00A56EE9">
          <w:rPr>
            <w:noProof/>
            <w:webHidden/>
          </w:rPr>
          <w:tab/>
        </w:r>
        <w:r w:rsidR="00A56EE9">
          <w:rPr>
            <w:noProof/>
            <w:webHidden/>
          </w:rPr>
          <w:fldChar w:fldCharType="begin"/>
        </w:r>
        <w:r w:rsidR="00A56EE9">
          <w:rPr>
            <w:noProof/>
            <w:webHidden/>
          </w:rPr>
          <w:instrText xml:space="preserve"> PAGEREF _Toc523423798 \h </w:instrText>
        </w:r>
        <w:r w:rsidR="00A56EE9">
          <w:rPr>
            <w:noProof/>
            <w:webHidden/>
          </w:rPr>
        </w:r>
        <w:r w:rsidR="00A56EE9">
          <w:rPr>
            <w:noProof/>
            <w:webHidden/>
          </w:rPr>
          <w:fldChar w:fldCharType="separate"/>
        </w:r>
        <w:r w:rsidR="00A4170C">
          <w:rPr>
            <w:noProof/>
            <w:webHidden/>
          </w:rPr>
          <w:t>65</w:t>
        </w:r>
        <w:r w:rsidR="00A56EE9">
          <w:rPr>
            <w:noProof/>
            <w:webHidden/>
          </w:rPr>
          <w:fldChar w:fldCharType="end"/>
        </w:r>
      </w:hyperlink>
    </w:p>
    <w:p w14:paraId="5761CF43" w14:textId="0565191D"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799" w:history="1">
        <w:r w:rsidR="00A56EE9" w:rsidRPr="0056417B">
          <w:rPr>
            <w:rStyle w:val="Hyperlink"/>
            <w:noProof/>
          </w:rPr>
          <w:t>5.4</w:t>
        </w:r>
        <w:r w:rsidR="00A56EE9">
          <w:rPr>
            <w:rFonts w:eastAsiaTheme="minorEastAsia" w:cstheme="minorBidi"/>
            <w:smallCaps w:val="0"/>
            <w:noProof/>
            <w:sz w:val="22"/>
            <w:szCs w:val="22"/>
            <w:lang w:val="en-GB" w:eastAsia="en-GB"/>
          </w:rPr>
          <w:tab/>
        </w:r>
        <w:r w:rsidR="00A56EE9" w:rsidRPr="0056417B">
          <w:rPr>
            <w:rStyle w:val="Hyperlink"/>
            <w:noProof/>
          </w:rPr>
          <w:t>Process</w:t>
        </w:r>
        <w:r w:rsidR="00A56EE9">
          <w:rPr>
            <w:noProof/>
            <w:webHidden/>
          </w:rPr>
          <w:tab/>
        </w:r>
        <w:r w:rsidR="00A56EE9">
          <w:rPr>
            <w:noProof/>
            <w:webHidden/>
          </w:rPr>
          <w:fldChar w:fldCharType="begin"/>
        </w:r>
        <w:r w:rsidR="00A56EE9">
          <w:rPr>
            <w:noProof/>
            <w:webHidden/>
          </w:rPr>
          <w:instrText xml:space="preserve"> PAGEREF _Toc523423799 \h </w:instrText>
        </w:r>
        <w:r w:rsidR="00A56EE9">
          <w:rPr>
            <w:noProof/>
            <w:webHidden/>
          </w:rPr>
        </w:r>
        <w:r w:rsidR="00A56EE9">
          <w:rPr>
            <w:noProof/>
            <w:webHidden/>
          </w:rPr>
          <w:fldChar w:fldCharType="separate"/>
        </w:r>
        <w:r w:rsidR="00A4170C">
          <w:rPr>
            <w:noProof/>
            <w:webHidden/>
          </w:rPr>
          <w:t>65</w:t>
        </w:r>
        <w:r w:rsidR="00A56EE9">
          <w:rPr>
            <w:noProof/>
            <w:webHidden/>
          </w:rPr>
          <w:fldChar w:fldCharType="end"/>
        </w:r>
      </w:hyperlink>
    </w:p>
    <w:p w14:paraId="5761CF44" w14:textId="7F1E5EC9"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00" w:history="1">
        <w:r w:rsidR="00A56EE9" w:rsidRPr="0056417B">
          <w:rPr>
            <w:rStyle w:val="Hyperlink"/>
            <w:noProof/>
          </w:rPr>
          <w:t>5.5</w:t>
        </w:r>
        <w:r w:rsidR="00A56EE9">
          <w:rPr>
            <w:rFonts w:eastAsiaTheme="minorEastAsia" w:cstheme="minorBidi"/>
            <w:smallCaps w:val="0"/>
            <w:noProof/>
            <w:sz w:val="22"/>
            <w:szCs w:val="22"/>
            <w:lang w:val="en-GB" w:eastAsia="en-GB"/>
          </w:rPr>
          <w:tab/>
        </w:r>
        <w:r w:rsidR="00A56EE9" w:rsidRPr="0056417B">
          <w:rPr>
            <w:rStyle w:val="Hyperlink"/>
            <w:noProof/>
          </w:rPr>
          <w:t>Outputs</w:t>
        </w:r>
        <w:r w:rsidR="00A56EE9">
          <w:rPr>
            <w:noProof/>
            <w:webHidden/>
          </w:rPr>
          <w:tab/>
        </w:r>
        <w:r w:rsidR="00A56EE9">
          <w:rPr>
            <w:noProof/>
            <w:webHidden/>
          </w:rPr>
          <w:fldChar w:fldCharType="begin"/>
        </w:r>
        <w:r w:rsidR="00A56EE9">
          <w:rPr>
            <w:noProof/>
            <w:webHidden/>
          </w:rPr>
          <w:instrText xml:space="preserve"> PAGEREF _Toc523423800 \h </w:instrText>
        </w:r>
        <w:r w:rsidR="00A56EE9">
          <w:rPr>
            <w:noProof/>
            <w:webHidden/>
          </w:rPr>
        </w:r>
        <w:r w:rsidR="00A56EE9">
          <w:rPr>
            <w:noProof/>
            <w:webHidden/>
          </w:rPr>
          <w:fldChar w:fldCharType="separate"/>
        </w:r>
        <w:r w:rsidR="00A4170C">
          <w:rPr>
            <w:noProof/>
            <w:webHidden/>
          </w:rPr>
          <w:t>65</w:t>
        </w:r>
        <w:r w:rsidR="00A56EE9">
          <w:rPr>
            <w:noProof/>
            <w:webHidden/>
          </w:rPr>
          <w:fldChar w:fldCharType="end"/>
        </w:r>
      </w:hyperlink>
    </w:p>
    <w:p w14:paraId="5761CF45" w14:textId="39D16D53"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01" w:history="1">
        <w:r w:rsidR="00A56EE9" w:rsidRPr="0056417B">
          <w:rPr>
            <w:rStyle w:val="Hyperlink"/>
            <w:noProof/>
          </w:rPr>
          <w:t>5.6</w:t>
        </w:r>
        <w:r w:rsidR="00A56EE9">
          <w:rPr>
            <w:rFonts w:eastAsiaTheme="minorEastAsia" w:cstheme="minorBidi"/>
            <w:smallCaps w:val="0"/>
            <w:noProof/>
            <w:sz w:val="22"/>
            <w:szCs w:val="22"/>
            <w:lang w:val="en-GB" w:eastAsia="en-GB"/>
          </w:rPr>
          <w:tab/>
        </w:r>
        <w:r w:rsidR="00A56EE9" w:rsidRPr="0056417B">
          <w:rPr>
            <w:rStyle w:val="Hyperlink"/>
            <w:noProof/>
          </w:rPr>
          <w:t>Outcomes</w:t>
        </w:r>
        <w:r w:rsidR="00A56EE9">
          <w:rPr>
            <w:noProof/>
            <w:webHidden/>
          </w:rPr>
          <w:tab/>
        </w:r>
        <w:r w:rsidR="00A56EE9">
          <w:rPr>
            <w:noProof/>
            <w:webHidden/>
          </w:rPr>
          <w:fldChar w:fldCharType="begin"/>
        </w:r>
        <w:r w:rsidR="00A56EE9">
          <w:rPr>
            <w:noProof/>
            <w:webHidden/>
          </w:rPr>
          <w:instrText xml:space="preserve"> PAGEREF _Toc523423801 \h </w:instrText>
        </w:r>
        <w:r w:rsidR="00A56EE9">
          <w:rPr>
            <w:noProof/>
            <w:webHidden/>
          </w:rPr>
        </w:r>
        <w:r w:rsidR="00A56EE9">
          <w:rPr>
            <w:noProof/>
            <w:webHidden/>
          </w:rPr>
          <w:fldChar w:fldCharType="separate"/>
        </w:r>
        <w:r w:rsidR="00A4170C">
          <w:rPr>
            <w:noProof/>
            <w:webHidden/>
          </w:rPr>
          <w:t>65</w:t>
        </w:r>
        <w:r w:rsidR="00A56EE9">
          <w:rPr>
            <w:noProof/>
            <w:webHidden/>
          </w:rPr>
          <w:fldChar w:fldCharType="end"/>
        </w:r>
      </w:hyperlink>
    </w:p>
    <w:p w14:paraId="5761CF46" w14:textId="075FBBA2"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02" w:history="1">
        <w:r w:rsidR="00A56EE9" w:rsidRPr="0056417B">
          <w:rPr>
            <w:rStyle w:val="Hyperlink"/>
            <w:noProof/>
          </w:rPr>
          <w:t>5.7</w:t>
        </w:r>
        <w:r w:rsidR="00A56EE9">
          <w:rPr>
            <w:rFonts w:eastAsiaTheme="minorEastAsia" w:cstheme="minorBidi"/>
            <w:smallCaps w:val="0"/>
            <w:noProof/>
            <w:sz w:val="22"/>
            <w:szCs w:val="22"/>
            <w:lang w:val="en-GB" w:eastAsia="en-GB"/>
          </w:rPr>
          <w:tab/>
        </w:r>
        <w:r w:rsidR="00A56EE9" w:rsidRPr="0056417B">
          <w:rPr>
            <w:rStyle w:val="Hyperlink"/>
            <w:noProof/>
          </w:rPr>
          <w:t>Overall Summary</w:t>
        </w:r>
        <w:r w:rsidR="00A56EE9">
          <w:rPr>
            <w:noProof/>
            <w:webHidden/>
          </w:rPr>
          <w:tab/>
        </w:r>
        <w:r w:rsidR="00A56EE9">
          <w:rPr>
            <w:noProof/>
            <w:webHidden/>
          </w:rPr>
          <w:fldChar w:fldCharType="begin"/>
        </w:r>
        <w:r w:rsidR="00A56EE9">
          <w:rPr>
            <w:noProof/>
            <w:webHidden/>
          </w:rPr>
          <w:instrText xml:space="preserve"> PAGEREF _Toc523423802 \h </w:instrText>
        </w:r>
        <w:r w:rsidR="00A56EE9">
          <w:rPr>
            <w:noProof/>
            <w:webHidden/>
          </w:rPr>
        </w:r>
        <w:r w:rsidR="00A56EE9">
          <w:rPr>
            <w:noProof/>
            <w:webHidden/>
          </w:rPr>
          <w:fldChar w:fldCharType="separate"/>
        </w:r>
        <w:r w:rsidR="00A4170C">
          <w:rPr>
            <w:noProof/>
            <w:webHidden/>
          </w:rPr>
          <w:t>67</w:t>
        </w:r>
        <w:r w:rsidR="00A56EE9">
          <w:rPr>
            <w:noProof/>
            <w:webHidden/>
          </w:rPr>
          <w:fldChar w:fldCharType="end"/>
        </w:r>
      </w:hyperlink>
    </w:p>
    <w:p w14:paraId="5761CF47" w14:textId="72A058E1" w:rsidR="00A56EE9" w:rsidRDefault="008B5998">
      <w:pPr>
        <w:pStyle w:val="TOC1"/>
        <w:tabs>
          <w:tab w:val="left" w:pos="440"/>
          <w:tab w:val="right" w:leader="dot" w:pos="9016"/>
        </w:tabs>
        <w:rPr>
          <w:rFonts w:eastAsiaTheme="minorEastAsia" w:cstheme="minorBidi"/>
          <w:b w:val="0"/>
          <w:bCs w:val="0"/>
          <w:caps w:val="0"/>
          <w:noProof/>
          <w:sz w:val="22"/>
          <w:szCs w:val="22"/>
          <w:lang w:val="en-GB" w:eastAsia="en-GB"/>
        </w:rPr>
      </w:pPr>
      <w:hyperlink w:anchor="_Toc523423803" w:history="1">
        <w:r w:rsidR="00A56EE9" w:rsidRPr="0056417B">
          <w:rPr>
            <w:rStyle w:val="Hyperlink"/>
            <w:noProof/>
          </w:rPr>
          <w:t>6.</w:t>
        </w:r>
        <w:r w:rsidR="00A56EE9">
          <w:rPr>
            <w:rFonts w:eastAsiaTheme="minorEastAsia" w:cstheme="minorBidi"/>
            <w:b w:val="0"/>
            <w:bCs w:val="0"/>
            <w:caps w:val="0"/>
            <w:noProof/>
            <w:sz w:val="22"/>
            <w:szCs w:val="22"/>
            <w:lang w:val="en-GB" w:eastAsia="en-GB"/>
          </w:rPr>
          <w:tab/>
        </w:r>
        <w:r w:rsidR="00A56EE9" w:rsidRPr="0056417B">
          <w:rPr>
            <w:rStyle w:val="Hyperlink"/>
            <w:noProof/>
          </w:rPr>
          <w:t>Assessment of management approaches</w:t>
        </w:r>
        <w:r w:rsidR="00A56EE9">
          <w:rPr>
            <w:noProof/>
            <w:webHidden/>
          </w:rPr>
          <w:tab/>
        </w:r>
        <w:r w:rsidR="00A56EE9">
          <w:rPr>
            <w:noProof/>
            <w:webHidden/>
          </w:rPr>
          <w:fldChar w:fldCharType="begin"/>
        </w:r>
        <w:r w:rsidR="00A56EE9">
          <w:rPr>
            <w:noProof/>
            <w:webHidden/>
          </w:rPr>
          <w:instrText xml:space="preserve"> PAGEREF _Toc523423803 \h </w:instrText>
        </w:r>
        <w:r w:rsidR="00A56EE9">
          <w:rPr>
            <w:noProof/>
            <w:webHidden/>
          </w:rPr>
        </w:r>
        <w:r w:rsidR="00A56EE9">
          <w:rPr>
            <w:noProof/>
            <w:webHidden/>
          </w:rPr>
          <w:fldChar w:fldCharType="separate"/>
        </w:r>
        <w:r w:rsidR="00A4170C">
          <w:rPr>
            <w:noProof/>
            <w:webHidden/>
          </w:rPr>
          <w:t>68</w:t>
        </w:r>
        <w:r w:rsidR="00A56EE9">
          <w:rPr>
            <w:noProof/>
            <w:webHidden/>
          </w:rPr>
          <w:fldChar w:fldCharType="end"/>
        </w:r>
      </w:hyperlink>
    </w:p>
    <w:p w14:paraId="5761CF48" w14:textId="73E87A05"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04" w:history="1">
        <w:r w:rsidR="00A56EE9" w:rsidRPr="0056417B">
          <w:rPr>
            <w:rStyle w:val="Hyperlink"/>
            <w:noProof/>
          </w:rPr>
          <w:t>6.1</w:t>
        </w:r>
        <w:r w:rsidR="00A56EE9">
          <w:rPr>
            <w:rFonts w:eastAsiaTheme="minorEastAsia" w:cstheme="minorBidi"/>
            <w:smallCaps w:val="0"/>
            <w:noProof/>
            <w:sz w:val="22"/>
            <w:szCs w:val="22"/>
            <w:lang w:val="en-GB" w:eastAsia="en-GB"/>
          </w:rPr>
          <w:tab/>
        </w:r>
        <w:r w:rsidR="00A56EE9" w:rsidRPr="0056417B">
          <w:rPr>
            <w:rStyle w:val="Hyperlink"/>
            <w:noProof/>
          </w:rPr>
          <w:t>Environmental regulation</w:t>
        </w:r>
        <w:r w:rsidR="00A56EE9">
          <w:rPr>
            <w:noProof/>
            <w:webHidden/>
          </w:rPr>
          <w:tab/>
        </w:r>
        <w:r w:rsidR="00A56EE9">
          <w:rPr>
            <w:noProof/>
            <w:webHidden/>
          </w:rPr>
          <w:fldChar w:fldCharType="begin"/>
        </w:r>
        <w:r w:rsidR="00A56EE9">
          <w:rPr>
            <w:noProof/>
            <w:webHidden/>
          </w:rPr>
          <w:instrText xml:space="preserve"> PAGEREF _Toc523423804 \h </w:instrText>
        </w:r>
        <w:r w:rsidR="00A56EE9">
          <w:rPr>
            <w:noProof/>
            <w:webHidden/>
          </w:rPr>
        </w:r>
        <w:r w:rsidR="00A56EE9">
          <w:rPr>
            <w:noProof/>
            <w:webHidden/>
          </w:rPr>
          <w:fldChar w:fldCharType="separate"/>
        </w:r>
        <w:r w:rsidR="00A4170C">
          <w:rPr>
            <w:noProof/>
            <w:webHidden/>
          </w:rPr>
          <w:t>68</w:t>
        </w:r>
        <w:r w:rsidR="00A56EE9">
          <w:rPr>
            <w:noProof/>
            <w:webHidden/>
          </w:rPr>
          <w:fldChar w:fldCharType="end"/>
        </w:r>
      </w:hyperlink>
    </w:p>
    <w:p w14:paraId="5761CF49" w14:textId="1F186A54"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05" w:history="1">
        <w:r w:rsidR="00A56EE9" w:rsidRPr="0056417B">
          <w:rPr>
            <w:rStyle w:val="Hyperlink"/>
            <w:noProof/>
          </w:rPr>
          <w:t>6.2</w:t>
        </w:r>
        <w:r w:rsidR="00A56EE9">
          <w:rPr>
            <w:rFonts w:eastAsiaTheme="minorEastAsia" w:cstheme="minorBidi"/>
            <w:smallCaps w:val="0"/>
            <w:noProof/>
            <w:sz w:val="22"/>
            <w:szCs w:val="22"/>
            <w:lang w:val="en-GB" w:eastAsia="en-GB"/>
          </w:rPr>
          <w:tab/>
        </w:r>
        <w:r w:rsidR="00A56EE9" w:rsidRPr="0056417B">
          <w:rPr>
            <w:rStyle w:val="Hyperlink"/>
            <w:noProof/>
          </w:rPr>
          <w:t>Engagement</w:t>
        </w:r>
        <w:r w:rsidR="00A56EE9">
          <w:rPr>
            <w:noProof/>
            <w:webHidden/>
          </w:rPr>
          <w:tab/>
        </w:r>
        <w:r w:rsidR="00A56EE9">
          <w:rPr>
            <w:noProof/>
            <w:webHidden/>
          </w:rPr>
          <w:fldChar w:fldCharType="begin"/>
        </w:r>
        <w:r w:rsidR="00A56EE9">
          <w:rPr>
            <w:noProof/>
            <w:webHidden/>
          </w:rPr>
          <w:instrText xml:space="preserve"> PAGEREF _Toc523423805 \h </w:instrText>
        </w:r>
        <w:r w:rsidR="00A56EE9">
          <w:rPr>
            <w:noProof/>
            <w:webHidden/>
          </w:rPr>
        </w:r>
        <w:r w:rsidR="00A56EE9">
          <w:rPr>
            <w:noProof/>
            <w:webHidden/>
          </w:rPr>
          <w:fldChar w:fldCharType="separate"/>
        </w:r>
        <w:r w:rsidR="00A4170C">
          <w:rPr>
            <w:noProof/>
            <w:webHidden/>
          </w:rPr>
          <w:t>69</w:t>
        </w:r>
        <w:r w:rsidR="00A56EE9">
          <w:rPr>
            <w:noProof/>
            <w:webHidden/>
          </w:rPr>
          <w:fldChar w:fldCharType="end"/>
        </w:r>
      </w:hyperlink>
    </w:p>
    <w:p w14:paraId="5761CF4A" w14:textId="3B663848"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06" w:history="1">
        <w:r w:rsidR="00A56EE9" w:rsidRPr="0056417B">
          <w:rPr>
            <w:rStyle w:val="Hyperlink"/>
            <w:noProof/>
          </w:rPr>
          <w:t>6.3</w:t>
        </w:r>
        <w:r w:rsidR="00A56EE9">
          <w:rPr>
            <w:rFonts w:eastAsiaTheme="minorEastAsia" w:cstheme="minorBidi"/>
            <w:smallCaps w:val="0"/>
            <w:noProof/>
            <w:sz w:val="22"/>
            <w:szCs w:val="22"/>
            <w:lang w:val="en-GB" w:eastAsia="en-GB"/>
          </w:rPr>
          <w:tab/>
        </w:r>
        <w:r w:rsidR="00A56EE9" w:rsidRPr="0056417B">
          <w:rPr>
            <w:rStyle w:val="Hyperlink"/>
            <w:noProof/>
          </w:rPr>
          <w:t>Knowledge, innovation and integration</w:t>
        </w:r>
        <w:r w:rsidR="00A56EE9">
          <w:rPr>
            <w:noProof/>
            <w:webHidden/>
          </w:rPr>
          <w:tab/>
        </w:r>
        <w:r w:rsidR="00A56EE9">
          <w:rPr>
            <w:noProof/>
            <w:webHidden/>
          </w:rPr>
          <w:fldChar w:fldCharType="begin"/>
        </w:r>
        <w:r w:rsidR="00A56EE9">
          <w:rPr>
            <w:noProof/>
            <w:webHidden/>
          </w:rPr>
          <w:instrText xml:space="preserve"> PAGEREF _Toc523423806 \h </w:instrText>
        </w:r>
        <w:r w:rsidR="00A56EE9">
          <w:rPr>
            <w:noProof/>
            <w:webHidden/>
          </w:rPr>
        </w:r>
        <w:r w:rsidR="00A56EE9">
          <w:rPr>
            <w:noProof/>
            <w:webHidden/>
          </w:rPr>
          <w:fldChar w:fldCharType="separate"/>
        </w:r>
        <w:r w:rsidR="00A4170C">
          <w:rPr>
            <w:noProof/>
            <w:webHidden/>
          </w:rPr>
          <w:t>70</w:t>
        </w:r>
        <w:r w:rsidR="00A56EE9">
          <w:rPr>
            <w:noProof/>
            <w:webHidden/>
          </w:rPr>
          <w:fldChar w:fldCharType="end"/>
        </w:r>
      </w:hyperlink>
    </w:p>
    <w:p w14:paraId="5761CF4B" w14:textId="5661A525" w:rsidR="00A56EE9" w:rsidRDefault="008B5998">
      <w:pPr>
        <w:pStyle w:val="TOC3"/>
        <w:tabs>
          <w:tab w:val="left" w:pos="1100"/>
          <w:tab w:val="right" w:leader="dot" w:pos="9016"/>
        </w:tabs>
        <w:rPr>
          <w:rFonts w:eastAsiaTheme="minorEastAsia" w:cstheme="minorBidi"/>
          <w:i w:val="0"/>
          <w:iCs w:val="0"/>
          <w:noProof/>
          <w:sz w:val="22"/>
          <w:szCs w:val="22"/>
          <w:lang w:val="en-GB" w:eastAsia="en-GB"/>
        </w:rPr>
      </w:pPr>
      <w:hyperlink w:anchor="_Toc523423807" w:history="1">
        <w:r w:rsidR="00A56EE9" w:rsidRPr="0056417B">
          <w:rPr>
            <w:rStyle w:val="Hyperlink"/>
            <w:noProof/>
          </w:rPr>
          <w:t>6.3.1</w:t>
        </w:r>
        <w:r w:rsidR="00A56EE9">
          <w:rPr>
            <w:rFonts w:eastAsiaTheme="minorEastAsia" w:cstheme="minorBidi"/>
            <w:i w:val="0"/>
            <w:iCs w:val="0"/>
            <w:noProof/>
            <w:sz w:val="22"/>
            <w:szCs w:val="22"/>
            <w:lang w:val="en-GB" w:eastAsia="en-GB"/>
          </w:rPr>
          <w:tab/>
        </w:r>
        <w:r w:rsidR="00A56EE9" w:rsidRPr="0056417B">
          <w:rPr>
            <w:rStyle w:val="Hyperlink"/>
            <w:noProof/>
          </w:rPr>
          <w:t>Research and Monitoring</w:t>
        </w:r>
        <w:r w:rsidR="00A56EE9">
          <w:rPr>
            <w:noProof/>
            <w:webHidden/>
          </w:rPr>
          <w:tab/>
        </w:r>
        <w:r w:rsidR="00A56EE9">
          <w:rPr>
            <w:noProof/>
            <w:webHidden/>
          </w:rPr>
          <w:fldChar w:fldCharType="begin"/>
        </w:r>
        <w:r w:rsidR="00A56EE9">
          <w:rPr>
            <w:noProof/>
            <w:webHidden/>
          </w:rPr>
          <w:instrText xml:space="preserve"> PAGEREF _Toc523423807 \h </w:instrText>
        </w:r>
        <w:r w:rsidR="00A56EE9">
          <w:rPr>
            <w:noProof/>
            <w:webHidden/>
          </w:rPr>
        </w:r>
        <w:r w:rsidR="00A56EE9">
          <w:rPr>
            <w:noProof/>
            <w:webHidden/>
          </w:rPr>
          <w:fldChar w:fldCharType="separate"/>
        </w:r>
        <w:r w:rsidR="00A4170C">
          <w:rPr>
            <w:noProof/>
            <w:webHidden/>
          </w:rPr>
          <w:t>70</w:t>
        </w:r>
        <w:r w:rsidR="00A56EE9">
          <w:rPr>
            <w:noProof/>
            <w:webHidden/>
          </w:rPr>
          <w:fldChar w:fldCharType="end"/>
        </w:r>
      </w:hyperlink>
    </w:p>
    <w:p w14:paraId="5761CF4C" w14:textId="3305D9E3" w:rsidR="00A56EE9" w:rsidRDefault="008B5998">
      <w:pPr>
        <w:pStyle w:val="TOC3"/>
        <w:tabs>
          <w:tab w:val="left" w:pos="1100"/>
          <w:tab w:val="right" w:leader="dot" w:pos="9016"/>
        </w:tabs>
        <w:rPr>
          <w:rFonts w:eastAsiaTheme="minorEastAsia" w:cstheme="minorBidi"/>
          <w:i w:val="0"/>
          <w:iCs w:val="0"/>
          <w:noProof/>
          <w:sz w:val="22"/>
          <w:szCs w:val="22"/>
          <w:lang w:val="en-GB" w:eastAsia="en-GB"/>
        </w:rPr>
      </w:pPr>
      <w:hyperlink w:anchor="_Toc523423808" w:history="1">
        <w:r w:rsidR="00A56EE9" w:rsidRPr="0056417B">
          <w:rPr>
            <w:rStyle w:val="Hyperlink"/>
            <w:noProof/>
          </w:rPr>
          <w:t>6.3.2</w:t>
        </w:r>
        <w:r w:rsidR="00A56EE9">
          <w:rPr>
            <w:rFonts w:eastAsiaTheme="minorEastAsia" w:cstheme="minorBidi"/>
            <w:i w:val="0"/>
            <w:iCs w:val="0"/>
            <w:noProof/>
            <w:sz w:val="22"/>
            <w:szCs w:val="22"/>
            <w:lang w:val="en-GB" w:eastAsia="en-GB"/>
          </w:rPr>
          <w:tab/>
        </w:r>
        <w:r w:rsidR="00A56EE9" w:rsidRPr="0056417B">
          <w:rPr>
            <w:rStyle w:val="Hyperlink"/>
            <w:noProof/>
          </w:rPr>
          <w:t>Reporting and evaluation</w:t>
        </w:r>
        <w:r w:rsidR="00A56EE9">
          <w:rPr>
            <w:noProof/>
            <w:webHidden/>
          </w:rPr>
          <w:tab/>
        </w:r>
        <w:r w:rsidR="00A56EE9">
          <w:rPr>
            <w:noProof/>
            <w:webHidden/>
          </w:rPr>
          <w:fldChar w:fldCharType="begin"/>
        </w:r>
        <w:r w:rsidR="00A56EE9">
          <w:rPr>
            <w:noProof/>
            <w:webHidden/>
          </w:rPr>
          <w:instrText xml:space="preserve"> PAGEREF _Toc523423808 \h </w:instrText>
        </w:r>
        <w:r w:rsidR="00A56EE9">
          <w:rPr>
            <w:noProof/>
            <w:webHidden/>
          </w:rPr>
        </w:r>
        <w:r w:rsidR="00A56EE9">
          <w:rPr>
            <w:noProof/>
            <w:webHidden/>
          </w:rPr>
          <w:fldChar w:fldCharType="separate"/>
        </w:r>
        <w:r w:rsidR="00A4170C">
          <w:rPr>
            <w:noProof/>
            <w:webHidden/>
          </w:rPr>
          <w:t>71</w:t>
        </w:r>
        <w:r w:rsidR="00A56EE9">
          <w:rPr>
            <w:noProof/>
            <w:webHidden/>
          </w:rPr>
          <w:fldChar w:fldCharType="end"/>
        </w:r>
      </w:hyperlink>
    </w:p>
    <w:p w14:paraId="5761CF4D" w14:textId="34C06CF6"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09" w:history="1">
        <w:r w:rsidR="00A56EE9" w:rsidRPr="0056417B">
          <w:rPr>
            <w:rStyle w:val="Hyperlink"/>
            <w:noProof/>
          </w:rPr>
          <w:t>6.4</w:t>
        </w:r>
        <w:r w:rsidR="00A56EE9">
          <w:rPr>
            <w:rFonts w:eastAsiaTheme="minorEastAsia" w:cstheme="minorBidi"/>
            <w:smallCaps w:val="0"/>
            <w:noProof/>
            <w:sz w:val="22"/>
            <w:szCs w:val="22"/>
            <w:lang w:val="en-GB" w:eastAsia="en-GB"/>
          </w:rPr>
          <w:tab/>
        </w:r>
        <w:r w:rsidR="00A56EE9" w:rsidRPr="0056417B">
          <w:rPr>
            <w:rStyle w:val="Hyperlink"/>
            <w:noProof/>
          </w:rPr>
          <w:t>Resourcing of management arrangements</w:t>
        </w:r>
        <w:r w:rsidR="00A56EE9">
          <w:rPr>
            <w:noProof/>
            <w:webHidden/>
          </w:rPr>
          <w:tab/>
        </w:r>
        <w:r w:rsidR="00A56EE9">
          <w:rPr>
            <w:noProof/>
            <w:webHidden/>
          </w:rPr>
          <w:fldChar w:fldCharType="begin"/>
        </w:r>
        <w:r w:rsidR="00A56EE9">
          <w:rPr>
            <w:noProof/>
            <w:webHidden/>
          </w:rPr>
          <w:instrText xml:space="preserve"> PAGEREF _Toc523423809 \h </w:instrText>
        </w:r>
        <w:r w:rsidR="00A56EE9">
          <w:rPr>
            <w:noProof/>
            <w:webHidden/>
          </w:rPr>
        </w:r>
        <w:r w:rsidR="00A56EE9">
          <w:rPr>
            <w:noProof/>
            <w:webHidden/>
          </w:rPr>
          <w:fldChar w:fldCharType="separate"/>
        </w:r>
        <w:r w:rsidR="00A4170C">
          <w:rPr>
            <w:noProof/>
            <w:webHidden/>
          </w:rPr>
          <w:t>71</w:t>
        </w:r>
        <w:r w:rsidR="00A56EE9">
          <w:rPr>
            <w:noProof/>
            <w:webHidden/>
          </w:rPr>
          <w:fldChar w:fldCharType="end"/>
        </w:r>
      </w:hyperlink>
    </w:p>
    <w:p w14:paraId="5761CF4E" w14:textId="6B44AAC1" w:rsidR="00A56EE9" w:rsidRDefault="008B5998">
      <w:pPr>
        <w:pStyle w:val="TOC1"/>
        <w:tabs>
          <w:tab w:val="left" w:pos="440"/>
          <w:tab w:val="right" w:leader="dot" w:pos="9016"/>
        </w:tabs>
        <w:rPr>
          <w:rFonts w:eastAsiaTheme="minorEastAsia" w:cstheme="minorBidi"/>
          <w:b w:val="0"/>
          <w:bCs w:val="0"/>
          <w:caps w:val="0"/>
          <w:noProof/>
          <w:sz w:val="22"/>
          <w:szCs w:val="22"/>
          <w:lang w:val="en-GB" w:eastAsia="en-GB"/>
        </w:rPr>
      </w:pPr>
      <w:hyperlink w:anchor="_Toc523423810" w:history="1">
        <w:r w:rsidR="00A56EE9" w:rsidRPr="0056417B">
          <w:rPr>
            <w:rStyle w:val="Hyperlink"/>
            <w:noProof/>
          </w:rPr>
          <w:t>7.</w:t>
        </w:r>
        <w:r w:rsidR="00A56EE9">
          <w:rPr>
            <w:rFonts w:eastAsiaTheme="minorEastAsia" w:cstheme="minorBidi"/>
            <w:b w:val="0"/>
            <w:bCs w:val="0"/>
            <w:caps w:val="0"/>
            <w:noProof/>
            <w:sz w:val="22"/>
            <w:szCs w:val="22"/>
            <w:lang w:val="en-GB" w:eastAsia="en-GB"/>
          </w:rPr>
          <w:tab/>
        </w:r>
        <w:r w:rsidR="00A56EE9" w:rsidRPr="0056417B">
          <w:rPr>
            <w:rStyle w:val="Hyperlink"/>
            <w:noProof/>
          </w:rPr>
          <w:t>Conclusion</w:t>
        </w:r>
        <w:r w:rsidR="00A56EE9">
          <w:rPr>
            <w:noProof/>
            <w:webHidden/>
          </w:rPr>
          <w:tab/>
        </w:r>
        <w:r w:rsidR="00A56EE9">
          <w:rPr>
            <w:noProof/>
            <w:webHidden/>
          </w:rPr>
          <w:fldChar w:fldCharType="begin"/>
        </w:r>
        <w:r w:rsidR="00A56EE9">
          <w:rPr>
            <w:noProof/>
            <w:webHidden/>
          </w:rPr>
          <w:instrText xml:space="preserve"> PAGEREF _Toc523423810 \h </w:instrText>
        </w:r>
        <w:r w:rsidR="00A56EE9">
          <w:rPr>
            <w:noProof/>
            <w:webHidden/>
          </w:rPr>
        </w:r>
        <w:r w:rsidR="00A56EE9">
          <w:rPr>
            <w:noProof/>
            <w:webHidden/>
          </w:rPr>
          <w:fldChar w:fldCharType="separate"/>
        </w:r>
        <w:r w:rsidR="00A4170C">
          <w:rPr>
            <w:noProof/>
            <w:webHidden/>
          </w:rPr>
          <w:t>72</w:t>
        </w:r>
        <w:r w:rsidR="00A56EE9">
          <w:rPr>
            <w:noProof/>
            <w:webHidden/>
          </w:rPr>
          <w:fldChar w:fldCharType="end"/>
        </w:r>
      </w:hyperlink>
    </w:p>
    <w:p w14:paraId="5761CF4F" w14:textId="724B90A8"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11" w:history="1">
        <w:r w:rsidR="00A56EE9" w:rsidRPr="0056417B">
          <w:rPr>
            <w:rStyle w:val="Hyperlink"/>
            <w:noProof/>
          </w:rPr>
          <w:t>7.1</w:t>
        </w:r>
        <w:r w:rsidR="00A56EE9">
          <w:rPr>
            <w:rFonts w:eastAsiaTheme="minorEastAsia" w:cstheme="minorBidi"/>
            <w:smallCaps w:val="0"/>
            <w:noProof/>
            <w:sz w:val="22"/>
            <w:szCs w:val="22"/>
            <w:lang w:val="en-GB" w:eastAsia="en-GB"/>
          </w:rPr>
          <w:tab/>
        </w:r>
        <w:r w:rsidR="00A56EE9" w:rsidRPr="0056417B">
          <w:rPr>
            <w:rStyle w:val="Hyperlink"/>
            <w:noProof/>
          </w:rPr>
          <w:t>Overall strengths and weakness in management effectiveness</w:t>
        </w:r>
        <w:r w:rsidR="00A56EE9">
          <w:rPr>
            <w:noProof/>
            <w:webHidden/>
          </w:rPr>
          <w:tab/>
        </w:r>
        <w:r w:rsidR="00A56EE9">
          <w:rPr>
            <w:noProof/>
            <w:webHidden/>
          </w:rPr>
          <w:fldChar w:fldCharType="begin"/>
        </w:r>
        <w:r w:rsidR="00A56EE9">
          <w:rPr>
            <w:noProof/>
            <w:webHidden/>
          </w:rPr>
          <w:instrText xml:space="preserve"> PAGEREF _Toc523423811 \h </w:instrText>
        </w:r>
        <w:r w:rsidR="00A56EE9">
          <w:rPr>
            <w:noProof/>
            <w:webHidden/>
          </w:rPr>
        </w:r>
        <w:r w:rsidR="00A56EE9">
          <w:rPr>
            <w:noProof/>
            <w:webHidden/>
          </w:rPr>
          <w:fldChar w:fldCharType="separate"/>
        </w:r>
        <w:r w:rsidR="00A4170C">
          <w:rPr>
            <w:noProof/>
            <w:webHidden/>
          </w:rPr>
          <w:t>72</w:t>
        </w:r>
        <w:r w:rsidR="00A56EE9">
          <w:rPr>
            <w:noProof/>
            <w:webHidden/>
          </w:rPr>
          <w:fldChar w:fldCharType="end"/>
        </w:r>
      </w:hyperlink>
    </w:p>
    <w:p w14:paraId="5761CF50" w14:textId="1704729E" w:rsidR="00A56EE9" w:rsidRDefault="008B5998">
      <w:pPr>
        <w:pStyle w:val="TOC1"/>
        <w:tabs>
          <w:tab w:val="left" w:pos="440"/>
          <w:tab w:val="right" w:leader="dot" w:pos="9016"/>
        </w:tabs>
        <w:rPr>
          <w:rFonts w:eastAsiaTheme="minorEastAsia" w:cstheme="minorBidi"/>
          <w:b w:val="0"/>
          <w:bCs w:val="0"/>
          <w:caps w:val="0"/>
          <w:noProof/>
          <w:sz w:val="22"/>
          <w:szCs w:val="22"/>
          <w:lang w:val="en-GB" w:eastAsia="en-GB"/>
        </w:rPr>
      </w:pPr>
      <w:hyperlink w:anchor="_Toc523423812" w:history="1">
        <w:r w:rsidR="00A56EE9" w:rsidRPr="0056417B">
          <w:rPr>
            <w:rStyle w:val="Hyperlink"/>
            <w:noProof/>
          </w:rPr>
          <w:t>8.</w:t>
        </w:r>
        <w:r w:rsidR="00A56EE9">
          <w:rPr>
            <w:rFonts w:eastAsiaTheme="minorEastAsia" w:cstheme="minorBidi"/>
            <w:b w:val="0"/>
            <w:bCs w:val="0"/>
            <w:caps w:val="0"/>
            <w:noProof/>
            <w:sz w:val="22"/>
            <w:szCs w:val="22"/>
            <w:lang w:val="en-GB" w:eastAsia="en-GB"/>
          </w:rPr>
          <w:tab/>
        </w:r>
        <w:r w:rsidR="00A56EE9" w:rsidRPr="0056417B">
          <w:rPr>
            <w:rStyle w:val="Hyperlink"/>
            <w:noProof/>
          </w:rPr>
          <w:t>Bibliography</w:t>
        </w:r>
        <w:r w:rsidR="00A56EE9">
          <w:rPr>
            <w:noProof/>
            <w:webHidden/>
          </w:rPr>
          <w:tab/>
        </w:r>
        <w:r w:rsidR="00A56EE9">
          <w:rPr>
            <w:noProof/>
            <w:webHidden/>
          </w:rPr>
          <w:fldChar w:fldCharType="begin"/>
        </w:r>
        <w:r w:rsidR="00A56EE9">
          <w:rPr>
            <w:noProof/>
            <w:webHidden/>
          </w:rPr>
          <w:instrText xml:space="preserve"> PAGEREF _Toc523423812 \h </w:instrText>
        </w:r>
        <w:r w:rsidR="00A56EE9">
          <w:rPr>
            <w:noProof/>
            <w:webHidden/>
          </w:rPr>
        </w:r>
        <w:r w:rsidR="00A56EE9">
          <w:rPr>
            <w:noProof/>
            <w:webHidden/>
          </w:rPr>
          <w:fldChar w:fldCharType="separate"/>
        </w:r>
        <w:r w:rsidR="00A4170C">
          <w:rPr>
            <w:noProof/>
            <w:webHidden/>
          </w:rPr>
          <w:t>74</w:t>
        </w:r>
        <w:r w:rsidR="00A56EE9">
          <w:rPr>
            <w:noProof/>
            <w:webHidden/>
          </w:rPr>
          <w:fldChar w:fldCharType="end"/>
        </w:r>
      </w:hyperlink>
    </w:p>
    <w:p w14:paraId="5761CF51" w14:textId="45F968CC" w:rsidR="00A56EE9" w:rsidRDefault="008B5998">
      <w:pPr>
        <w:pStyle w:val="TOC1"/>
        <w:tabs>
          <w:tab w:val="left" w:pos="440"/>
          <w:tab w:val="right" w:leader="dot" w:pos="9016"/>
        </w:tabs>
        <w:rPr>
          <w:rFonts w:eastAsiaTheme="minorEastAsia" w:cstheme="minorBidi"/>
          <w:b w:val="0"/>
          <w:bCs w:val="0"/>
          <w:caps w:val="0"/>
          <w:noProof/>
          <w:sz w:val="22"/>
          <w:szCs w:val="22"/>
          <w:lang w:val="en-GB" w:eastAsia="en-GB"/>
        </w:rPr>
      </w:pPr>
      <w:hyperlink w:anchor="_Toc523423813" w:history="1">
        <w:r w:rsidR="00A56EE9" w:rsidRPr="0056417B">
          <w:rPr>
            <w:rStyle w:val="Hyperlink"/>
            <w:noProof/>
          </w:rPr>
          <w:t>9.</w:t>
        </w:r>
        <w:r w:rsidR="00A56EE9">
          <w:rPr>
            <w:rFonts w:eastAsiaTheme="minorEastAsia" w:cstheme="minorBidi"/>
            <w:b w:val="0"/>
            <w:bCs w:val="0"/>
            <w:caps w:val="0"/>
            <w:noProof/>
            <w:sz w:val="22"/>
            <w:szCs w:val="22"/>
            <w:lang w:val="en-GB" w:eastAsia="en-GB"/>
          </w:rPr>
          <w:tab/>
        </w:r>
        <w:r w:rsidR="00A56EE9" w:rsidRPr="0056417B">
          <w:rPr>
            <w:rStyle w:val="Hyperlink"/>
            <w:noProof/>
          </w:rPr>
          <w:t>Appendices</w:t>
        </w:r>
        <w:r w:rsidR="00A56EE9">
          <w:rPr>
            <w:noProof/>
            <w:webHidden/>
          </w:rPr>
          <w:tab/>
        </w:r>
        <w:r w:rsidR="00A56EE9">
          <w:rPr>
            <w:noProof/>
            <w:webHidden/>
          </w:rPr>
          <w:fldChar w:fldCharType="begin"/>
        </w:r>
        <w:r w:rsidR="00A56EE9">
          <w:rPr>
            <w:noProof/>
            <w:webHidden/>
          </w:rPr>
          <w:instrText xml:space="preserve"> PAGEREF _Toc523423813 \h </w:instrText>
        </w:r>
        <w:r w:rsidR="00A56EE9">
          <w:rPr>
            <w:noProof/>
            <w:webHidden/>
          </w:rPr>
        </w:r>
        <w:r w:rsidR="00A56EE9">
          <w:rPr>
            <w:noProof/>
            <w:webHidden/>
          </w:rPr>
          <w:fldChar w:fldCharType="separate"/>
        </w:r>
        <w:r w:rsidR="00A4170C">
          <w:rPr>
            <w:noProof/>
            <w:webHidden/>
          </w:rPr>
          <w:t>78</w:t>
        </w:r>
        <w:r w:rsidR="00A56EE9">
          <w:rPr>
            <w:noProof/>
            <w:webHidden/>
          </w:rPr>
          <w:fldChar w:fldCharType="end"/>
        </w:r>
      </w:hyperlink>
    </w:p>
    <w:p w14:paraId="5761CF52" w14:textId="170C1C19"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14" w:history="1">
        <w:r w:rsidR="00A56EE9" w:rsidRPr="0056417B">
          <w:rPr>
            <w:rStyle w:val="Hyperlink"/>
            <w:noProof/>
          </w:rPr>
          <w:t>9.1</w:t>
        </w:r>
        <w:r w:rsidR="00A56EE9">
          <w:rPr>
            <w:rFonts w:eastAsiaTheme="minorEastAsia" w:cstheme="minorBidi"/>
            <w:smallCaps w:val="0"/>
            <w:noProof/>
            <w:sz w:val="22"/>
            <w:szCs w:val="22"/>
            <w:lang w:val="en-GB" w:eastAsia="en-GB"/>
          </w:rPr>
          <w:tab/>
        </w:r>
        <w:r w:rsidR="00A56EE9" w:rsidRPr="0056417B">
          <w:rPr>
            <w:rStyle w:val="Hyperlink"/>
            <w:noProof/>
          </w:rPr>
          <w:t>Appendix 1 Grading statements for elements in the management cycle</w:t>
        </w:r>
        <w:r w:rsidR="00A56EE9">
          <w:rPr>
            <w:noProof/>
            <w:webHidden/>
          </w:rPr>
          <w:tab/>
        </w:r>
        <w:r w:rsidR="00A56EE9">
          <w:rPr>
            <w:noProof/>
            <w:webHidden/>
          </w:rPr>
          <w:fldChar w:fldCharType="begin"/>
        </w:r>
        <w:r w:rsidR="00A56EE9">
          <w:rPr>
            <w:noProof/>
            <w:webHidden/>
          </w:rPr>
          <w:instrText xml:space="preserve"> PAGEREF _Toc523423814 \h </w:instrText>
        </w:r>
        <w:r w:rsidR="00A56EE9">
          <w:rPr>
            <w:noProof/>
            <w:webHidden/>
          </w:rPr>
        </w:r>
        <w:r w:rsidR="00A56EE9">
          <w:rPr>
            <w:noProof/>
            <w:webHidden/>
          </w:rPr>
          <w:fldChar w:fldCharType="separate"/>
        </w:r>
        <w:r w:rsidR="00A4170C">
          <w:rPr>
            <w:noProof/>
            <w:webHidden/>
          </w:rPr>
          <w:t>78</w:t>
        </w:r>
        <w:r w:rsidR="00A56EE9">
          <w:rPr>
            <w:noProof/>
            <w:webHidden/>
          </w:rPr>
          <w:fldChar w:fldCharType="end"/>
        </w:r>
      </w:hyperlink>
    </w:p>
    <w:p w14:paraId="5761CF53" w14:textId="4FE7B218"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15" w:history="1">
        <w:r w:rsidR="00A56EE9" w:rsidRPr="0056417B">
          <w:rPr>
            <w:rStyle w:val="Hyperlink"/>
            <w:noProof/>
          </w:rPr>
          <w:t>9.2</w:t>
        </w:r>
        <w:r w:rsidR="00A56EE9">
          <w:rPr>
            <w:rFonts w:eastAsiaTheme="minorEastAsia" w:cstheme="minorBidi"/>
            <w:smallCaps w:val="0"/>
            <w:noProof/>
            <w:sz w:val="22"/>
            <w:szCs w:val="22"/>
            <w:lang w:val="en-GB" w:eastAsia="en-GB"/>
          </w:rPr>
          <w:tab/>
        </w:r>
        <w:r w:rsidR="00A56EE9" w:rsidRPr="0056417B">
          <w:rPr>
            <w:rStyle w:val="Hyperlink"/>
            <w:noProof/>
          </w:rPr>
          <w:t>Appendix 2 Matrix of grades for each topic</w:t>
        </w:r>
        <w:r w:rsidR="00A56EE9">
          <w:rPr>
            <w:noProof/>
            <w:webHidden/>
          </w:rPr>
          <w:tab/>
        </w:r>
        <w:r w:rsidR="00A56EE9">
          <w:rPr>
            <w:noProof/>
            <w:webHidden/>
          </w:rPr>
          <w:fldChar w:fldCharType="begin"/>
        </w:r>
        <w:r w:rsidR="00A56EE9">
          <w:rPr>
            <w:noProof/>
            <w:webHidden/>
          </w:rPr>
          <w:instrText xml:space="preserve"> PAGEREF _Toc523423815 \h </w:instrText>
        </w:r>
        <w:r w:rsidR="00A56EE9">
          <w:rPr>
            <w:noProof/>
            <w:webHidden/>
          </w:rPr>
        </w:r>
        <w:r w:rsidR="00A56EE9">
          <w:rPr>
            <w:noProof/>
            <w:webHidden/>
          </w:rPr>
          <w:fldChar w:fldCharType="separate"/>
        </w:r>
        <w:r w:rsidR="00A4170C">
          <w:rPr>
            <w:noProof/>
            <w:webHidden/>
          </w:rPr>
          <w:t>79</w:t>
        </w:r>
        <w:r w:rsidR="00A56EE9">
          <w:rPr>
            <w:noProof/>
            <w:webHidden/>
          </w:rPr>
          <w:fldChar w:fldCharType="end"/>
        </w:r>
      </w:hyperlink>
    </w:p>
    <w:p w14:paraId="5761CF54" w14:textId="79065B02"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16" w:history="1">
        <w:r w:rsidR="00A56EE9" w:rsidRPr="0056417B">
          <w:rPr>
            <w:rStyle w:val="Hyperlink"/>
            <w:noProof/>
          </w:rPr>
          <w:t>9.3</w:t>
        </w:r>
        <w:r w:rsidR="00A56EE9">
          <w:rPr>
            <w:rFonts w:eastAsiaTheme="minorEastAsia" w:cstheme="minorBidi"/>
            <w:smallCaps w:val="0"/>
            <w:noProof/>
            <w:sz w:val="22"/>
            <w:szCs w:val="22"/>
            <w:lang w:val="en-GB" w:eastAsia="en-GB"/>
          </w:rPr>
          <w:tab/>
        </w:r>
        <w:r w:rsidR="00A56EE9" w:rsidRPr="0056417B">
          <w:rPr>
            <w:rStyle w:val="Hyperlink"/>
            <w:noProof/>
          </w:rPr>
          <w:t>Appendix 3 Program approaches and management tools</w:t>
        </w:r>
        <w:r w:rsidR="00A56EE9">
          <w:rPr>
            <w:noProof/>
            <w:webHidden/>
          </w:rPr>
          <w:tab/>
        </w:r>
        <w:r w:rsidR="00A56EE9">
          <w:rPr>
            <w:noProof/>
            <w:webHidden/>
          </w:rPr>
          <w:fldChar w:fldCharType="begin"/>
        </w:r>
        <w:r w:rsidR="00A56EE9">
          <w:rPr>
            <w:noProof/>
            <w:webHidden/>
          </w:rPr>
          <w:instrText xml:space="preserve"> PAGEREF _Toc523423816 \h </w:instrText>
        </w:r>
        <w:r w:rsidR="00A56EE9">
          <w:rPr>
            <w:noProof/>
            <w:webHidden/>
          </w:rPr>
        </w:r>
        <w:r w:rsidR="00A56EE9">
          <w:rPr>
            <w:noProof/>
            <w:webHidden/>
          </w:rPr>
          <w:fldChar w:fldCharType="separate"/>
        </w:r>
        <w:r w:rsidR="00A4170C">
          <w:rPr>
            <w:noProof/>
            <w:webHidden/>
          </w:rPr>
          <w:t>82</w:t>
        </w:r>
        <w:r w:rsidR="00A56EE9">
          <w:rPr>
            <w:noProof/>
            <w:webHidden/>
          </w:rPr>
          <w:fldChar w:fldCharType="end"/>
        </w:r>
      </w:hyperlink>
    </w:p>
    <w:p w14:paraId="5761CF55" w14:textId="03293A6B" w:rsidR="00A56EE9" w:rsidRDefault="008B5998">
      <w:pPr>
        <w:pStyle w:val="TOC2"/>
        <w:tabs>
          <w:tab w:val="left" w:pos="880"/>
          <w:tab w:val="right" w:leader="dot" w:pos="9016"/>
        </w:tabs>
        <w:rPr>
          <w:rFonts w:eastAsiaTheme="minorEastAsia" w:cstheme="minorBidi"/>
          <w:smallCaps w:val="0"/>
          <w:noProof/>
          <w:sz w:val="22"/>
          <w:szCs w:val="22"/>
          <w:lang w:val="en-GB" w:eastAsia="en-GB"/>
        </w:rPr>
      </w:pPr>
      <w:hyperlink w:anchor="_Toc523423817" w:history="1">
        <w:r w:rsidR="00A56EE9" w:rsidRPr="0056417B">
          <w:rPr>
            <w:rStyle w:val="Hyperlink"/>
            <w:noProof/>
          </w:rPr>
          <w:t>9.4</w:t>
        </w:r>
        <w:r w:rsidR="00A56EE9">
          <w:rPr>
            <w:rFonts w:eastAsiaTheme="minorEastAsia" w:cstheme="minorBidi"/>
            <w:smallCaps w:val="0"/>
            <w:noProof/>
            <w:sz w:val="22"/>
            <w:szCs w:val="22"/>
            <w:lang w:val="en-GB" w:eastAsia="en-GB"/>
          </w:rPr>
          <w:tab/>
        </w:r>
        <w:r w:rsidR="00A56EE9" w:rsidRPr="0056417B">
          <w:rPr>
            <w:rStyle w:val="Hyperlink"/>
            <w:noProof/>
          </w:rPr>
          <w:t>Appendix 4 Grades for each element for management topic</w:t>
        </w:r>
        <w:r w:rsidR="00A56EE9">
          <w:rPr>
            <w:noProof/>
            <w:webHidden/>
          </w:rPr>
          <w:tab/>
        </w:r>
        <w:r w:rsidR="00A56EE9">
          <w:rPr>
            <w:noProof/>
            <w:webHidden/>
          </w:rPr>
          <w:fldChar w:fldCharType="begin"/>
        </w:r>
        <w:r w:rsidR="00A56EE9">
          <w:rPr>
            <w:noProof/>
            <w:webHidden/>
          </w:rPr>
          <w:instrText xml:space="preserve"> PAGEREF _Toc523423817 \h </w:instrText>
        </w:r>
        <w:r w:rsidR="00A56EE9">
          <w:rPr>
            <w:noProof/>
            <w:webHidden/>
          </w:rPr>
        </w:r>
        <w:r w:rsidR="00A56EE9">
          <w:rPr>
            <w:noProof/>
            <w:webHidden/>
          </w:rPr>
          <w:fldChar w:fldCharType="separate"/>
        </w:r>
        <w:r w:rsidR="00A4170C">
          <w:rPr>
            <w:noProof/>
            <w:webHidden/>
          </w:rPr>
          <w:t>87</w:t>
        </w:r>
        <w:r w:rsidR="00A56EE9">
          <w:rPr>
            <w:noProof/>
            <w:webHidden/>
          </w:rPr>
          <w:fldChar w:fldCharType="end"/>
        </w:r>
      </w:hyperlink>
    </w:p>
    <w:p w14:paraId="5761CF57" w14:textId="16AC1B7F" w:rsidR="00A56EE9" w:rsidRDefault="00A56EE9">
      <w:pPr>
        <w:sectPr w:rsidR="00A56EE9" w:rsidSect="00C013A1">
          <w:footerReference w:type="default" r:id="rId23"/>
          <w:footerReference w:type="first" r:id="rId24"/>
          <w:pgSz w:w="11906" w:h="16838"/>
          <w:pgMar w:top="1440" w:right="1304" w:bottom="1440" w:left="1304" w:header="709" w:footer="709" w:gutter="0"/>
          <w:cols w:space="708"/>
          <w:docGrid w:linePitch="360"/>
        </w:sectPr>
      </w:pPr>
      <w:r>
        <w:rPr>
          <w:rFonts w:asciiTheme="minorHAnsi" w:hAnsiTheme="minorHAnsi" w:cstheme="minorHAnsi"/>
          <w:b/>
          <w:bCs/>
          <w:caps/>
          <w:sz w:val="20"/>
          <w:szCs w:val="20"/>
        </w:rPr>
        <w:fldChar w:fldCharType="end"/>
      </w:r>
    </w:p>
    <w:p w14:paraId="7A4CB3D3" w14:textId="0220E939" w:rsidR="008817CC" w:rsidRPr="007F1AA6" w:rsidRDefault="008817CC">
      <w:pPr>
        <w:pStyle w:val="TableofFigures"/>
        <w:tabs>
          <w:tab w:val="right" w:leader="dot" w:pos="9016"/>
        </w:tabs>
        <w:rPr>
          <w:b/>
          <w:sz w:val="22"/>
          <w:szCs w:val="22"/>
        </w:rPr>
      </w:pPr>
      <w:r w:rsidRPr="007F1AA6">
        <w:rPr>
          <w:b/>
          <w:sz w:val="22"/>
          <w:szCs w:val="22"/>
        </w:rPr>
        <w:lastRenderedPageBreak/>
        <w:t>Figures</w:t>
      </w:r>
    </w:p>
    <w:p w14:paraId="039C2C0F" w14:textId="1BE81C37" w:rsidR="00BA4651" w:rsidRDefault="00BA4651">
      <w:pPr>
        <w:pStyle w:val="TableofFigures"/>
        <w:tabs>
          <w:tab w:val="right" w:leader="dot" w:pos="9016"/>
        </w:tabs>
        <w:rPr>
          <w:rFonts w:eastAsiaTheme="minorEastAsia" w:cstheme="minorBidi"/>
          <w:noProof/>
          <w:sz w:val="24"/>
          <w:szCs w:val="24"/>
          <w:lang w:val="en-AU"/>
        </w:rPr>
      </w:pPr>
      <w:r>
        <w:fldChar w:fldCharType="begin"/>
      </w:r>
      <w:r>
        <w:instrText xml:space="preserve"> TOC \h \z \c "Figure" </w:instrText>
      </w:r>
      <w:r>
        <w:fldChar w:fldCharType="separate"/>
      </w:r>
      <w:hyperlink w:anchor="_Toc525654355" w:history="1">
        <w:r w:rsidRPr="00F92A8C">
          <w:rPr>
            <w:rStyle w:val="Hyperlink"/>
            <w:noProof/>
          </w:rPr>
          <w:t>Figure 1. The Framework for assessing management effectiveness of protected areas (from Hockings et al., 2006)</w:t>
        </w:r>
        <w:r>
          <w:rPr>
            <w:noProof/>
            <w:webHidden/>
          </w:rPr>
          <w:tab/>
        </w:r>
        <w:r>
          <w:rPr>
            <w:noProof/>
            <w:webHidden/>
          </w:rPr>
          <w:fldChar w:fldCharType="begin"/>
        </w:r>
        <w:r>
          <w:rPr>
            <w:noProof/>
            <w:webHidden/>
          </w:rPr>
          <w:instrText xml:space="preserve"> PAGEREF _Toc525654355 \h </w:instrText>
        </w:r>
        <w:r>
          <w:rPr>
            <w:noProof/>
            <w:webHidden/>
          </w:rPr>
        </w:r>
        <w:r>
          <w:rPr>
            <w:noProof/>
            <w:webHidden/>
          </w:rPr>
          <w:fldChar w:fldCharType="separate"/>
        </w:r>
        <w:r w:rsidR="00A4170C">
          <w:rPr>
            <w:noProof/>
            <w:webHidden/>
          </w:rPr>
          <w:t>17</w:t>
        </w:r>
        <w:r>
          <w:rPr>
            <w:noProof/>
            <w:webHidden/>
          </w:rPr>
          <w:fldChar w:fldCharType="end"/>
        </w:r>
      </w:hyperlink>
    </w:p>
    <w:p w14:paraId="5761CF5A" w14:textId="3D11F14D" w:rsidR="00A56EE9" w:rsidRPr="007F1AA6" w:rsidRDefault="00BA4651">
      <w:pPr>
        <w:rPr>
          <w:rFonts w:asciiTheme="minorHAnsi" w:hAnsiTheme="minorHAnsi" w:cstheme="minorHAnsi"/>
          <w:b/>
        </w:rPr>
      </w:pPr>
      <w:r>
        <w:rPr>
          <w:rFonts w:asciiTheme="minorHAnsi" w:hAnsiTheme="minorHAnsi" w:cs="Arial"/>
          <w:sz w:val="20"/>
          <w:szCs w:val="18"/>
          <w:lang w:val="en-US"/>
        </w:rPr>
        <w:fldChar w:fldCharType="end"/>
      </w:r>
      <w:r w:rsidR="008817CC" w:rsidRPr="007F1AA6">
        <w:rPr>
          <w:rFonts w:asciiTheme="minorHAnsi" w:hAnsiTheme="minorHAnsi" w:cstheme="minorHAnsi"/>
          <w:b/>
        </w:rPr>
        <w:t xml:space="preserve">Tables </w:t>
      </w:r>
    </w:p>
    <w:p w14:paraId="0442A719" w14:textId="3863F7ED" w:rsidR="00BA4651" w:rsidRDefault="00BA4651">
      <w:pPr>
        <w:pStyle w:val="TableofFigures"/>
        <w:tabs>
          <w:tab w:val="right" w:leader="dot" w:pos="9016"/>
        </w:tabs>
        <w:rPr>
          <w:rFonts w:eastAsiaTheme="minorEastAsia" w:cstheme="minorBidi"/>
          <w:noProof/>
          <w:sz w:val="24"/>
          <w:szCs w:val="24"/>
          <w:lang w:val="en-AU"/>
        </w:rPr>
      </w:pPr>
      <w:r>
        <w:fldChar w:fldCharType="begin"/>
      </w:r>
      <w:r>
        <w:instrText xml:space="preserve"> TOC \h \z \c "Table" </w:instrText>
      </w:r>
      <w:r>
        <w:fldChar w:fldCharType="separate"/>
      </w:r>
      <w:hyperlink w:anchor="_Toc525654446" w:history="1">
        <w:r w:rsidRPr="005A3054">
          <w:rPr>
            <w:rStyle w:val="Hyperlink"/>
            <w:noProof/>
          </w:rPr>
          <w:t>Table 1 Summary of assessment results</w:t>
        </w:r>
        <w:r>
          <w:rPr>
            <w:noProof/>
            <w:webHidden/>
          </w:rPr>
          <w:tab/>
        </w:r>
        <w:r>
          <w:rPr>
            <w:noProof/>
            <w:webHidden/>
          </w:rPr>
          <w:fldChar w:fldCharType="begin"/>
        </w:r>
        <w:r>
          <w:rPr>
            <w:noProof/>
            <w:webHidden/>
          </w:rPr>
          <w:instrText xml:space="preserve"> PAGEREF _Toc525654446 \h </w:instrText>
        </w:r>
        <w:r>
          <w:rPr>
            <w:noProof/>
            <w:webHidden/>
          </w:rPr>
        </w:r>
        <w:r>
          <w:rPr>
            <w:noProof/>
            <w:webHidden/>
          </w:rPr>
          <w:fldChar w:fldCharType="separate"/>
        </w:r>
        <w:r w:rsidR="00A4170C">
          <w:rPr>
            <w:noProof/>
            <w:webHidden/>
          </w:rPr>
          <w:t>iii</w:t>
        </w:r>
        <w:r>
          <w:rPr>
            <w:noProof/>
            <w:webHidden/>
          </w:rPr>
          <w:fldChar w:fldCharType="end"/>
        </w:r>
      </w:hyperlink>
    </w:p>
    <w:p w14:paraId="0C11152B" w14:textId="045A7888" w:rsidR="00BA4651" w:rsidRDefault="008B5998">
      <w:pPr>
        <w:pStyle w:val="TableofFigures"/>
        <w:tabs>
          <w:tab w:val="right" w:leader="dot" w:pos="9016"/>
        </w:tabs>
        <w:rPr>
          <w:rFonts w:eastAsiaTheme="minorEastAsia" w:cstheme="minorBidi"/>
          <w:noProof/>
          <w:sz w:val="24"/>
          <w:szCs w:val="24"/>
          <w:lang w:val="en-AU"/>
        </w:rPr>
      </w:pPr>
      <w:hyperlink w:anchor="_Toc525654447" w:history="1">
        <w:r w:rsidR="00BA4651" w:rsidRPr="005A3054">
          <w:rPr>
            <w:rStyle w:val="Hyperlink"/>
            <w:noProof/>
          </w:rPr>
          <w:t>Table 2 IUCN-WCPA Framework for assessing management effectiveness of protected areas and protected area systems</w:t>
        </w:r>
        <w:r w:rsidR="00BA4651">
          <w:rPr>
            <w:noProof/>
            <w:webHidden/>
          </w:rPr>
          <w:tab/>
        </w:r>
        <w:r w:rsidR="00BA4651">
          <w:rPr>
            <w:noProof/>
            <w:webHidden/>
          </w:rPr>
          <w:fldChar w:fldCharType="begin"/>
        </w:r>
        <w:r w:rsidR="00BA4651">
          <w:rPr>
            <w:noProof/>
            <w:webHidden/>
          </w:rPr>
          <w:instrText xml:space="preserve"> PAGEREF _Toc525654447 \h </w:instrText>
        </w:r>
        <w:r w:rsidR="00BA4651">
          <w:rPr>
            <w:noProof/>
            <w:webHidden/>
          </w:rPr>
        </w:r>
        <w:r w:rsidR="00BA4651">
          <w:rPr>
            <w:noProof/>
            <w:webHidden/>
          </w:rPr>
          <w:fldChar w:fldCharType="separate"/>
        </w:r>
        <w:r w:rsidR="00A4170C">
          <w:rPr>
            <w:noProof/>
            <w:webHidden/>
          </w:rPr>
          <w:t>17</w:t>
        </w:r>
        <w:r w:rsidR="00BA4651">
          <w:rPr>
            <w:noProof/>
            <w:webHidden/>
          </w:rPr>
          <w:fldChar w:fldCharType="end"/>
        </w:r>
      </w:hyperlink>
    </w:p>
    <w:p w14:paraId="0665D71C" w14:textId="1AC5C30E" w:rsidR="00BA4651" w:rsidRDefault="008B5998">
      <w:pPr>
        <w:pStyle w:val="TableofFigures"/>
        <w:tabs>
          <w:tab w:val="right" w:leader="dot" w:pos="9016"/>
        </w:tabs>
        <w:rPr>
          <w:rFonts w:eastAsiaTheme="minorEastAsia" w:cstheme="minorBidi"/>
          <w:noProof/>
          <w:sz w:val="24"/>
          <w:szCs w:val="24"/>
          <w:lang w:val="en-AU"/>
        </w:rPr>
      </w:pPr>
      <w:hyperlink w:anchor="_Toc525654448" w:history="1">
        <w:r w:rsidR="00BA4651" w:rsidRPr="005A3054">
          <w:rPr>
            <w:rStyle w:val="Hyperlink"/>
            <w:noProof/>
          </w:rPr>
          <w:t>Table 3 Indicators used to assess effectiveness of management topics</w:t>
        </w:r>
        <w:r w:rsidR="00BA4651">
          <w:rPr>
            <w:noProof/>
            <w:webHidden/>
          </w:rPr>
          <w:tab/>
        </w:r>
        <w:r w:rsidR="00BA4651">
          <w:rPr>
            <w:noProof/>
            <w:webHidden/>
          </w:rPr>
          <w:fldChar w:fldCharType="begin"/>
        </w:r>
        <w:r w:rsidR="00BA4651">
          <w:rPr>
            <w:noProof/>
            <w:webHidden/>
          </w:rPr>
          <w:instrText xml:space="preserve"> PAGEREF _Toc525654448 \h </w:instrText>
        </w:r>
        <w:r w:rsidR="00BA4651">
          <w:rPr>
            <w:noProof/>
            <w:webHidden/>
          </w:rPr>
        </w:r>
        <w:r w:rsidR="00BA4651">
          <w:rPr>
            <w:noProof/>
            <w:webHidden/>
          </w:rPr>
          <w:fldChar w:fldCharType="separate"/>
        </w:r>
        <w:r w:rsidR="00A4170C">
          <w:rPr>
            <w:noProof/>
            <w:webHidden/>
          </w:rPr>
          <w:t>19</w:t>
        </w:r>
        <w:r w:rsidR="00BA4651">
          <w:rPr>
            <w:noProof/>
            <w:webHidden/>
          </w:rPr>
          <w:fldChar w:fldCharType="end"/>
        </w:r>
      </w:hyperlink>
    </w:p>
    <w:p w14:paraId="0BFA0167" w14:textId="26E4C785" w:rsidR="00BA4651" w:rsidRDefault="008B5998">
      <w:pPr>
        <w:pStyle w:val="TableofFigures"/>
        <w:tabs>
          <w:tab w:val="right" w:leader="dot" w:pos="9016"/>
        </w:tabs>
        <w:rPr>
          <w:rFonts w:eastAsiaTheme="minorEastAsia" w:cstheme="minorBidi"/>
          <w:noProof/>
          <w:sz w:val="24"/>
          <w:szCs w:val="24"/>
          <w:lang w:val="en-AU"/>
        </w:rPr>
      </w:pPr>
      <w:hyperlink w:anchor="_Toc525654449" w:history="1">
        <w:r w:rsidR="00BA4651" w:rsidRPr="005A3054">
          <w:rPr>
            <w:rStyle w:val="Hyperlink"/>
            <w:noProof/>
          </w:rPr>
          <w:t>Table 4. Scale and complexity of issues addressed in the management effectiveness assessment</w:t>
        </w:r>
        <w:r w:rsidR="00BA4651">
          <w:rPr>
            <w:noProof/>
            <w:webHidden/>
          </w:rPr>
          <w:tab/>
        </w:r>
        <w:r w:rsidR="00BA4651">
          <w:rPr>
            <w:noProof/>
            <w:webHidden/>
          </w:rPr>
          <w:fldChar w:fldCharType="begin"/>
        </w:r>
        <w:r w:rsidR="00BA4651">
          <w:rPr>
            <w:noProof/>
            <w:webHidden/>
          </w:rPr>
          <w:instrText xml:space="preserve"> PAGEREF _Toc525654449 \h </w:instrText>
        </w:r>
        <w:r w:rsidR="00BA4651">
          <w:rPr>
            <w:noProof/>
            <w:webHidden/>
          </w:rPr>
        </w:r>
        <w:r w:rsidR="00BA4651">
          <w:rPr>
            <w:noProof/>
            <w:webHidden/>
          </w:rPr>
          <w:fldChar w:fldCharType="separate"/>
        </w:r>
        <w:r w:rsidR="00A4170C">
          <w:rPr>
            <w:noProof/>
            <w:webHidden/>
          </w:rPr>
          <w:t>21</w:t>
        </w:r>
        <w:r w:rsidR="00BA4651">
          <w:rPr>
            <w:noProof/>
            <w:webHidden/>
          </w:rPr>
          <w:fldChar w:fldCharType="end"/>
        </w:r>
      </w:hyperlink>
    </w:p>
    <w:p w14:paraId="111470B0" w14:textId="385CEF13" w:rsidR="00BA4651" w:rsidRDefault="008B5998">
      <w:pPr>
        <w:pStyle w:val="TableofFigures"/>
        <w:tabs>
          <w:tab w:val="right" w:leader="dot" w:pos="9016"/>
        </w:tabs>
        <w:rPr>
          <w:rFonts w:eastAsiaTheme="minorEastAsia" w:cstheme="minorBidi"/>
          <w:noProof/>
          <w:sz w:val="24"/>
          <w:szCs w:val="24"/>
          <w:lang w:val="en-AU"/>
        </w:rPr>
      </w:pPr>
      <w:hyperlink w:anchor="_Toc525654450" w:history="1">
        <w:r w:rsidR="00BA4651" w:rsidRPr="005A3054">
          <w:rPr>
            <w:rStyle w:val="Hyperlink"/>
            <w:noProof/>
          </w:rPr>
          <w:t>Table 5 Assessment results for Commercial Marine Tourism</w:t>
        </w:r>
        <w:r w:rsidR="00BA4651">
          <w:rPr>
            <w:noProof/>
            <w:webHidden/>
          </w:rPr>
          <w:tab/>
        </w:r>
        <w:r w:rsidR="00BA4651">
          <w:rPr>
            <w:noProof/>
            <w:webHidden/>
          </w:rPr>
          <w:fldChar w:fldCharType="begin"/>
        </w:r>
        <w:r w:rsidR="00BA4651">
          <w:rPr>
            <w:noProof/>
            <w:webHidden/>
          </w:rPr>
          <w:instrText xml:space="preserve"> PAGEREF _Toc525654450 \h </w:instrText>
        </w:r>
        <w:r w:rsidR="00BA4651">
          <w:rPr>
            <w:noProof/>
            <w:webHidden/>
          </w:rPr>
        </w:r>
        <w:r w:rsidR="00BA4651">
          <w:rPr>
            <w:noProof/>
            <w:webHidden/>
          </w:rPr>
          <w:fldChar w:fldCharType="separate"/>
        </w:r>
        <w:r w:rsidR="00A4170C">
          <w:rPr>
            <w:noProof/>
            <w:webHidden/>
          </w:rPr>
          <w:t>27</w:t>
        </w:r>
        <w:r w:rsidR="00BA4651">
          <w:rPr>
            <w:noProof/>
            <w:webHidden/>
          </w:rPr>
          <w:fldChar w:fldCharType="end"/>
        </w:r>
      </w:hyperlink>
    </w:p>
    <w:p w14:paraId="5833C01E" w14:textId="6F3883C9" w:rsidR="00BA4651" w:rsidRDefault="008B5998">
      <w:pPr>
        <w:pStyle w:val="TableofFigures"/>
        <w:tabs>
          <w:tab w:val="right" w:leader="dot" w:pos="9016"/>
        </w:tabs>
        <w:rPr>
          <w:rFonts w:eastAsiaTheme="minorEastAsia" w:cstheme="minorBidi"/>
          <w:noProof/>
          <w:sz w:val="24"/>
          <w:szCs w:val="24"/>
          <w:lang w:val="en-AU"/>
        </w:rPr>
      </w:pPr>
      <w:hyperlink w:anchor="_Toc525654451" w:history="1">
        <w:r w:rsidR="00BA4651" w:rsidRPr="005A3054">
          <w:rPr>
            <w:rStyle w:val="Hyperlink"/>
            <w:noProof/>
          </w:rPr>
          <w:t>Table 6 Assessment results for Defence</w:t>
        </w:r>
        <w:r w:rsidR="00BA4651">
          <w:rPr>
            <w:noProof/>
            <w:webHidden/>
          </w:rPr>
          <w:tab/>
        </w:r>
        <w:r w:rsidR="00BA4651">
          <w:rPr>
            <w:noProof/>
            <w:webHidden/>
          </w:rPr>
          <w:fldChar w:fldCharType="begin"/>
        </w:r>
        <w:r w:rsidR="00BA4651">
          <w:rPr>
            <w:noProof/>
            <w:webHidden/>
          </w:rPr>
          <w:instrText xml:space="preserve"> PAGEREF _Toc525654451 \h </w:instrText>
        </w:r>
        <w:r w:rsidR="00BA4651">
          <w:rPr>
            <w:noProof/>
            <w:webHidden/>
          </w:rPr>
        </w:r>
        <w:r w:rsidR="00BA4651">
          <w:rPr>
            <w:noProof/>
            <w:webHidden/>
          </w:rPr>
          <w:fldChar w:fldCharType="separate"/>
        </w:r>
        <w:r w:rsidR="00A4170C">
          <w:rPr>
            <w:noProof/>
            <w:webHidden/>
          </w:rPr>
          <w:t>29</w:t>
        </w:r>
        <w:r w:rsidR="00BA4651">
          <w:rPr>
            <w:noProof/>
            <w:webHidden/>
          </w:rPr>
          <w:fldChar w:fldCharType="end"/>
        </w:r>
      </w:hyperlink>
    </w:p>
    <w:p w14:paraId="545E10DE" w14:textId="25592988" w:rsidR="00BA4651" w:rsidRDefault="008B5998">
      <w:pPr>
        <w:pStyle w:val="TableofFigures"/>
        <w:tabs>
          <w:tab w:val="right" w:leader="dot" w:pos="9016"/>
        </w:tabs>
        <w:rPr>
          <w:rFonts w:eastAsiaTheme="minorEastAsia" w:cstheme="minorBidi"/>
          <w:noProof/>
          <w:sz w:val="24"/>
          <w:szCs w:val="24"/>
          <w:lang w:val="en-AU"/>
        </w:rPr>
      </w:pPr>
      <w:hyperlink w:anchor="_Toc525654452" w:history="1">
        <w:r w:rsidR="00BA4651" w:rsidRPr="005A3054">
          <w:rPr>
            <w:rStyle w:val="Hyperlink"/>
            <w:noProof/>
          </w:rPr>
          <w:t>Table 7 Assessment results for Fishing</w:t>
        </w:r>
        <w:r w:rsidR="00BA4651">
          <w:rPr>
            <w:noProof/>
            <w:webHidden/>
          </w:rPr>
          <w:tab/>
        </w:r>
        <w:r w:rsidR="00BA4651">
          <w:rPr>
            <w:noProof/>
            <w:webHidden/>
          </w:rPr>
          <w:fldChar w:fldCharType="begin"/>
        </w:r>
        <w:r w:rsidR="00BA4651">
          <w:rPr>
            <w:noProof/>
            <w:webHidden/>
          </w:rPr>
          <w:instrText xml:space="preserve"> PAGEREF _Toc525654452 \h </w:instrText>
        </w:r>
        <w:r w:rsidR="00BA4651">
          <w:rPr>
            <w:noProof/>
            <w:webHidden/>
          </w:rPr>
        </w:r>
        <w:r w:rsidR="00BA4651">
          <w:rPr>
            <w:noProof/>
            <w:webHidden/>
          </w:rPr>
          <w:fldChar w:fldCharType="separate"/>
        </w:r>
        <w:r w:rsidR="00A4170C">
          <w:rPr>
            <w:noProof/>
            <w:webHidden/>
          </w:rPr>
          <w:t>32</w:t>
        </w:r>
        <w:r w:rsidR="00BA4651">
          <w:rPr>
            <w:noProof/>
            <w:webHidden/>
          </w:rPr>
          <w:fldChar w:fldCharType="end"/>
        </w:r>
      </w:hyperlink>
    </w:p>
    <w:p w14:paraId="37BA09E9" w14:textId="1E00B2CD" w:rsidR="00BA4651" w:rsidRDefault="008B5998">
      <w:pPr>
        <w:pStyle w:val="TableofFigures"/>
        <w:tabs>
          <w:tab w:val="right" w:leader="dot" w:pos="9016"/>
        </w:tabs>
        <w:rPr>
          <w:rFonts w:eastAsiaTheme="minorEastAsia" w:cstheme="minorBidi"/>
          <w:noProof/>
          <w:sz w:val="24"/>
          <w:szCs w:val="24"/>
          <w:lang w:val="en-AU"/>
        </w:rPr>
      </w:pPr>
      <w:hyperlink w:anchor="_Toc525654453" w:history="1">
        <w:r w:rsidR="00BA4651" w:rsidRPr="005A3054">
          <w:rPr>
            <w:rStyle w:val="Hyperlink"/>
            <w:noProof/>
          </w:rPr>
          <w:t>Table 8 Assessment results for Ports</w:t>
        </w:r>
        <w:r w:rsidR="00BA4651">
          <w:rPr>
            <w:noProof/>
            <w:webHidden/>
          </w:rPr>
          <w:tab/>
        </w:r>
        <w:r w:rsidR="00BA4651">
          <w:rPr>
            <w:noProof/>
            <w:webHidden/>
          </w:rPr>
          <w:fldChar w:fldCharType="begin"/>
        </w:r>
        <w:r w:rsidR="00BA4651">
          <w:rPr>
            <w:noProof/>
            <w:webHidden/>
          </w:rPr>
          <w:instrText xml:space="preserve"> PAGEREF _Toc525654453 \h </w:instrText>
        </w:r>
        <w:r w:rsidR="00BA4651">
          <w:rPr>
            <w:noProof/>
            <w:webHidden/>
          </w:rPr>
        </w:r>
        <w:r w:rsidR="00BA4651">
          <w:rPr>
            <w:noProof/>
            <w:webHidden/>
          </w:rPr>
          <w:fldChar w:fldCharType="separate"/>
        </w:r>
        <w:r w:rsidR="00A4170C">
          <w:rPr>
            <w:noProof/>
            <w:webHidden/>
          </w:rPr>
          <w:t>33</w:t>
        </w:r>
        <w:r w:rsidR="00BA4651">
          <w:rPr>
            <w:noProof/>
            <w:webHidden/>
          </w:rPr>
          <w:fldChar w:fldCharType="end"/>
        </w:r>
      </w:hyperlink>
    </w:p>
    <w:p w14:paraId="771B13BF" w14:textId="4C223933" w:rsidR="00BA4651" w:rsidRDefault="008B5998">
      <w:pPr>
        <w:pStyle w:val="TableofFigures"/>
        <w:tabs>
          <w:tab w:val="right" w:leader="dot" w:pos="9016"/>
        </w:tabs>
        <w:rPr>
          <w:rFonts w:eastAsiaTheme="minorEastAsia" w:cstheme="minorBidi"/>
          <w:noProof/>
          <w:sz w:val="24"/>
          <w:szCs w:val="24"/>
          <w:lang w:val="en-AU"/>
        </w:rPr>
      </w:pPr>
      <w:hyperlink w:anchor="_Toc525654454" w:history="1">
        <w:r w:rsidR="00BA4651" w:rsidRPr="005A3054">
          <w:rPr>
            <w:rStyle w:val="Hyperlink"/>
            <w:noProof/>
          </w:rPr>
          <w:t>Table 9 Assessment results for Recreation (not including fishing)</w:t>
        </w:r>
        <w:r w:rsidR="00BA4651">
          <w:rPr>
            <w:noProof/>
            <w:webHidden/>
          </w:rPr>
          <w:tab/>
        </w:r>
        <w:r w:rsidR="00BA4651">
          <w:rPr>
            <w:noProof/>
            <w:webHidden/>
          </w:rPr>
          <w:fldChar w:fldCharType="begin"/>
        </w:r>
        <w:r w:rsidR="00BA4651">
          <w:rPr>
            <w:noProof/>
            <w:webHidden/>
          </w:rPr>
          <w:instrText xml:space="preserve"> PAGEREF _Toc525654454 \h </w:instrText>
        </w:r>
        <w:r w:rsidR="00BA4651">
          <w:rPr>
            <w:noProof/>
            <w:webHidden/>
          </w:rPr>
        </w:r>
        <w:r w:rsidR="00BA4651">
          <w:rPr>
            <w:noProof/>
            <w:webHidden/>
          </w:rPr>
          <w:fldChar w:fldCharType="separate"/>
        </w:r>
        <w:r w:rsidR="00A4170C">
          <w:rPr>
            <w:noProof/>
            <w:webHidden/>
          </w:rPr>
          <w:t>36</w:t>
        </w:r>
        <w:r w:rsidR="00BA4651">
          <w:rPr>
            <w:noProof/>
            <w:webHidden/>
          </w:rPr>
          <w:fldChar w:fldCharType="end"/>
        </w:r>
      </w:hyperlink>
    </w:p>
    <w:p w14:paraId="64D17A00" w14:textId="0D79973B" w:rsidR="00BA4651" w:rsidRDefault="008B5998">
      <w:pPr>
        <w:pStyle w:val="TableofFigures"/>
        <w:tabs>
          <w:tab w:val="right" w:leader="dot" w:pos="9016"/>
        </w:tabs>
        <w:rPr>
          <w:rFonts w:eastAsiaTheme="minorEastAsia" w:cstheme="minorBidi"/>
          <w:noProof/>
          <w:sz w:val="24"/>
          <w:szCs w:val="24"/>
          <w:lang w:val="en-AU"/>
        </w:rPr>
      </w:pPr>
      <w:hyperlink w:anchor="_Toc525654455" w:history="1">
        <w:r w:rsidR="00BA4651" w:rsidRPr="005A3054">
          <w:rPr>
            <w:rStyle w:val="Hyperlink"/>
            <w:noProof/>
          </w:rPr>
          <w:t>Table 10 Assessment results for Research</w:t>
        </w:r>
        <w:r w:rsidR="00BA4651">
          <w:rPr>
            <w:noProof/>
            <w:webHidden/>
          </w:rPr>
          <w:tab/>
        </w:r>
        <w:r w:rsidR="00BA4651">
          <w:rPr>
            <w:noProof/>
            <w:webHidden/>
          </w:rPr>
          <w:fldChar w:fldCharType="begin"/>
        </w:r>
        <w:r w:rsidR="00BA4651">
          <w:rPr>
            <w:noProof/>
            <w:webHidden/>
          </w:rPr>
          <w:instrText xml:space="preserve"> PAGEREF _Toc525654455 \h </w:instrText>
        </w:r>
        <w:r w:rsidR="00BA4651">
          <w:rPr>
            <w:noProof/>
            <w:webHidden/>
          </w:rPr>
        </w:r>
        <w:r w:rsidR="00BA4651">
          <w:rPr>
            <w:noProof/>
            <w:webHidden/>
          </w:rPr>
          <w:fldChar w:fldCharType="separate"/>
        </w:r>
        <w:r w:rsidR="00A4170C">
          <w:rPr>
            <w:noProof/>
            <w:webHidden/>
          </w:rPr>
          <w:t>39</w:t>
        </w:r>
        <w:r w:rsidR="00BA4651">
          <w:rPr>
            <w:noProof/>
            <w:webHidden/>
          </w:rPr>
          <w:fldChar w:fldCharType="end"/>
        </w:r>
      </w:hyperlink>
    </w:p>
    <w:p w14:paraId="53423654" w14:textId="26464F42" w:rsidR="00BA4651" w:rsidRDefault="008B5998">
      <w:pPr>
        <w:pStyle w:val="TableofFigures"/>
        <w:tabs>
          <w:tab w:val="right" w:leader="dot" w:pos="9016"/>
        </w:tabs>
        <w:rPr>
          <w:rFonts w:eastAsiaTheme="minorEastAsia" w:cstheme="minorBidi"/>
          <w:noProof/>
          <w:sz w:val="24"/>
          <w:szCs w:val="24"/>
          <w:lang w:val="en-AU"/>
        </w:rPr>
      </w:pPr>
      <w:hyperlink w:anchor="_Toc525654456" w:history="1">
        <w:r w:rsidR="00BA4651" w:rsidRPr="005A3054">
          <w:rPr>
            <w:rStyle w:val="Hyperlink"/>
            <w:noProof/>
          </w:rPr>
          <w:t>Table 11 Assessment results for Shipping</w:t>
        </w:r>
        <w:r w:rsidR="00BA4651">
          <w:rPr>
            <w:noProof/>
            <w:webHidden/>
          </w:rPr>
          <w:tab/>
        </w:r>
        <w:r w:rsidR="00BA4651">
          <w:rPr>
            <w:noProof/>
            <w:webHidden/>
          </w:rPr>
          <w:fldChar w:fldCharType="begin"/>
        </w:r>
        <w:r w:rsidR="00BA4651">
          <w:rPr>
            <w:noProof/>
            <w:webHidden/>
          </w:rPr>
          <w:instrText xml:space="preserve"> PAGEREF _Toc525654456 \h </w:instrText>
        </w:r>
        <w:r w:rsidR="00BA4651">
          <w:rPr>
            <w:noProof/>
            <w:webHidden/>
          </w:rPr>
        </w:r>
        <w:r w:rsidR="00BA4651">
          <w:rPr>
            <w:noProof/>
            <w:webHidden/>
          </w:rPr>
          <w:fldChar w:fldCharType="separate"/>
        </w:r>
        <w:r w:rsidR="00A4170C">
          <w:rPr>
            <w:noProof/>
            <w:webHidden/>
          </w:rPr>
          <w:t>41</w:t>
        </w:r>
        <w:r w:rsidR="00BA4651">
          <w:rPr>
            <w:noProof/>
            <w:webHidden/>
          </w:rPr>
          <w:fldChar w:fldCharType="end"/>
        </w:r>
      </w:hyperlink>
    </w:p>
    <w:p w14:paraId="2E2B16AC" w14:textId="36B68E1C" w:rsidR="00BA4651" w:rsidRDefault="008B5998">
      <w:pPr>
        <w:pStyle w:val="TableofFigures"/>
        <w:tabs>
          <w:tab w:val="right" w:leader="dot" w:pos="9016"/>
        </w:tabs>
        <w:rPr>
          <w:rFonts w:eastAsiaTheme="minorEastAsia" w:cstheme="minorBidi"/>
          <w:noProof/>
          <w:sz w:val="24"/>
          <w:szCs w:val="24"/>
          <w:lang w:val="en-AU"/>
        </w:rPr>
      </w:pPr>
      <w:hyperlink w:anchor="_Toc525654457" w:history="1">
        <w:r w:rsidR="00BA4651" w:rsidRPr="005A3054">
          <w:rPr>
            <w:rStyle w:val="Hyperlink"/>
            <w:noProof/>
          </w:rPr>
          <w:t>Table 12 Assessment results for Traditional Use of Marine Resources</w:t>
        </w:r>
        <w:r w:rsidR="00BA4651">
          <w:rPr>
            <w:noProof/>
            <w:webHidden/>
          </w:rPr>
          <w:tab/>
        </w:r>
        <w:r w:rsidR="00BA4651">
          <w:rPr>
            <w:noProof/>
            <w:webHidden/>
          </w:rPr>
          <w:fldChar w:fldCharType="begin"/>
        </w:r>
        <w:r w:rsidR="00BA4651">
          <w:rPr>
            <w:noProof/>
            <w:webHidden/>
          </w:rPr>
          <w:instrText xml:space="preserve"> PAGEREF _Toc525654457 \h </w:instrText>
        </w:r>
        <w:r w:rsidR="00BA4651">
          <w:rPr>
            <w:noProof/>
            <w:webHidden/>
          </w:rPr>
        </w:r>
        <w:r w:rsidR="00BA4651">
          <w:rPr>
            <w:noProof/>
            <w:webHidden/>
          </w:rPr>
          <w:fldChar w:fldCharType="separate"/>
        </w:r>
        <w:r w:rsidR="00A4170C">
          <w:rPr>
            <w:noProof/>
            <w:webHidden/>
          </w:rPr>
          <w:t>43</w:t>
        </w:r>
        <w:r w:rsidR="00BA4651">
          <w:rPr>
            <w:noProof/>
            <w:webHidden/>
          </w:rPr>
          <w:fldChar w:fldCharType="end"/>
        </w:r>
      </w:hyperlink>
    </w:p>
    <w:p w14:paraId="46119C60" w14:textId="26435DFD" w:rsidR="00BA4651" w:rsidRDefault="008B5998">
      <w:pPr>
        <w:pStyle w:val="TableofFigures"/>
        <w:tabs>
          <w:tab w:val="right" w:leader="dot" w:pos="9016"/>
        </w:tabs>
        <w:rPr>
          <w:rFonts w:eastAsiaTheme="minorEastAsia" w:cstheme="minorBidi"/>
          <w:noProof/>
          <w:sz w:val="24"/>
          <w:szCs w:val="24"/>
          <w:lang w:val="en-AU"/>
        </w:rPr>
      </w:pPr>
      <w:hyperlink w:anchor="_Toc525654458" w:history="1">
        <w:r w:rsidR="00BA4651" w:rsidRPr="005A3054">
          <w:rPr>
            <w:rStyle w:val="Hyperlink"/>
            <w:noProof/>
          </w:rPr>
          <w:t>Table 13 Assessment results for Climate Change</w:t>
        </w:r>
        <w:r w:rsidR="00BA4651">
          <w:rPr>
            <w:noProof/>
            <w:webHidden/>
          </w:rPr>
          <w:tab/>
        </w:r>
        <w:r w:rsidR="00BA4651">
          <w:rPr>
            <w:noProof/>
            <w:webHidden/>
          </w:rPr>
          <w:fldChar w:fldCharType="begin"/>
        </w:r>
        <w:r w:rsidR="00BA4651">
          <w:rPr>
            <w:noProof/>
            <w:webHidden/>
          </w:rPr>
          <w:instrText xml:space="preserve"> PAGEREF _Toc525654458 \h </w:instrText>
        </w:r>
        <w:r w:rsidR="00BA4651">
          <w:rPr>
            <w:noProof/>
            <w:webHidden/>
          </w:rPr>
        </w:r>
        <w:r w:rsidR="00BA4651">
          <w:rPr>
            <w:noProof/>
            <w:webHidden/>
          </w:rPr>
          <w:fldChar w:fldCharType="separate"/>
        </w:r>
        <w:r w:rsidR="00A4170C">
          <w:rPr>
            <w:noProof/>
            <w:webHidden/>
          </w:rPr>
          <w:t>46</w:t>
        </w:r>
        <w:r w:rsidR="00BA4651">
          <w:rPr>
            <w:noProof/>
            <w:webHidden/>
          </w:rPr>
          <w:fldChar w:fldCharType="end"/>
        </w:r>
      </w:hyperlink>
    </w:p>
    <w:p w14:paraId="2CA8EB30" w14:textId="2B539EE0" w:rsidR="00BA4651" w:rsidRDefault="008B5998">
      <w:pPr>
        <w:pStyle w:val="TableofFigures"/>
        <w:tabs>
          <w:tab w:val="right" w:leader="dot" w:pos="9016"/>
        </w:tabs>
        <w:rPr>
          <w:rFonts w:eastAsiaTheme="minorEastAsia" w:cstheme="minorBidi"/>
          <w:noProof/>
          <w:sz w:val="24"/>
          <w:szCs w:val="24"/>
          <w:lang w:val="en-AU"/>
        </w:rPr>
      </w:pPr>
      <w:hyperlink w:anchor="_Toc525654459" w:history="1">
        <w:r w:rsidR="00BA4651" w:rsidRPr="005A3054">
          <w:rPr>
            <w:rStyle w:val="Hyperlink"/>
            <w:noProof/>
          </w:rPr>
          <w:t>Table 14 Assessment results for Coastal development</w:t>
        </w:r>
        <w:r w:rsidR="00BA4651">
          <w:rPr>
            <w:noProof/>
            <w:webHidden/>
          </w:rPr>
          <w:tab/>
        </w:r>
        <w:r w:rsidR="00BA4651">
          <w:rPr>
            <w:noProof/>
            <w:webHidden/>
          </w:rPr>
          <w:fldChar w:fldCharType="begin"/>
        </w:r>
        <w:r w:rsidR="00BA4651">
          <w:rPr>
            <w:noProof/>
            <w:webHidden/>
          </w:rPr>
          <w:instrText xml:space="preserve"> PAGEREF _Toc525654459 \h </w:instrText>
        </w:r>
        <w:r w:rsidR="00BA4651">
          <w:rPr>
            <w:noProof/>
            <w:webHidden/>
          </w:rPr>
        </w:r>
        <w:r w:rsidR="00BA4651">
          <w:rPr>
            <w:noProof/>
            <w:webHidden/>
          </w:rPr>
          <w:fldChar w:fldCharType="separate"/>
        </w:r>
        <w:r w:rsidR="00A4170C">
          <w:rPr>
            <w:noProof/>
            <w:webHidden/>
          </w:rPr>
          <w:t>49</w:t>
        </w:r>
        <w:r w:rsidR="00BA4651">
          <w:rPr>
            <w:noProof/>
            <w:webHidden/>
          </w:rPr>
          <w:fldChar w:fldCharType="end"/>
        </w:r>
      </w:hyperlink>
    </w:p>
    <w:p w14:paraId="675361E2" w14:textId="0199C2BA" w:rsidR="00BA4651" w:rsidRDefault="008B5998">
      <w:pPr>
        <w:pStyle w:val="TableofFigures"/>
        <w:tabs>
          <w:tab w:val="right" w:leader="dot" w:pos="9016"/>
        </w:tabs>
        <w:rPr>
          <w:rFonts w:eastAsiaTheme="minorEastAsia" w:cstheme="minorBidi"/>
          <w:noProof/>
          <w:sz w:val="24"/>
          <w:szCs w:val="24"/>
          <w:lang w:val="en-AU"/>
        </w:rPr>
      </w:pPr>
      <w:hyperlink w:anchor="_Toc525654460" w:history="1">
        <w:r w:rsidR="00BA4651" w:rsidRPr="005A3054">
          <w:rPr>
            <w:rStyle w:val="Hyperlink"/>
            <w:noProof/>
          </w:rPr>
          <w:t>Table 15 Assessment results for Land-based Run-off</w:t>
        </w:r>
        <w:r w:rsidR="00BA4651">
          <w:rPr>
            <w:noProof/>
            <w:webHidden/>
          </w:rPr>
          <w:tab/>
        </w:r>
        <w:r w:rsidR="00BA4651">
          <w:rPr>
            <w:noProof/>
            <w:webHidden/>
          </w:rPr>
          <w:fldChar w:fldCharType="begin"/>
        </w:r>
        <w:r w:rsidR="00BA4651">
          <w:rPr>
            <w:noProof/>
            <w:webHidden/>
          </w:rPr>
          <w:instrText xml:space="preserve"> PAGEREF _Toc525654460 \h </w:instrText>
        </w:r>
        <w:r w:rsidR="00BA4651">
          <w:rPr>
            <w:noProof/>
            <w:webHidden/>
          </w:rPr>
        </w:r>
        <w:r w:rsidR="00BA4651">
          <w:rPr>
            <w:noProof/>
            <w:webHidden/>
          </w:rPr>
          <w:fldChar w:fldCharType="separate"/>
        </w:r>
        <w:r w:rsidR="00A4170C">
          <w:rPr>
            <w:noProof/>
            <w:webHidden/>
          </w:rPr>
          <w:t>51</w:t>
        </w:r>
        <w:r w:rsidR="00BA4651">
          <w:rPr>
            <w:noProof/>
            <w:webHidden/>
          </w:rPr>
          <w:fldChar w:fldCharType="end"/>
        </w:r>
      </w:hyperlink>
    </w:p>
    <w:p w14:paraId="04DF05F4" w14:textId="01BF807A" w:rsidR="00BA4651" w:rsidRDefault="008B5998">
      <w:pPr>
        <w:pStyle w:val="TableofFigures"/>
        <w:tabs>
          <w:tab w:val="right" w:leader="dot" w:pos="9016"/>
        </w:tabs>
        <w:rPr>
          <w:rFonts w:eastAsiaTheme="minorEastAsia" w:cstheme="minorBidi"/>
          <w:noProof/>
          <w:sz w:val="24"/>
          <w:szCs w:val="24"/>
          <w:lang w:val="en-AU"/>
        </w:rPr>
      </w:pPr>
      <w:hyperlink w:anchor="_Toc525654461" w:history="1">
        <w:r w:rsidR="00BA4651" w:rsidRPr="005A3054">
          <w:rPr>
            <w:rStyle w:val="Hyperlink"/>
            <w:noProof/>
          </w:rPr>
          <w:t>Table 16 Assessment results for Biodiversity values</w:t>
        </w:r>
        <w:r w:rsidR="00BA4651">
          <w:rPr>
            <w:noProof/>
            <w:webHidden/>
          </w:rPr>
          <w:tab/>
        </w:r>
        <w:r w:rsidR="00BA4651">
          <w:rPr>
            <w:noProof/>
            <w:webHidden/>
          </w:rPr>
          <w:fldChar w:fldCharType="begin"/>
        </w:r>
        <w:r w:rsidR="00BA4651">
          <w:rPr>
            <w:noProof/>
            <w:webHidden/>
          </w:rPr>
          <w:instrText xml:space="preserve"> PAGEREF _Toc525654461 \h </w:instrText>
        </w:r>
        <w:r w:rsidR="00BA4651">
          <w:rPr>
            <w:noProof/>
            <w:webHidden/>
          </w:rPr>
        </w:r>
        <w:r w:rsidR="00BA4651">
          <w:rPr>
            <w:noProof/>
            <w:webHidden/>
          </w:rPr>
          <w:fldChar w:fldCharType="separate"/>
        </w:r>
        <w:r w:rsidR="00A4170C">
          <w:rPr>
            <w:noProof/>
            <w:webHidden/>
          </w:rPr>
          <w:t>54</w:t>
        </w:r>
        <w:r w:rsidR="00BA4651">
          <w:rPr>
            <w:noProof/>
            <w:webHidden/>
          </w:rPr>
          <w:fldChar w:fldCharType="end"/>
        </w:r>
      </w:hyperlink>
    </w:p>
    <w:p w14:paraId="7AF415DD" w14:textId="50492330" w:rsidR="00BA4651" w:rsidRDefault="008B5998">
      <w:pPr>
        <w:pStyle w:val="TableofFigures"/>
        <w:tabs>
          <w:tab w:val="right" w:leader="dot" w:pos="9016"/>
        </w:tabs>
        <w:rPr>
          <w:rFonts w:eastAsiaTheme="minorEastAsia" w:cstheme="minorBidi"/>
          <w:noProof/>
          <w:sz w:val="24"/>
          <w:szCs w:val="24"/>
          <w:lang w:val="en-AU"/>
        </w:rPr>
      </w:pPr>
      <w:hyperlink w:anchor="_Toc525654462" w:history="1">
        <w:r w:rsidR="00BA4651" w:rsidRPr="005A3054">
          <w:rPr>
            <w:rStyle w:val="Hyperlink"/>
            <w:noProof/>
          </w:rPr>
          <w:t>Table 17 Assessment results for Heritage Values</w:t>
        </w:r>
        <w:r w:rsidR="00BA4651">
          <w:rPr>
            <w:noProof/>
            <w:webHidden/>
          </w:rPr>
          <w:tab/>
        </w:r>
        <w:r w:rsidR="00BA4651">
          <w:rPr>
            <w:noProof/>
            <w:webHidden/>
          </w:rPr>
          <w:fldChar w:fldCharType="begin"/>
        </w:r>
        <w:r w:rsidR="00BA4651">
          <w:rPr>
            <w:noProof/>
            <w:webHidden/>
          </w:rPr>
          <w:instrText xml:space="preserve"> PAGEREF _Toc525654462 \h </w:instrText>
        </w:r>
        <w:r w:rsidR="00BA4651">
          <w:rPr>
            <w:noProof/>
            <w:webHidden/>
          </w:rPr>
        </w:r>
        <w:r w:rsidR="00BA4651">
          <w:rPr>
            <w:noProof/>
            <w:webHidden/>
          </w:rPr>
          <w:fldChar w:fldCharType="separate"/>
        </w:r>
        <w:r w:rsidR="00A4170C">
          <w:rPr>
            <w:noProof/>
            <w:webHidden/>
          </w:rPr>
          <w:t>59</w:t>
        </w:r>
        <w:r w:rsidR="00BA4651">
          <w:rPr>
            <w:noProof/>
            <w:webHidden/>
          </w:rPr>
          <w:fldChar w:fldCharType="end"/>
        </w:r>
      </w:hyperlink>
    </w:p>
    <w:p w14:paraId="00F7B048" w14:textId="102550E4" w:rsidR="00BA4651" w:rsidRDefault="008B5998">
      <w:pPr>
        <w:pStyle w:val="TableofFigures"/>
        <w:tabs>
          <w:tab w:val="right" w:leader="dot" w:pos="9016"/>
        </w:tabs>
        <w:rPr>
          <w:rFonts w:eastAsiaTheme="minorEastAsia" w:cstheme="minorBidi"/>
          <w:noProof/>
          <w:sz w:val="24"/>
          <w:szCs w:val="24"/>
          <w:lang w:val="en-AU"/>
        </w:rPr>
      </w:pPr>
      <w:hyperlink w:anchor="_Toc525654463" w:history="1">
        <w:r w:rsidR="00BA4651" w:rsidRPr="005A3054">
          <w:rPr>
            <w:rStyle w:val="Hyperlink"/>
            <w:noProof/>
          </w:rPr>
          <w:t>Table 18 Assessment results for Community Benefits of the environment</w:t>
        </w:r>
        <w:r w:rsidR="00BA4651">
          <w:rPr>
            <w:noProof/>
            <w:webHidden/>
          </w:rPr>
          <w:tab/>
        </w:r>
        <w:r w:rsidR="00BA4651">
          <w:rPr>
            <w:noProof/>
            <w:webHidden/>
          </w:rPr>
          <w:fldChar w:fldCharType="begin"/>
        </w:r>
        <w:r w:rsidR="00BA4651">
          <w:rPr>
            <w:noProof/>
            <w:webHidden/>
          </w:rPr>
          <w:instrText xml:space="preserve"> PAGEREF _Toc525654463 \h </w:instrText>
        </w:r>
        <w:r w:rsidR="00BA4651">
          <w:rPr>
            <w:noProof/>
            <w:webHidden/>
          </w:rPr>
        </w:r>
        <w:r w:rsidR="00BA4651">
          <w:rPr>
            <w:noProof/>
            <w:webHidden/>
          </w:rPr>
          <w:fldChar w:fldCharType="separate"/>
        </w:r>
        <w:r w:rsidR="00A4170C">
          <w:rPr>
            <w:noProof/>
            <w:webHidden/>
          </w:rPr>
          <w:t>61</w:t>
        </w:r>
        <w:r w:rsidR="00BA4651">
          <w:rPr>
            <w:noProof/>
            <w:webHidden/>
          </w:rPr>
          <w:fldChar w:fldCharType="end"/>
        </w:r>
      </w:hyperlink>
    </w:p>
    <w:p w14:paraId="39326A56" w14:textId="5A690CC1" w:rsidR="00BA4651" w:rsidRDefault="008B5998">
      <w:pPr>
        <w:pStyle w:val="TableofFigures"/>
        <w:tabs>
          <w:tab w:val="right" w:leader="dot" w:pos="9016"/>
        </w:tabs>
        <w:rPr>
          <w:rFonts w:eastAsiaTheme="minorEastAsia" w:cstheme="minorBidi"/>
          <w:noProof/>
          <w:sz w:val="24"/>
          <w:szCs w:val="24"/>
          <w:lang w:val="en-AU"/>
        </w:rPr>
      </w:pPr>
      <w:hyperlink w:anchor="_Toc525654464" w:history="1">
        <w:r w:rsidR="00BA4651" w:rsidRPr="005A3054">
          <w:rPr>
            <w:rStyle w:val="Hyperlink"/>
            <w:noProof/>
          </w:rPr>
          <w:t>Table 19 Assessment results for elements of the management cycle ordered by complexity (most complex to least complex)</w:t>
        </w:r>
        <w:r w:rsidR="00BA4651">
          <w:rPr>
            <w:noProof/>
            <w:webHidden/>
          </w:rPr>
          <w:tab/>
        </w:r>
        <w:r w:rsidR="00BA4651">
          <w:rPr>
            <w:noProof/>
            <w:webHidden/>
          </w:rPr>
          <w:fldChar w:fldCharType="begin"/>
        </w:r>
        <w:r w:rsidR="00BA4651">
          <w:rPr>
            <w:noProof/>
            <w:webHidden/>
          </w:rPr>
          <w:instrText xml:space="preserve"> PAGEREF _Toc525654464 \h </w:instrText>
        </w:r>
        <w:r w:rsidR="00BA4651">
          <w:rPr>
            <w:noProof/>
            <w:webHidden/>
          </w:rPr>
        </w:r>
        <w:r w:rsidR="00BA4651">
          <w:rPr>
            <w:noProof/>
            <w:webHidden/>
          </w:rPr>
          <w:fldChar w:fldCharType="separate"/>
        </w:r>
        <w:r w:rsidR="00A4170C">
          <w:rPr>
            <w:noProof/>
            <w:webHidden/>
          </w:rPr>
          <w:t>63</w:t>
        </w:r>
        <w:r w:rsidR="00BA4651">
          <w:rPr>
            <w:noProof/>
            <w:webHidden/>
          </w:rPr>
          <w:fldChar w:fldCharType="end"/>
        </w:r>
      </w:hyperlink>
    </w:p>
    <w:p w14:paraId="5E263737" w14:textId="2EA42BC5" w:rsidR="00BA4651" w:rsidRDefault="008B5998">
      <w:pPr>
        <w:pStyle w:val="TableofFigures"/>
        <w:tabs>
          <w:tab w:val="right" w:leader="dot" w:pos="9016"/>
        </w:tabs>
        <w:rPr>
          <w:rFonts w:eastAsiaTheme="minorEastAsia" w:cstheme="minorBidi"/>
          <w:noProof/>
          <w:sz w:val="24"/>
          <w:szCs w:val="24"/>
          <w:lang w:val="en-AU"/>
        </w:rPr>
      </w:pPr>
      <w:hyperlink w:anchor="_Toc525654465" w:history="1">
        <w:r w:rsidR="00BA4651" w:rsidRPr="005A3054">
          <w:rPr>
            <w:rStyle w:val="Hyperlink"/>
            <w:noProof/>
          </w:rPr>
          <w:t>Table 20 Summary for the six elements of the management effectiveness framework, averaged over the 14 topics</w:t>
        </w:r>
        <w:r w:rsidR="00BA4651">
          <w:rPr>
            <w:noProof/>
            <w:webHidden/>
          </w:rPr>
          <w:tab/>
        </w:r>
        <w:r w:rsidR="00BA4651">
          <w:rPr>
            <w:noProof/>
            <w:webHidden/>
          </w:rPr>
          <w:fldChar w:fldCharType="begin"/>
        </w:r>
        <w:r w:rsidR="00BA4651">
          <w:rPr>
            <w:noProof/>
            <w:webHidden/>
          </w:rPr>
          <w:instrText xml:space="preserve"> PAGEREF _Toc525654465 \h </w:instrText>
        </w:r>
        <w:r w:rsidR="00BA4651">
          <w:rPr>
            <w:noProof/>
            <w:webHidden/>
          </w:rPr>
        </w:r>
        <w:r w:rsidR="00BA4651">
          <w:rPr>
            <w:noProof/>
            <w:webHidden/>
          </w:rPr>
          <w:fldChar w:fldCharType="separate"/>
        </w:r>
        <w:r w:rsidR="00A4170C">
          <w:rPr>
            <w:noProof/>
            <w:webHidden/>
          </w:rPr>
          <w:t>67</w:t>
        </w:r>
        <w:r w:rsidR="00BA4651">
          <w:rPr>
            <w:noProof/>
            <w:webHidden/>
          </w:rPr>
          <w:fldChar w:fldCharType="end"/>
        </w:r>
      </w:hyperlink>
    </w:p>
    <w:p w14:paraId="7B211357" w14:textId="27DB9483" w:rsidR="00BA4651" w:rsidRDefault="008B5998">
      <w:pPr>
        <w:pStyle w:val="TableofFigures"/>
        <w:tabs>
          <w:tab w:val="right" w:leader="dot" w:pos="9016"/>
        </w:tabs>
        <w:rPr>
          <w:rFonts w:eastAsiaTheme="minorEastAsia" w:cstheme="minorBidi"/>
          <w:noProof/>
          <w:sz w:val="24"/>
          <w:szCs w:val="24"/>
          <w:lang w:val="en-AU"/>
        </w:rPr>
      </w:pPr>
      <w:hyperlink w:anchor="_Toc525654466" w:history="1">
        <w:r w:rsidR="00BA4651" w:rsidRPr="005A3054">
          <w:rPr>
            <w:rStyle w:val="Hyperlink"/>
            <w:noProof/>
          </w:rPr>
          <w:t>Table 21 Calculation of grades for biodiversity</w:t>
        </w:r>
        <w:r w:rsidR="00BA4651">
          <w:rPr>
            <w:noProof/>
            <w:webHidden/>
          </w:rPr>
          <w:tab/>
        </w:r>
        <w:r w:rsidR="00BA4651">
          <w:rPr>
            <w:noProof/>
            <w:webHidden/>
          </w:rPr>
          <w:fldChar w:fldCharType="begin"/>
        </w:r>
        <w:r w:rsidR="00BA4651">
          <w:rPr>
            <w:noProof/>
            <w:webHidden/>
          </w:rPr>
          <w:instrText xml:space="preserve"> PAGEREF _Toc525654466 \h </w:instrText>
        </w:r>
        <w:r w:rsidR="00BA4651">
          <w:rPr>
            <w:noProof/>
            <w:webHidden/>
          </w:rPr>
        </w:r>
        <w:r w:rsidR="00BA4651">
          <w:rPr>
            <w:noProof/>
            <w:webHidden/>
          </w:rPr>
          <w:fldChar w:fldCharType="separate"/>
        </w:r>
        <w:r w:rsidR="00A4170C">
          <w:rPr>
            <w:noProof/>
            <w:webHidden/>
          </w:rPr>
          <w:t>87</w:t>
        </w:r>
        <w:r w:rsidR="00BA4651">
          <w:rPr>
            <w:noProof/>
            <w:webHidden/>
          </w:rPr>
          <w:fldChar w:fldCharType="end"/>
        </w:r>
      </w:hyperlink>
    </w:p>
    <w:p w14:paraId="3EEFF30E" w14:textId="188FD666" w:rsidR="00BA4651" w:rsidRDefault="008B5998">
      <w:pPr>
        <w:pStyle w:val="TableofFigures"/>
        <w:tabs>
          <w:tab w:val="right" w:leader="dot" w:pos="9016"/>
        </w:tabs>
        <w:rPr>
          <w:rFonts w:eastAsiaTheme="minorEastAsia" w:cstheme="minorBidi"/>
          <w:noProof/>
          <w:sz w:val="24"/>
          <w:szCs w:val="24"/>
          <w:lang w:val="en-AU"/>
        </w:rPr>
      </w:pPr>
      <w:hyperlink w:anchor="_Toc525654467" w:history="1">
        <w:r w:rsidR="00BA4651" w:rsidRPr="005A3054">
          <w:rPr>
            <w:rStyle w:val="Hyperlink"/>
            <w:noProof/>
          </w:rPr>
          <w:t>Table 22 Calculation of grades for climate change</w:t>
        </w:r>
        <w:r w:rsidR="00BA4651">
          <w:rPr>
            <w:noProof/>
            <w:webHidden/>
          </w:rPr>
          <w:tab/>
        </w:r>
        <w:r w:rsidR="00BA4651">
          <w:rPr>
            <w:noProof/>
            <w:webHidden/>
          </w:rPr>
          <w:fldChar w:fldCharType="begin"/>
        </w:r>
        <w:r w:rsidR="00BA4651">
          <w:rPr>
            <w:noProof/>
            <w:webHidden/>
          </w:rPr>
          <w:instrText xml:space="preserve"> PAGEREF _Toc525654467 \h </w:instrText>
        </w:r>
        <w:r w:rsidR="00BA4651">
          <w:rPr>
            <w:noProof/>
            <w:webHidden/>
          </w:rPr>
        </w:r>
        <w:r w:rsidR="00BA4651">
          <w:rPr>
            <w:noProof/>
            <w:webHidden/>
          </w:rPr>
          <w:fldChar w:fldCharType="separate"/>
        </w:r>
        <w:r w:rsidR="00A4170C">
          <w:rPr>
            <w:noProof/>
            <w:webHidden/>
          </w:rPr>
          <w:t>129</w:t>
        </w:r>
        <w:r w:rsidR="00BA4651">
          <w:rPr>
            <w:noProof/>
            <w:webHidden/>
          </w:rPr>
          <w:fldChar w:fldCharType="end"/>
        </w:r>
      </w:hyperlink>
    </w:p>
    <w:p w14:paraId="164C4312" w14:textId="41ABED8A" w:rsidR="00BA4651" w:rsidRDefault="008B5998">
      <w:pPr>
        <w:pStyle w:val="TableofFigures"/>
        <w:tabs>
          <w:tab w:val="right" w:leader="dot" w:pos="9016"/>
        </w:tabs>
        <w:rPr>
          <w:rFonts w:eastAsiaTheme="minorEastAsia" w:cstheme="minorBidi"/>
          <w:noProof/>
          <w:sz w:val="24"/>
          <w:szCs w:val="24"/>
          <w:lang w:val="en-AU"/>
        </w:rPr>
      </w:pPr>
      <w:hyperlink w:anchor="_Toc525654468" w:history="1">
        <w:r w:rsidR="00BA4651" w:rsidRPr="005A3054">
          <w:rPr>
            <w:rStyle w:val="Hyperlink"/>
            <w:noProof/>
          </w:rPr>
          <w:t>Table 23 Calculation of grades for coastal development</w:t>
        </w:r>
        <w:r w:rsidR="00BA4651">
          <w:rPr>
            <w:noProof/>
            <w:webHidden/>
          </w:rPr>
          <w:tab/>
        </w:r>
        <w:r w:rsidR="00BA4651">
          <w:rPr>
            <w:noProof/>
            <w:webHidden/>
          </w:rPr>
          <w:fldChar w:fldCharType="begin"/>
        </w:r>
        <w:r w:rsidR="00BA4651">
          <w:rPr>
            <w:noProof/>
            <w:webHidden/>
          </w:rPr>
          <w:instrText xml:space="preserve"> PAGEREF _Toc525654468 \h </w:instrText>
        </w:r>
        <w:r w:rsidR="00BA4651">
          <w:rPr>
            <w:noProof/>
            <w:webHidden/>
          </w:rPr>
        </w:r>
        <w:r w:rsidR="00BA4651">
          <w:rPr>
            <w:noProof/>
            <w:webHidden/>
          </w:rPr>
          <w:fldChar w:fldCharType="separate"/>
        </w:r>
        <w:r w:rsidR="00A4170C">
          <w:rPr>
            <w:noProof/>
            <w:webHidden/>
          </w:rPr>
          <w:t>160</w:t>
        </w:r>
        <w:r w:rsidR="00BA4651">
          <w:rPr>
            <w:noProof/>
            <w:webHidden/>
          </w:rPr>
          <w:fldChar w:fldCharType="end"/>
        </w:r>
      </w:hyperlink>
    </w:p>
    <w:p w14:paraId="06B5BAFF" w14:textId="43E42529" w:rsidR="00BA4651" w:rsidRDefault="008B5998">
      <w:pPr>
        <w:pStyle w:val="TableofFigures"/>
        <w:tabs>
          <w:tab w:val="right" w:leader="dot" w:pos="9016"/>
        </w:tabs>
        <w:rPr>
          <w:rFonts w:eastAsiaTheme="minorEastAsia" w:cstheme="minorBidi"/>
          <w:noProof/>
          <w:sz w:val="24"/>
          <w:szCs w:val="24"/>
          <w:lang w:val="en-AU"/>
        </w:rPr>
      </w:pPr>
      <w:hyperlink w:anchor="_Toc525654469" w:history="1">
        <w:r w:rsidR="00BA4651" w:rsidRPr="005A3054">
          <w:rPr>
            <w:rStyle w:val="Hyperlink"/>
            <w:noProof/>
          </w:rPr>
          <w:t>Table 24 Calculation of grades for commercial marine tourism</w:t>
        </w:r>
        <w:r w:rsidR="00BA4651">
          <w:rPr>
            <w:noProof/>
            <w:webHidden/>
          </w:rPr>
          <w:tab/>
        </w:r>
        <w:r w:rsidR="00BA4651">
          <w:rPr>
            <w:noProof/>
            <w:webHidden/>
          </w:rPr>
          <w:fldChar w:fldCharType="begin"/>
        </w:r>
        <w:r w:rsidR="00BA4651">
          <w:rPr>
            <w:noProof/>
            <w:webHidden/>
          </w:rPr>
          <w:instrText xml:space="preserve"> PAGEREF _Toc525654469 \h </w:instrText>
        </w:r>
        <w:r w:rsidR="00BA4651">
          <w:rPr>
            <w:noProof/>
            <w:webHidden/>
          </w:rPr>
        </w:r>
        <w:r w:rsidR="00BA4651">
          <w:rPr>
            <w:noProof/>
            <w:webHidden/>
          </w:rPr>
          <w:fldChar w:fldCharType="separate"/>
        </w:r>
        <w:r w:rsidR="00A4170C">
          <w:rPr>
            <w:noProof/>
            <w:webHidden/>
          </w:rPr>
          <w:t>176</w:t>
        </w:r>
        <w:r w:rsidR="00BA4651">
          <w:rPr>
            <w:noProof/>
            <w:webHidden/>
          </w:rPr>
          <w:fldChar w:fldCharType="end"/>
        </w:r>
      </w:hyperlink>
    </w:p>
    <w:p w14:paraId="04D3779F" w14:textId="1ACDD5A1" w:rsidR="00BA4651" w:rsidRDefault="008B5998">
      <w:pPr>
        <w:pStyle w:val="TableofFigures"/>
        <w:tabs>
          <w:tab w:val="right" w:leader="dot" w:pos="9016"/>
        </w:tabs>
        <w:rPr>
          <w:rFonts w:eastAsiaTheme="minorEastAsia" w:cstheme="minorBidi"/>
          <w:noProof/>
          <w:sz w:val="24"/>
          <w:szCs w:val="24"/>
          <w:lang w:val="en-AU"/>
        </w:rPr>
      </w:pPr>
      <w:hyperlink w:anchor="_Toc525654470" w:history="1">
        <w:r w:rsidR="00BA4651" w:rsidRPr="005A3054">
          <w:rPr>
            <w:rStyle w:val="Hyperlink"/>
            <w:noProof/>
          </w:rPr>
          <w:t>Table 25 Calculation of grades for community benefits of the environment</w:t>
        </w:r>
        <w:r w:rsidR="00BA4651">
          <w:rPr>
            <w:noProof/>
            <w:webHidden/>
          </w:rPr>
          <w:tab/>
        </w:r>
        <w:r w:rsidR="00BA4651">
          <w:rPr>
            <w:noProof/>
            <w:webHidden/>
          </w:rPr>
          <w:fldChar w:fldCharType="begin"/>
        </w:r>
        <w:r w:rsidR="00BA4651">
          <w:rPr>
            <w:noProof/>
            <w:webHidden/>
          </w:rPr>
          <w:instrText xml:space="preserve"> PAGEREF _Toc525654470 \h </w:instrText>
        </w:r>
        <w:r w:rsidR="00BA4651">
          <w:rPr>
            <w:noProof/>
            <w:webHidden/>
          </w:rPr>
        </w:r>
        <w:r w:rsidR="00BA4651">
          <w:rPr>
            <w:noProof/>
            <w:webHidden/>
          </w:rPr>
          <w:fldChar w:fldCharType="separate"/>
        </w:r>
        <w:r w:rsidR="00A4170C">
          <w:rPr>
            <w:noProof/>
            <w:webHidden/>
          </w:rPr>
          <w:t>206</w:t>
        </w:r>
        <w:r w:rsidR="00BA4651">
          <w:rPr>
            <w:noProof/>
            <w:webHidden/>
          </w:rPr>
          <w:fldChar w:fldCharType="end"/>
        </w:r>
      </w:hyperlink>
    </w:p>
    <w:p w14:paraId="3FA0BDF8" w14:textId="5AED02F9" w:rsidR="00BA4651" w:rsidRDefault="008B5998">
      <w:pPr>
        <w:pStyle w:val="TableofFigures"/>
        <w:tabs>
          <w:tab w:val="right" w:leader="dot" w:pos="9016"/>
        </w:tabs>
        <w:rPr>
          <w:rFonts w:eastAsiaTheme="minorEastAsia" w:cstheme="minorBidi"/>
          <w:noProof/>
          <w:sz w:val="24"/>
          <w:szCs w:val="24"/>
          <w:lang w:val="en-AU"/>
        </w:rPr>
      </w:pPr>
      <w:hyperlink w:anchor="_Toc525654471" w:history="1">
        <w:r w:rsidR="00BA4651" w:rsidRPr="005A3054">
          <w:rPr>
            <w:rStyle w:val="Hyperlink"/>
            <w:noProof/>
          </w:rPr>
          <w:t>Table 26 Calculation of grades for defence activities</w:t>
        </w:r>
        <w:r w:rsidR="00BA4651">
          <w:rPr>
            <w:noProof/>
            <w:webHidden/>
          </w:rPr>
          <w:tab/>
        </w:r>
        <w:r w:rsidR="00BA4651">
          <w:rPr>
            <w:noProof/>
            <w:webHidden/>
          </w:rPr>
          <w:fldChar w:fldCharType="begin"/>
        </w:r>
        <w:r w:rsidR="00BA4651">
          <w:rPr>
            <w:noProof/>
            <w:webHidden/>
          </w:rPr>
          <w:instrText xml:space="preserve"> PAGEREF _Toc525654471 \h </w:instrText>
        </w:r>
        <w:r w:rsidR="00BA4651">
          <w:rPr>
            <w:noProof/>
            <w:webHidden/>
          </w:rPr>
        </w:r>
        <w:r w:rsidR="00BA4651">
          <w:rPr>
            <w:noProof/>
            <w:webHidden/>
          </w:rPr>
          <w:fldChar w:fldCharType="separate"/>
        </w:r>
        <w:r w:rsidR="00A4170C">
          <w:rPr>
            <w:noProof/>
            <w:webHidden/>
          </w:rPr>
          <w:t>230</w:t>
        </w:r>
        <w:r w:rsidR="00BA4651">
          <w:rPr>
            <w:noProof/>
            <w:webHidden/>
          </w:rPr>
          <w:fldChar w:fldCharType="end"/>
        </w:r>
      </w:hyperlink>
    </w:p>
    <w:p w14:paraId="14A49735" w14:textId="4AC20D6B" w:rsidR="00BA4651" w:rsidRDefault="008B5998">
      <w:pPr>
        <w:pStyle w:val="TableofFigures"/>
        <w:tabs>
          <w:tab w:val="right" w:leader="dot" w:pos="9016"/>
        </w:tabs>
        <w:rPr>
          <w:rFonts w:eastAsiaTheme="minorEastAsia" w:cstheme="minorBidi"/>
          <w:noProof/>
          <w:sz w:val="24"/>
          <w:szCs w:val="24"/>
          <w:lang w:val="en-AU"/>
        </w:rPr>
      </w:pPr>
      <w:hyperlink w:anchor="_Toc525654472" w:history="1">
        <w:r w:rsidR="00BA4651" w:rsidRPr="005A3054">
          <w:rPr>
            <w:rStyle w:val="Hyperlink"/>
            <w:noProof/>
          </w:rPr>
          <w:t>Table 27 Calculation of grades for fishing (commercial)</w:t>
        </w:r>
        <w:r w:rsidR="00BA4651">
          <w:rPr>
            <w:noProof/>
            <w:webHidden/>
          </w:rPr>
          <w:tab/>
        </w:r>
        <w:r w:rsidR="00BA4651">
          <w:rPr>
            <w:noProof/>
            <w:webHidden/>
          </w:rPr>
          <w:fldChar w:fldCharType="begin"/>
        </w:r>
        <w:r w:rsidR="00BA4651">
          <w:rPr>
            <w:noProof/>
            <w:webHidden/>
          </w:rPr>
          <w:instrText xml:space="preserve"> PAGEREF _Toc525654472 \h </w:instrText>
        </w:r>
        <w:r w:rsidR="00BA4651">
          <w:rPr>
            <w:noProof/>
            <w:webHidden/>
          </w:rPr>
        </w:r>
        <w:r w:rsidR="00BA4651">
          <w:rPr>
            <w:noProof/>
            <w:webHidden/>
          </w:rPr>
          <w:fldChar w:fldCharType="separate"/>
        </w:r>
        <w:r w:rsidR="00A4170C">
          <w:rPr>
            <w:noProof/>
            <w:webHidden/>
          </w:rPr>
          <w:t>270</w:t>
        </w:r>
        <w:r w:rsidR="00BA4651">
          <w:rPr>
            <w:noProof/>
            <w:webHidden/>
          </w:rPr>
          <w:fldChar w:fldCharType="end"/>
        </w:r>
      </w:hyperlink>
    </w:p>
    <w:p w14:paraId="09498401" w14:textId="699A0A98" w:rsidR="00BA4651" w:rsidRDefault="008B5998">
      <w:pPr>
        <w:pStyle w:val="TableofFigures"/>
        <w:tabs>
          <w:tab w:val="right" w:leader="dot" w:pos="9016"/>
        </w:tabs>
        <w:rPr>
          <w:rFonts w:eastAsiaTheme="minorEastAsia" w:cstheme="minorBidi"/>
          <w:noProof/>
          <w:sz w:val="24"/>
          <w:szCs w:val="24"/>
          <w:lang w:val="en-AU"/>
        </w:rPr>
      </w:pPr>
      <w:hyperlink w:anchor="_Toc525654473" w:history="1">
        <w:r w:rsidR="00BA4651" w:rsidRPr="005A3054">
          <w:rPr>
            <w:rStyle w:val="Hyperlink"/>
            <w:noProof/>
          </w:rPr>
          <w:t>Table 28 Calculation of grades for fishing (recreational)</w:t>
        </w:r>
        <w:r w:rsidR="00BA4651">
          <w:rPr>
            <w:noProof/>
            <w:webHidden/>
          </w:rPr>
          <w:tab/>
        </w:r>
        <w:r w:rsidR="00BA4651">
          <w:rPr>
            <w:noProof/>
            <w:webHidden/>
          </w:rPr>
          <w:fldChar w:fldCharType="begin"/>
        </w:r>
        <w:r w:rsidR="00BA4651">
          <w:rPr>
            <w:noProof/>
            <w:webHidden/>
          </w:rPr>
          <w:instrText xml:space="preserve"> PAGEREF _Toc525654473 \h </w:instrText>
        </w:r>
        <w:r w:rsidR="00BA4651">
          <w:rPr>
            <w:noProof/>
            <w:webHidden/>
          </w:rPr>
        </w:r>
        <w:r w:rsidR="00BA4651">
          <w:rPr>
            <w:noProof/>
            <w:webHidden/>
          </w:rPr>
          <w:fldChar w:fldCharType="separate"/>
        </w:r>
        <w:r w:rsidR="00A4170C">
          <w:rPr>
            <w:noProof/>
            <w:webHidden/>
          </w:rPr>
          <w:t>299</w:t>
        </w:r>
        <w:r w:rsidR="00BA4651">
          <w:rPr>
            <w:noProof/>
            <w:webHidden/>
          </w:rPr>
          <w:fldChar w:fldCharType="end"/>
        </w:r>
      </w:hyperlink>
    </w:p>
    <w:p w14:paraId="6459D33B" w14:textId="5D81C25B" w:rsidR="00BA4651" w:rsidRDefault="008B5998">
      <w:pPr>
        <w:pStyle w:val="TableofFigures"/>
        <w:tabs>
          <w:tab w:val="right" w:leader="dot" w:pos="9016"/>
        </w:tabs>
        <w:rPr>
          <w:rFonts w:eastAsiaTheme="minorEastAsia" w:cstheme="minorBidi"/>
          <w:noProof/>
          <w:sz w:val="24"/>
          <w:szCs w:val="24"/>
          <w:lang w:val="en-AU"/>
        </w:rPr>
      </w:pPr>
      <w:hyperlink w:anchor="_Toc525654474" w:history="1">
        <w:r w:rsidR="00BA4651" w:rsidRPr="005A3054">
          <w:rPr>
            <w:rStyle w:val="Hyperlink"/>
            <w:noProof/>
          </w:rPr>
          <w:t>Table 29 Calculation of grades for heritage (historic)</w:t>
        </w:r>
        <w:r w:rsidR="00BA4651">
          <w:rPr>
            <w:noProof/>
            <w:webHidden/>
          </w:rPr>
          <w:tab/>
        </w:r>
        <w:r w:rsidR="00BA4651">
          <w:rPr>
            <w:noProof/>
            <w:webHidden/>
          </w:rPr>
          <w:fldChar w:fldCharType="begin"/>
        </w:r>
        <w:r w:rsidR="00BA4651">
          <w:rPr>
            <w:noProof/>
            <w:webHidden/>
          </w:rPr>
          <w:instrText xml:space="preserve"> PAGEREF _Toc525654474 \h </w:instrText>
        </w:r>
        <w:r w:rsidR="00BA4651">
          <w:rPr>
            <w:noProof/>
            <w:webHidden/>
          </w:rPr>
        </w:r>
        <w:r w:rsidR="00BA4651">
          <w:rPr>
            <w:noProof/>
            <w:webHidden/>
          </w:rPr>
          <w:fldChar w:fldCharType="separate"/>
        </w:r>
        <w:r w:rsidR="00A4170C">
          <w:rPr>
            <w:noProof/>
            <w:webHidden/>
          </w:rPr>
          <w:t>318</w:t>
        </w:r>
        <w:r w:rsidR="00BA4651">
          <w:rPr>
            <w:noProof/>
            <w:webHidden/>
          </w:rPr>
          <w:fldChar w:fldCharType="end"/>
        </w:r>
      </w:hyperlink>
    </w:p>
    <w:p w14:paraId="65097977" w14:textId="5AE3BE19" w:rsidR="00BA4651" w:rsidRDefault="008B5998">
      <w:pPr>
        <w:pStyle w:val="TableofFigures"/>
        <w:tabs>
          <w:tab w:val="right" w:leader="dot" w:pos="9016"/>
        </w:tabs>
        <w:rPr>
          <w:rFonts w:eastAsiaTheme="minorEastAsia" w:cstheme="minorBidi"/>
          <w:noProof/>
          <w:sz w:val="24"/>
          <w:szCs w:val="24"/>
          <w:lang w:val="en-AU"/>
        </w:rPr>
      </w:pPr>
      <w:hyperlink w:anchor="_Toc525654475" w:history="1">
        <w:r w:rsidR="00BA4651" w:rsidRPr="005A3054">
          <w:rPr>
            <w:rStyle w:val="Hyperlink"/>
            <w:noProof/>
          </w:rPr>
          <w:t>Table 30 Calculation of grades for heritage (Indigenous)</w:t>
        </w:r>
        <w:r w:rsidR="00BA4651">
          <w:rPr>
            <w:noProof/>
            <w:webHidden/>
          </w:rPr>
          <w:tab/>
        </w:r>
        <w:r w:rsidR="00BA4651">
          <w:rPr>
            <w:noProof/>
            <w:webHidden/>
          </w:rPr>
          <w:fldChar w:fldCharType="begin"/>
        </w:r>
        <w:r w:rsidR="00BA4651">
          <w:rPr>
            <w:noProof/>
            <w:webHidden/>
          </w:rPr>
          <w:instrText xml:space="preserve"> PAGEREF _Toc525654475 \h </w:instrText>
        </w:r>
        <w:r w:rsidR="00BA4651">
          <w:rPr>
            <w:noProof/>
            <w:webHidden/>
          </w:rPr>
        </w:r>
        <w:r w:rsidR="00BA4651">
          <w:rPr>
            <w:noProof/>
            <w:webHidden/>
          </w:rPr>
          <w:fldChar w:fldCharType="separate"/>
        </w:r>
        <w:r w:rsidR="00A4170C">
          <w:rPr>
            <w:noProof/>
            <w:webHidden/>
          </w:rPr>
          <w:t>335</w:t>
        </w:r>
        <w:r w:rsidR="00BA4651">
          <w:rPr>
            <w:noProof/>
            <w:webHidden/>
          </w:rPr>
          <w:fldChar w:fldCharType="end"/>
        </w:r>
      </w:hyperlink>
    </w:p>
    <w:p w14:paraId="3785ADD0" w14:textId="2DA05E93" w:rsidR="00BA4651" w:rsidRDefault="008B5998">
      <w:pPr>
        <w:pStyle w:val="TableofFigures"/>
        <w:tabs>
          <w:tab w:val="right" w:leader="dot" w:pos="9016"/>
        </w:tabs>
        <w:rPr>
          <w:rFonts w:eastAsiaTheme="minorEastAsia" w:cstheme="minorBidi"/>
          <w:noProof/>
          <w:sz w:val="24"/>
          <w:szCs w:val="24"/>
          <w:lang w:val="en-AU"/>
        </w:rPr>
      </w:pPr>
      <w:hyperlink w:anchor="_Toc525654476" w:history="1">
        <w:r w:rsidR="00BA4651" w:rsidRPr="005A3054">
          <w:rPr>
            <w:rStyle w:val="Hyperlink"/>
            <w:noProof/>
          </w:rPr>
          <w:t>Table 31 Calculation of grades for land-based run-off</w:t>
        </w:r>
        <w:r w:rsidR="00BA4651">
          <w:rPr>
            <w:noProof/>
            <w:webHidden/>
          </w:rPr>
          <w:tab/>
        </w:r>
        <w:r w:rsidR="00BA4651">
          <w:rPr>
            <w:noProof/>
            <w:webHidden/>
          </w:rPr>
          <w:fldChar w:fldCharType="begin"/>
        </w:r>
        <w:r w:rsidR="00BA4651">
          <w:rPr>
            <w:noProof/>
            <w:webHidden/>
          </w:rPr>
          <w:instrText xml:space="preserve"> PAGEREF _Toc525654476 \h </w:instrText>
        </w:r>
        <w:r w:rsidR="00BA4651">
          <w:rPr>
            <w:noProof/>
            <w:webHidden/>
          </w:rPr>
        </w:r>
        <w:r w:rsidR="00BA4651">
          <w:rPr>
            <w:noProof/>
            <w:webHidden/>
          </w:rPr>
          <w:fldChar w:fldCharType="separate"/>
        </w:r>
        <w:r w:rsidR="00A4170C">
          <w:rPr>
            <w:noProof/>
            <w:webHidden/>
          </w:rPr>
          <w:t>360</w:t>
        </w:r>
        <w:r w:rsidR="00BA4651">
          <w:rPr>
            <w:noProof/>
            <w:webHidden/>
          </w:rPr>
          <w:fldChar w:fldCharType="end"/>
        </w:r>
      </w:hyperlink>
    </w:p>
    <w:p w14:paraId="1E69C767" w14:textId="7B474BEC" w:rsidR="00BA4651" w:rsidRDefault="008B5998">
      <w:pPr>
        <w:pStyle w:val="TableofFigures"/>
        <w:tabs>
          <w:tab w:val="right" w:leader="dot" w:pos="9016"/>
        </w:tabs>
        <w:rPr>
          <w:rFonts w:eastAsiaTheme="minorEastAsia" w:cstheme="minorBidi"/>
          <w:noProof/>
          <w:sz w:val="24"/>
          <w:szCs w:val="24"/>
          <w:lang w:val="en-AU"/>
        </w:rPr>
      </w:pPr>
      <w:hyperlink w:anchor="_Toc525654477" w:history="1">
        <w:r w:rsidR="00BA4651" w:rsidRPr="005A3054">
          <w:rPr>
            <w:rStyle w:val="Hyperlink"/>
            <w:noProof/>
          </w:rPr>
          <w:t>Table 32 Calculation of grades for ports</w:t>
        </w:r>
        <w:r w:rsidR="00BA4651">
          <w:rPr>
            <w:noProof/>
            <w:webHidden/>
          </w:rPr>
          <w:tab/>
        </w:r>
        <w:r w:rsidR="00BA4651">
          <w:rPr>
            <w:noProof/>
            <w:webHidden/>
          </w:rPr>
          <w:fldChar w:fldCharType="begin"/>
        </w:r>
        <w:r w:rsidR="00BA4651">
          <w:rPr>
            <w:noProof/>
            <w:webHidden/>
          </w:rPr>
          <w:instrText xml:space="preserve"> PAGEREF _Toc525654477 \h </w:instrText>
        </w:r>
        <w:r w:rsidR="00BA4651">
          <w:rPr>
            <w:noProof/>
            <w:webHidden/>
          </w:rPr>
        </w:r>
        <w:r w:rsidR="00BA4651">
          <w:rPr>
            <w:noProof/>
            <w:webHidden/>
          </w:rPr>
          <w:fldChar w:fldCharType="separate"/>
        </w:r>
        <w:r w:rsidR="00A4170C">
          <w:rPr>
            <w:noProof/>
            <w:webHidden/>
          </w:rPr>
          <w:t>380</w:t>
        </w:r>
        <w:r w:rsidR="00BA4651">
          <w:rPr>
            <w:noProof/>
            <w:webHidden/>
          </w:rPr>
          <w:fldChar w:fldCharType="end"/>
        </w:r>
      </w:hyperlink>
    </w:p>
    <w:p w14:paraId="5B136ECB" w14:textId="0909960C" w:rsidR="00BA4651" w:rsidRDefault="008B5998">
      <w:pPr>
        <w:pStyle w:val="TableofFigures"/>
        <w:tabs>
          <w:tab w:val="right" w:leader="dot" w:pos="9016"/>
        </w:tabs>
        <w:rPr>
          <w:rFonts w:eastAsiaTheme="minorEastAsia" w:cstheme="minorBidi"/>
          <w:noProof/>
          <w:sz w:val="24"/>
          <w:szCs w:val="24"/>
          <w:lang w:val="en-AU"/>
        </w:rPr>
      </w:pPr>
      <w:hyperlink w:anchor="_Toc525654478" w:history="1">
        <w:r w:rsidR="00BA4651" w:rsidRPr="005A3054">
          <w:rPr>
            <w:rStyle w:val="Hyperlink"/>
            <w:noProof/>
          </w:rPr>
          <w:t>Table 33 Calculation of grades for recreational use (excluding fishing)</w:t>
        </w:r>
        <w:r w:rsidR="00BA4651">
          <w:rPr>
            <w:noProof/>
            <w:webHidden/>
          </w:rPr>
          <w:tab/>
        </w:r>
        <w:r w:rsidR="00BA4651">
          <w:rPr>
            <w:noProof/>
            <w:webHidden/>
          </w:rPr>
          <w:fldChar w:fldCharType="begin"/>
        </w:r>
        <w:r w:rsidR="00BA4651">
          <w:rPr>
            <w:noProof/>
            <w:webHidden/>
          </w:rPr>
          <w:instrText xml:space="preserve"> PAGEREF _Toc525654478 \h </w:instrText>
        </w:r>
        <w:r w:rsidR="00BA4651">
          <w:rPr>
            <w:noProof/>
            <w:webHidden/>
          </w:rPr>
        </w:r>
        <w:r w:rsidR="00BA4651">
          <w:rPr>
            <w:noProof/>
            <w:webHidden/>
          </w:rPr>
          <w:fldChar w:fldCharType="separate"/>
        </w:r>
        <w:r w:rsidR="00A4170C">
          <w:rPr>
            <w:noProof/>
            <w:webHidden/>
          </w:rPr>
          <w:t>413</w:t>
        </w:r>
        <w:r w:rsidR="00BA4651">
          <w:rPr>
            <w:noProof/>
            <w:webHidden/>
          </w:rPr>
          <w:fldChar w:fldCharType="end"/>
        </w:r>
      </w:hyperlink>
    </w:p>
    <w:p w14:paraId="138E3A50" w14:textId="2AACE224" w:rsidR="00BA4651" w:rsidRDefault="008B5998">
      <w:pPr>
        <w:pStyle w:val="TableofFigures"/>
        <w:tabs>
          <w:tab w:val="right" w:leader="dot" w:pos="9016"/>
        </w:tabs>
        <w:rPr>
          <w:rFonts w:eastAsiaTheme="minorEastAsia" w:cstheme="minorBidi"/>
          <w:noProof/>
          <w:sz w:val="24"/>
          <w:szCs w:val="24"/>
          <w:lang w:val="en-AU"/>
        </w:rPr>
      </w:pPr>
      <w:hyperlink w:anchor="_Toc525654479" w:history="1">
        <w:r w:rsidR="00BA4651" w:rsidRPr="005A3054">
          <w:rPr>
            <w:rStyle w:val="Hyperlink"/>
            <w:noProof/>
          </w:rPr>
          <w:t>Table 34 Calculation of grades for research activities</w:t>
        </w:r>
        <w:r w:rsidR="00BA4651">
          <w:rPr>
            <w:noProof/>
            <w:webHidden/>
          </w:rPr>
          <w:tab/>
        </w:r>
        <w:r w:rsidR="00BA4651">
          <w:rPr>
            <w:noProof/>
            <w:webHidden/>
          </w:rPr>
          <w:fldChar w:fldCharType="begin"/>
        </w:r>
        <w:r w:rsidR="00BA4651">
          <w:rPr>
            <w:noProof/>
            <w:webHidden/>
          </w:rPr>
          <w:instrText xml:space="preserve"> PAGEREF _Toc525654479 \h </w:instrText>
        </w:r>
        <w:r w:rsidR="00BA4651">
          <w:rPr>
            <w:noProof/>
            <w:webHidden/>
          </w:rPr>
        </w:r>
        <w:r w:rsidR="00BA4651">
          <w:rPr>
            <w:noProof/>
            <w:webHidden/>
          </w:rPr>
          <w:fldChar w:fldCharType="separate"/>
        </w:r>
        <w:r w:rsidR="00A4170C">
          <w:rPr>
            <w:noProof/>
            <w:webHidden/>
          </w:rPr>
          <w:t>426</w:t>
        </w:r>
        <w:r w:rsidR="00BA4651">
          <w:rPr>
            <w:noProof/>
            <w:webHidden/>
          </w:rPr>
          <w:fldChar w:fldCharType="end"/>
        </w:r>
      </w:hyperlink>
    </w:p>
    <w:p w14:paraId="525FDD5D" w14:textId="68CFBEB7" w:rsidR="00BA4651" w:rsidRDefault="008B5998">
      <w:pPr>
        <w:pStyle w:val="TableofFigures"/>
        <w:tabs>
          <w:tab w:val="right" w:leader="dot" w:pos="9016"/>
        </w:tabs>
        <w:rPr>
          <w:rFonts w:eastAsiaTheme="minorEastAsia" w:cstheme="minorBidi"/>
          <w:noProof/>
          <w:sz w:val="24"/>
          <w:szCs w:val="24"/>
          <w:lang w:val="en-AU"/>
        </w:rPr>
      </w:pPr>
      <w:hyperlink w:anchor="_Toc525654480" w:history="1">
        <w:r w:rsidR="00BA4651" w:rsidRPr="005A3054">
          <w:rPr>
            <w:rStyle w:val="Hyperlink"/>
            <w:noProof/>
          </w:rPr>
          <w:t>Table 35 Calculation of grades for shipping</w:t>
        </w:r>
        <w:r w:rsidR="00BA4651">
          <w:rPr>
            <w:noProof/>
            <w:webHidden/>
          </w:rPr>
          <w:tab/>
        </w:r>
        <w:r w:rsidR="00BA4651">
          <w:rPr>
            <w:noProof/>
            <w:webHidden/>
          </w:rPr>
          <w:fldChar w:fldCharType="begin"/>
        </w:r>
        <w:r w:rsidR="00BA4651">
          <w:rPr>
            <w:noProof/>
            <w:webHidden/>
          </w:rPr>
          <w:instrText xml:space="preserve"> PAGEREF _Toc525654480 \h </w:instrText>
        </w:r>
        <w:r w:rsidR="00BA4651">
          <w:rPr>
            <w:noProof/>
            <w:webHidden/>
          </w:rPr>
        </w:r>
        <w:r w:rsidR="00BA4651">
          <w:rPr>
            <w:noProof/>
            <w:webHidden/>
          </w:rPr>
          <w:fldChar w:fldCharType="separate"/>
        </w:r>
        <w:r w:rsidR="00A4170C">
          <w:rPr>
            <w:noProof/>
            <w:webHidden/>
          </w:rPr>
          <w:t>462</w:t>
        </w:r>
        <w:r w:rsidR="00BA4651">
          <w:rPr>
            <w:noProof/>
            <w:webHidden/>
          </w:rPr>
          <w:fldChar w:fldCharType="end"/>
        </w:r>
      </w:hyperlink>
    </w:p>
    <w:p w14:paraId="42BC0B82" w14:textId="5FD133D7" w:rsidR="00BA4651" w:rsidRDefault="008B5998">
      <w:pPr>
        <w:pStyle w:val="TableofFigures"/>
        <w:tabs>
          <w:tab w:val="right" w:leader="dot" w:pos="9016"/>
        </w:tabs>
        <w:rPr>
          <w:rFonts w:eastAsiaTheme="minorEastAsia" w:cstheme="minorBidi"/>
          <w:noProof/>
          <w:sz w:val="24"/>
          <w:szCs w:val="24"/>
          <w:lang w:val="en-AU"/>
        </w:rPr>
      </w:pPr>
      <w:hyperlink w:anchor="_Toc525654481" w:history="1">
        <w:r w:rsidR="00BA4651" w:rsidRPr="005A3054">
          <w:rPr>
            <w:rStyle w:val="Hyperlink"/>
            <w:noProof/>
          </w:rPr>
          <w:t>Table 36 Calculation of grades for Traditional Use of Marine Resources</w:t>
        </w:r>
        <w:r w:rsidR="00BA4651">
          <w:rPr>
            <w:noProof/>
            <w:webHidden/>
          </w:rPr>
          <w:tab/>
        </w:r>
        <w:r w:rsidR="00BA4651">
          <w:rPr>
            <w:noProof/>
            <w:webHidden/>
          </w:rPr>
          <w:fldChar w:fldCharType="begin"/>
        </w:r>
        <w:r w:rsidR="00BA4651">
          <w:rPr>
            <w:noProof/>
            <w:webHidden/>
          </w:rPr>
          <w:instrText xml:space="preserve"> PAGEREF _Toc525654481 \h </w:instrText>
        </w:r>
        <w:r w:rsidR="00BA4651">
          <w:rPr>
            <w:noProof/>
            <w:webHidden/>
          </w:rPr>
        </w:r>
        <w:r w:rsidR="00BA4651">
          <w:rPr>
            <w:noProof/>
            <w:webHidden/>
          </w:rPr>
          <w:fldChar w:fldCharType="separate"/>
        </w:r>
        <w:r w:rsidR="00A4170C">
          <w:rPr>
            <w:noProof/>
            <w:webHidden/>
          </w:rPr>
          <w:t>502</w:t>
        </w:r>
        <w:r w:rsidR="00BA4651">
          <w:rPr>
            <w:noProof/>
            <w:webHidden/>
          </w:rPr>
          <w:fldChar w:fldCharType="end"/>
        </w:r>
      </w:hyperlink>
    </w:p>
    <w:p w14:paraId="5761CF85" w14:textId="56CF0721" w:rsidR="00A56EE9" w:rsidRDefault="00BA4651">
      <w:pPr>
        <w:sectPr w:rsidR="00A56EE9">
          <w:pgSz w:w="11906" w:h="16838"/>
          <w:pgMar w:top="1440" w:right="1440" w:bottom="1440" w:left="1440" w:header="708" w:footer="708" w:gutter="0"/>
          <w:cols w:space="708"/>
          <w:docGrid w:linePitch="360"/>
        </w:sectPr>
      </w:pPr>
      <w:r>
        <w:rPr>
          <w:rFonts w:asciiTheme="minorHAnsi" w:hAnsiTheme="minorHAnsi" w:cs="Arial"/>
          <w:sz w:val="20"/>
          <w:szCs w:val="18"/>
          <w:lang w:val="en-US"/>
        </w:rPr>
        <w:fldChar w:fldCharType="end"/>
      </w:r>
    </w:p>
    <w:p w14:paraId="5761CF86" w14:textId="77777777" w:rsidR="00A56EE9" w:rsidRDefault="00A56EE9" w:rsidP="00BB6AD5">
      <w:pPr>
        <w:pStyle w:val="Header1"/>
      </w:pPr>
      <w:bookmarkStart w:id="1" w:name="_Toc523423746"/>
      <w:bookmarkStart w:id="2" w:name="_Hlk519857179"/>
      <w:r>
        <w:lastRenderedPageBreak/>
        <w:t>Executive Summary</w:t>
      </w:r>
      <w:bookmarkEnd w:id="1"/>
    </w:p>
    <w:p w14:paraId="5761CF87" w14:textId="77777777" w:rsidR="00A56EE9" w:rsidRDefault="00A56EE9" w:rsidP="00BB6AD5">
      <w:pPr>
        <w:pStyle w:val="Header2"/>
      </w:pPr>
      <w:bookmarkStart w:id="3" w:name="_Toc523423747"/>
      <w:r>
        <w:t>Framework for the report</w:t>
      </w:r>
      <w:bookmarkEnd w:id="3"/>
    </w:p>
    <w:p w14:paraId="5761CF88" w14:textId="77777777" w:rsidR="00A56EE9" w:rsidRDefault="00A56EE9" w:rsidP="009A5057">
      <w:pPr>
        <w:spacing w:line="276" w:lineRule="auto"/>
      </w:pPr>
      <w:r>
        <w:t xml:space="preserve">The Great Barrier Reef Outlook Report (Outlook Report) is required under the </w:t>
      </w:r>
      <w:r>
        <w:rPr>
          <w:i/>
        </w:rPr>
        <w:t>Great Barrier Reef Marine Park Act 1975</w:t>
      </w:r>
      <w:r>
        <w:t xml:space="preserve"> (section 54) and provides an assessment of Reef health and management every five years. This assessment of the Great Barrier Reef Region (the Region) includes a consideration of existing protection and management and forms the basis for Chapter 7 of the Outlook Report. </w:t>
      </w:r>
    </w:p>
    <w:p w14:paraId="5761CF89" w14:textId="77777777" w:rsidR="00A56EE9" w:rsidRDefault="00A56EE9" w:rsidP="009A5057">
      <w:pPr>
        <w:spacing w:line="276" w:lineRule="auto"/>
      </w:pPr>
      <w:r>
        <w:t xml:space="preserve">Management effectiveness evaluation is defined as the assessment of how well protected areas are being managed – primarily the extent to which they are protecting values and achieving goals and </w:t>
      </w:r>
      <w:r w:rsidRPr="001C3A06">
        <w:t xml:space="preserve">objectives </w:t>
      </w:r>
      <w:r>
        <w:rPr>
          <w:noProof/>
        </w:rPr>
        <w:t>(Hockings et al.</w:t>
      </w:r>
      <w:r w:rsidRPr="001C3A06">
        <w:rPr>
          <w:noProof/>
        </w:rPr>
        <w:t xml:space="preserve"> 2015)</w:t>
      </w:r>
      <w:r w:rsidRPr="001C3A06">
        <w:t>.</w:t>
      </w:r>
      <w:r>
        <w:t xml:space="preserve"> This report has used a management effectiveness evaluation framework, known as the IUCN-WCPA Framework</w:t>
      </w:r>
      <w:r>
        <w:rPr>
          <w:rStyle w:val="FootnoteReference"/>
        </w:rPr>
        <w:footnoteReference w:id="1"/>
      </w:r>
      <w:r>
        <w:t xml:space="preserve">, which has been widely applied around the world. This framework focuses on six management </w:t>
      </w:r>
      <w:r>
        <w:rPr>
          <w:i/>
        </w:rPr>
        <w:t xml:space="preserve">elements </w:t>
      </w:r>
      <w:r>
        <w:t xml:space="preserve">(context, planning, inputs, processes, outputs, outcomes) and the links between them, to provide a comprehensive picture of management effectiveness for the Region. </w:t>
      </w:r>
    </w:p>
    <w:p w14:paraId="5761CF8A" w14:textId="77777777" w:rsidR="00A56EE9" w:rsidRDefault="00A56EE9" w:rsidP="009A5057">
      <w:pPr>
        <w:spacing w:line="276" w:lineRule="auto"/>
      </w:pPr>
      <w:r>
        <w:t xml:space="preserve">This assessment uses the same methodology as that used in the </w:t>
      </w:r>
      <w:r w:rsidRPr="00950007">
        <w:rPr>
          <w:i/>
        </w:rPr>
        <w:t>Great Barrier Reef</w:t>
      </w:r>
      <w:r>
        <w:t xml:space="preserve"> </w:t>
      </w:r>
      <w:r w:rsidRPr="001C3A06">
        <w:rPr>
          <w:i/>
        </w:rPr>
        <w:t xml:space="preserve">Outlook </w:t>
      </w:r>
      <w:r>
        <w:rPr>
          <w:i/>
        </w:rPr>
        <w:t xml:space="preserve">Report </w:t>
      </w:r>
      <w:r w:rsidRPr="001C3A06">
        <w:rPr>
          <w:i/>
        </w:rPr>
        <w:t>2009</w:t>
      </w:r>
      <w:r>
        <w:t xml:space="preserve"> (Outlook Report 2009) and </w:t>
      </w:r>
      <w:r w:rsidRPr="00950007">
        <w:rPr>
          <w:i/>
        </w:rPr>
        <w:t>Great Barrier Reef Outlook</w:t>
      </w:r>
      <w:r w:rsidRPr="001C3A06">
        <w:rPr>
          <w:i/>
        </w:rPr>
        <w:t xml:space="preserve"> </w:t>
      </w:r>
      <w:r>
        <w:rPr>
          <w:i/>
        </w:rPr>
        <w:t xml:space="preserve">Report </w:t>
      </w:r>
      <w:r w:rsidRPr="001C3A06">
        <w:rPr>
          <w:i/>
        </w:rPr>
        <w:t>2014</w:t>
      </w:r>
      <w:r>
        <w:t xml:space="preserve"> (Outlook Report 2014) (GBRMPA 2009, 2014a). It examines 14 priority management </w:t>
      </w:r>
      <w:r>
        <w:rPr>
          <w:i/>
        </w:rPr>
        <w:t>topics</w:t>
      </w:r>
      <w:r>
        <w:t xml:space="preserve">. The management topics range in scale from localised issues that affect only a small proportion of the Region (e.g. Defence activities) to others which have implications across all or most of the Region (e.g. Climate change, Recreation, Coastal development). </w:t>
      </w:r>
    </w:p>
    <w:p w14:paraId="5761CF8B" w14:textId="77777777" w:rsidR="00A56EE9" w:rsidRDefault="00A56EE9" w:rsidP="009A5057">
      <w:pPr>
        <w:spacing w:line="276" w:lineRule="auto"/>
      </w:pPr>
      <w:r>
        <w:t xml:space="preserve">Each management topic is assessed against a common set of </w:t>
      </w:r>
      <w:r>
        <w:rPr>
          <w:i/>
        </w:rPr>
        <w:t xml:space="preserve">indicators </w:t>
      </w:r>
      <w:r>
        <w:t xml:space="preserve">distributed across each of the six evaluation elements with the individual indicator assessments being combined to provide an overall grading for each element. </w:t>
      </w:r>
    </w:p>
    <w:p w14:paraId="5761CF8C" w14:textId="77777777" w:rsidR="00A56EE9" w:rsidRDefault="00A56EE9" w:rsidP="00BB6AD5">
      <w:pPr>
        <w:pStyle w:val="Header2"/>
      </w:pPr>
      <w:bookmarkStart w:id="4" w:name="_Toc523423748"/>
      <w:r>
        <w:t>Key findings</w:t>
      </w:r>
      <w:bookmarkEnd w:id="4"/>
    </w:p>
    <w:p w14:paraId="5761CF8D" w14:textId="55CC8C6C" w:rsidR="00A56EE9" w:rsidRDefault="00A56EE9" w:rsidP="009A5057">
      <w:pPr>
        <w:spacing w:line="276" w:lineRule="auto"/>
      </w:pPr>
      <w:r>
        <w:t xml:space="preserve">This assessment has found that </w:t>
      </w:r>
      <w:r w:rsidR="00FC130B">
        <w:t>there</w:t>
      </w:r>
      <w:r>
        <w:t xml:space="preserve"> are improvements in the management </w:t>
      </w:r>
      <w:r w:rsidR="00FC130B">
        <w:t xml:space="preserve">effectiveness </w:t>
      </w:r>
      <w:r>
        <w:t xml:space="preserve">of a number of topics since the </w:t>
      </w:r>
      <w:r w:rsidRPr="00DE60A7">
        <w:t>Outlook Report 2014</w:t>
      </w:r>
      <w:r w:rsidR="00FC130B">
        <w:t>.</w:t>
      </w:r>
      <w:r w:rsidRPr="00C93EF3">
        <w:t xml:space="preserve"> </w:t>
      </w:r>
      <w:r>
        <w:t xml:space="preserve">Many of the improvements are a result of the </w:t>
      </w:r>
      <w:r w:rsidRPr="006E6244">
        <w:rPr>
          <w:i/>
        </w:rPr>
        <w:t>Reef 2050 Long</w:t>
      </w:r>
      <w:r>
        <w:rPr>
          <w:i/>
        </w:rPr>
        <w:t>-</w:t>
      </w:r>
      <w:r w:rsidRPr="006E6244">
        <w:rPr>
          <w:i/>
        </w:rPr>
        <w:t>Term Sustainability Plan</w:t>
      </w:r>
      <w:r>
        <w:t xml:space="preserve"> (Reef 2050 Plan) (Commonwealth of Australia 2018). This plan was developed in response to the 2011 World Heritage Committee request for a coordinated and long-term plan to address concerns on the risks to the Outstanding Universal Value of the Great Barrier Reef World Heritage Area. The Reef 2050 Plan documents actions, targets and objectives to address the key threats to the Region identified through the </w:t>
      </w:r>
      <w:r w:rsidRPr="006E6244">
        <w:rPr>
          <w:i/>
        </w:rPr>
        <w:t>Great Barrier Reef Strategic Assessment Report 2013</w:t>
      </w:r>
      <w:r>
        <w:t xml:space="preserve"> (Great Barrier Reef Strategic Assessment) (GRMPA 2014b) and the </w:t>
      </w:r>
      <w:r w:rsidRPr="006E6244">
        <w:rPr>
          <w:i/>
        </w:rPr>
        <w:t>Great Barrier Reef Coastal Zone Strategic Assessment Report 2013</w:t>
      </w:r>
      <w:r>
        <w:rPr>
          <w:i/>
        </w:rPr>
        <w:t xml:space="preserve"> </w:t>
      </w:r>
      <w:r w:rsidRPr="00950007">
        <w:t>(</w:t>
      </w:r>
      <w:r>
        <w:t xml:space="preserve">Great Barrier Reef </w:t>
      </w:r>
      <w:r w:rsidRPr="00950007">
        <w:t>Coastal Zone Strategic Assessment)</w:t>
      </w:r>
      <w:r>
        <w:rPr>
          <w:i/>
        </w:rPr>
        <w:t xml:space="preserve"> </w:t>
      </w:r>
      <w:r w:rsidRPr="001C3A06">
        <w:t>(De</w:t>
      </w:r>
      <w:r w:rsidRPr="001C3A06">
        <w:lastRenderedPageBreak/>
        <w:t>pa</w:t>
      </w:r>
      <w:r>
        <w:t>rtment of State Development 2014a</w:t>
      </w:r>
      <w:r w:rsidRPr="001C3A06">
        <w:t>).</w:t>
      </w:r>
      <w:r>
        <w:t xml:space="preserve"> The impact of this work has resulted in significant improvement in knowledge and planning in a number of management topics, especially of Community benefits, Land-based run-off and Port development. The overall assessment results are shown in Table 1.</w:t>
      </w:r>
    </w:p>
    <w:p w14:paraId="5761CF8E" w14:textId="77777777" w:rsidR="00A56EE9" w:rsidRDefault="00A56EE9" w:rsidP="009A5057">
      <w:pPr>
        <w:spacing w:line="276" w:lineRule="auto"/>
      </w:pPr>
      <w:r>
        <w:t xml:space="preserve">The scale of threats to the Region means that despite management efforts, it is difficult to achieve positive outcomes in some areas. </w:t>
      </w:r>
      <w:r w:rsidRPr="00950007">
        <w:t>For example, while targeted actions have reduced sediment and nutrient loads entering the Great Barrier Reef lagoon, targets outlined in the Reef 2050 Plan are unlikely to be achieved in the stated timeframes.</w:t>
      </w:r>
      <w:r>
        <w:t xml:space="preserve"> The impact of climate change on the Region’s ecosystems is of serious concern. The extensive coral bleaching episodes in 2016 and 2017 are evidence of the fragility of the system, and the need to actively address climate change globally as well as through more local mitigation and adaptation actions. </w:t>
      </w:r>
    </w:p>
    <w:p w14:paraId="5761CF8F" w14:textId="618375A6" w:rsidR="00A56EE9" w:rsidRDefault="00A56EE9" w:rsidP="009A5057">
      <w:pPr>
        <w:spacing w:line="276" w:lineRule="auto"/>
      </w:pPr>
      <w:r>
        <w:t>Management effectiveness remains strongest for topics that are limited in scale or complexity. For example, Defence is managed effectively across all indicators. Some topics, such as Recreation, are considered low threat to the Region and scheduled reviews for these have not been undertaken. Complex, high threat topics such as Land-based run-off have received greater priority. Significant work has also been achieved in recognising the less tangible Community benefits of the Region.</w:t>
      </w:r>
      <w:r w:rsidR="00242993">
        <w:t xml:space="preserve"> </w:t>
      </w:r>
    </w:p>
    <w:p w14:paraId="5761CF91" w14:textId="7A9D130B" w:rsidR="00A56EE9" w:rsidRDefault="00A56EE9" w:rsidP="007F1AA6">
      <w:pPr>
        <w:spacing w:line="276" w:lineRule="auto"/>
        <w:rPr>
          <w:rFonts w:ascii="Segoe UI" w:eastAsiaTheme="majorEastAsia" w:hAnsi="Segoe UI" w:cstheme="majorBidi"/>
          <w:b/>
          <w:color w:val="2F5496" w:themeColor="accent1" w:themeShade="BF"/>
          <w:sz w:val="26"/>
          <w:szCs w:val="26"/>
        </w:rPr>
      </w:pPr>
      <w:r>
        <w:t xml:space="preserve">Positive management effectiveness outcomes remain elusive for broad scale and complex topics such as Biodiversity, Climate change, Land-based run-off, </w:t>
      </w:r>
      <w:proofErr w:type="gramStart"/>
      <w:r>
        <w:t>Fishing</w:t>
      </w:r>
      <w:proofErr w:type="gramEnd"/>
      <w:r>
        <w:t xml:space="preserve"> and Coastal development. </w:t>
      </w:r>
      <w:bookmarkEnd w:id="2"/>
      <w:r>
        <w:br w:type="page"/>
      </w:r>
    </w:p>
    <w:p w14:paraId="5761CF92" w14:textId="77777777" w:rsidR="00A56EE9" w:rsidRDefault="00A56EE9" w:rsidP="00BB6AD5">
      <w:pPr>
        <w:pStyle w:val="Header2"/>
      </w:pPr>
      <w:bookmarkStart w:id="5" w:name="_Toc523423749"/>
      <w:r>
        <w:lastRenderedPageBreak/>
        <w:t>Trends</w:t>
      </w:r>
      <w:bookmarkEnd w:id="5"/>
    </w:p>
    <w:p w14:paraId="5761CF93" w14:textId="77777777" w:rsidR="00A56EE9" w:rsidRDefault="00A56EE9" w:rsidP="009A5057">
      <w:pPr>
        <w:spacing w:line="276" w:lineRule="auto"/>
      </w:pPr>
      <w:r>
        <w:t>In general, most indicators were either improving or stable. However, the decline in planning, outcomes and outputs associated with Climate change are of great concern.</w:t>
      </w:r>
    </w:p>
    <w:p w14:paraId="5761CF94" w14:textId="3607D89E" w:rsidR="00A56EE9" w:rsidRDefault="00A56EE9" w:rsidP="00BB6AD5">
      <w:pPr>
        <w:pStyle w:val="Caption"/>
        <w:jc w:val="center"/>
      </w:pPr>
      <w:bookmarkStart w:id="6" w:name="_Ref521610895"/>
      <w:bookmarkStart w:id="7" w:name="_Toc525654446"/>
      <w:r>
        <w:t xml:space="preserve">Table </w:t>
      </w:r>
      <w:r>
        <w:fldChar w:fldCharType="begin"/>
      </w:r>
      <w:r>
        <w:instrText xml:space="preserve"> SEQ Table \* ARABIC </w:instrText>
      </w:r>
      <w:r>
        <w:fldChar w:fldCharType="separate"/>
      </w:r>
      <w:r w:rsidR="00A4170C">
        <w:rPr>
          <w:noProof/>
        </w:rPr>
        <w:t>1</w:t>
      </w:r>
      <w:r>
        <w:rPr>
          <w:noProof/>
        </w:rPr>
        <w:fldChar w:fldCharType="end"/>
      </w:r>
      <w:bookmarkEnd w:id="6"/>
      <w:r>
        <w:t xml:space="preserve"> Summary of assessment results</w:t>
      </w:r>
      <w:bookmarkEnd w:id="7"/>
    </w:p>
    <w:tbl>
      <w:tblPr>
        <w:tblStyle w:val="TableGrid"/>
        <w:tblW w:w="5000" w:type="pct"/>
        <w:jc w:val="right"/>
        <w:tblLook w:val="04A0" w:firstRow="1" w:lastRow="0" w:firstColumn="1" w:lastColumn="0" w:noHBand="0" w:noVBand="1"/>
        <w:tblCaption w:val="Table 1 Summary of assessment results"/>
        <w:tblDescription w:val="This table has eight columns and fifteen rows.&#10;&#10;Column one groups the 14 management topics into Managing direct use of the Region (Commercial marine tourism; Defence activities; Fishing; Ports; Recreation; Research activities; Shipping;  and Traditional use of marine resources); Managing external factors influencing the Region (Climate change; Coastal development; and Land-based run-off); and Managing to protect the Region’s values (Biodiversity values; Heritage values; Community benefits of the environment). &#10;The grades for ‘Commercial marine tourism’ are Context –effective (stable); Planning – mostly effective (stable); Inputs – mostly effective (increased within grade); Processes – mostly effective (stable); Outputs –effective (stable); Outcomes –effective (stable). &#10;The grades for ‘Defence activities’ are Context –effective (stable); Planning –effective (stable); Inputs –effective (increased with grade change); Processes –effective (stable); Outputs –effective (stable); Outcomes –effective (stable). &#10;The grades for ‘Fishing’ are Context – mostly effective (stable); Planning –effective (increased with grade change); Inputs – mostly effective (increased with grade change); Processes – mostly effective (stable); Outputs – mostly effective (stable); Outcomes – partially effective (stable). &#10;The grades for ‘Ports’ are Context- effective (increased with grade change); Planning - effective (increased with grade change); Inputs – mostly effective (stable); Processes – mostly effective (increased within grade); Outputs – mostly effective (increased with grade change); Outcomes –effective (increased with grade change).&#10;The grades for ‘Recreation’ are Context –effective (stable); Planning – mostly effective (decreased within grade); Inputs – mostly effective (stable); Processes – mostly effective (stable); Outputs – partially effective (decreased with grade change); Outcomes – mostly effective (stable).&#10;The grades for ‘Research activities’ are Context –effective (stable); Planning –effective (increased with grade change); Inputs - effective (increased with grade change); Processes - effective (increased with grade change); Outputs –effective (stable); Outcomes –effective (stable).&#10;The grades for ‘Shipping’ are Context –effective (increased with grade change); Planning - effective (increased with grade change); Inputs - effective (increased with grade change);  Processes - effective (increased with grade change); Outputs – mostly effective (increased within grade); Outcomes –effective (stable).&#10;The grades for ‘Traditional use of marine resources’ are Context – mostly effective (decreased with grade change); Planning – effective (stable); Inputs – mostly effective (stable); Processes – mostly effective (stable); Outputs - effective (increased with grade change); Outcomes –effective (stable). &#10;The grades for ‘Climate change’ are Context – effective (stable); Planning – partially effective (decreasing within grade); Inputs – partially effective (decreasing with grade change); Processes – partially effective (decreasing within grade); Outputs – ineffective (decreasing with grade change) ; Outcomes – ineffective (decreasing within grade). &#10;The grades for ‘Coastal development are Context – mostly effective (stable); Planning – mostly effective (increased with grade change); Inputs – mostly effective (increased with grade change); Processes – mostly effective (increased with grade change); Outputs – mostly effective (increased with grade change); Outcomes – partially effective (increased within grade). &#10;The grades for ‘Land-based run-off’ are Context –effective (stable); Planning –effective (stable); Inputs – effective (increased with grade change); Processes –effective (stable); Outputs - effective (increased within grade); Outcomes – partially effective (stable).&#10;The grades for ‘Biodiversity values’ are Context – mostly effective (decreased with grade change); Planning – mostly effective (stable); Inputs – mostly effective (stable); Processes – mostly effective (stable); Outputs - mostly effective (stable); Outcomes - partially effective (decreased with grade change). &#10;The grades for ‘Heritage values’ are Context – mostly effective (stable); Planning – mostly effective (stable); Inputs - mostly effective (stable); Processes – mostly effective (stable); Outputs – mostly effective (stable); Outcomes – mostly effective (increased within grade). &#10;The grades for ‘Community benefits of the environment’ are Context – mostly effective (increased within grade); Planning – mostly effective (increased within grade);  Inputs – mostly effective (increased with grade change); Processes -mostly effective (increased with grade change); Outputs – mostly effective (stable); Outcomes – mostly effective (stable).&#10;"/>
      </w:tblPr>
      <w:tblGrid>
        <w:gridCol w:w="2046"/>
        <w:gridCol w:w="3111"/>
        <w:gridCol w:w="588"/>
        <w:gridCol w:w="716"/>
        <w:gridCol w:w="716"/>
        <w:gridCol w:w="716"/>
        <w:gridCol w:w="613"/>
        <w:gridCol w:w="510"/>
      </w:tblGrid>
      <w:tr w:rsidR="00A56EE9" w14:paraId="5761CF9D" w14:textId="77777777" w:rsidTr="00BB6AD5">
        <w:trPr>
          <w:trHeight w:val="1216"/>
          <w:tblHeader/>
          <w:jc w:val="right"/>
        </w:trPr>
        <w:tc>
          <w:tcPr>
            <w:tcW w:w="1135" w:type="pct"/>
            <w:tcBorders>
              <w:top w:val="single" w:sz="4" w:space="0" w:color="auto"/>
              <w:left w:val="single" w:sz="4" w:space="0" w:color="auto"/>
              <w:bottom w:val="single" w:sz="4" w:space="0" w:color="auto"/>
              <w:right w:val="single" w:sz="4" w:space="0" w:color="auto"/>
            </w:tcBorders>
          </w:tcPr>
          <w:p w14:paraId="5761CF95" w14:textId="77777777" w:rsidR="00A56EE9" w:rsidRDefault="00A56EE9">
            <w:pPr>
              <w:pStyle w:val="BodyText"/>
              <w:spacing w:after="0"/>
              <w:contextualSpacing/>
              <w:rPr>
                <w:b/>
              </w:rPr>
            </w:pPr>
          </w:p>
        </w:tc>
        <w:tc>
          <w:tcPr>
            <w:tcW w:w="1725" w:type="pct"/>
            <w:tcBorders>
              <w:top w:val="single" w:sz="4" w:space="0" w:color="auto"/>
              <w:left w:val="single" w:sz="4" w:space="0" w:color="auto"/>
              <w:bottom w:val="single" w:sz="4" w:space="0" w:color="auto"/>
              <w:right w:val="single" w:sz="4" w:space="0" w:color="auto"/>
            </w:tcBorders>
            <w:hideMark/>
          </w:tcPr>
          <w:p w14:paraId="5761CF96" w14:textId="77777777" w:rsidR="00A56EE9" w:rsidRDefault="00A56EE9">
            <w:pPr>
              <w:pStyle w:val="BodyText"/>
              <w:spacing w:after="0"/>
              <w:contextualSpacing/>
              <w:rPr>
                <w:b/>
              </w:rPr>
            </w:pPr>
            <w:r>
              <w:rPr>
                <w:b/>
              </w:rPr>
              <w:t>Topic</w:t>
            </w:r>
          </w:p>
        </w:tc>
        <w:tc>
          <w:tcPr>
            <w:tcW w:w="326" w:type="pct"/>
            <w:tcBorders>
              <w:top w:val="single" w:sz="4" w:space="0" w:color="auto"/>
              <w:left w:val="single" w:sz="4" w:space="0" w:color="auto"/>
              <w:bottom w:val="single" w:sz="4" w:space="0" w:color="auto"/>
              <w:right w:val="single" w:sz="4" w:space="0" w:color="auto"/>
            </w:tcBorders>
            <w:textDirection w:val="btLr"/>
            <w:hideMark/>
          </w:tcPr>
          <w:p w14:paraId="5761CF97" w14:textId="77777777" w:rsidR="00A56EE9" w:rsidRDefault="00A56EE9">
            <w:pPr>
              <w:pStyle w:val="BodyText"/>
              <w:spacing w:after="0"/>
              <w:contextualSpacing/>
              <w:rPr>
                <w:b/>
              </w:rPr>
            </w:pPr>
            <w:r>
              <w:rPr>
                <w:b/>
              </w:rPr>
              <w:t>Context</w:t>
            </w:r>
          </w:p>
        </w:tc>
        <w:tc>
          <w:tcPr>
            <w:tcW w:w="397" w:type="pct"/>
            <w:tcBorders>
              <w:top w:val="single" w:sz="4" w:space="0" w:color="auto"/>
              <w:left w:val="single" w:sz="4" w:space="0" w:color="auto"/>
              <w:bottom w:val="single" w:sz="4" w:space="0" w:color="auto"/>
              <w:right w:val="single" w:sz="4" w:space="0" w:color="auto"/>
            </w:tcBorders>
            <w:textDirection w:val="btLr"/>
            <w:hideMark/>
          </w:tcPr>
          <w:p w14:paraId="5761CF98" w14:textId="77777777" w:rsidR="00A56EE9" w:rsidRDefault="00A56EE9">
            <w:pPr>
              <w:pStyle w:val="BodyText"/>
              <w:spacing w:after="0"/>
              <w:contextualSpacing/>
              <w:rPr>
                <w:b/>
              </w:rPr>
            </w:pPr>
            <w:r>
              <w:rPr>
                <w:b/>
              </w:rPr>
              <w:t>Planning</w:t>
            </w:r>
          </w:p>
        </w:tc>
        <w:tc>
          <w:tcPr>
            <w:tcW w:w="397" w:type="pct"/>
            <w:tcBorders>
              <w:top w:val="single" w:sz="4" w:space="0" w:color="auto"/>
              <w:left w:val="single" w:sz="4" w:space="0" w:color="auto"/>
              <w:bottom w:val="single" w:sz="4" w:space="0" w:color="auto"/>
              <w:right w:val="single" w:sz="4" w:space="0" w:color="auto"/>
            </w:tcBorders>
            <w:textDirection w:val="btLr"/>
            <w:hideMark/>
          </w:tcPr>
          <w:p w14:paraId="5761CF99" w14:textId="77777777" w:rsidR="00A56EE9" w:rsidRDefault="00A56EE9">
            <w:pPr>
              <w:pStyle w:val="BodyText"/>
              <w:spacing w:after="0"/>
              <w:contextualSpacing/>
              <w:rPr>
                <w:b/>
              </w:rPr>
            </w:pPr>
            <w:r>
              <w:rPr>
                <w:b/>
              </w:rPr>
              <w:t>Inputs</w:t>
            </w:r>
          </w:p>
        </w:tc>
        <w:tc>
          <w:tcPr>
            <w:tcW w:w="397" w:type="pct"/>
            <w:tcBorders>
              <w:top w:val="single" w:sz="4" w:space="0" w:color="auto"/>
              <w:left w:val="single" w:sz="4" w:space="0" w:color="auto"/>
              <w:bottom w:val="single" w:sz="4" w:space="0" w:color="auto"/>
              <w:right w:val="single" w:sz="4" w:space="0" w:color="auto"/>
            </w:tcBorders>
            <w:textDirection w:val="btLr"/>
            <w:hideMark/>
          </w:tcPr>
          <w:p w14:paraId="5761CF9A" w14:textId="77777777" w:rsidR="00A56EE9" w:rsidRDefault="00A56EE9">
            <w:pPr>
              <w:pStyle w:val="BodyText"/>
              <w:spacing w:after="0"/>
              <w:contextualSpacing/>
              <w:rPr>
                <w:b/>
              </w:rPr>
            </w:pPr>
            <w:r>
              <w:rPr>
                <w:b/>
              </w:rPr>
              <w:t>Processes</w:t>
            </w:r>
          </w:p>
        </w:tc>
        <w:tc>
          <w:tcPr>
            <w:tcW w:w="340" w:type="pct"/>
            <w:tcBorders>
              <w:top w:val="single" w:sz="4" w:space="0" w:color="auto"/>
              <w:left w:val="single" w:sz="4" w:space="0" w:color="auto"/>
              <w:bottom w:val="single" w:sz="4" w:space="0" w:color="auto"/>
              <w:right w:val="single" w:sz="4" w:space="0" w:color="auto"/>
            </w:tcBorders>
            <w:textDirection w:val="btLr"/>
            <w:hideMark/>
          </w:tcPr>
          <w:p w14:paraId="5761CF9B" w14:textId="77777777" w:rsidR="00A56EE9" w:rsidRDefault="00A56EE9">
            <w:pPr>
              <w:pStyle w:val="BodyText"/>
              <w:spacing w:after="0"/>
              <w:contextualSpacing/>
              <w:rPr>
                <w:b/>
              </w:rPr>
            </w:pPr>
            <w:r>
              <w:rPr>
                <w:b/>
              </w:rPr>
              <w:t>Outputs</w:t>
            </w:r>
          </w:p>
        </w:tc>
        <w:tc>
          <w:tcPr>
            <w:tcW w:w="283" w:type="pct"/>
            <w:tcBorders>
              <w:top w:val="single" w:sz="4" w:space="0" w:color="auto"/>
              <w:left w:val="single" w:sz="4" w:space="0" w:color="auto"/>
              <w:bottom w:val="single" w:sz="4" w:space="0" w:color="auto"/>
              <w:right w:val="single" w:sz="4" w:space="0" w:color="auto"/>
            </w:tcBorders>
            <w:textDirection w:val="btLr"/>
            <w:hideMark/>
          </w:tcPr>
          <w:p w14:paraId="5761CF9C" w14:textId="77777777" w:rsidR="00A56EE9" w:rsidRDefault="00A56EE9">
            <w:pPr>
              <w:pStyle w:val="BodyText"/>
              <w:spacing w:after="0"/>
              <w:contextualSpacing/>
              <w:rPr>
                <w:b/>
              </w:rPr>
            </w:pPr>
            <w:r>
              <w:rPr>
                <w:b/>
              </w:rPr>
              <w:t>Outcomes</w:t>
            </w:r>
          </w:p>
        </w:tc>
      </w:tr>
      <w:tr w:rsidR="00A56EE9" w14:paraId="5761CFA6" w14:textId="77777777" w:rsidTr="00BB6AD5">
        <w:trPr>
          <w:trHeight w:val="567"/>
          <w:jc w:val="right"/>
        </w:trPr>
        <w:tc>
          <w:tcPr>
            <w:tcW w:w="1135" w:type="pct"/>
            <w:vMerge w:val="restart"/>
            <w:tcBorders>
              <w:top w:val="single" w:sz="4" w:space="0" w:color="auto"/>
              <w:left w:val="single" w:sz="4" w:space="0" w:color="auto"/>
              <w:bottom w:val="nil"/>
              <w:right w:val="single" w:sz="4" w:space="0" w:color="auto"/>
            </w:tcBorders>
            <w:vAlign w:val="center"/>
            <w:hideMark/>
          </w:tcPr>
          <w:p w14:paraId="5761CF9E" w14:textId="77777777" w:rsidR="00A56EE9" w:rsidRDefault="00A56EE9">
            <w:pPr>
              <w:pStyle w:val="BodyText"/>
              <w:spacing w:after="0"/>
              <w:contextualSpacing/>
              <w:rPr>
                <w:b/>
              </w:rPr>
            </w:pPr>
            <w:r>
              <w:rPr>
                <w:b/>
              </w:rPr>
              <w:t>Managing direct use of the Region</w:t>
            </w:r>
          </w:p>
        </w:tc>
        <w:tc>
          <w:tcPr>
            <w:tcW w:w="1725" w:type="pct"/>
            <w:tcBorders>
              <w:top w:val="single" w:sz="4" w:space="0" w:color="auto"/>
              <w:left w:val="single" w:sz="4" w:space="0" w:color="auto"/>
              <w:bottom w:val="single" w:sz="4" w:space="0" w:color="auto"/>
              <w:right w:val="single" w:sz="4" w:space="0" w:color="auto"/>
            </w:tcBorders>
            <w:vAlign w:val="center"/>
            <w:hideMark/>
          </w:tcPr>
          <w:p w14:paraId="5761CF9F" w14:textId="77777777" w:rsidR="00A56EE9" w:rsidRDefault="00A56EE9">
            <w:pPr>
              <w:pStyle w:val="BodyText"/>
              <w:spacing w:after="0"/>
              <w:contextualSpacing/>
              <w:rPr>
                <w:b/>
              </w:rPr>
            </w:pPr>
            <w:r>
              <w:rPr>
                <w:b/>
              </w:rPr>
              <w:t>Commercial marine tourism</w:t>
            </w:r>
          </w:p>
        </w:tc>
        <w:tc>
          <w:tcPr>
            <w:tcW w:w="326"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A0"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A1"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A2" w14:textId="77777777" w:rsidR="00A56EE9" w:rsidRDefault="00A56EE9">
            <w:pPr>
              <w:pStyle w:val="BodyText"/>
              <w:spacing w:after="0"/>
              <w:contextualSpacing/>
              <w:jc w:val="center"/>
              <w:rPr>
                <w:rFonts w:ascii="Cambria Math" w:hAnsi="Cambria Math"/>
                <w:b/>
                <w:sz w:val="24"/>
                <w:szCs w:val="24"/>
              </w:rPr>
            </w:pPr>
            <w:r>
              <w:rPr>
                <w:rFonts w:ascii="Cambria Math" w:hAnsi="Cambria Math"/>
                <w:b/>
                <w:sz w:val="24"/>
                <w:szCs w:val="24"/>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A3"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40"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A4"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283"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A5"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r>
      <w:tr w:rsidR="00A56EE9" w14:paraId="5761CFAF" w14:textId="77777777" w:rsidTr="00BB6AD5">
        <w:trPr>
          <w:trHeight w:val="567"/>
          <w:jc w:val="right"/>
        </w:trPr>
        <w:tc>
          <w:tcPr>
            <w:tcW w:w="0" w:type="auto"/>
            <w:vMerge/>
            <w:tcBorders>
              <w:top w:val="single" w:sz="4" w:space="0" w:color="auto"/>
              <w:left w:val="single" w:sz="4" w:space="0" w:color="auto"/>
              <w:bottom w:val="nil"/>
              <w:right w:val="single" w:sz="4" w:space="0" w:color="auto"/>
            </w:tcBorders>
            <w:vAlign w:val="center"/>
            <w:hideMark/>
          </w:tcPr>
          <w:p w14:paraId="5761CFA7" w14:textId="77777777" w:rsidR="00A56EE9" w:rsidRDefault="00A56EE9">
            <w:pPr>
              <w:rPr>
                <w:b/>
                <w:sz w:val="22"/>
                <w:szCs w:val="22"/>
              </w:rPr>
            </w:pPr>
          </w:p>
        </w:tc>
        <w:tc>
          <w:tcPr>
            <w:tcW w:w="1725" w:type="pct"/>
            <w:tcBorders>
              <w:top w:val="single" w:sz="4" w:space="0" w:color="auto"/>
              <w:left w:val="single" w:sz="4" w:space="0" w:color="auto"/>
              <w:bottom w:val="single" w:sz="4" w:space="0" w:color="auto"/>
              <w:right w:val="single" w:sz="4" w:space="0" w:color="auto"/>
            </w:tcBorders>
            <w:vAlign w:val="center"/>
            <w:hideMark/>
          </w:tcPr>
          <w:p w14:paraId="5761CFA8" w14:textId="77777777" w:rsidR="00A56EE9" w:rsidRDefault="00A56EE9">
            <w:pPr>
              <w:pStyle w:val="BodyText"/>
              <w:spacing w:after="0"/>
              <w:contextualSpacing/>
              <w:rPr>
                <w:b/>
                <w:sz w:val="22"/>
                <w:szCs w:val="22"/>
              </w:rPr>
            </w:pPr>
            <w:r>
              <w:rPr>
                <w:b/>
              </w:rPr>
              <w:t>Defence activities</w:t>
            </w:r>
          </w:p>
        </w:tc>
        <w:tc>
          <w:tcPr>
            <w:tcW w:w="326"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A9"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AA"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AB"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AC"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40"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AD"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283"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AE"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r>
      <w:tr w:rsidR="00A56EE9" w14:paraId="5761CFB8" w14:textId="77777777" w:rsidTr="00BB6AD5">
        <w:trPr>
          <w:trHeight w:val="567"/>
          <w:jc w:val="right"/>
        </w:trPr>
        <w:tc>
          <w:tcPr>
            <w:tcW w:w="0" w:type="auto"/>
            <w:vMerge/>
            <w:tcBorders>
              <w:top w:val="single" w:sz="4" w:space="0" w:color="auto"/>
              <w:left w:val="single" w:sz="4" w:space="0" w:color="auto"/>
              <w:bottom w:val="nil"/>
              <w:right w:val="single" w:sz="4" w:space="0" w:color="auto"/>
            </w:tcBorders>
            <w:vAlign w:val="center"/>
            <w:hideMark/>
          </w:tcPr>
          <w:p w14:paraId="5761CFB0" w14:textId="77777777" w:rsidR="00A56EE9" w:rsidRDefault="00A56EE9">
            <w:pPr>
              <w:rPr>
                <w:b/>
                <w:sz w:val="22"/>
                <w:szCs w:val="22"/>
              </w:rPr>
            </w:pPr>
          </w:p>
        </w:tc>
        <w:tc>
          <w:tcPr>
            <w:tcW w:w="1725" w:type="pct"/>
            <w:tcBorders>
              <w:top w:val="single" w:sz="4" w:space="0" w:color="auto"/>
              <w:left w:val="single" w:sz="4" w:space="0" w:color="auto"/>
              <w:bottom w:val="single" w:sz="4" w:space="0" w:color="auto"/>
              <w:right w:val="single" w:sz="4" w:space="0" w:color="auto"/>
            </w:tcBorders>
            <w:vAlign w:val="center"/>
            <w:hideMark/>
          </w:tcPr>
          <w:p w14:paraId="5761CFB1" w14:textId="77777777" w:rsidR="00A56EE9" w:rsidRDefault="00A56EE9">
            <w:pPr>
              <w:pStyle w:val="BodyText"/>
              <w:spacing w:after="0"/>
              <w:contextualSpacing/>
              <w:rPr>
                <w:b/>
                <w:sz w:val="22"/>
                <w:szCs w:val="22"/>
              </w:rPr>
            </w:pPr>
            <w:r>
              <w:rPr>
                <w:b/>
              </w:rPr>
              <w:t xml:space="preserve">Fishing </w:t>
            </w:r>
          </w:p>
        </w:tc>
        <w:tc>
          <w:tcPr>
            <w:tcW w:w="326"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B2"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B3"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B4"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B5"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40"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B6"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283" w:type="pct"/>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CFB7"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r>
      <w:tr w:rsidR="00A56EE9" w14:paraId="5761CFC1" w14:textId="77777777" w:rsidTr="00BB6AD5">
        <w:trPr>
          <w:trHeight w:val="567"/>
          <w:jc w:val="right"/>
        </w:trPr>
        <w:tc>
          <w:tcPr>
            <w:tcW w:w="0" w:type="auto"/>
            <w:vMerge/>
            <w:tcBorders>
              <w:top w:val="single" w:sz="4" w:space="0" w:color="auto"/>
              <w:left w:val="single" w:sz="4" w:space="0" w:color="auto"/>
              <w:bottom w:val="nil"/>
              <w:right w:val="single" w:sz="4" w:space="0" w:color="auto"/>
            </w:tcBorders>
            <w:vAlign w:val="center"/>
            <w:hideMark/>
          </w:tcPr>
          <w:p w14:paraId="5761CFB9" w14:textId="77777777" w:rsidR="00A56EE9" w:rsidRDefault="00A56EE9">
            <w:pPr>
              <w:rPr>
                <w:b/>
                <w:sz w:val="22"/>
                <w:szCs w:val="22"/>
              </w:rPr>
            </w:pPr>
          </w:p>
        </w:tc>
        <w:tc>
          <w:tcPr>
            <w:tcW w:w="1725" w:type="pct"/>
            <w:tcBorders>
              <w:top w:val="single" w:sz="4" w:space="0" w:color="auto"/>
              <w:left w:val="single" w:sz="4" w:space="0" w:color="auto"/>
              <w:bottom w:val="single" w:sz="4" w:space="0" w:color="auto"/>
              <w:right w:val="single" w:sz="4" w:space="0" w:color="auto"/>
            </w:tcBorders>
            <w:vAlign w:val="center"/>
            <w:hideMark/>
          </w:tcPr>
          <w:p w14:paraId="5761CFBA" w14:textId="77777777" w:rsidR="00A56EE9" w:rsidRDefault="00A56EE9">
            <w:pPr>
              <w:pStyle w:val="BodyText"/>
              <w:spacing w:after="0"/>
              <w:contextualSpacing/>
              <w:rPr>
                <w:b/>
                <w:sz w:val="22"/>
                <w:szCs w:val="22"/>
              </w:rPr>
            </w:pPr>
            <w:r>
              <w:rPr>
                <w:b/>
              </w:rPr>
              <w:t>Ports</w:t>
            </w:r>
          </w:p>
        </w:tc>
        <w:tc>
          <w:tcPr>
            <w:tcW w:w="326"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BB"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BC"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BD" w14:textId="77777777" w:rsidR="00A56EE9" w:rsidRDefault="00A56EE9">
            <w:pPr>
              <w:pStyle w:val="BodyText"/>
              <w:spacing w:after="0"/>
              <w:contextualSpacing/>
              <w:jc w:val="center"/>
              <w:rPr>
                <w:rFonts w:ascii="Cambria Math" w:hAnsi="Cambria Math"/>
                <w:b/>
                <w:sz w:val="24"/>
                <w:szCs w:val="24"/>
              </w:rPr>
            </w:pPr>
            <w:r>
              <w:rPr>
                <w:rFonts w:ascii="Segoe UI Symbol" w:hAnsi="Segoe UI Symbol"/>
                <w:b/>
                <w:sz w:val="24"/>
                <w:szCs w:val="24"/>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BE"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40"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BF"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283"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C0"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r>
      <w:tr w:rsidR="00A56EE9" w14:paraId="5761CFCA" w14:textId="77777777" w:rsidTr="00BB6AD5">
        <w:trPr>
          <w:trHeight w:val="567"/>
          <w:jc w:val="right"/>
        </w:trPr>
        <w:tc>
          <w:tcPr>
            <w:tcW w:w="0" w:type="auto"/>
            <w:vMerge/>
            <w:tcBorders>
              <w:top w:val="single" w:sz="4" w:space="0" w:color="auto"/>
              <w:left w:val="single" w:sz="4" w:space="0" w:color="auto"/>
              <w:bottom w:val="nil"/>
              <w:right w:val="single" w:sz="4" w:space="0" w:color="auto"/>
            </w:tcBorders>
            <w:vAlign w:val="center"/>
            <w:hideMark/>
          </w:tcPr>
          <w:p w14:paraId="5761CFC2" w14:textId="77777777" w:rsidR="00A56EE9" w:rsidRDefault="00A56EE9">
            <w:pPr>
              <w:rPr>
                <w:b/>
                <w:sz w:val="22"/>
                <w:szCs w:val="22"/>
              </w:rPr>
            </w:pPr>
          </w:p>
        </w:tc>
        <w:tc>
          <w:tcPr>
            <w:tcW w:w="1725" w:type="pct"/>
            <w:tcBorders>
              <w:top w:val="single" w:sz="4" w:space="0" w:color="auto"/>
              <w:left w:val="single" w:sz="4" w:space="0" w:color="auto"/>
              <w:bottom w:val="single" w:sz="4" w:space="0" w:color="auto"/>
              <w:right w:val="single" w:sz="4" w:space="0" w:color="auto"/>
            </w:tcBorders>
            <w:vAlign w:val="center"/>
            <w:hideMark/>
          </w:tcPr>
          <w:p w14:paraId="5761CFC3" w14:textId="77777777" w:rsidR="00A56EE9" w:rsidRDefault="00A56EE9">
            <w:pPr>
              <w:pStyle w:val="BodyText"/>
              <w:spacing w:after="0"/>
              <w:contextualSpacing/>
              <w:rPr>
                <w:b/>
                <w:sz w:val="22"/>
                <w:szCs w:val="22"/>
              </w:rPr>
            </w:pPr>
            <w:r>
              <w:rPr>
                <w:b/>
              </w:rPr>
              <w:t>Recreation</w:t>
            </w:r>
          </w:p>
        </w:tc>
        <w:tc>
          <w:tcPr>
            <w:tcW w:w="326"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C4"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C5" w14:textId="77777777" w:rsidR="00A56EE9" w:rsidRDefault="00A56EE9">
            <w:pPr>
              <w:pStyle w:val="BodyText"/>
              <w:spacing w:after="0"/>
              <w:contextualSpacing/>
              <w:jc w:val="center"/>
              <w:rPr>
                <w:rFonts w:ascii="Cambria Math" w:hAnsi="Cambria Math"/>
                <w:b/>
                <w:sz w:val="24"/>
                <w:szCs w:val="24"/>
              </w:rPr>
            </w:pPr>
            <w:r>
              <w:rPr>
                <w:rFonts w:ascii="Cambria Math" w:hAnsi="Cambria Math"/>
                <w:b/>
                <w:sz w:val="24"/>
                <w:szCs w:val="24"/>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C6"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C7"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40" w:type="pct"/>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CFC8"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283"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C9"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r>
      <w:tr w:rsidR="00A56EE9" w14:paraId="5761CFD3" w14:textId="77777777" w:rsidTr="00BB6AD5">
        <w:trPr>
          <w:trHeight w:val="567"/>
          <w:jc w:val="right"/>
        </w:trPr>
        <w:tc>
          <w:tcPr>
            <w:tcW w:w="0" w:type="auto"/>
            <w:vMerge/>
            <w:tcBorders>
              <w:top w:val="single" w:sz="4" w:space="0" w:color="auto"/>
              <w:left w:val="single" w:sz="4" w:space="0" w:color="auto"/>
              <w:bottom w:val="nil"/>
              <w:right w:val="single" w:sz="4" w:space="0" w:color="auto"/>
            </w:tcBorders>
            <w:vAlign w:val="center"/>
            <w:hideMark/>
          </w:tcPr>
          <w:p w14:paraId="5761CFCB" w14:textId="77777777" w:rsidR="00A56EE9" w:rsidRDefault="00A56EE9">
            <w:pPr>
              <w:rPr>
                <w:b/>
                <w:sz w:val="22"/>
                <w:szCs w:val="22"/>
              </w:rPr>
            </w:pPr>
          </w:p>
        </w:tc>
        <w:tc>
          <w:tcPr>
            <w:tcW w:w="1725" w:type="pct"/>
            <w:tcBorders>
              <w:top w:val="single" w:sz="4" w:space="0" w:color="auto"/>
              <w:left w:val="single" w:sz="4" w:space="0" w:color="auto"/>
              <w:bottom w:val="single" w:sz="4" w:space="0" w:color="auto"/>
              <w:right w:val="single" w:sz="4" w:space="0" w:color="auto"/>
            </w:tcBorders>
            <w:vAlign w:val="center"/>
            <w:hideMark/>
          </w:tcPr>
          <w:p w14:paraId="5761CFCC" w14:textId="77777777" w:rsidR="00A56EE9" w:rsidRDefault="00A56EE9">
            <w:pPr>
              <w:pStyle w:val="BodyText"/>
              <w:spacing w:after="0"/>
              <w:contextualSpacing/>
              <w:rPr>
                <w:b/>
                <w:sz w:val="22"/>
                <w:szCs w:val="22"/>
              </w:rPr>
            </w:pPr>
            <w:r>
              <w:rPr>
                <w:b/>
              </w:rPr>
              <w:t>Research activities</w:t>
            </w:r>
          </w:p>
        </w:tc>
        <w:tc>
          <w:tcPr>
            <w:tcW w:w="326"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CD"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CE"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CF"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D0"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40"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D1"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283"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D2"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r>
              <w:rPr>
                <w:rFonts w:ascii="Cambria Math" w:eastAsiaTheme="minorHAnsi" w:hAnsi="Cambria Math" w:cstheme="minorBidi"/>
                <w:b/>
                <w:sz w:val="24"/>
                <w:szCs w:val="24"/>
                <w:lang w:eastAsia="en-US"/>
              </w:rPr>
              <w:t xml:space="preserve"> </w:t>
            </w:r>
          </w:p>
        </w:tc>
      </w:tr>
    </w:tbl>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1 Summary of assessment results"/>
        <w:tblDescription w:val="Table summarising the results of the managment effectiveness ratings for the six elements of the managment effectiveness framework for 14 management topics. The table also shows trends in the rating since 2014. "/>
      </w:tblPr>
      <w:tblGrid>
        <w:gridCol w:w="2046"/>
        <w:gridCol w:w="3111"/>
        <w:gridCol w:w="588"/>
        <w:gridCol w:w="716"/>
        <w:gridCol w:w="716"/>
        <w:gridCol w:w="716"/>
        <w:gridCol w:w="613"/>
        <w:gridCol w:w="510"/>
      </w:tblGrid>
      <w:tr w:rsidR="00A56EE9" w14:paraId="5761CFDC" w14:textId="77777777" w:rsidTr="00BB6AD5">
        <w:trPr>
          <w:trHeight w:val="567"/>
          <w:jc w:val="right"/>
        </w:trPr>
        <w:tc>
          <w:tcPr>
            <w:tcW w:w="1135" w:type="pct"/>
            <w:vMerge w:val="restart"/>
            <w:tcBorders>
              <w:top w:val="nil"/>
              <w:left w:val="single" w:sz="4" w:space="0" w:color="auto"/>
              <w:bottom w:val="single" w:sz="4" w:space="0" w:color="auto"/>
              <w:right w:val="single" w:sz="4" w:space="0" w:color="auto"/>
            </w:tcBorders>
            <w:vAlign w:val="center"/>
          </w:tcPr>
          <w:p w14:paraId="5761CFD4" w14:textId="77777777" w:rsidR="00A56EE9" w:rsidRDefault="00A56EE9">
            <w:pPr>
              <w:pStyle w:val="BodyText"/>
              <w:spacing w:after="0"/>
              <w:contextualSpacing/>
              <w:rPr>
                <w:b/>
              </w:rPr>
            </w:pPr>
          </w:p>
        </w:tc>
        <w:tc>
          <w:tcPr>
            <w:tcW w:w="1725" w:type="pct"/>
            <w:tcBorders>
              <w:top w:val="single" w:sz="4" w:space="0" w:color="auto"/>
              <w:left w:val="single" w:sz="4" w:space="0" w:color="auto"/>
              <w:bottom w:val="single" w:sz="4" w:space="0" w:color="auto"/>
              <w:right w:val="single" w:sz="4" w:space="0" w:color="auto"/>
            </w:tcBorders>
            <w:vAlign w:val="center"/>
            <w:hideMark/>
          </w:tcPr>
          <w:p w14:paraId="5761CFD5" w14:textId="77777777" w:rsidR="00A56EE9" w:rsidRDefault="00A56EE9">
            <w:pPr>
              <w:pStyle w:val="BodyText"/>
              <w:spacing w:after="0"/>
              <w:contextualSpacing/>
              <w:rPr>
                <w:b/>
              </w:rPr>
            </w:pPr>
            <w:r>
              <w:rPr>
                <w:b/>
              </w:rPr>
              <w:t>Shipping</w:t>
            </w:r>
          </w:p>
        </w:tc>
        <w:tc>
          <w:tcPr>
            <w:tcW w:w="326"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D6"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D7"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D8"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D9"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40"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DA" w14:textId="77777777" w:rsidR="00A56EE9" w:rsidRDefault="00A56EE9">
            <w:pPr>
              <w:pStyle w:val="BodyText"/>
              <w:spacing w:after="0"/>
              <w:contextualSpacing/>
              <w:jc w:val="center"/>
              <w:rPr>
                <w:rFonts w:ascii="Cambria Math" w:hAnsi="Cambria Math"/>
                <w:b/>
                <w:sz w:val="24"/>
                <w:szCs w:val="24"/>
              </w:rPr>
            </w:pPr>
            <w:r>
              <w:rPr>
                <w:rFonts w:ascii="Segoe UI Symbol" w:hAnsi="Segoe UI Symbol"/>
                <w:b/>
                <w:sz w:val="24"/>
                <w:szCs w:val="24"/>
              </w:rPr>
              <w:t>↗</w:t>
            </w:r>
          </w:p>
        </w:tc>
        <w:tc>
          <w:tcPr>
            <w:tcW w:w="283"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DB"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r>
      <w:tr w:rsidR="00A56EE9" w14:paraId="5761CFE5" w14:textId="77777777" w:rsidTr="00BB6AD5">
        <w:trPr>
          <w:trHeight w:val="567"/>
          <w:jc w:val="right"/>
        </w:trPr>
        <w:tc>
          <w:tcPr>
            <w:tcW w:w="0" w:type="auto"/>
            <w:vMerge/>
            <w:tcBorders>
              <w:top w:val="nil"/>
              <w:left w:val="single" w:sz="4" w:space="0" w:color="auto"/>
              <w:bottom w:val="single" w:sz="4" w:space="0" w:color="auto"/>
              <w:right w:val="single" w:sz="4" w:space="0" w:color="auto"/>
            </w:tcBorders>
            <w:vAlign w:val="center"/>
            <w:hideMark/>
          </w:tcPr>
          <w:p w14:paraId="5761CFDD" w14:textId="77777777" w:rsidR="00A56EE9" w:rsidRDefault="00A56EE9">
            <w:pPr>
              <w:rPr>
                <w:b/>
              </w:rPr>
            </w:pPr>
          </w:p>
        </w:tc>
        <w:tc>
          <w:tcPr>
            <w:tcW w:w="1725" w:type="pct"/>
            <w:tcBorders>
              <w:top w:val="single" w:sz="4" w:space="0" w:color="auto"/>
              <w:left w:val="single" w:sz="4" w:space="0" w:color="auto"/>
              <w:bottom w:val="single" w:sz="4" w:space="0" w:color="auto"/>
              <w:right w:val="single" w:sz="4" w:space="0" w:color="auto"/>
            </w:tcBorders>
            <w:vAlign w:val="center"/>
            <w:hideMark/>
          </w:tcPr>
          <w:p w14:paraId="5761CFDE" w14:textId="77777777" w:rsidR="00A56EE9" w:rsidRDefault="00A56EE9">
            <w:pPr>
              <w:pStyle w:val="BodyText"/>
              <w:spacing w:after="0"/>
              <w:contextualSpacing/>
              <w:rPr>
                <w:b/>
              </w:rPr>
            </w:pPr>
            <w:r>
              <w:rPr>
                <w:b/>
              </w:rPr>
              <w:t xml:space="preserve">Traditional use of marine resources </w:t>
            </w:r>
          </w:p>
        </w:tc>
        <w:tc>
          <w:tcPr>
            <w:tcW w:w="326" w:type="pct"/>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CFDF"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E0"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E1"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E2"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40"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E3"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283"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E4"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bookmarkStart w:id="8" w:name="_GoBack"/>
        <w:bookmarkEnd w:id="8"/>
      </w:tr>
    </w:tbl>
    <w:tbl>
      <w:tblPr>
        <w:tblStyle w:val="TableGrid"/>
        <w:tblW w:w="5000" w:type="pct"/>
        <w:jc w:val="right"/>
        <w:tblLook w:val="04A0" w:firstRow="1" w:lastRow="0" w:firstColumn="1" w:lastColumn="0" w:noHBand="0" w:noVBand="1"/>
        <w:tblCaption w:val="Table 1 Summary of assessment results"/>
      </w:tblPr>
      <w:tblGrid>
        <w:gridCol w:w="2046"/>
        <w:gridCol w:w="3111"/>
        <w:gridCol w:w="588"/>
        <w:gridCol w:w="716"/>
        <w:gridCol w:w="716"/>
        <w:gridCol w:w="716"/>
        <w:gridCol w:w="613"/>
        <w:gridCol w:w="510"/>
      </w:tblGrid>
      <w:tr w:rsidR="00A56EE9" w14:paraId="5761CFEE" w14:textId="77777777" w:rsidTr="00207A38">
        <w:trPr>
          <w:trHeight w:val="567"/>
          <w:tblHeader/>
          <w:jc w:val="right"/>
        </w:trPr>
        <w:tc>
          <w:tcPr>
            <w:tcW w:w="1135" w:type="pct"/>
            <w:vMerge w:val="restart"/>
            <w:tcBorders>
              <w:top w:val="single" w:sz="4" w:space="0" w:color="auto"/>
              <w:left w:val="single" w:sz="4" w:space="0" w:color="auto"/>
              <w:bottom w:val="single" w:sz="4" w:space="0" w:color="auto"/>
              <w:right w:val="single" w:sz="4" w:space="0" w:color="auto"/>
            </w:tcBorders>
            <w:vAlign w:val="center"/>
            <w:hideMark/>
          </w:tcPr>
          <w:p w14:paraId="5761CFE6" w14:textId="77777777" w:rsidR="00A56EE9" w:rsidRDefault="00A56EE9">
            <w:pPr>
              <w:pStyle w:val="BodyText"/>
              <w:spacing w:after="0"/>
              <w:contextualSpacing/>
              <w:rPr>
                <w:b/>
                <w:sz w:val="22"/>
                <w:szCs w:val="22"/>
              </w:rPr>
            </w:pPr>
            <w:r>
              <w:rPr>
                <w:b/>
              </w:rPr>
              <w:t>Managing external factors influencing the Region</w:t>
            </w:r>
          </w:p>
        </w:tc>
        <w:tc>
          <w:tcPr>
            <w:tcW w:w="1725" w:type="pct"/>
            <w:tcBorders>
              <w:top w:val="single" w:sz="4" w:space="0" w:color="auto"/>
              <w:left w:val="single" w:sz="4" w:space="0" w:color="auto"/>
              <w:bottom w:val="single" w:sz="4" w:space="0" w:color="auto"/>
              <w:right w:val="single" w:sz="4" w:space="0" w:color="auto"/>
            </w:tcBorders>
            <w:vAlign w:val="center"/>
            <w:hideMark/>
          </w:tcPr>
          <w:p w14:paraId="5761CFE7" w14:textId="77777777" w:rsidR="00A56EE9" w:rsidRDefault="00A56EE9">
            <w:pPr>
              <w:pStyle w:val="BodyText"/>
              <w:spacing w:after="0"/>
              <w:contextualSpacing/>
              <w:rPr>
                <w:b/>
              </w:rPr>
            </w:pPr>
            <w:r>
              <w:rPr>
                <w:b/>
              </w:rPr>
              <w:t>Climate change</w:t>
            </w:r>
          </w:p>
        </w:tc>
        <w:tc>
          <w:tcPr>
            <w:tcW w:w="326"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E8"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CFE9"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CFEA"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CFEB" w14:textId="77777777" w:rsidR="00A56EE9" w:rsidRDefault="00A56EE9">
            <w:pPr>
              <w:pStyle w:val="BodyText"/>
              <w:spacing w:after="0"/>
              <w:ind w:left="284"/>
              <w:contextualSpacing/>
              <w:rPr>
                <w:rFonts w:ascii="Cambria Math" w:hAnsi="Cambria Math"/>
                <w:b/>
                <w:sz w:val="24"/>
                <w:szCs w:val="24"/>
              </w:rPr>
            </w:pPr>
            <w:r>
              <w:rPr>
                <w:rFonts w:ascii="Cambria Math" w:hAnsi="Cambria Math" w:cs="Cambria Math"/>
                <w:b/>
              </w:rPr>
              <w:t>↘</w:t>
            </w:r>
          </w:p>
        </w:tc>
        <w:tc>
          <w:tcPr>
            <w:tcW w:w="340" w:type="pct"/>
            <w:tcBorders>
              <w:top w:val="single" w:sz="4" w:space="0" w:color="auto"/>
              <w:left w:val="single" w:sz="4" w:space="0" w:color="auto"/>
              <w:bottom w:val="single" w:sz="4" w:space="0" w:color="auto"/>
              <w:right w:val="single" w:sz="4" w:space="0" w:color="auto"/>
            </w:tcBorders>
            <w:shd w:val="clear" w:color="auto" w:fill="FF0000"/>
            <w:vAlign w:val="center"/>
            <w:hideMark/>
          </w:tcPr>
          <w:p w14:paraId="5761CFEC" w14:textId="77777777" w:rsidR="00A56EE9" w:rsidRDefault="00A56EE9" w:rsidP="00BB6AD5">
            <w:pPr>
              <w:pStyle w:val="BodyText"/>
              <w:spacing w:after="0"/>
              <w:contextualSpacing/>
              <w:jc w:val="center"/>
              <w:rPr>
                <w:rFonts w:ascii="Cambria Math" w:hAnsi="Cambria Math"/>
                <w:b/>
                <w:sz w:val="24"/>
                <w:szCs w:val="24"/>
              </w:rPr>
            </w:pPr>
            <w:r>
              <w:rPr>
                <w:rFonts w:ascii="Cambria Math" w:hAnsi="Cambria Math" w:cs="Cambria Math"/>
              </w:rPr>
              <w:t>⬇</w:t>
            </w:r>
          </w:p>
        </w:tc>
        <w:tc>
          <w:tcPr>
            <w:tcW w:w="283" w:type="pct"/>
            <w:tcBorders>
              <w:top w:val="single" w:sz="4" w:space="0" w:color="auto"/>
              <w:left w:val="single" w:sz="4" w:space="0" w:color="auto"/>
              <w:bottom w:val="single" w:sz="4" w:space="0" w:color="auto"/>
              <w:right w:val="single" w:sz="4" w:space="0" w:color="auto"/>
            </w:tcBorders>
            <w:shd w:val="clear" w:color="auto" w:fill="FF0000"/>
            <w:vAlign w:val="center"/>
            <w:hideMark/>
          </w:tcPr>
          <w:p w14:paraId="5761CFED"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r>
      <w:tr w:rsidR="00A56EE9" w14:paraId="5761CFF7" w14:textId="77777777" w:rsidTr="00207A38">
        <w:trPr>
          <w:trHeight w:val="567"/>
          <w:tblHeader/>
          <w:jc w:val="righ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761CFEF" w14:textId="77777777" w:rsidR="00A56EE9" w:rsidRDefault="00A56EE9">
            <w:pPr>
              <w:rPr>
                <w:b/>
                <w:sz w:val="22"/>
                <w:szCs w:val="22"/>
              </w:rPr>
            </w:pPr>
          </w:p>
        </w:tc>
        <w:tc>
          <w:tcPr>
            <w:tcW w:w="1725" w:type="pct"/>
            <w:tcBorders>
              <w:top w:val="single" w:sz="4" w:space="0" w:color="auto"/>
              <w:left w:val="single" w:sz="4" w:space="0" w:color="auto"/>
              <w:bottom w:val="single" w:sz="4" w:space="0" w:color="auto"/>
              <w:right w:val="single" w:sz="4" w:space="0" w:color="auto"/>
            </w:tcBorders>
            <w:vAlign w:val="center"/>
            <w:hideMark/>
          </w:tcPr>
          <w:p w14:paraId="5761CFF0" w14:textId="77777777" w:rsidR="00A56EE9" w:rsidRDefault="00A56EE9">
            <w:pPr>
              <w:pStyle w:val="BodyText"/>
              <w:spacing w:after="0"/>
              <w:contextualSpacing/>
              <w:rPr>
                <w:b/>
                <w:sz w:val="22"/>
                <w:szCs w:val="22"/>
              </w:rPr>
            </w:pPr>
            <w:r>
              <w:rPr>
                <w:b/>
              </w:rPr>
              <w:t>Coastal development</w:t>
            </w:r>
          </w:p>
        </w:tc>
        <w:tc>
          <w:tcPr>
            <w:tcW w:w="326"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F1"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F2"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F3"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F4"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40"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CFF5"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283" w:type="pct"/>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CFF6" w14:textId="77777777" w:rsidR="00A56EE9" w:rsidRDefault="00A56EE9">
            <w:pPr>
              <w:pStyle w:val="BodyText"/>
              <w:spacing w:after="0"/>
              <w:contextualSpacing/>
              <w:jc w:val="center"/>
              <w:rPr>
                <w:rFonts w:ascii="Cambria Math" w:hAnsi="Cambria Math"/>
                <w:b/>
                <w:sz w:val="24"/>
                <w:szCs w:val="24"/>
              </w:rPr>
            </w:pPr>
            <w:r>
              <w:rPr>
                <w:rFonts w:ascii="Cambria Math" w:hAnsi="Cambria Math"/>
                <w:b/>
                <w:sz w:val="24"/>
                <w:szCs w:val="24"/>
              </w:rPr>
              <w:t>↗</w:t>
            </w:r>
          </w:p>
        </w:tc>
      </w:tr>
      <w:tr w:rsidR="00A56EE9" w14:paraId="5761D000" w14:textId="77777777" w:rsidTr="00207A38">
        <w:trPr>
          <w:trHeight w:val="567"/>
          <w:tblHeader/>
          <w:jc w:val="righ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761CFF8" w14:textId="77777777" w:rsidR="00A56EE9" w:rsidRDefault="00A56EE9">
            <w:pPr>
              <w:rPr>
                <w:b/>
                <w:sz w:val="22"/>
                <w:szCs w:val="22"/>
              </w:rPr>
            </w:pPr>
          </w:p>
        </w:tc>
        <w:tc>
          <w:tcPr>
            <w:tcW w:w="1725" w:type="pct"/>
            <w:tcBorders>
              <w:top w:val="single" w:sz="4" w:space="0" w:color="auto"/>
              <w:left w:val="single" w:sz="4" w:space="0" w:color="auto"/>
              <w:bottom w:val="single" w:sz="4" w:space="0" w:color="auto"/>
              <w:right w:val="single" w:sz="4" w:space="0" w:color="auto"/>
            </w:tcBorders>
            <w:vAlign w:val="center"/>
            <w:hideMark/>
          </w:tcPr>
          <w:p w14:paraId="5761CFF9" w14:textId="77777777" w:rsidR="00A56EE9" w:rsidRDefault="00A56EE9">
            <w:pPr>
              <w:pStyle w:val="BodyText"/>
              <w:spacing w:after="0"/>
              <w:contextualSpacing/>
              <w:rPr>
                <w:b/>
                <w:sz w:val="22"/>
                <w:szCs w:val="22"/>
              </w:rPr>
            </w:pPr>
            <w:r>
              <w:rPr>
                <w:b/>
              </w:rPr>
              <w:t>Land-based run-off</w:t>
            </w:r>
          </w:p>
        </w:tc>
        <w:tc>
          <w:tcPr>
            <w:tcW w:w="326"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FA"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FB"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FC"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FD"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40" w:type="pct"/>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CFFE"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283" w:type="pct"/>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CFFF"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r>
      <w:tr w:rsidR="00A56EE9" w14:paraId="5761D009" w14:textId="77777777" w:rsidTr="00BB6AD5">
        <w:trPr>
          <w:trHeight w:val="567"/>
          <w:jc w:val="right"/>
        </w:trPr>
        <w:tc>
          <w:tcPr>
            <w:tcW w:w="1135" w:type="pct"/>
            <w:vMerge w:val="restart"/>
            <w:tcBorders>
              <w:top w:val="single" w:sz="4" w:space="0" w:color="auto"/>
              <w:left w:val="single" w:sz="4" w:space="0" w:color="auto"/>
              <w:bottom w:val="single" w:sz="4" w:space="0" w:color="auto"/>
              <w:right w:val="single" w:sz="4" w:space="0" w:color="auto"/>
            </w:tcBorders>
            <w:vAlign w:val="center"/>
            <w:hideMark/>
          </w:tcPr>
          <w:p w14:paraId="5761D001" w14:textId="77777777" w:rsidR="00A56EE9" w:rsidRDefault="00A56EE9">
            <w:pPr>
              <w:pStyle w:val="BodyText"/>
              <w:spacing w:after="0"/>
              <w:contextualSpacing/>
              <w:rPr>
                <w:b/>
                <w:sz w:val="22"/>
                <w:szCs w:val="22"/>
              </w:rPr>
            </w:pPr>
            <w:r>
              <w:rPr>
                <w:b/>
              </w:rPr>
              <w:t>Managing to protect the Region’s values</w:t>
            </w:r>
          </w:p>
        </w:tc>
        <w:tc>
          <w:tcPr>
            <w:tcW w:w="1725" w:type="pct"/>
            <w:tcBorders>
              <w:top w:val="single" w:sz="4" w:space="0" w:color="auto"/>
              <w:left w:val="single" w:sz="4" w:space="0" w:color="auto"/>
              <w:bottom w:val="single" w:sz="4" w:space="0" w:color="auto"/>
              <w:right w:val="single" w:sz="4" w:space="0" w:color="auto"/>
            </w:tcBorders>
            <w:vAlign w:val="center"/>
            <w:hideMark/>
          </w:tcPr>
          <w:p w14:paraId="5761D002" w14:textId="77777777" w:rsidR="00A56EE9" w:rsidRDefault="00A56EE9">
            <w:pPr>
              <w:pStyle w:val="BodyText"/>
              <w:spacing w:after="0"/>
              <w:contextualSpacing/>
              <w:rPr>
                <w:b/>
              </w:rPr>
            </w:pPr>
            <w:r>
              <w:rPr>
                <w:b/>
              </w:rPr>
              <w:t>Biodiversity values</w:t>
            </w:r>
          </w:p>
        </w:tc>
        <w:tc>
          <w:tcPr>
            <w:tcW w:w="326"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03"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04"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05"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06"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40"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07"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283" w:type="pct"/>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D008"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rPr>
              <w:t>⬇</w:t>
            </w:r>
          </w:p>
        </w:tc>
      </w:tr>
      <w:tr w:rsidR="00A56EE9" w14:paraId="5761D012" w14:textId="77777777" w:rsidTr="00BB6AD5">
        <w:trPr>
          <w:trHeight w:val="567"/>
          <w:jc w:val="righ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761D00A" w14:textId="77777777" w:rsidR="00A56EE9" w:rsidRDefault="00A56EE9">
            <w:pPr>
              <w:rPr>
                <w:b/>
                <w:sz w:val="22"/>
                <w:szCs w:val="22"/>
              </w:rPr>
            </w:pPr>
          </w:p>
        </w:tc>
        <w:tc>
          <w:tcPr>
            <w:tcW w:w="1725" w:type="pct"/>
            <w:tcBorders>
              <w:top w:val="single" w:sz="4" w:space="0" w:color="auto"/>
              <w:left w:val="single" w:sz="4" w:space="0" w:color="auto"/>
              <w:bottom w:val="single" w:sz="4" w:space="0" w:color="auto"/>
              <w:right w:val="single" w:sz="4" w:space="0" w:color="auto"/>
            </w:tcBorders>
            <w:vAlign w:val="center"/>
            <w:hideMark/>
          </w:tcPr>
          <w:p w14:paraId="5761D00B" w14:textId="77777777" w:rsidR="00A56EE9" w:rsidRDefault="00A56EE9">
            <w:pPr>
              <w:pStyle w:val="BodyText"/>
              <w:spacing w:after="0"/>
              <w:contextualSpacing/>
              <w:rPr>
                <w:b/>
                <w:sz w:val="22"/>
                <w:szCs w:val="22"/>
              </w:rPr>
            </w:pPr>
            <w:r>
              <w:rPr>
                <w:b/>
              </w:rPr>
              <w:t>Heritage values</w:t>
            </w:r>
          </w:p>
        </w:tc>
        <w:tc>
          <w:tcPr>
            <w:tcW w:w="326"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0C"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0D"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0E"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0F"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340"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10" w14:textId="77777777" w:rsidR="00A56EE9" w:rsidRDefault="00A56EE9">
            <w:pPr>
              <w:pStyle w:val="BodyText"/>
              <w:spacing w:after="0"/>
              <w:contextualSpacing/>
              <w:jc w:val="center"/>
              <w:rPr>
                <w:rFonts w:ascii="Cambria Math" w:hAnsi="Cambria Math"/>
                <w:b/>
                <w:sz w:val="24"/>
                <w:szCs w:val="24"/>
              </w:rPr>
            </w:pPr>
            <w:r>
              <w:rPr>
                <w:rFonts w:ascii="Cambria Math" w:hAnsi="Cambria Math" w:cs="Cambria Math"/>
                <w:b/>
              </w:rPr>
              <w:t>↔</w:t>
            </w:r>
          </w:p>
        </w:tc>
        <w:tc>
          <w:tcPr>
            <w:tcW w:w="283"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11" w14:textId="77777777" w:rsidR="00A56EE9" w:rsidRDefault="00A56EE9">
            <w:pPr>
              <w:pStyle w:val="BodyText"/>
              <w:spacing w:after="0"/>
              <w:contextualSpacing/>
              <w:jc w:val="center"/>
              <w:rPr>
                <w:rFonts w:ascii="Cambria Math" w:hAnsi="Cambria Math"/>
                <w:b/>
                <w:sz w:val="24"/>
                <w:szCs w:val="24"/>
              </w:rPr>
            </w:pPr>
            <w:r>
              <w:rPr>
                <w:rFonts w:ascii="Cambria Math" w:hAnsi="Cambria Math"/>
                <w:b/>
                <w:sz w:val="24"/>
                <w:szCs w:val="24"/>
              </w:rPr>
              <w:t>↗</w:t>
            </w:r>
          </w:p>
        </w:tc>
      </w:tr>
      <w:tr w:rsidR="00A56EE9" w14:paraId="5761D01B" w14:textId="77777777" w:rsidTr="00BB6AD5">
        <w:trPr>
          <w:trHeight w:val="567"/>
          <w:jc w:val="righ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761D013" w14:textId="77777777" w:rsidR="00A56EE9" w:rsidRDefault="00A56EE9">
            <w:pPr>
              <w:rPr>
                <w:b/>
                <w:sz w:val="22"/>
                <w:szCs w:val="22"/>
              </w:rPr>
            </w:pPr>
          </w:p>
        </w:tc>
        <w:tc>
          <w:tcPr>
            <w:tcW w:w="1725" w:type="pct"/>
            <w:tcBorders>
              <w:top w:val="single" w:sz="4" w:space="0" w:color="auto"/>
              <w:left w:val="single" w:sz="4" w:space="0" w:color="auto"/>
              <w:bottom w:val="single" w:sz="4" w:space="0" w:color="auto"/>
              <w:right w:val="single" w:sz="4" w:space="0" w:color="auto"/>
            </w:tcBorders>
            <w:vAlign w:val="center"/>
            <w:hideMark/>
          </w:tcPr>
          <w:p w14:paraId="5761D014" w14:textId="77777777" w:rsidR="00A56EE9" w:rsidRDefault="00A56EE9">
            <w:pPr>
              <w:pStyle w:val="BodyText"/>
              <w:spacing w:after="0"/>
              <w:contextualSpacing/>
              <w:rPr>
                <w:b/>
                <w:sz w:val="22"/>
                <w:szCs w:val="22"/>
              </w:rPr>
            </w:pPr>
            <w:r>
              <w:rPr>
                <w:b/>
              </w:rPr>
              <w:t>Community benefits of the environment</w:t>
            </w:r>
          </w:p>
        </w:tc>
        <w:tc>
          <w:tcPr>
            <w:tcW w:w="326"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15" w14:textId="77777777" w:rsidR="00A56EE9" w:rsidRDefault="00A56EE9">
            <w:pPr>
              <w:pStyle w:val="BodyText"/>
              <w:spacing w:after="0"/>
              <w:contextualSpacing/>
              <w:jc w:val="center"/>
              <w:rPr>
                <w:rFonts w:ascii="Cambria Math" w:hAnsi="Cambria Math"/>
                <w:b/>
                <w:sz w:val="24"/>
                <w:szCs w:val="24"/>
              </w:rPr>
            </w:pPr>
            <w:r>
              <w:rPr>
                <w:rFonts w:ascii="Segoe UI Symbol" w:hAnsi="Segoe UI Symbol"/>
                <w:b/>
                <w:sz w:val="24"/>
                <w:szCs w:val="24"/>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16" w14:textId="77777777" w:rsidR="00A56EE9" w:rsidRDefault="00A56EE9">
            <w:pPr>
              <w:pStyle w:val="BodyText"/>
              <w:spacing w:after="0"/>
              <w:contextualSpacing/>
              <w:jc w:val="center"/>
              <w:rPr>
                <w:rFonts w:ascii="Cambria Math" w:hAnsi="Cambria Math"/>
                <w:b/>
                <w:sz w:val="24"/>
                <w:szCs w:val="24"/>
              </w:rPr>
            </w:pPr>
            <w:r>
              <w:rPr>
                <w:rFonts w:ascii="Segoe UI Symbol" w:hAnsi="Segoe UI Symbol"/>
                <w:b/>
                <w:sz w:val="24"/>
                <w:szCs w:val="24"/>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17" w14:textId="77777777" w:rsidR="00A56EE9" w:rsidRDefault="00A56EE9">
            <w:pPr>
              <w:pStyle w:val="BodyText"/>
              <w:spacing w:after="0"/>
              <w:contextualSpacing/>
              <w:jc w:val="center"/>
              <w:rPr>
                <w:rFonts w:ascii="Cambria Math" w:hAnsi="Cambria Math"/>
                <w:b/>
                <w:sz w:val="24"/>
                <w:szCs w:val="24"/>
              </w:rPr>
            </w:pPr>
            <w:r>
              <w:rPr>
                <w:rFonts w:ascii="Segoe UI Symbol" w:hAnsi="Segoe UI Symbol"/>
                <w:b/>
                <w:sz w:val="24"/>
                <w:szCs w:val="24"/>
              </w:rPr>
              <w:t>⬆</w:t>
            </w:r>
          </w:p>
        </w:tc>
        <w:tc>
          <w:tcPr>
            <w:tcW w:w="397"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18" w14:textId="77777777" w:rsidR="00A56EE9" w:rsidRDefault="00A56EE9">
            <w:pPr>
              <w:pStyle w:val="BodyText"/>
              <w:spacing w:after="0"/>
              <w:contextualSpacing/>
              <w:jc w:val="center"/>
              <w:rPr>
                <w:rFonts w:ascii="Cambria Math" w:hAnsi="Cambria Math"/>
                <w:b/>
                <w:sz w:val="24"/>
                <w:szCs w:val="24"/>
              </w:rPr>
            </w:pPr>
            <w:r>
              <w:rPr>
                <w:rFonts w:ascii="Segoe UI Symbol" w:hAnsi="Segoe UI Symbol"/>
                <w:b/>
                <w:sz w:val="24"/>
                <w:szCs w:val="24"/>
              </w:rPr>
              <w:t>⬆</w:t>
            </w:r>
          </w:p>
        </w:tc>
        <w:tc>
          <w:tcPr>
            <w:tcW w:w="340"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19" w14:textId="77777777" w:rsidR="00A56EE9" w:rsidRDefault="00A56EE9">
            <w:pPr>
              <w:pStyle w:val="BodyText"/>
              <w:spacing w:after="0"/>
              <w:contextualSpacing/>
              <w:jc w:val="center"/>
              <w:rPr>
                <w:rFonts w:ascii="Cambria Math" w:hAnsi="Cambria Math"/>
                <w:b/>
                <w:sz w:val="24"/>
                <w:szCs w:val="24"/>
              </w:rPr>
            </w:pPr>
            <w:r>
              <w:rPr>
                <w:rFonts w:ascii="Segoe UI Symbol" w:hAnsi="Segoe UI Symbol"/>
                <w:b/>
                <w:sz w:val="24"/>
                <w:szCs w:val="24"/>
              </w:rPr>
              <w:t>↔</w:t>
            </w:r>
          </w:p>
        </w:tc>
        <w:tc>
          <w:tcPr>
            <w:tcW w:w="283" w:type="pc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761D01A" w14:textId="77777777" w:rsidR="00A56EE9" w:rsidRDefault="00A56EE9">
            <w:pPr>
              <w:pStyle w:val="BodyText"/>
              <w:spacing w:after="0"/>
              <w:contextualSpacing/>
              <w:jc w:val="center"/>
              <w:rPr>
                <w:rFonts w:ascii="Cambria Math" w:hAnsi="Cambria Math"/>
                <w:b/>
                <w:sz w:val="24"/>
                <w:szCs w:val="24"/>
              </w:rPr>
            </w:pPr>
            <w:r>
              <w:rPr>
                <w:rFonts w:ascii="Segoe UI Symbol" w:hAnsi="Segoe UI Symbol"/>
                <w:b/>
                <w:sz w:val="24"/>
                <w:szCs w:val="24"/>
              </w:rPr>
              <w:t>↔</w:t>
            </w:r>
          </w:p>
        </w:tc>
      </w:tr>
    </w:tbl>
    <w:p w14:paraId="5761D01C" w14:textId="77777777" w:rsidR="00A56EE9" w:rsidRDefault="00A56EE9" w:rsidP="00BB6AD5">
      <w:pPr>
        <w:ind w:left="852"/>
        <w:contextualSpacing/>
        <w:rPr>
          <w:rFonts w:asciiTheme="minorHAnsi" w:hAnsiTheme="minorHAnsi"/>
          <w:sz w:val="16"/>
          <w:szCs w:val="16"/>
        </w:rPr>
      </w:pPr>
      <w:r>
        <w:rPr>
          <w:sz w:val="16"/>
          <w:szCs w:val="16"/>
        </w:rPr>
        <w:t xml:space="preserve">Management effective assessment is colour coded: </w:t>
      </w:r>
    </w:p>
    <w:tbl>
      <w:tblPr>
        <w:tblStyle w:val="TableGrid"/>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168"/>
        <w:gridCol w:w="396"/>
        <w:gridCol w:w="1710"/>
        <w:gridCol w:w="261"/>
        <w:gridCol w:w="1790"/>
        <w:gridCol w:w="261"/>
        <w:gridCol w:w="1141"/>
        <w:gridCol w:w="261"/>
      </w:tblGrid>
      <w:tr w:rsidR="00A56EE9" w14:paraId="5761D025" w14:textId="77777777" w:rsidTr="00BB6AD5">
        <w:trPr>
          <w:tblHeader/>
        </w:trPr>
        <w:tc>
          <w:tcPr>
            <w:tcW w:w="1168" w:type="dxa"/>
            <w:hideMark/>
          </w:tcPr>
          <w:p w14:paraId="5761D01D" w14:textId="77777777" w:rsidR="00A56EE9" w:rsidRDefault="00A56EE9">
            <w:pPr>
              <w:rPr>
                <w:sz w:val="16"/>
                <w:szCs w:val="16"/>
              </w:rPr>
            </w:pPr>
            <w:r>
              <w:rPr>
                <w:sz w:val="16"/>
                <w:szCs w:val="16"/>
              </w:rPr>
              <w:t>Effective (E)</w:t>
            </w:r>
          </w:p>
        </w:tc>
        <w:tc>
          <w:tcPr>
            <w:tcW w:w="0" w:type="auto"/>
            <w:hideMark/>
          </w:tcPr>
          <w:p w14:paraId="5761D01E" w14:textId="77777777" w:rsidR="00A56EE9" w:rsidRDefault="00A56EE9">
            <w:pPr>
              <w:rPr>
                <w:rFonts w:ascii="Times" w:hAnsi="Times"/>
                <w:sz w:val="16"/>
                <w:szCs w:val="16"/>
              </w:rPr>
            </w:pPr>
            <w:r>
              <w:rPr>
                <w:noProof/>
                <w:sz w:val="24"/>
                <w:szCs w:val="24"/>
              </w:rPr>
              <mc:AlternateContent>
                <mc:Choice Requires="wps">
                  <w:drawing>
                    <wp:anchor distT="0" distB="0" distL="114300" distR="114300" simplePos="0" relativeHeight="251716608" behindDoc="1" locked="0" layoutInCell="1" allowOverlap="1" wp14:anchorId="57620C4C" wp14:editId="57620C4D">
                      <wp:simplePos x="0" y="0"/>
                      <wp:positionH relativeFrom="column">
                        <wp:posOffset>-50800</wp:posOffset>
                      </wp:positionH>
                      <wp:positionV relativeFrom="paragraph">
                        <wp:posOffset>26670</wp:posOffset>
                      </wp:positionV>
                      <wp:extent cx="95250" cy="104775"/>
                      <wp:effectExtent l="0" t="0" r="19050" b="28575"/>
                      <wp:wrapSquare wrapText="bothSides"/>
                      <wp:docPr id="276" name="Rectangle 276"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CFE"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4C" id="Rectangle 276" o:spid="_x0000_s1031" alt="Title: Rectangle - Description: Rectangle coloured dark green" style="position:absolute;margin-left:-4pt;margin-top:2.1pt;width:7.5pt;height:8.2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" fillcolor="#060" strokecolor="black [3213]" strokeweight="1pt">
                      <v:textbox>
                        <w:txbxContent>
                          <w:p w14:paraId="57620CFE" w14:textId="77777777" w:rsidR="008B5998" w:rsidRDefault="008B5998" w:rsidP="00BB6AD5">
                            <w:pPr>
                              <w:shd w:val="clear" w:color="auto" w:fill="006600"/>
                              <w:jc w:val="center"/>
                            </w:pPr>
                          </w:p>
                        </w:txbxContent>
                      </v:textbox>
                      <w10:wrap type="square"/>
                    </v:rect>
                  </w:pict>
                </mc:Fallback>
              </mc:AlternateContent>
            </w:r>
          </w:p>
        </w:tc>
        <w:tc>
          <w:tcPr>
            <w:tcW w:w="0" w:type="auto"/>
            <w:hideMark/>
          </w:tcPr>
          <w:p w14:paraId="5761D01F" w14:textId="77777777" w:rsidR="00A56EE9" w:rsidRDefault="00A56EE9">
            <w:pPr>
              <w:rPr>
                <w:sz w:val="16"/>
                <w:szCs w:val="16"/>
              </w:rPr>
            </w:pPr>
            <w:r>
              <w:rPr>
                <w:sz w:val="16"/>
                <w:szCs w:val="16"/>
              </w:rPr>
              <w:t>Mostly effective (ME)</w:t>
            </w:r>
          </w:p>
        </w:tc>
        <w:tc>
          <w:tcPr>
            <w:tcW w:w="0" w:type="auto"/>
            <w:hideMark/>
          </w:tcPr>
          <w:p w14:paraId="5761D020" w14:textId="77777777" w:rsidR="00A56EE9" w:rsidRDefault="00A56EE9">
            <w:pPr>
              <w:rPr>
                <w:sz w:val="16"/>
                <w:szCs w:val="16"/>
              </w:rPr>
            </w:pPr>
            <w:r>
              <w:rPr>
                <w:noProof/>
                <w:sz w:val="24"/>
                <w:szCs w:val="24"/>
              </w:rPr>
              <mc:AlternateContent>
                <mc:Choice Requires="wps">
                  <w:drawing>
                    <wp:anchor distT="0" distB="0" distL="114300" distR="114300" simplePos="0" relativeHeight="251713536" behindDoc="0" locked="0" layoutInCell="1" allowOverlap="1" wp14:anchorId="57620C4E" wp14:editId="57620C4F">
                      <wp:simplePos x="0" y="0"/>
                      <wp:positionH relativeFrom="column">
                        <wp:posOffset>-41275</wp:posOffset>
                      </wp:positionH>
                      <wp:positionV relativeFrom="paragraph">
                        <wp:posOffset>22860</wp:posOffset>
                      </wp:positionV>
                      <wp:extent cx="95250" cy="104775"/>
                      <wp:effectExtent l="0" t="0" r="19050" b="28575"/>
                      <wp:wrapNone/>
                      <wp:docPr id="275" name="Rectangle 275"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CFF"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4E" id="Rectangle 275" o:spid="_x0000_s1032" alt="Title: Rectangle - Description: Rectangle coloured light green" style="position:absolute;margin-left:-3.25pt;margin-top:1.8pt;width:7.5pt;height:8.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" fillcolor="#92d050" strokecolor="black [3213]" strokeweight="1pt">
                      <v:textbox>
                        <w:txbxContent>
                          <w:p w14:paraId="57620CFF" w14:textId="77777777" w:rsidR="008B5998" w:rsidRDefault="008B5998" w:rsidP="00BB6AD5">
                            <w:pPr>
                              <w:jc w:val="center"/>
                            </w:pPr>
                          </w:p>
                        </w:txbxContent>
                      </v:textbox>
                    </v:rect>
                  </w:pict>
                </mc:Fallback>
              </mc:AlternateContent>
            </w:r>
            <w:r>
              <w:rPr>
                <w:sz w:val="16"/>
                <w:szCs w:val="16"/>
              </w:rPr>
              <w:t>;</w:t>
            </w:r>
          </w:p>
        </w:tc>
        <w:tc>
          <w:tcPr>
            <w:tcW w:w="0" w:type="auto"/>
            <w:hideMark/>
          </w:tcPr>
          <w:p w14:paraId="5761D021" w14:textId="77777777" w:rsidR="00A56EE9" w:rsidRDefault="00A56EE9">
            <w:pPr>
              <w:rPr>
                <w:sz w:val="16"/>
                <w:szCs w:val="16"/>
              </w:rPr>
            </w:pPr>
            <w:r>
              <w:rPr>
                <w:sz w:val="16"/>
                <w:szCs w:val="16"/>
              </w:rPr>
              <w:t>Partially effective (PE)</w:t>
            </w:r>
          </w:p>
        </w:tc>
        <w:tc>
          <w:tcPr>
            <w:tcW w:w="0" w:type="auto"/>
            <w:hideMark/>
          </w:tcPr>
          <w:p w14:paraId="5761D022" w14:textId="77777777" w:rsidR="00A56EE9" w:rsidRDefault="00A56EE9">
            <w:pPr>
              <w:rPr>
                <w:sz w:val="16"/>
                <w:szCs w:val="16"/>
              </w:rPr>
            </w:pPr>
            <w:r>
              <w:rPr>
                <w:noProof/>
                <w:sz w:val="24"/>
                <w:szCs w:val="24"/>
              </w:rPr>
              <mc:AlternateContent>
                <mc:Choice Requires="wps">
                  <w:drawing>
                    <wp:anchor distT="0" distB="0" distL="114300" distR="114300" simplePos="0" relativeHeight="251714560" behindDoc="0" locked="0" layoutInCell="1" allowOverlap="1" wp14:anchorId="57620C50" wp14:editId="57620C51">
                      <wp:simplePos x="0" y="0"/>
                      <wp:positionH relativeFrom="column">
                        <wp:posOffset>-65405</wp:posOffset>
                      </wp:positionH>
                      <wp:positionV relativeFrom="paragraph">
                        <wp:posOffset>19685</wp:posOffset>
                      </wp:positionV>
                      <wp:extent cx="95250" cy="104775"/>
                      <wp:effectExtent l="0" t="0" r="19050" b="28575"/>
                      <wp:wrapNone/>
                      <wp:docPr id="274" name="Rectangle 274"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0"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50" id="Rectangle 274" o:spid="_x0000_s1033" alt="Title: Rectangle - Description: Rectangle coloured orange" style="position:absolute;margin-left:-5.15pt;margin-top:1.55pt;width:7.5pt;height:8.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" fillcolor="#ffc000" strokecolor="black [3213]" strokeweight="1pt">
                      <v:textbox>
                        <w:txbxContent>
                          <w:p w14:paraId="57620D00" w14:textId="77777777" w:rsidR="008B5998" w:rsidRDefault="008B5998" w:rsidP="00BB6AD5">
                            <w:pPr>
                              <w:jc w:val="center"/>
                            </w:pPr>
                          </w:p>
                        </w:txbxContent>
                      </v:textbox>
                    </v:rect>
                  </w:pict>
                </mc:Fallback>
              </mc:AlternateContent>
            </w:r>
            <w:r>
              <w:rPr>
                <w:sz w:val="16"/>
                <w:szCs w:val="16"/>
              </w:rPr>
              <w:t>;</w:t>
            </w:r>
          </w:p>
        </w:tc>
        <w:tc>
          <w:tcPr>
            <w:tcW w:w="0" w:type="auto"/>
            <w:hideMark/>
          </w:tcPr>
          <w:p w14:paraId="5761D023" w14:textId="77777777" w:rsidR="00A56EE9" w:rsidRDefault="00A56EE9">
            <w:pPr>
              <w:rPr>
                <w:sz w:val="16"/>
                <w:szCs w:val="16"/>
              </w:rPr>
            </w:pPr>
            <w:r>
              <w:rPr>
                <w:sz w:val="16"/>
                <w:szCs w:val="16"/>
              </w:rPr>
              <w:t>Ineffective (I)</w:t>
            </w:r>
          </w:p>
        </w:tc>
        <w:tc>
          <w:tcPr>
            <w:tcW w:w="0" w:type="auto"/>
            <w:hideMark/>
          </w:tcPr>
          <w:p w14:paraId="5761D024" w14:textId="77777777" w:rsidR="00A56EE9" w:rsidRDefault="00A56EE9">
            <w:pPr>
              <w:rPr>
                <w:sz w:val="16"/>
                <w:szCs w:val="16"/>
              </w:rPr>
            </w:pPr>
            <w:r>
              <w:rPr>
                <w:noProof/>
                <w:sz w:val="24"/>
                <w:szCs w:val="24"/>
              </w:rPr>
              <mc:AlternateContent>
                <mc:Choice Requires="wps">
                  <w:drawing>
                    <wp:anchor distT="0" distB="0" distL="114300" distR="114300" simplePos="0" relativeHeight="251715584" behindDoc="0" locked="0" layoutInCell="1" allowOverlap="1" wp14:anchorId="57620C52" wp14:editId="57620C53">
                      <wp:simplePos x="0" y="0"/>
                      <wp:positionH relativeFrom="column">
                        <wp:posOffset>-50165</wp:posOffset>
                      </wp:positionH>
                      <wp:positionV relativeFrom="paragraph">
                        <wp:posOffset>24130</wp:posOffset>
                      </wp:positionV>
                      <wp:extent cx="95250" cy="104775"/>
                      <wp:effectExtent l="0" t="0" r="19050" b="28575"/>
                      <wp:wrapNone/>
                      <wp:docPr id="273" name="Rectangle 273"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1"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52" id="Rectangle 273" o:spid="_x0000_s1034" alt="Title: Rectangle - Description: Rectangle coloured red" style="position:absolute;margin-left:-3.95pt;margin-top:1.9pt;width:7.5pt;height:8.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" fillcolor="red" strokecolor="black [3213]" strokeweight="1pt">
                      <v:textbox>
                        <w:txbxContent>
                          <w:p w14:paraId="57620D01" w14:textId="77777777" w:rsidR="008B5998" w:rsidRDefault="008B5998" w:rsidP="00BB6AD5">
                            <w:pPr>
                              <w:jc w:val="center"/>
                            </w:pPr>
                          </w:p>
                        </w:txbxContent>
                      </v:textbox>
                    </v:rect>
                  </w:pict>
                </mc:Fallback>
              </mc:AlternateContent>
            </w:r>
            <w:r>
              <w:rPr>
                <w:sz w:val="16"/>
                <w:szCs w:val="16"/>
              </w:rPr>
              <w:t>;</w:t>
            </w:r>
          </w:p>
        </w:tc>
      </w:tr>
    </w:tbl>
    <w:p w14:paraId="5761D026" w14:textId="77777777" w:rsidR="00A56EE9" w:rsidRDefault="00A56EE9" w:rsidP="00BB6AD5">
      <w:pPr>
        <w:ind w:left="851"/>
        <w:rPr>
          <w:rFonts w:asciiTheme="minorHAnsi" w:hAnsiTheme="minorHAnsi"/>
          <w:sz w:val="16"/>
          <w:szCs w:val="16"/>
        </w:rPr>
      </w:pPr>
      <w:r>
        <w:rPr>
          <w:sz w:val="16"/>
          <w:szCs w:val="16"/>
        </w:rPr>
        <w:t>Trends are indicated by arrows:</w:t>
      </w:r>
    </w:p>
    <w:p w14:paraId="5761D027" w14:textId="77777777" w:rsidR="00A56EE9" w:rsidRDefault="00A56EE9" w:rsidP="00BB6AD5">
      <w:pPr>
        <w:ind w:left="852"/>
        <w:contextualSpacing/>
        <w:rPr>
          <w:sz w:val="24"/>
          <w:szCs w:val="24"/>
        </w:rPr>
      </w:pPr>
      <w:r>
        <w:rPr>
          <w:rFonts w:ascii="Cambria Math" w:hAnsi="Cambria Math" w:cs="Cambria Math"/>
        </w:rPr>
        <w:t>⬆</w:t>
      </w:r>
      <w:r>
        <w:tab/>
      </w:r>
      <w:r>
        <w:rPr>
          <w:sz w:val="16"/>
          <w:szCs w:val="16"/>
        </w:rPr>
        <w:t>Trend since 2014 has been an upwards change in grade</w:t>
      </w:r>
    </w:p>
    <w:p w14:paraId="5761D028" w14:textId="77777777" w:rsidR="00A56EE9" w:rsidRDefault="00A56EE9" w:rsidP="00BB6AD5">
      <w:pPr>
        <w:ind w:left="852"/>
        <w:contextualSpacing/>
        <w:rPr>
          <w:b/>
        </w:rPr>
      </w:pPr>
      <w:r>
        <w:rPr>
          <w:rFonts w:ascii="Cambria Math" w:hAnsi="Cambria Math" w:cs="Cambria Math"/>
          <w:b/>
        </w:rPr>
        <w:t>↗</w:t>
      </w:r>
      <w:r>
        <w:rPr>
          <w:b/>
        </w:rPr>
        <w:tab/>
      </w:r>
      <w:r>
        <w:rPr>
          <w:sz w:val="16"/>
          <w:szCs w:val="16"/>
        </w:rPr>
        <w:t>Trend since 2014 is increasing but has not caused an upwards grade change</w:t>
      </w:r>
    </w:p>
    <w:p w14:paraId="5761D029" w14:textId="77777777" w:rsidR="00A56EE9" w:rsidRDefault="00A56EE9" w:rsidP="00BB6AD5">
      <w:pPr>
        <w:ind w:left="852"/>
        <w:contextualSpacing/>
      </w:pPr>
      <w:r>
        <w:rPr>
          <w:rFonts w:ascii="Cambria Math" w:hAnsi="Cambria Math" w:cs="Cambria Math"/>
          <w:b/>
        </w:rPr>
        <w:t>↔</w:t>
      </w:r>
      <w:r>
        <w:tab/>
      </w:r>
      <w:r>
        <w:rPr>
          <w:sz w:val="16"/>
          <w:szCs w:val="16"/>
        </w:rPr>
        <w:t>Grade has remained stable compared to 2014, with no major trends</w:t>
      </w:r>
      <w:r>
        <w:t xml:space="preserve"> </w:t>
      </w:r>
    </w:p>
    <w:p w14:paraId="5761D02A" w14:textId="77777777" w:rsidR="00A56EE9" w:rsidRDefault="00A56EE9" w:rsidP="00BB6AD5">
      <w:pPr>
        <w:ind w:left="852"/>
        <w:contextualSpacing/>
      </w:pPr>
      <w:r>
        <w:rPr>
          <w:rFonts w:ascii="Cambria Math" w:hAnsi="Cambria Math" w:cs="Cambria Math"/>
          <w:b/>
        </w:rPr>
        <w:t>↘</w:t>
      </w:r>
      <w:r>
        <w:rPr>
          <w:b/>
        </w:rPr>
        <w:tab/>
      </w:r>
      <w:r>
        <w:rPr>
          <w:sz w:val="16"/>
          <w:szCs w:val="16"/>
        </w:rPr>
        <w:t xml:space="preserve">Trend since 2014 is decreasing but has not caused a downwards grade change </w:t>
      </w:r>
    </w:p>
    <w:p w14:paraId="5761D02B" w14:textId="77777777" w:rsidR="00A56EE9" w:rsidRDefault="00A56EE9" w:rsidP="00BB6AD5">
      <w:pPr>
        <w:ind w:left="852"/>
        <w:contextualSpacing/>
        <w:rPr>
          <w:sz w:val="16"/>
          <w:szCs w:val="16"/>
        </w:rPr>
      </w:pPr>
      <w:r>
        <w:rPr>
          <w:rFonts w:ascii="Cambria Math" w:hAnsi="Cambria Math" w:cs="Cambria Math"/>
        </w:rPr>
        <w:t>⬇</w:t>
      </w:r>
      <w:r>
        <w:tab/>
      </w:r>
      <w:r>
        <w:rPr>
          <w:sz w:val="16"/>
          <w:szCs w:val="16"/>
        </w:rPr>
        <w:t>Trend since 2014 has been a downwards change in grade</w:t>
      </w:r>
    </w:p>
    <w:p w14:paraId="5761D02C" w14:textId="77777777" w:rsidR="00A56EE9" w:rsidRDefault="00A56EE9" w:rsidP="00BB6AD5"/>
    <w:p w14:paraId="5761D02D" w14:textId="77777777" w:rsidR="00A56EE9" w:rsidRDefault="00A56EE9" w:rsidP="00BB6AD5">
      <w:pPr>
        <w:pStyle w:val="Header2"/>
      </w:pPr>
      <w:bookmarkStart w:id="9" w:name="_Toc523423750"/>
      <w:r>
        <w:lastRenderedPageBreak/>
        <w:t>Managing direct use</w:t>
      </w:r>
      <w:bookmarkEnd w:id="9"/>
    </w:p>
    <w:p w14:paraId="5761D02E" w14:textId="77777777" w:rsidR="00A56EE9" w:rsidRDefault="00A56EE9" w:rsidP="00BB6AD5">
      <w:pPr>
        <w:pStyle w:val="Header3"/>
      </w:pPr>
      <w:bookmarkStart w:id="10" w:name="_Toc523423751"/>
      <w:r>
        <w:t>Commercial marine tourism</w:t>
      </w:r>
      <w:bookmarkEnd w:id="10"/>
    </w:p>
    <w:p w14:paraId="5761D02F" w14:textId="77777777" w:rsidR="00A56EE9" w:rsidRDefault="00A56EE9" w:rsidP="009A5057">
      <w:pPr>
        <w:spacing w:line="276" w:lineRule="auto"/>
      </w:pPr>
      <w:r w:rsidRPr="00915D31">
        <w:t>The value visitors place on the Region is indicative of its national and international importance.</w:t>
      </w:r>
      <w:r>
        <w:t xml:space="preserve"> </w:t>
      </w:r>
      <w:r w:rsidRPr="00240221">
        <w:t xml:space="preserve">Commercial marine tourism </w:t>
      </w:r>
      <w:r>
        <w:t xml:space="preserve">remains well managed. A comprehensive suite of management tools, complemented by strong industry partnerships, contribute to the sustainable management of tourism activities. Major achievements over the past five years include a review of the </w:t>
      </w:r>
      <w:r w:rsidRPr="00950007">
        <w:rPr>
          <w:i/>
        </w:rPr>
        <w:t>Whitsundays Plan of Management</w:t>
      </w:r>
      <w:r>
        <w:rPr>
          <w:i/>
        </w:rPr>
        <w:t xml:space="preserve"> 1998</w:t>
      </w:r>
      <w:r>
        <w:t xml:space="preserve">, </w:t>
      </w:r>
      <w:r>
        <w:rPr>
          <w:lang w:val="en-GB"/>
        </w:rPr>
        <w:t>development of guidelines for superyacht management, and a cruise ship policy</w:t>
      </w:r>
      <w:r>
        <w:t xml:space="preserve">. </w:t>
      </w:r>
    </w:p>
    <w:p w14:paraId="5761D030" w14:textId="77777777" w:rsidR="00A56EE9" w:rsidRDefault="00A56EE9" w:rsidP="009A5057">
      <w:pPr>
        <w:spacing w:line="276" w:lineRule="auto"/>
        <w:rPr>
          <w:lang w:val="en-GB"/>
        </w:rPr>
      </w:pPr>
      <w:r>
        <w:rPr>
          <w:lang w:val="en-GB"/>
        </w:rPr>
        <w:t xml:space="preserve">A review of the </w:t>
      </w:r>
      <w:r w:rsidRPr="0009621A">
        <w:rPr>
          <w:i/>
          <w:lang w:val="en-GB"/>
        </w:rPr>
        <w:t>Great Barrier Reef Marine Park Regulations 1983</w:t>
      </w:r>
      <w:r>
        <w:rPr>
          <w:lang w:val="en-GB"/>
        </w:rPr>
        <w:t xml:space="preserve"> and permit assessment processes were undertaken in 2017, with a view to improve consistency and transparency in decision-making through clear guidelines. Risks to the Region from commercial marine tourism activities have been reduced through additional management and education, including implementation of new assessment guidelines and policies under a </w:t>
      </w:r>
      <w:r>
        <w:rPr>
          <w:i/>
          <w:lang w:val="en-GB"/>
        </w:rPr>
        <w:t xml:space="preserve">strengthening permissions systems </w:t>
      </w:r>
      <w:r w:rsidRPr="00B43C65">
        <w:rPr>
          <w:lang w:val="en-GB"/>
        </w:rPr>
        <w:t>project</w:t>
      </w:r>
      <w:r w:rsidRPr="000F619F">
        <w:rPr>
          <w:lang w:val="en-GB"/>
        </w:rPr>
        <w:t>.</w:t>
      </w:r>
      <w:r>
        <w:rPr>
          <w:lang w:val="en-GB"/>
        </w:rPr>
        <w:t xml:space="preserve"> </w:t>
      </w:r>
    </w:p>
    <w:p w14:paraId="5761D031" w14:textId="77777777" w:rsidR="00A56EE9" w:rsidRDefault="00A56EE9" w:rsidP="009A5057">
      <w:pPr>
        <w:spacing w:line="276" w:lineRule="auto"/>
        <w:rPr>
          <w:lang w:val="en-GB"/>
        </w:rPr>
      </w:pPr>
      <w:r>
        <w:t xml:space="preserve">Management agencies work in close cooperation with the tourism industry and use an industry-based ecotourism certification program to ensure an ecologically sustainable and high-quality experience for visitors to the Region. </w:t>
      </w:r>
      <w:r>
        <w:rPr>
          <w:lang w:val="en-GB"/>
        </w:rPr>
        <w:t>The number of high standard tourism operators has steadily increased from 19 operators in 2004 to 69 in 2017.</w:t>
      </w:r>
    </w:p>
    <w:p w14:paraId="5761D032" w14:textId="77777777" w:rsidR="00A56EE9" w:rsidRDefault="00A56EE9" w:rsidP="009A5057">
      <w:pPr>
        <w:spacing w:line="276" w:lineRule="auto"/>
      </w:pPr>
      <w:r w:rsidRPr="00AC6763">
        <w:rPr>
          <w:lang w:val="en-GB"/>
        </w:rPr>
        <w:t>The impact of external factors such as climate change</w:t>
      </w:r>
      <w:r>
        <w:rPr>
          <w:lang w:val="en-GB"/>
        </w:rPr>
        <w:t>,</w:t>
      </w:r>
      <w:r w:rsidRPr="00AC6763">
        <w:rPr>
          <w:lang w:val="en-GB"/>
        </w:rPr>
        <w:t xml:space="preserve"> coral bleaching </w:t>
      </w:r>
      <w:r>
        <w:rPr>
          <w:lang w:val="en-GB"/>
        </w:rPr>
        <w:t xml:space="preserve">and cyclones </w:t>
      </w:r>
      <w:r w:rsidRPr="00AC6763">
        <w:rPr>
          <w:lang w:val="en-GB"/>
        </w:rPr>
        <w:t>on particular sites in the Region means that some previously popular tourism sites have currently lost their appeal</w:t>
      </w:r>
      <w:r>
        <w:rPr>
          <w:lang w:val="en-GB"/>
        </w:rPr>
        <w:t>. To accommodate situations such as this, the Great Barrier Reef Marine Park Authority’s (Marine Park Authority)</w:t>
      </w:r>
      <w:r>
        <w:t xml:space="preserve"> </w:t>
      </w:r>
      <w:r w:rsidRPr="00950007">
        <w:rPr>
          <w:i/>
        </w:rPr>
        <w:t>Marine Tourism Contingency Plan</w:t>
      </w:r>
      <w:r>
        <w:rPr>
          <w:i/>
        </w:rPr>
        <w:t xml:space="preserve"> 2014</w:t>
      </w:r>
      <w:r w:rsidRPr="006D38A7">
        <w:t xml:space="preserve"> provides flexibility where the operator </w:t>
      </w:r>
      <w:r>
        <w:t>may need to relocate</w:t>
      </w:r>
      <w:r w:rsidRPr="006D38A7">
        <w:t>.</w:t>
      </w:r>
      <w:r>
        <w:t xml:space="preserve"> </w:t>
      </w:r>
    </w:p>
    <w:p w14:paraId="5761D033" w14:textId="77777777" w:rsidR="00A56EE9" w:rsidRPr="00E039A5" w:rsidRDefault="00A56EE9" w:rsidP="00BB6AD5">
      <w:r w:rsidRPr="00AC6763">
        <w:rPr>
          <w:lang w:val="en-GB"/>
        </w:rPr>
        <w:t xml:space="preserve"> </w:t>
      </w:r>
      <w:r w:rsidRPr="00E039A5">
        <w:rPr>
          <w:rFonts w:ascii="Segoe UI" w:eastAsiaTheme="majorEastAsia" w:hAnsi="Segoe UI" w:cstheme="majorBidi"/>
          <w:b/>
          <w:color w:val="2F5496" w:themeColor="accent1" w:themeShade="BF"/>
          <w:sz w:val="26"/>
          <w:szCs w:val="26"/>
        </w:rPr>
        <w:t>Defence activities</w:t>
      </w:r>
    </w:p>
    <w:p w14:paraId="5761D034" w14:textId="77777777" w:rsidR="00A56EE9" w:rsidRDefault="00A56EE9" w:rsidP="009A5057">
      <w:pPr>
        <w:spacing w:line="276" w:lineRule="auto"/>
      </w:pPr>
      <w:r>
        <w:t xml:space="preserve">Management </w:t>
      </w:r>
      <w:r w:rsidRPr="00240221">
        <w:t>of Defence activities</w:t>
      </w:r>
      <w:r>
        <w:t xml:space="preserve"> in the Region continues to be effective, with close cooperation clearly evident between the Marine Park Authority, the Australian Department of Defence and other agencies. This conclusion supports the findings of previous reports (Outlook Report 2009 and Outlook Report 2014, and GBR Strategic Assessment Report). Defence’s internal environmental management procedures are mature, regularly reviewed, and have been demonstrably effective in managing most environmental risk issues. The management framework for Defence activities continues to deliver effective environmental monitoring and management, commensurate with the low level of evident risks. Defence’s in-house environmental expertise is relied on to support impact assessments and other evaluations relevant to defence activities in the Region. The cooperative framework established </w:t>
      </w:r>
      <w:r w:rsidRPr="00405486">
        <w:t>under the Memorandum of Understanding promotes</w:t>
      </w:r>
      <w:r>
        <w:t xml:space="preserve"> active engagement between the Marine Park Authority and Defence, providing a sound platform for sharing information, particularly in relation to the major exercise program Talisman Sabre. As foreshadowed in the Outlook Report 2014, use of military training areas in and adjacent to the Region is intensifying as a result of the introduction of significant </w:t>
      </w:r>
      <w:r>
        <w:lastRenderedPageBreak/>
        <w:t>new military equipment. Future use of military training areas will need to ensure risk assessments consider the condition of habitats under a changing climate. Minor shortcomings are still evident relating to the management of ordnance contamination (UXO), particularly at legacy sites outside of Defence training areas.</w:t>
      </w:r>
    </w:p>
    <w:p w14:paraId="5761D035" w14:textId="77777777" w:rsidR="00A56EE9" w:rsidRDefault="00A56EE9" w:rsidP="00BB6AD5">
      <w:pPr>
        <w:pStyle w:val="Header3"/>
      </w:pPr>
      <w:bookmarkStart w:id="11" w:name="_Toc523423752"/>
      <w:r>
        <w:t>Fishing (Commercial and Recreational)</w:t>
      </w:r>
      <w:bookmarkEnd w:id="11"/>
    </w:p>
    <w:p w14:paraId="5761D036" w14:textId="77777777" w:rsidR="00A56EE9" w:rsidRDefault="00A56EE9" w:rsidP="009A5057">
      <w:pPr>
        <w:spacing w:line="276" w:lineRule="auto"/>
      </w:pPr>
      <w:r w:rsidRPr="00240221">
        <w:t>Fishing</w:t>
      </w:r>
      <w:r w:rsidRPr="000D4C9D">
        <w:t xml:space="preserve"> </w:t>
      </w:r>
      <w:r>
        <w:t xml:space="preserve">continues to be the principal extractive use of the Region. Viable commercial fishing industries and recreational fishing depend on a healthy ecosystem. While the economic and social values of fishing are understood, the impacts of ecosystem degradation on fisheries productivity are less well understood. The most significant change in the management of fishing in the Region is the development of the </w:t>
      </w:r>
      <w:r w:rsidRPr="001C3A06">
        <w:rPr>
          <w:i/>
        </w:rPr>
        <w:t>Queensland Sustainable Fisheries Strategy 2017-2027</w:t>
      </w:r>
      <w:r>
        <w:t xml:space="preserve"> (Fisheries Queensland 2017). This strategy covers both commercial and recreational fishing and commits to 10 major reform areas, including improved monitoring, research, environmental risk assessments and fish stock management. Illegal fishing is considered one of the greatest risks to biodiversity and the sustainability of legal fishing. Compliance measures have been increased, with vessel monitoring systems to be operational on all commercial vessels by 2020. New legislation enables the Marine Park Authority to prohibit entry to repeat offenders. Further work has also been undertaken to identify why recreational fishers fish illegally, and a compliance program that uses this information has been developed. </w:t>
      </w:r>
    </w:p>
    <w:p w14:paraId="5761D037" w14:textId="77777777" w:rsidR="00A56EE9" w:rsidDel="000005F6" w:rsidRDefault="00A56EE9" w:rsidP="009A5057">
      <w:pPr>
        <w:spacing w:line="276" w:lineRule="auto"/>
      </w:pPr>
      <w:r w:rsidDel="000005F6">
        <w:t>Actions associated with the Queensland Sustainable Fisheries Strategy are being implemented, but it has only been in place a short time. The strategy provides a clear program of work, and the reforms under the strategy provide an opportunity to introduce best practice standards. It is expected that outcomes for Fishing will impr</w:t>
      </w:r>
      <w:r>
        <w:t>ove with implementation of the s</w:t>
      </w:r>
      <w:r w:rsidDel="000005F6">
        <w:t xml:space="preserve">trategy. </w:t>
      </w:r>
    </w:p>
    <w:p w14:paraId="5761D038" w14:textId="77777777" w:rsidR="00A56EE9" w:rsidRDefault="00A56EE9" w:rsidP="00BB6AD5">
      <w:pPr>
        <w:pStyle w:val="Header3"/>
      </w:pPr>
      <w:bookmarkStart w:id="12" w:name="_Toc523423753"/>
      <w:r>
        <w:t>Ports</w:t>
      </w:r>
      <w:bookmarkEnd w:id="12"/>
    </w:p>
    <w:p w14:paraId="5761D039" w14:textId="2333FFFA" w:rsidR="00A56EE9" w:rsidRPr="00950007" w:rsidRDefault="00A56EE9" w:rsidP="009A5057">
      <w:pPr>
        <w:spacing w:line="276" w:lineRule="auto"/>
        <w:rPr>
          <w:rFonts w:asciiTheme="minorHAnsi" w:hAnsiTheme="minorHAnsi"/>
        </w:rPr>
      </w:pPr>
      <w:r w:rsidRPr="00240221">
        <w:t>Ports</w:t>
      </w:r>
      <w:r>
        <w:t xml:space="preserve"> within the Region are well managed. Coordinated and holistic planning for future port developments is now being undertaken through legislation and processes, including the </w:t>
      </w:r>
      <w:r>
        <w:rPr>
          <w:i/>
        </w:rPr>
        <w:t>Master Planning P</w:t>
      </w:r>
      <w:r w:rsidRPr="00950007">
        <w:rPr>
          <w:i/>
        </w:rPr>
        <w:t>rocesses for Priority Ports</w:t>
      </w:r>
      <w:r>
        <w:t xml:space="preserve"> (Department of State Development 2016) and the associated </w:t>
      </w:r>
      <w:r>
        <w:rPr>
          <w:i/>
        </w:rPr>
        <w:t>Queensland Sustainable Ports Development Act 2015</w:t>
      </w:r>
      <w:r>
        <w:t xml:space="preserve">. New controls and procedures are being developed for the planning and conduct of dredging activities. Implementation of these new processes was in its initial stages at the time of preparation of this report, and these are expected to result in a reduction in potential impacts of port activities, particularly port developments and expansions. A number of actions regarding Ports are included in the Reef 2050 Plan. It is anticipated that with time, port monitoring data will contribute to the </w:t>
      </w:r>
      <w:r w:rsidRPr="00950007">
        <w:rPr>
          <w:i/>
        </w:rPr>
        <w:t>Reef Integrated Monitoring and Reporting Program</w:t>
      </w:r>
      <w:r>
        <w:t xml:space="preserve"> (RIMReP) which is in development. </w:t>
      </w:r>
    </w:p>
    <w:p w14:paraId="5761D03A" w14:textId="77777777" w:rsidR="00A56EE9" w:rsidRDefault="00A56EE9" w:rsidP="00BB6AD5">
      <w:pPr>
        <w:pStyle w:val="Header3"/>
      </w:pPr>
      <w:bookmarkStart w:id="13" w:name="_Toc523423754"/>
      <w:r>
        <w:lastRenderedPageBreak/>
        <w:t>Research activities</w:t>
      </w:r>
      <w:bookmarkEnd w:id="13"/>
    </w:p>
    <w:p w14:paraId="5761D03B" w14:textId="77777777" w:rsidR="00A56EE9" w:rsidRDefault="00A56EE9" w:rsidP="009A5057">
      <w:pPr>
        <w:spacing w:line="276" w:lineRule="auto"/>
      </w:pPr>
      <w:r>
        <w:t xml:space="preserve">The Marine Park Authority and the main Queensland Government management bodies within the Department of Environment and Science are not research institutions </w:t>
      </w:r>
      <w:r w:rsidRPr="001C3A06">
        <w:rPr>
          <w:i/>
        </w:rPr>
        <w:t>per se</w:t>
      </w:r>
      <w:r>
        <w:t xml:space="preserve">. However, they work closely with research institutions such as Commonwealth Scientific and Industrial Research Organisation (CSIRO), Australian Institute of Marine Science (AIMS), universities and other research bodies. Managing agencies, liaise with research institutions to focus research on key management issues for the Region and apply existing research knowledge to management. Management </w:t>
      </w:r>
      <w:r w:rsidRPr="00240221">
        <w:t>of Research activities</w:t>
      </w:r>
      <w:r>
        <w:t xml:space="preserve"> in the Region aims to minimise any adverse impacts of research through a risk-based permits process. An accreditation process for </w:t>
      </w:r>
      <w:r w:rsidRPr="00EC3C00">
        <w:t>research institutions</w:t>
      </w:r>
      <w:r>
        <w:t xml:space="preserve"> is also in place to minimise permit complexity for low risk activities. As for Outlook Report 2009 and Outlook Report 2014, </w:t>
      </w:r>
      <w:r w:rsidRPr="00EC3C00">
        <w:t>there is limited compliance auditing of research permits.</w:t>
      </w:r>
    </w:p>
    <w:p w14:paraId="5761D03C" w14:textId="77777777" w:rsidR="00A56EE9" w:rsidRDefault="00A56EE9" w:rsidP="009A5057">
      <w:pPr>
        <w:spacing w:line="276" w:lineRule="auto"/>
      </w:pPr>
      <w:r>
        <w:t>Timeframes for assessment of permits have been lengthy since 2015, with priority given to assessment of new applications so that researchers are able to commence their work. A new online permits system has been developed and has been operational since October 2017. This should provide for more timely assessment of permits and enhanced capacity for monitoring of permit compliance although it is still too early to judge the impact of this on overall management of research permits in practice.</w:t>
      </w:r>
    </w:p>
    <w:p w14:paraId="5761D03D" w14:textId="4E93EAF0" w:rsidR="00A56EE9" w:rsidRDefault="00A56EE9" w:rsidP="009A5057">
      <w:pPr>
        <w:spacing w:line="276" w:lineRule="auto"/>
      </w:pPr>
      <w:r>
        <w:t xml:space="preserve">Identification of research priorities is becoming a more important component of research management within government, especially as managers and researchers respond to the research needs generated by the decline in the condition of the Reef. The Marine Park Authority’s summary of scientific information needs was updated for the period 2014-2019 and identifies key information needed to better inform management of the area and the </w:t>
      </w:r>
      <w:r w:rsidRPr="00950007">
        <w:rPr>
          <w:i/>
        </w:rPr>
        <w:t>Guidelines on Managing Scientific Research</w:t>
      </w:r>
      <w:r w:rsidRPr="00950007">
        <w:t xml:space="preserve"> </w:t>
      </w:r>
      <w:r>
        <w:t xml:space="preserve">(GBRMPA 2017b) </w:t>
      </w:r>
      <w:r w:rsidRPr="00950007">
        <w:t>were</w:t>
      </w:r>
      <w:r w:rsidR="00762551">
        <w:t xml:space="preserve"> updated in late 2017.</w:t>
      </w:r>
    </w:p>
    <w:p w14:paraId="5761D03E" w14:textId="4942A27F" w:rsidR="00A56EE9" w:rsidRDefault="00A56EE9" w:rsidP="009A5057">
      <w:pPr>
        <w:spacing w:line="276" w:lineRule="auto"/>
      </w:pPr>
      <w:r>
        <w:t>Research is key to addressing the more significant threats arising from broader environmental stressors. Promoting and applying research to address these larger threats is a key role for management agencies. The science of responding to impacts from stressors such as climate change is only in its infancy. Similarly, there is a major research gap</w:t>
      </w:r>
      <w:r w:rsidRPr="00A02E51">
        <w:t xml:space="preserve"> </w:t>
      </w:r>
      <w:r>
        <w:t>around reef restoration and methods of enhancing the resilience of systems within the Region.</w:t>
      </w:r>
      <w:r w:rsidR="00B40300">
        <w:t xml:space="preserve"> New </w:t>
      </w:r>
      <w:r w:rsidR="0021241D">
        <w:t>Reef Intervention</w:t>
      </w:r>
      <w:r w:rsidR="00B40300">
        <w:t xml:space="preserve"> </w:t>
      </w:r>
      <w:r w:rsidR="0021241D">
        <w:t>Guidelines</w:t>
      </w:r>
      <w:r w:rsidR="00B40300">
        <w:t xml:space="preserve">, developed by the Marine Park Authority </w:t>
      </w:r>
      <w:r w:rsidR="0021241D">
        <w:t xml:space="preserve">in 2018 </w:t>
      </w:r>
      <w:r w:rsidR="00B40300">
        <w:t xml:space="preserve">will </w:t>
      </w:r>
      <w:r w:rsidR="0021241D">
        <w:t xml:space="preserve">assist with this research growth area, by providing information on the permit process for intervention activities and what types of activities are very high risk and unlikely to be considered. </w:t>
      </w:r>
    </w:p>
    <w:p w14:paraId="5761D03F" w14:textId="77777777" w:rsidR="00A56EE9" w:rsidRDefault="00A56EE9" w:rsidP="00BB6AD5">
      <w:pPr>
        <w:pStyle w:val="Header3"/>
      </w:pPr>
      <w:bookmarkStart w:id="14" w:name="_Toc523423755"/>
      <w:r>
        <w:t>Recreational use (excluding fishing)</w:t>
      </w:r>
      <w:bookmarkEnd w:id="14"/>
    </w:p>
    <w:p w14:paraId="5761D040" w14:textId="77777777" w:rsidR="00A56EE9" w:rsidRDefault="00A56EE9" w:rsidP="009A5057">
      <w:pPr>
        <w:spacing w:line="276" w:lineRule="auto"/>
      </w:pPr>
      <w:r w:rsidRPr="00240221">
        <w:t>Recreation</w:t>
      </w:r>
      <w:r w:rsidRPr="00FA0BCC">
        <w:t xml:space="preserve"> </w:t>
      </w:r>
      <w:r>
        <w:t xml:space="preserve">is primarily managed through zoning and partnerships. </w:t>
      </w:r>
      <w:r w:rsidRPr="00950007">
        <w:t xml:space="preserve">The </w:t>
      </w:r>
      <w:r w:rsidRPr="00950007">
        <w:rPr>
          <w:i/>
        </w:rPr>
        <w:t>Recreation Management Strategy</w:t>
      </w:r>
      <w:r w:rsidRPr="00950007">
        <w:t xml:space="preserve"> (RMS)</w:t>
      </w:r>
      <w:r>
        <w:t xml:space="preserve"> (GBRMPA 2012a)</w:t>
      </w:r>
      <w:r w:rsidRPr="00950007">
        <w:t>,</w:t>
      </w:r>
      <w:r>
        <w:t xml:space="preserve"> was developed in 2012 to provide an overarching framework for coordinated management of recreation and to inform the public. The RMS was scheduled to be assessed and updated in 2017, but this has not yet occurred. The IUCN Outlook Report for the Great Barrier Reef World </w:t>
      </w:r>
      <w:r>
        <w:lastRenderedPageBreak/>
        <w:t xml:space="preserve">Heritage Area (IUCN 2017) supports the view that the direct impact of recreation is a low threat to the Outstanding Universal Values of the area. </w:t>
      </w:r>
    </w:p>
    <w:p w14:paraId="5761D041" w14:textId="77777777" w:rsidR="00A56EE9" w:rsidRDefault="00A56EE9" w:rsidP="009A5057">
      <w:pPr>
        <w:spacing w:line="276" w:lineRule="auto"/>
      </w:pPr>
      <w:r>
        <w:t xml:space="preserve">A major undertaking in Recreation since 2014 has been the review of the </w:t>
      </w:r>
      <w:r w:rsidRPr="00C93EF3">
        <w:t>Whitsundays Plan of Management</w:t>
      </w:r>
      <w:r>
        <w:t>.</w:t>
      </w:r>
      <w:r w:rsidRPr="00C93EF3">
        <w:t xml:space="preserve"> </w:t>
      </w:r>
      <w:r>
        <w:t xml:space="preserve">The Plan of Management provides, among other things, no-anchoring sites to protect coral reefs, and flight height restrictions over significant bird sites. The revised plan also provides increased access for super yachts to approved locations, increased provision for water sport activities, a greater recognition of the importance of the area to Traditional Owners and increased flexibility to accommodate low-impact activities. </w:t>
      </w:r>
    </w:p>
    <w:p w14:paraId="5761D042" w14:textId="77777777" w:rsidR="00A56EE9" w:rsidRDefault="00A56EE9" w:rsidP="009A5057">
      <w:pPr>
        <w:spacing w:line="276" w:lineRule="auto"/>
      </w:pPr>
      <w:r>
        <w:t xml:space="preserve">Significant increases in funding for the </w:t>
      </w:r>
      <w:r w:rsidRPr="00713725">
        <w:t>Field Management Program</w:t>
      </w:r>
      <w:r>
        <w:t xml:space="preserve"> announced in 2017 are expected to improve compliance through increased on-park presence, vessel monitoring, public contact and education, maintain essential field management capabilities, and support island and Reef restoration that contribute to the positive management of recreation, among other activities. Over $2.3M has also been allocated by the Queensland Government to expand public moorings and reef protection markers </w:t>
      </w:r>
      <w:proofErr w:type="gramStart"/>
      <w:r>
        <w:t>between 2016-2019</w:t>
      </w:r>
      <w:proofErr w:type="gramEnd"/>
      <w:r>
        <w:t xml:space="preserve">. This will assist with better protection of fragile reefs. </w:t>
      </w:r>
    </w:p>
    <w:p w14:paraId="5761D043" w14:textId="77777777" w:rsidR="00A56EE9" w:rsidRDefault="00A56EE9" w:rsidP="009A5057">
      <w:pPr>
        <w:spacing w:line="276" w:lineRule="auto"/>
      </w:pPr>
      <w:r>
        <w:t xml:space="preserve">Stakeholder engagement remains strong, with Marine Park Authority and Queensland Parks and Wildlife Service (QPWS) staff in regional offices continuing to interact with recreational users, particularly through Community Access Points and engagement for the Reef Guardian program. </w:t>
      </w:r>
    </w:p>
    <w:p w14:paraId="5761D044" w14:textId="77777777" w:rsidR="00A56EE9" w:rsidRDefault="00A56EE9" w:rsidP="009A5057">
      <w:pPr>
        <w:spacing w:line="276" w:lineRule="auto"/>
      </w:pPr>
      <w:r>
        <w:t xml:space="preserve">While Recreation is considered a low risk activity to the values of the Region, </w:t>
      </w:r>
      <w:r w:rsidRPr="001C34B3">
        <w:t xml:space="preserve">a review of the risk assessment in the RMS to consider new information concerning the cumulative impacts </w:t>
      </w:r>
      <w:r>
        <w:t xml:space="preserve">would be appropriate. </w:t>
      </w:r>
    </w:p>
    <w:p w14:paraId="5761D045" w14:textId="77777777" w:rsidR="00A56EE9" w:rsidRDefault="00A56EE9" w:rsidP="00BB6AD5">
      <w:pPr>
        <w:pStyle w:val="Header3"/>
      </w:pPr>
      <w:bookmarkStart w:id="15" w:name="_Toc523423756"/>
      <w:r>
        <w:t>Shipping</w:t>
      </w:r>
      <w:bookmarkEnd w:id="15"/>
      <w:r>
        <w:tab/>
      </w:r>
    </w:p>
    <w:p w14:paraId="5761D046" w14:textId="77777777" w:rsidR="00A56EE9" w:rsidRDefault="00A56EE9" w:rsidP="009A5057">
      <w:pPr>
        <w:spacing w:line="276" w:lineRule="auto"/>
      </w:pPr>
      <w:r w:rsidRPr="00240221">
        <w:t>Shipping</w:t>
      </w:r>
      <w:r>
        <w:t xml:space="preserve"> is well regulated and managed within the Region. An extensive suite of control, risk reduction and risk response measures, which compare favourably with management programs elsewhere in the world, are used to manage shipping activity. The </w:t>
      </w:r>
      <w:r w:rsidRPr="00B03D45">
        <w:t>Australian Maritime Safety Authority (AMSA)</w:t>
      </w:r>
      <w:r>
        <w:t xml:space="preserve">, Maritime Safety Queensland (MSQ) and the Marine Park Authority, collectively manage different aspects of shipping within the Region. Planning for and continual improvement of shipping management in the Region is guided by the multi-jurisdictional </w:t>
      </w:r>
      <w:r w:rsidRPr="00950007">
        <w:rPr>
          <w:i/>
        </w:rPr>
        <w:t>North East Shipping Management Plan</w:t>
      </w:r>
      <w:r>
        <w:rPr>
          <w:i/>
        </w:rPr>
        <w:t xml:space="preserve"> (North East Shipping Management Group 2014)</w:t>
      </w:r>
      <w:r>
        <w:t xml:space="preserve">. </w:t>
      </w:r>
    </w:p>
    <w:p w14:paraId="5761D047" w14:textId="77777777" w:rsidR="00A56EE9" w:rsidRDefault="00A56EE9" w:rsidP="009A5057">
      <w:pPr>
        <w:spacing w:line="276" w:lineRule="auto"/>
      </w:pPr>
      <w:r>
        <w:t xml:space="preserve">Although shipping incidents will inevitably occur, both the rate of incidents and the potential consequences have been attenuated to a significant extent in comparison with the historical record. These improvements are the result of initiatives at the international, national and regional level, reflected by continual improvements in technology, advances in ship design, more expansive marine environment protection and safety regulations, controls such as REEFVTS (Great Barrier Reef and Torres Strait Vessel Traffic Service) and associated enforcement and compliance mechanisms. The likelihood of single, catastrophic events is effectively risk-managed, but </w:t>
      </w:r>
      <w:r>
        <w:lastRenderedPageBreak/>
        <w:t>persistent, chronic, low-level effects are of potential concern. Examples of these include the cumulative effects of leaching and loss of biocidal anti-fouling paints, wake and turbulence effects, and possibly altered light and underwater noise regimes. Some research projects are being undertaken to better characterise and understand these potential risks.</w:t>
      </w:r>
    </w:p>
    <w:p w14:paraId="5761D048" w14:textId="77777777" w:rsidR="00A56EE9" w:rsidRDefault="00A56EE9" w:rsidP="00BB6AD5">
      <w:pPr>
        <w:pStyle w:val="Header3"/>
      </w:pPr>
      <w:bookmarkStart w:id="16" w:name="_Toc523423757"/>
      <w:r>
        <w:t>Traditional use of marine resources</w:t>
      </w:r>
      <w:bookmarkEnd w:id="16"/>
    </w:p>
    <w:p w14:paraId="5761D049" w14:textId="38841E65" w:rsidR="00A56EE9" w:rsidRDefault="00A56EE9" w:rsidP="00E3690C">
      <w:pPr>
        <w:spacing w:line="276" w:lineRule="auto"/>
      </w:pPr>
      <w:r>
        <w:t xml:space="preserve">The program to develop and implement agreements about the </w:t>
      </w:r>
      <w:r w:rsidRPr="00240221">
        <w:t>Traditional use of marine resources</w:t>
      </w:r>
      <w:r>
        <w:t xml:space="preserve"> remains one of the success stories in management of the Region. Traditional use of marine resources is managed primarily through Traditional Use of Marine Resources Agreements (TUMRAs) and Indigenous Land Use Agreements, which promote sustainable use of marine resources and incorporate management of other species and habitats such as seagrass, oyster beds and shellfish. Nine TUMRAs </w:t>
      </w:r>
      <w:r w:rsidR="00E04F87">
        <w:t xml:space="preserve">and one Indigenous Land Use Agreement </w:t>
      </w:r>
      <w:r>
        <w:t>now apply, covering an estimated 25 per cent of the Region’s coastline. This is an increase of three agreements since 2014. In those communities where TUMRAs are established, they have formed a major focus for activities related to management of Sea Country and Indigenous Heritage.</w:t>
      </w:r>
    </w:p>
    <w:p w14:paraId="5761D04A" w14:textId="77777777" w:rsidR="00A56EE9" w:rsidRDefault="00A56EE9" w:rsidP="00E3690C">
      <w:pPr>
        <w:spacing w:line="276" w:lineRule="auto"/>
      </w:pPr>
      <w:r>
        <w:t xml:space="preserve">Researchers have estimated that the traditional use of marine resources has only a minor and localised impact on the targeted species, compared to factors such as climate change and extreme climatic events, marine debris especially abandoned fishing nets, boat strike, pollution, sedimentation, and hunting outside the </w:t>
      </w:r>
      <w:r w:rsidRPr="001C3A06">
        <w:t xml:space="preserve">Region </w:t>
      </w:r>
      <w:r>
        <w:rPr>
          <w:noProof/>
        </w:rPr>
        <w:t>(Marsh and Hamman</w:t>
      </w:r>
      <w:r w:rsidRPr="001C3A06">
        <w:rPr>
          <w:noProof/>
        </w:rPr>
        <w:t xml:space="preserve"> </w:t>
      </w:r>
      <w:r>
        <w:rPr>
          <w:noProof/>
        </w:rPr>
        <w:t>2016, Commonwealth of Australia</w:t>
      </w:r>
      <w:r w:rsidRPr="001C3A06">
        <w:rPr>
          <w:noProof/>
        </w:rPr>
        <w:t xml:space="preserve"> 2017)</w:t>
      </w:r>
      <w:r w:rsidRPr="001C3A06">
        <w:t>.</w:t>
      </w:r>
      <w:r>
        <w:t xml:space="preserve"> However, given the low numbers of dugongs, some Traditional Owner groups have decided to forego their traditional rights and not take any at present.</w:t>
      </w:r>
    </w:p>
    <w:p w14:paraId="5761D04B" w14:textId="77777777" w:rsidR="00A56EE9" w:rsidRDefault="00A56EE9" w:rsidP="00E3690C">
      <w:pPr>
        <w:spacing w:line="276" w:lineRule="auto"/>
      </w:pPr>
      <w:r>
        <w:t xml:space="preserve">There has been strong engagement by both the Marine Park Authority and Field Management Program staff with Traditional Owner groups in relation to traditional use of marine resources. Compliance training has been delivered to more than 500 Traditional Owners over 2016-17, strengthening their ability to enforce their TUMRA both within their communities and where people from outside hunt within their sea country. </w:t>
      </w:r>
    </w:p>
    <w:p w14:paraId="5761D04C" w14:textId="77777777" w:rsidR="00A56EE9" w:rsidRDefault="00A56EE9" w:rsidP="00BB6AD5">
      <w:pPr>
        <w:pStyle w:val="Header2"/>
      </w:pPr>
      <w:bookmarkStart w:id="17" w:name="_Toc523423758"/>
      <w:r>
        <w:t>Managing external factors influencing the Region</w:t>
      </w:r>
      <w:bookmarkEnd w:id="17"/>
    </w:p>
    <w:p w14:paraId="5761D04D" w14:textId="77777777" w:rsidR="00A56EE9" w:rsidRDefault="00A56EE9" w:rsidP="00BB6AD5">
      <w:pPr>
        <w:pStyle w:val="Header3"/>
      </w:pPr>
      <w:bookmarkStart w:id="18" w:name="_Toc523423759"/>
      <w:r>
        <w:t>Climate change</w:t>
      </w:r>
      <w:bookmarkEnd w:id="18"/>
    </w:p>
    <w:p w14:paraId="5761D04E" w14:textId="75052B34" w:rsidR="00A56EE9" w:rsidRDefault="00A56EE9" w:rsidP="00E3690C">
      <w:pPr>
        <w:spacing w:line="276" w:lineRule="auto"/>
      </w:pPr>
      <w:r>
        <w:t>Widespread bleaching events across much of the Region over 2016 and 2017 have focussed even more attention on climate change as the principal threat to the Reef. Primary responsibility for national responses to climate change rests with the Commonwealth Department of Environment</w:t>
      </w:r>
      <w:r w:rsidR="0021241D">
        <w:t xml:space="preserve"> </w:t>
      </w:r>
      <w:r>
        <w:t xml:space="preserve">and Energy. </w:t>
      </w:r>
      <w:r w:rsidRPr="001A00C6">
        <w:t xml:space="preserve">The impacts of climate change and ocean acidification on the Great Barrier Reef arise from global greenhouse gas emissions. The </w:t>
      </w:r>
      <w:r w:rsidRPr="00950007">
        <w:t>Paris Agreement under the United Nations Framework Convention on Climate Change</w:t>
      </w:r>
      <w:r w:rsidRPr="001A00C6">
        <w:t xml:space="preserve"> provides the international framework under which actions to mitigate global climate change impacts are occurring. Effective global actions to mitigate climate change are necessary to manage climate change impacts </w:t>
      </w:r>
      <w:r w:rsidRPr="001A00C6">
        <w:lastRenderedPageBreak/>
        <w:t>on the Great Barrier Reef.</w:t>
      </w:r>
      <w:r>
        <w:t xml:space="preserve"> The Marine Park Authority has an advisory role to other agencies in relation to mitigation and adaptation to climate change and extreme weather events affecting the Region. While at a Queensland Government level, climate change programs and staffing have increased, and new climate transition and adaptation strategies have been released, governments at all levels continue to exhibit considerable “policy dissonance” around climate change responses and economic and development strategies being pursued by governments as indicated by </w:t>
      </w:r>
      <w:r w:rsidRPr="001C3A06">
        <w:t>Dale et al. (2016).</w:t>
      </w:r>
    </w:p>
    <w:p w14:paraId="5761D04F" w14:textId="77777777" w:rsidR="00A56EE9" w:rsidRDefault="00A56EE9" w:rsidP="00E3690C">
      <w:pPr>
        <w:spacing w:line="276" w:lineRule="auto"/>
      </w:pPr>
      <w:r>
        <w:t xml:space="preserve">The Marine Park Authority has limited jurisdictional responsibility for addressing climate change in the broad sense but has contributed significantly to the development of international best practice for managing responses to climate change and extreme weather issues as they relate to Reef ecosystems. This has been completed through research and monitoring, partnerships with research institutions, government agencies and stakeholder groups as well as education, community awareness and stakeholder engagement programs. </w:t>
      </w:r>
    </w:p>
    <w:p w14:paraId="5761D050" w14:textId="77777777" w:rsidR="00A56EE9" w:rsidRDefault="00A56EE9" w:rsidP="00E3690C">
      <w:pPr>
        <w:spacing w:line="276" w:lineRule="auto"/>
      </w:pPr>
      <w:r>
        <w:t>The Marine Park Authority has, in the past, been very active in this area. It prepared a strategic plan to address climate change in 2009 and updated that plan in 2012. However, the updated plan was defunded early in its life. Many actions in that plan remain unaddressed or only partially implemented, although a number of them have been incorporated into annual operational plans or are now included in the sectoral adaptation programs being developed at Queensland Government level. Changes in staffing and organisational structures within the Marine Park Authority have lowered the visibility of the organisation in addressing climate change. While the Marine Park Authority staff as a whole remains very aware of climate change and factor it into their work, there is no longer an identifiable unit or staff within the Marine Park Authority focussed on climate change responses.</w:t>
      </w:r>
    </w:p>
    <w:p w14:paraId="5761D051" w14:textId="77777777" w:rsidR="00A56EE9" w:rsidRDefault="00A56EE9" w:rsidP="00E3690C">
      <w:pPr>
        <w:spacing w:line="276" w:lineRule="auto"/>
      </w:pPr>
      <w:r>
        <w:t xml:space="preserve">The Reef 2050 Plan aims to address key threats and boost the health and resilience of the Reef so that it can better cope with the impacts of climate change. However, the Reef 2050 Plan does not directly address the threat of climate change by establishing objectives, targets and actions relating to climate change. This shortcoming was identified by the Reef 2050 Plan Independent Expert Panel and Reef 2050 Advisory Committee who recommended that they be explicitly included in the Reef 2050 Plan. Climate change has been more directly considered in the midterm review of the plan which was brought forward to commence in 2017 in recognition of the impact of back-to-back bleaching events in 2016/17. The revised Reef 2050 Plan does include </w:t>
      </w:r>
      <w:r w:rsidRPr="003E7381">
        <w:t>an improved narrative about climate change as well as local climate resilience and climate adaptation actions.</w:t>
      </w:r>
    </w:p>
    <w:p w14:paraId="5761D052" w14:textId="77777777" w:rsidR="00A56EE9" w:rsidRDefault="00A56EE9" w:rsidP="00BB6AD5">
      <w:pPr>
        <w:pStyle w:val="Header3"/>
      </w:pPr>
      <w:bookmarkStart w:id="19" w:name="_Toc523423760"/>
      <w:r>
        <w:t>Coastal development</w:t>
      </w:r>
      <w:bookmarkEnd w:id="19"/>
    </w:p>
    <w:p w14:paraId="5761D053" w14:textId="6D661106" w:rsidR="00A56EE9" w:rsidRPr="00A7798E" w:rsidRDefault="00A56EE9" w:rsidP="00E3690C">
      <w:pPr>
        <w:spacing w:line="276" w:lineRule="auto"/>
      </w:pPr>
      <w:r w:rsidRPr="00036E39">
        <w:t>Va</w:t>
      </w:r>
      <w:r>
        <w:t xml:space="preserve">lues of the Region relevant to </w:t>
      </w:r>
      <w:r w:rsidRPr="00240221">
        <w:t>Coastal development</w:t>
      </w:r>
      <w:r w:rsidRPr="00036E39">
        <w:t xml:space="preserve"> are clearly articulated in </w:t>
      </w:r>
      <w:proofErr w:type="gramStart"/>
      <w:r w:rsidRPr="00036E39">
        <w:rPr>
          <w:i/>
        </w:rPr>
        <w:t>Informing</w:t>
      </w:r>
      <w:proofErr w:type="gramEnd"/>
      <w:r w:rsidRPr="00036E39">
        <w:rPr>
          <w:i/>
        </w:rPr>
        <w:t xml:space="preserve"> the Outlook for Great Barrier Reef coastal ecosystems </w:t>
      </w:r>
      <w:r w:rsidRPr="00950007">
        <w:t>(GBRMPA</w:t>
      </w:r>
      <w:r w:rsidR="00242993">
        <w:t xml:space="preserve"> </w:t>
      </w:r>
      <w:r w:rsidRPr="00950007">
        <w:t>2012</w:t>
      </w:r>
      <w:r>
        <w:t>b</w:t>
      </w:r>
      <w:r>
        <w:rPr>
          <w:i/>
        </w:rPr>
        <w:t>)</w:t>
      </w:r>
      <w:r w:rsidRPr="00036E39">
        <w:t xml:space="preserve">, the </w:t>
      </w:r>
      <w:r w:rsidRPr="00DE60A7">
        <w:t>Great Barrier Reef Strategic Assessment</w:t>
      </w:r>
      <w:r>
        <w:t xml:space="preserve">, </w:t>
      </w:r>
      <w:r w:rsidRPr="00950007">
        <w:t xml:space="preserve">and the </w:t>
      </w:r>
      <w:r w:rsidRPr="00950007">
        <w:rPr>
          <w:i/>
        </w:rPr>
        <w:t>Scientific Consensus Statement</w:t>
      </w:r>
      <w:r w:rsidRPr="00950007">
        <w:t xml:space="preserve"> (</w:t>
      </w:r>
      <w:r>
        <w:t xml:space="preserve">Waterhouse et al. </w:t>
      </w:r>
      <w:r w:rsidRPr="00950007">
        <w:t>2017).</w:t>
      </w:r>
      <w:r w:rsidRPr="00036E39">
        <w:t xml:space="preserve"> The Scientific Consensus Statement identifie</w:t>
      </w:r>
      <w:r>
        <w:t>d</w:t>
      </w:r>
      <w:r w:rsidRPr="00036E39">
        <w:t xml:space="preserve"> </w:t>
      </w:r>
      <w:r w:rsidRPr="00A7798E">
        <w:lastRenderedPageBreak/>
        <w:t xml:space="preserve">coastal development as one of the activities contributing to </w:t>
      </w:r>
      <w:r>
        <w:t xml:space="preserve">the </w:t>
      </w:r>
      <w:r w:rsidRPr="00A7798E">
        <w:t xml:space="preserve">poor condition of the Region’s </w:t>
      </w:r>
      <w:r>
        <w:t xml:space="preserve">inshore </w:t>
      </w:r>
      <w:r w:rsidRPr="00A7798E">
        <w:t xml:space="preserve">ecosystems. </w:t>
      </w:r>
    </w:p>
    <w:p w14:paraId="5761D054" w14:textId="77777777" w:rsidR="00A56EE9" w:rsidRDefault="00A56EE9" w:rsidP="00E3690C">
      <w:pPr>
        <w:spacing w:line="276" w:lineRule="auto"/>
      </w:pPr>
      <w:r>
        <w:t>Planning systems to effectively address coastal development have continued to evolve and improve over the past five years. T</w:t>
      </w:r>
      <w:r w:rsidRPr="003A6082">
        <w:t xml:space="preserve">he </w:t>
      </w:r>
      <w:r w:rsidRPr="003A6082">
        <w:rPr>
          <w:i/>
        </w:rPr>
        <w:t>Planning Act 2016</w:t>
      </w:r>
      <w:r w:rsidRPr="003A6082">
        <w:t xml:space="preserve"> and associated legislation </w:t>
      </w:r>
      <w:r>
        <w:t>established</w:t>
      </w:r>
      <w:r w:rsidRPr="003A6082">
        <w:t xml:space="preserve"> ecological sustainability as a core principle</w:t>
      </w:r>
      <w:r>
        <w:t xml:space="preserve"> and </w:t>
      </w:r>
      <w:r w:rsidRPr="003A6082">
        <w:t xml:space="preserve">included reinstatement of coastal land surrender provisions under the </w:t>
      </w:r>
      <w:r w:rsidRPr="003A6082">
        <w:rPr>
          <w:i/>
        </w:rPr>
        <w:t>Coastal Protection and Management Act</w:t>
      </w:r>
      <w:r w:rsidRPr="003A6082">
        <w:t xml:space="preserve"> </w:t>
      </w:r>
      <w:r w:rsidRPr="003A6082">
        <w:rPr>
          <w:i/>
        </w:rPr>
        <w:t xml:space="preserve">1995 </w:t>
      </w:r>
      <w:r w:rsidRPr="003A6082">
        <w:t xml:space="preserve">to ensure areas at high risk of coastal erosion </w:t>
      </w:r>
      <w:r>
        <w:t>remain</w:t>
      </w:r>
      <w:r w:rsidRPr="003A6082">
        <w:t xml:space="preserve"> </w:t>
      </w:r>
      <w:r>
        <w:t xml:space="preserve">free of </w:t>
      </w:r>
      <w:r w:rsidRPr="003A6082">
        <w:t>development.</w:t>
      </w:r>
      <w:r>
        <w:t xml:space="preserve"> A number of councils in the Region have integrated the state interest coastal environment guideline supporting the </w:t>
      </w:r>
      <w:r w:rsidRPr="00950007">
        <w:t>Queensland</w:t>
      </w:r>
      <w:r w:rsidRPr="00950007">
        <w:rPr>
          <w:i/>
        </w:rPr>
        <w:t xml:space="preserve"> </w:t>
      </w:r>
      <w:r>
        <w:t xml:space="preserve">Government </w:t>
      </w:r>
      <w:r w:rsidRPr="00950007">
        <w:rPr>
          <w:i/>
        </w:rPr>
        <w:t>State Planning Policy</w:t>
      </w:r>
      <w:r>
        <w:t xml:space="preserve"> into their planning schemes.</w:t>
      </w:r>
    </w:p>
    <w:p w14:paraId="5761D055" w14:textId="77777777" w:rsidR="00A56EE9" w:rsidRPr="00036E39" w:rsidRDefault="00A56EE9" w:rsidP="00E3690C">
      <w:pPr>
        <w:spacing w:line="276" w:lineRule="auto"/>
      </w:pPr>
      <w:r w:rsidRPr="00036E39">
        <w:t xml:space="preserve">Stakeholder engagement on coastal ecosystem management </w:t>
      </w:r>
      <w:r>
        <w:t>continues to play an important role in protecting the values, although f</w:t>
      </w:r>
      <w:r w:rsidRPr="00036E39">
        <w:t>eedback from local councils suggest greater engagement about the implications of new science on co</w:t>
      </w:r>
      <w:r>
        <w:t>a</w:t>
      </w:r>
      <w:r w:rsidRPr="00036E39">
        <w:t xml:space="preserve">stal development would be appreciated. </w:t>
      </w:r>
    </w:p>
    <w:p w14:paraId="5761D056" w14:textId="77777777" w:rsidR="00A56EE9" w:rsidRPr="003A6082" w:rsidRDefault="00A56EE9" w:rsidP="00E3690C">
      <w:pPr>
        <w:spacing w:line="276" w:lineRule="auto"/>
      </w:pPr>
      <w:r>
        <w:t>T</w:t>
      </w:r>
      <w:r w:rsidRPr="005A4A35">
        <w:t xml:space="preserve">he Reef 2050 Plan </w:t>
      </w:r>
      <w:r>
        <w:t>highlighted that t</w:t>
      </w:r>
      <w:r w:rsidRPr="00036E39">
        <w:t>he long-term future condition and trend</w:t>
      </w:r>
      <w:r>
        <w:t xml:space="preserve"> </w:t>
      </w:r>
      <w:r w:rsidRPr="00036E39">
        <w:t xml:space="preserve">of coastal ecosystems </w:t>
      </w:r>
      <w:r>
        <w:t>are</w:t>
      </w:r>
      <w:r w:rsidRPr="00036E39">
        <w:t xml:space="preserve"> very poor if joint management action is not taken to halt and reverse the decline in </w:t>
      </w:r>
      <w:r>
        <w:t>inshore and coastal ecosystems. Improvement in planning, inputs, processes and outputs is a positive sign that the major issues are starting to be addressed. However, the impact of these improvements on the attainment of desired outcomes for coastal development has yet to be demonstrated.</w:t>
      </w:r>
    </w:p>
    <w:p w14:paraId="5761D057" w14:textId="77777777" w:rsidR="00A56EE9" w:rsidRDefault="00A56EE9" w:rsidP="00BB6AD5">
      <w:pPr>
        <w:pStyle w:val="Header3"/>
      </w:pPr>
      <w:bookmarkStart w:id="20" w:name="_Toc523423761"/>
      <w:r>
        <w:t>Land-based run-off</w:t>
      </w:r>
      <w:bookmarkEnd w:id="20"/>
    </w:p>
    <w:p w14:paraId="5761D058" w14:textId="577047DF" w:rsidR="00A56EE9" w:rsidRDefault="00A56EE9" w:rsidP="00E3690C">
      <w:pPr>
        <w:spacing w:line="276" w:lineRule="auto"/>
        <w:rPr>
          <w:lang w:val="en-GB"/>
        </w:rPr>
      </w:pPr>
      <w:r>
        <w:rPr>
          <w:lang w:val="en-GB"/>
        </w:rPr>
        <w:t xml:space="preserve">While Climate change is recognised as the highest long-term, system-wide threat to the values of the Great Barrier Reef Region, </w:t>
      </w:r>
      <w:r w:rsidRPr="00ED046A">
        <w:rPr>
          <w:lang w:val="en-GB"/>
        </w:rPr>
        <w:t>Land-based run-off</w:t>
      </w:r>
      <w:r>
        <w:rPr>
          <w:lang w:val="en-GB"/>
        </w:rPr>
        <w:t xml:space="preserve"> associated with agricultural practices is considered to be the most immediate system-wide threat (Reef 2050 Plan, </w:t>
      </w:r>
      <w:r w:rsidRPr="00950007">
        <w:rPr>
          <w:lang w:val="en-GB"/>
        </w:rPr>
        <w:t>Waterhouse 2017).</w:t>
      </w:r>
      <w:r>
        <w:rPr>
          <w:lang w:val="en-GB"/>
        </w:rPr>
        <w:t xml:space="preserve"> </w:t>
      </w:r>
      <w:r>
        <w:t xml:space="preserve">The </w:t>
      </w:r>
      <w:r w:rsidRPr="001C3A06">
        <w:rPr>
          <w:i/>
        </w:rPr>
        <w:t>Reef 2050 Water Quality Improvement Plan 2017-2022</w:t>
      </w:r>
      <w:r>
        <w:t xml:space="preserve"> (Reef 2050 WQIP) (</w:t>
      </w:r>
      <w:r w:rsidR="00C70E92" w:rsidRPr="00F97658">
        <w:t>Commonwealth of Australia</w:t>
      </w:r>
      <w:r w:rsidRPr="00C70E92">
        <w:t xml:space="preserve"> 2018</w:t>
      </w:r>
      <w:r>
        <w:t xml:space="preserve">) </w:t>
      </w:r>
      <w:r>
        <w:rPr>
          <w:lang w:val="en-GB"/>
        </w:rPr>
        <w:t>sets out a number of actions and targets associated with land-based run-off, and</w:t>
      </w:r>
      <w:r>
        <w:t xml:space="preserve"> now aligns with the Reef 2050 Plan. It has been expanded to cover all land-based sources of water pollution, including those from urban and industrial lands, as well as considering social and economic values.</w:t>
      </w:r>
    </w:p>
    <w:p w14:paraId="5761D059" w14:textId="77777777" w:rsidR="00A56EE9" w:rsidRDefault="00A56EE9" w:rsidP="00E3690C">
      <w:pPr>
        <w:spacing w:line="276" w:lineRule="auto"/>
        <w:rPr>
          <w:lang w:val="en-GB"/>
        </w:rPr>
      </w:pPr>
      <w:r>
        <w:rPr>
          <w:lang w:val="en-GB"/>
        </w:rPr>
        <w:t>The values that underpin the matters relevant to water quality continue to be well understood by managers. The implementation of the Reef 2050 WQIP prioritises funding to reduce land-based run-off through improved land management practices. In addition, it emphasises research and monitoring programs to assess the effectiveness of the programs and assist with targeting geographical areas and actions.</w:t>
      </w:r>
      <w:r>
        <w:t xml:space="preserve"> </w:t>
      </w:r>
    </w:p>
    <w:p w14:paraId="5761D05A" w14:textId="5A6655A2" w:rsidR="00A56EE9" w:rsidRDefault="00A56EE9" w:rsidP="00E3690C">
      <w:pPr>
        <w:spacing w:line="276" w:lineRule="auto"/>
      </w:pPr>
      <w:r>
        <w:rPr>
          <w:lang w:val="en-GB"/>
        </w:rPr>
        <w:t xml:space="preserve">The context, planning, inputs, processes and outputs of the program continue to improve, however </w:t>
      </w:r>
      <w:r w:rsidRPr="00950007">
        <w:rPr>
          <w:lang w:val="en-GB"/>
        </w:rPr>
        <w:t>the Scientific Consensus Statement (Waterhouse, 2017) highlights</w:t>
      </w:r>
      <w:r>
        <w:rPr>
          <w:lang w:val="en-GB"/>
        </w:rPr>
        <w:t xml:space="preserve"> that poor water quality is continuing to have a detrimental effect on Reef health</w:t>
      </w:r>
      <w:r w:rsidR="00C26684">
        <w:rPr>
          <w:lang w:val="en-GB"/>
        </w:rPr>
        <w:t>.</w:t>
      </w:r>
      <w:r w:rsidR="00ED046A" w:rsidRPr="00ED046A">
        <w:t xml:space="preserve"> </w:t>
      </w:r>
      <w:r w:rsidR="00ED046A">
        <w:t xml:space="preserve">With voluntary implementation of improved management practices in place, change is likely to be slow, </w:t>
      </w:r>
      <w:r>
        <w:rPr>
          <w:lang w:val="en-GB"/>
        </w:rPr>
        <w:t>and the significant time-lag between actions on the ground and results in better water quality will be exacerbated.</w:t>
      </w:r>
    </w:p>
    <w:p w14:paraId="5761D05B" w14:textId="77777777" w:rsidR="00A56EE9" w:rsidRDefault="00A56EE9" w:rsidP="00BB6AD5">
      <w:pPr>
        <w:pStyle w:val="Header2"/>
      </w:pPr>
      <w:bookmarkStart w:id="21" w:name="_Toc523423762"/>
      <w:r>
        <w:lastRenderedPageBreak/>
        <w:t>Managing to protect the Region’s values</w:t>
      </w:r>
      <w:bookmarkEnd w:id="21"/>
    </w:p>
    <w:p w14:paraId="5761D05C" w14:textId="77777777" w:rsidR="00A56EE9" w:rsidRDefault="00A56EE9" w:rsidP="00BB6AD5">
      <w:pPr>
        <w:pStyle w:val="Header3"/>
      </w:pPr>
      <w:bookmarkStart w:id="22" w:name="_Toc523423763"/>
      <w:r>
        <w:t>Biodiversity values</w:t>
      </w:r>
      <w:bookmarkEnd w:id="22"/>
    </w:p>
    <w:p w14:paraId="5761D05D" w14:textId="77777777" w:rsidR="00A56EE9" w:rsidRDefault="00A56EE9" w:rsidP="00E3690C">
      <w:pPr>
        <w:spacing w:line="276" w:lineRule="auto"/>
      </w:pPr>
      <w:r>
        <w:t xml:space="preserve">Protection of </w:t>
      </w:r>
      <w:r w:rsidRPr="00ED046A">
        <w:t>Biodiversity</w:t>
      </w:r>
      <w:r>
        <w:t xml:space="preserve"> within the Region is the primary objective for many of the management actions undertaken within the Region. The Outlook process, UNESCO World Heritage Monitoring driven by the possibility of placing the World Heritage Area on the “danger list”, and the Great Barrier Reef Strategic Assessment and Great Barrier Reef Coastal Zone Strategic Assessments have focussed attention on the biodiversity values and threats to values in the Region. This increased attention has resulted in studies undertaken in collaboration with research and academic institutions that have increased documentation and understanding of this issue, particularly in response to coral bleaching. Back-to-back bleaching events in 2016 and 2017 have dramatically changed the situation in relation to outcomes for biodiversity in the Region. Monitoring and assessment work undertaken by researchers in 2016 and 2017 have provided some information on the extent of bleaching and some estimates of coral death, but the flow-on impacts on other elements of biodiversity are currently less well understood.</w:t>
      </w:r>
    </w:p>
    <w:p w14:paraId="5761D05E" w14:textId="4D99BF52" w:rsidR="00A56EE9" w:rsidRDefault="00A56EE9" w:rsidP="00E3690C">
      <w:pPr>
        <w:spacing w:line="276" w:lineRule="auto"/>
      </w:pPr>
      <w:r>
        <w:t>Management is undertaken using an array of measures, principally zoning plans and associated complianc</w:t>
      </w:r>
      <w:r w:rsidR="00AC436C">
        <w:t>e</w:t>
      </w:r>
      <w:r>
        <w:t xml:space="preserve">. Other measures include management plans, permit assessments, site management, education, and implementation of best practices. A potentially complex and confusing management regime that operates across jurisdictions has long been addressed through inter-governmental coordination, for example, complementary zoning plans and work programs. Major risks and threats to biodiversity protection are well documented and risk assessment and management procedures are in place. </w:t>
      </w:r>
    </w:p>
    <w:p w14:paraId="5761D05F" w14:textId="77777777" w:rsidR="00A56EE9" w:rsidRDefault="00A56EE9" w:rsidP="00E3690C">
      <w:pPr>
        <w:spacing w:line="276" w:lineRule="auto"/>
      </w:pPr>
      <w:r>
        <w:t xml:space="preserve">The extensive degradation across the Region highlights the importance of considering cumulative and consequential impacts, which are currently less well understood by managers. Work on development of an integrated monitoring framework </w:t>
      </w:r>
      <w:r w:rsidRPr="00950007">
        <w:rPr>
          <w:i/>
        </w:rPr>
        <w:t>Reef 2050 Integrated Monitoring and Reporting Program</w:t>
      </w:r>
      <w:r w:rsidRPr="005065F0">
        <w:t xml:space="preserve"> </w:t>
      </w:r>
      <w:r>
        <w:t>and on assessment of cumulative impacts have been very slow over the past two years but offer the promise of addressing this deficiency (as also indicated by Gooch et al. (2017) and Collier et al. (2016)). The capacity of the Field Management Program to address biodiversity management and natural resource management issues in marine and island environments is likely to improve with the allocation of additional staffing and vessels, following a period of declining capacity over the Outlook 2014 reporting timeframe.</w:t>
      </w:r>
    </w:p>
    <w:p w14:paraId="5761D060" w14:textId="77777777" w:rsidR="00A56EE9" w:rsidRDefault="00A56EE9" w:rsidP="00BB6AD5">
      <w:pPr>
        <w:pStyle w:val="Header3"/>
      </w:pPr>
      <w:bookmarkStart w:id="23" w:name="_Toc523423764"/>
      <w:r>
        <w:t>Heritage values</w:t>
      </w:r>
      <w:bookmarkEnd w:id="23"/>
    </w:p>
    <w:p w14:paraId="5761D061" w14:textId="23E6F063" w:rsidR="00A56EE9" w:rsidRDefault="00A56EE9" w:rsidP="00E3690C">
      <w:pPr>
        <w:spacing w:after="200" w:line="276" w:lineRule="auto"/>
        <w:rPr>
          <w:rFonts w:eastAsia="Calibri" w:cs="Arial"/>
        </w:rPr>
      </w:pPr>
      <w:r>
        <w:rPr>
          <w:rFonts w:eastAsia="Calibri" w:cs="Arial"/>
        </w:rPr>
        <w:t xml:space="preserve">Recognition of the </w:t>
      </w:r>
      <w:r w:rsidRPr="00E3690C">
        <w:rPr>
          <w:rFonts w:eastAsia="Calibri" w:cs="Arial"/>
        </w:rPr>
        <w:t xml:space="preserve">Heritage values </w:t>
      </w:r>
      <w:r>
        <w:rPr>
          <w:rFonts w:eastAsia="Calibri" w:cs="Arial"/>
        </w:rPr>
        <w:t xml:space="preserve">of the Region has improved over the last four years, especially in relation to Indigenous heritage. </w:t>
      </w:r>
      <w:r>
        <w:rPr>
          <w:rFonts w:cs="Arial"/>
        </w:rPr>
        <w:t>The Reef 2050 Plan includes a heritage theme, and this has stimulated action in planning for heritage and in engagement with Traditional Owners. Major developments in planning include development of an updated draft heritage plan ‘</w:t>
      </w:r>
      <w:r w:rsidRPr="00950007">
        <w:rPr>
          <w:rFonts w:cs="Arial"/>
          <w:i/>
        </w:rPr>
        <w:t>Heritage in the Great Barrier Reef Marine Park’</w:t>
      </w:r>
      <w:r>
        <w:rPr>
          <w:rFonts w:cs="Arial"/>
        </w:rPr>
        <w:t xml:space="preserve">, and more </w:t>
      </w:r>
      <w:r w:rsidR="009A5057">
        <w:rPr>
          <w:rFonts w:cs="Arial"/>
        </w:rPr>
        <w:t>specific nested strategies: the</w:t>
      </w:r>
      <w:r w:rsidR="00557477">
        <w:rPr>
          <w:rFonts w:cs="Arial"/>
        </w:rPr>
        <w:t xml:space="preserve"> </w:t>
      </w:r>
      <w:r w:rsidRPr="00950007">
        <w:rPr>
          <w:rFonts w:cs="Arial"/>
          <w:i/>
        </w:rPr>
        <w:t xml:space="preserve">Aboriginal and Torres Strait Islander </w:t>
      </w:r>
      <w:r w:rsidRPr="00950007">
        <w:rPr>
          <w:rFonts w:cs="Arial"/>
          <w:i/>
        </w:rPr>
        <w:lastRenderedPageBreak/>
        <w:t>Heritage Strategy 2018-2022</w:t>
      </w:r>
      <w:r>
        <w:rPr>
          <w:rFonts w:cs="Arial"/>
        </w:rPr>
        <w:t xml:space="preserve">; and the </w:t>
      </w:r>
      <w:r w:rsidRPr="00950007">
        <w:rPr>
          <w:rFonts w:cs="Arial"/>
          <w:i/>
        </w:rPr>
        <w:t>Great Barrier Reef Marine Park Commonwealth Heritage Listed Places and Properties Heritage Strategy 2018-2021</w:t>
      </w:r>
      <w:r>
        <w:rPr>
          <w:rFonts w:cs="Arial"/>
        </w:rPr>
        <w:t xml:space="preserve">’. New protocols are being developed to enable appropriate negotiation, storage and handling of culturally sensitive material. New impact assessment guidelines relating to historic and Indigenous heritage values have been finalised. </w:t>
      </w:r>
    </w:p>
    <w:p w14:paraId="5761D062" w14:textId="02E94E27" w:rsidR="00A56EE9" w:rsidRDefault="00A56EE9" w:rsidP="00E3690C">
      <w:pPr>
        <w:spacing w:after="200" w:line="276" w:lineRule="auto"/>
        <w:rPr>
          <w:rFonts w:cs="Arial"/>
        </w:rPr>
      </w:pPr>
      <w:r>
        <w:rPr>
          <w:rFonts w:cs="Arial"/>
        </w:rPr>
        <w:t>The Marine Park Authority</w:t>
      </w:r>
      <w:r>
        <w:rPr>
          <w:rFonts w:eastAsia="Calibri" w:cs="Arial"/>
        </w:rPr>
        <w:t xml:space="preserve"> has developed a heritage register that will store information about all values relevant to heritage in Commonwealth listed sites</w:t>
      </w:r>
      <w:r w:rsidR="00557477">
        <w:rPr>
          <w:rFonts w:eastAsia="Calibri" w:cs="Arial"/>
        </w:rPr>
        <w:t xml:space="preserve"> within the Region</w:t>
      </w:r>
      <w:r>
        <w:rPr>
          <w:rFonts w:eastAsia="Calibri" w:cs="Arial"/>
        </w:rPr>
        <w:t>. With the exception of listed and priority sites, management of most historic sites in the Region receive little attention and are vulnerable to inadvertent damage. However, progress has been made in legislative protection, with a specific type of Special Management Area created in 2015 to increase the capacity to protect maritime cultural sites around two World War II submerged aircraft.</w:t>
      </w:r>
    </w:p>
    <w:p w14:paraId="5761D063" w14:textId="77777777" w:rsidR="00A56EE9" w:rsidRDefault="00A56EE9" w:rsidP="00E3690C">
      <w:pPr>
        <w:spacing w:after="200" w:line="276" w:lineRule="auto"/>
      </w:pPr>
      <w:r>
        <w:t xml:space="preserve">Indigenous Rangers and Traditional Owners have been very active in the field, working with the Field Management Program, other Indigenous Ranger initiatives and Traditional Owner groups to manage their own Sea Country and associated heritage. In spite of this progress, the current state of engagement with Traditional Owners in the Region still requires some improvements, with some people feeling that there is still a lack of engagement of Traditional Owners as real partners in the long-term management of sea country </w:t>
      </w:r>
      <w:r>
        <w:rPr>
          <w:noProof/>
        </w:rPr>
        <w:t>(Great Barrier Reef Traditional Owner Workshop, 2018, Dale et al., 2016)</w:t>
      </w:r>
      <w:r>
        <w:t xml:space="preserve">. </w:t>
      </w:r>
    </w:p>
    <w:p w14:paraId="5761D064" w14:textId="77777777" w:rsidR="00A56EE9" w:rsidRDefault="00A56EE9" w:rsidP="00BB6AD5">
      <w:pPr>
        <w:pStyle w:val="Header3"/>
      </w:pPr>
      <w:bookmarkStart w:id="24" w:name="_Toc523423765"/>
      <w:r>
        <w:t>Community benefits of the environment</w:t>
      </w:r>
      <w:bookmarkEnd w:id="24"/>
    </w:p>
    <w:p w14:paraId="5761D065" w14:textId="18EE0E81" w:rsidR="00A56EE9" w:rsidRDefault="00A56EE9" w:rsidP="00E3690C">
      <w:pPr>
        <w:spacing w:line="276" w:lineRule="auto"/>
      </w:pPr>
      <w:r>
        <w:t xml:space="preserve">Significant work has been undertaken to understand the range of community benefits across the Region and to incorporate community benefits into planning, policy and assessment processes. This has required a better understanding of benefits to the community and the consequential and cumulative impacts of activities on </w:t>
      </w:r>
      <w:r w:rsidRPr="00ED046A">
        <w:t>Community benefits of the environment</w:t>
      </w:r>
      <w:r>
        <w:t xml:space="preserve">. Human-dimension targets are being developed for incorporation in future plans and monitoring programs. Community benefits are now included in many of the policy and decision-making guidelines such as the Reef 2050 Plan. Stakeholder and Traditional Owner engagement through the Reef Advisory Committees, Local Marine Advisory Committees and volunteer programs enable managers to gain a better understanding of community values and issues of concern. The Field Management Program, managed by the Marine Park Authority and the Queensland Government, has a strong commitment to ensuring public access to the Reef and islands. </w:t>
      </w:r>
      <w:r w:rsidDel="00C96A67">
        <w:t>A significant body of work has been undertaken to provide guidelines</w:t>
      </w:r>
      <w:r>
        <w:t xml:space="preserve"> and benchmarks (Marshall et al; 2017a</w:t>
      </w:r>
      <w:r w:rsidDel="00C96A67">
        <w:t>).</w:t>
      </w:r>
    </w:p>
    <w:p w14:paraId="5761D066" w14:textId="77777777" w:rsidR="00A56EE9" w:rsidRDefault="00A56EE9" w:rsidP="00BB6AD5">
      <w:pPr>
        <w:pStyle w:val="Header2"/>
      </w:pPr>
      <w:bookmarkStart w:id="25" w:name="_Toc523423766"/>
      <w:r>
        <w:t>Management of elements within the management framework</w:t>
      </w:r>
      <w:bookmarkEnd w:id="25"/>
    </w:p>
    <w:p w14:paraId="5761D067" w14:textId="05E77D81" w:rsidR="00A56EE9" w:rsidRDefault="00A56EE9" w:rsidP="00E3690C">
      <w:pPr>
        <w:spacing w:line="276" w:lineRule="auto"/>
      </w:pPr>
      <w:r w:rsidRPr="007F2F88">
        <w:rPr>
          <w:b/>
          <w:i/>
        </w:rPr>
        <w:t>Context</w:t>
      </w:r>
      <w:r>
        <w:t xml:space="preserve"> is the highest scoring management effectiveness element across the topics, with all assessed as either effective (8 topics) or mostly effective (6 topics). These ratings have mostly </w:t>
      </w:r>
      <w:r w:rsidR="002510A5">
        <w:t xml:space="preserve">been </w:t>
      </w:r>
      <w:r>
        <w:t>stable since the Outlook Report 2014 (GBRMPA 2014a), with an improvement for Shipping and Heritage and a decline for Biodiversity. This</w:t>
      </w:r>
      <w:r w:rsidR="00375EDE">
        <w:t xml:space="preserve"> decline</w:t>
      </w:r>
      <w:r>
        <w:t xml:space="preserve"> is primarily due to the increased uncertainty around the condition and trend of Biodiversity following the bleaching events of 2016 and 2017. </w:t>
      </w:r>
    </w:p>
    <w:p w14:paraId="5761D068" w14:textId="53567CBB" w:rsidR="00A56EE9" w:rsidRDefault="00A56EE9" w:rsidP="00E3690C">
      <w:pPr>
        <w:spacing w:line="276" w:lineRule="auto"/>
      </w:pPr>
      <w:r>
        <w:lastRenderedPageBreak/>
        <w:t xml:space="preserve">Significant efforts have been made since the Outlook Report 2009 in </w:t>
      </w:r>
      <w:r>
        <w:rPr>
          <w:b/>
          <w:i/>
        </w:rPr>
        <w:t xml:space="preserve">planning </w:t>
      </w:r>
      <w:r>
        <w:t>for a number of issues such as Coastal development, Heritage, Shipping</w:t>
      </w:r>
      <w:r w:rsidR="00375EDE">
        <w:t>, Fishing</w:t>
      </w:r>
      <w:r>
        <w:t xml:space="preserve"> and Research. Lack of plans and systems to ensure that adequate monitoring is undertaken is the weakest aspect of planning overall. </w:t>
      </w:r>
    </w:p>
    <w:p w14:paraId="5761D069" w14:textId="77777777" w:rsidR="00A56EE9" w:rsidRDefault="00A56EE9" w:rsidP="00E3690C">
      <w:pPr>
        <w:spacing w:line="276" w:lineRule="auto"/>
      </w:pPr>
      <w:r>
        <w:t xml:space="preserve">Adequacy of </w:t>
      </w:r>
      <w:r w:rsidRPr="00317AD1">
        <w:rPr>
          <w:b/>
          <w:i/>
        </w:rPr>
        <w:t>i</w:t>
      </w:r>
      <w:r>
        <w:rPr>
          <w:b/>
          <w:i/>
        </w:rPr>
        <w:t>nputs</w:t>
      </w:r>
      <w:r>
        <w:rPr>
          <w:b/>
        </w:rPr>
        <w:t xml:space="preserve"> </w:t>
      </w:r>
      <w:r>
        <w:t xml:space="preserve">is variable across management issues, being least </w:t>
      </w:r>
      <w:r w:rsidRPr="00D07110">
        <w:rPr>
          <w:i/>
        </w:rPr>
        <w:t>effective</w:t>
      </w:r>
      <w:r>
        <w:t xml:space="preserve"> for Climate change, Historic heritage and Fishing. Secure resourcing (both funding and staff resources) is a continuing problem for many management issues. The adequacy of staff numbers to address issues was the second weakest indicator overall, and inputs generally (apart from availability of non-government inputs such as volunteers) fell in the lower half of the distribution of indicator scores across topics. Loss of experienced staff with extensive corporate knowledge and expertise has been an issue at both Queensland and Australian government level. The allocation of significant funding across a number of topics in 2018 is recognised. </w:t>
      </w:r>
    </w:p>
    <w:p w14:paraId="5761D06A" w14:textId="7FAF289A" w:rsidR="00A56EE9" w:rsidRDefault="00A56EE9" w:rsidP="00E3690C">
      <w:pPr>
        <w:spacing w:line="276" w:lineRule="auto"/>
      </w:pPr>
      <w:r>
        <w:t xml:space="preserve">Management </w:t>
      </w:r>
      <w:r>
        <w:rPr>
          <w:b/>
          <w:i/>
        </w:rPr>
        <w:t>processes</w:t>
      </w:r>
      <w:r>
        <w:t xml:space="preserve"> are particularly strong for Defence activities, management of Land-based run-off, Shipping and Research. They are weakest for Climate change, Coastal development, Heritage and Fishing. Stakeholder and community engagement and application of biophysical information are the highest rated processes across all issues. Governance is generally strong, but weak for Climate change. The application of socio-economic and heritage knowledge, and setting of targets to benchmark performance are problematic for many issues.</w:t>
      </w:r>
      <w:r w:rsidR="00242993">
        <w:t xml:space="preserve"> </w:t>
      </w:r>
    </w:p>
    <w:p w14:paraId="5761D06B" w14:textId="77777777" w:rsidR="00A56EE9" w:rsidRDefault="00A56EE9" w:rsidP="00E3690C">
      <w:pPr>
        <w:spacing w:line="276" w:lineRule="auto"/>
      </w:pPr>
      <w:r>
        <w:t xml:space="preserve">Delivery of desired </w:t>
      </w:r>
      <w:r>
        <w:rPr>
          <w:b/>
          <w:i/>
        </w:rPr>
        <w:t>outputs</w:t>
      </w:r>
      <w:r>
        <w:t xml:space="preserve"> was rated as </w:t>
      </w:r>
      <w:r w:rsidRPr="00D07110">
        <w:rPr>
          <w:i/>
        </w:rPr>
        <w:t>effective</w:t>
      </w:r>
      <w:r>
        <w:t xml:space="preserve"> or </w:t>
      </w:r>
      <w:r w:rsidRPr="00D07110">
        <w:rPr>
          <w:i/>
        </w:rPr>
        <w:t>mostly effective</w:t>
      </w:r>
      <w:r>
        <w:t xml:space="preserve"> for all issues except Climate change (</w:t>
      </w:r>
      <w:r w:rsidRPr="00D07110">
        <w:rPr>
          <w:i/>
        </w:rPr>
        <w:t>ineffective</w:t>
      </w:r>
      <w:r>
        <w:t>) and Recreation (</w:t>
      </w:r>
      <w:r w:rsidRPr="00D07110">
        <w:rPr>
          <w:i/>
        </w:rPr>
        <w:t>partially effective</w:t>
      </w:r>
      <w:r>
        <w:t xml:space="preserve">). Outputs are strongest in relation to Defence, Commercial marine tourism, and Traditional use of marine resources. The most highly rated Output indicator related to formation of effective partnerships with stakeholders and communities, reflecting strengths in stakeholder and community relations across the assessment. </w:t>
      </w:r>
    </w:p>
    <w:p w14:paraId="5761D06C" w14:textId="77777777" w:rsidR="00A56EE9" w:rsidRDefault="00A56EE9" w:rsidP="00E3690C">
      <w:pPr>
        <w:spacing w:line="276" w:lineRule="auto"/>
      </w:pPr>
      <w:r>
        <w:t>Achievement of desired</w:t>
      </w:r>
      <w:r>
        <w:rPr>
          <w:b/>
          <w:i/>
        </w:rPr>
        <w:t xml:space="preserve"> outcomes</w:t>
      </w:r>
      <w:r>
        <w:t xml:space="preserve"> (values protected, threats reduced, </w:t>
      </w:r>
      <w:proofErr w:type="gramStart"/>
      <w:r>
        <w:t>long</w:t>
      </w:r>
      <w:proofErr w:type="gramEnd"/>
      <w:r>
        <w:t xml:space="preserve">-term environmental and economic sustainability) is highly variable across issues. Overall, the greatest concerns in relation to achievement of desired outcomes are for Climate change and Biodiversity, both of which are rated as </w:t>
      </w:r>
      <w:r w:rsidRPr="00D07110">
        <w:rPr>
          <w:i/>
        </w:rPr>
        <w:t>ineffective</w:t>
      </w:r>
      <w:r>
        <w:t xml:space="preserve"> in relation to environmental sustainability.</w:t>
      </w:r>
    </w:p>
    <w:p w14:paraId="5761D06D" w14:textId="77777777" w:rsidR="00A56EE9" w:rsidRDefault="00A56EE9" w:rsidP="00BB6AD5">
      <w:pPr>
        <w:pStyle w:val="Header2"/>
      </w:pPr>
      <w:bookmarkStart w:id="26" w:name="_Toc523423767"/>
      <w:r>
        <w:t>Management approaches</w:t>
      </w:r>
      <w:bookmarkEnd w:id="26"/>
    </w:p>
    <w:p w14:paraId="5761D06E" w14:textId="77777777" w:rsidR="00A56EE9" w:rsidRDefault="00A56EE9" w:rsidP="00BB6AD5">
      <w:pPr>
        <w:pStyle w:val="Header3"/>
      </w:pPr>
      <w:bookmarkStart w:id="27" w:name="_Toc523423768"/>
      <w:r>
        <w:t>Environmental regulation</w:t>
      </w:r>
      <w:bookmarkEnd w:id="27"/>
    </w:p>
    <w:p w14:paraId="5761D06F" w14:textId="77777777" w:rsidR="00A56EE9" w:rsidRDefault="00A56EE9" w:rsidP="00E3690C">
      <w:pPr>
        <w:spacing w:line="276" w:lineRule="auto"/>
      </w:pPr>
      <w:r>
        <w:t xml:space="preserve">Statutory instruments used to assist the management of the Region are generally contemporary and appropriate. Commonwealth legislation has been reviewed to keep pace with emerging issues, and to align the </w:t>
      </w:r>
      <w:r w:rsidRPr="00AE2E33">
        <w:rPr>
          <w:i/>
        </w:rPr>
        <w:t>Environmental Protection and Biodiversity C</w:t>
      </w:r>
      <w:r>
        <w:rPr>
          <w:i/>
        </w:rPr>
        <w:t>onservation</w:t>
      </w:r>
      <w:r w:rsidRPr="00AE2E33">
        <w:rPr>
          <w:i/>
        </w:rPr>
        <w:t xml:space="preserve"> Act 1990</w:t>
      </w:r>
      <w:r>
        <w:t xml:space="preserve"> (EPBC) and the </w:t>
      </w:r>
      <w:r w:rsidRPr="00AE2E33">
        <w:rPr>
          <w:i/>
        </w:rPr>
        <w:t>Great Barrier Reef Marine Park Act 1975</w:t>
      </w:r>
      <w:r>
        <w:t xml:space="preserve"> (GBRMP Act). A 2014 review of institutional and legal arrangements found that gaps exist in regulation of climate change and agriculture but expressed caution about the practicality of additional regulation of these complex issues. The relevant Queensland legislation is not necessarily consistent with the Commonwealth, often due to differences in objectives between the two governments. </w:t>
      </w:r>
    </w:p>
    <w:p w14:paraId="5761D070" w14:textId="44F32E7B" w:rsidR="00A56EE9" w:rsidRDefault="00A56EE9" w:rsidP="00E3690C">
      <w:pPr>
        <w:spacing w:line="276" w:lineRule="auto"/>
      </w:pPr>
      <w:r>
        <w:lastRenderedPageBreak/>
        <w:t xml:space="preserve">The </w:t>
      </w:r>
      <w:r w:rsidRPr="00C93EF3">
        <w:t>Great Barrier Reef Marine Park Zoning Plan</w:t>
      </w:r>
      <w:r>
        <w:t xml:space="preserve"> </w:t>
      </w:r>
      <w:r w:rsidRPr="00C93EF3">
        <w:t>2003</w:t>
      </w:r>
      <w:r>
        <w:t xml:space="preserve"> (Zoning Plan) continues to be very effective for issues such as fishing, resulting in positive biodiversity protection outcomes. However, zoning (spatial planning) is not designed to comprehensively address other issues (e.g. </w:t>
      </w:r>
      <w:r w:rsidR="005B4EDB">
        <w:t>recreation</w:t>
      </w:r>
      <w:r>
        <w:t xml:space="preserve">) which are handled in detail through permits and Plans of Management. The only Plan of Management to be updated recently is the Whitsundays Plan of Management. Higher levels of zoning protection in </w:t>
      </w:r>
      <w:r w:rsidRPr="00C93EF3">
        <w:t>Marine National Park and Preservation Zones</w:t>
      </w:r>
      <w:r>
        <w:t xml:space="preserve"> have not offered protection against coral bleaching. </w:t>
      </w:r>
    </w:p>
    <w:p w14:paraId="5761D071" w14:textId="77777777" w:rsidR="00A56EE9" w:rsidRDefault="00A56EE9" w:rsidP="00E3690C">
      <w:pPr>
        <w:spacing w:line="276" w:lineRule="auto"/>
      </w:pPr>
      <w:r>
        <w:t xml:space="preserve">Compliance systems are very sophisticated and are focussed on issues of risk to the Region such as illegal fishing. Changes to Vessel Monitoring System requirements for commercial fishing vessels are indicated in the Sustainable Fisheries Strategy, with a requirement that these devices be fitted to all commercial fishing vessels including dories by 2020, and a priority to install units on net, line and crab commercial fishing vessels by the end of 2018. </w:t>
      </w:r>
    </w:p>
    <w:p w14:paraId="5761D072" w14:textId="77777777" w:rsidR="00A56EE9" w:rsidRDefault="00A56EE9" w:rsidP="00E3690C">
      <w:pPr>
        <w:spacing w:line="276" w:lineRule="auto"/>
      </w:pPr>
      <w:r>
        <w:t xml:space="preserve">A number of policies and strategies were prepared or updated in the lead-up to the Outlook Report 2014 – (e.g. Climate change, Recreation, Biodiversity, TUMRAs, Reef Water Quality Protection Plan (now Reef 2050 WQIP)) but some of these, such as the </w:t>
      </w:r>
      <w:r w:rsidRPr="00DE60A7">
        <w:rPr>
          <w:i/>
        </w:rPr>
        <w:t>Recreation Management Strategy</w:t>
      </w:r>
      <w:r>
        <w:t xml:space="preserve"> and </w:t>
      </w:r>
      <w:r w:rsidRPr="00DE60A7">
        <w:rPr>
          <w:i/>
        </w:rPr>
        <w:t>Biodiversity Conservation Strategy</w:t>
      </w:r>
      <w:r>
        <w:t xml:space="preserve">, have either not been actively implemented or, in the case of the </w:t>
      </w:r>
      <w:r w:rsidRPr="00DE60A7">
        <w:rPr>
          <w:i/>
        </w:rPr>
        <w:t>Climate Change Strategy</w:t>
      </w:r>
      <w:r>
        <w:t xml:space="preserve"> were defunded, discontinued or integrated into other programs. To some extent the Reef 2050 Plan has overtaken some of these strategies as an overarching plan for the Region, although it lacks a focus on addressing climate change.</w:t>
      </w:r>
    </w:p>
    <w:p w14:paraId="5761D073" w14:textId="77777777" w:rsidR="00A56EE9" w:rsidRDefault="00A56EE9" w:rsidP="00BB6AD5">
      <w:pPr>
        <w:pStyle w:val="Header3"/>
      </w:pPr>
      <w:bookmarkStart w:id="28" w:name="_Toc523423769"/>
      <w:r>
        <w:t>Engagement</w:t>
      </w:r>
      <w:bookmarkEnd w:id="28"/>
    </w:p>
    <w:p w14:paraId="5761D074" w14:textId="77777777" w:rsidR="00A56EE9" w:rsidRDefault="00A56EE9" w:rsidP="00E3690C">
      <w:pPr>
        <w:spacing w:line="276" w:lineRule="auto"/>
      </w:pPr>
      <w:r>
        <w:t xml:space="preserve">Partnership and collaborative arrangements between the Marine Park Authority, the Queensland Government and other Australian government agencies in field management and on-ground works continue to be positive and work well. Further positive collaboration among government departments within and across levels of government is through programs such as the Reef 2050 Plan and Reef 2050 WQIP. </w:t>
      </w:r>
    </w:p>
    <w:p w14:paraId="5761D075" w14:textId="6ECB3395" w:rsidR="00A56EE9" w:rsidRDefault="00A56EE9" w:rsidP="00E3690C">
      <w:pPr>
        <w:spacing w:line="276" w:lineRule="auto"/>
      </w:pPr>
      <w:r>
        <w:t xml:space="preserve">Research collaboration between the managing agencies and research providers are also generally positive. However, some researchers report that engagement of Marine Park Authority staff in planning related to research and monitoring has declined in recent times. </w:t>
      </w:r>
      <w:r w:rsidRPr="00FE5CF3">
        <w:t xml:space="preserve">While this view was expressed by a number of researchers, the Marine Park Authority continues to have representation on all of the major Boards and Committees relating to research </w:t>
      </w:r>
      <w:r>
        <w:t>in</w:t>
      </w:r>
      <w:r w:rsidRPr="00FE5CF3">
        <w:t xml:space="preserve"> the </w:t>
      </w:r>
      <w:r>
        <w:t>Region</w:t>
      </w:r>
      <w:r w:rsidRPr="00FE5CF3">
        <w:t xml:space="preserve">. It may be, in part, a consequence of diversified sources of funding for the Region’s research with significant research funds being managed through the Department </w:t>
      </w:r>
      <w:r>
        <w:t>of Environment and Energy</w:t>
      </w:r>
      <w:r w:rsidRPr="00FE5CF3">
        <w:t xml:space="preserve"> and the Office </w:t>
      </w:r>
      <w:r>
        <w:t xml:space="preserve">of the Great Barrier Reef. </w:t>
      </w:r>
    </w:p>
    <w:p w14:paraId="5761D076" w14:textId="77777777" w:rsidR="00A56EE9" w:rsidRDefault="00A56EE9" w:rsidP="00E3690C">
      <w:pPr>
        <w:spacing w:line="276" w:lineRule="auto"/>
      </w:pPr>
      <w:r>
        <w:t xml:space="preserve">Governance arrangements for the Region have become much more complex following the Great Barrier Reef Strategic Assessment, and Dale (2016) identified 11 high-risk sub-domains of governance requiring transformational change to address declining outcomes in the Region. Even though these areas might fall outside of the </w:t>
      </w:r>
      <w:r>
        <w:lastRenderedPageBreak/>
        <w:t xml:space="preserve">direct mandates of the Great Barrier Reef Marine Park Authority and other relevant management agencies for management within the Region, any disengagement by agencies on these issues is likely to heighten risks for the Reef. For example, many human activities in the catchment of the Region impact directly or indirectly on ecosystem health in the Region, and understanding and addressing all these impacts will be crucial to the Region’s future prospects. The impression that the voice of management agencies, and especially that of the Marine Park Authority, has been diminished was a common message in discussions with stakeholders during the preparation of this assessment. </w:t>
      </w:r>
    </w:p>
    <w:p w14:paraId="5761D077" w14:textId="7DB58F8E" w:rsidR="00A56EE9" w:rsidRDefault="00A56EE9" w:rsidP="00E3690C">
      <w:pPr>
        <w:spacing w:line="276" w:lineRule="auto"/>
      </w:pPr>
      <w:r>
        <w:t xml:space="preserve">Managing agencies continue to work closely with Traditional Owners across the Region to include their knowledge and input into management issues. Indigenous employment has been strongly supported by both governments, especially through the Field Management Program and </w:t>
      </w:r>
      <w:r w:rsidR="007B120A">
        <w:t xml:space="preserve">Commonwealth and State </w:t>
      </w:r>
      <w:r>
        <w:t>Indigenous Ranger</w:t>
      </w:r>
      <w:r w:rsidR="007B120A">
        <w:t xml:space="preserve"> programs</w:t>
      </w:r>
      <w:r>
        <w:t>. The development of partnerships and stewardship arrangements has been one of the strongest aspects of management of the Region.</w:t>
      </w:r>
    </w:p>
    <w:p w14:paraId="5761D078" w14:textId="77777777" w:rsidR="00A56EE9" w:rsidRDefault="00A56EE9" w:rsidP="00BB6AD5">
      <w:pPr>
        <w:pStyle w:val="Header3"/>
      </w:pPr>
      <w:bookmarkStart w:id="29" w:name="_Toc523423770"/>
      <w:r>
        <w:t>Knowledge, innovation and integration</w:t>
      </w:r>
      <w:bookmarkEnd w:id="29"/>
    </w:p>
    <w:p w14:paraId="5761D079" w14:textId="77777777" w:rsidR="00A56EE9" w:rsidRDefault="00A56EE9" w:rsidP="00E3690C">
      <w:pPr>
        <w:spacing w:line="276" w:lineRule="auto"/>
      </w:pPr>
      <w:r>
        <w:t xml:space="preserve">The Outlook process, the Great Barrier Reef Coastal Zone Strategic Assessment, Great Barrier Reef Strategic Assessment and the preparation of the Reef 2050 Plan and the </w:t>
      </w:r>
      <w:r w:rsidRPr="00963D89">
        <w:rPr>
          <w:i/>
        </w:rPr>
        <w:t>Great Barrier Reef blue</w:t>
      </w:r>
      <w:r>
        <w:rPr>
          <w:i/>
        </w:rPr>
        <w:t>print for r</w:t>
      </w:r>
      <w:r w:rsidRPr="00963D89">
        <w:rPr>
          <w:i/>
        </w:rPr>
        <w:t>esilience</w:t>
      </w:r>
      <w:r>
        <w:t xml:space="preserve"> (GBRMPA 2017a) have accumulated and consolidated knowledge relevant to the management of the Region, and have made this knowledge available to managers, stakeholders and the general public. In addition, these processes have identified key knowledge gaps and stimulated programs and projects to fill these knowledge gaps. However, the coral bleaching events in 2016 and 2017 have resulted in considerable environmental changes. Knowledge of condition and trend for many species and ecosystems has thus declined, and it will take some time for researchers to update this knowledge.</w:t>
      </w:r>
    </w:p>
    <w:p w14:paraId="5761D07A" w14:textId="77777777" w:rsidR="00A56EE9" w:rsidRDefault="00A56EE9" w:rsidP="00E3690C">
      <w:pPr>
        <w:spacing w:line="276" w:lineRule="auto"/>
      </w:pPr>
      <w:r>
        <w:t xml:space="preserve">Management agencies have developed strong and extensive partnerships with research providers such as Commonwealth Scientific and Industrial Research Organisation (CSIRO), the Australian Institute of Marine Science (AIMS) and universities. These partnerships have become more targeted as key knowledge gaps have been identified through processes such as the Outlook Report 2009 and 2014, Reef 2050 Plan, the </w:t>
      </w:r>
      <w:r w:rsidRPr="00963D89">
        <w:rPr>
          <w:i/>
        </w:rPr>
        <w:t>Science Strategy and Information Needs 2014-2019</w:t>
      </w:r>
      <w:r>
        <w:t xml:space="preserve"> and in response to key environmental and socio-economic challenges.</w:t>
      </w:r>
    </w:p>
    <w:p w14:paraId="5761D07B" w14:textId="77777777" w:rsidR="00A56EE9" w:rsidRDefault="00A56EE9" w:rsidP="00E3690C">
      <w:pPr>
        <w:spacing w:line="276" w:lineRule="auto"/>
      </w:pPr>
      <w:r>
        <w:t xml:space="preserve">Combined with the strong stewardship programs, these research partnerships have led to an expansion of monitoring both in scope and scale. The AIMS long-term monitoring program and the Social and Economic Long-term monitoring program have demonstrated the value of maintaining consistent monitoring over an extended time period. </w:t>
      </w:r>
    </w:p>
    <w:p w14:paraId="5761D07C" w14:textId="77777777" w:rsidR="00A56EE9" w:rsidRDefault="00A56EE9" w:rsidP="00E3690C">
      <w:pPr>
        <w:spacing w:line="276" w:lineRule="auto"/>
      </w:pPr>
      <w:r>
        <w:t>Much hope has been placed in the development of the Reef 2050 Integrated Monitoring and Reporting Program (RIMReP) as a positive initiative that will help to ad</w:t>
      </w:r>
      <w:r>
        <w:lastRenderedPageBreak/>
        <w:t>dress some of the deficiencies in past monitoring efforts, especially in relation to cumulative impacts and overall ecosystem health. However, RIMReP has been very slow to develop with only modest progress made to date.</w:t>
      </w:r>
    </w:p>
    <w:p w14:paraId="5761D07D" w14:textId="77777777" w:rsidR="00A56EE9" w:rsidRDefault="00A56EE9" w:rsidP="00BB6AD5">
      <w:pPr>
        <w:pStyle w:val="Header2"/>
      </w:pPr>
      <w:bookmarkStart w:id="30" w:name="_Toc523423771"/>
      <w:r>
        <w:t>Resourcing of management arrangements</w:t>
      </w:r>
      <w:bookmarkEnd w:id="30"/>
    </w:p>
    <w:p w14:paraId="5761D07E" w14:textId="0982139A" w:rsidR="00A56EE9" w:rsidRPr="00963D89" w:rsidRDefault="00A56EE9" w:rsidP="00E3690C">
      <w:pPr>
        <w:spacing w:line="276" w:lineRule="auto"/>
        <w:rPr>
          <w:color w:val="000000" w:themeColor="text1"/>
        </w:rPr>
      </w:pPr>
      <w:r>
        <w:rPr>
          <w:color w:val="000000" w:themeColor="text1"/>
        </w:rPr>
        <w:t>Management Inputs (staffing and funding) have declined or been reprioritised in some areas since the Outlook Report 2009, and again since Outlook Report 2014. This appears to be largely a result of competing requirements for management of other high priority issues.</w:t>
      </w:r>
      <w:r w:rsidRPr="00A62B5C">
        <w:rPr>
          <w:color w:val="000000" w:themeColor="text1"/>
        </w:rPr>
        <w:t xml:space="preserve"> </w:t>
      </w:r>
      <w:r>
        <w:rPr>
          <w:color w:val="000000" w:themeColor="text1"/>
        </w:rPr>
        <w:t>F</w:t>
      </w:r>
      <w:r w:rsidRPr="00963D89">
        <w:rPr>
          <w:color w:val="000000" w:themeColor="text1"/>
        </w:rPr>
        <w:t xml:space="preserve">ollowing </w:t>
      </w:r>
      <w:r>
        <w:rPr>
          <w:color w:val="000000" w:themeColor="text1"/>
        </w:rPr>
        <w:t xml:space="preserve">the </w:t>
      </w:r>
      <w:r w:rsidRPr="00963D89">
        <w:rPr>
          <w:color w:val="000000" w:themeColor="text1"/>
        </w:rPr>
        <w:t xml:space="preserve">release of the </w:t>
      </w:r>
      <w:r w:rsidRPr="00D27653">
        <w:rPr>
          <w:i/>
          <w:color w:val="000000" w:themeColor="text1"/>
        </w:rPr>
        <w:t>Reef 2050 Plan Investment</w:t>
      </w:r>
      <w:r>
        <w:rPr>
          <w:i/>
          <w:color w:val="000000" w:themeColor="text1"/>
        </w:rPr>
        <w:t xml:space="preserve"> Framework </w:t>
      </w:r>
      <w:r>
        <w:rPr>
          <w:color w:val="000000" w:themeColor="text1"/>
        </w:rPr>
        <w:t>(</w:t>
      </w:r>
      <w:r w:rsidR="00C70E92">
        <w:rPr>
          <w:color w:val="000000" w:themeColor="text1"/>
        </w:rPr>
        <w:t>Commonwealth of Australia</w:t>
      </w:r>
      <w:r>
        <w:rPr>
          <w:color w:val="000000" w:themeColor="text1"/>
        </w:rPr>
        <w:t xml:space="preserve"> 2016)</w:t>
      </w:r>
      <w:r w:rsidRPr="00963D89">
        <w:rPr>
          <w:color w:val="000000" w:themeColor="text1"/>
        </w:rPr>
        <w:t xml:space="preserve">, there has been a significant increase in resources by the </w:t>
      </w:r>
      <w:r>
        <w:rPr>
          <w:color w:val="000000" w:themeColor="text1"/>
        </w:rPr>
        <w:t>Australian</w:t>
      </w:r>
      <w:r w:rsidRPr="00963D89">
        <w:rPr>
          <w:color w:val="000000" w:themeColor="text1"/>
        </w:rPr>
        <w:t xml:space="preserve"> and Queensland Governments targeting particular actions and governance</w:t>
      </w:r>
      <w:r>
        <w:rPr>
          <w:color w:val="000000" w:themeColor="text1"/>
        </w:rPr>
        <w:t>. F</w:t>
      </w:r>
      <w:r w:rsidRPr="00963D89">
        <w:rPr>
          <w:color w:val="000000" w:themeColor="text1"/>
        </w:rPr>
        <w:t xml:space="preserve">unding </w:t>
      </w:r>
      <w:r>
        <w:rPr>
          <w:color w:val="000000" w:themeColor="text1"/>
        </w:rPr>
        <w:t>since</w:t>
      </w:r>
      <w:r w:rsidRPr="00963D89">
        <w:rPr>
          <w:color w:val="000000" w:themeColor="text1"/>
        </w:rPr>
        <w:t xml:space="preserve"> 2016 has also resulted in a stabilisation of staffing levels and budget for the Marine Park Authority.</w:t>
      </w:r>
    </w:p>
    <w:p w14:paraId="5761D081" w14:textId="0ADD0CDB" w:rsidR="00A56EE9" w:rsidRPr="007F1AA6" w:rsidRDefault="00A56EE9" w:rsidP="007F1AA6">
      <w:pPr>
        <w:spacing w:line="276" w:lineRule="auto"/>
        <w:rPr>
          <w:color w:val="000000" w:themeColor="text1"/>
        </w:rPr>
        <w:sectPr w:rsidR="00A56EE9" w:rsidRPr="007F1AA6">
          <w:headerReference w:type="even" r:id="rId25"/>
          <w:headerReference w:type="default" r:id="rId26"/>
          <w:footerReference w:type="default" r:id="rId27"/>
          <w:headerReference w:type="first" r:id="rId28"/>
          <w:pgSz w:w="11906" w:h="16838"/>
          <w:pgMar w:top="1440" w:right="1440" w:bottom="1440" w:left="1440" w:header="708" w:footer="708" w:gutter="0"/>
          <w:pgNumType w:fmt="lowerRoman" w:start="1"/>
          <w:cols w:space="720"/>
        </w:sectPr>
      </w:pPr>
      <w:r>
        <w:rPr>
          <w:color w:val="000000" w:themeColor="text1"/>
        </w:rPr>
        <w:t xml:space="preserve">Funding for the Field Management Program was static since 2008 and declining in real terms, however in </w:t>
      </w:r>
      <w:r w:rsidRPr="00963D89">
        <w:rPr>
          <w:color w:val="000000" w:themeColor="text1"/>
        </w:rPr>
        <w:t>April 2018 a significant funding boost was announced</w:t>
      </w:r>
      <w:r>
        <w:rPr>
          <w:color w:val="000000" w:themeColor="text1"/>
        </w:rPr>
        <w:t xml:space="preserve"> that</w:t>
      </w:r>
      <w:r w:rsidRPr="00963D89">
        <w:rPr>
          <w:color w:val="000000" w:themeColor="text1"/>
        </w:rPr>
        <w:t xml:space="preserve"> include</w:t>
      </w:r>
      <w:r>
        <w:rPr>
          <w:color w:val="000000" w:themeColor="text1"/>
        </w:rPr>
        <w:t>d</w:t>
      </w:r>
      <w:r w:rsidRPr="00963D89">
        <w:rPr>
          <w:color w:val="000000" w:themeColor="text1"/>
        </w:rPr>
        <w:t xml:space="preserve"> an increase in staff and funding</w:t>
      </w:r>
      <w:r>
        <w:rPr>
          <w:color w:val="000000" w:themeColor="text1"/>
        </w:rPr>
        <w:t>,</w:t>
      </w:r>
      <w:r w:rsidRPr="00963D89">
        <w:rPr>
          <w:color w:val="000000" w:themeColor="text1"/>
        </w:rPr>
        <w:t xml:space="preserve"> </w:t>
      </w:r>
      <w:r>
        <w:rPr>
          <w:color w:val="000000" w:themeColor="text1"/>
        </w:rPr>
        <w:t>with compliance, maintenance of facilities and work on threatened species identified as the highest priorit</w:t>
      </w:r>
      <w:r w:rsidR="00F42395">
        <w:rPr>
          <w:color w:val="000000" w:themeColor="text1"/>
        </w:rPr>
        <w:t>i</w:t>
      </w:r>
      <w:r w:rsidR="007F1AA6">
        <w:rPr>
          <w:color w:val="000000" w:themeColor="text1"/>
        </w:rPr>
        <w:t>es for the program.</w:t>
      </w:r>
    </w:p>
    <w:p w14:paraId="5761D082" w14:textId="77777777" w:rsidR="00A56EE9" w:rsidRDefault="00A56EE9" w:rsidP="00A11869">
      <w:pPr>
        <w:pStyle w:val="Heading1"/>
        <w:numPr>
          <w:ilvl w:val="0"/>
          <w:numId w:val="17"/>
        </w:numPr>
        <w:spacing w:line="256" w:lineRule="auto"/>
      </w:pPr>
      <w:bookmarkStart w:id="31" w:name="_Toc523423772"/>
      <w:r>
        <w:lastRenderedPageBreak/>
        <w:t>Management effectiveness evaluation methodology</w:t>
      </w:r>
      <w:bookmarkEnd w:id="31"/>
      <w:r>
        <w:t xml:space="preserve"> </w:t>
      </w:r>
    </w:p>
    <w:p w14:paraId="5761D083" w14:textId="77777777" w:rsidR="00A56EE9" w:rsidRDefault="00A56EE9" w:rsidP="00E3690C">
      <w:pPr>
        <w:spacing w:line="276" w:lineRule="auto"/>
      </w:pPr>
      <w:r>
        <w:t xml:space="preserve">Protection and management of the Great Barrier Reef Region (the Region) is undertaken by a partnership of many government agencies, Traditional Owners, stakeholders and community members. Managers undertake a wide range of management activities both on the water and in the catchment. A broad assessment of the effectiveness of this management is an important component in determining the likely resilience of the Region’s ecosystem and heritage values, in assessing the major risks to the Great Barrier Reef, and in predicting its likely future. </w:t>
      </w:r>
    </w:p>
    <w:p w14:paraId="5761D084" w14:textId="77777777" w:rsidR="00A56EE9" w:rsidRDefault="00A56EE9" w:rsidP="00E3690C">
      <w:pPr>
        <w:spacing w:line="276" w:lineRule="auto"/>
      </w:pPr>
      <w:r>
        <w:t xml:space="preserve">The effectiveness of existing measures to protect and manage the Region’s ecosystem was independently assessed in the Outlook Report 2009 and again in the Outlook Report 2014. A similar independent assessment has been undertaken for this report. </w:t>
      </w:r>
    </w:p>
    <w:p w14:paraId="5761D085" w14:textId="46EC3F0D" w:rsidR="00A56EE9" w:rsidRDefault="00A56EE9" w:rsidP="00E3690C">
      <w:pPr>
        <w:spacing w:line="276" w:lineRule="auto"/>
      </w:pPr>
      <w:r>
        <w:t xml:space="preserve">The Outlook assessments consider </w:t>
      </w:r>
      <w:r>
        <w:rPr>
          <w:shd w:val="clear" w:color="auto" w:fill="FFFFFF" w:themeFill="background1"/>
        </w:rPr>
        <w:t xml:space="preserve">all the aspects of management </w:t>
      </w:r>
      <w:r>
        <w:t xml:space="preserve">of particular topics within </w:t>
      </w:r>
      <w:r>
        <w:rPr>
          <w:shd w:val="clear" w:color="auto" w:fill="FFFFFF" w:themeFill="background1"/>
        </w:rPr>
        <w:t xml:space="preserve">the Region undertaken by the Marine Park Authority as well as other Australian and Queensland government agencies, Traditional Owners and other groups involved in management. </w:t>
      </w:r>
      <w:r>
        <w:t>Management of topics extending outside the boundary of the Region are considered where the activities affect the values of the Region, especially for Land-based run-off and Climate change</w:t>
      </w:r>
      <w:r w:rsidR="00E3690C">
        <w:t>.</w:t>
      </w:r>
    </w:p>
    <w:p w14:paraId="5761D086" w14:textId="77777777" w:rsidR="00A56EE9" w:rsidRDefault="00A56EE9" w:rsidP="00A11869">
      <w:pPr>
        <w:pStyle w:val="Heading2"/>
        <w:numPr>
          <w:ilvl w:val="1"/>
          <w:numId w:val="17"/>
        </w:numPr>
        <w:spacing w:line="256" w:lineRule="auto"/>
        <w:ind w:left="357" w:hanging="357"/>
      </w:pPr>
      <w:bookmarkStart w:id="32" w:name="_Toc523423773"/>
      <w:r>
        <w:t>Management effectiveness evaluation framework</w:t>
      </w:r>
      <w:bookmarkEnd w:id="32"/>
    </w:p>
    <w:p w14:paraId="5761D087" w14:textId="35CAC586" w:rsidR="00A56EE9" w:rsidRDefault="00A56EE9" w:rsidP="00E3690C">
      <w:pPr>
        <w:spacing w:line="276" w:lineRule="auto"/>
      </w:pPr>
      <w:r>
        <w:t xml:space="preserve">Management effectiveness evaluation is defined as the assessment of how well protected areas are being managed – primarily the extent to which they are protecting values and achieving goals and objectives. IUCN has developed a framework (Figure 1 and Table 2) for assessing management effectiveness (Hockings et al., 2006). This framework has been widely applied around the world as a basis for specific assessment systems designed to meet the need to evaluate management effectiveness in different circumstances. </w:t>
      </w:r>
    </w:p>
    <w:p w14:paraId="5761D088" w14:textId="77777777" w:rsidR="00A56EE9" w:rsidRDefault="00A56EE9" w:rsidP="00E3690C">
      <w:pPr>
        <w:spacing w:line="276" w:lineRule="auto"/>
      </w:pPr>
      <w:r>
        <w:t>Good management needs to be rooted in a thorough understanding of the individual conditions related to protected areas, be carefully planned and implemented and include regular monitoring, leading to changes in management as required. Effective management:</w:t>
      </w:r>
    </w:p>
    <w:p w14:paraId="5761D089" w14:textId="77777777" w:rsidR="00A56EE9" w:rsidRDefault="00A56EE9" w:rsidP="00E3690C">
      <w:pPr>
        <w:pStyle w:val="ListParagraph"/>
        <w:numPr>
          <w:ilvl w:val="0"/>
          <w:numId w:val="12"/>
        </w:numPr>
        <w:spacing w:after="200" w:line="276" w:lineRule="auto"/>
      </w:pPr>
      <w:r>
        <w:t xml:space="preserve">begins with understanding the </w:t>
      </w:r>
      <w:r>
        <w:rPr>
          <w:i/>
        </w:rPr>
        <w:t xml:space="preserve">context </w:t>
      </w:r>
      <w:r>
        <w:t xml:space="preserve">of the protected area, including its values, the threats that it faces and opportunities available, its stakeholders, and the management and political environment; </w:t>
      </w:r>
    </w:p>
    <w:p w14:paraId="5761D08A" w14:textId="77777777" w:rsidR="00A56EE9" w:rsidRDefault="00A56EE9" w:rsidP="00E3690C">
      <w:pPr>
        <w:pStyle w:val="ListParagraph"/>
        <w:numPr>
          <w:ilvl w:val="0"/>
          <w:numId w:val="12"/>
        </w:numPr>
        <w:spacing w:after="200" w:line="276" w:lineRule="auto"/>
      </w:pPr>
      <w:r>
        <w:t xml:space="preserve">progresses through </w:t>
      </w:r>
      <w:r>
        <w:rPr>
          <w:i/>
        </w:rPr>
        <w:t>planning</w:t>
      </w:r>
      <w:r>
        <w:t xml:space="preserve">: establishing vision, goals, objectives and strategies to conserve values and reduce threats; </w:t>
      </w:r>
    </w:p>
    <w:p w14:paraId="5761D08B" w14:textId="77777777" w:rsidR="00A56EE9" w:rsidRDefault="00A56EE9" w:rsidP="00E3690C">
      <w:pPr>
        <w:pStyle w:val="ListParagraph"/>
        <w:numPr>
          <w:ilvl w:val="0"/>
          <w:numId w:val="12"/>
        </w:numPr>
        <w:spacing w:after="200" w:line="276" w:lineRule="auto"/>
      </w:pPr>
      <w:r>
        <w:t xml:space="preserve">allocates </w:t>
      </w:r>
      <w:r>
        <w:rPr>
          <w:i/>
        </w:rPr>
        <w:t>inputs</w:t>
      </w:r>
      <w:r>
        <w:t xml:space="preserve"> (resources) of staff, money and equipment to work towards the objectives; </w:t>
      </w:r>
    </w:p>
    <w:p w14:paraId="5761D08C" w14:textId="77777777" w:rsidR="00A56EE9" w:rsidRDefault="00A56EE9" w:rsidP="00E3690C">
      <w:pPr>
        <w:pStyle w:val="ListParagraph"/>
        <w:numPr>
          <w:ilvl w:val="0"/>
          <w:numId w:val="12"/>
        </w:numPr>
        <w:spacing w:after="200" w:line="276" w:lineRule="auto"/>
      </w:pPr>
      <w:r>
        <w:t xml:space="preserve">implements management actions according to accepted </w:t>
      </w:r>
      <w:r>
        <w:rPr>
          <w:i/>
        </w:rPr>
        <w:t>processes</w:t>
      </w:r>
      <w:r>
        <w:t xml:space="preserve">; and </w:t>
      </w:r>
    </w:p>
    <w:p w14:paraId="5761D08D" w14:textId="77777777" w:rsidR="00A56EE9" w:rsidRDefault="00A56EE9" w:rsidP="00E3690C">
      <w:pPr>
        <w:pStyle w:val="ListParagraph"/>
        <w:numPr>
          <w:ilvl w:val="0"/>
          <w:numId w:val="12"/>
        </w:numPr>
        <w:spacing w:after="200" w:line="276" w:lineRule="auto"/>
      </w:pPr>
      <w:r>
        <w:t xml:space="preserve">eventually produces </w:t>
      </w:r>
      <w:r>
        <w:rPr>
          <w:i/>
        </w:rPr>
        <w:t>outputs</w:t>
      </w:r>
      <w:r>
        <w:t xml:space="preserve"> (goods and services, which should usually be outlined in management plans and work plans) </w:t>
      </w:r>
    </w:p>
    <w:p w14:paraId="5761D08E" w14:textId="77777777" w:rsidR="00A56EE9" w:rsidRDefault="00A56EE9" w:rsidP="00E3690C">
      <w:pPr>
        <w:pStyle w:val="ListParagraph"/>
        <w:numPr>
          <w:ilvl w:val="0"/>
          <w:numId w:val="12"/>
        </w:numPr>
        <w:spacing w:after="200" w:line="276" w:lineRule="auto"/>
      </w:pPr>
      <w:proofErr w:type="gramStart"/>
      <w:r>
        <w:lastRenderedPageBreak/>
        <w:t>that</w:t>
      </w:r>
      <w:proofErr w:type="gramEnd"/>
      <w:r>
        <w:t xml:space="preserve"> result in impacts or </w:t>
      </w:r>
      <w:r>
        <w:rPr>
          <w:i/>
        </w:rPr>
        <w:t>outcomes</w:t>
      </w:r>
      <w:r>
        <w:t>, hopefully achieving defined goals and objectives.</w:t>
      </w:r>
    </w:p>
    <w:p w14:paraId="5761D090" w14:textId="41D2868D" w:rsidR="00A56EE9" w:rsidRDefault="00A56EE9" w:rsidP="007F1AA6">
      <w:pPr>
        <w:spacing w:line="276" w:lineRule="auto"/>
      </w:pPr>
      <w:r>
        <w:t>These six important elements within the management cycle should all be assessed if effectiveness of management is to be fully understood and appropriate management responses developed and implemented. For example, assessing only outcomes may indicate the objectives have been achieved but leaves it unclear whether it was it due to good luck or good management; conversely if an outcome is not achieved then unless all six elements are assessed, it is hard to know if it was due to insufficient resources (inputs), poor planning or a problem with the tools and appro</w:t>
      </w:r>
      <w:r w:rsidR="007F1AA6">
        <w:t>aches used to manage the issue.</w:t>
      </w:r>
    </w:p>
    <w:p w14:paraId="5761D091" w14:textId="77777777" w:rsidR="00A56EE9" w:rsidRDefault="00A56EE9" w:rsidP="00ED046A">
      <w:pPr>
        <w:jc w:val="center"/>
        <w:rPr>
          <w:lang w:val="en-US"/>
        </w:rPr>
      </w:pPr>
      <w:r>
        <w:rPr>
          <w:noProof/>
          <w:lang w:eastAsia="en-AU"/>
        </w:rPr>
        <w:drawing>
          <wp:inline distT="0" distB="0" distL="0" distR="0" wp14:anchorId="57620C54" wp14:editId="33D51418">
            <wp:extent cx="2922905" cy="2933700"/>
            <wp:effectExtent l="19050" t="19050" r="10795" b="19050"/>
            <wp:docPr id="277" name="Picture 277" descr="Figure showing a cycle of the six elements of the management effectiveness framework, flowing from understanding context, to planning, to assessing the adequacy and appropriateness of inputs and processes, through to evaluating the delivery of outcomes and outputs." title="Framework for assessing management effectiveness of protected area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22905" cy="2933700"/>
                    </a:xfrm>
                    <a:prstGeom prst="rect">
                      <a:avLst/>
                    </a:prstGeom>
                    <a:noFill/>
                    <a:ln w="3175" cmpd="sng">
                      <a:solidFill>
                        <a:srgbClr val="59534D"/>
                      </a:solidFill>
                      <a:miter lim="800000"/>
                      <a:headEnd/>
                      <a:tailEnd/>
                    </a:ln>
                    <a:effectLst/>
                  </pic:spPr>
                </pic:pic>
              </a:graphicData>
            </a:graphic>
          </wp:inline>
        </w:drawing>
      </w:r>
    </w:p>
    <w:p w14:paraId="5761D092" w14:textId="4B13F89B" w:rsidR="00A56EE9" w:rsidRDefault="00A56EE9" w:rsidP="00BB6AD5">
      <w:pPr>
        <w:pStyle w:val="Caption"/>
        <w:rPr>
          <w:b w:val="0"/>
        </w:rPr>
      </w:pPr>
      <w:bookmarkStart w:id="33" w:name="_Toc525654355"/>
      <w:r>
        <w:t xml:space="preserve">Figure </w:t>
      </w:r>
      <w:r>
        <w:fldChar w:fldCharType="begin"/>
      </w:r>
      <w:r>
        <w:rPr>
          <w:noProof/>
        </w:rPr>
        <w:instrText xml:space="preserve"> SEQ Figure \* ARABIC </w:instrText>
      </w:r>
      <w:r>
        <w:fldChar w:fldCharType="separate"/>
      </w:r>
      <w:r w:rsidR="00A4170C">
        <w:rPr>
          <w:noProof/>
        </w:rPr>
        <w:t>1</w:t>
      </w:r>
      <w:r>
        <w:fldChar w:fldCharType="end"/>
      </w:r>
      <w:r>
        <w:t xml:space="preserve">. </w:t>
      </w:r>
      <w:r>
        <w:rPr>
          <w:b w:val="0"/>
        </w:rPr>
        <w:t>The Framework for assessing management effectiveness of protected areas (from Hockings et al., 2006)</w:t>
      </w:r>
      <w:bookmarkEnd w:id="33"/>
    </w:p>
    <w:p w14:paraId="5761D093" w14:textId="59D4A18A" w:rsidR="00A56EE9" w:rsidRDefault="00A56EE9" w:rsidP="00BB6AD5">
      <w:pPr>
        <w:pStyle w:val="Caption"/>
      </w:pPr>
      <w:bookmarkStart w:id="34" w:name="_Ref255381144"/>
      <w:bookmarkStart w:id="35" w:name="_Toc255381423"/>
      <w:bookmarkStart w:id="36" w:name="_Toc525654447"/>
      <w:r>
        <w:t xml:space="preserve">Table </w:t>
      </w:r>
      <w:r>
        <w:fldChar w:fldCharType="begin"/>
      </w:r>
      <w:r>
        <w:rPr>
          <w:noProof/>
        </w:rPr>
        <w:instrText xml:space="preserve"> SEQ Table \* ARABIC </w:instrText>
      </w:r>
      <w:r>
        <w:fldChar w:fldCharType="separate"/>
      </w:r>
      <w:r w:rsidR="00A4170C">
        <w:rPr>
          <w:noProof/>
        </w:rPr>
        <w:t>2</w:t>
      </w:r>
      <w:r>
        <w:fldChar w:fldCharType="end"/>
      </w:r>
      <w:bookmarkEnd w:id="34"/>
      <w:r>
        <w:t xml:space="preserve"> IUCN-WCPA Framework for assessing management effectiveness of protected areas and protected area systems</w:t>
      </w:r>
      <w:bookmarkEnd w:id="35"/>
      <w:bookmarkEnd w:id="36"/>
      <w:r>
        <w:t xml:space="preserve"> </w:t>
      </w:r>
    </w:p>
    <w:tbl>
      <w:tblPr>
        <w:tblStyle w:val="TableGrid1"/>
        <w:tblW w:w="5118" w:type="pct"/>
        <w:tblLook w:val="01E0" w:firstRow="1" w:lastRow="1" w:firstColumn="1" w:lastColumn="1" w:noHBand="0" w:noVBand="0"/>
        <w:tblCaption w:val="Table 2 IUCN-WCPA Framework for assssing managment effectiveness of protected areas and protected area systems "/>
        <w:tblDescription w:val="Table with elements of management cycle in column one, the three summary headings of management effectiveness (design, appropriate/adequacy and delivery) in row one, and the six elements of managmnet effectiveness "/>
      </w:tblPr>
      <w:tblGrid>
        <w:gridCol w:w="1450"/>
        <w:gridCol w:w="1384"/>
        <w:gridCol w:w="1384"/>
        <w:gridCol w:w="1384"/>
        <w:gridCol w:w="1384"/>
        <w:gridCol w:w="1573"/>
        <w:gridCol w:w="1384"/>
      </w:tblGrid>
      <w:tr w:rsidR="00A56EE9" w14:paraId="5761D098" w14:textId="77777777" w:rsidTr="00207A38">
        <w:trPr>
          <w:tblHeader/>
        </w:trPr>
        <w:tc>
          <w:tcPr>
            <w:tcW w:w="827" w:type="pct"/>
            <w:tcBorders>
              <w:top w:val="single" w:sz="4" w:space="0" w:color="auto"/>
              <w:left w:val="single" w:sz="4" w:space="0" w:color="auto"/>
              <w:bottom w:val="single" w:sz="4" w:space="0" w:color="auto"/>
              <w:right w:val="single" w:sz="4" w:space="0" w:color="auto"/>
            </w:tcBorders>
          </w:tcPr>
          <w:p w14:paraId="5761D094" w14:textId="77777777" w:rsidR="00A56EE9" w:rsidRDefault="00A56EE9">
            <w:pPr>
              <w:rPr>
                <w:rStyle w:val="BookTitle"/>
                <w:b/>
                <w:sz w:val="20"/>
                <w:szCs w:val="20"/>
              </w:rPr>
            </w:pPr>
          </w:p>
        </w:tc>
        <w:tc>
          <w:tcPr>
            <w:tcW w:w="1360" w:type="pct"/>
            <w:gridSpan w:val="2"/>
            <w:tcBorders>
              <w:top w:val="single" w:sz="4" w:space="0" w:color="auto"/>
              <w:left w:val="single" w:sz="4" w:space="0" w:color="auto"/>
              <w:bottom w:val="single" w:sz="4" w:space="0" w:color="auto"/>
              <w:right w:val="single" w:sz="4" w:space="0" w:color="auto"/>
            </w:tcBorders>
            <w:hideMark/>
          </w:tcPr>
          <w:p w14:paraId="5761D095" w14:textId="77777777" w:rsidR="00A56EE9" w:rsidRDefault="00A56EE9">
            <w:pPr>
              <w:jc w:val="center"/>
              <w:rPr>
                <w:rStyle w:val="BookTitle"/>
                <w:b/>
                <w:sz w:val="20"/>
                <w:szCs w:val="20"/>
              </w:rPr>
            </w:pPr>
            <w:r>
              <w:rPr>
                <w:rStyle w:val="BookTitle"/>
                <w:b/>
                <w:sz w:val="20"/>
                <w:szCs w:val="20"/>
              </w:rPr>
              <w:t>Design</w:t>
            </w:r>
          </w:p>
        </w:tc>
        <w:tc>
          <w:tcPr>
            <w:tcW w:w="1360" w:type="pct"/>
            <w:gridSpan w:val="2"/>
            <w:tcBorders>
              <w:top w:val="single" w:sz="4" w:space="0" w:color="auto"/>
              <w:left w:val="single" w:sz="4" w:space="0" w:color="auto"/>
              <w:bottom w:val="single" w:sz="4" w:space="0" w:color="auto"/>
              <w:right w:val="single" w:sz="4" w:space="0" w:color="auto"/>
            </w:tcBorders>
            <w:hideMark/>
          </w:tcPr>
          <w:p w14:paraId="5761D096" w14:textId="77777777" w:rsidR="00A56EE9" w:rsidRDefault="00A56EE9">
            <w:pPr>
              <w:jc w:val="center"/>
              <w:rPr>
                <w:rStyle w:val="BookTitle"/>
                <w:b/>
                <w:sz w:val="20"/>
                <w:szCs w:val="20"/>
              </w:rPr>
            </w:pPr>
            <w:r>
              <w:rPr>
                <w:rStyle w:val="BookTitle"/>
                <w:b/>
                <w:sz w:val="20"/>
                <w:szCs w:val="20"/>
              </w:rPr>
              <w:t>Appropriateness / Adequacy</w:t>
            </w:r>
          </w:p>
        </w:tc>
        <w:tc>
          <w:tcPr>
            <w:tcW w:w="1453" w:type="pct"/>
            <w:gridSpan w:val="2"/>
            <w:tcBorders>
              <w:top w:val="single" w:sz="4" w:space="0" w:color="auto"/>
              <w:left w:val="single" w:sz="4" w:space="0" w:color="auto"/>
              <w:bottom w:val="single" w:sz="4" w:space="0" w:color="auto"/>
              <w:right w:val="single" w:sz="4" w:space="0" w:color="auto"/>
            </w:tcBorders>
            <w:hideMark/>
          </w:tcPr>
          <w:p w14:paraId="5761D097" w14:textId="77777777" w:rsidR="00A56EE9" w:rsidRDefault="00A56EE9">
            <w:pPr>
              <w:jc w:val="center"/>
              <w:rPr>
                <w:rStyle w:val="BookTitle"/>
                <w:b/>
                <w:sz w:val="20"/>
                <w:szCs w:val="20"/>
              </w:rPr>
            </w:pPr>
            <w:r>
              <w:rPr>
                <w:rStyle w:val="BookTitle"/>
                <w:b/>
                <w:sz w:val="20"/>
                <w:szCs w:val="20"/>
              </w:rPr>
              <w:t>Delivery</w:t>
            </w:r>
          </w:p>
        </w:tc>
      </w:tr>
      <w:tr w:rsidR="00A56EE9" w14:paraId="5761D0A0" w14:textId="77777777" w:rsidTr="00BB6AD5">
        <w:tc>
          <w:tcPr>
            <w:tcW w:w="827" w:type="pct"/>
            <w:tcBorders>
              <w:top w:val="single" w:sz="4" w:space="0" w:color="auto"/>
              <w:left w:val="single" w:sz="4" w:space="0" w:color="auto"/>
              <w:bottom w:val="single" w:sz="4" w:space="0" w:color="auto"/>
              <w:right w:val="single" w:sz="4" w:space="0" w:color="auto"/>
            </w:tcBorders>
            <w:hideMark/>
          </w:tcPr>
          <w:p w14:paraId="5761D099" w14:textId="77777777" w:rsidR="00A56EE9" w:rsidRDefault="00A56EE9">
            <w:pPr>
              <w:rPr>
                <w:rStyle w:val="BookTitle"/>
                <w:b/>
                <w:sz w:val="20"/>
                <w:szCs w:val="20"/>
              </w:rPr>
            </w:pPr>
            <w:r>
              <w:rPr>
                <w:rStyle w:val="BookTitle"/>
                <w:b/>
                <w:sz w:val="20"/>
                <w:szCs w:val="20"/>
              </w:rPr>
              <w:t>Elements of management cycle</w:t>
            </w:r>
          </w:p>
        </w:tc>
        <w:tc>
          <w:tcPr>
            <w:tcW w:w="680" w:type="pct"/>
            <w:tcBorders>
              <w:top w:val="single" w:sz="4" w:space="0" w:color="auto"/>
              <w:left w:val="single" w:sz="4" w:space="0" w:color="auto"/>
              <w:bottom w:val="single" w:sz="4" w:space="0" w:color="auto"/>
              <w:right w:val="single" w:sz="4" w:space="0" w:color="auto"/>
            </w:tcBorders>
            <w:hideMark/>
          </w:tcPr>
          <w:p w14:paraId="5761D09A" w14:textId="77777777" w:rsidR="00A56EE9" w:rsidRDefault="00A56EE9">
            <w:pPr>
              <w:rPr>
                <w:rStyle w:val="BookTitle"/>
                <w:b/>
                <w:sz w:val="20"/>
                <w:szCs w:val="20"/>
              </w:rPr>
            </w:pPr>
            <w:r>
              <w:rPr>
                <w:rStyle w:val="BookTitle"/>
                <w:b/>
                <w:sz w:val="20"/>
                <w:szCs w:val="20"/>
              </w:rPr>
              <w:t>Context</w:t>
            </w:r>
          </w:p>
        </w:tc>
        <w:tc>
          <w:tcPr>
            <w:tcW w:w="680" w:type="pct"/>
            <w:tcBorders>
              <w:top w:val="single" w:sz="4" w:space="0" w:color="auto"/>
              <w:left w:val="single" w:sz="4" w:space="0" w:color="auto"/>
              <w:bottom w:val="single" w:sz="4" w:space="0" w:color="auto"/>
              <w:right w:val="single" w:sz="4" w:space="0" w:color="auto"/>
            </w:tcBorders>
            <w:hideMark/>
          </w:tcPr>
          <w:p w14:paraId="5761D09B" w14:textId="77777777" w:rsidR="00A56EE9" w:rsidRDefault="00A56EE9">
            <w:pPr>
              <w:rPr>
                <w:rStyle w:val="BookTitle"/>
                <w:b/>
                <w:sz w:val="20"/>
                <w:szCs w:val="20"/>
              </w:rPr>
            </w:pPr>
            <w:r>
              <w:rPr>
                <w:rStyle w:val="BookTitle"/>
                <w:b/>
                <w:sz w:val="20"/>
                <w:szCs w:val="20"/>
              </w:rPr>
              <w:t>Planning</w:t>
            </w:r>
          </w:p>
        </w:tc>
        <w:tc>
          <w:tcPr>
            <w:tcW w:w="680" w:type="pct"/>
            <w:tcBorders>
              <w:top w:val="single" w:sz="4" w:space="0" w:color="auto"/>
              <w:left w:val="single" w:sz="4" w:space="0" w:color="auto"/>
              <w:bottom w:val="single" w:sz="4" w:space="0" w:color="auto"/>
              <w:right w:val="single" w:sz="4" w:space="0" w:color="auto"/>
            </w:tcBorders>
            <w:hideMark/>
          </w:tcPr>
          <w:p w14:paraId="5761D09C" w14:textId="77777777" w:rsidR="00A56EE9" w:rsidRDefault="00A56EE9">
            <w:pPr>
              <w:rPr>
                <w:rStyle w:val="BookTitle"/>
                <w:b/>
                <w:sz w:val="20"/>
                <w:szCs w:val="20"/>
              </w:rPr>
            </w:pPr>
            <w:r>
              <w:rPr>
                <w:rStyle w:val="BookTitle"/>
                <w:b/>
                <w:sz w:val="20"/>
                <w:szCs w:val="20"/>
              </w:rPr>
              <w:t>Inputs</w:t>
            </w:r>
          </w:p>
        </w:tc>
        <w:tc>
          <w:tcPr>
            <w:tcW w:w="680" w:type="pct"/>
            <w:tcBorders>
              <w:top w:val="single" w:sz="4" w:space="0" w:color="auto"/>
              <w:left w:val="single" w:sz="4" w:space="0" w:color="auto"/>
              <w:bottom w:val="single" w:sz="4" w:space="0" w:color="auto"/>
              <w:right w:val="single" w:sz="4" w:space="0" w:color="auto"/>
            </w:tcBorders>
            <w:hideMark/>
          </w:tcPr>
          <w:p w14:paraId="5761D09D" w14:textId="77777777" w:rsidR="00A56EE9" w:rsidRDefault="00A56EE9">
            <w:pPr>
              <w:rPr>
                <w:rStyle w:val="BookTitle"/>
                <w:b/>
                <w:sz w:val="20"/>
                <w:szCs w:val="20"/>
              </w:rPr>
            </w:pPr>
            <w:r>
              <w:rPr>
                <w:rStyle w:val="BookTitle"/>
                <w:b/>
                <w:sz w:val="20"/>
                <w:szCs w:val="20"/>
              </w:rPr>
              <w:t>Process</w:t>
            </w:r>
          </w:p>
        </w:tc>
        <w:tc>
          <w:tcPr>
            <w:tcW w:w="772" w:type="pct"/>
            <w:tcBorders>
              <w:top w:val="single" w:sz="4" w:space="0" w:color="auto"/>
              <w:left w:val="single" w:sz="4" w:space="0" w:color="auto"/>
              <w:bottom w:val="single" w:sz="4" w:space="0" w:color="auto"/>
              <w:right w:val="single" w:sz="4" w:space="0" w:color="auto"/>
            </w:tcBorders>
            <w:hideMark/>
          </w:tcPr>
          <w:p w14:paraId="5761D09E" w14:textId="77777777" w:rsidR="00A56EE9" w:rsidRDefault="00A56EE9">
            <w:pPr>
              <w:rPr>
                <w:rStyle w:val="BookTitle"/>
                <w:b/>
                <w:sz w:val="20"/>
                <w:szCs w:val="20"/>
              </w:rPr>
            </w:pPr>
            <w:r>
              <w:rPr>
                <w:rStyle w:val="BookTitle"/>
                <w:b/>
                <w:sz w:val="20"/>
                <w:szCs w:val="20"/>
              </w:rPr>
              <w:t>Outputs</w:t>
            </w:r>
          </w:p>
        </w:tc>
        <w:tc>
          <w:tcPr>
            <w:tcW w:w="680" w:type="pct"/>
            <w:tcBorders>
              <w:top w:val="single" w:sz="4" w:space="0" w:color="auto"/>
              <w:left w:val="single" w:sz="4" w:space="0" w:color="auto"/>
              <w:bottom w:val="single" w:sz="4" w:space="0" w:color="auto"/>
              <w:right w:val="single" w:sz="4" w:space="0" w:color="auto"/>
            </w:tcBorders>
            <w:hideMark/>
          </w:tcPr>
          <w:p w14:paraId="5761D09F" w14:textId="77777777" w:rsidR="00A56EE9" w:rsidRDefault="00A56EE9">
            <w:pPr>
              <w:rPr>
                <w:rStyle w:val="BookTitle"/>
                <w:b/>
                <w:sz w:val="20"/>
                <w:szCs w:val="20"/>
              </w:rPr>
            </w:pPr>
            <w:r>
              <w:rPr>
                <w:rStyle w:val="BookTitle"/>
                <w:b/>
                <w:sz w:val="20"/>
                <w:szCs w:val="20"/>
              </w:rPr>
              <w:t>Outcomes</w:t>
            </w:r>
          </w:p>
        </w:tc>
      </w:tr>
      <w:tr w:rsidR="00A56EE9" w14:paraId="5761D0A8" w14:textId="77777777" w:rsidTr="00BB6AD5">
        <w:tc>
          <w:tcPr>
            <w:tcW w:w="827" w:type="pct"/>
            <w:tcBorders>
              <w:top w:val="single" w:sz="4" w:space="0" w:color="auto"/>
              <w:left w:val="single" w:sz="4" w:space="0" w:color="auto"/>
              <w:bottom w:val="single" w:sz="4" w:space="0" w:color="auto"/>
              <w:right w:val="single" w:sz="4" w:space="0" w:color="auto"/>
            </w:tcBorders>
            <w:hideMark/>
          </w:tcPr>
          <w:p w14:paraId="5761D0A1" w14:textId="77777777" w:rsidR="00A56EE9" w:rsidRDefault="00A56EE9">
            <w:pPr>
              <w:rPr>
                <w:rStyle w:val="BookTitle"/>
                <w:sz w:val="20"/>
                <w:szCs w:val="20"/>
              </w:rPr>
            </w:pPr>
            <w:r>
              <w:rPr>
                <w:rStyle w:val="BookTitle"/>
                <w:sz w:val="20"/>
                <w:szCs w:val="20"/>
              </w:rPr>
              <w:t>Focus of evaluation</w:t>
            </w:r>
          </w:p>
        </w:tc>
        <w:tc>
          <w:tcPr>
            <w:tcW w:w="680" w:type="pct"/>
            <w:tcBorders>
              <w:top w:val="single" w:sz="4" w:space="0" w:color="auto"/>
              <w:left w:val="single" w:sz="4" w:space="0" w:color="auto"/>
              <w:bottom w:val="single" w:sz="4" w:space="0" w:color="auto"/>
              <w:right w:val="single" w:sz="4" w:space="0" w:color="auto"/>
            </w:tcBorders>
            <w:hideMark/>
          </w:tcPr>
          <w:p w14:paraId="5761D0A2" w14:textId="77777777" w:rsidR="00A56EE9" w:rsidRDefault="00A56EE9">
            <w:pPr>
              <w:rPr>
                <w:rStyle w:val="BookTitle"/>
                <w:sz w:val="20"/>
                <w:szCs w:val="20"/>
              </w:rPr>
            </w:pPr>
            <w:r>
              <w:rPr>
                <w:rStyle w:val="BookTitle"/>
                <w:sz w:val="20"/>
                <w:szCs w:val="20"/>
              </w:rPr>
              <w:t>Assessment of importance, threats and policy environment</w:t>
            </w:r>
          </w:p>
        </w:tc>
        <w:tc>
          <w:tcPr>
            <w:tcW w:w="680" w:type="pct"/>
            <w:tcBorders>
              <w:top w:val="single" w:sz="4" w:space="0" w:color="auto"/>
              <w:left w:val="single" w:sz="4" w:space="0" w:color="auto"/>
              <w:bottom w:val="single" w:sz="4" w:space="0" w:color="auto"/>
              <w:right w:val="single" w:sz="4" w:space="0" w:color="auto"/>
            </w:tcBorders>
            <w:hideMark/>
          </w:tcPr>
          <w:p w14:paraId="5761D0A3" w14:textId="77777777" w:rsidR="00A56EE9" w:rsidRDefault="00A56EE9">
            <w:pPr>
              <w:rPr>
                <w:rStyle w:val="BookTitle"/>
                <w:sz w:val="20"/>
                <w:szCs w:val="20"/>
              </w:rPr>
            </w:pPr>
            <w:r>
              <w:rPr>
                <w:rStyle w:val="BookTitle"/>
                <w:sz w:val="20"/>
                <w:szCs w:val="20"/>
              </w:rPr>
              <w:t>Assessment of protected area design and planning</w:t>
            </w:r>
          </w:p>
        </w:tc>
        <w:tc>
          <w:tcPr>
            <w:tcW w:w="680" w:type="pct"/>
            <w:tcBorders>
              <w:top w:val="single" w:sz="4" w:space="0" w:color="auto"/>
              <w:left w:val="single" w:sz="4" w:space="0" w:color="auto"/>
              <w:bottom w:val="single" w:sz="4" w:space="0" w:color="auto"/>
              <w:right w:val="single" w:sz="4" w:space="0" w:color="auto"/>
            </w:tcBorders>
            <w:hideMark/>
          </w:tcPr>
          <w:p w14:paraId="5761D0A4" w14:textId="77777777" w:rsidR="00A56EE9" w:rsidRDefault="00A56EE9">
            <w:pPr>
              <w:rPr>
                <w:rStyle w:val="BookTitle"/>
                <w:sz w:val="20"/>
                <w:szCs w:val="20"/>
              </w:rPr>
            </w:pPr>
            <w:r>
              <w:rPr>
                <w:rStyle w:val="BookTitle"/>
                <w:sz w:val="20"/>
                <w:szCs w:val="20"/>
              </w:rPr>
              <w:t>Assessment of resources needed to carry out management</w:t>
            </w:r>
          </w:p>
        </w:tc>
        <w:tc>
          <w:tcPr>
            <w:tcW w:w="680" w:type="pct"/>
            <w:tcBorders>
              <w:top w:val="single" w:sz="4" w:space="0" w:color="auto"/>
              <w:left w:val="single" w:sz="4" w:space="0" w:color="auto"/>
              <w:bottom w:val="single" w:sz="4" w:space="0" w:color="auto"/>
              <w:right w:val="single" w:sz="4" w:space="0" w:color="auto"/>
            </w:tcBorders>
            <w:hideMark/>
          </w:tcPr>
          <w:p w14:paraId="5761D0A5" w14:textId="77777777" w:rsidR="00A56EE9" w:rsidRDefault="00A56EE9">
            <w:pPr>
              <w:rPr>
                <w:rStyle w:val="BookTitle"/>
                <w:sz w:val="20"/>
                <w:szCs w:val="20"/>
              </w:rPr>
            </w:pPr>
            <w:r>
              <w:rPr>
                <w:rStyle w:val="BookTitle"/>
                <w:sz w:val="20"/>
                <w:szCs w:val="20"/>
              </w:rPr>
              <w:t>Assessment of the way in which management is conducted</w:t>
            </w:r>
          </w:p>
        </w:tc>
        <w:tc>
          <w:tcPr>
            <w:tcW w:w="772" w:type="pct"/>
            <w:tcBorders>
              <w:top w:val="single" w:sz="4" w:space="0" w:color="auto"/>
              <w:left w:val="single" w:sz="4" w:space="0" w:color="auto"/>
              <w:bottom w:val="single" w:sz="4" w:space="0" w:color="auto"/>
              <w:right w:val="single" w:sz="4" w:space="0" w:color="auto"/>
            </w:tcBorders>
            <w:hideMark/>
          </w:tcPr>
          <w:p w14:paraId="5761D0A6" w14:textId="77777777" w:rsidR="00A56EE9" w:rsidRDefault="00A56EE9">
            <w:pPr>
              <w:rPr>
                <w:rStyle w:val="BookTitle"/>
                <w:sz w:val="20"/>
                <w:szCs w:val="20"/>
              </w:rPr>
            </w:pPr>
            <w:r>
              <w:rPr>
                <w:rStyle w:val="BookTitle"/>
                <w:sz w:val="20"/>
                <w:szCs w:val="20"/>
              </w:rPr>
              <w:t>Assessment of the implementation of management programmes and actions; delivery of products and services</w:t>
            </w:r>
          </w:p>
        </w:tc>
        <w:tc>
          <w:tcPr>
            <w:tcW w:w="680" w:type="pct"/>
            <w:tcBorders>
              <w:top w:val="single" w:sz="4" w:space="0" w:color="auto"/>
              <w:left w:val="single" w:sz="4" w:space="0" w:color="auto"/>
              <w:bottom w:val="single" w:sz="4" w:space="0" w:color="auto"/>
              <w:right w:val="single" w:sz="4" w:space="0" w:color="auto"/>
            </w:tcBorders>
            <w:hideMark/>
          </w:tcPr>
          <w:p w14:paraId="5761D0A7" w14:textId="77777777" w:rsidR="00A56EE9" w:rsidRDefault="00A56EE9">
            <w:pPr>
              <w:rPr>
                <w:rStyle w:val="BookTitle"/>
                <w:sz w:val="20"/>
                <w:szCs w:val="20"/>
              </w:rPr>
            </w:pPr>
            <w:r>
              <w:rPr>
                <w:rStyle w:val="BookTitle"/>
                <w:sz w:val="20"/>
                <w:szCs w:val="20"/>
              </w:rPr>
              <w:t>Assessment of the outcomes and the extent to which they achieved objectives</w:t>
            </w:r>
          </w:p>
        </w:tc>
      </w:tr>
      <w:tr w:rsidR="00A56EE9" w14:paraId="5761D0B9" w14:textId="77777777" w:rsidTr="00BB6AD5">
        <w:tc>
          <w:tcPr>
            <w:tcW w:w="827" w:type="pct"/>
            <w:tcBorders>
              <w:top w:val="single" w:sz="4" w:space="0" w:color="auto"/>
              <w:left w:val="single" w:sz="4" w:space="0" w:color="auto"/>
              <w:bottom w:val="single" w:sz="4" w:space="0" w:color="auto"/>
              <w:right w:val="single" w:sz="4" w:space="0" w:color="auto"/>
            </w:tcBorders>
            <w:hideMark/>
          </w:tcPr>
          <w:p w14:paraId="5761D0A9" w14:textId="77777777" w:rsidR="00A56EE9" w:rsidRDefault="00A56EE9">
            <w:pPr>
              <w:rPr>
                <w:rStyle w:val="BookTitle"/>
                <w:sz w:val="20"/>
                <w:szCs w:val="20"/>
              </w:rPr>
            </w:pPr>
            <w:r>
              <w:rPr>
                <w:rStyle w:val="BookTitle"/>
                <w:sz w:val="20"/>
                <w:szCs w:val="20"/>
              </w:rPr>
              <w:t>Criteria that are assessed</w:t>
            </w:r>
          </w:p>
        </w:tc>
        <w:tc>
          <w:tcPr>
            <w:tcW w:w="680" w:type="pct"/>
            <w:tcBorders>
              <w:top w:val="single" w:sz="4" w:space="0" w:color="auto"/>
              <w:left w:val="single" w:sz="4" w:space="0" w:color="auto"/>
              <w:bottom w:val="single" w:sz="4" w:space="0" w:color="auto"/>
              <w:right w:val="single" w:sz="4" w:space="0" w:color="auto"/>
            </w:tcBorders>
            <w:hideMark/>
          </w:tcPr>
          <w:p w14:paraId="5761D0AA" w14:textId="77777777" w:rsidR="00A56EE9" w:rsidRDefault="00A56EE9">
            <w:pPr>
              <w:rPr>
                <w:rStyle w:val="BookTitle"/>
                <w:sz w:val="20"/>
                <w:szCs w:val="20"/>
              </w:rPr>
            </w:pPr>
            <w:r>
              <w:rPr>
                <w:rStyle w:val="BookTitle"/>
                <w:sz w:val="20"/>
                <w:szCs w:val="20"/>
              </w:rPr>
              <w:t>Significance / values</w:t>
            </w:r>
          </w:p>
          <w:p w14:paraId="5761D0AB" w14:textId="77777777" w:rsidR="00A56EE9" w:rsidRDefault="00A56EE9">
            <w:pPr>
              <w:rPr>
                <w:rStyle w:val="BookTitle"/>
                <w:sz w:val="20"/>
                <w:szCs w:val="20"/>
              </w:rPr>
            </w:pPr>
            <w:r>
              <w:rPr>
                <w:rStyle w:val="BookTitle"/>
                <w:sz w:val="20"/>
                <w:szCs w:val="20"/>
              </w:rPr>
              <w:t>Threats</w:t>
            </w:r>
          </w:p>
          <w:p w14:paraId="5761D0AC" w14:textId="77777777" w:rsidR="00A56EE9" w:rsidRDefault="00A56EE9">
            <w:pPr>
              <w:rPr>
                <w:rStyle w:val="BookTitle"/>
                <w:sz w:val="20"/>
                <w:szCs w:val="20"/>
              </w:rPr>
            </w:pPr>
            <w:r>
              <w:rPr>
                <w:rStyle w:val="BookTitle"/>
                <w:sz w:val="20"/>
                <w:szCs w:val="20"/>
              </w:rPr>
              <w:lastRenderedPageBreak/>
              <w:t>Vulnerability</w:t>
            </w:r>
          </w:p>
          <w:p w14:paraId="5761D0AD" w14:textId="77777777" w:rsidR="00A56EE9" w:rsidRDefault="00A56EE9">
            <w:pPr>
              <w:rPr>
                <w:rStyle w:val="BookTitle"/>
                <w:sz w:val="20"/>
                <w:szCs w:val="20"/>
              </w:rPr>
            </w:pPr>
            <w:r>
              <w:rPr>
                <w:rStyle w:val="BookTitle"/>
                <w:sz w:val="20"/>
                <w:szCs w:val="20"/>
              </w:rPr>
              <w:t>Stakeholders</w:t>
            </w:r>
          </w:p>
          <w:p w14:paraId="5761D0AE" w14:textId="77777777" w:rsidR="00A56EE9" w:rsidRDefault="00A56EE9">
            <w:pPr>
              <w:rPr>
                <w:rStyle w:val="BookTitle"/>
                <w:sz w:val="20"/>
                <w:szCs w:val="20"/>
              </w:rPr>
            </w:pPr>
            <w:r>
              <w:rPr>
                <w:rStyle w:val="BookTitle"/>
                <w:sz w:val="20"/>
                <w:szCs w:val="20"/>
              </w:rPr>
              <w:t>National context</w:t>
            </w:r>
          </w:p>
        </w:tc>
        <w:tc>
          <w:tcPr>
            <w:tcW w:w="680" w:type="pct"/>
            <w:tcBorders>
              <w:top w:val="single" w:sz="4" w:space="0" w:color="auto"/>
              <w:left w:val="single" w:sz="4" w:space="0" w:color="auto"/>
              <w:bottom w:val="single" w:sz="4" w:space="0" w:color="auto"/>
              <w:right w:val="single" w:sz="4" w:space="0" w:color="auto"/>
            </w:tcBorders>
            <w:hideMark/>
          </w:tcPr>
          <w:p w14:paraId="5761D0AF" w14:textId="77777777" w:rsidR="00A56EE9" w:rsidRDefault="00A56EE9">
            <w:pPr>
              <w:rPr>
                <w:rStyle w:val="BookTitle"/>
                <w:sz w:val="20"/>
                <w:szCs w:val="20"/>
              </w:rPr>
            </w:pPr>
            <w:r>
              <w:rPr>
                <w:rStyle w:val="BookTitle"/>
                <w:sz w:val="20"/>
                <w:szCs w:val="20"/>
              </w:rPr>
              <w:lastRenderedPageBreak/>
              <w:t xml:space="preserve">Protected area </w:t>
            </w:r>
            <w:r>
              <w:rPr>
                <w:rStyle w:val="BookTitle"/>
                <w:sz w:val="20"/>
                <w:szCs w:val="20"/>
              </w:rPr>
              <w:lastRenderedPageBreak/>
              <w:t>legislation and policy</w:t>
            </w:r>
          </w:p>
          <w:p w14:paraId="5761D0B0" w14:textId="77777777" w:rsidR="00A56EE9" w:rsidRDefault="00A56EE9">
            <w:pPr>
              <w:rPr>
                <w:rStyle w:val="BookTitle"/>
                <w:sz w:val="20"/>
                <w:szCs w:val="20"/>
              </w:rPr>
            </w:pPr>
            <w:r>
              <w:rPr>
                <w:rStyle w:val="BookTitle"/>
                <w:sz w:val="20"/>
                <w:szCs w:val="20"/>
              </w:rPr>
              <w:t>Protected area system design</w:t>
            </w:r>
          </w:p>
          <w:p w14:paraId="5761D0B1" w14:textId="77777777" w:rsidR="00A56EE9" w:rsidRDefault="00A56EE9">
            <w:pPr>
              <w:rPr>
                <w:rStyle w:val="BookTitle"/>
                <w:sz w:val="20"/>
                <w:szCs w:val="20"/>
              </w:rPr>
            </w:pPr>
            <w:r>
              <w:rPr>
                <w:rStyle w:val="BookTitle"/>
                <w:sz w:val="20"/>
                <w:szCs w:val="20"/>
              </w:rPr>
              <w:t>Protected area design</w:t>
            </w:r>
          </w:p>
          <w:p w14:paraId="5761D0B2" w14:textId="77777777" w:rsidR="00A56EE9" w:rsidRDefault="00A56EE9">
            <w:pPr>
              <w:rPr>
                <w:rStyle w:val="BookTitle"/>
                <w:sz w:val="20"/>
                <w:szCs w:val="20"/>
              </w:rPr>
            </w:pPr>
            <w:r>
              <w:rPr>
                <w:rStyle w:val="BookTitle"/>
                <w:sz w:val="20"/>
                <w:szCs w:val="20"/>
              </w:rPr>
              <w:t>Management planning</w:t>
            </w:r>
          </w:p>
        </w:tc>
        <w:tc>
          <w:tcPr>
            <w:tcW w:w="680" w:type="pct"/>
            <w:tcBorders>
              <w:top w:val="single" w:sz="4" w:space="0" w:color="auto"/>
              <w:left w:val="single" w:sz="4" w:space="0" w:color="auto"/>
              <w:bottom w:val="single" w:sz="4" w:space="0" w:color="auto"/>
              <w:right w:val="single" w:sz="4" w:space="0" w:color="auto"/>
            </w:tcBorders>
            <w:hideMark/>
          </w:tcPr>
          <w:p w14:paraId="5761D0B3" w14:textId="77777777" w:rsidR="00A56EE9" w:rsidRDefault="00A56EE9">
            <w:pPr>
              <w:rPr>
                <w:rStyle w:val="BookTitle"/>
                <w:sz w:val="20"/>
                <w:szCs w:val="20"/>
              </w:rPr>
            </w:pPr>
            <w:r>
              <w:rPr>
                <w:rStyle w:val="BookTitle"/>
                <w:sz w:val="20"/>
                <w:szCs w:val="20"/>
              </w:rPr>
              <w:lastRenderedPageBreak/>
              <w:t>Resources available to the agency</w:t>
            </w:r>
          </w:p>
          <w:p w14:paraId="5761D0B4" w14:textId="77777777" w:rsidR="00A56EE9" w:rsidRDefault="00A56EE9">
            <w:pPr>
              <w:rPr>
                <w:rStyle w:val="BookTitle"/>
                <w:sz w:val="20"/>
                <w:szCs w:val="20"/>
              </w:rPr>
            </w:pPr>
            <w:r>
              <w:rPr>
                <w:rStyle w:val="BookTitle"/>
                <w:sz w:val="20"/>
                <w:szCs w:val="20"/>
              </w:rPr>
              <w:lastRenderedPageBreak/>
              <w:t>Resources available to the protected area</w:t>
            </w:r>
          </w:p>
        </w:tc>
        <w:tc>
          <w:tcPr>
            <w:tcW w:w="680" w:type="pct"/>
            <w:tcBorders>
              <w:top w:val="single" w:sz="4" w:space="0" w:color="auto"/>
              <w:left w:val="single" w:sz="4" w:space="0" w:color="auto"/>
              <w:bottom w:val="single" w:sz="4" w:space="0" w:color="auto"/>
              <w:right w:val="single" w:sz="4" w:space="0" w:color="auto"/>
            </w:tcBorders>
            <w:hideMark/>
          </w:tcPr>
          <w:p w14:paraId="5761D0B5" w14:textId="77777777" w:rsidR="00A56EE9" w:rsidRDefault="00A56EE9">
            <w:pPr>
              <w:rPr>
                <w:rStyle w:val="BookTitle"/>
                <w:sz w:val="20"/>
                <w:szCs w:val="20"/>
              </w:rPr>
            </w:pPr>
            <w:r>
              <w:rPr>
                <w:rStyle w:val="BookTitle"/>
                <w:sz w:val="20"/>
                <w:szCs w:val="20"/>
              </w:rPr>
              <w:lastRenderedPageBreak/>
              <w:t xml:space="preserve">Suitability of management processes </w:t>
            </w:r>
            <w:r>
              <w:rPr>
                <w:rStyle w:val="BookTitle"/>
                <w:sz w:val="20"/>
                <w:szCs w:val="20"/>
              </w:rPr>
              <w:lastRenderedPageBreak/>
              <w:t>and the extent to which established or accepted processes are being implemented</w:t>
            </w:r>
          </w:p>
        </w:tc>
        <w:tc>
          <w:tcPr>
            <w:tcW w:w="772" w:type="pct"/>
            <w:tcBorders>
              <w:top w:val="single" w:sz="4" w:space="0" w:color="auto"/>
              <w:left w:val="single" w:sz="4" w:space="0" w:color="auto"/>
              <w:bottom w:val="single" w:sz="4" w:space="0" w:color="auto"/>
              <w:right w:val="single" w:sz="4" w:space="0" w:color="auto"/>
            </w:tcBorders>
            <w:hideMark/>
          </w:tcPr>
          <w:p w14:paraId="5761D0B6" w14:textId="77777777" w:rsidR="00A56EE9" w:rsidRDefault="00A56EE9">
            <w:pPr>
              <w:rPr>
                <w:rStyle w:val="BookTitle"/>
                <w:sz w:val="20"/>
                <w:szCs w:val="20"/>
              </w:rPr>
            </w:pPr>
            <w:r>
              <w:rPr>
                <w:rStyle w:val="BookTitle"/>
                <w:sz w:val="20"/>
                <w:szCs w:val="20"/>
              </w:rPr>
              <w:lastRenderedPageBreak/>
              <w:t>Results of management actions</w:t>
            </w:r>
          </w:p>
          <w:p w14:paraId="5761D0B7" w14:textId="77777777" w:rsidR="00A56EE9" w:rsidRDefault="00A56EE9">
            <w:pPr>
              <w:rPr>
                <w:rStyle w:val="BookTitle"/>
                <w:sz w:val="20"/>
                <w:szCs w:val="20"/>
              </w:rPr>
            </w:pPr>
            <w:r>
              <w:rPr>
                <w:rStyle w:val="BookTitle"/>
                <w:sz w:val="20"/>
                <w:szCs w:val="20"/>
              </w:rPr>
              <w:lastRenderedPageBreak/>
              <w:t>Services and products</w:t>
            </w:r>
          </w:p>
        </w:tc>
        <w:tc>
          <w:tcPr>
            <w:tcW w:w="680" w:type="pct"/>
            <w:tcBorders>
              <w:top w:val="single" w:sz="4" w:space="0" w:color="auto"/>
              <w:left w:val="single" w:sz="4" w:space="0" w:color="auto"/>
              <w:bottom w:val="single" w:sz="4" w:space="0" w:color="auto"/>
              <w:right w:val="single" w:sz="4" w:space="0" w:color="auto"/>
            </w:tcBorders>
            <w:hideMark/>
          </w:tcPr>
          <w:p w14:paraId="5761D0B8" w14:textId="77777777" w:rsidR="00A56EE9" w:rsidRDefault="00A56EE9">
            <w:pPr>
              <w:rPr>
                <w:rStyle w:val="BookTitle"/>
                <w:sz w:val="20"/>
                <w:szCs w:val="20"/>
              </w:rPr>
            </w:pPr>
            <w:r>
              <w:rPr>
                <w:rStyle w:val="BookTitle"/>
                <w:sz w:val="20"/>
                <w:szCs w:val="20"/>
              </w:rPr>
              <w:lastRenderedPageBreak/>
              <w:t>Impacts: effects of managemen</w:t>
            </w:r>
            <w:r>
              <w:rPr>
                <w:rStyle w:val="BookTitle"/>
                <w:sz w:val="20"/>
                <w:szCs w:val="20"/>
              </w:rPr>
              <w:lastRenderedPageBreak/>
              <w:t>t in relation to objectives</w:t>
            </w:r>
          </w:p>
        </w:tc>
      </w:tr>
    </w:tbl>
    <w:p w14:paraId="5761D0BB" w14:textId="77777777" w:rsidR="00A56EE9" w:rsidRDefault="00A56EE9" w:rsidP="00E3690C">
      <w:pPr>
        <w:spacing w:before="240" w:line="276" w:lineRule="auto"/>
      </w:pPr>
      <w:r>
        <w:lastRenderedPageBreak/>
        <w:t xml:space="preserve">The Great Barrier Reef Outlook Report is required to assess </w:t>
      </w:r>
      <w:r>
        <w:rPr>
          <w:i/>
        </w:rPr>
        <w:t>the existing measures to protect and manage the ecosystem within the Region</w:t>
      </w:r>
      <w:r w:rsidRPr="00963D89">
        <w:t>.</w:t>
      </w:r>
      <w:r w:rsidRPr="00A26729">
        <w:t xml:space="preserve"> </w:t>
      </w:r>
      <w:r>
        <w:t xml:space="preserve">The evaluation methodology for the first report </w:t>
      </w:r>
      <w:r w:rsidRPr="00DE60A7">
        <w:t>Outlook Report 2009</w:t>
      </w:r>
      <w:r>
        <w:t xml:space="preserve"> was developed using the IUCN framework and assessed all six elements.</w:t>
      </w:r>
      <w:r>
        <w:rPr>
          <w:i/>
        </w:rPr>
        <w:t xml:space="preserve"> </w:t>
      </w:r>
      <w:r>
        <w:t>This methodology was adapted slightly for Outlook Report 2014, and has remained consistent for this report.</w:t>
      </w:r>
    </w:p>
    <w:p w14:paraId="5761D0BC" w14:textId="77777777" w:rsidR="00A56EE9" w:rsidRDefault="00A56EE9" w:rsidP="00A11869">
      <w:pPr>
        <w:pStyle w:val="Heading2"/>
        <w:numPr>
          <w:ilvl w:val="1"/>
          <w:numId w:val="17"/>
        </w:numPr>
        <w:spacing w:line="256" w:lineRule="auto"/>
        <w:ind w:left="357" w:hanging="357"/>
      </w:pPr>
      <w:bookmarkStart w:id="37" w:name="_Toc523423774"/>
      <w:r>
        <w:t>Management topics</w:t>
      </w:r>
      <w:bookmarkEnd w:id="37"/>
    </w:p>
    <w:p w14:paraId="5761D0BD" w14:textId="77777777" w:rsidR="00A56EE9" w:rsidRDefault="00A56EE9" w:rsidP="00E3690C">
      <w:pPr>
        <w:spacing w:line="276" w:lineRule="auto"/>
      </w:pPr>
      <w:r>
        <w:t xml:space="preserve">The 14 management topics addressed in this report are the same as in Outlook Report 2014. The management topics are grouped into three clusters: </w:t>
      </w:r>
    </w:p>
    <w:p w14:paraId="5761D0BE" w14:textId="77777777" w:rsidR="00A56EE9" w:rsidRDefault="00A56EE9" w:rsidP="00BB6AD5">
      <w:pPr>
        <w:spacing w:after="120"/>
        <w:rPr>
          <w:b/>
          <w:bCs/>
        </w:rPr>
      </w:pPr>
      <w:r>
        <w:rPr>
          <w:b/>
          <w:bCs/>
        </w:rPr>
        <w:t>1.</w:t>
      </w:r>
      <w:r>
        <w:rPr>
          <w:b/>
          <w:bCs/>
        </w:rPr>
        <w:tab/>
        <w:t>Managing direct use</w:t>
      </w:r>
    </w:p>
    <w:p w14:paraId="5761D0BF" w14:textId="77777777" w:rsidR="00A56EE9" w:rsidRDefault="00A56EE9" w:rsidP="00A11869">
      <w:pPr>
        <w:pStyle w:val="ListParagraph"/>
        <w:numPr>
          <w:ilvl w:val="0"/>
          <w:numId w:val="2"/>
        </w:numPr>
        <w:spacing w:after="120" w:line="276" w:lineRule="auto"/>
      </w:pPr>
      <w:r>
        <w:t>Commercial marine tourism</w:t>
      </w:r>
    </w:p>
    <w:p w14:paraId="5761D0C0" w14:textId="77777777" w:rsidR="00A56EE9" w:rsidRDefault="00A56EE9" w:rsidP="00A11869">
      <w:pPr>
        <w:pStyle w:val="ListParagraph"/>
        <w:numPr>
          <w:ilvl w:val="0"/>
          <w:numId w:val="2"/>
        </w:numPr>
        <w:spacing w:after="120" w:line="276" w:lineRule="auto"/>
      </w:pPr>
      <w:r>
        <w:t>Defence activities</w:t>
      </w:r>
    </w:p>
    <w:p w14:paraId="5761D0C1" w14:textId="77777777" w:rsidR="00A56EE9" w:rsidRDefault="00A56EE9" w:rsidP="00A11869">
      <w:pPr>
        <w:pStyle w:val="ListParagraph"/>
        <w:numPr>
          <w:ilvl w:val="0"/>
          <w:numId w:val="2"/>
        </w:numPr>
        <w:spacing w:after="120" w:line="276" w:lineRule="auto"/>
      </w:pPr>
      <w:r>
        <w:t>Fishing (commercial and recreational)</w:t>
      </w:r>
    </w:p>
    <w:p w14:paraId="5761D0C2" w14:textId="77777777" w:rsidR="00A56EE9" w:rsidRDefault="00A56EE9" w:rsidP="00A11869">
      <w:pPr>
        <w:pStyle w:val="ListParagraph"/>
        <w:numPr>
          <w:ilvl w:val="0"/>
          <w:numId w:val="2"/>
        </w:numPr>
        <w:spacing w:after="120" w:line="276" w:lineRule="auto"/>
      </w:pPr>
      <w:r>
        <w:t>Ports</w:t>
      </w:r>
    </w:p>
    <w:p w14:paraId="5761D0C3" w14:textId="77777777" w:rsidR="00A56EE9" w:rsidRDefault="00A56EE9" w:rsidP="00A11869">
      <w:pPr>
        <w:pStyle w:val="ListParagraph"/>
        <w:numPr>
          <w:ilvl w:val="0"/>
          <w:numId w:val="2"/>
        </w:numPr>
        <w:spacing w:after="120" w:line="276" w:lineRule="auto"/>
      </w:pPr>
      <w:r>
        <w:t>Recreation (not including fishing)</w:t>
      </w:r>
    </w:p>
    <w:p w14:paraId="5761D0C4" w14:textId="77777777" w:rsidR="00A56EE9" w:rsidRDefault="00A56EE9" w:rsidP="00A11869">
      <w:pPr>
        <w:pStyle w:val="ListParagraph"/>
        <w:numPr>
          <w:ilvl w:val="0"/>
          <w:numId w:val="2"/>
        </w:numPr>
        <w:spacing w:after="120" w:line="276" w:lineRule="auto"/>
      </w:pPr>
      <w:r>
        <w:t>Research activities</w:t>
      </w:r>
    </w:p>
    <w:p w14:paraId="5761D0C5" w14:textId="77777777" w:rsidR="00A56EE9" w:rsidRDefault="00A56EE9" w:rsidP="00A11869">
      <w:pPr>
        <w:pStyle w:val="ListParagraph"/>
        <w:numPr>
          <w:ilvl w:val="0"/>
          <w:numId w:val="2"/>
        </w:numPr>
        <w:spacing w:after="120" w:line="276" w:lineRule="auto"/>
      </w:pPr>
      <w:r>
        <w:t>Shipping</w:t>
      </w:r>
    </w:p>
    <w:p w14:paraId="5761D0C6" w14:textId="77777777" w:rsidR="00A56EE9" w:rsidRDefault="00A56EE9" w:rsidP="00A11869">
      <w:pPr>
        <w:pStyle w:val="ListParagraph"/>
        <w:numPr>
          <w:ilvl w:val="0"/>
          <w:numId w:val="2"/>
        </w:numPr>
        <w:spacing w:after="120" w:line="276" w:lineRule="auto"/>
      </w:pPr>
      <w:r>
        <w:t>Traditional Use of Marine Resources.</w:t>
      </w:r>
    </w:p>
    <w:p w14:paraId="5761D0C7" w14:textId="77777777" w:rsidR="00A56EE9" w:rsidRDefault="00A56EE9" w:rsidP="00BB6AD5">
      <w:pPr>
        <w:spacing w:after="120"/>
        <w:rPr>
          <w:b/>
          <w:bCs/>
        </w:rPr>
      </w:pPr>
      <w:r>
        <w:rPr>
          <w:b/>
          <w:bCs/>
        </w:rPr>
        <w:t>2.</w:t>
      </w:r>
      <w:r>
        <w:rPr>
          <w:b/>
          <w:bCs/>
        </w:rPr>
        <w:tab/>
        <w:t xml:space="preserve">Managing external factors </w:t>
      </w:r>
    </w:p>
    <w:p w14:paraId="5761D0C8" w14:textId="77777777" w:rsidR="00A56EE9" w:rsidRDefault="00A56EE9" w:rsidP="00A11869">
      <w:pPr>
        <w:pStyle w:val="ListParagraph"/>
        <w:numPr>
          <w:ilvl w:val="0"/>
          <w:numId w:val="3"/>
        </w:numPr>
        <w:spacing w:after="120" w:line="276" w:lineRule="auto"/>
      </w:pPr>
      <w:r>
        <w:t>Climate change</w:t>
      </w:r>
    </w:p>
    <w:p w14:paraId="5761D0C9" w14:textId="77777777" w:rsidR="00A56EE9" w:rsidRDefault="00A56EE9" w:rsidP="00A11869">
      <w:pPr>
        <w:pStyle w:val="ListParagraph"/>
        <w:numPr>
          <w:ilvl w:val="0"/>
          <w:numId w:val="3"/>
        </w:numPr>
        <w:spacing w:after="120" w:line="276" w:lineRule="auto"/>
      </w:pPr>
      <w:r>
        <w:t>Coastal development</w:t>
      </w:r>
    </w:p>
    <w:p w14:paraId="5761D0CA" w14:textId="39514547" w:rsidR="00A56EE9" w:rsidRDefault="00A56EE9" w:rsidP="00A11869">
      <w:pPr>
        <w:pStyle w:val="ListParagraph"/>
        <w:numPr>
          <w:ilvl w:val="0"/>
          <w:numId w:val="3"/>
        </w:numPr>
        <w:spacing w:after="120" w:line="276" w:lineRule="auto"/>
      </w:pPr>
      <w:r>
        <w:t>Land-based run-off</w:t>
      </w:r>
    </w:p>
    <w:p w14:paraId="5761D0CB" w14:textId="77777777" w:rsidR="00A56EE9" w:rsidRDefault="00A56EE9" w:rsidP="00BB6AD5">
      <w:pPr>
        <w:spacing w:after="120"/>
        <w:rPr>
          <w:b/>
          <w:bCs/>
        </w:rPr>
      </w:pPr>
      <w:r>
        <w:rPr>
          <w:b/>
          <w:bCs/>
        </w:rPr>
        <w:t>3.</w:t>
      </w:r>
      <w:r>
        <w:rPr>
          <w:b/>
          <w:bCs/>
        </w:rPr>
        <w:tab/>
        <w:t>Managing to protect the Region’s values</w:t>
      </w:r>
    </w:p>
    <w:p w14:paraId="5761D0CC" w14:textId="77777777" w:rsidR="00A56EE9" w:rsidRDefault="00A56EE9" w:rsidP="00A11869">
      <w:pPr>
        <w:pStyle w:val="ListParagraph"/>
        <w:numPr>
          <w:ilvl w:val="0"/>
          <w:numId w:val="4"/>
        </w:numPr>
        <w:spacing w:after="120" w:line="276" w:lineRule="auto"/>
      </w:pPr>
      <w:r>
        <w:t>Biodiversity values</w:t>
      </w:r>
    </w:p>
    <w:p w14:paraId="5761D0CD" w14:textId="77777777" w:rsidR="00A56EE9" w:rsidRDefault="00A56EE9" w:rsidP="00A11869">
      <w:pPr>
        <w:pStyle w:val="ListParagraph"/>
        <w:numPr>
          <w:ilvl w:val="0"/>
          <w:numId w:val="4"/>
        </w:numPr>
        <w:spacing w:after="120" w:line="276" w:lineRule="auto"/>
      </w:pPr>
      <w:r>
        <w:t>Heritage values</w:t>
      </w:r>
    </w:p>
    <w:p w14:paraId="5761D0CE" w14:textId="7DDB9705" w:rsidR="00A56EE9" w:rsidRDefault="00A56EE9" w:rsidP="00A11869">
      <w:pPr>
        <w:pStyle w:val="ListParagraph"/>
        <w:numPr>
          <w:ilvl w:val="0"/>
          <w:numId w:val="4"/>
        </w:numPr>
        <w:spacing w:after="120" w:line="276" w:lineRule="auto"/>
      </w:pPr>
      <w:r>
        <w:t>Community benefits of the environment</w:t>
      </w:r>
    </w:p>
    <w:p w14:paraId="5761D0CF" w14:textId="77777777" w:rsidR="00A56EE9" w:rsidRDefault="00A56EE9" w:rsidP="00E3690C">
      <w:pPr>
        <w:spacing w:line="276" w:lineRule="auto"/>
      </w:pPr>
      <w:r>
        <w:t>The assessment and associated text in the report relating to management of defence activities, Ports and Shipping were prepared by Ground Zero Environmental Pty Ltd (Trinder and Polglaze). All other sections of the report were prepared by Protected Area Solutions (Leverington, Hockings and Leverington).</w:t>
      </w:r>
    </w:p>
    <w:p w14:paraId="5761D0D2" w14:textId="5561E627" w:rsidR="00A56EE9" w:rsidRPr="007F1AA6" w:rsidRDefault="00A56EE9" w:rsidP="00E3690C">
      <w:pPr>
        <w:spacing w:line="276" w:lineRule="auto"/>
      </w:pPr>
      <w:r>
        <w:t xml:space="preserve">Each </w:t>
      </w:r>
      <w:r w:rsidRPr="00CD481E">
        <w:rPr>
          <w:b/>
          <w:i/>
        </w:rPr>
        <w:t>topic</w:t>
      </w:r>
      <w:r>
        <w:rPr>
          <w:i/>
        </w:rPr>
        <w:t xml:space="preserve"> </w:t>
      </w:r>
      <w:r>
        <w:t xml:space="preserve">was assessed under each framework </w:t>
      </w:r>
      <w:r w:rsidRPr="00CD481E">
        <w:rPr>
          <w:b/>
          <w:i/>
        </w:rPr>
        <w:t>element</w:t>
      </w:r>
      <w:r>
        <w:t xml:space="preserve">, resulting in a total of 49 </w:t>
      </w:r>
      <w:r w:rsidRPr="00CD481E">
        <w:rPr>
          <w:b/>
          <w:i/>
        </w:rPr>
        <w:t>indicators</w:t>
      </w:r>
      <w:r w:rsidRPr="00CD481E">
        <w:rPr>
          <w:b/>
        </w:rPr>
        <w:t xml:space="preserve"> </w:t>
      </w:r>
      <w:bookmarkStart w:id="38" w:name="_Ref519769958"/>
      <w:r w:rsidR="00762551">
        <w:t>(Table 3).</w:t>
      </w:r>
      <w:r>
        <w:br w:type="page"/>
      </w:r>
    </w:p>
    <w:p w14:paraId="5761D0D3" w14:textId="6F0577CA" w:rsidR="00A56EE9" w:rsidRDefault="00A56EE9" w:rsidP="00BB6AD5">
      <w:pPr>
        <w:pStyle w:val="Caption"/>
        <w:keepNext/>
        <w:ind w:left="0"/>
      </w:pPr>
      <w:bookmarkStart w:id="39" w:name="_Toc525654448"/>
      <w:r>
        <w:lastRenderedPageBreak/>
        <w:t xml:space="preserve">Table </w:t>
      </w:r>
      <w:r>
        <w:fldChar w:fldCharType="begin"/>
      </w:r>
      <w:r>
        <w:rPr>
          <w:noProof/>
        </w:rPr>
        <w:instrText xml:space="preserve"> SEQ Table \* ARABIC </w:instrText>
      </w:r>
      <w:r>
        <w:fldChar w:fldCharType="separate"/>
      </w:r>
      <w:r w:rsidR="00A4170C">
        <w:rPr>
          <w:noProof/>
        </w:rPr>
        <w:t>3</w:t>
      </w:r>
      <w:r>
        <w:fldChar w:fldCharType="end"/>
      </w:r>
      <w:bookmarkEnd w:id="38"/>
      <w:r>
        <w:t xml:space="preserve"> Indicators used to assess effectiveness of management topics</w:t>
      </w:r>
      <w:bookmarkEnd w:id="3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 Indicators used to assess effectiveness of management topics"/>
        <w:tblDescription w:val="For each of the six elements in the management effectiveness framework, the table lists 49 criteria and provides a description that was used to guide the calculation of the grades for management effectiveness."/>
      </w:tblPr>
      <w:tblGrid>
        <w:gridCol w:w="9016"/>
      </w:tblGrid>
      <w:tr w:rsidR="00A56EE9" w14:paraId="5761D0D5"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shd w:val="clear" w:color="auto" w:fill="EEECE1"/>
            <w:hideMark/>
          </w:tcPr>
          <w:p w14:paraId="5761D0D4" w14:textId="77777777" w:rsidR="00A56EE9" w:rsidRDefault="00A56EE9">
            <w:pPr>
              <w:pStyle w:val="Tablebulletlist"/>
              <w:spacing w:line="256" w:lineRule="auto"/>
            </w:pPr>
            <w:r>
              <w:t>CONTEXT</w:t>
            </w:r>
          </w:p>
        </w:tc>
      </w:tr>
      <w:tr w:rsidR="00A56EE9" w14:paraId="5761D0D7"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D6" w14:textId="6C3DA009" w:rsidR="00A56EE9" w:rsidRDefault="00A56EE9">
            <w:pPr>
              <w:pStyle w:val="Tablebulletlist"/>
              <w:spacing w:line="256" w:lineRule="auto"/>
            </w:pPr>
            <w:r>
              <w:rPr>
                <w:lang w:val="en-US"/>
              </w:rPr>
              <w:t>CO1</w:t>
            </w:r>
            <w:r w:rsidR="00242993">
              <w:rPr>
                <w:lang w:val="en-US"/>
              </w:rPr>
              <w:t xml:space="preserve"> </w:t>
            </w:r>
            <w:r>
              <w:rPr>
                <w:lang w:val="en-US"/>
              </w:rPr>
              <w:t>The values of the Great Barrier Reef relevant to *** are understood by managers</w:t>
            </w:r>
          </w:p>
        </w:tc>
      </w:tr>
      <w:tr w:rsidR="00A56EE9" w14:paraId="5761D0D9"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D8" w14:textId="133177FA" w:rsidR="00A56EE9" w:rsidRDefault="00A56EE9">
            <w:pPr>
              <w:pStyle w:val="Tablebulletlist"/>
              <w:spacing w:line="256" w:lineRule="auto"/>
              <w:rPr>
                <w:lang w:val="en-US"/>
              </w:rPr>
            </w:pPr>
            <w:r>
              <w:rPr>
                <w:lang w:val="en-US"/>
              </w:rPr>
              <w:t>CO2</w:t>
            </w:r>
            <w:r w:rsidR="00242993">
              <w:rPr>
                <w:lang w:val="en-US"/>
              </w:rPr>
              <w:t xml:space="preserve"> </w:t>
            </w:r>
            <w:r>
              <w:rPr>
                <w:lang w:val="en-US"/>
              </w:rPr>
              <w:t>The current condition and trend of values relevant to *** are known by managers</w:t>
            </w:r>
          </w:p>
        </w:tc>
      </w:tr>
      <w:tr w:rsidR="00A56EE9" w14:paraId="5761D0DB"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DA" w14:textId="6BD46B4A" w:rsidR="00A56EE9" w:rsidRDefault="00A56EE9">
            <w:pPr>
              <w:pStyle w:val="Tablebulletlist"/>
              <w:spacing w:line="256" w:lineRule="auto"/>
            </w:pPr>
            <w:r>
              <w:rPr>
                <w:lang w:val="en-US"/>
              </w:rPr>
              <w:t>CO3</w:t>
            </w:r>
            <w:r w:rsidR="00242993">
              <w:rPr>
                <w:lang w:val="en-US"/>
              </w:rPr>
              <w:t xml:space="preserve"> </w:t>
            </w:r>
            <w:r>
              <w:rPr>
                <w:lang w:val="en-US"/>
              </w:rPr>
              <w:t>Impacts (direct, indirect and cumulative) associated with *** are understood by managers.</w:t>
            </w:r>
          </w:p>
        </w:tc>
      </w:tr>
      <w:tr w:rsidR="00A56EE9" w14:paraId="5761D0DD"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DC" w14:textId="4F24DBEF" w:rsidR="00A56EE9" w:rsidRDefault="00A56EE9">
            <w:pPr>
              <w:pStyle w:val="Tablebulletlist"/>
              <w:spacing w:line="256" w:lineRule="auto"/>
            </w:pPr>
            <w:r>
              <w:rPr>
                <w:lang w:val="en-US"/>
              </w:rPr>
              <w:t>CO4</w:t>
            </w:r>
            <w:r w:rsidR="00242993">
              <w:rPr>
                <w:lang w:val="en-US"/>
              </w:rPr>
              <w:t xml:space="preserve"> </w:t>
            </w:r>
            <w:r>
              <w:rPr>
                <w:lang w:val="en-US"/>
              </w:rPr>
              <w:t>The broader (national and international) level influences relevant to *** are understood by managers.</w:t>
            </w:r>
          </w:p>
        </w:tc>
      </w:tr>
      <w:tr w:rsidR="00A56EE9" w14:paraId="5761D0DF"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DE" w14:textId="541648F3" w:rsidR="00A56EE9" w:rsidRDefault="00A56EE9">
            <w:pPr>
              <w:pStyle w:val="Tablebulletlist"/>
              <w:spacing w:line="256" w:lineRule="auto"/>
            </w:pPr>
            <w:r>
              <w:rPr>
                <w:lang w:val="en-US"/>
              </w:rPr>
              <w:t>CO5</w:t>
            </w:r>
            <w:r w:rsidR="00242993">
              <w:rPr>
                <w:lang w:val="en-US"/>
              </w:rPr>
              <w:t xml:space="preserve"> </w:t>
            </w:r>
            <w:r>
              <w:rPr>
                <w:lang w:val="en-US"/>
              </w:rPr>
              <w:t>The stakeholders relevant to *** are well known by managers.</w:t>
            </w:r>
          </w:p>
        </w:tc>
      </w:tr>
      <w:tr w:rsidR="00A56EE9" w14:paraId="5761D0E1"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shd w:val="clear" w:color="auto" w:fill="E7E6E6" w:themeFill="background2"/>
            <w:hideMark/>
          </w:tcPr>
          <w:p w14:paraId="5761D0E0" w14:textId="77777777" w:rsidR="00A56EE9" w:rsidRDefault="00A56EE9">
            <w:pPr>
              <w:pStyle w:val="Tablebulletlist"/>
              <w:spacing w:line="256" w:lineRule="auto"/>
            </w:pPr>
            <w:r>
              <w:t>PLANNING</w:t>
            </w:r>
          </w:p>
        </w:tc>
      </w:tr>
      <w:tr w:rsidR="00A56EE9" w14:paraId="5761D0E3"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E2" w14:textId="75F9660B" w:rsidR="00A56EE9" w:rsidRDefault="00A56EE9">
            <w:pPr>
              <w:pStyle w:val="Tablebulletlist"/>
              <w:spacing w:line="256" w:lineRule="auto"/>
              <w:rPr>
                <w:b/>
                <w:bCs/>
              </w:rPr>
            </w:pPr>
            <w:r>
              <w:t>PL1</w:t>
            </w:r>
            <w:r w:rsidR="00242993">
              <w:t xml:space="preserve"> </w:t>
            </w:r>
            <w:r>
              <w:t xml:space="preserve">There is a planning system in place that effectively addresses </w:t>
            </w:r>
            <w:r>
              <w:rPr>
                <w:lang w:val="en-US"/>
              </w:rPr>
              <w:t xml:space="preserve">*** </w:t>
            </w:r>
          </w:p>
        </w:tc>
      </w:tr>
      <w:tr w:rsidR="00A56EE9" w14:paraId="5761D0E5"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E4" w14:textId="7BCCB70B" w:rsidR="00A56EE9" w:rsidRDefault="00A56EE9">
            <w:pPr>
              <w:pStyle w:val="Tablebulletlist"/>
              <w:spacing w:line="256" w:lineRule="auto"/>
            </w:pPr>
            <w:r>
              <w:rPr>
                <w:lang w:val="en-US"/>
              </w:rPr>
              <w:t>PL2</w:t>
            </w:r>
            <w:r w:rsidR="00242993">
              <w:rPr>
                <w:lang w:val="en-US"/>
              </w:rPr>
              <w:t xml:space="preserve"> </w:t>
            </w:r>
            <w:r>
              <w:rPr>
                <w:lang w:val="en-US"/>
              </w:rPr>
              <w:t>The planning system for *** addresses the major factors influencing the Great Barrier Reef Region’s values.</w:t>
            </w:r>
          </w:p>
        </w:tc>
      </w:tr>
      <w:tr w:rsidR="00A56EE9" w14:paraId="5761D0E7"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E6" w14:textId="7797155B" w:rsidR="00A56EE9" w:rsidRDefault="00A56EE9">
            <w:pPr>
              <w:pStyle w:val="Tablebulletlist"/>
              <w:spacing w:line="256" w:lineRule="auto"/>
            </w:pPr>
            <w:r>
              <w:t>PL3</w:t>
            </w:r>
            <w:r w:rsidR="00242993">
              <w:t xml:space="preserve"> </w:t>
            </w:r>
            <w:r>
              <w:t xml:space="preserve">Actions for implementation regarding </w:t>
            </w:r>
            <w:r>
              <w:rPr>
                <w:lang w:val="en-US"/>
              </w:rPr>
              <w:t xml:space="preserve">*** </w:t>
            </w:r>
            <w:r>
              <w:t xml:space="preserve">are clearly identified within the plan </w:t>
            </w:r>
          </w:p>
        </w:tc>
      </w:tr>
      <w:tr w:rsidR="00A56EE9" w14:paraId="5761D0E9"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E8" w14:textId="7A1B47B4" w:rsidR="00A56EE9" w:rsidRDefault="00A56EE9">
            <w:pPr>
              <w:pStyle w:val="Tablebulletlist"/>
              <w:spacing w:line="256" w:lineRule="auto"/>
            </w:pPr>
            <w:r>
              <w:t>PL4</w:t>
            </w:r>
            <w:r w:rsidR="00242993">
              <w:t xml:space="preserve"> </w:t>
            </w:r>
            <w:r>
              <w:t xml:space="preserve">Clear, measurable and appropriate objectives for management of </w:t>
            </w:r>
            <w:r>
              <w:rPr>
                <w:lang w:val="en-US"/>
              </w:rPr>
              <w:t xml:space="preserve">*** </w:t>
            </w:r>
            <w:r>
              <w:t>have been documented</w:t>
            </w:r>
          </w:p>
        </w:tc>
      </w:tr>
      <w:tr w:rsidR="00A56EE9" w14:paraId="5761D0EB"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EA" w14:textId="039ACA24" w:rsidR="00A56EE9" w:rsidRDefault="00A56EE9">
            <w:pPr>
              <w:pStyle w:val="Tablebulletlist"/>
              <w:spacing w:line="256" w:lineRule="auto"/>
            </w:pPr>
            <w:r>
              <w:rPr>
                <w:lang w:val="en-US"/>
              </w:rPr>
              <w:t>PL5</w:t>
            </w:r>
            <w:r w:rsidR="00242993">
              <w:rPr>
                <w:lang w:val="en-US"/>
              </w:rPr>
              <w:t xml:space="preserve"> </w:t>
            </w:r>
            <w:r>
              <w:rPr>
                <w:lang w:val="en-US"/>
              </w:rPr>
              <w:t>There are plans and systems in place to ensure appropriate and adequate monitoring information is gathered in relation to ***</w:t>
            </w:r>
          </w:p>
        </w:tc>
      </w:tr>
      <w:tr w:rsidR="00A56EE9" w14:paraId="5761D0ED"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EC" w14:textId="64498365" w:rsidR="00A56EE9" w:rsidRDefault="00A56EE9">
            <w:pPr>
              <w:pStyle w:val="Tablebulletlist"/>
              <w:spacing w:line="256" w:lineRule="auto"/>
            </w:pPr>
            <w:r>
              <w:t>PL6</w:t>
            </w:r>
            <w:r w:rsidR="00242993">
              <w:t xml:space="preserve"> </w:t>
            </w:r>
            <w:r>
              <w:t xml:space="preserve">The main stakeholders and/or the local community are effectively engaged in planning to address </w:t>
            </w:r>
            <w:r>
              <w:rPr>
                <w:lang w:val="en-US"/>
              </w:rPr>
              <w:t>***</w:t>
            </w:r>
          </w:p>
        </w:tc>
      </w:tr>
      <w:tr w:rsidR="00A56EE9" w14:paraId="5761D0EF"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EE" w14:textId="73429BFF" w:rsidR="00A56EE9" w:rsidRDefault="00A56EE9">
            <w:pPr>
              <w:pStyle w:val="Tablebulletlist"/>
              <w:spacing w:line="256" w:lineRule="auto"/>
            </w:pPr>
            <w:r>
              <w:t>PL7</w:t>
            </w:r>
            <w:r w:rsidR="00242993">
              <w:t xml:space="preserve"> </w:t>
            </w:r>
            <w:r>
              <w:t xml:space="preserve">Sufficient policy currently exists to effectively address </w:t>
            </w:r>
            <w:r>
              <w:rPr>
                <w:lang w:val="en-US"/>
              </w:rPr>
              <w:t>***</w:t>
            </w:r>
          </w:p>
        </w:tc>
      </w:tr>
      <w:tr w:rsidR="00A56EE9" w14:paraId="5761D0F1"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shd w:val="clear" w:color="auto" w:fill="FFFFFF"/>
            <w:hideMark/>
          </w:tcPr>
          <w:p w14:paraId="5761D0F0" w14:textId="77777777" w:rsidR="00A56EE9" w:rsidRDefault="00A56EE9">
            <w:pPr>
              <w:pStyle w:val="Tablebulletlist"/>
              <w:spacing w:line="256" w:lineRule="auto"/>
            </w:pPr>
            <w:r>
              <w:t xml:space="preserve">PL8 There is consistency across jurisdictions when planning for </w:t>
            </w:r>
            <w:r>
              <w:rPr>
                <w:lang w:val="en-US"/>
              </w:rPr>
              <w:t>***</w:t>
            </w:r>
          </w:p>
        </w:tc>
      </w:tr>
      <w:tr w:rsidR="00A56EE9" w14:paraId="5761D0F3"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F2" w14:textId="5D676B76" w:rsidR="00A56EE9" w:rsidRDefault="00A56EE9">
            <w:pPr>
              <w:pStyle w:val="Tablebulletlist"/>
              <w:spacing w:line="256" w:lineRule="auto"/>
            </w:pPr>
            <w:r>
              <w:rPr>
                <w:lang w:val="en-US"/>
              </w:rPr>
              <w:t>PL9</w:t>
            </w:r>
            <w:r w:rsidR="00242993">
              <w:rPr>
                <w:lang w:val="en-US"/>
              </w:rPr>
              <w:t xml:space="preserve"> </w:t>
            </w:r>
            <w:r>
              <w:rPr>
                <w:lang w:val="en-US"/>
              </w:rPr>
              <w:t>Plans relevant to *** provide certainty regarding where uses may occur, the type of activities allowed or specifically disallowed, conditions under which activities may proceed and circumstances where impacts are likely to be acceptable.</w:t>
            </w:r>
          </w:p>
        </w:tc>
      </w:tr>
      <w:tr w:rsidR="00A56EE9" w14:paraId="5761D0F5"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shd w:val="clear" w:color="auto" w:fill="E7E6E6" w:themeFill="background2"/>
            <w:hideMark/>
          </w:tcPr>
          <w:p w14:paraId="5761D0F4" w14:textId="77777777" w:rsidR="00A56EE9" w:rsidRDefault="00A56EE9">
            <w:pPr>
              <w:pStyle w:val="Tablebulletlist"/>
              <w:spacing w:line="256" w:lineRule="auto"/>
            </w:pPr>
            <w:r>
              <w:t>INPUTS</w:t>
            </w:r>
          </w:p>
        </w:tc>
      </w:tr>
      <w:tr w:rsidR="00A56EE9" w14:paraId="5761D0F7"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F6" w14:textId="63928860" w:rsidR="00A56EE9" w:rsidRDefault="00A56EE9">
            <w:pPr>
              <w:pStyle w:val="Tablebulletlist"/>
              <w:spacing w:line="256" w:lineRule="auto"/>
              <w:rPr>
                <w:b/>
                <w:bCs/>
              </w:rPr>
            </w:pPr>
            <w:r>
              <w:rPr>
                <w:lang w:val="en-US"/>
              </w:rPr>
              <w:t>IN1</w:t>
            </w:r>
            <w:r w:rsidR="00242993">
              <w:rPr>
                <w:lang w:val="en-US"/>
              </w:rPr>
              <w:t xml:space="preserve"> </w:t>
            </w:r>
            <w:r>
              <w:rPr>
                <w:lang w:val="en-US"/>
              </w:rPr>
              <w:t xml:space="preserve">Financial resources are adequate and </w:t>
            </w:r>
            <w:r>
              <w:t>prioritised</w:t>
            </w:r>
            <w:r>
              <w:rPr>
                <w:lang w:val="en-US"/>
              </w:rPr>
              <w:t xml:space="preserve"> to meet management objectives to address *** </w:t>
            </w:r>
          </w:p>
        </w:tc>
      </w:tr>
      <w:tr w:rsidR="00A56EE9" w14:paraId="5761D0F9"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F8" w14:textId="0786A40B" w:rsidR="00A56EE9" w:rsidRDefault="00A56EE9">
            <w:pPr>
              <w:pStyle w:val="Tablebulletlist"/>
              <w:spacing w:line="256" w:lineRule="auto"/>
            </w:pPr>
            <w:r>
              <w:rPr>
                <w:lang w:val="en-US"/>
              </w:rPr>
              <w:t>IN2</w:t>
            </w:r>
            <w:r w:rsidR="00242993">
              <w:rPr>
                <w:lang w:val="en-US"/>
              </w:rPr>
              <w:t xml:space="preserve"> </w:t>
            </w:r>
            <w:r>
              <w:rPr>
                <w:lang w:val="en-US"/>
              </w:rPr>
              <w:t xml:space="preserve">Human resources within the managing organisations are adequate to meet specific management objectives to address *** </w:t>
            </w:r>
          </w:p>
        </w:tc>
      </w:tr>
      <w:tr w:rsidR="00A56EE9" w14:paraId="5761D0FB"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FA" w14:textId="534FF351" w:rsidR="00A56EE9" w:rsidRDefault="00A56EE9">
            <w:pPr>
              <w:pStyle w:val="Tablebulletlist"/>
              <w:spacing w:line="256" w:lineRule="auto"/>
            </w:pPr>
            <w:r>
              <w:rPr>
                <w:lang w:val="en-US"/>
              </w:rPr>
              <w:t>IN3</w:t>
            </w:r>
            <w:r w:rsidR="00242993">
              <w:rPr>
                <w:lang w:val="en-US"/>
              </w:rPr>
              <w:t xml:space="preserve"> </w:t>
            </w:r>
            <w:r>
              <w:rPr>
                <w:lang w:val="en-US"/>
              </w:rPr>
              <w:t>The right skill sets and expertise are currently available to the managing organisations to address ***</w:t>
            </w:r>
          </w:p>
        </w:tc>
      </w:tr>
      <w:tr w:rsidR="00A56EE9" w14:paraId="5761D0FD"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FC" w14:textId="3D36428B" w:rsidR="00A56EE9" w:rsidRDefault="00A56EE9">
            <w:pPr>
              <w:pStyle w:val="Tablebulletlist"/>
              <w:spacing w:line="256" w:lineRule="auto"/>
            </w:pPr>
            <w:r>
              <w:rPr>
                <w:lang w:val="en-US"/>
              </w:rPr>
              <w:t>IN4</w:t>
            </w:r>
            <w:r w:rsidR="00242993">
              <w:rPr>
                <w:lang w:val="en-US"/>
              </w:rPr>
              <w:t xml:space="preserve"> </w:t>
            </w:r>
            <w:r>
              <w:rPr>
                <w:lang w:val="en-US"/>
              </w:rPr>
              <w:t>The necessary biophysical information is currently available to address ***</w:t>
            </w:r>
          </w:p>
        </w:tc>
      </w:tr>
      <w:tr w:rsidR="00A56EE9" w14:paraId="5761D0FF"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0FE" w14:textId="65A39959" w:rsidR="00A56EE9" w:rsidRDefault="00A56EE9">
            <w:pPr>
              <w:pStyle w:val="Tablebulletlist"/>
              <w:spacing w:line="256" w:lineRule="auto"/>
            </w:pPr>
            <w:r>
              <w:rPr>
                <w:lang w:val="en-US"/>
              </w:rPr>
              <w:t>IN5</w:t>
            </w:r>
            <w:r w:rsidR="00242993">
              <w:rPr>
                <w:lang w:val="en-US"/>
              </w:rPr>
              <w:t xml:space="preserve"> </w:t>
            </w:r>
            <w:r>
              <w:rPr>
                <w:lang w:val="en-US"/>
              </w:rPr>
              <w:t>The necessary socio-economic information is currently available to address ***</w:t>
            </w:r>
          </w:p>
        </w:tc>
      </w:tr>
      <w:tr w:rsidR="00A56EE9" w14:paraId="5761D101"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00" w14:textId="503ED6C7" w:rsidR="00A56EE9" w:rsidRDefault="00A56EE9">
            <w:pPr>
              <w:pStyle w:val="Tablebulletlist"/>
              <w:spacing w:line="256" w:lineRule="auto"/>
            </w:pPr>
            <w:r>
              <w:rPr>
                <w:lang w:val="en-US"/>
              </w:rPr>
              <w:t>IN6</w:t>
            </w:r>
            <w:r w:rsidR="00242993">
              <w:rPr>
                <w:lang w:val="en-US"/>
              </w:rPr>
              <w:t xml:space="preserve"> </w:t>
            </w:r>
            <w:r>
              <w:rPr>
                <w:lang w:val="en-US"/>
              </w:rPr>
              <w:t>The necessary Indigenous heritage information is currently available to address ***</w:t>
            </w:r>
          </w:p>
        </w:tc>
      </w:tr>
      <w:tr w:rsidR="00A56EE9" w14:paraId="5761D103"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02" w14:textId="15C27C44" w:rsidR="00A56EE9" w:rsidRDefault="00A56EE9">
            <w:pPr>
              <w:pStyle w:val="Tablebulletlist"/>
              <w:spacing w:line="256" w:lineRule="auto"/>
            </w:pPr>
            <w:r>
              <w:rPr>
                <w:lang w:val="en-US"/>
              </w:rPr>
              <w:t>IN7</w:t>
            </w:r>
            <w:r w:rsidR="00242993">
              <w:rPr>
                <w:lang w:val="en-US"/>
              </w:rPr>
              <w:t xml:space="preserve"> </w:t>
            </w:r>
            <w:r>
              <w:rPr>
                <w:lang w:val="en-US"/>
              </w:rPr>
              <w:t>The necessary historic heritage information is currently available to address ***</w:t>
            </w:r>
          </w:p>
        </w:tc>
      </w:tr>
      <w:tr w:rsidR="00A56EE9" w14:paraId="5761D105"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04" w14:textId="61260CBA" w:rsidR="00A56EE9" w:rsidRDefault="00A56EE9">
            <w:pPr>
              <w:pStyle w:val="Tablebulletlist"/>
              <w:spacing w:line="256" w:lineRule="auto"/>
            </w:pPr>
            <w:r>
              <w:rPr>
                <w:lang w:val="en-US"/>
              </w:rPr>
              <w:t>IN8</w:t>
            </w:r>
            <w:r w:rsidR="00242993">
              <w:rPr>
                <w:lang w:val="en-US"/>
              </w:rPr>
              <w:t xml:space="preserve"> </w:t>
            </w:r>
            <w:r>
              <w:rPr>
                <w:lang w:val="en-US"/>
              </w:rPr>
              <w:t>There are additional sources of non-government input (for example volunteers) contributing to address ***</w:t>
            </w:r>
          </w:p>
        </w:tc>
      </w:tr>
      <w:tr w:rsidR="00A56EE9" w14:paraId="5761D107"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shd w:val="clear" w:color="auto" w:fill="E7E6E6" w:themeFill="background2"/>
            <w:hideMark/>
          </w:tcPr>
          <w:p w14:paraId="5761D106" w14:textId="77777777" w:rsidR="00A56EE9" w:rsidRDefault="00A56EE9">
            <w:pPr>
              <w:pStyle w:val="Tablebulletlist"/>
              <w:spacing w:line="256" w:lineRule="auto"/>
            </w:pPr>
            <w:r>
              <w:t>PROCESSES</w:t>
            </w:r>
          </w:p>
        </w:tc>
      </w:tr>
      <w:tr w:rsidR="00A56EE9" w14:paraId="5761D109"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08" w14:textId="0BC3151D" w:rsidR="00A56EE9" w:rsidRDefault="00A56EE9">
            <w:pPr>
              <w:pStyle w:val="Tablebulletlist"/>
              <w:spacing w:line="256" w:lineRule="auto"/>
              <w:rPr>
                <w:b/>
                <w:bCs/>
              </w:rPr>
            </w:pPr>
            <w:r>
              <w:t>PR1</w:t>
            </w:r>
            <w:r w:rsidR="00242993">
              <w:t xml:space="preserve"> </w:t>
            </w:r>
            <w:r>
              <w:t xml:space="preserve">The main stakeholders and/or industry(ies) are effectively engaged in the ongoing management of </w:t>
            </w:r>
            <w:r>
              <w:rPr>
                <w:lang w:val="en-US"/>
              </w:rPr>
              <w:t>***</w:t>
            </w:r>
          </w:p>
        </w:tc>
      </w:tr>
      <w:tr w:rsidR="00A56EE9" w14:paraId="5761D10B"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0A" w14:textId="560DAF55" w:rsidR="00A56EE9" w:rsidRDefault="00A56EE9">
            <w:pPr>
              <w:pStyle w:val="Tablebulletlist"/>
              <w:spacing w:line="256" w:lineRule="auto"/>
            </w:pPr>
            <w:r>
              <w:t>PR2</w:t>
            </w:r>
            <w:r w:rsidR="00242993">
              <w:t xml:space="preserve"> </w:t>
            </w:r>
            <w:r>
              <w:t xml:space="preserve">The local community is effectively engaged in the ongoing management of </w:t>
            </w:r>
            <w:r>
              <w:rPr>
                <w:lang w:val="en-US"/>
              </w:rPr>
              <w:t>***</w:t>
            </w:r>
          </w:p>
        </w:tc>
      </w:tr>
      <w:tr w:rsidR="00A56EE9" w14:paraId="5761D10D"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0C" w14:textId="660C39C0" w:rsidR="00A56EE9" w:rsidRDefault="00A56EE9">
            <w:pPr>
              <w:pStyle w:val="Tablebulletlist"/>
              <w:spacing w:line="256" w:lineRule="auto"/>
            </w:pPr>
            <w:r>
              <w:t>PR3</w:t>
            </w:r>
            <w:r w:rsidR="00242993">
              <w:t xml:space="preserve"> </w:t>
            </w:r>
            <w:r>
              <w:t xml:space="preserve">There is a sound governance system in place to address </w:t>
            </w:r>
            <w:r>
              <w:rPr>
                <w:lang w:val="en-US"/>
              </w:rPr>
              <w:t>***</w:t>
            </w:r>
          </w:p>
        </w:tc>
      </w:tr>
      <w:tr w:rsidR="00A56EE9" w14:paraId="5761D10F"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0E" w14:textId="7E106DD6" w:rsidR="00A56EE9" w:rsidRDefault="00A56EE9">
            <w:pPr>
              <w:pStyle w:val="Tablebulletlist"/>
              <w:spacing w:line="256" w:lineRule="auto"/>
            </w:pPr>
            <w:r>
              <w:rPr>
                <w:lang w:val="en-US"/>
              </w:rPr>
              <w:t>PR4</w:t>
            </w:r>
            <w:r w:rsidR="00242993">
              <w:rPr>
                <w:lang w:val="en-US"/>
              </w:rPr>
              <w:t xml:space="preserve"> </w:t>
            </w:r>
            <w:r>
              <w:rPr>
                <w:lang w:val="en-US"/>
              </w:rPr>
              <w:t>There is effective performance monitoring, including. regular assessment of appropriateness and effectiveness of tools, to gauge progress towards the objective(s) for ***</w:t>
            </w:r>
          </w:p>
        </w:tc>
      </w:tr>
      <w:tr w:rsidR="00A56EE9" w14:paraId="5761D111"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10" w14:textId="5752AAF2" w:rsidR="00A56EE9" w:rsidRDefault="00A56EE9">
            <w:pPr>
              <w:pStyle w:val="Tablebulletlist"/>
              <w:spacing w:line="256" w:lineRule="auto"/>
            </w:pPr>
            <w:r>
              <w:t>PR5</w:t>
            </w:r>
            <w:r w:rsidR="00242993">
              <w:t xml:space="preserve"> </w:t>
            </w:r>
            <w:r>
              <w:t xml:space="preserve">Appropriate training is available to the managing agencies to address </w:t>
            </w:r>
            <w:r>
              <w:rPr>
                <w:lang w:val="en-US"/>
              </w:rPr>
              <w:t>***</w:t>
            </w:r>
          </w:p>
        </w:tc>
      </w:tr>
      <w:tr w:rsidR="00A56EE9" w14:paraId="5761D113"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12" w14:textId="1974D7AA" w:rsidR="00A56EE9" w:rsidRDefault="00A56EE9">
            <w:pPr>
              <w:pStyle w:val="Tablebulletlist"/>
              <w:spacing w:line="256" w:lineRule="auto"/>
            </w:pPr>
            <w:r>
              <w:t>PR6</w:t>
            </w:r>
            <w:r w:rsidR="00242993">
              <w:t xml:space="preserve"> </w:t>
            </w:r>
            <w:r>
              <w:t xml:space="preserve">Management of </w:t>
            </w:r>
            <w:r>
              <w:rPr>
                <w:lang w:val="en-US"/>
              </w:rPr>
              <w:t xml:space="preserve">*** </w:t>
            </w:r>
            <w:r>
              <w:t>is consistently implemented across the relevant jurisdictions</w:t>
            </w:r>
          </w:p>
        </w:tc>
      </w:tr>
      <w:tr w:rsidR="00A56EE9" w14:paraId="5761D115"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14" w14:textId="32824EC1" w:rsidR="00A56EE9" w:rsidRDefault="00A56EE9">
            <w:pPr>
              <w:pStyle w:val="Tablebulletlist"/>
              <w:spacing w:line="256" w:lineRule="auto"/>
            </w:pPr>
            <w:r>
              <w:t>PR7</w:t>
            </w:r>
            <w:r w:rsidR="00242993">
              <w:t xml:space="preserve"> </w:t>
            </w:r>
            <w:r>
              <w:t xml:space="preserve">There are effective processes applied to resolve differing views/ conflicts regarding </w:t>
            </w:r>
            <w:r>
              <w:rPr>
                <w:lang w:val="en-US"/>
              </w:rPr>
              <w:t>***</w:t>
            </w:r>
          </w:p>
        </w:tc>
      </w:tr>
      <w:tr w:rsidR="00A56EE9" w14:paraId="5761D117"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16" w14:textId="4C140C38" w:rsidR="00A56EE9" w:rsidRDefault="00A56EE9">
            <w:pPr>
              <w:pStyle w:val="Tablebulletlist"/>
              <w:spacing w:line="256" w:lineRule="auto"/>
            </w:pPr>
            <w:r>
              <w:rPr>
                <w:lang w:val="en-US"/>
              </w:rPr>
              <w:t>PR8</w:t>
            </w:r>
            <w:r w:rsidR="00242993">
              <w:rPr>
                <w:lang w:val="en-US"/>
              </w:rPr>
              <w:t xml:space="preserve"> </w:t>
            </w:r>
            <w:r>
              <w:rPr>
                <w:lang w:val="en-US"/>
              </w:rPr>
              <w:t>Impacts (direct, indirect and cumulative) of activities associated with *** are appropriately considered.</w:t>
            </w:r>
          </w:p>
        </w:tc>
      </w:tr>
      <w:tr w:rsidR="00A56EE9" w14:paraId="5761D119"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18" w14:textId="38258C79" w:rsidR="00A56EE9" w:rsidRDefault="00A56EE9">
            <w:pPr>
              <w:pStyle w:val="Tablebulletlist"/>
              <w:spacing w:line="256" w:lineRule="auto"/>
            </w:pPr>
            <w:r>
              <w:rPr>
                <w:lang w:val="en-US"/>
              </w:rPr>
              <w:t>PR9</w:t>
            </w:r>
            <w:r w:rsidR="00242993">
              <w:rPr>
                <w:lang w:val="en-US"/>
              </w:rPr>
              <w:t xml:space="preserve"> </w:t>
            </w:r>
            <w:r>
              <w:rPr>
                <w:lang w:val="en-US"/>
              </w:rPr>
              <w:t>The best available biophysical research and/or monitoring information is applied appropriately to make relevant management decisions regarding ***</w:t>
            </w:r>
          </w:p>
        </w:tc>
      </w:tr>
      <w:tr w:rsidR="00A56EE9" w14:paraId="5761D11B"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1A" w14:textId="138AC66A" w:rsidR="00A56EE9" w:rsidRDefault="00A56EE9">
            <w:pPr>
              <w:pStyle w:val="Tablebulletlist"/>
              <w:spacing w:line="256" w:lineRule="auto"/>
            </w:pPr>
            <w:r>
              <w:t>PR10</w:t>
            </w:r>
            <w:r w:rsidR="00242993">
              <w:t xml:space="preserve"> </w:t>
            </w:r>
            <w:r>
              <w:t xml:space="preserve">The best available socio-economic research and/or monitoring information is applied appropriately to make relevant management decisions regarding </w:t>
            </w:r>
            <w:r>
              <w:rPr>
                <w:lang w:val="en-US"/>
              </w:rPr>
              <w:t>***</w:t>
            </w:r>
          </w:p>
        </w:tc>
      </w:tr>
      <w:tr w:rsidR="00A56EE9" w14:paraId="5761D11D"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1C" w14:textId="4DEA9CC9" w:rsidR="00A56EE9" w:rsidRDefault="00A56EE9">
            <w:pPr>
              <w:pStyle w:val="Tablebulletlist"/>
              <w:spacing w:line="256" w:lineRule="auto"/>
            </w:pPr>
            <w:r>
              <w:rPr>
                <w:lang w:val="en-US"/>
              </w:rPr>
              <w:t>PR11</w:t>
            </w:r>
            <w:r w:rsidR="00242993">
              <w:rPr>
                <w:lang w:val="en-US"/>
              </w:rPr>
              <w:t xml:space="preserve"> </w:t>
            </w:r>
            <w:r>
              <w:rPr>
                <w:lang w:val="en-US"/>
              </w:rPr>
              <w:t>The best available Indigenous heritage information is applied appropriately to make relevant management decisions regarding ***</w:t>
            </w:r>
          </w:p>
        </w:tc>
      </w:tr>
      <w:tr w:rsidR="00A56EE9" w14:paraId="5761D11F"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1E" w14:textId="3C8DA16A" w:rsidR="00A56EE9" w:rsidRDefault="00A56EE9">
            <w:pPr>
              <w:pStyle w:val="Tablebulletlist"/>
              <w:spacing w:line="256" w:lineRule="auto"/>
            </w:pPr>
            <w:r>
              <w:rPr>
                <w:lang w:val="en-US"/>
              </w:rPr>
              <w:t>PR12</w:t>
            </w:r>
            <w:r w:rsidR="00242993">
              <w:rPr>
                <w:lang w:val="en-US"/>
              </w:rPr>
              <w:t xml:space="preserve"> </w:t>
            </w:r>
            <w:r>
              <w:rPr>
                <w:lang w:val="en-US"/>
              </w:rPr>
              <w:t>The best available historic heritage information is applied appropriately to make relevant management decisions regarding ***</w:t>
            </w:r>
          </w:p>
        </w:tc>
      </w:tr>
      <w:tr w:rsidR="00A56EE9" w14:paraId="5761D121"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20" w14:textId="2076238C" w:rsidR="00A56EE9" w:rsidRDefault="00A56EE9">
            <w:pPr>
              <w:pStyle w:val="Tablebulletlist"/>
              <w:spacing w:line="256" w:lineRule="auto"/>
            </w:pPr>
            <w:r>
              <w:rPr>
                <w:lang w:val="en-US"/>
              </w:rPr>
              <w:t>PR13</w:t>
            </w:r>
            <w:r w:rsidR="00242993">
              <w:rPr>
                <w:lang w:val="en-US"/>
              </w:rPr>
              <w:t xml:space="preserve"> </w:t>
            </w:r>
            <w:r>
              <w:rPr>
                <w:lang w:val="en-US"/>
              </w:rPr>
              <w:t>Relevant standards are identified and being met regarding ***</w:t>
            </w:r>
          </w:p>
        </w:tc>
      </w:tr>
      <w:tr w:rsidR="00A56EE9" w14:paraId="5761D123"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22" w14:textId="6F3E62A3" w:rsidR="00A56EE9" w:rsidRDefault="00A56EE9">
            <w:pPr>
              <w:pStyle w:val="Tablebulletlist"/>
              <w:spacing w:line="256" w:lineRule="auto"/>
              <w:rPr>
                <w:lang w:val="en-US"/>
              </w:rPr>
            </w:pPr>
            <w:r>
              <w:t>PR14</w:t>
            </w:r>
            <w:r w:rsidR="00242993">
              <w:t xml:space="preserve"> </w:t>
            </w:r>
            <w:r>
              <w:t xml:space="preserve">Targets have been established to benchmark management performance for </w:t>
            </w:r>
            <w:r>
              <w:rPr>
                <w:lang w:val="en-US"/>
              </w:rPr>
              <w:t>***</w:t>
            </w:r>
          </w:p>
        </w:tc>
      </w:tr>
      <w:tr w:rsidR="00A56EE9" w14:paraId="5761D125"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shd w:val="clear" w:color="auto" w:fill="E7E6E6" w:themeFill="background2"/>
            <w:hideMark/>
          </w:tcPr>
          <w:p w14:paraId="5761D124" w14:textId="77777777" w:rsidR="00A56EE9" w:rsidRDefault="00A56EE9">
            <w:pPr>
              <w:pStyle w:val="Tablebulletlist"/>
              <w:spacing w:line="256" w:lineRule="auto"/>
            </w:pPr>
            <w:r>
              <w:t>OUTPUTS</w:t>
            </w:r>
          </w:p>
        </w:tc>
      </w:tr>
      <w:tr w:rsidR="00A56EE9" w14:paraId="5761D127"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26" w14:textId="475AEA92" w:rsidR="00A56EE9" w:rsidRDefault="00A56EE9">
            <w:pPr>
              <w:pStyle w:val="Tablebulletlist"/>
              <w:spacing w:line="256" w:lineRule="auto"/>
            </w:pPr>
            <w:r>
              <w:t>OP1</w:t>
            </w:r>
            <w:r w:rsidR="00242993">
              <w:t xml:space="preserve"> </w:t>
            </w:r>
            <w:r>
              <w:t xml:space="preserve">To date, the actual management program (or activities) have progressed in accordance with the planned work program for </w:t>
            </w:r>
            <w:r>
              <w:rPr>
                <w:lang w:val="en-US"/>
              </w:rPr>
              <w:t xml:space="preserve">*** </w:t>
            </w:r>
          </w:p>
        </w:tc>
      </w:tr>
      <w:tr w:rsidR="00A56EE9" w14:paraId="5761D129"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28" w14:textId="05E5B77D" w:rsidR="00A56EE9" w:rsidRDefault="00A56EE9">
            <w:pPr>
              <w:pStyle w:val="Tablebulletlist"/>
              <w:spacing w:line="256" w:lineRule="auto"/>
              <w:rPr>
                <w:b/>
                <w:bCs/>
              </w:rPr>
            </w:pPr>
            <w:r>
              <w:t>OP2</w:t>
            </w:r>
            <w:r w:rsidR="00242993">
              <w:t xml:space="preserve"> </w:t>
            </w:r>
            <w:r>
              <w:t xml:space="preserve">Implementation of management documents and/or programs relevant to </w:t>
            </w:r>
            <w:r>
              <w:rPr>
                <w:lang w:val="en-US"/>
              </w:rPr>
              <w:t xml:space="preserve">*** </w:t>
            </w:r>
            <w:r>
              <w:t>have progressed in accordance with timeframes specified in those documents</w:t>
            </w:r>
          </w:p>
        </w:tc>
      </w:tr>
      <w:tr w:rsidR="00A56EE9" w14:paraId="5761D12B"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2A" w14:textId="58BCDEB8" w:rsidR="00A56EE9" w:rsidRDefault="00A56EE9">
            <w:pPr>
              <w:pStyle w:val="Tablebulletlist"/>
              <w:spacing w:line="256" w:lineRule="auto"/>
            </w:pPr>
            <w:r>
              <w:lastRenderedPageBreak/>
              <w:t>OP3</w:t>
            </w:r>
            <w:r w:rsidR="00242993">
              <w:t xml:space="preserve"> </w:t>
            </w:r>
            <w:r>
              <w:t>The results (in OP1 above) have achieved their stated management objectives for ***</w:t>
            </w:r>
          </w:p>
        </w:tc>
      </w:tr>
      <w:tr w:rsidR="00A56EE9" w14:paraId="5761D12D"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2C" w14:textId="60B92E68" w:rsidR="00A56EE9" w:rsidRDefault="00A56EE9">
            <w:pPr>
              <w:pStyle w:val="Tablebulletlist"/>
              <w:spacing w:line="256" w:lineRule="auto"/>
            </w:pPr>
            <w:r>
              <w:t>OP4</w:t>
            </w:r>
            <w:r w:rsidR="00242993">
              <w:t xml:space="preserve"> </w:t>
            </w:r>
            <w:r>
              <w:t xml:space="preserve">To date, products or services have been produced in accordance with the stated management objectives for </w:t>
            </w:r>
            <w:r>
              <w:rPr>
                <w:lang w:val="en-US"/>
              </w:rPr>
              <w:t>***</w:t>
            </w:r>
          </w:p>
        </w:tc>
      </w:tr>
      <w:tr w:rsidR="00A56EE9" w14:paraId="5761D12F"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2E" w14:textId="3B362565" w:rsidR="00A56EE9" w:rsidRDefault="00A56EE9">
            <w:pPr>
              <w:pStyle w:val="Tablebulletlist"/>
              <w:spacing w:line="256" w:lineRule="auto"/>
            </w:pPr>
            <w:r>
              <w:rPr>
                <w:lang w:val="en-US"/>
              </w:rPr>
              <w:t>OP5</w:t>
            </w:r>
            <w:r w:rsidR="00242993">
              <w:rPr>
                <w:lang w:val="en-US"/>
              </w:rPr>
              <w:t xml:space="preserve"> </w:t>
            </w:r>
            <w:r>
              <w:rPr>
                <w:lang w:val="en-US"/>
              </w:rPr>
              <w:t>Effective knowledge management systems regarding *** are in place within agencies</w:t>
            </w:r>
          </w:p>
        </w:tc>
      </w:tr>
      <w:tr w:rsidR="00A56EE9" w14:paraId="5761D131"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30" w14:textId="274576D3" w:rsidR="00A56EE9" w:rsidRDefault="00A56EE9">
            <w:pPr>
              <w:pStyle w:val="Tablebulletlist"/>
              <w:spacing w:line="256" w:lineRule="auto"/>
            </w:pPr>
            <w:r>
              <w:rPr>
                <w:lang w:val="en-US"/>
              </w:rPr>
              <w:t>OP6</w:t>
            </w:r>
            <w:r w:rsidR="00242993">
              <w:rPr>
                <w:lang w:val="en-US"/>
              </w:rPr>
              <w:t xml:space="preserve"> </w:t>
            </w:r>
            <w:r>
              <w:rPr>
                <w:lang w:val="en-US"/>
              </w:rPr>
              <w:t>Effective systems are in place to share knowledge on *** with the community</w:t>
            </w:r>
          </w:p>
        </w:tc>
      </w:tr>
      <w:tr w:rsidR="00A56EE9" w14:paraId="5761D133"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shd w:val="clear" w:color="auto" w:fill="E7E6E6" w:themeFill="background2"/>
            <w:hideMark/>
          </w:tcPr>
          <w:p w14:paraId="5761D132" w14:textId="77777777" w:rsidR="00A56EE9" w:rsidRDefault="00A56EE9">
            <w:pPr>
              <w:pStyle w:val="Tablebulletlist"/>
              <w:spacing w:line="256" w:lineRule="auto"/>
            </w:pPr>
            <w:r>
              <w:t>OUTCOMES</w:t>
            </w:r>
          </w:p>
        </w:tc>
      </w:tr>
      <w:tr w:rsidR="00A56EE9" w14:paraId="5761D135"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34" w14:textId="2EEC3C0B" w:rsidR="00A56EE9" w:rsidRDefault="00A56EE9">
            <w:pPr>
              <w:pStyle w:val="Tablebulletlist"/>
              <w:spacing w:line="256" w:lineRule="auto"/>
            </w:pPr>
            <w:r>
              <w:t>OC1</w:t>
            </w:r>
            <w:r w:rsidR="00242993">
              <w:t xml:space="preserve"> </w:t>
            </w:r>
            <w:r>
              <w:t xml:space="preserve">The relevant managing agencies are to date effectively addressing </w:t>
            </w:r>
            <w:r>
              <w:rPr>
                <w:lang w:val="en-US"/>
              </w:rPr>
              <w:t xml:space="preserve">*** </w:t>
            </w:r>
            <w:r>
              <w:t>and moving towards the attainment of the desired outcomes.</w:t>
            </w:r>
          </w:p>
        </w:tc>
      </w:tr>
      <w:tr w:rsidR="00A56EE9" w14:paraId="5761D137"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36" w14:textId="37C83F19" w:rsidR="00A56EE9" w:rsidRDefault="00A56EE9">
            <w:pPr>
              <w:pStyle w:val="Tablebulletlist"/>
              <w:spacing w:line="256" w:lineRule="auto"/>
              <w:rPr>
                <w:b/>
                <w:bCs/>
              </w:rPr>
            </w:pPr>
            <w:r>
              <w:t>OC2</w:t>
            </w:r>
            <w:r w:rsidR="00242993">
              <w:t xml:space="preserve"> </w:t>
            </w:r>
            <w:r>
              <w:t xml:space="preserve">The outputs relating to </w:t>
            </w:r>
            <w:r>
              <w:rPr>
                <w:lang w:val="en-US"/>
              </w:rPr>
              <w:t xml:space="preserve">*** </w:t>
            </w:r>
            <w:r>
              <w:t>are on track to ensure the values of the Great Barrier Reef are protected (refer CO1)</w:t>
            </w:r>
          </w:p>
        </w:tc>
      </w:tr>
      <w:tr w:rsidR="00A56EE9" w14:paraId="5761D139"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38" w14:textId="18297867" w:rsidR="00A56EE9" w:rsidRDefault="00A56EE9">
            <w:pPr>
              <w:pStyle w:val="Tablebulletlist"/>
              <w:spacing w:line="256" w:lineRule="auto"/>
            </w:pPr>
            <w:r>
              <w:t>OC3</w:t>
            </w:r>
            <w:r w:rsidR="00242993">
              <w:t xml:space="preserve"> </w:t>
            </w:r>
            <w:r>
              <w:t xml:space="preserve">the outputs (refer OP1 and 3) for </w:t>
            </w:r>
            <w:r>
              <w:rPr>
                <w:lang w:val="en-US"/>
              </w:rPr>
              <w:t xml:space="preserve">*** </w:t>
            </w:r>
            <w:r>
              <w:t>are reducing the major risks and the threats to the Great Barrier Reef</w:t>
            </w:r>
          </w:p>
        </w:tc>
      </w:tr>
      <w:tr w:rsidR="00A56EE9" w14:paraId="5761D13B"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3A" w14:textId="09FCC47D" w:rsidR="00A56EE9" w:rsidRDefault="00A56EE9">
            <w:pPr>
              <w:pStyle w:val="Tablebulletlist"/>
              <w:spacing w:line="256" w:lineRule="auto"/>
            </w:pPr>
            <w:r>
              <w:t>OC4</w:t>
            </w:r>
            <w:r w:rsidR="00242993">
              <w:t xml:space="preserve"> </w:t>
            </w:r>
            <w:r>
              <w:t xml:space="preserve">Use of the Great Barrier Reef relating to </w:t>
            </w:r>
            <w:r>
              <w:rPr>
                <w:lang w:val="en-US"/>
              </w:rPr>
              <w:t xml:space="preserve">*** </w:t>
            </w:r>
            <w:r>
              <w:t>is demonstrably environmentally sustainable</w:t>
            </w:r>
          </w:p>
        </w:tc>
      </w:tr>
      <w:tr w:rsidR="00A56EE9" w14:paraId="5761D13D"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3C" w14:textId="410AA44F" w:rsidR="00A56EE9" w:rsidRDefault="00A56EE9">
            <w:pPr>
              <w:pStyle w:val="Tablebulletlist"/>
              <w:spacing w:line="256" w:lineRule="auto"/>
            </w:pPr>
            <w:r>
              <w:t>OC5</w:t>
            </w:r>
            <w:r w:rsidR="00242993">
              <w:t xml:space="preserve"> </w:t>
            </w:r>
            <w:r>
              <w:t xml:space="preserve">Use of the Great Barrier Reef relating to </w:t>
            </w:r>
            <w:r>
              <w:rPr>
                <w:lang w:val="en-US"/>
              </w:rPr>
              <w:t xml:space="preserve">*** </w:t>
            </w:r>
            <w:r>
              <w:t>is demonstrably economically sustainable</w:t>
            </w:r>
          </w:p>
        </w:tc>
      </w:tr>
      <w:tr w:rsidR="00A56EE9" w14:paraId="5761D13F"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3E" w14:textId="504E4DAE" w:rsidR="00A56EE9" w:rsidRDefault="00A56EE9">
            <w:pPr>
              <w:pStyle w:val="Tablebulletlist"/>
              <w:spacing w:line="256" w:lineRule="auto"/>
            </w:pPr>
            <w:r>
              <w:rPr>
                <w:lang w:val="en-US"/>
              </w:rPr>
              <w:t>OC6</w:t>
            </w:r>
            <w:r w:rsidR="00242993">
              <w:rPr>
                <w:lang w:val="en-US"/>
              </w:rPr>
              <w:t xml:space="preserve"> </w:t>
            </w:r>
            <w:r>
              <w:rPr>
                <w:lang w:val="en-US"/>
              </w:rPr>
              <w:t>Use of the Great Barrier Reef relating to *** is demonstrably socially sustainable</w:t>
            </w:r>
            <w:r>
              <w:t xml:space="preserve"> enhancing, in terms of understanding and/or enjoyment</w:t>
            </w:r>
          </w:p>
        </w:tc>
      </w:tr>
      <w:tr w:rsidR="00A56EE9" w14:paraId="5761D141" w14:textId="77777777" w:rsidTr="00BB6AD5">
        <w:trPr>
          <w:trHeight w:val="170"/>
        </w:trPr>
        <w:tc>
          <w:tcPr>
            <w:tcW w:w="5000" w:type="pct"/>
            <w:tcBorders>
              <w:top w:val="single" w:sz="4" w:space="0" w:color="auto"/>
              <w:left w:val="single" w:sz="4" w:space="0" w:color="auto"/>
              <w:bottom w:val="single" w:sz="4" w:space="0" w:color="auto"/>
              <w:right w:val="single" w:sz="4" w:space="0" w:color="auto"/>
            </w:tcBorders>
            <w:hideMark/>
          </w:tcPr>
          <w:p w14:paraId="5761D140" w14:textId="6706E406" w:rsidR="00A56EE9" w:rsidRDefault="00A56EE9">
            <w:pPr>
              <w:pStyle w:val="Tablebulletlist"/>
              <w:spacing w:line="256" w:lineRule="auto"/>
            </w:pPr>
            <w:r>
              <w:t>OC7</w:t>
            </w:r>
            <w:r w:rsidR="00242993">
              <w:t xml:space="preserve"> </w:t>
            </w:r>
            <w:r>
              <w:t xml:space="preserve">The relevant managing agencies have developed effective partnerships with local communities and/or stakeholders to address </w:t>
            </w:r>
            <w:r>
              <w:rPr>
                <w:lang w:val="en-US"/>
              </w:rPr>
              <w:t xml:space="preserve">*** </w:t>
            </w:r>
          </w:p>
        </w:tc>
      </w:tr>
    </w:tbl>
    <w:p w14:paraId="5761D143" w14:textId="77777777" w:rsidR="00A56EE9" w:rsidRDefault="00A56EE9" w:rsidP="00A11869">
      <w:pPr>
        <w:pStyle w:val="Heading2"/>
        <w:numPr>
          <w:ilvl w:val="1"/>
          <w:numId w:val="17"/>
        </w:numPr>
        <w:spacing w:line="256" w:lineRule="auto"/>
        <w:ind w:left="360"/>
      </w:pPr>
      <w:bookmarkStart w:id="40" w:name="_Toc523423775"/>
      <w:r>
        <w:t>Assessment ratings, grades and trends</w:t>
      </w:r>
      <w:bookmarkEnd w:id="40"/>
    </w:p>
    <w:p w14:paraId="5761D144" w14:textId="77777777" w:rsidR="00A56EE9" w:rsidRDefault="00A56EE9" w:rsidP="00E3690C">
      <w:pPr>
        <w:spacing w:line="276" w:lineRule="auto"/>
        <w:rPr>
          <w:b/>
        </w:rPr>
      </w:pPr>
      <w:r>
        <w:rPr>
          <w:b/>
        </w:rPr>
        <w:t>Ratings and grading</w:t>
      </w:r>
    </w:p>
    <w:p w14:paraId="5761D145" w14:textId="77777777" w:rsidR="00A56EE9" w:rsidRDefault="00A56EE9" w:rsidP="00E3690C">
      <w:pPr>
        <w:spacing w:line="276" w:lineRule="auto"/>
      </w:pPr>
      <w:r>
        <w:t xml:space="preserve">A four-point rating scale commonly used in management effectiveness evaluation systems was adopted. The rating scale for each indicator was 1 = 0-20 per cent of optimal condition, 2 = 21-50 per cent of optimal condition, 3 = 51-80 per cent of optimal condition, 4 = 81-100 per cent of optimal condition. </w:t>
      </w:r>
    </w:p>
    <w:p w14:paraId="5761D146" w14:textId="77777777" w:rsidR="00A56EE9" w:rsidRDefault="00A56EE9" w:rsidP="00E3690C">
      <w:pPr>
        <w:spacing w:line="276" w:lineRule="auto"/>
      </w:pPr>
      <w:r>
        <w:t>Scores for each element of the IUCN framework were scaled to provide a total score out of 40 and a rating system was developed to convert scores to a rating of management as follows:</w:t>
      </w:r>
    </w:p>
    <w:p w14:paraId="5761D147" w14:textId="77777777" w:rsidR="00A56EE9" w:rsidRDefault="00A56EE9" w:rsidP="00E3690C">
      <w:pPr>
        <w:numPr>
          <w:ilvl w:val="0"/>
          <w:numId w:val="5"/>
        </w:numPr>
        <w:spacing w:after="0" w:line="276" w:lineRule="auto"/>
        <w:rPr>
          <w:bCs/>
        </w:rPr>
      </w:pPr>
      <w:r>
        <w:rPr>
          <w:bCs/>
        </w:rPr>
        <w:t xml:space="preserve">If the total score is </w:t>
      </w:r>
      <w:proofErr w:type="gramStart"/>
      <w:r>
        <w:rPr>
          <w:bCs/>
        </w:rPr>
        <w:t>between 35–40,</w:t>
      </w:r>
      <w:proofErr w:type="gramEnd"/>
      <w:r>
        <w:rPr>
          <w:bCs/>
        </w:rPr>
        <w:t xml:space="preserve"> then the overall grading statement for that element is </w:t>
      </w:r>
      <w:r w:rsidRPr="00D07110">
        <w:rPr>
          <w:bCs/>
          <w:i/>
        </w:rPr>
        <w:t>effective</w:t>
      </w:r>
      <w:r>
        <w:rPr>
          <w:b/>
          <w:bCs/>
        </w:rPr>
        <w:t>.</w:t>
      </w:r>
    </w:p>
    <w:p w14:paraId="5761D148" w14:textId="77777777" w:rsidR="00A56EE9" w:rsidRDefault="00A56EE9" w:rsidP="00E3690C">
      <w:pPr>
        <w:numPr>
          <w:ilvl w:val="0"/>
          <w:numId w:val="5"/>
        </w:numPr>
        <w:spacing w:after="0" w:line="276" w:lineRule="auto"/>
        <w:rPr>
          <w:bCs/>
        </w:rPr>
      </w:pPr>
      <w:r>
        <w:rPr>
          <w:bCs/>
        </w:rPr>
        <w:t xml:space="preserve">If the total score is </w:t>
      </w:r>
      <w:proofErr w:type="gramStart"/>
      <w:r>
        <w:rPr>
          <w:bCs/>
        </w:rPr>
        <w:t>between 27–34,</w:t>
      </w:r>
      <w:proofErr w:type="gramEnd"/>
      <w:r>
        <w:rPr>
          <w:bCs/>
        </w:rPr>
        <w:t xml:space="preserve"> then the overall grading statement for that element is </w:t>
      </w:r>
      <w:r w:rsidRPr="00D07110">
        <w:rPr>
          <w:bCs/>
          <w:i/>
        </w:rPr>
        <w:t>mostly</w:t>
      </w:r>
      <w:r w:rsidRPr="00D07110">
        <w:rPr>
          <w:i/>
        </w:rPr>
        <w:t xml:space="preserve"> effective</w:t>
      </w:r>
      <w:r>
        <w:rPr>
          <w:b/>
        </w:rPr>
        <w:t>.</w:t>
      </w:r>
    </w:p>
    <w:p w14:paraId="5761D149" w14:textId="77777777" w:rsidR="00A56EE9" w:rsidRDefault="00A56EE9" w:rsidP="00E3690C">
      <w:pPr>
        <w:numPr>
          <w:ilvl w:val="0"/>
          <w:numId w:val="5"/>
        </w:numPr>
        <w:spacing w:after="0" w:line="276" w:lineRule="auto"/>
        <w:rPr>
          <w:bCs/>
        </w:rPr>
      </w:pPr>
      <w:r>
        <w:rPr>
          <w:bCs/>
        </w:rPr>
        <w:t xml:space="preserve">If the total score is </w:t>
      </w:r>
      <w:proofErr w:type="gramStart"/>
      <w:r>
        <w:rPr>
          <w:bCs/>
        </w:rPr>
        <w:t>between 16–26,</w:t>
      </w:r>
      <w:proofErr w:type="gramEnd"/>
      <w:r>
        <w:rPr>
          <w:bCs/>
        </w:rPr>
        <w:t xml:space="preserve"> then the overall grading statement for that element is </w:t>
      </w:r>
      <w:r w:rsidRPr="00D07110">
        <w:rPr>
          <w:bCs/>
          <w:i/>
        </w:rPr>
        <w:t>partially</w:t>
      </w:r>
      <w:r w:rsidRPr="00D07110">
        <w:rPr>
          <w:i/>
        </w:rPr>
        <w:t xml:space="preserve"> effective</w:t>
      </w:r>
      <w:r>
        <w:rPr>
          <w:b/>
        </w:rPr>
        <w:t>.</w:t>
      </w:r>
    </w:p>
    <w:p w14:paraId="5761D14A" w14:textId="77777777" w:rsidR="00A56EE9" w:rsidRDefault="00A56EE9" w:rsidP="00E3690C">
      <w:pPr>
        <w:pStyle w:val="ListParagraph"/>
        <w:numPr>
          <w:ilvl w:val="0"/>
          <w:numId w:val="5"/>
        </w:numPr>
        <w:spacing w:line="276" w:lineRule="auto"/>
        <w:rPr>
          <w:b/>
        </w:rPr>
      </w:pPr>
      <w:r>
        <w:t xml:space="preserve">If the total score is between 0–15, then the overall grading statement for that element is </w:t>
      </w:r>
      <w:r w:rsidRPr="00D07110">
        <w:rPr>
          <w:i/>
        </w:rPr>
        <w:t>ineffective</w:t>
      </w:r>
      <w:r>
        <w:rPr>
          <w:b/>
        </w:rPr>
        <w:t>.</w:t>
      </w:r>
    </w:p>
    <w:p w14:paraId="5761D14B" w14:textId="77777777" w:rsidR="00A56EE9" w:rsidRDefault="00A56EE9" w:rsidP="00E3690C">
      <w:pPr>
        <w:spacing w:line="276" w:lineRule="auto"/>
        <w:rPr>
          <w:b/>
        </w:rPr>
      </w:pPr>
      <w:r>
        <w:rPr>
          <w:b/>
        </w:rPr>
        <w:t xml:space="preserve">Confidence </w:t>
      </w:r>
    </w:p>
    <w:p w14:paraId="5761D14C" w14:textId="77777777" w:rsidR="00A56EE9" w:rsidRDefault="00A56EE9" w:rsidP="00E3690C">
      <w:pPr>
        <w:spacing w:line="276" w:lineRule="auto"/>
      </w:pPr>
      <w:r>
        <w:t>For each indicator, the trend and confidence with which the scores were given was also provided. For confidence the categories were: adequate high-quality evidence and high level of consensus, limited evidence or limited consensus, or very limited evidence–assessment based on anecdotal knowledge. The following ratings for confidence were adopted:</w:t>
      </w:r>
    </w:p>
    <w:p w14:paraId="5761D14D" w14:textId="77777777" w:rsidR="00A56EE9" w:rsidRDefault="00A56EE9" w:rsidP="00E3690C">
      <w:pPr>
        <w:pStyle w:val="ListParagraph"/>
        <w:numPr>
          <w:ilvl w:val="0"/>
          <w:numId w:val="21"/>
        </w:numPr>
        <w:spacing w:after="0" w:line="276" w:lineRule="auto"/>
      </w:pPr>
      <w:r>
        <w:t xml:space="preserve">adequate high-quality evidence </w:t>
      </w:r>
    </w:p>
    <w:p w14:paraId="5761D14E" w14:textId="77777777" w:rsidR="00A56EE9" w:rsidRDefault="00A56EE9" w:rsidP="00E3690C">
      <w:pPr>
        <w:pStyle w:val="ListParagraph"/>
        <w:numPr>
          <w:ilvl w:val="0"/>
          <w:numId w:val="21"/>
        </w:numPr>
        <w:spacing w:after="0" w:line="276" w:lineRule="auto"/>
      </w:pPr>
      <w:proofErr w:type="gramStart"/>
      <w:r>
        <w:t>limited</w:t>
      </w:r>
      <w:proofErr w:type="gramEnd"/>
      <w:r>
        <w:t xml:space="preserve"> evidence.</w:t>
      </w:r>
    </w:p>
    <w:p w14:paraId="5761D14F" w14:textId="77777777" w:rsidR="00A56EE9" w:rsidRDefault="00A56EE9" w:rsidP="00E3690C">
      <w:pPr>
        <w:spacing w:before="240" w:line="276" w:lineRule="auto"/>
      </w:pPr>
      <w:r>
        <w:rPr>
          <w:b/>
        </w:rPr>
        <w:t>Trend</w:t>
      </w:r>
      <w:r>
        <w:t xml:space="preserve"> </w:t>
      </w:r>
    </w:p>
    <w:p w14:paraId="5761D150" w14:textId="77777777" w:rsidR="00A56EE9" w:rsidRDefault="00A56EE9" w:rsidP="00E3690C">
      <w:pPr>
        <w:spacing w:before="240" w:line="276" w:lineRule="auto"/>
      </w:pPr>
      <w:r>
        <w:lastRenderedPageBreak/>
        <w:t>Trend was also calculated in relation to the overall grade for each element (context, planning, inputs, process, outputs and outcomes) for each management topic (Table 1). The trend categories included: improving, deteriorating, or stable. When there was no change in overall grade for an element within a topic, the trend is shown as declining or improving when the percentage change in overall score for the element equals or exceeds 7.5 percent. The following symbols for trend were adopted:</w:t>
      </w:r>
    </w:p>
    <w:p w14:paraId="5761D151" w14:textId="0D0864DC" w:rsidR="00A56EE9" w:rsidRDefault="00A56EE9" w:rsidP="00E3690C">
      <w:pPr>
        <w:spacing w:after="0" w:line="276" w:lineRule="auto"/>
      </w:pPr>
      <w:r>
        <w:rPr>
          <w:rFonts w:ascii="Cambria Math" w:hAnsi="Cambria Math" w:cs="Cambria Math"/>
        </w:rPr>
        <w:t>⬆</w:t>
      </w:r>
      <w:r>
        <w:tab/>
        <w:t xml:space="preserve">Trend </w:t>
      </w:r>
      <w:r w:rsidR="002510A5">
        <w:t>since</w:t>
      </w:r>
      <w:r w:rsidR="001136D5">
        <w:t xml:space="preserve"> </w:t>
      </w:r>
      <w:r>
        <w:t>2014</w:t>
      </w:r>
      <w:r w:rsidR="002510A5">
        <w:t xml:space="preserve"> </w:t>
      </w:r>
      <w:r>
        <w:t>has been an upwards change in grade</w:t>
      </w:r>
    </w:p>
    <w:p w14:paraId="5761D152" w14:textId="2E867D1D" w:rsidR="00A56EE9" w:rsidRDefault="00A56EE9" w:rsidP="00E3690C">
      <w:pPr>
        <w:spacing w:after="0" w:line="276" w:lineRule="auto"/>
        <w:rPr>
          <w:b/>
        </w:rPr>
      </w:pPr>
      <w:r>
        <w:rPr>
          <w:rFonts w:ascii="Cambria Math" w:hAnsi="Cambria Math" w:cs="Cambria Math"/>
          <w:b/>
        </w:rPr>
        <w:t>↗</w:t>
      </w:r>
      <w:r>
        <w:rPr>
          <w:b/>
        </w:rPr>
        <w:tab/>
      </w:r>
      <w:r>
        <w:t>Trend since 2014 is increasing but has not caused an upwards grade change</w:t>
      </w:r>
    </w:p>
    <w:p w14:paraId="5761D153" w14:textId="787A84BE" w:rsidR="00A56EE9" w:rsidRDefault="00A56EE9" w:rsidP="00E3690C">
      <w:pPr>
        <w:spacing w:after="0" w:line="276" w:lineRule="auto"/>
      </w:pPr>
      <w:r>
        <w:rPr>
          <w:rFonts w:ascii="Cambria Math" w:hAnsi="Cambria Math" w:cs="Cambria Math"/>
          <w:b/>
        </w:rPr>
        <w:t>↔</w:t>
      </w:r>
      <w:r>
        <w:tab/>
        <w:t xml:space="preserve">Grade has remained stable compared to 2014, with no major trends </w:t>
      </w:r>
    </w:p>
    <w:p w14:paraId="5761D154" w14:textId="0F436A9B" w:rsidR="00A56EE9" w:rsidRDefault="00A56EE9" w:rsidP="00E3690C">
      <w:pPr>
        <w:spacing w:after="0" w:line="276" w:lineRule="auto"/>
      </w:pPr>
      <w:r>
        <w:rPr>
          <w:rFonts w:ascii="Cambria Math" w:hAnsi="Cambria Math" w:cs="Cambria Math"/>
          <w:b/>
        </w:rPr>
        <w:t>↘</w:t>
      </w:r>
      <w:r>
        <w:rPr>
          <w:b/>
        </w:rPr>
        <w:tab/>
      </w:r>
      <w:r>
        <w:t>Trend since 2014 is decreasing but has not caused a downwards grade change</w:t>
      </w:r>
    </w:p>
    <w:p w14:paraId="5761D155" w14:textId="1611FAFB" w:rsidR="00A56EE9" w:rsidRDefault="00A56EE9" w:rsidP="00E3690C">
      <w:pPr>
        <w:spacing w:after="0" w:line="276" w:lineRule="auto"/>
      </w:pPr>
      <w:r>
        <w:rPr>
          <w:rFonts w:ascii="Cambria Math" w:hAnsi="Cambria Math" w:cs="Cambria Math"/>
        </w:rPr>
        <w:t>⬇</w:t>
      </w:r>
      <w:r>
        <w:tab/>
        <w:t>Trend since 2014 has been a downwards change in grade</w:t>
      </w:r>
    </w:p>
    <w:p w14:paraId="5761D157" w14:textId="6CEC0A03" w:rsidR="00A56EE9" w:rsidRDefault="00A56EE9" w:rsidP="00E3690C">
      <w:pPr>
        <w:spacing w:line="276" w:lineRule="auto"/>
      </w:pPr>
      <w:r>
        <w:t>Note that Ratings for the management topics were not weighted when means were calculated, and the performance assessments need to be interpreted in the context of differences in scale and complexity (</w:t>
      </w:r>
      <w:r>
        <w:fldChar w:fldCharType="begin"/>
      </w:r>
      <w:r>
        <w:instrText xml:space="preserve"> REF _Ref381687131 \h  \* MERGEFORMAT </w:instrText>
      </w:r>
      <w:r>
        <w:fldChar w:fldCharType="separate"/>
      </w:r>
      <w:r w:rsidR="00A4170C">
        <w:t xml:space="preserve">Table </w:t>
      </w:r>
      <w:r w:rsidR="00A4170C">
        <w:rPr>
          <w:noProof/>
        </w:rPr>
        <w:t>4</w:t>
      </w:r>
      <w:r>
        <w:fldChar w:fldCharType="end"/>
      </w:r>
      <w:r>
        <w:t>).</w:t>
      </w:r>
    </w:p>
    <w:p w14:paraId="5761D158" w14:textId="1E11A50A" w:rsidR="00A56EE9" w:rsidRDefault="00A56EE9" w:rsidP="00BB6AD5">
      <w:pPr>
        <w:pStyle w:val="Caption"/>
        <w:keepNext/>
        <w:ind w:left="0"/>
      </w:pPr>
      <w:bookmarkStart w:id="41" w:name="_Ref381687131"/>
      <w:bookmarkStart w:id="42" w:name="_Ref255375921"/>
      <w:bookmarkStart w:id="43" w:name="_Toc389205077"/>
      <w:bookmarkStart w:id="44" w:name="_Toc525654449"/>
      <w:r>
        <w:t xml:space="preserve">Table </w:t>
      </w:r>
      <w:r>
        <w:fldChar w:fldCharType="begin"/>
      </w:r>
      <w:r>
        <w:rPr>
          <w:noProof/>
        </w:rPr>
        <w:instrText xml:space="preserve"> SEQ Table \* ARABIC </w:instrText>
      </w:r>
      <w:r>
        <w:fldChar w:fldCharType="separate"/>
      </w:r>
      <w:r w:rsidR="00A4170C">
        <w:rPr>
          <w:noProof/>
        </w:rPr>
        <w:t>4</w:t>
      </w:r>
      <w:r>
        <w:fldChar w:fldCharType="end"/>
      </w:r>
      <w:bookmarkEnd w:id="41"/>
      <w:bookmarkEnd w:id="42"/>
      <w:r>
        <w:t>. Scale and complexity of issues addressed in the management effectiveness assessment</w:t>
      </w:r>
      <w:bookmarkEnd w:id="43"/>
      <w:bookmarkEnd w:id="44"/>
    </w:p>
    <w:tbl>
      <w:tblPr>
        <w:tblStyle w:val="TableGrid"/>
        <w:tblW w:w="5000" w:type="pct"/>
        <w:tblInd w:w="-5" w:type="dxa"/>
        <w:tblLayout w:type="fixed"/>
        <w:tblLook w:val="04A0" w:firstRow="1" w:lastRow="0" w:firstColumn="1" w:lastColumn="0" w:noHBand="0" w:noVBand="1"/>
        <w:tblCaption w:val="Table 4. Scale and complexity of issues addressed in the management effectiveness assessment"/>
        <w:tblDescription w:val="This table lists the 14 management topics, identifies the scale of the topic and the complexity minor, moderate or major; based on social, bio-physical and jurisdictional issues ."/>
      </w:tblPr>
      <w:tblGrid>
        <w:gridCol w:w="1879"/>
        <w:gridCol w:w="3201"/>
        <w:gridCol w:w="966"/>
        <w:gridCol w:w="1240"/>
        <w:gridCol w:w="1287"/>
        <w:gridCol w:w="443"/>
      </w:tblGrid>
      <w:tr w:rsidR="00A56EE9" w14:paraId="5761D15C" w14:textId="77777777" w:rsidTr="00BB6AD5">
        <w:trPr>
          <w:tblHeader/>
        </w:trPr>
        <w:tc>
          <w:tcPr>
            <w:tcW w:w="1938" w:type="dxa"/>
            <w:vMerge w:val="restart"/>
            <w:tcBorders>
              <w:top w:val="single" w:sz="4" w:space="0" w:color="auto"/>
              <w:left w:val="single" w:sz="4" w:space="0" w:color="auto"/>
              <w:bottom w:val="single" w:sz="4" w:space="0" w:color="auto"/>
              <w:right w:val="single" w:sz="4" w:space="0" w:color="auto"/>
            </w:tcBorders>
            <w:hideMark/>
          </w:tcPr>
          <w:p w14:paraId="5761D159" w14:textId="77777777" w:rsidR="00A56EE9" w:rsidRDefault="00A56EE9">
            <w:pPr>
              <w:pStyle w:val="Tablebulletlist"/>
              <w:rPr>
                <w:b/>
                <w:sz w:val="20"/>
                <w:szCs w:val="20"/>
              </w:rPr>
            </w:pPr>
            <w:r>
              <w:rPr>
                <w:rFonts w:cs="Arial"/>
                <w:b/>
                <w:sz w:val="20"/>
                <w:szCs w:val="20"/>
              </w:rPr>
              <w:t>Topics</w:t>
            </w:r>
          </w:p>
        </w:tc>
        <w:tc>
          <w:tcPr>
            <w:tcW w:w="3307" w:type="dxa"/>
            <w:vMerge w:val="restart"/>
            <w:tcBorders>
              <w:top w:val="single" w:sz="4" w:space="0" w:color="auto"/>
              <w:left w:val="single" w:sz="4" w:space="0" w:color="auto"/>
              <w:bottom w:val="single" w:sz="4" w:space="0" w:color="auto"/>
              <w:right w:val="single" w:sz="4" w:space="0" w:color="auto"/>
            </w:tcBorders>
            <w:hideMark/>
          </w:tcPr>
          <w:p w14:paraId="5761D15A" w14:textId="77777777" w:rsidR="00A56EE9" w:rsidRDefault="00A56EE9">
            <w:pPr>
              <w:pStyle w:val="Tablebulletlist"/>
              <w:rPr>
                <w:b/>
                <w:sz w:val="20"/>
                <w:szCs w:val="20"/>
              </w:rPr>
            </w:pPr>
            <w:r>
              <w:rPr>
                <w:rFonts w:cs="Arial"/>
                <w:b/>
                <w:sz w:val="20"/>
                <w:szCs w:val="20"/>
              </w:rPr>
              <w:t>Scale</w:t>
            </w:r>
          </w:p>
        </w:tc>
        <w:tc>
          <w:tcPr>
            <w:tcW w:w="4043" w:type="dxa"/>
            <w:gridSpan w:val="4"/>
            <w:tcBorders>
              <w:top w:val="single" w:sz="4" w:space="0" w:color="auto"/>
              <w:left w:val="single" w:sz="4" w:space="0" w:color="auto"/>
              <w:bottom w:val="single" w:sz="4" w:space="0" w:color="auto"/>
              <w:right w:val="single" w:sz="4" w:space="0" w:color="auto"/>
            </w:tcBorders>
            <w:hideMark/>
          </w:tcPr>
          <w:p w14:paraId="5761D15B" w14:textId="77777777" w:rsidR="00A56EE9" w:rsidRDefault="00A56EE9">
            <w:pPr>
              <w:pStyle w:val="Tablebulletlist"/>
              <w:rPr>
                <w:rFonts w:cs="Arial"/>
                <w:b/>
                <w:sz w:val="20"/>
                <w:szCs w:val="20"/>
              </w:rPr>
            </w:pPr>
            <w:r>
              <w:rPr>
                <w:rFonts w:cs="Arial"/>
                <w:b/>
                <w:sz w:val="20"/>
                <w:szCs w:val="20"/>
              </w:rPr>
              <w:t>Complexity</w:t>
            </w:r>
          </w:p>
        </w:tc>
      </w:tr>
      <w:tr w:rsidR="00A56EE9" w14:paraId="5761D163" w14:textId="77777777" w:rsidTr="00BB6AD5">
        <w:trPr>
          <w:tblHeader/>
        </w:trPr>
        <w:tc>
          <w:tcPr>
            <w:tcW w:w="1938" w:type="dxa"/>
            <w:vMerge/>
            <w:tcBorders>
              <w:top w:val="single" w:sz="4" w:space="0" w:color="auto"/>
              <w:left w:val="single" w:sz="4" w:space="0" w:color="auto"/>
              <w:bottom w:val="single" w:sz="4" w:space="0" w:color="auto"/>
              <w:right w:val="single" w:sz="4" w:space="0" w:color="auto"/>
            </w:tcBorders>
            <w:hideMark/>
          </w:tcPr>
          <w:p w14:paraId="5761D15D" w14:textId="77777777" w:rsidR="00A56EE9" w:rsidRDefault="00A56EE9">
            <w:pPr>
              <w:rPr>
                <w:rFonts w:ascii="Arial Narrow" w:hAnsi="Arial Narrow"/>
                <w:b/>
              </w:rPr>
            </w:pPr>
          </w:p>
        </w:tc>
        <w:tc>
          <w:tcPr>
            <w:tcW w:w="3307" w:type="dxa"/>
            <w:vMerge/>
            <w:tcBorders>
              <w:top w:val="single" w:sz="4" w:space="0" w:color="auto"/>
              <w:left w:val="single" w:sz="4" w:space="0" w:color="auto"/>
              <w:bottom w:val="single" w:sz="4" w:space="0" w:color="auto"/>
              <w:right w:val="single" w:sz="4" w:space="0" w:color="auto"/>
            </w:tcBorders>
            <w:hideMark/>
          </w:tcPr>
          <w:p w14:paraId="5761D15E" w14:textId="77777777" w:rsidR="00A56EE9" w:rsidRDefault="00A56EE9">
            <w:pPr>
              <w:rPr>
                <w:rFonts w:ascii="Arial Narrow" w:hAnsi="Arial Narrow"/>
                <w:b/>
              </w:rPr>
            </w:pPr>
          </w:p>
        </w:tc>
        <w:tc>
          <w:tcPr>
            <w:tcW w:w="992" w:type="dxa"/>
            <w:tcBorders>
              <w:top w:val="single" w:sz="4" w:space="0" w:color="auto"/>
              <w:left w:val="single" w:sz="4" w:space="0" w:color="auto"/>
              <w:bottom w:val="single" w:sz="4" w:space="0" w:color="auto"/>
              <w:right w:val="single" w:sz="4" w:space="0" w:color="auto"/>
            </w:tcBorders>
            <w:hideMark/>
          </w:tcPr>
          <w:p w14:paraId="5761D15F" w14:textId="77777777" w:rsidR="00A56EE9" w:rsidRDefault="00A56EE9">
            <w:pPr>
              <w:pStyle w:val="Tablebulletlist"/>
              <w:rPr>
                <w:b/>
                <w:sz w:val="20"/>
                <w:szCs w:val="20"/>
              </w:rPr>
            </w:pPr>
            <w:r>
              <w:rPr>
                <w:rFonts w:cs="Arial"/>
                <w:b/>
                <w:sz w:val="20"/>
                <w:szCs w:val="20"/>
              </w:rPr>
              <w:t>Social</w:t>
            </w:r>
          </w:p>
        </w:tc>
        <w:tc>
          <w:tcPr>
            <w:tcW w:w="1276" w:type="dxa"/>
            <w:tcBorders>
              <w:top w:val="single" w:sz="4" w:space="0" w:color="auto"/>
              <w:left w:val="single" w:sz="4" w:space="0" w:color="auto"/>
              <w:bottom w:val="single" w:sz="4" w:space="0" w:color="auto"/>
              <w:right w:val="single" w:sz="4" w:space="0" w:color="auto"/>
            </w:tcBorders>
            <w:hideMark/>
          </w:tcPr>
          <w:p w14:paraId="5761D160" w14:textId="77777777" w:rsidR="00A56EE9" w:rsidRDefault="00A56EE9">
            <w:pPr>
              <w:pStyle w:val="Tablebulletlist"/>
              <w:rPr>
                <w:b/>
                <w:sz w:val="20"/>
                <w:szCs w:val="20"/>
              </w:rPr>
            </w:pPr>
            <w:r>
              <w:rPr>
                <w:rFonts w:cs="Arial"/>
                <w:b/>
                <w:sz w:val="20"/>
                <w:szCs w:val="20"/>
              </w:rPr>
              <w:t>Biophysical</w:t>
            </w:r>
          </w:p>
        </w:tc>
        <w:tc>
          <w:tcPr>
            <w:tcW w:w="1325" w:type="dxa"/>
            <w:tcBorders>
              <w:top w:val="single" w:sz="4" w:space="0" w:color="auto"/>
              <w:left w:val="single" w:sz="4" w:space="0" w:color="auto"/>
              <w:bottom w:val="single" w:sz="4" w:space="0" w:color="auto"/>
              <w:right w:val="single" w:sz="4" w:space="0" w:color="auto"/>
            </w:tcBorders>
            <w:hideMark/>
          </w:tcPr>
          <w:p w14:paraId="5761D161" w14:textId="77777777" w:rsidR="00A56EE9" w:rsidRDefault="00A56EE9">
            <w:pPr>
              <w:pStyle w:val="Tablebulletlist"/>
              <w:rPr>
                <w:b/>
                <w:sz w:val="20"/>
                <w:szCs w:val="20"/>
              </w:rPr>
            </w:pPr>
            <w:r>
              <w:rPr>
                <w:rFonts w:cs="Arial"/>
                <w:b/>
                <w:sz w:val="20"/>
                <w:szCs w:val="20"/>
              </w:rPr>
              <w:t>Jurisdictional</w:t>
            </w:r>
          </w:p>
        </w:tc>
        <w:tc>
          <w:tcPr>
            <w:tcW w:w="450" w:type="dxa"/>
            <w:vMerge w:val="restart"/>
            <w:tcBorders>
              <w:top w:val="single" w:sz="4" w:space="0" w:color="auto"/>
              <w:left w:val="single" w:sz="4" w:space="0" w:color="auto"/>
              <w:bottom w:val="single" w:sz="4" w:space="0" w:color="auto"/>
              <w:right w:val="single" w:sz="4" w:space="0" w:color="auto"/>
            </w:tcBorders>
            <w:textDirection w:val="btLr"/>
            <w:hideMark/>
          </w:tcPr>
          <w:p w14:paraId="5761D162" w14:textId="0E66B5E4" w:rsidR="00A56EE9" w:rsidRDefault="00A56EE9">
            <w:pPr>
              <w:pStyle w:val="Tablebulletlist"/>
              <w:ind w:left="113" w:right="113"/>
              <w:jc w:val="center"/>
              <w:rPr>
                <w:rFonts w:cs="Arial"/>
                <w:b/>
                <w:sz w:val="20"/>
                <w:szCs w:val="20"/>
              </w:rPr>
            </w:pPr>
            <w:r>
              <w:rPr>
                <w:rFonts w:cs="Arial"/>
                <w:sz w:val="20"/>
                <w:szCs w:val="20"/>
              </w:rPr>
              <w:t>Increasing complexity</w:t>
            </w:r>
            <w:r w:rsidR="00242993">
              <w:rPr>
                <w:rFonts w:cs="Arial"/>
                <w:sz w:val="20"/>
                <w:szCs w:val="20"/>
              </w:rPr>
              <w:t xml:space="preserve"> </w:t>
            </w:r>
            <w:r>
              <w:rPr>
                <w:rFonts w:cs="Arial"/>
                <w:sz w:val="20"/>
                <w:szCs w:val="20"/>
              </w:rPr>
              <w:sym w:font="Wingdings" w:char="F0E0"/>
            </w:r>
          </w:p>
        </w:tc>
      </w:tr>
      <w:tr w:rsidR="00A56EE9" w14:paraId="5761D16A"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64" w14:textId="77777777" w:rsidR="00A56EE9" w:rsidRDefault="00A56EE9">
            <w:pPr>
              <w:pStyle w:val="Tablebulletlist"/>
              <w:rPr>
                <w:b/>
                <w:sz w:val="20"/>
                <w:szCs w:val="20"/>
              </w:rPr>
            </w:pPr>
            <w:r>
              <w:rPr>
                <w:rFonts w:cs="Arial"/>
                <w:b/>
                <w:sz w:val="20"/>
                <w:szCs w:val="20"/>
              </w:rPr>
              <w:t xml:space="preserve">Climate change </w:t>
            </w:r>
          </w:p>
        </w:tc>
        <w:tc>
          <w:tcPr>
            <w:tcW w:w="3307" w:type="dxa"/>
            <w:tcBorders>
              <w:top w:val="single" w:sz="4" w:space="0" w:color="auto"/>
              <w:left w:val="single" w:sz="4" w:space="0" w:color="auto"/>
              <w:bottom w:val="single" w:sz="4" w:space="0" w:color="auto"/>
              <w:right w:val="single" w:sz="4" w:space="0" w:color="auto"/>
            </w:tcBorders>
            <w:hideMark/>
          </w:tcPr>
          <w:p w14:paraId="5761D165" w14:textId="77777777" w:rsidR="00A56EE9" w:rsidRDefault="00A56EE9">
            <w:pPr>
              <w:pStyle w:val="Tablebulletlist"/>
              <w:rPr>
                <w:b/>
                <w:bCs/>
                <w:i/>
                <w:iCs/>
                <w:sz w:val="20"/>
                <w:szCs w:val="20"/>
              </w:rPr>
            </w:pPr>
            <w:r>
              <w:rPr>
                <w:rFonts w:cs="Arial"/>
                <w:sz w:val="20"/>
                <w:szCs w:val="20"/>
              </w:rPr>
              <w:t>Region-wide</w:t>
            </w:r>
          </w:p>
        </w:tc>
        <w:tc>
          <w:tcPr>
            <w:tcW w:w="992" w:type="dxa"/>
            <w:tcBorders>
              <w:top w:val="single" w:sz="4" w:space="0" w:color="auto"/>
              <w:left w:val="single" w:sz="4" w:space="0" w:color="auto"/>
              <w:bottom w:val="single" w:sz="4" w:space="0" w:color="auto"/>
              <w:right w:val="single" w:sz="4" w:space="0" w:color="auto"/>
            </w:tcBorders>
            <w:hideMark/>
          </w:tcPr>
          <w:p w14:paraId="5761D166" w14:textId="77777777" w:rsidR="00A56EE9" w:rsidRDefault="00A56EE9">
            <w:pPr>
              <w:pStyle w:val="Tablebulletlist"/>
              <w:rPr>
                <w:b/>
                <w:bCs/>
                <w:i/>
                <w:iCs/>
                <w:sz w:val="20"/>
                <w:szCs w:val="20"/>
              </w:rPr>
            </w:pPr>
            <w:r>
              <w:rPr>
                <w:rFonts w:cs="Arial"/>
                <w:sz w:val="20"/>
                <w:szCs w:val="20"/>
              </w:rPr>
              <w:t>major</w:t>
            </w:r>
          </w:p>
        </w:tc>
        <w:tc>
          <w:tcPr>
            <w:tcW w:w="1276" w:type="dxa"/>
            <w:tcBorders>
              <w:top w:val="single" w:sz="4" w:space="0" w:color="auto"/>
              <w:left w:val="single" w:sz="4" w:space="0" w:color="auto"/>
              <w:bottom w:val="single" w:sz="4" w:space="0" w:color="auto"/>
              <w:right w:val="single" w:sz="4" w:space="0" w:color="auto"/>
            </w:tcBorders>
            <w:hideMark/>
          </w:tcPr>
          <w:p w14:paraId="5761D167" w14:textId="77777777" w:rsidR="00A56EE9" w:rsidRDefault="00A56EE9">
            <w:pPr>
              <w:pStyle w:val="Tablebulletlist"/>
              <w:rPr>
                <w:b/>
                <w:bCs/>
                <w:i/>
                <w:iCs/>
                <w:sz w:val="20"/>
                <w:szCs w:val="20"/>
              </w:rPr>
            </w:pPr>
            <w:r>
              <w:rPr>
                <w:rFonts w:cs="Arial"/>
                <w:sz w:val="20"/>
                <w:szCs w:val="20"/>
              </w:rPr>
              <w:t>major</w:t>
            </w:r>
          </w:p>
        </w:tc>
        <w:tc>
          <w:tcPr>
            <w:tcW w:w="1325" w:type="dxa"/>
            <w:tcBorders>
              <w:top w:val="single" w:sz="4" w:space="0" w:color="auto"/>
              <w:left w:val="single" w:sz="4" w:space="0" w:color="auto"/>
              <w:bottom w:val="single" w:sz="4" w:space="0" w:color="auto"/>
              <w:right w:val="single" w:sz="4" w:space="0" w:color="auto"/>
            </w:tcBorders>
            <w:hideMark/>
          </w:tcPr>
          <w:p w14:paraId="5761D168" w14:textId="77777777" w:rsidR="00A56EE9" w:rsidRDefault="00A56EE9">
            <w:pPr>
              <w:pStyle w:val="Tablebulletlist"/>
              <w:rPr>
                <w:b/>
                <w:bCs/>
                <w:i/>
                <w:iCs/>
                <w:sz w:val="20"/>
                <w:szCs w:val="20"/>
              </w:rPr>
            </w:pPr>
            <w:r>
              <w:rPr>
                <w:rFonts w:cs="Arial"/>
                <w:sz w:val="20"/>
                <w:szCs w:val="20"/>
              </w:rPr>
              <w:t>major</w:t>
            </w:r>
          </w:p>
        </w:tc>
        <w:tc>
          <w:tcPr>
            <w:tcW w:w="450" w:type="dxa"/>
            <w:vMerge/>
            <w:tcBorders>
              <w:top w:val="single" w:sz="4" w:space="0" w:color="auto"/>
              <w:left w:val="single" w:sz="4" w:space="0" w:color="auto"/>
              <w:bottom w:val="single" w:sz="4" w:space="0" w:color="auto"/>
              <w:right w:val="single" w:sz="4" w:space="0" w:color="auto"/>
            </w:tcBorders>
            <w:hideMark/>
          </w:tcPr>
          <w:p w14:paraId="5761D169" w14:textId="77777777" w:rsidR="00A56EE9" w:rsidRDefault="00A56EE9">
            <w:pPr>
              <w:rPr>
                <w:rFonts w:ascii="Arial Narrow" w:hAnsi="Arial Narrow" w:cs="Arial"/>
                <w:b/>
              </w:rPr>
            </w:pPr>
          </w:p>
        </w:tc>
      </w:tr>
      <w:tr w:rsidR="00A56EE9" w14:paraId="5761D171"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6B" w14:textId="77777777" w:rsidR="00A56EE9" w:rsidRDefault="00A56EE9">
            <w:pPr>
              <w:pStyle w:val="Tablebulletlist"/>
              <w:rPr>
                <w:b/>
                <w:sz w:val="20"/>
                <w:szCs w:val="20"/>
              </w:rPr>
            </w:pPr>
            <w:r>
              <w:rPr>
                <w:rFonts w:cs="Arial"/>
                <w:b/>
                <w:sz w:val="20"/>
                <w:szCs w:val="20"/>
              </w:rPr>
              <w:t xml:space="preserve">Coastal development </w:t>
            </w:r>
          </w:p>
        </w:tc>
        <w:tc>
          <w:tcPr>
            <w:tcW w:w="3307" w:type="dxa"/>
            <w:tcBorders>
              <w:top w:val="single" w:sz="4" w:space="0" w:color="auto"/>
              <w:left w:val="single" w:sz="4" w:space="0" w:color="auto"/>
              <w:bottom w:val="single" w:sz="4" w:space="0" w:color="auto"/>
              <w:right w:val="single" w:sz="4" w:space="0" w:color="auto"/>
            </w:tcBorders>
            <w:hideMark/>
          </w:tcPr>
          <w:p w14:paraId="5761D16C" w14:textId="77777777" w:rsidR="00A56EE9" w:rsidRDefault="00A56EE9">
            <w:pPr>
              <w:pStyle w:val="Tablebulletlist"/>
              <w:rPr>
                <w:b/>
                <w:bCs/>
                <w:i/>
                <w:iCs/>
                <w:sz w:val="20"/>
                <w:szCs w:val="20"/>
              </w:rPr>
            </w:pPr>
            <w:r>
              <w:rPr>
                <w:rFonts w:cs="Arial"/>
                <w:sz w:val="20"/>
                <w:szCs w:val="20"/>
              </w:rPr>
              <w:t>Region-wide and limited to coastal areas and mainly inshore waters</w:t>
            </w:r>
          </w:p>
        </w:tc>
        <w:tc>
          <w:tcPr>
            <w:tcW w:w="992" w:type="dxa"/>
            <w:tcBorders>
              <w:top w:val="single" w:sz="4" w:space="0" w:color="auto"/>
              <w:left w:val="single" w:sz="4" w:space="0" w:color="auto"/>
              <w:bottom w:val="single" w:sz="4" w:space="0" w:color="auto"/>
              <w:right w:val="single" w:sz="4" w:space="0" w:color="auto"/>
            </w:tcBorders>
            <w:hideMark/>
          </w:tcPr>
          <w:p w14:paraId="5761D16D" w14:textId="77777777" w:rsidR="00A56EE9" w:rsidRDefault="00A56EE9">
            <w:pPr>
              <w:pStyle w:val="Tablebulletlist"/>
              <w:rPr>
                <w:b/>
                <w:bCs/>
                <w:i/>
                <w:iCs/>
                <w:sz w:val="20"/>
                <w:szCs w:val="20"/>
              </w:rPr>
            </w:pPr>
            <w:r>
              <w:rPr>
                <w:rFonts w:cs="Arial"/>
                <w:sz w:val="20"/>
                <w:szCs w:val="20"/>
              </w:rPr>
              <w:t>major</w:t>
            </w:r>
          </w:p>
        </w:tc>
        <w:tc>
          <w:tcPr>
            <w:tcW w:w="1276" w:type="dxa"/>
            <w:tcBorders>
              <w:top w:val="single" w:sz="4" w:space="0" w:color="auto"/>
              <w:left w:val="single" w:sz="4" w:space="0" w:color="auto"/>
              <w:bottom w:val="single" w:sz="4" w:space="0" w:color="auto"/>
              <w:right w:val="single" w:sz="4" w:space="0" w:color="auto"/>
            </w:tcBorders>
            <w:hideMark/>
          </w:tcPr>
          <w:p w14:paraId="5761D16E" w14:textId="77777777" w:rsidR="00A56EE9" w:rsidRDefault="00A56EE9">
            <w:pPr>
              <w:pStyle w:val="Tablebulletlist"/>
              <w:rPr>
                <w:b/>
                <w:bCs/>
                <w:i/>
                <w:iCs/>
                <w:sz w:val="20"/>
                <w:szCs w:val="20"/>
              </w:rPr>
            </w:pPr>
            <w:r>
              <w:rPr>
                <w:rFonts w:cs="Arial"/>
                <w:sz w:val="20"/>
                <w:szCs w:val="20"/>
              </w:rPr>
              <w:t>major</w:t>
            </w:r>
          </w:p>
        </w:tc>
        <w:tc>
          <w:tcPr>
            <w:tcW w:w="1325" w:type="dxa"/>
            <w:tcBorders>
              <w:top w:val="single" w:sz="4" w:space="0" w:color="auto"/>
              <w:left w:val="single" w:sz="4" w:space="0" w:color="auto"/>
              <w:bottom w:val="single" w:sz="4" w:space="0" w:color="auto"/>
              <w:right w:val="single" w:sz="4" w:space="0" w:color="auto"/>
            </w:tcBorders>
            <w:hideMark/>
          </w:tcPr>
          <w:p w14:paraId="5761D16F" w14:textId="77777777" w:rsidR="00A56EE9" w:rsidRDefault="00A56EE9">
            <w:pPr>
              <w:pStyle w:val="Tablebulletlist"/>
              <w:rPr>
                <w:b/>
                <w:bCs/>
                <w:i/>
                <w:iCs/>
                <w:sz w:val="20"/>
                <w:szCs w:val="20"/>
              </w:rPr>
            </w:pPr>
            <w:r>
              <w:rPr>
                <w:rFonts w:cs="Arial"/>
                <w:sz w:val="20"/>
                <w:szCs w:val="20"/>
              </w:rPr>
              <w:t>major</w:t>
            </w:r>
          </w:p>
        </w:tc>
        <w:tc>
          <w:tcPr>
            <w:tcW w:w="450" w:type="dxa"/>
            <w:vMerge/>
            <w:tcBorders>
              <w:top w:val="single" w:sz="4" w:space="0" w:color="auto"/>
              <w:left w:val="single" w:sz="4" w:space="0" w:color="auto"/>
              <w:bottom w:val="single" w:sz="4" w:space="0" w:color="auto"/>
              <w:right w:val="single" w:sz="4" w:space="0" w:color="auto"/>
            </w:tcBorders>
            <w:hideMark/>
          </w:tcPr>
          <w:p w14:paraId="5761D170" w14:textId="77777777" w:rsidR="00A56EE9" w:rsidRDefault="00A56EE9">
            <w:pPr>
              <w:rPr>
                <w:rFonts w:ascii="Arial Narrow" w:hAnsi="Arial Narrow" w:cs="Arial"/>
                <w:b/>
              </w:rPr>
            </w:pPr>
          </w:p>
        </w:tc>
      </w:tr>
      <w:tr w:rsidR="00A56EE9" w14:paraId="5761D178"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72" w14:textId="77777777" w:rsidR="00A56EE9" w:rsidRDefault="00A56EE9">
            <w:pPr>
              <w:pStyle w:val="Tablebulletlist"/>
              <w:rPr>
                <w:b/>
                <w:sz w:val="20"/>
                <w:szCs w:val="20"/>
              </w:rPr>
            </w:pPr>
            <w:r>
              <w:rPr>
                <w:rFonts w:cs="Arial"/>
                <w:b/>
                <w:sz w:val="20"/>
                <w:szCs w:val="20"/>
              </w:rPr>
              <w:t>Land-based run-off</w:t>
            </w:r>
          </w:p>
        </w:tc>
        <w:tc>
          <w:tcPr>
            <w:tcW w:w="3307" w:type="dxa"/>
            <w:tcBorders>
              <w:top w:val="single" w:sz="4" w:space="0" w:color="auto"/>
              <w:left w:val="single" w:sz="4" w:space="0" w:color="auto"/>
              <w:bottom w:val="single" w:sz="4" w:space="0" w:color="auto"/>
              <w:right w:val="single" w:sz="4" w:space="0" w:color="auto"/>
            </w:tcBorders>
            <w:hideMark/>
          </w:tcPr>
          <w:p w14:paraId="5761D173" w14:textId="77777777" w:rsidR="00A56EE9" w:rsidRDefault="00A56EE9">
            <w:pPr>
              <w:pStyle w:val="Tablebulletlist"/>
              <w:rPr>
                <w:b/>
                <w:bCs/>
                <w:i/>
                <w:iCs/>
                <w:sz w:val="20"/>
                <w:szCs w:val="20"/>
              </w:rPr>
            </w:pPr>
            <w:r>
              <w:rPr>
                <w:rFonts w:cs="Arial"/>
                <w:sz w:val="20"/>
                <w:szCs w:val="20"/>
              </w:rPr>
              <w:t xml:space="preserve">Great Barrier Reef catchment and mainly inshore waters </w:t>
            </w:r>
          </w:p>
        </w:tc>
        <w:tc>
          <w:tcPr>
            <w:tcW w:w="992" w:type="dxa"/>
            <w:tcBorders>
              <w:top w:val="single" w:sz="4" w:space="0" w:color="auto"/>
              <w:left w:val="single" w:sz="4" w:space="0" w:color="auto"/>
              <w:bottom w:val="single" w:sz="4" w:space="0" w:color="auto"/>
              <w:right w:val="single" w:sz="4" w:space="0" w:color="auto"/>
            </w:tcBorders>
            <w:hideMark/>
          </w:tcPr>
          <w:p w14:paraId="5761D174" w14:textId="77777777" w:rsidR="00A56EE9" w:rsidRDefault="00A56EE9">
            <w:pPr>
              <w:pStyle w:val="Tablebulletlist"/>
              <w:rPr>
                <w:b/>
                <w:bCs/>
                <w:i/>
                <w:iCs/>
                <w:sz w:val="20"/>
                <w:szCs w:val="20"/>
              </w:rPr>
            </w:pPr>
            <w:r>
              <w:rPr>
                <w:rFonts w:cs="Arial"/>
                <w:bCs/>
                <w:sz w:val="20"/>
                <w:szCs w:val="20"/>
              </w:rPr>
              <w:t>major</w:t>
            </w:r>
          </w:p>
        </w:tc>
        <w:tc>
          <w:tcPr>
            <w:tcW w:w="1276" w:type="dxa"/>
            <w:tcBorders>
              <w:top w:val="single" w:sz="4" w:space="0" w:color="auto"/>
              <w:left w:val="single" w:sz="4" w:space="0" w:color="auto"/>
              <w:bottom w:val="single" w:sz="4" w:space="0" w:color="auto"/>
              <w:right w:val="single" w:sz="4" w:space="0" w:color="auto"/>
            </w:tcBorders>
            <w:hideMark/>
          </w:tcPr>
          <w:p w14:paraId="5761D175" w14:textId="77777777" w:rsidR="00A56EE9" w:rsidRDefault="00A56EE9">
            <w:pPr>
              <w:pStyle w:val="Tablebulletlist"/>
              <w:rPr>
                <w:b/>
                <w:bCs/>
                <w:i/>
                <w:iCs/>
                <w:sz w:val="20"/>
                <w:szCs w:val="20"/>
              </w:rPr>
            </w:pPr>
            <w:r>
              <w:rPr>
                <w:rFonts w:cs="Arial"/>
                <w:bCs/>
                <w:sz w:val="20"/>
                <w:szCs w:val="20"/>
              </w:rPr>
              <w:t>major</w:t>
            </w:r>
          </w:p>
        </w:tc>
        <w:tc>
          <w:tcPr>
            <w:tcW w:w="1325" w:type="dxa"/>
            <w:tcBorders>
              <w:top w:val="single" w:sz="4" w:space="0" w:color="auto"/>
              <w:left w:val="single" w:sz="4" w:space="0" w:color="auto"/>
              <w:bottom w:val="single" w:sz="4" w:space="0" w:color="auto"/>
              <w:right w:val="single" w:sz="4" w:space="0" w:color="auto"/>
            </w:tcBorders>
            <w:hideMark/>
          </w:tcPr>
          <w:p w14:paraId="5761D176" w14:textId="77777777" w:rsidR="00A56EE9" w:rsidRDefault="00A56EE9">
            <w:pPr>
              <w:pStyle w:val="Tablebulletlist"/>
              <w:rPr>
                <w:b/>
                <w:bCs/>
                <w:i/>
                <w:iCs/>
                <w:sz w:val="20"/>
                <w:szCs w:val="20"/>
              </w:rPr>
            </w:pPr>
            <w:r>
              <w:rPr>
                <w:rFonts w:cs="Arial"/>
                <w:bCs/>
                <w:sz w:val="20"/>
                <w:szCs w:val="20"/>
              </w:rPr>
              <w:t>major</w:t>
            </w:r>
          </w:p>
        </w:tc>
        <w:tc>
          <w:tcPr>
            <w:tcW w:w="450" w:type="dxa"/>
            <w:vMerge/>
            <w:tcBorders>
              <w:top w:val="single" w:sz="4" w:space="0" w:color="auto"/>
              <w:left w:val="single" w:sz="4" w:space="0" w:color="auto"/>
              <w:bottom w:val="single" w:sz="4" w:space="0" w:color="auto"/>
              <w:right w:val="single" w:sz="4" w:space="0" w:color="auto"/>
            </w:tcBorders>
            <w:hideMark/>
          </w:tcPr>
          <w:p w14:paraId="5761D177" w14:textId="77777777" w:rsidR="00A56EE9" w:rsidRDefault="00A56EE9">
            <w:pPr>
              <w:rPr>
                <w:rFonts w:ascii="Arial Narrow" w:hAnsi="Arial Narrow" w:cs="Arial"/>
                <w:b/>
              </w:rPr>
            </w:pPr>
          </w:p>
        </w:tc>
      </w:tr>
      <w:tr w:rsidR="00A56EE9" w14:paraId="5761D17F"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79" w14:textId="77777777" w:rsidR="00A56EE9" w:rsidRDefault="00A56EE9">
            <w:pPr>
              <w:pStyle w:val="Tablebulletlist"/>
              <w:rPr>
                <w:b/>
                <w:sz w:val="20"/>
                <w:szCs w:val="20"/>
              </w:rPr>
            </w:pPr>
            <w:r>
              <w:rPr>
                <w:rFonts w:cs="Arial"/>
                <w:b/>
                <w:sz w:val="20"/>
                <w:szCs w:val="20"/>
              </w:rPr>
              <w:t>Ports</w:t>
            </w:r>
          </w:p>
        </w:tc>
        <w:tc>
          <w:tcPr>
            <w:tcW w:w="3307" w:type="dxa"/>
            <w:tcBorders>
              <w:top w:val="single" w:sz="4" w:space="0" w:color="auto"/>
              <w:left w:val="single" w:sz="4" w:space="0" w:color="auto"/>
              <w:bottom w:val="single" w:sz="4" w:space="0" w:color="auto"/>
              <w:right w:val="single" w:sz="4" w:space="0" w:color="auto"/>
            </w:tcBorders>
            <w:hideMark/>
          </w:tcPr>
          <w:p w14:paraId="5761D17A" w14:textId="77777777" w:rsidR="00A56EE9" w:rsidRDefault="00A56EE9">
            <w:pPr>
              <w:pStyle w:val="Tablebulletlist"/>
              <w:rPr>
                <w:b/>
                <w:bCs/>
                <w:i/>
                <w:iCs/>
                <w:sz w:val="20"/>
                <w:szCs w:val="20"/>
              </w:rPr>
            </w:pPr>
            <w:r>
              <w:rPr>
                <w:rFonts w:cs="Arial"/>
                <w:sz w:val="20"/>
                <w:szCs w:val="20"/>
              </w:rPr>
              <w:t>Concentrated around 12 ports from Lockhart River in the north to Gladstone in the south</w:t>
            </w:r>
          </w:p>
        </w:tc>
        <w:tc>
          <w:tcPr>
            <w:tcW w:w="992" w:type="dxa"/>
            <w:tcBorders>
              <w:top w:val="single" w:sz="4" w:space="0" w:color="auto"/>
              <w:left w:val="single" w:sz="4" w:space="0" w:color="auto"/>
              <w:bottom w:val="single" w:sz="4" w:space="0" w:color="auto"/>
              <w:right w:val="single" w:sz="4" w:space="0" w:color="auto"/>
            </w:tcBorders>
            <w:hideMark/>
          </w:tcPr>
          <w:p w14:paraId="5761D17B" w14:textId="77777777" w:rsidR="00A56EE9" w:rsidRDefault="00A56EE9">
            <w:pPr>
              <w:pStyle w:val="Tablebulletlist"/>
              <w:rPr>
                <w:b/>
                <w:bCs/>
                <w:i/>
                <w:iCs/>
                <w:sz w:val="20"/>
                <w:szCs w:val="20"/>
              </w:rPr>
            </w:pPr>
            <w:r>
              <w:rPr>
                <w:rFonts w:cs="Arial"/>
                <w:sz w:val="20"/>
                <w:szCs w:val="20"/>
              </w:rPr>
              <w:t>major</w:t>
            </w:r>
          </w:p>
        </w:tc>
        <w:tc>
          <w:tcPr>
            <w:tcW w:w="1276" w:type="dxa"/>
            <w:tcBorders>
              <w:top w:val="single" w:sz="4" w:space="0" w:color="auto"/>
              <w:left w:val="single" w:sz="4" w:space="0" w:color="auto"/>
              <w:bottom w:val="single" w:sz="4" w:space="0" w:color="auto"/>
              <w:right w:val="single" w:sz="4" w:space="0" w:color="auto"/>
            </w:tcBorders>
            <w:hideMark/>
          </w:tcPr>
          <w:p w14:paraId="5761D17C" w14:textId="77777777" w:rsidR="00A56EE9" w:rsidRDefault="00A56EE9">
            <w:pPr>
              <w:pStyle w:val="Tablebulletlist"/>
              <w:rPr>
                <w:b/>
                <w:bCs/>
                <w:i/>
                <w:iCs/>
                <w:sz w:val="20"/>
                <w:szCs w:val="20"/>
              </w:rPr>
            </w:pPr>
            <w:r>
              <w:rPr>
                <w:rFonts w:cs="Arial"/>
                <w:sz w:val="20"/>
                <w:szCs w:val="20"/>
              </w:rPr>
              <w:t>moderate</w:t>
            </w:r>
          </w:p>
        </w:tc>
        <w:tc>
          <w:tcPr>
            <w:tcW w:w="1325" w:type="dxa"/>
            <w:tcBorders>
              <w:top w:val="single" w:sz="4" w:space="0" w:color="auto"/>
              <w:left w:val="single" w:sz="4" w:space="0" w:color="auto"/>
              <w:bottom w:val="single" w:sz="4" w:space="0" w:color="auto"/>
              <w:right w:val="single" w:sz="4" w:space="0" w:color="auto"/>
            </w:tcBorders>
            <w:hideMark/>
          </w:tcPr>
          <w:p w14:paraId="5761D17D" w14:textId="77777777" w:rsidR="00A56EE9" w:rsidRDefault="00A56EE9">
            <w:pPr>
              <w:pStyle w:val="Tablebulletlist"/>
              <w:rPr>
                <w:b/>
                <w:bCs/>
                <w:i/>
                <w:iCs/>
                <w:sz w:val="20"/>
                <w:szCs w:val="20"/>
              </w:rPr>
            </w:pPr>
            <w:r>
              <w:rPr>
                <w:rFonts w:cs="Arial"/>
                <w:sz w:val="20"/>
                <w:szCs w:val="20"/>
              </w:rPr>
              <w:t>major</w:t>
            </w:r>
          </w:p>
        </w:tc>
        <w:tc>
          <w:tcPr>
            <w:tcW w:w="450" w:type="dxa"/>
            <w:vMerge/>
            <w:tcBorders>
              <w:top w:val="single" w:sz="4" w:space="0" w:color="auto"/>
              <w:left w:val="single" w:sz="4" w:space="0" w:color="auto"/>
              <w:bottom w:val="single" w:sz="4" w:space="0" w:color="auto"/>
              <w:right w:val="single" w:sz="4" w:space="0" w:color="auto"/>
            </w:tcBorders>
            <w:hideMark/>
          </w:tcPr>
          <w:p w14:paraId="5761D17E" w14:textId="77777777" w:rsidR="00A56EE9" w:rsidRDefault="00A56EE9">
            <w:pPr>
              <w:rPr>
                <w:rFonts w:ascii="Arial Narrow" w:hAnsi="Arial Narrow" w:cs="Arial"/>
                <w:b/>
              </w:rPr>
            </w:pPr>
          </w:p>
        </w:tc>
      </w:tr>
      <w:tr w:rsidR="00A56EE9" w14:paraId="5761D186"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80" w14:textId="77777777" w:rsidR="00A56EE9" w:rsidRDefault="00A56EE9">
            <w:pPr>
              <w:pStyle w:val="Tablebulletlist"/>
              <w:rPr>
                <w:b/>
                <w:sz w:val="20"/>
                <w:szCs w:val="20"/>
              </w:rPr>
            </w:pPr>
            <w:r>
              <w:rPr>
                <w:rFonts w:cs="Arial"/>
                <w:b/>
                <w:sz w:val="20"/>
                <w:szCs w:val="20"/>
              </w:rPr>
              <w:t>Fishing</w:t>
            </w:r>
          </w:p>
        </w:tc>
        <w:tc>
          <w:tcPr>
            <w:tcW w:w="3307" w:type="dxa"/>
            <w:tcBorders>
              <w:top w:val="single" w:sz="4" w:space="0" w:color="auto"/>
              <w:left w:val="single" w:sz="4" w:space="0" w:color="auto"/>
              <w:bottom w:val="single" w:sz="4" w:space="0" w:color="auto"/>
              <w:right w:val="single" w:sz="4" w:space="0" w:color="auto"/>
            </w:tcBorders>
            <w:hideMark/>
          </w:tcPr>
          <w:p w14:paraId="5761D181" w14:textId="77777777" w:rsidR="00A56EE9" w:rsidRDefault="00A56EE9">
            <w:pPr>
              <w:pStyle w:val="Tablebulletlist"/>
              <w:rPr>
                <w:b/>
                <w:bCs/>
                <w:i/>
                <w:iCs/>
                <w:sz w:val="20"/>
                <w:szCs w:val="20"/>
              </w:rPr>
            </w:pPr>
            <w:r>
              <w:rPr>
                <w:rFonts w:cs="Arial"/>
                <w:sz w:val="20"/>
                <w:szCs w:val="20"/>
              </w:rPr>
              <w:t>Region-wide but variable in intensity</w:t>
            </w:r>
          </w:p>
        </w:tc>
        <w:tc>
          <w:tcPr>
            <w:tcW w:w="992" w:type="dxa"/>
            <w:tcBorders>
              <w:top w:val="single" w:sz="4" w:space="0" w:color="auto"/>
              <w:left w:val="single" w:sz="4" w:space="0" w:color="auto"/>
              <w:bottom w:val="single" w:sz="4" w:space="0" w:color="auto"/>
              <w:right w:val="single" w:sz="4" w:space="0" w:color="auto"/>
            </w:tcBorders>
            <w:hideMark/>
          </w:tcPr>
          <w:p w14:paraId="5761D182" w14:textId="77777777" w:rsidR="00A56EE9" w:rsidRDefault="00A56EE9">
            <w:pPr>
              <w:pStyle w:val="Tablebulletlist"/>
              <w:rPr>
                <w:b/>
                <w:bCs/>
                <w:i/>
                <w:iCs/>
                <w:sz w:val="20"/>
                <w:szCs w:val="20"/>
              </w:rPr>
            </w:pPr>
            <w:r>
              <w:rPr>
                <w:rFonts w:cs="Arial"/>
                <w:sz w:val="20"/>
                <w:szCs w:val="20"/>
              </w:rPr>
              <w:t>major</w:t>
            </w:r>
          </w:p>
        </w:tc>
        <w:tc>
          <w:tcPr>
            <w:tcW w:w="1276" w:type="dxa"/>
            <w:tcBorders>
              <w:top w:val="single" w:sz="4" w:space="0" w:color="auto"/>
              <w:left w:val="single" w:sz="4" w:space="0" w:color="auto"/>
              <w:bottom w:val="single" w:sz="4" w:space="0" w:color="auto"/>
              <w:right w:val="single" w:sz="4" w:space="0" w:color="auto"/>
            </w:tcBorders>
            <w:hideMark/>
          </w:tcPr>
          <w:p w14:paraId="5761D183" w14:textId="77777777" w:rsidR="00A56EE9" w:rsidRDefault="00A56EE9">
            <w:pPr>
              <w:pStyle w:val="Tablebulletlist"/>
              <w:rPr>
                <w:b/>
                <w:bCs/>
                <w:i/>
                <w:iCs/>
                <w:sz w:val="20"/>
                <w:szCs w:val="20"/>
              </w:rPr>
            </w:pPr>
            <w:r>
              <w:rPr>
                <w:rFonts w:cs="Arial"/>
                <w:sz w:val="20"/>
                <w:szCs w:val="20"/>
              </w:rPr>
              <w:t>major</w:t>
            </w:r>
          </w:p>
        </w:tc>
        <w:tc>
          <w:tcPr>
            <w:tcW w:w="1325" w:type="dxa"/>
            <w:tcBorders>
              <w:top w:val="single" w:sz="4" w:space="0" w:color="auto"/>
              <w:left w:val="single" w:sz="4" w:space="0" w:color="auto"/>
              <w:bottom w:val="single" w:sz="4" w:space="0" w:color="auto"/>
              <w:right w:val="single" w:sz="4" w:space="0" w:color="auto"/>
            </w:tcBorders>
            <w:hideMark/>
          </w:tcPr>
          <w:p w14:paraId="5761D184" w14:textId="77777777" w:rsidR="00A56EE9" w:rsidRDefault="00A56EE9">
            <w:pPr>
              <w:pStyle w:val="Tablebulletlist"/>
              <w:rPr>
                <w:b/>
                <w:bCs/>
                <w:i/>
                <w:iCs/>
                <w:sz w:val="20"/>
                <w:szCs w:val="20"/>
              </w:rPr>
            </w:pPr>
            <w:r>
              <w:rPr>
                <w:rFonts w:cs="Arial"/>
                <w:sz w:val="20"/>
                <w:szCs w:val="20"/>
              </w:rPr>
              <w:t>moderate</w:t>
            </w:r>
          </w:p>
        </w:tc>
        <w:tc>
          <w:tcPr>
            <w:tcW w:w="450" w:type="dxa"/>
            <w:vMerge/>
            <w:tcBorders>
              <w:top w:val="single" w:sz="4" w:space="0" w:color="auto"/>
              <w:left w:val="single" w:sz="4" w:space="0" w:color="auto"/>
              <w:bottom w:val="single" w:sz="4" w:space="0" w:color="auto"/>
              <w:right w:val="single" w:sz="4" w:space="0" w:color="auto"/>
            </w:tcBorders>
            <w:hideMark/>
          </w:tcPr>
          <w:p w14:paraId="5761D185" w14:textId="77777777" w:rsidR="00A56EE9" w:rsidRDefault="00A56EE9">
            <w:pPr>
              <w:rPr>
                <w:rFonts w:ascii="Arial Narrow" w:hAnsi="Arial Narrow" w:cs="Arial"/>
                <w:b/>
              </w:rPr>
            </w:pPr>
          </w:p>
        </w:tc>
      </w:tr>
      <w:tr w:rsidR="00A56EE9" w14:paraId="5761D18E" w14:textId="77777777" w:rsidTr="00BB6AD5">
        <w:trPr>
          <w:tblHeader/>
        </w:trPr>
        <w:tc>
          <w:tcPr>
            <w:tcW w:w="1938" w:type="dxa"/>
            <w:tcBorders>
              <w:top w:val="single" w:sz="4" w:space="0" w:color="auto"/>
              <w:left w:val="single" w:sz="4" w:space="0" w:color="auto"/>
              <w:bottom w:val="single" w:sz="4" w:space="0" w:color="auto"/>
              <w:right w:val="single" w:sz="4" w:space="0" w:color="auto"/>
            </w:tcBorders>
          </w:tcPr>
          <w:p w14:paraId="5761D187" w14:textId="77777777" w:rsidR="00A56EE9" w:rsidRDefault="00A56EE9">
            <w:pPr>
              <w:pStyle w:val="Tablebulletlist"/>
              <w:rPr>
                <w:rFonts w:cs="Arial"/>
                <w:b/>
                <w:sz w:val="20"/>
                <w:szCs w:val="20"/>
              </w:rPr>
            </w:pPr>
            <w:r>
              <w:rPr>
                <w:rFonts w:cs="Arial"/>
                <w:b/>
                <w:sz w:val="20"/>
                <w:szCs w:val="20"/>
              </w:rPr>
              <w:t>Heritage values</w:t>
            </w:r>
          </w:p>
          <w:p w14:paraId="5761D188" w14:textId="77777777" w:rsidR="00A56EE9" w:rsidRDefault="00A56EE9">
            <w:pPr>
              <w:pStyle w:val="Tablebulletlist"/>
              <w:rPr>
                <w:b/>
                <w:sz w:val="20"/>
                <w:szCs w:val="20"/>
              </w:rPr>
            </w:pPr>
          </w:p>
        </w:tc>
        <w:tc>
          <w:tcPr>
            <w:tcW w:w="3307" w:type="dxa"/>
            <w:tcBorders>
              <w:top w:val="single" w:sz="4" w:space="0" w:color="auto"/>
              <w:left w:val="single" w:sz="4" w:space="0" w:color="auto"/>
              <w:bottom w:val="single" w:sz="4" w:space="0" w:color="auto"/>
              <w:right w:val="single" w:sz="4" w:space="0" w:color="auto"/>
            </w:tcBorders>
            <w:hideMark/>
          </w:tcPr>
          <w:p w14:paraId="5761D189" w14:textId="77777777" w:rsidR="00A56EE9" w:rsidRDefault="00A56EE9">
            <w:pPr>
              <w:pStyle w:val="Tablebulletlist"/>
              <w:rPr>
                <w:b/>
                <w:bCs/>
                <w:i/>
                <w:iCs/>
                <w:sz w:val="20"/>
                <w:szCs w:val="20"/>
              </w:rPr>
            </w:pPr>
            <w:r>
              <w:rPr>
                <w:rFonts w:cs="Arial"/>
                <w:sz w:val="20"/>
                <w:szCs w:val="20"/>
              </w:rPr>
              <w:t>Region-wide</w:t>
            </w:r>
          </w:p>
        </w:tc>
        <w:tc>
          <w:tcPr>
            <w:tcW w:w="992" w:type="dxa"/>
            <w:tcBorders>
              <w:top w:val="single" w:sz="4" w:space="0" w:color="auto"/>
              <w:left w:val="single" w:sz="4" w:space="0" w:color="auto"/>
              <w:bottom w:val="single" w:sz="4" w:space="0" w:color="auto"/>
              <w:right w:val="single" w:sz="4" w:space="0" w:color="auto"/>
            </w:tcBorders>
            <w:hideMark/>
          </w:tcPr>
          <w:p w14:paraId="5761D18A" w14:textId="77777777" w:rsidR="00A56EE9" w:rsidRDefault="00A56EE9">
            <w:pPr>
              <w:pStyle w:val="Tablebulletlist"/>
              <w:rPr>
                <w:b/>
                <w:bCs/>
                <w:i/>
                <w:iCs/>
                <w:sz w:val="20"/>
                <w:szCs w:val="20"/>
              </w:rPr>
            </w:pPr>
            <w:r>
              <w:rPr>
                <w:rFonts w:cs="Arial"/>
                <w:sz w:val="20"/>
                <w:szCs w:val="20"/>
              </w:rPr>
              <w:t>major</w:t>
            </w:r>
          </w:p>
        </w:tc>
        <w:tc>
          <w:tcPr>
            <w:tcW w:w="1276" w:type="dxa"/>
            <w:tcBorders>
              <w:top w:val="single" w:sz="4" w:space="0" w:color="auto"/>
              <w:left w:val="single" w:sz="4" w:space="0" w:color="auto"/>
              <w:bottom w:val="single" w:sz="4" w:space="0" w:color="auto"/>
              <w:right w:val="single" w:sz="4" w:space="0" w:color="auto"/>
            </w:tcBorders>
            <w:hideMark/>
          </w:tcPr>
          <w:p w14:paraId="5761D18B" w14:textId="77777777" w:rsidR="00A56EE9" w:rsidRDefault="00A56EE9">
            <w:pPr>
              <w:pStyle w:val="Tablebulletlist"/>
              <w:rPr>
                <w:b/>
                <w:bCs/>
                <w:i/>
                <w:iCs/>
                <w:sz w:val="20"/>
                <w:szCs w:val="20"/>
              </w:rPr>
            </w:pPr>
            <w:r>
              <w:rPr>
                <w:rFonts w:cs="Arial"/>
                <w:sz w:val="20"/>
                <w:szCs w:val="20"/>
              </w:rPr>
              <w:t>moderate</w:t>
            </w:r>
          </w:p>
        </w:tc>
        <w:tc>
          <w:tcPr>
            <w:tcW w:w="1325" w:type="dxa"/>
            <w:tcBorders>
              <w:top w:val="single" w:sz="4" w:space="0" w:color="auto"/>
              <w:left w:val="single" w:sz="4" w:space="0" w:color="auto"/>
              <w:bottom w:val="single" w:sz="4" w:space="0" w:color="auto"/>
              <w:right w:val="single" w:sz="4" w:space="0" w:color="auto"/>
            </w:tcBorders>
            <w:hideMark/>
          </w:tcPr>
          <w:p w14:paraId="5761D18C" w14:textId="77777777" w:rsidR="00A56EE9" w:rsidRDefault="00A56EE9">
            <w:pPr>
              <w:pStyle w:val="Tablebulletlist"/>
              <w:rPr>
                <w:b/>
                <w:bCs/>
                <w:i/>
                <w:iCs/>
                <w:sz w:val="20"/>
                <w:szCs w:val="20"/>
              </w:rPr>
            </w:pPr>
            <w:r>
              <w:rPr>
                <w:rFonts w:cs="Arial"/>
                <w:sz w:val="20"/>
                <w:szCs w:val="20"/>
              </w:rPr>
              <w:t>moderate</w:t>
            </w:r>
          </w:p>
        </w:tc>
        <w:tc>
          <w:tcPr>
            <w:tcW w:w="450" w:type="dxa"/>
            <w:vMerge/>
            <w:tcBorders>
              <w:top w:val="single" w:sz="4" w:space="0" w:color="auto"/>
              <w:left w:val="single" w:sz="4" w:space="0" w:color="auto"/>
              <w:bottom w:val="single" w:sz="4" w:space="0" w:color="auto"/>
              <w:right w:val="single" w:sz="4" w:space="0" w:color="auto"/>
            </w:tcBorders>
            <w:hideMark/>
          </w:tcPr>
          <w:p w14:paraId="5761D18D" w14:textId="77777777" w:rsidR="00A56EE9" w:rsidRDefault="00A56EE9">
            <w:pPr>
              <w:rPr>
                <w:rFonts w:ascii="Arial Narrow" w:hAnsi="Arial Narrow" w:cs="Arial"/>
                <w:b/>
              </w:rPr>
            </w:pPr>
          </w:p>
        </w:tc>
      </w:tr>
      <w:tr w:rsidR="00A56EE9" w14:paraId="5761D195"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8F" w14:textId="77777777" w:rsidR="00A56EE9" w:rsidRDefault="00A56EE9">
            <w:pPr>
              <w:pStyle w:val="Tablebulletlist"/>
              <w:rPr>
                <w:b/>
                <w:sz w:val="20"/>
                <w:szCs w:val="20"/>
              </w:rPr>
            </w:pPr>
            <w:r>
              <w:rPr>
                <w:rFonts w:cs="Arial"/>
                <w:b/>
                <w:sz w:val="20"/>
                <w:szCs w:val="20"/>
              </w:rPr>
              <w:t>Commercial Tourism</w:t>
            </w:r>
          </w:p>
        </w:tc>
        <w:tc>
          <w:tcPr>
            <w:tcW w:w="3307" w:type="dxa"/>
            <w:tcBorders>
              <w:top w:val="single" w:sz="4" w:space="0" w:color="auto"/>
              <w:left w:val="single" w:sz="4" w:space="0" w:color="auto"/>
              <w:bottom w:val="single" w:sz="4" w:space="0" w:color="auto"/>
              <w:right w:val="single" w:sz="4" w:space="0" w:color="auto"/>
            </w:tcBorders>
            <w:hideMark/>
          </w:tcPr>
          <w:p w14:paraId="5761D190" w14:textId="77777777" w:rsidR="00A56EE9" w:rsidRDefault="00A56EE9">
            <w:pPr>
              <w:pStyle w:val="Tablebulletlist"/>
              <w:rPr>
                <w:b/>
                <w:bCs/>
                <w:i/>
                <w:iCs/>
                <w:sz w:val="20"/>
                <w:szCs w:val="20"/>
              </w:rPr>
            </w:pPr>
            <w:r>
              <w:rPr>
                <w:rFonts w:cs="Arial"/>
                <w:sz w:val="20"/>
                <w:szCs w:val="20"/>
              </w:rPr>
              <w:t>Region-wide but variable in intensity</w:t>
            </w:r>
          </w:p>
        </w:tc>
        <w:tc>
          <w:tcPr>
            <w:tcW w:w="992" w:type="dxa"/>
            <w:tcBorders>
              <w:top w:val="single" w:sz="4" w:space="0" w:color="auto"/>
              <w:left w:val="single" w:sz="4" w:space="0" w:color="auto"/>
              <w:bottom w:val="single" w:sz="4" w:space="0" w:color="auto"/>
              <w:right w:val="single" w:sz="4" w:space="0" w:color="auto"/>
            </w:tcBorders>
            <w:hideMark/>
          </w:tcPr>
          <w:p w14:paraId="5761D191" w14:textId="77777777" w:rsidR="00A56EE9" w:rsidRDefault="00A56EE9">
            <w:pPr>
              <w:pStyle w:val="Tablebulletlist"/>
              <w:rPr>
                <w:b/>
                <w:bCs/>
                <w:i/>
                <w:iCs/>
                <w:sz w:val="20"/>
                <w:szCs w:val="20"/>
              </w:rPr>
            </w:pPr>
            <w:r>
              <w:rPr>
                <w:rFonts w:cs="Arial"/>
                <w:sz w:val="20"/>
                <w:szCs w:val="20"/>
              </w:rPr>
              <w:t>major</w:t>
            </w:r>
          </w:p>
        </w:tc>
        <w:tc>
          <w:tcPr>
            <w:tcW w:w="1276" w:type="dxa"/>
            <w:tcBorders>
              <w:top w:val="single" w:sz="4" w:space="0" w:color="auto"/>
              <w:left w:val="single" w:sz="4" w:space="0" w:color="auto"/>
              <w:bottom w:val="single" w:sz="4" w:space="0" w:color="auto"/>
              <w:right w:val="single" w:sz="4" w:space="0" w:color="auto"/>
            </w:tcBorders>
            <w:hideMark/>
          </w:tcPr>
          <w:p w14:paraId="5761D192" w14:textId="77777777" w:rsidR="00A56EE9" w:rsidRDefault="00A56EE9">
            <w:pPr>
              <w:pStyle w:val="Tablebulletlist"/>
              <w:rPr>
                <w:b/>
                <w:bCs/>
                <w:i/>
                <w:iCs/>
                <w:sz w:val="20"/>
                <w:szCs w:val="20"/>
              </w:rPr>
            </w:pPr>
            <w:r>
              <w:rPr>
                <w:rFonts w:cs="Arial"/>
                <w:sz w:val="20"/>
                <w:szCs w:val="20"/>
              </w:rPr>
              <w:t>moderate</w:t>
            </w:r>
          </w:p>
        </w:tc>
        <w:tc>
          <w:tcPr>
            <w:tcW w:w="1325" w:type="dxa"/>
            <w:tcBorders>
              <w:top w:val="single" w:sz="4" w:space="0" w:color="auto"/>
              <w:left w:val="single" w:sz="4" w:space="0" w:color="auto"/>
              <w:bottom w:val="single" w:sz="4" w:space="0" w:color="auto"/>
              <w:right w:val="single" w:sz="4" w:space="0" w:color="auto"/>
            </w:tcBorders>
            <w:hideMark/>
          </w:tcPr>
          <w:p w14:paraId="5761D193" w14:textId="77777777" w:rsidR="00A56EE9" w:rsidRDefault="00A56EE9">
            <w:pPr>
              <w:pStyle w:val="Tablebulletlist"/>
              <w:rPr>
                <w:b/>
                <w:bCs/>
                <w:i/>
                <w:iCs/>
                <w:sz w:val="20"/>
                <w:szCs w:val="20"/>
              </w:rPr>
            </w:pPr>
            <w:r>
              <w:rPr>
                <w:rFonts w:cs="Arial"/>
                <w:sz w:val="20"/>
                <w:szCs w:val="20"/>
              </w:rPr>
              <w:t>moderate</w:t>
            </w:r>
          </w:p>
        </w:tc>
        <w:tc>
          <w:tcPr>
            <w:tcW w:w="450" w:type="dxa"/>
            <w:vMerge/>
            <w:tcBorders>
              <w:top w:val="single" w:sz="4" w:space="0" w:color="auto"/>
              <w:left w:val="single" w:sz="4" w:space="0" w:color="auto"/>
              <w:bottom w:val="single" w:sz="4" w:space="0" w:color="auto"/>
              <w:right w:val="single" w:sz="4" w:space="0" w:color="auto"/>
            </w:tcBorders>
            <w:hideMark/>
          </w:tcPr>
          <w:p w14:paraId="5761D194" w14:textId="77777777" w:rsidR="00A56EE9" w:rsidRDefault="00A56EE9">
            <w:pPr>
              <w:rPr>
                <w:rFonts w:ascii="Arial Narrow" w:hAnsi="Arial Narrow" w:cs="Arial"/>
                <w:b/>
              </w:rPr>
            </w:pPr>
          </w:p>
        </w:tc>
      </w:tr>
      <w:tr w:rsidR="00A56EE9" w14:paraId="5761D19C"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96" w14:textId="77777777" w:rsidR="00A56EE9" w:rsidRDefault="00A56EE9">
            <w:pPr>
              <w:pStyle w:val="Tablebulletlist"/>
              <w:rPr>
                <w:b/>
                <w:sz w:val="20"/>
                <w:szCs w:val="20"/>
              </w:rPr>
            </w:pPr>
            <w:r>
              <w:rPr>
                <w:rFonts w:cs="Arial"/>
                <w:b/>
                <w:sz w:val="20"/>
                <w:szCs w:val="20"/>
              </w:rPr>
              <w:t>Recreation (non-extractive)</w:t>
            </w:r>
          </w:p>
        </w:tc>
        <w:tc>
          <w:tcPr>
            <w:tcW w:w="3307" w:type="dxa"/>
            <w:tcBorders>
              <w:top w:val="single" w:sz="4" w:space="0" w:color="auto"/>
              <w:left w:val="single" w:sz="4" w:space="0" w:color="auto"/>
              <w:bottom w:val="single" w:sz="4" w:space="0" w:color="auto"/>
              <w:right w:val="single" w:sz="4" w:space="0" w:color="auto"/>
            </w:tcBorders>
            <w:hideMark/>
          </w:tcPr>
          <w:p w14:paraId="5761D197" w14:textId="77777777" w:rsidR="00A56EE9" w:rsidRDefault="00A56EE9">
            <w:pPr>
              <w:pStyle w:val="Tablebulletlist"/>
              <w:rPr>
                <w:b/>
                <w:bCs/>
                <w:i/>
                <w:iCs/>
                <w:sz w:val="20"/>
                <w:szCs w:val="20"/>
              </w:rPr>
            </w:pPr>
            <w:r>
              <w:rPr>
                <w:rFonts w:cs="Arial"/>
                <w:sz w:val="20"/>
                <w:szCs w:val="20"/>
              </w:rPr>
              <w:t>Region-wide but variable in intensity</w:t>
            </w:r>
          </w:p>
        </w:tc>
        <w:tc>
          <w:tcPr>
            <w:tcW w:w="992" w:type="dxa"/>
            <w:tcBorders>
              <w:top w:val="single" w:sz="4" w:space="0" w:color="auto"/>
              <w:left w:val="single" w:sz="4" w:space="0" w:color="auto"/>
              <w:bottom w:val="single" w:sz="4" w:space="0" w:color="auto"/>
              <w:right w:val="single" w:sz="4" w:space="0" w:color="auto"/>
            </w:tcBorders>
            <w:hideMark/>
          </w:tcPr>
          <w:p w14:paraId="5761D198" w14:textId="77777777" w:rsidR="00A56EE9" w:rsidRDefault="00A56EE9">
            <w:pPr>
              <w:pStyle w:val="Tablebulletlist"/>
              <w:rPr>
                <w:b/>
                <w:bCs/>
                <w:i/>
                <w:iCs/>
                <w:sz w:val="20"/>
                <w:szCs w:val="20"/>
              </w:rPr>
            </w:pPr>
            <w:r>
              <w:rPr>
                <w:rFonts w:cs="Arial"/>
                <w:sz w:val="20"/>
                <w:szCs w:val="20"/>
              </w:rPr>
              <w:t>major</w:t>
            </w:r>
          </w:p>
        </w:tc>
        <w:tc>
          <w:tcPr>
            <w:tcW w:w="1276" w:type="dxa"/>
            <w:tcBorders>
              <w:top w:val="single" w:sz="4" w:space="0" w:color="auto"/>
              <w:left w:val="single" w:sz="4" w:space="0" w:color="auto"/>
              <w:bottom w:val="single" w:sz="4" w:space="0" w:color="auto"/>
              <w:right w:val="single" w:sz="4" w:space="0" w:color="auto"/>
            </w:tcBorders>
            <w:hideMark/>
          </w:tcPr>
          <w:p w14:paraId="5761D199" w14:textId="77777777" w:rsidR="00A56EE9" w:rsidRDefault="00A56EE9">
            <w:pPr>
              <w:pStyle w:val="Tablebulletlist"/>
              <w:rPr>
                <w:b/>
                <w:bCs/>
                <w:i/>
                <w:iCs/>
                <w:sz w:val="20"/>
                <w:szCs w:val="20"/>
              </w:rPr>
            </w:pPr>
            <w:r>
              <w:rPr>
                <w:rFonts w:cs="Arial"/>
                <w:sz w:val="20"/>
                <w:szCs w:val="20"/>
              </w:rPr>
              <w:t>moderate</w:t>
            </w:r>
          </w:p>
        </w:tc>
        <w:tc>
          <w:tcPr>
            <w:tcW w:w="1325" w:type="dxa"/>
            <w:tcBorders>
              <w:top w:val="single" w:sz="4" w:space="0" w:color="auto"/>
              <w:left w:val="single" w:sz="4" w:space="0" w:color="auto"/>
              <w:bottom w:val="single" w:sz="4" w:space="0" w:color="auto"/>
              <w:right w:val="single" w:sz="4" w:space="0" w:color="auto"/>
            </w:tcBorders>
            <w:hideMark/>
          </w:tcPr>
          <w:p w14:paraId="5761D19A" w14:textId="77777777" w:rsidR="00A56EE9" w:rsidRDefault="00A56EE9">
            <w:pPr>
              <w:pStyle w:val="Tablebulletlist"/>
              <w:rPr>
                <w:b/>
                <w:bCs/>
                <w:i/>
                <w:iCs/>
                <w:sz w:val="20"/>
                <w:szCs w:val="20"/>
              </w:rPr>
            </w:pPr>
            <w:r>
              <w:rPr>
                <w:rFonts w:cs="Arial"/>
                <w:sz w:val="20"/>
                <w:szCs w:val="20"/>
              </w:rPr>
              <w:t>moderate</w:t>
            </w:r>
          </w:p>
        </w:tc>
        <w:tc>
          <w:tcPr>
            <w:tcW w:w="450" w:type="dxa"/>
            <w:vMerge/>
            <w:tcBorders>
              <w:top w:val="single" w:sz="4" w:space="0" w:color="auto"/>
              <w:left w:val="single" w:sz="4" w:space="0" w:color="auto"/>
              <w:bottom w:val="single" w:sz="4" w:space="0" w:color="auto"/>
              <w:right w:val="single" w:sz="4" w:space="0" w:color="auto"/>
            </w:tcBorders>
            <w:hideMark/>
          </w:tcPr>
          <w:p w14:paraId="5761D19B" w14:textId="77777777" w:rsidR="00A56EE9" w:rsidRDefault="00A56EE9">
            <w:pPr>
              <w:rPr>
                <w:rFonts w:ascii="Arial Narrow" w:hAnsi="Arial Narrow" w:cs="Arial"/>
                <w:b/>
              </w:rPr>
            </w:pPr>
          </w:p>
        </w:tc>
      </w:tr>
      <w:tr w:rsidR="00A56EE9" w14:paraId="5761D1A3"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9D" w14:textId="77777777" w:rsidR="00A56EE9" w:rsidRDefault="00A56EE9">
            <w:pPr>
              <w:pStyle w:val="Tablebulletlist"/>
              <w:rPr>
                <w:b/>
                <w:sz w:val="20"/>
                <w:szCs w:val="20"/>
              </w:rPr>
            </w:pPr>
            <w:r>
              <w:rPr>
                <w:rFonts w:cs="Arial"/>
                <w:b/>
                <w:sz w:val="20"/>
                <w:szCs w:val="20"/>
              </w:rPr>
              <w:t>Traditional use of marine resources</w:t>
            </w:r>
          </w:p>
        </w:tc>
        <w:tc>
          <w:tcPr>
            <w:tcW w:w="3307" w:type="dxa"/>
            <w:tcBorders>
              <w:top w:val="single" w:sz="4" w:space="0" w:color="auto"/>
              <w:left w:val="single" w:sz="4" w:space="0" w:color="auto"/>
              <w:bottom w:val="single" w:sz="4" w:space="0" w:color="auto"/>
              <w:right w:val="single" w:sz="4" w:space="0" w:color="auto"/>
            </w:tcBorders>
            <w:hideMark/>
          </w:tcPr>
          <w:p w14:paraId="5761D19E" w14:textId="77777777" w:rsidR="00A56EE9" w:rsidRDefault="00A56EE9">
            <w:pPr>
              <w:pStyle w:val="Tablebulletlist"/>
              <w:rPr>
                <w:sz w:val="20"/>
                <w:szCs w:val="20"/>
              </w:rPr>
            </w:pPr>
            <w:r>
              <w:rPr>
                <w:rFonts w:cs="Arial"/>
                <w:sz w:val="20"/>
                <w:szCs w:val="20"/>
              </w:rPr>
              <w:t>Region-wide but variable in intensity</w:t>
            </w:r>
          </w:p>
        </w:tc>
        <w:tc>
          <w:tcPr>
            <w:tcW w:w="992" w:type="dxa"/>
            <w:tcBorders>
              <w:top w:val="single" w:sz="4" w:space="0" w:color="auto"/>
              <w:left w:val="single" w:sz="4" w:space="0" w:color="auto"/>
              <w:bottom w:val="single" w:sz="4" w:space="0" w:color="auto"/>
              <w:right w:val="single" w:sz="4" w:space="0" w:color="auto"/>
            </w:tcBorders>
            <w:hideMark/>
          </w:tcPr>
          <w:p w14:paraId="5761D19F" w14:textId="77777777" w:rsidR="00A56EE9" w:rsidRDefault="00A56EE9">
            <w:pPr>
              <w:pStyle w:val="Tablebulletlist"/>
              <w:rPr>
                <w:sz w:val="20"/>
                <w:szCs w:val="20"/>
              </w:rPr>
            </w:pPr>
            <w:r>
              <w:rPr>
                <w:rFonts w:cs="Arial"/>
                <w:sz w:val="20"/>
                <w:szCs w:val="20"/>
              </w:rPr>
              <w:t>major</w:t>
            </w:r>
          </w:p>
        </w:tc>
        <w:tc>
          <w:tcPr>
            <w:tcW w:w="1276" w:type="dxa"/>
            <w:tcBorders>
              <w:top w:val="single" w:sz="4" w:space="0" w:color="auto"/>
              <w:left w:val="single" w:sz="4" w:space="0" w:color="auto"/>
              <w:bottom w:val="single" w:sz="4" w:space="0" w:color="auto"/>
              <w:right w:val="single" w:sz="4" w:space="0" w:color="auto"/>
            </w:tcBorders>
            <w:hideMark/>
          </w:tcPr>
          <w:p w14:paraId="5761D1A0" w14:textId="77777777" w:rsidR="00A56EE9" w:rsidRDefault="00A56EE9">
            <w:pPr>
              <w:pStyle w:val="Tablebulletlist"/>
              <w:rPr>
                <w:sz w:val="20"/>
                <w:szCs w:val="20"/>
              </w:rPr>
            </w:pPr>
            <w:r>
              <w:rPr>
                <w:rFonts w:cs="Arial"/>
                <w:sz w:val="20"/>
                <w:szCs w:val="20"/>
              </w:rPr>
              <w:t>moderate</w:t>
            </w:r>
          </w:p>
        </w:tc>
        <w:tc>
          <w:tcPr>
            <w:tcW w:w="1325" w:type="dxa"/>
            <w:tcBorders>
              <w:top w:val="single" w:sz="4" w:space="0" w:color="auto"/>
              <w:left w:val="single" w:sz="4" w:space="0" w:color="auto"/>
              <w:bottom w:val="single" w:sz="4" w:space="0" w:color="auto"/>
              <w:right w:val="single" w:sz="4" w:space="0" w:color="auto"/>
            </w:tcBorders>
            <w:hideMark/>
          </w:tcPr>
          <w:p w14:paraId="5761D1A1" w14:textId="77777777" w:rsidR="00A56EE9" w:rsidRDefault="00A56EE9">
            <w:pPr>
              <w:pStyle w:val="Tablebulletlist"/>
              <w:rPr>
                <w:sz w:val="20"/>
                <w:szCs w:val="20"/>
              </w:rPr>
            </w:pPr>
            <w:r>
              <w:rPr>
                <w:rFonts w:cs="Arial"/>
                <w:sz w:val="20"/>
                <w:szCs w:val="20"/>
              </w:rPr>
              <w:t>moderate</w:t>
            </w:r>
          </w:p>
        </w:tc>
        <w:tc>
          <w:tcPr>
            <w:tcW w:w="450" w:type="dxa"/>
            <w:vMerge/>
            <w:tcBorders>
              <w:top w:val="single" w:sz="4" w:space="0" w:color="auto"/>
              <w:left w:val="single" w:sz="4" w:space="0" w:color="auto"/>
              <w:bottom w:val="single" w:sz="4" w:space="0" w:color="auto"/>
              <w:right w:val="single" w:sz="4" w:space="0" w:color="auto"/>
            </w:tcBorders>
            <w:hideMark/>
          </w:tcPr>
          <w:p w14:paraId="5761D1A2" w14:textId="77777777" w:rsidR="00A56EE9" w:rsidRDefault="00A56EE9">
            <w:pPr>
              <w:rPr>
                <w:rFonts w:ascii="Arial Narrow" w:hAnsi="Arial Narrow" w:cs="Arial"/>
                <w:b/>
              </w:rPr>
            </w:pPr>
          </w:p>
        </w:tc>
      </w:tr>
      <w:tr w:rsidR="00A56EE9" w14:paraId="5761D1AA"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A4" w14:textId="77777777" w:rsidR="00A56EE9" w:rsidRDefault="00A56EE9">
            <w:pPr>
              <w:pStyle w:val="Tablebulletlist"/>
              <w:rPr>
                <w:b/>
                <w:sz w:val="20"/>
                <w:szCs w:val="20"/>
              </w:rPr>
            </w:pPr>
            <w:r>
              <w:rPr>
                <w:rFonts w:cs="Arial"/>
                <w:b/>
                <w:sz w:val="20"/>
                <w:szCs w:val="20"/>
              </w:rPr>
              <w:t>Biodiversity values</w:t>
            </w:r>
          </w:p>
        </w:tc>
        <w:tc>
          <w:tcPr>
            <w:tcW w:w="3307" w:type="dxa"/>
            <w:tcBorders>
              <w:top w:val="single" w:sz="4" w:space="0" w:color="auto"/>
              <w:left w:val="single" w:sz="4" w:space="0" w:color="auto"/>
              <w:bottom w:val="single" w:sz="4" w:space="0" w:color="auto"/>
              <w:right w:val="single" w:sz="4" w:space="0" w:color="auto"/>
            </w:tcBorders>
            <w:hideMark/>
          </w:tcPr>
          <w:p w14:paraId="5761D1A5" w14:textId="77777777" w:rsidR="00A56EE9" w:rsidRDefault="00A56EE9">
            <w:pPr>
              <w:pStyle w:val="Tablebulletlist"/>
              <w:rPr>
                <w:b/>
                <w:bCs/>
                <w:i/>
                <w:iCs/>
                <w:sz w:val="20"/>
                <w:szCs w:val="20"/>
              </w:rPr>
            </w:pPr>
            <w:r>
              <w:rPr>
                <w:rFonts w:cs="Arial"/>
                <w:sz w:val="20"/>
                <w:szCs w:val="20"/>
              </w:rPr>
              <w:t>Region-wide</w:t>
            </w:r>
          </w:p>
        </w:tc>
        <w:tc>
          <w:tcPr>
            <w:tcW w:w="992" w:type="dxa"/>
            <w:tcBorders>
              <w:top w:val="single" w:sz="4" w:space="0" w:color="auto"/>
              <w:left w:val="single" w:sz="4" w:space="0" w:color="auto"/>
              <w:bottom w:val="single" w:sz="4" w:space="0" w:color="auto"/>
              <w:right w:val="single" w:sz="4" w:space="0" w:color="auto"/>
            </w:tcBorders>
            <w:hideMark/>
          </w:tcPr>
          <w:p w14:paraId="5761D1A6" w14:textId="77777777" w:rsidR="00A56EE9" w:rsidRDefault="00A56EE9">
            <w:pPr>
              <w:pStyle w:val="Tablebulletlist"/>
              <w:rPr>
                <w:sz w:val="20"/>
                <w:szCs w:val="20"/>
              </w:rPr>
            </w:pPr>
            <w:r>
              <w:rPr>
                <w:rFonts w:cs="Arial"/>
                <w:bCs/>
                <w:sz w:val="20"/>
                <w:szCs w:val="20"/>
              </w:rPr>
              <w:t>minor</w:t>
            </w:r>
          </w:p>
        </w:tc>
        <w:tc>
          <w:tcPr>
            <w:tcW w:w="1276" w:type="dxa"/>
            <w:tcBorders>
              <w:top w:val="single" w:sz="4" w:space="0" w:color="auto"/>
              <w:left w:val="single" w:sz="4" w:space="0" w:color="auto"/>
              <w:bottom w:val="single" w:sz="4" w:space="0" w:color="auto"/>
              <w:right w:val="single" w:sz="4" w:space="0" w:color="auto"/>
            </w:tcBorders>
            <w:hideMark/>
          </w:tcPr>
          <w:p w14:paraId="5761D1A7" w14:textId="77777777" w:rsidR="00A56EE9" w:rsidRDefault="00A56EE9">
            <w:pPr>
              <w:pStyle w:val="Tablebulletlist"/>
              <w:rPr>
                <w:b/>
                <w:bCs/>
                <w:i/>
                <w:iCs/>
                <w:sz w:val="20"/>
                <w:szCs w:val="20"/>
              </w:rPr>
            </w:pPr>
            <w:r>
              <w:rPr>
                <w:rFonts w:cs="Arial"/>
                <w:bCs/>
                <w:sz w:val="20"/>
                <w:szCs w:val="20"/>
              </w:rPr>
              <w:t>major</w:t>
            </w:r>
          </w:p>
        </w:tc>
        <w:tc>
          <w:tcPr>
            <w:tcW w:w="1325" w:type="dxa"/>
            <w:tcBorders>
              <w:top w:val="single" w:sz="4" w:space="0" w:color="auto"/>
              <w:left w:val="single" w:sz="4" w:space="0" w:color="auto"/>
              <w:bottom w:val="single" w:sz="4" w:space="0" w:color="auto"/>
              <w:right w:val="single" w:sz="4" w:space="0" w:color="auto"/>
            </w:tcBorders>
            <w:hideMark/>
          </w:tcPr>
          <w:p w14:paraId="5761D1A8" w14:textId="77777777" w:rsidR="00A56EE9" w:rsidRDefault="00A56EE9">
            <w:pPr>
              <w:pStyle w:val="Tablebulletlist"/>
              <w:rPr>
                <w:b/>
                <w:bCs/>
                <w:i/>
                <w:iCs/>
                <w:sz w:val="20"/>
                <w:szCs w:val="20"/>
              </w:rPr>
            </w:pPr>
            <w:r>
              <w:rPr>
                <w:rFonts w:cs="Arial"/>
                <w:bCs/>
                <w:sz w:val="20"/>
                <w:szCs w:val="20"/>
              </w:rPr>
              <w:t>moderate</w:t>
            </w:r>
          </w:p>
        </w:tc>
        <w:tc>
          <w:tcPr>
            <w:tcW w:w="450" w:type="dxa"/>
            <w:vMerge/>
            <w:tcBorders>
              <w:top w:val="single" w:sz="4" w:space="0" w:color="auto"/>
              <w:left w:val="single" w:sz="4" w:space="0" w:color="auto"/>
              <w:bottom w:val="single" w:sz="4" w:space="0" w:color="auto"/>
              <w:right w:val="single" w:sz="4" w:space="0" w:color="auto"/>
            </w:tcBorders>
            <w:hideMark/>
          </w:tcPr>
          <w:p w14:paraId="5761D1A9" w14:textId="77777777" w:rsidR="00A56EE9" w:rsidRDefault="00A56EE9">
            <w:pPr>
              <w:rPr>
                <w:rFonts w:ascii="Arial Narrow" w:hAnsi="Arial Narrow" w:cs="Arial"/>
                <w:b/>
              </w:rPr>
            </w:pPr>
          </w:p>
        </w:tc>
      </w:tr>
      <w:tr w:rsidR="00A56EE9" w14:paraId="5761D1B1"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AB" w14:textId="77777777" w:rsidR="00A56EE9" w:rsidRDefault="00A56EE9">
            <w:pPr>
              <w:pStyle w:val="Tablebulletlist"/>
              <w:rPr>
                <w:b/>
                <w:sz w:val="20"/>
                <w:szCs w:val="20"/>
              </w:rPr>
            </w:pPr>
            <w:r>
              <w:rPr>
                <w:rFonts w:cs="Arial"/>
                <w:b/>
                <w:sz w:val="20"/>
                <w:szCs w:val="20"/>
              </w:rPr>
              <w:t>Community benefits of the environment</w:t>
            </w:r>
          </w:p>
        </w:tc>
        <w:tc>
          <w:tcPr>
            <w:tcW w:w="3307" w:type="dxa"/>
            <w:tcBorders>
              <w:top w:val="single" w:sz="4" w:space="0" w:color="auto"/>
              <w:left w:val="single" w:sz="4" w:space="0" w:color="auto"/>
              <w:bottom w:val="single" w:sz="4" w:space="0" w:color="auto"/>
              <w:right w:val="single" w:sz="4" w:space="0" w:color="auto"/>
            </w:tcBorders>
            <w:hideMark/>
          </w:tcPr>
          <w:p w14:paraId="5761D1AC" w14:textId="77777777" w:rsidR="00A56EE9" w:rsidRDefault="00A56EE9">
            <w:pPr>
              <w:pStyle w:val="Tablebulletlist"/>
              <w:rPr>
                <w:b/>
                <w:bCs/>
                <w:i/>
                <w:iCs/>
                <w:sz w:val="20"/>
                <w:szCs w:val="20"/>
              </w:rPr>
            </w:pPr>
            <w:r>
              <w:rPr>
                <w:rFonts w:cs="Arial"/>
                <w:sz w:val="20"/>
                <w:szCs w:val="20"/>
              </w:rPr>
              <w:t>Region-wide</w:t>
            </w:r>
          </w:p>
        </w:tc>
        <w:tc>
          <w:tcPr>
            <w:tcW w:w="992" w:type="dxa"/>
            <w:tcBorders>
              <w:top w:val="single" w:sz="4" w:space="0" w:color="auto"/>
              <w:left w:val="single" w:sz="4" w:space="0" w:color="auto"/>
              <w:bottom w:val="single" w:sz="4" w:space="0" w:color="auto"/>
              <w:right w:val="single" w:sz="4" w:space="0" w:color="auto"/>
            </w:tcBorders>
            <w:hideMark/>
          </w:tcPr>
          <w:p w14:paraId="5761D1AD" w14:textId="77777777" w:rsidR="00A56EE9" w:rsidRDefault="00A56EE9">
            <w:pPr>
              <w:pStyle w:val="Tablebulletlist"/>
              <w:rPr>
                <w:b/>
                <w:bCs/>
                <w:i/>
                <w:iCs/>
                <w:sz w:val="20"/>
                <w:szCs w:val="20"/>
              </w:rPr>
            </w:pPr>
            <w:r>
              <w:rPr>
                <w:rFonts w:cs="Arial"/>
                <w:sz w:val="20"/>
                <w:szCs w:val="20"/>
              </w:rPr>
              <w:t>major</w:t>
            </w:r>
          </w:p>
        </w:tc>
        <w:tc>
          <w:tcPr>
            <w:tcW w:w="1276" w:type="dxa"/>
            <w:tcBorders>
              <w:top w:val="single" w:sz="4" w:space="0" w:color="auto"/>
              <w:left w:val="single" w:sz="4" w:space="0" w:color="auto"/>
              <w:bottom w:val="single" w:sz="4" w:space="0" w:color="auto"/>
              <w:right w:val="single" w:sz="4" w:space="0" w:color="auto"/>
            </w:tcBorders>
            <w:hideMark/>
          </w:tcPr>
          <w:p w14:paraId="5761D1AE" w14:textId="77777777" w:rsidR="00A56EE9" w:rsidRDefault="00A56EE9">
            <w:pPr>
              <w:pStyle w:val="Tablebulletlist"/>
              <w:rPr>
                <w:b/>
                <w:bCs/>
                <w:i/>
                <w:iCs/>
                <w:sz w:val="20"/>
                <w:szCs w:val="20"/>
              </w:rPr>
            </w:pPr>
            <w:r>
              <w:rPr>
                <w:rFonts w:cs="Arial"/>
                <w:sz w:val="20"/>
                <w:szCs w:val="20"/>
              </w:rPr>
              <w:t>moderate</w:t>
            </w:r>
          </w:p>
        </w:tc>
        <w:tc>
          <w:tcPr>
            <w:tcW w:w="1325" w:type="dxa"/>
            <w:tcBorders>
              <w:top w:val="single" w:sz="4" w:space="0" w:color="auto"/>
              <w:left w:val="single" w:sz="4" w:space="0" w:color="auto"/>
              <w:bottom w:val="single" w:sz="4" w:space="0" w:color="auto"/>
              <w:right w:val="single" w:sz="4" w:space="0" w:color="auto"/>
            </w:tcBorders>
            <w:hideMark/>
          </w:tcPr>
          <w:p w14:paraId="5761D1AF" w14:textId="77777777" w:rsidR="00A56EE9" w:rsidRDefault="00A56EE9">
            <w:pPr>
              <w:pStyle w:val="Tablebulletlist"/>
              <w:rPr>
                <w:sz w:val="20"/>
                <w:szCs w:val="20"/>
              </w:rPr>
            </w:pPr>
            <w:r>
              <w:rPr>
                <w:rFonts w:cs="Arial"/>
                <w:sz w:val="20"/>
                <w:szCs w:val="20"/>
              </w:rPr>
              <w:t>minor</w:t>
            </w:r>
          </w:p>
        </w:tc>
        <w:tc>
          <w:tcPr>
            <w:tcW w:w="450" w:type="dxa"/>
            <w:vMerge/>
            <w:tcBorders>
              <w:top w:val="single" w:sz="4" w:space="0" w:color="auto"/>
              <w:left w:val="single" w:sz="4" w:space="0" w:color="auto"/>
              <w:bottom w:val="single" w:sz="4" w:space="0" w:color="auto"/>
              <w:right w:val="single" w:sz="4" w:space="0" w:color="auto"/>
            </w:tcBorders>
            <w:hideMark/>
          </w:tcPr>
          <w:p w14:paraId="5761D1B0" w14:textId="77777777" w:rsidR="00A56EE9" w:rsidRDefault="00A56EE9">
            <w:pPr>
              <w:rPr>
                <w:rFonts w:ascii="Arial Narrow" w:hAnsi="Arial Narrow" w:cs="Arial"/>
                <w:b/>
              </w:rPr>
            </w:pPr>
          </w:p>
        </w:tc>
      </w:tr>
      <w:tr w:rsidR="00A56EE9" w14:paraId="5761D1B8"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B2" w14:textId="77777777" w:rsidR="00A56EE9" w:rsidRDefault="00A56EE9">
            <w:pPr>
              <w:pStyle w:val="Tablebulletlist"/>
              <w:rPr>
                <w:b/>
                <w:sz w:val="20"/>
                <w:szCs w:val="20"/>
              </w:rPr>
            </w:pPr>
            <w:r>
              <w:rPr>
                <w:rFonts w:cs="Arial"/>
                <w:b/>
                <w:sz w:val="20"/>
                <w:szCs w:val="20"/>
              </w:rPr>
              <w:t>Shipping</w:t>
            </w:r>
          </w:p>
        </w:tc>
        <w:tc>
          <w:tcPr>
            <w:tcW w:w="3307" w:type="dxa"/>
            <w:tcBorders>
              <w:top w:val="single" w:sz="4" w:space="0" w:color="auto"/>
              <w:left w:val="single" w:sz="4" w:space="0" w:color="auto"/>
              <w:bottom w:val="single" w:sz="4" w:space="0" w:color="auto"/>
              <w:right w:val="single" w:sz="4" w:space="0" w:color="auto"/>
            </w:tcBorders>
            <w:hideMark/>
          </w:tcPr>
          <w:p w14:paraId="5761D1B3" w14:textId="77777777" w:rsidR="00A56EE9" w:rsidRDefault="00A56EE9">
            <w:pPr>
              <w:pStyle w:val="Tablebulletlist"/>
              <w:rPr>
                <w:b/>
                <w:bCs/>
                <w:i/>
                <w:iCs/>
                <w:sz w:val="20"/>
                <w:szCs w:val="20"/>
              </w:rPr>
            </w:pPr>
            <w:r>
              <w:rPr>
                <w:rFonts w:cs="Arial"/>
                <w:sz w:val="20"/>
                <w:szCs w:val="20"/>
              </w:rPr>
              <w:t>Concentrated around shipping lanes</w:t>
            </w:r>
          </w:p>
        </w:tc>
        <w:tc>
          <w:tcPr>
            <w:tcW w:w="992" w:type="dxa"/>
            <w:tcBorders>
              <w:top w:val="single" w:sz="4" w:space="0" w:color="auto"/>
              <w:left w:val="single" w:sz="4" w:space="0" w:color="auto"/>
              <w:bottom w:val="single" w:sz="4" w:space="0" w:color="auto"/>
              <w:right w:val="single" w:sz="4" w:space="0" w:color="auto"/>
            </w:tcBorders>
            <w:hideMark/>
          </w:tcPr>
          <w:p w14:paraId="5761D1B4" w14:textId="77777777" w:rsidR="00A56EE9" w:rsidRDefault="00A56EE9">
            <w:pPr>
              <w:pStyle w:val="Tablebulletlist"/>
              <w:rPr>
                <w:b/>
                <w:bCs/>
                <w:i/>
                <w:iCs/>
                <w:sz w:val="20"/>
                <w:szCs w:val="20"/>
              </w:rPr>
            </w:pPr>
            <w:r>
              <w:rPr>
                <w:rFonts w:cs="Arial"/>
                <w:sz w:val="20"/>
                <w:szCs w:val="20"/>
              </w:rPr>
              <w:t>moderate</w:t>
            </w:r>
          </w:p>
        </w:tc>
        <w:tc>
          <w:tcPr>
            <w:tcW w:w="1276" w:type="dxa"/>
            <w:tcBorders>
              <w:top w:val="single" w:sz="4" w:space="0" w:color="auto"/>
              <w:left w:val="single" w:sz="4" w:space="0" w:color="auto"/>
              <w:bottom w:val="single" w:sz="4" w:space="0" w:color="auto"/>
              <w:right w:val="single" w:sz="4" w:space="0" w:color="auto"/>
            </w:tcBorders>
            <w:hideMark/>
          </w:tcPr>
          <w:p w14:paraId="5761D1B5" w14:textId="77777777" w:rsidR="00A56EE9" w:rsidRDefault="00A56EE9">
            <w:pPr>
              <w:pStyle w:val="Tablebulletlist"/>
              <w:rPr>
                <w:b/>
                <w:bCs/>
                <w:i/>
                <w:iCs/>
                <w:sz w:val="20"/>
                <w:szCs w:val="20"/>
              </w:rPr>
            </w:pPr>
            <w:r>
              <w:rPr>
                <w:rFonts w:cs="Arial"/>
                <w:sz w:val="20"/>
                <w:szCs w:val="20"/>
              </w:rPr>
              <w:t>moderate</w:t>
            </w:r>
          </w:p>
        </w:tc>
        <w:tc>
          <w:tcPr>
            <w:tcW w:w="1325" w:type="dxa"/>
            <w:tcBorders>
              <w:top w:val="single" w:sz="4" w:space="0" w:color="auto"/>
              <w:left w:val="single" w:sz="4" w:space="0" w:color="auto"/>
              <w:bottom w:val="single" w:sz="4" w:space="0" w:color="auto"/>
              <w:right w:val="single" w:sz="4" w:space="0" w:color="auto"/>
            </w:tcBorders>
            <w:hideMark/>
          </w:tcPr>
          <w:p w14:paraId="5761D1B6" w14:textId="77777777" w:rsidR="00A56EE9" w:rsidRDefault="00A56EE9">
            <w:pPr>
              <w:pStyle w:val="Tablebulletlist"/>
              <w:rPr>
                <w:b/>
                <w:bCs/>
                <w:i/>
                <w:iCs/>
                <w:sz w:val="20"/>
                <w:szCs w:val="20"/>
              </w:rPr>
            </w:pPr>
            <w:r>
              <w:rPr>
                <w:rFonts w:cs="Arial"/>
                <w:sz w:val="20"/>
                <w:szCs w:val="20"/>
              </w:rPr>
              <w:t>moderate</w:t>
            </w:r>
          </w:p>
        </w:tc>
        <w:tc>
          <w:tcPr>
            <w:tcW w:w="450" w:type="dxa"/>
            <w:vMerge/>
            <w:tcBorders>
              <w:top w:val="single" w:sz="4" w:space="0" w:color="auto"/>
              <w:left w:val="single" w:sz="4" w:space="0" w:color="auto"/>
              <w:bottom w:val="single" w:sz="4" w:space="0" w:color="auto"/>
              <w:right w:val="single" w:sz="4" w:space="0" w:color="auto"/>
            </w:tcBorders>
            <w:hideMark/>
          </w:tcPr>
          <w:p w14:paraId="5761D1B7" w14:textId="77777777" w:rsidR="00A56EE9" w:rsidRDefault="00A56EE9">
            <w:pPr>
              <w:rPr>
                <w:rFonts w:ascii="Arial Narrow" w:hAnsi="Arial Narrow" w:cs="Arial"/>
                <w:b/>
              </w:rPr>
            </w:pPr>
          </w:p>
        </w:tc>
      </w:tr>
      <w:tr w:rsidR="00A56EE9" w14:paraId="5761D1BF"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B9" w14:textId="77777777" w:rsidR="00A56EE9" w:rsidRDefault="00A56EE9">
            <w:pPr>
              <w:pStyle w:val="Tablebulletlist"/>
              <w:rPr>
                <w:b/>
                <w:sz w:val="20"/>
                <w:szCs w:val="20"/>
              </w:rPr>
            </w:pPr>
            <w:r>
              <w:rPr>
                <w:rFonts w:cs="Arial"/>
                <w:b/>
                <w:sz w:val="20"/>
                <w:szCs w:val="20"/>
              </w:rPr>
              <w:t>Research activities</w:t>
            </w:r>
          </w:p>
        </w:tc>
        <w:tc>
          <w:tcPr>
            <w:tcW w:w="3307" w:type="dxa"/>
            <w:tcBorders>
              <w:top w:val="single" w:sz="4" w:space="0" w:color="auto"/>
              <w:left w:val="single" w:sz="4" w:space="0" w:color="auto"/>
              <w:bottom w:val="single" w:sz="4" w:space="0" w:color="auto"/>
              <w:right w:val="single" w:sz="4" w:space="0" w:color="auto"/>
            </w:tcBorders>
            <w:hideMark/>
          </w:tcPr>
          <w:p w14:paraId="5761D1BA" w14:textId="77777777" w:rsidR="00A56EE9" w:rsidRDefault="00A56EE9">
            <w:pPr>
              <w:pStyle w:val="Tablebulletlist"/>
              <w:rPr>
                <w:b/>
                <w:bCs/>
                <w:i/>
                <w:iCs/>
                <w:sz w:val="20"/>
                <w:szCs w:val="20"/>
              </w:rPr>
            </w:pPr>
            <w:r>
              <w:rPr>
                <w:rFonts w:cs="Arial"/>
                <w:sz w:val="20"/>
                <w:szCs w:val="20"/>
              </w:rPr>
              <w:t>Region-wide but limited in intensity</w:t>
            </w:r>
          </w:p>
        </w:tc>
        <w:tc>
          <w:tcPr>
            <w:tcW w:w="992" w:type="dxa"/>
            <w:tcBorders>
              <w:top w:val="single" w:sz="4" w:space="0" w:color="auto"/>
              <w:left w:val="single" w:sz="4" w:space="0" w:color="auto"/>
              <w:bottom w:val="single" w:sz="4" w:space="0" w:color="auto"/>
              <w:right w:val="single" w:sz="4" w:space="0" w:color="auto"/>
            </w:tcBorders>
            <w:hideMark/>
          </w:tcPr>
          <w:p w14:paraId="5761D1BB" w14:textId="77777777" w:rsidR="00A56EE9" w:rsidRDefault="00A56EE9">
            <w:pPr>
              <w:pStyle w:val="Tablebulletlist"/>
              <w:rPr>
                <w:b/>
                <w:bCs/>
                <w:i/>
                <w:iCs/>
                <w:sz w:val="20"/>
                <w:szCs w:val="20"/>
              </w:rPr>
            </w:pPr>
            <w:r>
              <w:rPr>
                <w:rFonts w:cs="Arial"/>
                <w:sz w:val="20"/>
                <w:szCs w:val="20"/>
              </w:rPr>
              <w:t>minor</w:t>
            </w:r>
          </w:p>
        </w:tc>
        <w:tc>
          <w:tcPr>
            <w:tcW w:w="1276" w:type="dxa"/>
            <w:tcBorders>
              <w:top w:val="single" w:sz="4" w:space="0" w:color="auto"/>
              <w:left w:val="single" w:sz="4" w:space="0" w:color="auto"/>
              <w:bottom w:val="single" w:sz="4" w:space="0" w:color="auto"/>
              <w:right w:val="single" w:sz="4" w:space="0" w:color="auto"/>
            </w:tcBorders>
            <w:hideMark/>
          </w:tcPr>
          <w:p w14:paraId="5761D1BC" w14:textId="77777777" w:rsidR="00A56EE9" w:rsidRDefault="00A56EE9">
            <w:pPr>
              <w:pStyle w:val="Tablebulletlist"/>
              <w:rPr>
                <w:b/>
                <w:bCs/>
                <w:i/>
                <w:iCs/>
                <w:sz w:val="20"/>
                <w:szCs w:val="20"/>
              </w:rPr>
            </w:pPr>
            <w:r>
              <w:rPr>
                <w:rFonts w:cs="Arial"/>
                <w:sz w:val="20"/>
                <w:szCs w:val="20"/>
              </w:rPr>
              <w:t>moderate</w:t>
            </w:r>
          </w:p>
        </w:tc>
        <w:tc>
          <w:tcPr>
            <w:tcW w:w="1325" w:type="dxa"/>
            <w:tcBorders>
              <w:top w:val="single" w:sz="4" w:space="0" w:color="auto"/>
              <w:left w:val="single" w:sz="4" w:space="0" w:color="auto"/>
              <w:bottom w:val="single" w:sz="4" w:space="0" w:color="auto"/>
              <w:right w:val="single" w:sz="4" w:space="0" w:color="auto"/>
            </w:tcBorders>
            <w:hideMark/>
          </w:tcPr>
          <w:p w14:paraId="5761D1BD" w14:textId="77777777" w:rsidR="00A56EE9" w:rsidRDefault="00A56EE9">
            <w:pPr>
              <w:pStyle w:val="Tablebulletlist"/>
              <w:rPr>
                <w:b/>
                <w:bCs/>
                <w:i/>
                <w:iCs/>
                <w:sz w:val="20"/>
                <w:szCs w:val="20"/>
              </w:rPr>
            </w:pPr>
            <w:r>
              <w:rPr>
                <w:rFonts w:cs="Arial"/>
                <w:sz w:val="20"/>
                <w:szCs w:val="20"/>
              </w:rPr>
              <w:t>minor</w:t>
            </w:r>
          </w:p>
        </w:tc>
        <w:tc>
          <w:tcPr>
            <w:tcW w:w="450" w:type="dxa"/>
            <w:vMerge/>
            <w:tcBorders>
              <w:top w:val="single" w:sz="4" w:space="0" w:color="auto"/>
              <w:left w:val="single" w:sz="4" w:space="0" w:color="auto"/>
              <w:bottom w:val="single" w:sz="4" w:space="0" w:color="auto"/>
              <w:right w:val="single" w:sz="4" w:space="0" w:color="auto"/>
            </w:tcBorders>
            <w:hideMark/>
          </w:tcPr>
          <w:p w14:paraId="5761D1BE" w14:textId="77777777" w:rsidR="00A56EE9" w:rsidRDefault="00A56EE9">
            <w:pPr>
              <w:rPr>
                <w:rFonts w:ascii="Arial Narrow" w:hAnsi="Arial Narrow" w:cs="Arial"/>
                <w:b/>
              </w:rPr>
            </w:pPr>
          </w:p>
        </w:tc>
      </w:tr>
      <w:tr w:rsidR="00A56EE9" w14:paraId="5761D1C6" w14:textId="77777777" w:rsidTr="00BB6AD5">
        <w:trPr>
          <w:tblHeader/>
        </w:trPr>
        <w:tc>
          <w:tcPr>
            <w:tcW w:w="1938" w:type="dxa"/>
            <w:tcBorders>
              <w:top w:val="single" w:sz="4" w:space="0" w:color="auto"/>
              <w:left w:val="single" w:sz="4" w:space="0" w:color="auto"/>
              <w:bottom w:val="single" w:sz="4" w:space="0" w:color="auto"/>
              <w:right w:val="single" w:sz="4" w:space="0" w:color="auto"/>
            </w:tcBorders>
            <w:hideMark/>
          </w:tcPr>
          <w:p w14:paraId="5761D1C0" w14:textId="77777777" w:rsidR="00A56EE9" w:rsidRDefault="00A56EE9">
            <w:pPr>
              <w:pStyle w:val="Tablebulletlist"/>
              <w:rPr>
                <w:b/>
                <w:sz w:val="20"/>
                <w:szCs w:val="20"/>
              </w:rPr>
            </w:pPr>
            <w:r>
              <w:rPr>
                <w:rFonts w:cs="Arial"/>
                <w:b/>
                <w:sz w:val="20"/>
                <w:szCs w:val="20"/>
              </w:rPr>
              <w:t>Defence activities</w:t>
            </w:r>
          </w:p>
        </w:tc>
        <w:tc>
          <w:tcPr>
            <w:tcW w:w="3307" w:type="dxa"/>
            <w:tcBorders>
              <w:top w:val="single" w:sz="4" w:space="0" w:color="auto"/>
              <w:left w:val="single" w:sz="4" w:space="0" w:color="auto"/>
              <w:bottom w:val="single" w:sz="4" w:space="0" w:color="auto"/>
              <w:right w:val="single" w:sz="4" w:space="0" w:color="auto"/>
            </w:tcBorders>
            <w:hideMark/>
          </w:tcPr>
          <w:p w14:paraId="5761D1C1" w14:textId="77777777" w:rsidR="00A56EE9" w:rsidRDefault="00A56EE9">
            <w:pPr>
              <w:pStyle w:val="Tablebulletlist"/>
              <w:rPr>
                <w:b/>
                <w:bCs/>
                <w:i/>
                <w:iCs/>
                <w:sz w:val="20"/>
                <w:szCs w:val="20"/>
              </w:rPr>
            </w:pPr>
            <w:r>
              <w:rPr>
                <w:rFonts w:cs="Arial"/>
                <w:sz w:val="20"/>
                <w:szCs w:val="20"/>
              </w:rPr>
              <w:t>Limited in area and duration</w:t>
            </w:r>
          </w:p>
        </w:tc>
        <w:tc>
          <w:tcPr>
            <w:tcW w:w="992" w:type="dxa"/>
            <w:tcBorders>
              <w:top w:val="single" w:sz="4" w:space="0" w:color="auto"/>
              <w:left w:val="single" w:sz="4" w:space="0" w:color="auto"/>
              <w:bottom w:val="single" w:sz="4" w:space="0" w:color="auto"/>
              <w:right w:val="single" w:sz="4" w:space="0" w:color="auto"/>
            </w:tcBorders>
            <w:hideMark/>
          </w:tcPr>
          <w:p w14:paraId="5761D1C2" w14:textId="77777777" w:rsidR="00A56EE9" w:rsidRDefault="00A56EE9">
            <w:pPr>
              <w:pStyle w:val="Tablebulletlist"/>
              <w:rPr>
                <w:b/>
                <w:bCs/>
                <w:i/>
                <w:iCs/>
                <w:sz w:val="20"/>
                <w:szCs w:val="20"/>
              </w:rPr>
            </w:pPr>
            <w:r>
              <w:rPr>
                <w:rFonts w:cs="Arial"/>
                <w:sz w:val="20"/>
                <w:szCs w:val="20"/>
              </w:rPr>
              <w:t>minor</w:t>
            </w:r>
          </w:p>
        </w:tc>
        <w:tc>
          <w:tcPr>
            <w:tcW w:w="1276" w:type="dxa"/>
            <w:tcBorders>
              <w:top w:val="single" w:sz="4" w:space="0" w:color="auto"/>
              <w:left w:val="single" w:sz="4" w:space="0" w:color="auto"/>
              <w:bottom w:val="single" w:sz="4" w:space="0" w:color="auto"/>
              <w:right w:val="single" w:sz="4" w:space="0" w:color="auto"/>
            </w:tcBorders>
            <w:hideMark/>
          </w:tcPr>
          <w:p w14:paraId="5761D1C3" w14:textId="77777777" w:rsidR="00A56EE9" w:rsidRDefault="00A56EE9">
            <w:pPr>
              <w:pStyle w:val="Tablebulletlist"/>
              <w:rPr>
                <w:b/>
                <w:bCs/>
                <w:i/>
                <w:iCs/>
                <w:sz w:val="20"/>
                <w:szCs w:val="20"/>
              </w:rPr>
            </w:pPr>
            <w:r>
              <w:rPr>
                <w:rFonts w:cs="Arial"/>
                <w:sz w:val="20"/>
                <w:szCs w:val="20"/>
              </w:rPr>
              <w:t>minor</w:t>
            </w:r>
          </w:p>
        </w:tc>
        <w:tc>
          <w:tcPr>
            <w:tcW w:w="1325" w:type="dxa"/>
            <w:tcBorders>
              <w:top w:val="single" w:sz="4" w:space="0" w:color="auto"/>
              <w:left w:val="single" w:sz="4" w:space="0" w:color="auto"/>
              <w:bottom w:val="single" w:sz="4" w:space="0" w:color="auto"/>
              <w:right w:val="single" w:sz="4" w:space="0" w:color="auto"/>
            </w:tcBorders>
            <w:hideMark/>
          </w:tcPr>
          <w:p w14:paraId="5761D1C4" w14:textId="77777777" w:rsidR="00A56EE9" w:rsidRDefault="00A56EE9">
            <w:pPr>
              <w:pStyle w:val="Tablebulletlist"/>
              <w:rPr>
                <w:b/>
                <w:bCs/>
                <w:i/>
                <w:iCs/>
                <w:sz w:val="20"/>
                <w:szCs w:val="20"/>
              </w:rPr>
            </w:pPr>
            <w:r>
              <w:rPr>
                <w:rFonts w:cs="Arial"/>
                <w:sz w:val="20"/>
                <w:szCs w:val="20"/>
              </w:rPr>
              <w:t>minor</w:t>
            </w:r>
          </w:p>
        </w:tc>
        <w:tc>
          <w:tcPr>
            <w:tcW w:w="450" w:type="dxa"/>
            <w:vMerge/>
            <w:tcBorders>
              <w:top w:val="single" w:sz="4" w:space="0" w:color="auto"/>
              <w:left w:val="single" w:sz="4" w:space="0" w:color="auto"/>
              <w:bottom w:val="single" w:sz="4" w:space="0" w:color="auto"/>
              <w:right w:val="single" w:sz="4" w:space="0" w:color="auto"/>
            </w:tcBorders>
            <w:hideMark/>
          </w:tcPr>
          <w:p w14:paraId="5761D1C5" w14:textId="77777777" w:rsidR="00A56EE9" w:rsidRDefault="00A56EE9">
            <w:pPr>
              <w:rPr>
                <w:rFonts w:ascii="Arial Narrow" w:hAnsi="Arial Narrow" w:cs="Arial"/>
                <w:b/>
              </w:rPr>
            </w:pPr>
          </w:p>
        </w:tc>
      </w:tr>
    </w:tbl>
    <w:p w14:paraId="5761D1C8" w14:textId="77777777" w:rsidR="00A56EE9" w:rsidRDefault="00A56EE9" w:rsidP="00A11869">
      <w:pPr>
        <w:pStyle w:val="Heading2"/>
        <w:numPr>
          <w:ilvl w:val="1"/>
          <w:numId w:val="17"/>
        </w:numPr>
        <w:spacing w:line="256" w:lineRule="auto"/>
        <w:ind w:left="357" w:hanging="357"/>
      </w:pPr>
      <w:bookmarkStart w:id="45" w:name="_Toc523423776"/>
      <w:r>
        <w:t>Assessment process</w:t>
      </w:r>
      <w:bookmarkEnd w:id="45"/>
      <w:r>
        <w:t xml:space="preserve"> </w:t>
      </w:r>
    </w:p>
    <w:p w14:paraId="5761D1C9" w14:textId="504B67AB" w:rsidR="00A56EE9" w:rsidRDefault="00A56EE9" w:rsidP="00E3690C">
      <w:pPr>
        <w:spacing w:line="276" w:lineRule="auto"/>
      </w:pPr>
      <w:r>
        <w:t xml:space="preserve">The Australian and Queensland governments compiled </w:t>
      </w:r>
      <w:r w:rsidR="00833BE8">
        <w:t>evidence</w:t>
      </w:r>
      <w:r>
        <w:t xml:space="preserve">, data sources and lists of </w:t>
      </w:r>
      <w:r w:rsidRPr="00833BE8">
        <w:t>information sources relevant to each of the 49 indicators for each topic. Staff were provided with suggested means of verification,</w:t>
      </w:r>
      <w:r w:rsidR="00693BC0" w:rsidRPr="00833BE8">
        <w:t xml:space="preserve"> which </w:t>
      </w:r>
      <w:r w:rsidR="00290369" w:rsidRPr="00833BE8">
        <w:t>included</w:t>
      </w:r>
      <w:r w:rsidR="00693BC0" w:rsidRPr="00833BE8">
        <w:t xml:space="preserve"> examples of evidence commonly used to justify whether an indicator had been addressed</w:t>
      </w:r>
      <w:r w:rsidR="00833BE8" w:rsidRPr="00833BE8">
        <w:t xml:space="preserve"> such </w:t>
      </w:r>
      <w:r w:rsidR="00833BE8" w:rsidRPr="00833BE8">
        <w:lastRenderedPageBreak/>
        <w:t>as</w:t>
      </w:r>
      <w:r w:rsidR="00693BC0" w:rsidRPr="00833BE8">
        <w:t xml:space="preserve"> </w:t>
      </w:r>
      <w:r w:rsidRPr="00833BE8">
        <w:t>reports,</w:t>
      </w:r>
      <w:r w:rsidR="00693BC0" w:rsidRPr="00833BE8">
        <w:t xml:space="preserve"> plans,</w:t>
      </w:r>
      <w:r w:rsidRPr="00833BE8">
        <w:t xml:space="preserve"> published papers and statistics. The independent assessors then reviewed evidence, checked source documentation, sought additional information from relevant research papers and reports, and assigned an initial</w:t>
      </w:r>
      <w:r>
        <w:t xml:space="preserve"> rating, confidence and trend to each of the indicators. </w:t>
      </w:r>
    </w:p>
    <w:p w14:paraId="5761D1CA" w14:textId="0CDAAF75" w:rsidR="00A56EE9" w:rsidRDefault="00A56EE9" w:rsidP="00E3690C">
      <w:pPr>
        <w:spacing w:line="276" w:lineRule="auto"/>
      </w:pPr>
      <w:r>
        <w:t>All findings and means of verification were recorded in a standard proforma. These judgements were agreed by consensus of the assessors and subsequently discussed with managing agencies. Based on this iterative process of discussion and review, the assessors adjusted a number of assessments where improved knowledge and understanding indicated that the original ratings were either too high or too low, as supported by evidence. For each indicator, the most pertinent supporting evidence used as a means of verification for the score is listed</w:t>
      </w:r>
      <w:r w:rsidR="006C5948">
        <w:t xml:space="preserve"> (Appendix 4)</w:t>
      </w:r>
      <w:r>
        <w:t xml:space="preserve">. </w:t>
      </w:r>
    </w:p>
    <w:p w14:paraId="5761D1CB" w14:textId="3BA85335" w:rsidR="00A56EE9" w:rsidRDefault="00A56EE9" w:rsidP="00E3690C">
      <w:pPr>
        <w:spacing w:line="276" w:lineRule="auto"/>
      </w:pPr>
      <w:r>
        <w:t>A number of semi-structured interviews were undertaken with stakeholders to understand their independent perceptions of management effectiveness. Stakeholders covered a range of sectors, including</w:t>
      </w:r>
      <w:r w:rsidR="006C5948">
        <w:t>:</w:t>
      </w:r>
      <w:r>
        <w:t xml:space="preserve"> researchers from </w:t>
      </w:r>
      <w:r w:rsidR="006C5948">
        <w:t>universities</w:t>
      </w:r>
      <w:r w:rsidR="00F773C7">
        <w:t xml:space="preserve"> (</w:t>
      </w:r>
      <w:r w:rsidR="0002000E">
        <w:t>10)</w:t>
      </w:r>
      <w:r>
        <w:t>, CSIRO</w:t>
      </w:r>
      <w:r w:rsidR="00F773C7">
        <w:t xml:space="preserve"> (1)</w:t>
      </w:r>
      <w:r>
        <w:t>, local government</w:t>
      </w:r>
      <w:r w:rsidR="00F773C7">
        <w:t xml:space="preserve"> (</w:t>
      </w:r>
      <w:r w:rsidR="006B4AE9">
        <w:t>2</w:t>
      </w:r>
      <w:r w:rsidR="00F773C7">
        <w:t>)</w:t>
      </w:r>
      <w:r w:rsidR="006C5948">
        <w:t xml:space="preserve">; </w:t>
      </w:r>
      <w:r w:rsidR="00F773C7">
        <w:t xml:space="preserve">directors of research station (1); </w:t>
      </w:r>
      <w:r>
        <w:t>non-government conservation organisations</w:t>
      </w:r>
      <w:r w:rsidR="00F773C7">
        <w:t xml:space="preserve"> (2)</w:t>
      </w:r>
      <w:r w:rsidR="006C5948">
        <w:t xml:space="preserve">; </w:t>
      </w:r>
      <w:r>
        <w:t xml:space="preserve">members of Reef </w:t>
      </w:r>
      <w:r w:rsidR="006C5948">
        <w:t>Advisory Committees</w:t>
      </w:r>
      <w:r w:rsidR="00F773C7">
        <w:t xml:space="preserve"> (2)</w:t>
      </w:r>
      <w:r w:rsidR="006C5948">
        <w:t xml:space="preserve">; </w:t>
      </w:r>
      <w:r>
        <w:t>tourism sectors</w:t>
      </w:r>
      <w:r w:rsidR="00F773C7">
        <w:t xml:space="preserve"> (2)</w:t>
      </w:r>
      <w:r w:rsidR="006C5948">
        <w:t>;</w:t>
      </w:r>
      <w:r>
        <w:t xml:space="preserve"> and Natural Resource Management bodies</w:t>
      </w:r>
      <w:r w:rsidR="00F773C7">
        <w:t xml:space="preserve"> (2)</w:t>
      </w:r>
      <w:r>
        <w:t>. The stakeholders were asked the following questions:</w:t>
      </w:r>
    </w:p>
    <w:p w14:paraId="5761D1CC" w14:textId="77777777" w:rsidR="00A56EE9" w:rsidRDefault="00A56EE9" w:rsidP="00E3690C">
      <w:pPr>
        <w:pStyle w:val="ListParagraph"/>
        <w:numPr>
          <w:ilvl w:val="0"/>
          <w:numId w:val="16"/>
        </w:numPr>
        <w:spacing w:after="0" w:line="276" w:lineRule="auto"/>
      </w:pPr>
      <w:r>
        <w:t xml:space="preserve">What have been the significant changes in the </w:t>
      </w:r>
      <w:r>
        <w:rPr>
          <w:b/>
        </w:rPr>
        <w:t xml:space="preserve">management </w:t>
      </w:r>
      <w:r>
        <w:t xml:space="preserve">of this topic since the last outlook report? </w:t>
      </w:r>
    </w:p>
    <w:p w14:paraId="5761D1CD" w14:textId="77777777" w:rsidR="00A56EE9" w:rsidRDefault="00A56EE9" w:rsidP="00E3690C">
      <w:pPr>
        <w:pStyle w:val="ListParagraph"/>
        <w:numPr>
          <w:ilvl w:val="0"/>
          <w:numId w:val="16"/>
        </w:numPr>
        <w:spacing w:after="0" w:line="276" w:lineRule="auto"/>
      </w:pPr>
      <w:r>
        <w:t>What has influenced this change?</w:t>
      </w:r>
    </w:p>
    <w:p w14:paraId="5761D1CE" w14:textId="77777777" w:rsidR="00A56EE9" w:rsidRDefault="00A56EE9" w:rsidP="00E3690C">
      <w:pPr>
        <w:pStyle w:val="ListParagraph"/>
        <w:numPr>
          <w:ilvl w:val="0"/>
          <w:numId w:val="16"/>
        </w:numPr>
        <w:spacing w:after="0" w:line="276" w:lineRule="auto"/>
      </w:pPr>
      <w:r>
        <w:t xml:space="preserve">Do you think there have been any significant changes that have impacted on the </w:t>
      </w:r>
      <w:r>
        <w:rPr>
          <w:b/>
        </w:rPr>
        <w:t>capacity</w:t>
      </w:r>
      <w:r>
        <w:t xml:space="preserve"> of managing agencies to manage this topic?</w:t>
      </w:r>
    </w:p>
    <w:p w14:paraId="5761D1CF" w14:textId="77777777" w:rsidR="00A56EE9" w:rsidRDefault="00A56EE9" w:rsidP="00E3690C">
      <w:pPr>
        <w:pStyle w:val="ListParagraph"/>
        <w:numPr>
          <w:ilvl w:val="0"/>
          <w:numId w:val="16"/>
        </w:numPr>
        <w:spacing w:after="0" w:line="276" w:lineRule="auto"/>
      </w:pPr>
      <w:r>
        <w:t xml:space="preserve">Do you think there have been any significant changes to the </w:t>
      </w:r>
      <w:r>
        <w:rPr>
          <w:b/>
        </w:rPr>
        <w:t>outcomes</w:t>
      </w:r>
      <w:r>
        <w:t xml:space="preserve"> that have been achieved?</w:t>
      </w:r>
    </w:p>
    <w:p w14:paraId="5761D1D0" w14:textId="77777777" w:rsidR="00A56EE9" w:rsidRDefault="00A56EE9" w:rsidP="00E3690C">
      <w:pPr>
        <w:pStyle w:val="ListParagraph"/>
        <w:numPr>
          <w:ilvl w:val="0"/>
          <w:numId w:val="16"/>
        </w:numPr>
        <w:spacing w:after="0" w:line="276" w:lineRule="auto"/>
      </w:pPr>
      <w:r>
        <w:t>What evidence do you have to support these claims?</w:t>
      </w:r>
    </w:p>
    <w:p w14:paraId="5761D1D1" w14:textId="77777777" w:rsidR="00A56EE9" w:rsidRDefault="00A56EE9" w:rsidP="00E3690C">
      <w:pPr>
        <w:pStyle w:val="ListParagraph"/>
        <w:numPr>
          <w:ilvl w:val="0"/>
          <w:numId w:val="16"/>
        </w:numPr>
        <w:spacing w:after="0" w:line="276" w:lineRule="auto"/>
      </w:pPr>
      <w:r>
        <w:t>What would need to happen to improve the desired outcomes?</w:t>
      </w:r>
    </w:p>
    <w:p w14:paraId="5761D1D2" w14:textId="77777777" w:rsidR="00A56EE9" w:rsidRDefault="00A56EE9" w:rsidP="00E3690C">
      <w:pPr>
        <w:pStyle w:val="ListParagraph"/>
        <w:numPr>
          <w:ilvl w:val="0"/>
          <w:numId w:val="16"/>
        </w:numPr>
        <w:spacing w:after="0" w:line="276" w:lineRule="auto"/>
      </w:pPr>
      <w:r>
        <w:t>What impact has the threat of the Great Barrier Reef World Heritage Area being included on the “in danger” list had on the management of the Region?</w:t>
      </w:r>
    </w:p>
    <w:p w14:paraId="5761D1D4" w14:textId="77777777" w:rsidR="00A56EE9" w:rsidRDefault="00A56EE9" w:rsidP="007F1AA6">
      <w:pPr>
        <w:spacing w:before="240" w:after="0" w:line="276" w:lineRule="auto"/>
      </w:pPr>
      <w:r>
        <w:t xml:space="preserve">Information from the interviews was considered, and where appropriate, was incorporated into the assessment of relevant topics where evidence supported the stakeholders’ views. </w:t>
      </w:r>
    </w:p>
    <w:p w14:paraId="5761D1D5" w14:textId="77777777" w:rsidR="00A56EE9" w:rsidRDefault="00A56EE9" w:rsidP="00E3690C">
      <w:pPr>
        <w:pStyle w:val="BodyText"/>
        <w:spacing w:line="276" w:lineRule="auto"/>
      </w:pPr>
      <w:r>
        <w:t xml:space="preserve">Following the assessment of the indicators for the topics, gradings and trends for each element and topic were calculated, and a summary of the effectiveness of the six elements of the management cycle across all the topics was developed. This allows the identification of strengths and weaknesses of current management (Section 5). </w:t>
      </w:r>
    </w:p>
    <w:p w14:paraId="5761D1D6" w14:textId="77777777" w:rsidR="00A56EE9" w:rsidRPr="00595541" w:rsidRDefault="00A56EE9" w:rsidP="00E3690C">
      <w:pPr>
        <w:spacing w:line="276" w:lineRule="auto"/>
        <w:rPr>
          <w:color w:val="000000" w:themeColor="text1"/>
        </w:rPr>
      </w:pPr>
      <w:r w:rsidRPr="00595541">
        <w:rPr>
          <w:color w:val="000000" w:themeColor="text1"/>
        </w:rPr>
        <w:t>Since 2014, the Reef 2050 Plan has been a key driver of actions</w:t>
      </w:r>
      <w:r>
        <w:rPr>
          <w:color w:val="000000" w:themeColor="text1"/>
        </w:rPr>
        <w:t>. The Reef 2050 Plan is referred to throughout this report where relevant. A</w:t>
      </w:r>
      <w:r w:rsidRPr="00595541">
        <w:rPr>
          <w:color w:val="000000" w:themeColor="text1"/>
        </w:rPr>
        <w:t xml:space="preserve"> separate but related Reef 2050 Insights Report </w:t>
      </w:r>
      <w:r>
        <w:rPr>
          <w:color w:val="000000" w:themeColor="text1"/>
        </w:rPr>
        <w:t xml:space="preserve">considers the Reef 2050 Plan’s strength and weaknesses and its contribution to the effective management of the Region </w:t>
      </w:r>
      <w:r w:rsidRPr="00595541">
        <w:rPr>
          <w:color w:val="000000" w:themeColor="text1"/>
        </w:rPr>
        <w:t>(Leverington et al</w:t>
      </w:r>
      <w:r>
        <w:rPr>
          <w:color w:val="000000" w:themeColor="text1"/>
        </w:rPr>
        <w:t xml:space="preserve">.; </w:t>
      </w:r>
      <w:r w:rsidRPr="00595541">
        <w:rPr>
          <w:color w:val="000000" w:themeColor="text1"/>
        </w:rPr>
        <w:t>2018).</w:t>
      </w:r>
      <w:r>
        <w:rPr>
          <w:color w:val="000000" w:themeColor="text1"/>
        </w:rPr>
        <w:t xml:space="preserve"> </w:t>
      </w:r>
    </w:p>
    <w:p w14:paraId="5761D1D8" w14:textId="77777777" w:rsidR="00A56EE9" w:rsidRDefault="00A56EE9" w:rsidP="00A11869">
      <w:pPr>
        <w:pStyle w:val="Heading2"/>
        <w:numPr>
          <w:ilvl w:val="1"/>
          <w:numId w:val="17"/>
        </w:numPr>
        <w:spacing w:line="256" w:lineRule="auto"/>
        <w:ind w:left="357" w:hanging="357"/>
      </w:pPr>
      <w:bookmarkStart w:id="46" w:name="_Toc523423777"/>
      <w:r>
        <w:lastRenderedPageBreak/>
        <w:t>Management effectiveness of management tools and approaches</w:t>
      </w:r>
      <w:bookmarkEnd w:id="46"/>
    </w:p>
    <w:p w14:paraId="5761D1D9" w14:textId="77777777" w:rsidR="00A56EE9" w:rsidRDefault="00A56EE9" w:rsidP="00E3690C">
      <w:pPr>
        <w:spacing w:line="276" w:lineRule="auto"/>
      </w:pPr>
      <w:r>
        <w:t>In addition, information gathered through the process above was used to summarise management effectiveness in relation to the three main management approaches used to protect and manage the Region:</w:t>
      </w:r>
    </w:p>
    <w:p w14:paraId="5761D1DA" w14:textId="77777777" w:rsidR="00A56EE9" w:rsidRDefault="00A56EE9" w:rsidP="00E3690C">
      <w:pPr>
        <w:pStyle w:val="ListParagraph"/>
        <w:numPr>
          <w:ilvl w:val="0"/>
          <w:numId w:val="6"/>
        </w:numPr>
        <w:spacing w:after="200" w:line="276" w:lineRule="auto"/>
        <w:ind w:left="709"/>
        <w:rPr>
          <w:lang w:eastAsia="en-AU"/>
        </w:rPr>
      </w:pPr>
      <w:r>
        <w:rPr>
          <w:lang w:eastAsia="en-AU"/>
        </w:rPr>
        <w:t>Environmental regulation — management tools such as regulations, zoning plans, management plans, permits and licences, and compliance are used to establish the statutory arrangements and environmental standards necessary to protect and manage the Reef.</w:t>
      </w:r>
    </w:p>
    <w:p w14:paraId="5761D1DB" w14:textId="77777777" w:rsidR="00A56EE9" w:rsidRDefault="00A56EE9" w:rsidP="00E3690C">
      <w:pPr>
        <w:pStyle w:val="ListParagraph"/>
        <w:numPr>
          <w:ilvl w:val="0"/>
          <w:numId w:val="6"/>
        </w:numPr>
        <w:spacing w:after="200" w:line="276" w:lineRule="auto"/>
        <w:ind w:left="709"/>
        <w:rPr>
          <w:lang w:eastAsia="en-AU"/>
        </w:rPr>
      </w:pPr>
      <w:r>
        <w:rPr>
          <w:lang w:eastAsia="en-AU"/>
        </w:rPr>
        <w:t>Engagement — managing agencies work with Traditional Owners, the community, business, industry and local government to influence best practice and encourage actions that will help secure the future health of the Region.</w:t>
      </w:r>
    </w:p>
    <w:p w14:paraId="5761D1DC" w14:textId="77777777" w:rsidR="00A56EE9" w:rsidRDefault="00A56EE9" w:rsidP="00E3690C">
      <w:pPr>
        <w:pStyle w:val="ListParagraph"/>
        <w:numPr>
          <w:ilvl w:val="0"/>
          <w:numId w:val="6"/>
        </w:numPr>
        <w:spacing w:after="200" w:line="276" w:lineRule="auto"/>
        <w:ind w:left="709"/>
        <w:rPr>
          <w:lang w:eastAsia="en-AU"/>
        </w:rPr>
      </w:pPr>
      <w:r>
        <w:rPr>
          <w:lang w:eastAsia="en-AU"/>
        </w:rPr>
        <w:t>Knowledge, integration and innovation — management is based on the best available science as well as drawing on traditional ecological knowledge and information from the wider community and is informed by the results of ongoing monitoring.</w:t>
      </w:r>
    </w:p>
    <w:p w14:paraId="5761D1DD" w14:textId="77777777" w:rsidR="00A56EE9" w:rsidRDefault="00A56EE9" w:rsidP="00E3690C">
      <w:pPr>
        <w:spacing w:line="276" w:lineRule="auto"/>
      </w:pPr>
      <w:r>
        <w:t>A wide range of tools are employed to implement these approaches:</w:t>
      </w:r>
    </w:p>
    <w:p w14:paraId="5761D1DF" w14:textId="77777777" w:rsidR="00A56EE9" w:rsidRDefault="00A56EE9" w:rsidP="00E3690C">
      <w:pPr>
        <w:pStyle w:val="ListParagraph"/>
        <w:numPr>
          <w:ilvl w:val="0"/>
          <w:numId w:val="7"/>
        </w:numPr>
        <w:spacing w:after="200" w:line="276" w:lineRule="auto"/>
      </w:pPr>
      <w:r>
        <w:t>Acts and Regulations</w:t>
      </w:r>
    </w:p>
    <w:p w14:paraId="5761D1E0" w14:textId="77777777" w:rsidR="00A56EE9" w:rsidRDefault="00A56EE9" w:rsidP="00E3690C">
      <w:pPr>
        <w:pStyle w:val="ListParagraph"/>
        <w:numPr>
          <w:ilvl w:val="0"/>
          <w:numId w:val="7"/>
        </w:numPr>
        <w:spacing w:after="200" w:line="276" w:lineRule="auto"/>
      </w:pPr>
      <w:r>
        <w:t>zoning plans</w:t>
      </w:r>
    </w:p>
    <w:p w14:paraId="5761D1E1" w14:textId="77777777" w:rsidR="00A56EE9" w:rsidRDefault="00A56EE9" w:rsidP="00E3690C">
      <w:pPr>
        <w:pStyle w:val="ListParagraph"/>
        <w:numPr>
          <w:ilvl w:val="0"/>
          <w:numId w:val="7"/>
        </w:numPr>
        <w:spacing w:after="200" w:line="276" w:lineRule="auto"/>
      </w:pPr>
      <w:r>
        <w:t>management plans</w:t>
      </w:r>
    </w:p>
    <w:p w14:paraId="5761D1E2" w14:textId="77777777" w:rsidR="00A56EE9" w:rsidRDefault="00A56EE9" w:rsidP="00E3690C">
      <w:pPr>
        <w:pStyle w:val="ListParagraph"/>
        <w:numPr>
          <w:ilvl w:val="0"/>
          <w:numId w:val="7"/>
        </w:numPr>
        <w:spacing w:after="200" w:line="276" w:lineRule="auto"/>
      </w:pPr>
      <w:r>
        <w:t>permits and licences (including environmental impact assessment)</w:t>
      </w:r>
    </w:p>
    <w:p w14:paraId="5761D1E3" w14:textId="77777777" w:rsidR="00A56EE9" w:rsidRDefault="00A56EE9" w:rsidP="00E3690C">
      <w:pPr>
        <w:pStyle w:val="ListParagraph"/>
        <w:numPr>
          <w:ilvl w:val="0"/>
          <w:numId w:val="7"/>
        </w:numPr>
        <w:spacing w:after="200" w:line="276" w:lineRule="auto"/>
      </w:pPr>
      <w:r>
        <w:t>Traditional Owner agreements</w:t>
      </w:r>
    </w:p>
    <w:p w14:paraId="5761D1E4" w14:textId="77777777" w:rsidR="00A56EE9" w:rsidRDefault="00A56EE9" w:rsidP="00E3690C">
      <w:pPr>
        <w:pStyle w:val="ListParagraph"/>
        <w:numPr>
          <w:ilvl w:val="0"/>
          <w:numId w:val="7"/>
        </w:numPr>
        <w:spacing w:after="200" w:line="276" w:lineRule="auto"/>
      </w:pPr>
      <w:r>
        <w:t xml:space="preserve">compliance </w:t>
      </w:r>
    </w:p>
    <w:p w14:paraId="5761D1E5" w14:textId="77777777" w:rsidR="00A56EE9" w:rsidRDefault="00A56EE9" w:rsidP="00E3690C">
      <w:pPr>
        <w:pStyle w:val="ListParagraph"/>
        <w:numPr>
          <w:ilvl w:val="0"/>
          <w:numId w:val="7"/>
        </w:numPr>
        <w:spacing w:after="200" w:line="276" w:lineRule="auto"/>
      </w:pPr>
      <w:r>
        <w:t>site infrastructure</w:t>
      </w:r>
    </w:p>
    <w:p w14:paraId="5761D1E6" w14:textId="77777777" w:rsidR="00A56EE9" w:rsidRDefault="00A56EE9" w:rsidP="00E3690C">
      <w:pPr>
        <w:pStyle w:val="ListParagraph"/>
        <w:numPr>
          <w:ilvl w:val="0"/>
          <w:numId w:val="7"/>
        </w:numPr>
        <w:spacing w:after="200" w:line="276" w:lineRule="auto"/>
      </w:pPr>
      <w:r>
        <w:t>fees and charges</w:t>
      </w:r>
    </w:p>
    <w:p w14:paraId="5761D1E7" w14:textId="77777777" w:rsidR="00A56EE9" w:rsidRDefault="00A56EE9" w:rsidP="00E3690C">
      <w:pPr>
        <w:pStyle w:val="ListParagraph"/>
        <w:numPr>
          <w:ilvl w:val="0"/>
          <w:numId w:val="7"/>
        </w:numPr>
        <w:spacing w:after="200" w:line="276" w:lineRule="auto"/>
        <w:ind w:right="-4205"/>
      </w:pPr>
      <w:r>
        <w:t>policy (including strategies, policies, position statements, site management arrangements and guidelines)</w:t>
      </w:r>
    </w:p>
    <w:p w14:paraId="5761D1E8" w14:textId="77777777" w:rsidR="00A56EE9" w:rsidRDefault="00A56EE9" w:rsidP="00E3690C">
      <w:pPr>
        <w:pStyle w:val="ListParagraph"/>
        <w:numPr>
          <w:ilvl w:val="0"/>
          <w:numId w:val="8"/>
        </w:numPr>
        <w:spacing w:after="200" w:line="276" w:lineRule="auto"/>
      </w:pPr>
      <w:r>
        <w:t xml:space="preserve">partnerships </w:t>
      </w:r>
    </w:p>
    <w:p w14:paraId="5761D1E9" w14:textId="77777777" w:rsidR="00A56EE9" w:rsidRDefault="00A56EE9" w:rsidP="00E3690C">
      <w:pPr>
        <w:pStyle w:val="ListParagraph"/>
        <w:numPr>
          <w:ilvl w:val="0"/>
          <w:numId w:val="8"/>
        </w:numPr>
        <w:spacing w:after="200" w:line="276" w:lineRule="auto"/>
      </w:pPr>
      <w:r>
        <w:t>stewardship and best practice</w:t>
      </w:r>
    </w:p>
    <w:p w14:paraId="5761D1EA" w14:textId="77777777" w:rsidR="00A56EE9" w:rsidRDefault="00A56EE9" w:rsidP="00E3690C">
      <w:pPr>
        <w:pStyle w:val="ListParagraph"/>
        <w:numPr>
          <w:ilvl w:val="0"/>
          <w:numId w:val="8"/>
        </w:numPr>
        <w:spacing w:after="200" w:line="276" w:lineRule="auto"/>
      </w:pPr>
      <w:r>
        <w:t>education and community awareness</w:t>
      </w:r>
    </w:p>
    <w:p w14:paraId="5761D1EB" w14:textId="77777777" w:rsidR="00A56EE9" w:rsidRDefault="00A56EE9" w:rsidP="00E3690C">
      <w:pPr>
        <w:pStyle w:val="ListParagraph"/>
        <w:numPr>
          <w:ilvl w:val="0"/>
          <w:numId w:val="8"/>
        </w:numPr>
        <w:spacing w:after="200" w:line="276" w:lineRule="auto"/>
      </w:pPr>
      <w:r>
        <w:t>research and monitoring</w:t>
      </w:r>
    </w:p>
    <w:p w14:paraId="5761D1EC" w14:textId="77777777" w:rsidR="00A56EE9" w:rsidRDefault="00A56EE9" w:rsidP="00E3690C">
      <w:pPr>
        <w:pStyle w:val="ListParagraph"/>
        <w:numPr>
          <w:ilvl w:val="0"/>
          <w:numId w:val="8"/>
        </w:numPr>
        <w:spacing w:after="200" w:line="276" w:lineRule="auto"/>
      </w:pPr>
      <w:r>
        <w:t>reporting</w:t>
      </w:r>
    </w:p>
    <w:p w14:paraId="5761D1EE" w14:textId="791EB886" w:rsidR="00A56EE9" w:rsidRDefault="00A56EE9" w:rsidP="00E3690C">
      <w:pPr>
        <w:spacing w:line="276" w:lineRule="auto"/>
      </w:pPr>
      <w:r>
        <w:t xml:space="preserve">A summary of the assessment of each topic is set out in Sections 2, 3 and 4. Section 5 considers the six elements of </w:t>
      </w:r>
      <w:r w:rsidRPr="007B79EC">
        <w:rPr>
          <w:i/>
        </w:rPr>
        <w:t>context, planning, inputs, processes, outputs</w:t>
      </w:r>
      <w:r>
        <w:t>,</w:t>
      </w:r>
      <w:r w:rsidRPr="007B79EC">
        <w:rPr>
          <w:i/>
        </w:rPr>
        <w:t xml:space="preserve"> outcomes</w:t>
      </w:r>
      <w:r>
        <w:t xml:space="preserve"> and </w:t>
      </w:r>
      <w:r w:rsidRPr="007B79EC">
        <w:rPr>
          <w:i/>
        </w:rPr>
        <w:t>outcomes</w:t>
      </w:r>
      <w:r>
        <w:t xml:space="preserve"> with the management effectiveness framework for the Region. The assessors then considered how effective the main management tools were in delivering outcomes for each of the 14 topics (Section 6).</w:t>
      </w:r>
      <w:r w:rsidR="00242993">
        <w:t xml:space="preserve"> </w:t>
      </w:r>
      <w:r w:rsidRPr="007B79EC">
        <w:t>The grades are based on the grading statements in Appendix 2</w:t>
      </w:r>
      <w:r>
        <w:t xml:space="preserve"> and the summarised details given in Appendix 3.</w:t>
      </w:r>
      <w:r w:rsidR="00242993">
        <w:t xml:space="preserve"> </w:t>
      </w:r>
      <w:r>
        <w:t xml:space="preserve">Further details of the program areas and management tools are provided in Appendix 4. Detailed results of the assessment of each management topic against the 49 indicators are provided in Appendix 5. </w:t>
      </w:r>
    </w:p>
    <w:p w14:paraId="5761D1EF" w14:textId="77777777" w:rsidR="00A56EE9" w:rsidRDefault="00A56EE9">
      <w:r>
        <w:br w:type="page"/>
      </w:r>
    </w:p>
    <w:p w14:paraId="5761D1F0" w14:textId="77777777" w:rsidR="00A56EE9" w:rsidRDefault="00A56EE9" w:rsidP="00A11869">
      <w:pPr>
        <w:pStyle w:val="Heading1"/>
        <w:numPr>
          <w:ilvl w:val="0"/>
          <w:numId w:val="17"/>
        </w:numPr>
        <w:tabs>
          <w:tab w:val="clear" w:pos="360"/>
        </w:tabs>
      </w:pPr>
      <w:bookmarkStart w:id="47" w:name="_Toc523423778"/>
      <w:r>
        <w:lastRenderedPageBreak/>
        <w:t>Assessment of managing direct use of the Region</w:t>
      </w:r>
      <w:bookmarkEnd w:id="47"/>
    </w:p>
    <w:p w14:paraId="5761D1F1" w14:textId="77777777" w:rsidR="00A56EE9" w:rsidRDefault="00A56EE9" w:rsidP="00A11869">
      <w:pPr>
        <w:pStyle w:val="Heading2"/>
        <w:numPr>
          <w:ilvl w:val="1"/>
          <w:numId w:val="17"/>
        </w:numPr>
        <w:ind w:left="357" w:hanging="357"/>
      </w:pPr>
      <w:bookmarkStart w:id="48" w:name="_Toc523423779"/>
      <w:r>
        <w:t>Commercial marine tourism</w:t>
      </w:r>
      <w:bookmarkEnd w:id="48"/>
    </w:p>
    <w:p w14:paraId="5761D1F2" w14:textId="70BF872E" w:rsidR="00A56EE9" w:rsidRPr="00350DDE" w:rsidRDefault="00A56EE9" w:rsidP="00E3690C">
      <w:pPr>
        <w:spacing w:line="276" w:lineRule="auto"/>
        <w:rPr>
          <w:lang w:val="en-GB"/>
        </w:rPr>
      </w:pPr>
      <w:r w:rsidRPr="00316E79">
        <w:rPr>
          <w:lang w:val="en-GB"/>
        </w:rPr>
        <w:t xml:space="preserve">The Marine Park Authority </w:t>
      </w:r>
      <w:r>
        <w:rPr>
          <w:lang w:val="en-GB"/>
        </w:rPr>
        <w:t xml:space="preserve">and the Queensland Parks and Wildlife Service (QPWS) jointly </w:t>
      </w:r>
      <w:r w:rsidRPr="00316E79">
        <w:rPr>
          <w:lang w:val="en-GB"/>
        </w:rPr>
        <w:t>manage</w:t>
      </w:r>
      <w:r>
        <w:rPr>
          <w:lang w:val="en-GB"/>
        </w:rPr>
        <w:t xml:space="preserve"> </w:t>
      </w:r>
      <w:r w:rsidRPr="00316E79">
        <w:rPr>
          <w:lang w:val="en-GB"/>
        </w:rPr>
        <w:t xml:space="preserve">marine tourism </w:t>
      </w:r>
      <w:r>
        <w:rPr>
          <w:lang w:val="en-GB"/>
        </w:rPr>
        <w:t xml:space="preserve">activities </w:t>
      </w:r>
      <w:r w:rsidRPr="00316E79">
        <w:rPr>
          <w:lang w:val="en-GB"/>
        </w:rPr>
        <w:t>in the Region</w:t>
      </w:r>
      <w:r>
        <w:rPr>
          <w:lang w:val="en-GB"/>
        </w:rPr>
        <w:t xml:space="preserve"> including processing administrative permits and compliance</w:t>
      </w:r>
      <w:r w:rsidRPr="00316E79">
        <w:rPr>
          <w:lang w:val="en-GB"/>
        </w:rPr>
        <w:t xml:space="preserve"> opera</w:t>
      </w:r>
      <w:r>
        <w:rPr>
          <w:lang w:val="en-GB"/>
        </w:rPr>
        <w:t xml:space="preserve">tions.  </w:t>
      </w:r>
      <w:r w:rsidRPr="00350DDE">
        <w:rPr>
          <w:lang w:val="en-GB"/>
        </w:rPr>
        <w:t xml:space="preserve">Rating of effectiveness for </w:t>
      </w:r>
      <w:r>
        <w:rPr>
          <w:lang w:val="en-GB"/>
        </w:rPr>
        <w:t>all</w:t>
      </w:r>
      <w:r w:rsidRPr="00350DDE">
        <w:rPr>
          <w:lang w:val="en-GB"/>
        </w:rPr>
        <w:t xml:space="preserve"> six assessment elements </w:t>
      </w:r>
      <w:r>
        <w:rPr>
          <w:lang w:val="en-GB"/>
        </w:rPr>
        <w:t>remained the same as in the Outlook Report 2014 (</w:t>
      </w:r>
      <w:r w:rsidRPr="00D07110">
        <w:rPr>
          <w:i/>
          <w:lang w:val="en-GB"/>
        </w:rPr>
        <w:t>effective</w:t>
      </w:r>
      <w:r>
        <w:rPr>
          <w:lang w:val="en-GB"/>
        </w:rPr>
        <w:t xml:space="preserve"> and </w:t>
      </w:r>
      <w:r w:rsidRPr="00D07110">
        <w:rPr>
          <w:i/>
          <w:lang w:val="en-GB"/>
        </w:rPr>
        <w:t>mostly effective</w:t>
      </w:r>
      <w:r>
        <w:rPr>
          <w:lang w:val="en-GB"/>
        </w:rPr>
        <w:t xml:space="preserve">), although </w:t>
      </w:r>
      <w:r w:rsidRPr="00350DDE">
        <w:rPr>
          <w:lang w:val="en-GB"/>
        </w:rPr>
        <w:t xml:space="preserve">Inputs improved </w:t>
      </w:r>
      <w:r>
        <w:rPr>
          <w:lang w:val="en-GB"/>
        </w:rPr>
        <w:t xml:space="preserve">within the </w:t>
      </w:r>
      <w:r w:rsidRPr="00D07110">
        <w:rPr>
          <w:i/>
          <w:lang w:val="en-GB"/>
        </w:rPr>
        <w:t>mostly effective</w:t>
      </w:r>
      <w:r w:rsidRPr="00350DDE">
        <w:rPr>
          <w:lang w:val="en-GB"/>
        </w:rPr>
        <w:t xml:space="preserve"> </w:t>
      </w:r>
      <w:r>
        <w:rPr>
          <w:lang w:val="en-GB"/>
        </w:rPr>
        <w:t>range.</w:t>
      </w:r>
      <w:r w:rsidRPr="00350DDE">
        <w:rPr>
          <w:lang w:val="en-GB"/>
        </w:rPr>
        <w:t xml:space="preserve"> </w:t>
      </w:r>
    </w:p>
    <w:p w14:paraId="5761D1F3" w14:textId="77777777" w:rsidR="00A56EE9" w:rsidRDefault="00A56EE9" w:rsidP="00E3690C">
      <w:pPr>
        <w:spacing w:line="276" w:lineRule="auto"/>
        <w:rPr>
          <w:lang w:val="en-GB"/>
        </w:rPr>
      </w:pPr>
      <w:r w:rsidRPr="00316E79">
        <w:rPr>
          <w:lang w:val="en-GB"/>
        </w:rPr>
        <w:t xml:space="preserve">Managers have a sound understanding of the values of the </w:t>
      </w:r>
      <w:r>
        <w:rPr>
          <w:lang w:val="en-GB"/>
        </w:rPr>
        <w:t>Region</w:t>
      </w:r>
      <w:r w:rsidRPr="00316E79">
        <w:rPr>
          <w:lang w:val="en-GB"/>
        </w:rPr>
        <w:t xml:space="preserve"> relevant to commercial marine tourism. Tourism is recognised as the most significant direct use in the </w:t>
      </w:r>
      <w:r>
        <w:rPr>
          <w:lang w:val="en-GB"/>
        </w:rPr>
        <w:t>Region</w:t>
      </w:r>
      <w:r w:rsidRPr="00316E79">
        <w:rPr>
          <w:lang w:val="en-GB"/>
        </w:rPr>
        <w:t xml:space="preserve">, in terms of both economic value and employment (Deloitte </w:t>
      </w:r>
      <w:r>
        <w:rPr>
          <w:lang w:val="en-GB"/>
        </w:rPr>
        <w:t>A</w:t>
      </w:r>
      <w:r w:rsidRPr="00316E79">
        <w:rPr>
          <w:lang w:val="en-GB"/>
        </w:rPr>
        <w:t>c</w:t>
      </w:r>
      <w:r>
        <w:rPr>
          <w:lang w:val="en-GB"/>
        </w:rPr>
        <w:t>c</w:t>
      </w:r>
      <w:r w:rsidRPr="00316E79">
        <w:rPr>
          <w:lang w:val="en-GB"/>
        </w:rPr>
        <w:t>ess Econo</w:t>
      </w:r>
      <w:r>
        <w:rPr>
          <w:lang w:val="en-GB"/>
        </w:rPr>
        <w:t>mics 2017). Tourists value the R</w:t>
      </w:r>
      <w:r w:rsidRPr="00316E79">
        <w:rPr>
          <w:lang w:val="en-GB"/>
        </w:rPr>
        <w:t xml:space="preserve">eef for its </w:t>
      </w:r>
      <w:r w:rsidRPr="00405486">
        <w:rPr>
          <w:lang w:val="en-GB"/>
        </w:rPr>
        <w:t>biodiversity values, its aesthetic beauty and world heritage status (in that order of priority) (</w:t>
      </w:r>
      <w:r>
        <w:rPr>
          <w:lang w:val="en-GB"/>
        </w:rPr>
        <w:t>Marshall et al.</w:t>
      </w:r>
      <w:r w:rsidRPr="00405486">
        <w:rPr>
          <w:lang w:val="en-GB"/>
        </w:rPr>
        <w:t xml:space="preserve"> 2017</w:t>
      </w:r>
      <w:r>
        <w:rPr>
          <w:lang w:val="en-GB"/>
        </w:rPr>
        <w:t>a</w:t>
      </w:r>
      <w:r w:rsidRPr="00405486">
        <w:rPr>
          <w:lang w:val="en-GB"/>
        </w:rPr>
        <w:t>).</w:t>
      </w:r>
      <w:r w:rsidRPr="00316E79">
        <w:rPr>
          <w:lang w:val="en-GB"/>
        </w:rPr>
        <w:t xml:space="preserve"> Tourism </w:t>
      </w:r>
      <w:r>
        <w:rPr>
          <w:lang w:val="en-GB"/>
        </w:rPr>
        <w:t>activities are</w:t>
      </w:r>
      <w:r w:rsidRPr="00316E79">
        <w:rPr>
          <w:lang w:val="en-GB"/>
        </w:rPr>
        <w:t xml:space="preserve"> considered to </w:t>
      </w:r>
      <w:r>
        <w:rPr>
          <w:lang w:val="en-GB"/>
        </w:rPr>
        <w:t>be</w:t>
      </w:r>
      <w:r w:rsidRPr="00316E79">
        <w:rPr>
          <w:lang w:val="en-GB"/>
        </w:rPr>
        <w:t xml:space="preserve"> </w:t>
      </w:r>
      <w:r>
        <w:rPr>
          <w:lang w:val="en-GB"/>
        </w:rPr>
        <w:t>a comparatively low risk to the R</w:t>
      </w:r>
      <w:r w:rsidRPr="00316E79">
        <w:rPr>
          <w:lang w:val="en-GB"/>
        </w:rPr>
        <w:t xml:space="preserve">eef, with key issues </w:t>
      </w:r>
      <w:r>
        <w:rPr>
          <w:lang w:val="en-GB"/>
        </w:rPr>
        <w:t>related to over-crowding at</w:t>
      </w:r>
      <w:r w:rsidRPr="00316E79">
        <w:rPr>
          <w:lang w:val="en-GB"/>
        </w:rPr>
        <w:t xml:space="preserve"> particular </w:t>
      </w:r>
      <w:r>
        <w:rPr>
          <w:lang w:val="en-GB"/>
        </w:rPr>
        <w:t xml:space="preserve">high use </w:t>
      </w:r>
      <w:r w:rsidRPr="00316E79">
        <w:rPr>
          <w:lang w:val="en-GB"/>
        </w:rPr>
        <w:t xml:space="preserve">sites. </w:t>
      </w:r>
    </w:p>
    <w:p w14:paraId="5761D1F4" w14:textId="77777777" w:rsidR="00A56EE9" w:rsidRDefault="00A56EE9" w:rsidP="00E3690C">
      <w:pPr>
        <w:spacing w:line="276" w:lineRule="auto"/>
        <w:rPr>
          <w:lang w:val="en-GB"/>
        </w:rPr>
      </w:pPr>
      <w:r w:rsidRPr="00316E79">
        <w:rPr>
          <w:lang w:val="en-GB"/>
        </w:rPr>
        <w:t>Local</w:t>
      </w:r>
      <w:r>
        <w:rPr>
          <w:lang w:val="en-GB"/>
        </w:rPr>
        <w:t>-</w:t>
      </w:r>
      <w:r w:rsidRPr="00316E79">
        <w:rPr>
          <w:lang w:val="en-GB"/>
        </w:rPr>
        <w:t xml:space="preserve">scale issues such as anchor damage </w:t>
      </w:r>
      <w:r>
        <w:rPr>
          <w:lang w:val="en-GB"/>
        </w:rPr>
        <w:t>to</w:t>
      </w:r>
      <w:r w:rsidRPr="00316E79">
        <w:rPr>
          <w:lang w:val="en-GB"/>
        </w:rPr>
        <w:t xml:space="preserve"> coral and disturbance of marine wildlife have been reduced</w:t>
      </w:r>
      <w:r>
        <w:rPr>
          <w:lang w:val="en-GB"/>
        </w:rPr>
        <w:t xml:space="preserve"> </w:t>
      </w:r>
      <w:r w:rsidRPr="00316E79">
        <w:rPr>
          <w:lang w:val="en-GB"/>
        </w:rPr>
        <w:t>through regulation</w:t>
      </w:r>
      <w:r>
        <w:rPr>
          <w:lang w:val="en-GB"/>
        </w:rPr>
        <w:t xml:space="preserve">, communication of responsible reef practices, and increased public moorings and reef protection markers which preclude anchoring in high coral areas. </w:t>
      </w:r>
      <w:r w:rsidRPr="00316E79">
        <w:rPr>
          <w:lang w:val="en-GB"/>
        </w:rPr>
        <w:t xml:space="preserve">Stakeholders are well known </w:t>
      </w:r>
      <w:r>
        <w:rPr>
          <w:lang w:val="en-GB"/>
        </w:rPr>
        <w:t xml:space="preserve">by managers </w:t>
      </w:r>
      <w:r w:rsidRPr="00316E79">
        <w:rPr>
          <w:lang w:val="en-GB"/>
        </w:rPr>
        <w:t>an</w:t>
      </w:r>
      <w:r>
        <w:rPr>
          <w:lang w:val="en-GB"/>
        </w:rPr>
        <w:t>d are proactively engaged with R</w:t>
      </w:r>
      <w:r w:rsidRPr="00316E79">
        <w:rPr>
          <w:lang w:val="en-GB"/>
        </w:rPr>
        <w:t>eef issues.</w:t>
      </w:r>
      <w:r>
        <w:rPr>
          <w:lang w:val="en-GB"/>
        </w:rPr>
        <w:t xml:space="preserve"> </w:t>
      </w:r>
      <w:r w:rsidRPr="00316E79">
        <w:rPr>
          <w:lang w:val="en-GB"/>
        </w:rPr>
        <w:t xml:space="preserve">What is less clearly understood is the impact </w:t>
      </w:r>
      <w:r>
        <w:rPr>
          <w:lang w:val="en-GB"/>
        </w:rPr>
        <w:t xml:space="preserve">to the tourism industry of multiple stressors (such as </w:t>
      </w:r>
      <w:r w:rsidRPr="00316E79">
        <w:rPr>
          <w:lang w:val="en-GB"/>
        </w:rPr>
        <w:t xml:space="preserve">coral bleaching </w:t>
      </w:r>
      <w:r>
        <w:rPr>
          <w:lang w:val="en-GB"/>
        </w:rPr>
        <w:t>and s</w:t>
      </w:r>
      <w:r w:rsidRPr="00316E79">
        <w:rPr>
          <w:lang w:val="en-GB"/>
        </w:rPr>
        <w:t>evere, regular cyclones</w:t>
      </w:r>
      <w:r>
        <w:rPr>
          <w:lang w:val="en-GB"/>
        </w:rPr>
        <w:t>)</w:t>
      </w:r>
      <w:r w:rsidRPr="00316E79">
        <w:rPr>
          <w:lang w:val="en-GB"/>
        </w:rPr>
        <w:t xml:space="preserve"> </w:t>
      </w:r>
      <w:r>
        <w:rPr>
          <w:lang w:val="en-GB"/>
        </w:rPr>
        <w:t>on</w:t>
      </w:r>
      <w:r w:rsidRPr="00316E79">
        <w:rPr>
          <w:lang w:val="en-GB"/>
        </w:rPr>
        <w:t xml:space="preserve"> the enjo</w:t>
      </w:r>
      <w:r>
        <w:rPr>
          <w:lang w:val="en-GB"/>
        </w:rPr>
        <w:t>yment and accessibility of the R</w:t>
      </w:r>
      <w:r w:rsidRPr="00316E79">
        <w:rPr>
          <w:lang w:val="en-GB"/>
        </w:rPr>
        <w:t xml:space="preserve">eef to visitors, and the </w:t>
      </w:r>
      <w:r>
        <w:rPr>
          <w:lang w:val="en-GB"/>
        </w:rPr>
        <w:t>resultant</w:t>
      </w:r>
      <w:r w:rsidRPr="00316E79">
        <w:rPr>
          <w:lang w:val="en-GB"/>
        </w:rPr>
        <w:t xml:space="preserve"> impact </w:t>
      </w:r>
      <w:r>
        <w:rPr>
          <w:lang w:val="en-GB"/>
        </w:rPr>
        <w:t>on</w:t>
      </w:r>
      <w:r w:rsidRPr="00316E79">
        <w:rPr>
          <w:lang w:val="en-GB"/>
        </w:rPr>
        <w:t xml:space="preserve"> the reef-based tourism industry. </w:t>
      </w:r>
    </w:p>
    <w:p w14:paraId="5761D1F5" w14:textId="601849A3" w:rsidR="00A56EE9" w:rsidRPr="008E41B0" w:rsidRDefault="00A56EE9" w:rsidP="00E3690C">
      <w:pPr>
        <w:spacing w:line="276" w:lineRule="auto"/>
        <w:rPr>
          <w:lang w:val="en-GB"/>
        </w:rPr>
      </w:pPr>
      <w:r>
        <w:rPr>
          <w:lang w:val="en-GB"/>
        </w:rPr>
        <w:t xml:space="preserve">The </w:t>
      </w:r>
      <w:r w:rsidRPr="00316E79">
        <w:rPr>
          <w:lang w:val="en-GB"/>
        </w:rPr>
        <w:t>Zoning Plan</w:t>
      </w:r>
      <w:r w:rsidR="007049ED">
        <w:rPr>
          <w:lang w:val="en-GB"/>
        </w:rPr>
        <w:t>s</w:t>
      </w:r>
      <w:r w:rsidRPr="00316E79">
        <w:rPr>
          <w:lang w:val="en-GB"/>
        </w:rPr>
        <w:t xml:space="preserve">, Plans of Management, </w:t>
      </w:r>
      <w:r>
        <w:rPr>
          <w:lang w:val="en-GB"/>
        </w:rPr>
        <w:t xml:space="preserve">partnerships, </w:t>
      </w:r>
      <w:r w:rsidRPr="00316E79">
        <w:rPr>
          <w:lang w:val="en-GB"/>
        </w:rPr>
        <w:t xml:space="preserve">policies and permits are key tools used to manage commercial </w:t>
      </w:r>
      <w:r>
        <w:rPr>
          <w:lang w:val="en-GB"/>
        </w:rPr>
        <w:t>marine</w:t>
      </w:r>
      <w:r w:rsidRPr="00316E79">
        <w:rPr>
          <w:lang w:val="en-GB"/>
        </w:rPr>
        <w:t xml:space="preserve"> tourism. Plans of Management are in place for the areas that receive more than 80 per cent of </w:t>
      </w:r>
      <w:r>
        <w:rPr>
          <w:lang w:val="en-GB"/>
        </w:rPr>
        <w:t>visitors, although they</w:t>
      </w:r>
      <w:r w:rsidRPr="00316E79">
        <w:rPr>
          <w:lang w:val="en-GB"/>
        </w:rPr>
        <w:t xml:space="preserve"> cover less than 10 per cent of the total Great Barrier Reef area. </w:t>
      </w:r>
      <w:r>
        <w:rPr>
          <w:lang w:val="en-GB"/>
        </w:rPr>
        <w:t>In 2015-16, t</w:t>
      </w:r>
      <w:r w:rsidRPr="00316E79">
        <w:rPr>
          <w:lang w:val="en-GB"/>
        </w:rPr>
        <w:t xml:space="preserve">he Whitsundays </w:t>
      </w:r>
      <w:r>
        <w:rPr>
          <w:lang w:val="en-GB"/>
        </w:rPr>
        <w:t>Plan of Management was</w:t>
      </w:r>
      <w:r w:rsidRPr="00316E79">
        <w:rPr>
          <w:lang w:val="en-GB"/>
        </w:rPr>
        <w:t xml:space="preserve"> reviewed</w:t>
      </w:r>
      <w:r>
        <w:rPr>
          <w:lang w:val="en-GB"/>
        </w:rPr>
        <w:t>, with the amended Plan completed in 2017. This amended plan has</w:t>
      </w:r>
      <w:r w:rsidRPr="00316E79">
        <w:rPr>
          <w:lang w:val="en-GB"/>
        </w:rPr>
        <w:t xml:space="preserve"> increased protection of seabird nesting areas from vessels and aircraft (tourism and recreational) during key nesting periods</w:t>
      </w:r>
      <w:r>
        <w:rPr>
          <w:lang w:val="en-GB"/>
        </w:rPr>
        <w:t>;</w:t>
      </w:r>
      <w:r w:rsidRPr="00316E79">
        <w:rPr>
          <w:lang w:val="en-GB"/>
        </w:rPr>
        <w:t xml:space="preserve"> identified areas for superyacht anchor</w:t>
      </w:r>
      <w:r>
        <w:rPr>
          <w:lang w:val="en-GB"/>
        </w:rPr>
        <w:t>ages</w:t>
      </w:r>
      <w:r w:rsidRPr="00316E79">
        <w:rPr>
          <w:lang w:val="en-GB"/>
        </w:rPr>
        <w:t xml:space="preserve"> that has minimal coral</w:t>
      </w:r>
      <w:r>
        <w:rPr>
          <w:lang w:val="en-GB"/>
        </w:rPr>
        <w:t xml:space="preserve"> </w:t>
      </w:r>
      <w:r w:rsidRPr="00316E79">
        <w:rPr>
          <w:lang w:val="en-GB"/>
        </w:rPr>
        <w:t>habitat</w:t>
      </w:r>
      <w:r>
        <w:rPr>
          <w:lang w:val="en-GB"/>
        </w:rPr>
        <w:t>; and provided</w:t>
      </w:r>
      <w:r w:rsidRPr="00316E79">
        <w:rPr>
          <w:lang w:val="en-GB"/>
        </w:rPr>
        <w:t xml:space="preserve"> greater flexibility for some tourism </w:t>
      </w:r>
      <w:r>
        <w:rPr>
          <w:lang w:val="en-GB"/>
        </w:rPr>
        <w:t>activities</w:t>
      </w:r>
      <w:r w:rsidRPr="00316E79">
        <w:rPr>
          <w:lang w:val="en-GB"/>
        </w:rPr>
        <w:t xml:space="preserve"> such as motorised water sports</w:t>
      </w:r>
      <w:r>
        <w:rPr>
          <w:lang w:val="en-GB"/>
        </w:rPr>
        <w:t>. T</w:t>
      </w:r>
      <w:r w:rsidRPr="008E41B0">
        <w:rPr>
          <w:lang w:val="en-GB"/>
        </w:rPr>
        <w:t xml:space="preserve">he </w:t>
      </w:r>
      <w:r w:rsidRPr="00C93EF3">
        <w:rPr>
          <w:i/>
          <w:lang w:val="en-GB"/>
        </w:rPr>
        <w:t>Cairns Area Plan of Management 2008</w:t>
      </w:r>
      <w:r>
        <w:rPr>
          <w:lang w:val="en-GB"/>
        </w:rPr>
        <w:t xml:space="preserve"> </w:t>
      </w:r>
      <w:r w:rsidRPr="008E41B0">
        <w:rPr>
          <w:lang w:val="en-GB"/>
        </w:rPr>
        <w:t xml:space="preserve">and </w:t>
      </w:r>
      <w:r w:rsidRPr="00C93EF3">
        <w:rPr>
          <w:i/>
          <w:lang w:val="en-GB"/>
        </w:rPr>
        <w:t>Hinchinbrook Plan of Management 2004</w:t>
      </w:r>
      <w:r>
        <w:rPr>
          <w:lang w:val="en-GB"/>
        </w:rPr>
        <w:t xml:space="preserve"> are both </w:t>
      </w:r>
      <w:r w:rsidRPr="008E41B0">
        <w:rPr>
          <w:lang w:val="en-GB"/>
        </w:rPr>
        <w:t xml:space="preserve">overdue for review. </w:t>
      </w:r>
    </w:p>
    <w:p w14:paraId="5761D1F6" w14:textId="77777777" w:rsidR="00A56EE9" w:rsidRDefault="00A56EE9" w:rsidP="00E3690C">
      <w:pPr>
        <w:spacing w:line="276" w:lineRule="auto"/>
        <w:rPr>
          <w:lang w:val="en-GB"/>
        </w:rPr>
      </w:pPr>
      <w:r w:rsidRPr="00316E79">
        <w:rPr>
          <w:lang w:val="en-GB"/>
        </w:rPr>
        <w:t xml:space="preserve">The development of management </w:t>
      </w:r>
      <w:r>
        <w:rPr>
          <w:lang w:val="en-GB"/>
        </w:rPr>
        <w:t>arrangements for</w:t>
      </w:r>
      <w:r w:rsidRPr="00316E79">
        <w:rPr>
          <w:lang w:val="en-GB"/>
        </w:rPr>
        <w:t xml:space="preserve"> superyachts and </w:t>
      </w:r>
      <w:r>
        <w:rPr>
          <w:lang w:val="en-GB"/>
        </w:rPr>
        <w:t>the implementation of a</w:t>
      </w:r>
      <w:r w:rsidRPr="00316E79">
        <w:rPr>
          <w:lang w:val="en-GB"/>
        </w:rPr>
        <w:t xml:space="preserve"> policy for cruise ships reflects the increased demand </w:t>
      </w:r>
      <w:r>
        <w:rPr>
          <w:lang w:val="en-GB"/>
        </w:rPr>
        <w:t>for these activities in the Region</w:t>
      </w:r>
      <w:r w:rsidRPr="00316E79">
        <w:rPr>
          <w:lang w:val="en-GB"/>
        </w:rPr>
        <w:t xml:space="preserve">. </w:t>
      </w:r>
      <w:r>
        <w:rPr>
          <w:lang w:val="en-GB"/>
        </w:rPr>
        <w:t xml:space="preserve">Assessment processes, service level standards and routine permits for low risk/routine activities been introduced to improve efficiency. </w:t>
      </w:r>
      <w:r w:rsidRPr="00316E79">
        <w:rPr>
          <w:lang w:val="en-GB"/>
        </w:rPr>
        <w:t xml:space="preserve">Latent </w:t>
      </w:r>
      <w:r>
        <w:rPr>
          <w:lang w:val="en-GB"/>
        </w:rPr>
        <w:t xml:space="preserve">tourism permit use </w:t>
      </w:r>
      <w:r w:rsidRPr="00316E79">
        <w:rPr>
          <w:lang w:val="en-GB"/>
        </w:rPr>
        <w:t xml:space="preserve">identified in the Outlook </w:t>
      </w:r>
      <w:r>
        <w:rPr>
          <w:lang w:val="en-GB"/>
        </w:rPr>
        <w:t>R</w:t>
      </w:r>
      <w:r w:rsidRPr="00316E79">
        <w:rPr>
          <w:lang w:val="en-GB"/>
        </w:rPr>
        <w:t xml:space="preserve">eports 2009 and 2014 has yet to be addressed, </w:t>
      </w:r>
      <w:r>
        <w:rPr>
          <w:lang w:val="en-GB"/>
        </w:rPr>
        <w:t>though</w:t>
      </w:r>
      <w:r w:rsidRPr="00316E79">
        <w:rPr>
          <w:lang w:val="en-GB"/>
        </w:rPr>
        <w:t xml:space="preserve"> a </w:t>
      </w:r>
      <w:r>
        <w:rPr>
          <w:lang w:val="en-GB"/>
        </w:rPr>
        <w:t>policy review</w:t>
      </w:r>
      <w:r w:rsidRPr="00316E79">
        <w:rPr>
          <w:lang w:val="en-GB"/>
        </w:rPr>
        <w:t xml:space="preserve"> has commenced. </w:t>
      </w:r>
      <w:r>
        <w:rPr>
          <w:lang w:val="en-GB"/>
        </w:rPr>
        <w:t>Although there is long-term zoning monitoring that can provide information about the relative health of areas in the Whitsundays, t</w:t>
      </w:r>
      <w:r w:rsidRPr="00316E79">
        <w:rPr>
          <w:lang w:val="en-GB"/>
        </w:rPr>
        <w:t xml:space="preserve">here is no </w:t>
      </w:r>
      <w:r>
        <w:rPr>
          <w:lang w:val="en-GB"/>
        </w:rPr>
        <w:t xml:space="preserve">systematic </w:t>
      </w:r>
      <w:r w:rsidRPr="00316E79">
        <w:rPr>
          <w:lang w:val="en-GB"/>
        </w:rPr>
        <w:t>monitoring system in place to assess the effectiveness of Plans of Management</w:t>
      </w:r>
      <w:r>
        <w:rPr>
          <w:lang w:val="en-GB"/>
        </w:rPr>
        <w:t>.</w:t>
      </w:r>
    </w:p>
    <w:p w14:paraId="5761D1F7" w14:textId="77777777" w:rsidR="00A56EE9" w:rsidRPr="00497B2C" w:rsidRDefault="00A56EE9" w:rsidP="00E3690C">
      <w:pPr>
        <w:spacing w:line="276" w:lineRule="auto"/>
        <w:rPr>
          <w:lang w:val="en-GB"/>
        </w:rPr>
      </w:pPr>
      <w:r>
        <w:rPr>
          <w:lang w:val="en-GB"/>
        </w:rPr>
        <w:lastRenderedPageBreak/>
        <w:t>M</w:t>
      </w:r>
      <w:r w:rsidRPr="00497B2C">
        <w:rPr>
          <w:lang w:val="en-GB"/>
        </w:rPr>
        <w:t xml:space="preserve">aintenance of tourism structures was identified as an issue in Outlook </w:t>
      </w:r>
      <w:r>
        <w:rPr>
          <w:lang w:val="en-GB"/>
        </w:rPr>
        <w:t xml:space="preserve">Report </w:t>
      </w:r>
      <w:r w:rsidRPr="00497B2C">
        <w:rPr>
          <w:lang w:val="en-GB"/>
        </w:rPr>
        <w:t xml:space="preserve">2014, </w:t>
      </w:r>
      <w:r>
        <w:rPr>
          <w:lang w:val="en-GB"/>
        </w:rPr>
        <w:t>as</w:t>
      </w:r>
      <w:r w:rsidRPr="00497B2C">
        <w:rPr>
          <w:lang w:val="en-GB"/>
        </w:rPr>
        <w:t xml:space="preserve"> reduced profitability across the industry increas</w:t>
      </w:r>
      <w:r>
        <w:rPr>
          <w:lang w:val="en-GB"/>
        </w:rPr>
        <w:t>ed</w:t>
      </w:r>
      <w:r w:rsidRPr="00497B2C">
        <w:rPr>
          <w:lang w:val="en-GB"/>
        </w:rPr>
        <w:t xml:space="preserve"> the risks associated with</w:t>
      </w:r>
      <w:r>
        <w:rPr>
          <w:lang w:val="en-GB"/>
        </w:rPr>
        <w:t xml:space="preserve"> the upkeep of</w:t>
      </w:r>
      <w:r w:rsidRPr="00497B2C">
        <w:rPr>
          <w:lang w:val="en-GB"/>
        </w:rPr>
        <w:t xml:space="preserve"> tourism-related structures in the </w:t>
      </w:r>
      <w:r>
        <w:rPr>
          <w:lang w:val="en-GB"/>
        </w:rPr>
        <w:t xml:space="preserve">Region, </w:t>
      </w:r>
      <w:r w:rsidRPr="00497B2C">
        <w:rPr>
          <w:lang w:val="en-GB"/>
        </w:rPr>
        <w:t xml:space="preserve">such as pontoons, jetties, underwater observatories and moorings. </w:t>
      </w:r>
      <w:r>
        <w:rPr>
          <w:lang w:val="en-GB"/>
        </w:rPr>
        <w:t>C</w:t>
      </w:r>
      <w:r w:rsidRPr="00497B2C">
        <w:rPr>
          <w:lang w:val="en-GB"/>
        </w:rPr>
        <w:t>yclone</w:t>
      </w:r>
      <w:r>
        <w:rPr>
          <w:lang w:val="en-GB"/>
        </w:rPr>
        <w:t>s</w:t>
      </w:r>
      <w:r w:rsidRPr="00497B2C">
        <w:rPr>
          <w:lang w:val="en-GB"/>
        </w:rPr>
        <w:t xml:space="preserve"> </w:t>
      </w:r>
      <w:r>
        <w:rPr>
          <w:lang w:val="en-GB"/>
        </w:rPr>
        <w:t xml:space="preserve">since 2014, particularly in the Whitsundays, have affected many island resorts and coastal structures such as jetties. To address these issues, </w:t>
      </w:r>
      <w:r w:rsidRPr="00497B2C">
        <w:rPr>
          <w:lang w:val="en-GB"/>
        </w:rPr>
        <w:t xml:space="preserve">the </w:t>
      </w:r>
      <w:r>
        <w:rPr>
          <w:lang w:val="en-GB"/>
        </w:rPr>
        <w:t xml:space="preserve">Marine Park </w:t>
      </w:r>
      <w:r w:rsidRPr="00497B2C">
        <w:rPr>
          <w:lang w:val="en-GB"/>
        </w:rPr>
        <w:t>Authority has invested in permit compliance</w:t>
      </w:r>
      <w:r>
        <w:rPr>
          <w:lang w:val="en-GB"/>
        </w:rPr>
        <w:t>,</w:t>
      </w:r>
      <w:r w:rsidRPr="00497B2C">
        <w:rPr>
          <w:lang w:val="en-GB"/>
        </w:rPr>
        <w:t xml:space="preserve"> </w:t>
      </w:r>
      <w:r>
        <w:rPr>
          <w:lang w:val="en-GB"/>
        </w:rPr>
        <w:t>to</w:t>
      </w:r>
      <w:r w:rsidRPr="00497B2C">
        <w:rPr>
          <w:lang w:val="en-GB"/>
        </w:rPr>
        <w:t xml:space="preserve"> ensure permitted structures are maintained in good condition to reduce risks to values. </w:t>
      </w:r>
      <w:r>
        <w:rPr>
          <w:lang w:val="en-GB"/>
        </w:rPr>
        <w:t xml:space="preserve">In 2016-17, all nine tourism pontoons were audited, and no significant issues were found. Damaged infrastructure in the Whitsundays following Cyclone Debbie, particularly on islands, remains an ongoing management concern. Water quality impacting on the clarity of water for scuba diving and snorkelling has also been raised by tourism stakeholders as an issue of concern. </w:t>
      </w:r>
    </w:p>
    <w:p w14:paraId="5761D1F8" w14:textId="2A99F6ED" w:rsidR="00A56EE9" w:rsidRPr="00BE0B33" w:rsidRDefault="00A56EE9" w:rsidP="00E3690C">
      <w:pPr>
        <w:spacing w:line="276" w:lineRule="auto"/>
        <w:rPr>
          <w:lang w:val="en-GB"/>
        </w:rPr>
      </w:pPr>
      <w:r w:rsidRPr="00316E79">
        <w:rPr>
          <w:lang w:val="en-GB"/>
        </w:rPr>
        <w:t xml:space="preserve">A review of the regulations and permit assessment processes was undertaken in 2017, with a view to improve consistency and transparency </w:t>
      </w:r>
      <w:r>
        <w:rPr>
          <w:lang w:val="en-GB"/>
        </w:rPr>
        <w:t>by providing</w:t>
      </w:r>
      <w:r w:rsidRPr="00316E79">
        <w:rPr>
          <w:lang w:val="en-GB"/>
        </w:rPr>
        <w:t xml:space="preserve"> a range of guidelines </w:t>
      </w:r>
      <w:r>
        <w:rPr>
          <w:lang w:val="en-GB"/>
        </w:rPr>
        <w:t>for</w:t>
      </w:r>
      <w:r w:rsidRPr="00316E79">
        <w:rPr>
          <w:lang w:val="en-GB"/>
        </w:rPr>
        <w:t xml:space="preserve"> decision making. </w:t>
      </w:r>
      <w:r>
        <w:rPr>
          <w:lang w:val="en-GB"/>
        </w:rPr>
        <w:t>T</w:t>
      </w:r>
      <w:r w:rsidRPr="00316E79">
        <w:rPr>
          <w:lang w:val="en-GB"/>
        </w:rPr>
        <w:t xml:space="preserve">he </w:t>
      </w:r>
      <w:r>
        <w:rPr>
          <w:lang w:val="en-GB"/>
        </w:rPr>
        <w:t>Marine Park Authority is meeting the service level standards for permit processing.</w:t>
      </w:r>
      <w:r w:rsidR="00242993">
        <w:rPr>
          <w:lang w:val="en-GB"/>
        </w:rPr>
        <w:t xml:space="preserve"> </w:t>
      </w:r>
    </w:p>
    <w:p w14:paraId="5761D1F9" w14:textId="77777777" w:rsidR="00A56EE9" w:rsidRPr="00BE0B33" w:rsidRDefault="00A56EE9" w:rsidP="00E3690C">
      <w:pPr>
        <w:spacing w:line="276" w:lineRule="auto"/>
        <w:rPr>
          <w:lang w:val="en-GB"/>
        </w:rPr>
      </w:pPr>
      <w:r w:rsidRPr="00BE0B33">
        <w:rPr>
          <w:lang w:val="en-GB"/>
        </w:rPr>
        <w:t xml:space="preserve">Partnerships with accredited tour operators continue to be constructive. For example, the Eye on the Reef Program involves </w:t>
      </w:r>
      <w:r>
        <w:rPr>
          <w:lang w:val="en-GB"/>
        </w:rPr>
        <w:t xml:space="preserve">the </w:t>
      </w:r>
      <w:r w:rsidRPr="00BE0B33">
        <w:rPr>
          <w:lang w:val="en-GB"/>
        </w:rPr>
        <w:t xml:space="preserve">tourism </w:t>
      </w:r>
      <w:r>
        <w:rPr>
          <w:lang w:val="en-GB"/>
        </w:rPr>
        <w:t>industry in monitoring R</w:t>
      </w:r>
      <w:r w:rsidRPr="00BE0B33">
        <w:rPr>
          <w:lang w:val="en-GB"/>
        </w:rPr>
        <w:t>eef health. Since 2014</w:t>
      </w:r>
      <w:r>
        <w:rPr>
          <w:lang w:val="en-GB"/>
        </w:rPr>
        <w:t>,</w:t>
      </w:r>
      <w:r w:rsidRPr="00BE0B33">
        <w:rPr>
          <w:lang w:val="en-GB"/>
        </w:rPr>
        <w:t xml:space="preserve"> participation in the program has expanded to include a number of operators using the </w:t>
      </w:r>
      <w:r>
        <w:rPr>
          <w:lang w:val="en-GB"/>
        </w:rPr>
        <w:t xml:space="preserve">Eye on the Reef </w:t>
      </w:r>
      <w:r w:rsidRPr="00BE0B33">
        <w:rPr>
          <w:lang w:val="en-GB"/>
        </w:rPr>
        <w:t xml:space="preserve">Rapid Monitoring </w:t>
      </w:r>
      <w:r>
        <w:rPr>
          <w:lang w:val="en-GB"/>
        </w:rPr>
        <w:t>Survey</w:t>
      </w:r>
      <w:r w:rsidRPr="00BE0B33">
        <w:rPr>
          <w:lang w:val="en-GB"/>
        </w:rPr>
        <w:t xml:space="preserve"> as a </w:t>
      </w:r>
      <w:r>
        <w:rPr>
          <w:lang w:val="en-GB"/>
        </w:rPr>
        <w:t xml:space="preserve">saleable </w:t>
      </w:r>
      <w:r w:rsidRPr="00BE0B33">
        <w:rPr>
          <w:lang w:val="en-GB"/>
        </w:rPr>
        <w:t>product</w:t>
      </w:r>
      <w:r>
        <w:rPr>
          <w:lang w:val="en-GB"/>
        </w:rPr>
        <w:t>,</w:t>
      </w:r>
      <w:r w:rsidRPr="00BE0B33">
        <w:rPr>
          <w:lang w:val="en-GB"/>
        </w:rPr>
        <w:t xml:space="preserve"> with guests now completing monitoring </w:t>
      </w:r>
      <w:r>
        <w:rPr>
          <w:lang w:val="en-GB"/>
        </w:rPr>
        <w:t>forms</w:t>
      </w:r>
      <w:r w:rsidRPr="00BE0B33">
        <w:rPr>
          <w:lang w:val="en-GB"/>
        </w:rPr>
        <w:t xml:space="preserve"> as part of their visit to the </w:t>
      </w:r>
      <w:r>
        <w:rPr>
          <w:lang w:val="en-GB"/>
        </w:rPr>
        <w:t>Region</w:t>
      </w:r>
      <w:r w:rsidRPr="00BE0B33">
        <w:rPr>
          <w:lang w:val="en-GB"/>
        </w:rPr>
        <w:t xml:space="preserve">. A number of operators </w:t>
      </w:r>
      <w:r>
        <w:rPr>
          <w:lang w:val="en-GB"/>
        </w:rPr>
        <w:t>provide weekly data, which is essential to determine changes over time and provide a robust early warning system. The Marine Park Authority delivers</w:t>
      </w:r>
      <w:r w:rsidRPr="00BE0B33">
        <w:rPr>
          <w:lang w:val="en-GB"/>
        </w:rPr>
        <w:t xml:space="preserve"> in-water training days every year in Port Douglas, Cairns and the Whitsundays to </w:t>
      </w:r>
      <w:r>
        <w:rPr>
          <w:lang w:val="en-GB"/>
        </w:rPr>
        <w:t xml:space="preserve">ensure participants remain qualified and to maximise the quality of data collection under the </w:t>
      </w:r>
      <w:r w:rsidRPr="00BE0B33">
        <w:rPr>
          <w:lang w:val="en-GB"/>
        </w:rPr>
        <w:t>Eye on the Reef</w:t>
      </w:r>
      <w:r>
        <w:rPr>
          <w:lang w:val="en-GB"/>
        </w:rPr>
        <w:t xml:space="preserve"> program</w:t>
      </w:r>
      <w:r w:rsidRPr="00BE0B33">
        <w:rPr>
          <w:lang w:val="en-GB"/>
        </w:rPr>
        <w:t xml:space="preserve">. </w:t>
      </w:r>
    </w:p>
    <w:p w14:paraId="5761D1FA" w14:textId="6FA29A84" w:rsidR="00A56EE9" w:rsidRDefault="00A56EE9" w:rsidP="00E3690C">
      <w:pPr>
        <w:spacing w:line="276" w:lineRule="auto"/>
        <w:rPr>
          <w:lang w:val="en-GB"/>
        </w:rPr>
      </w:pPr>
      <w:r w:rsidRPr="00316E79">
        <w:rPr>
          <w:lang w:val="en-GB"/>
        </w:rPr>
        <w:t xml:space="preserve">The High Standard Tourism program encourages best practice operations by </w:t>
      </w:r>
      <w:r>
        <w:rPr>
          <w:lang w:val="en-GB"/>
        </w:rPr>
        <w:t>a</w:t>
      </w:r>
      <w:r w:rsidRPr="00316E79">
        <w:rPr>
          <w:lang w:val="en-GB"/>
        </w:rPr>
        <w:t xml:space="preserve">warding operators who are independently </w:t>
      </w:r>
      <w:r>
        <w:rPr>
          <w:lang w:val="en-GB"/>
        </w:rPr>
        <w:t>ECO-</w:t>
      </w:r>
      <w:r w:rsidRPr="00316E79">
        <w:rPr>
          <w:lang w:val="en-GB"/>
        </w:rPr>
        <w:t>certified as high standard</w:t>
      </w:r>
      <w:r>
        <w:rPr>
          <w:lang w:val="en-GB"/>
        </w:rPr>
        <w:t>.</w:t>
      </w:r>
      <w:r w:rsidRPr="00316E79">
        <w:rPr>
          <w:lang w:val="en-GB"/>
        </w:rPr>
        <w:t xml:space="preserve"> </w:t>
      </w:r>
      <w:r w:rsidRPr="00BE0B33">
        <w:rPr>
          <w:lang w:val="en-GB"/>
        </w:rPr>
        <w:t>Prior to 2014, only one certification body</w:t>
      </w:r>
      <w:r w:rsidRPr="00BE0B33" w:rsidDel="00DA52B9">
        <w:rPr>
          <w:lang w:val="en-GB"/>
        </w:rPr>
        <w:t xml:space="preserve"> </w:t>
      </w:r>
      <w:r w:rsidRPr="00BE0B33">
        <w:rPr>
          <w:lang w:val="en-GB"/>
        </w:rPr>
        <w:t xml:space="preserve">was </w:t>
      </w:r>
      <w:r>
        <w:rPr>
          <w:lang w:val="en-GB"/>
        </w:rPr>
        <w:t xml:space="preserve">approved by the Marine Park Authority </w:t>
      </w:r>
      <w:r w:rsidRPr="00BE0B33">
        <w:rPr>
          <w:lang w:val="en-GB"/>
        </w:rPr>
        <w:t xml:space="preserve">to assess and certify tourism operators </w:t>
      </w:r>
      <w:r>
        <w:rPr>
          <w:lang w:val="en-GB"/>
        </w:rPr>
        <w:t>under this program</w:t>
      </w:r>
      <w:r w:rsidRPr="00BE0B33">
        <w:rPr>
          <w:lang w:val="en-GB"/>
        </w:rPr>
        <w:t xml:space="preserve">. </w:t>
      </w:r>
      <w:r>
        <w:rPr>
          <w:lang w:val="en-GB"/>
        </w:rPr>
        <w:t>T</w:t>
      </w:r>
      <w:r w:rsidRPr="00BE0B33">
        <w:rPr>
          <w:lang w:val="en-GB"/>
        </w:rPr>
        <w:t>wo certification bodies</w:t>
      </w:r>
      <w:r>
        <w:rPr>
          <w:lang w:val="en-GB"/>
        </w:rPr>
        <w:t xml:space="preserve"> are now recognised</w:t>
      </w:r>
      <w:r w:rsidRPr="00BE0B33">
        <w:rPr>
          <w:lang w:val="en-GB"/>
        </w:rPr>
        <w:t>, increasing the capacity for certification and auditing of performance.</w:t>
      </w:r>
      <w:r>
        <w:rPr>
          <w:lang w:val="en-GB"/>
        </w:rPr>
        <w:t xml:space="preserve"> </w:t>
      </w:r>
      <w:r w:rsidRPr="00316E79">
        <w:rPr>
          <w:lang w:val="en-GB"/>
        </w:rPr>
        <w:t xml:space="preserve">The number of operators involved has steadily increased </w:t>
      </w:r>
      <w:r>
        <w:rPr>
          <w:lang w:val="en-GB"/>
        </w:rPr>
        <w:t xml:space="preserve">from 19 operators in 2004 </w:t>
      </w:r>
      <w:r w:rsidRPr="00316E79">
        <w:rPr>
          <w:lang w:val="en-GB"/>
        </w:rPr>
        <w:t>to 69 in 201</w:t>
      </w:r>
      <w:r>
        <w:rPr>
          <w:lang w:val="en-GB"/>
        </w:rPr>
        <w:t>7. These operators carry approximately</w:t>
      </w:r>
      <w:r w:rsidRPr="00316E79">
        <w:rPr>
          <w:lang w:val="en-GB"/>
        </w:rPr>
        <w:t xml:space="preserve"> 63 percent of tourists visiting the Reef.</w:t>
      </w:r>
      <w:r w:rsidR="00242993">
        <w:rPr>
          <w:lang w:val="en-GB"/>
        </w:rPr>
        <w:t xml:space="preserve"> </w:t>
      </w:r>
    </w:p>
    <w:p w14:paraId="5761D1FB" w14:textId="4C0EB18A" w:rsidR="00A56EE9" w:rsidRDefault="00A56EE9" w:rsidP="00E3690C">
      <w:pPr>
        <w:spacing w:line="276" w:lineRule="auto"/>
        <w:rPr>
          <w:lang w:val="en-GB"/>
        </w:rPr>
      </w:pPr>
      <w:r w:rsidRPr="00316E79">
        <w:rPr>
          <w:lang w:val="en-GB"/>
        </w:rPr>
        <w:t xml:space="preserve">Lack of compliance with </w:t>
      </w:r>
      <w:r>
        <w:rPr>
          <w:lang w:val="en-GB"/>
        </w:rPr>
        <w:t xml:space="preserve">certification standards </w:t>
      </w:r>
      <w:r w:rsidRPr="00316E79">
        <w:rPr>
          <w:lang w:val="en-GB"/>
        </w:rPr>
        <w:t xml:space="preserve">has previously been raised as a concern. In 2015, an independent audit of high standard operators </w:t>
      </w:r>
      <w:r>
        <w:rPr>
          <w:lang w:val="en-GB"/>
        </w:rPr>
        <w:t xml:space="preserve">was undertaken </w:t>
      </w:r>
      <w:r w:rsidRPr="00316E79">
        <w:rPr>
          <w:lang w:val="en-GB"/>
        </w:rPr>
        <w:t>to determine the level of compliance with the requirements of their certification.</w:t>
      </w:r>
      <w:r w:rsidR="00242993">
        <w:rPr>
          <w:lang w:val="en-GB"/>
        </w:rPr>
        <w:t xml:space="preserve"> </w:t>
      </w:r>
      <w:r w:rsidRPr="00316E79">
        <w:rPr>
          <w:lang w:val="en-GB"/>
        </w:rPr>
        <w:t xml:space="preserve">Fifteen were </w:t>
      </w:r>
      <w:r>
        <w:rPr>
          <w:lang w:val="en-GB"/>
        </w:rPr>
        <w:t>pre-</w:t>
      </w:r>
      <w:r w:rsidRPr="00316E79">
        <w:rPr>
          <w:lang w:val="en-GB"/>
        </w:rPr>
        <w:t xml:space="preserve">announced audits </w:t>
      </w:r>
      <w:r>
        <w:rPr>
          <w:lang w:val="en-GB"/>
        </w:rPr>
        <w:t>involving</w:t>
      </w:r>
      <w:r w:rsidRPr="00316E79">
        <w:rPr>
          <w:lang w:val="en-GB"/>
        </w:rPr>
        <w:t xml:space="preserve"> the auditor visiting the office and the vessel, but not participating in the tour. All 15 operators passed the announced audits relating to environmental, social and economic standards required of </w:t>
      </w:r>
      <w:r>
        <w:rPr>
          <w:lang w:val="en-GB"/>
        </w:rPr>
        <w:t xml:space="preserve">the </w:t>
      </w:r>
      <w:r w:rsidRPr="00316E79">
        <w:rPr>
          <w:lang w:val="en-GB"/>
        </w:rPr>
        <w:t xml:space="preserve">Certification Program. </w:t>
      </w:r>
      <w:r>
        <w:rPr>
          <w:lang w:val="en-GB"/>
        </w:rPr>
        <w:t>S</w:t>
      </w:r>
      <w:r w:rsidRPr="00316E79">
        <w:rPr>
          <w:lang w:val="en-GB"/>
        </w:rPr>
        <w:t>even unannounced audits focused on three key areas of Certification being minimal disturbance to wildlife</w:t>
      </w:r>
      <w:r>
        <w:rPr>
          <w:lang w:val="en-GB"/>
        </w:rPr>
        <w:t>,</w:t>
      </w:r>
      <w:r w:rsidRPr="00316E79">
        <w:rPr>
          <w:lang w:val="en-GB"/>
        </w:rPr>
        <w:t xml:space="preserve"> o</w:t>
      </w:r>
      <w:r>
        <w:rPr>
          <w:lang w:val="en-GB"/>
        </w:rPr>
        <w:t xml:space="preserve">pportunities for interpretation </w:t>
      </w:r>
      <w:r w:rsidRPr="00316E79">
        <w:rPr>
          <w:lang w:val="en-GB"/>
        </w:rPr>
        <w:t xml:space="preserve">and credibility of information and education, especially in relation to presenting the </w:t>
      </w:r>
      <w:r>
        <w:rPr>
          <w:lang w:val="en-GB"/>
        </w:rPr>
        <w:t>W</w:t>
      </w:r>
      <w:r w:rsidRPr="00316E79">
        <w:rPr>
          <w:lang w:val="en-GB"/>
        </w:rPr>
        <w:t xml:space="preserve">orld </w:t>
      </w:r>
      <w:r>
        <w:rPr>
          <w:lang w:val="en-GB"/>
        </w:rPr>
        <w:lastRenderedPageBreak/>
        <w:t>H</w:t>
      </w:r>
      <w:r w:rsidRPr="00316E79">
        <w:rPr>
          <w:lang w:val="en-GB"/>
        </w:rPr>
        <w:t>eritage values. These three areas are taken from a total of fifty-one subsections required by the ECO Certification. The overall results reveal some fundamental strengths and positive experiences</w:t>
      </w:r>
      <w:r>
        <w:rPr>
          <w:lang w:val="en-GB"/>
        </w:rPr>
        <w:t>,</w:t>
      </w:r>
      <w:r w:rsidRPr="00316E79">
        <w:rPr>
          <w:lang w:val="en-GB"/>
        </w:rPr>
        <w:t xml:space="preserve"> </w:t>
      </w:r>
      <w:r>
        <w:rPr>
          <w:lang w:val="en-GB"/>
        </w:rPr>
        <w:t>but</w:t>
      </w:r>
      <w:r w:rsidRPr="00316E79">
        <w:rPr>
          <w:lang w:val="en-GB"/>
        </w:rPr>
        <w:t xml:space="preserve"> there were significant interpretive content and </w:t>
      </w:r>
      <w:r>
        <w:rPr>
          <w:lang w:val="en-GB"/>
        </w:rPr>
        <w:t>education</w:t>
      </w:r>
      <w:r w:rsidRPr="00316E79">
        <w:rPr>
          <w:lang w:val="en-GB"/>
        </w:rPr>
        <w:t xml:space="preserve"> gaps.</w:t>
      </w:r>
      <w:r>
        <w:rPr>
          <w:lang w:val="en-GB"/>
        </w:rPr>
        <w:t xml:space="preserve"> </w:t>
      </w:r>
    </w:p>
    <w:p w14:paraId="5761D1FC" w14:textId="77777777" w:rsidR="00A56EE9" w:rsidRDefault="00A56EE9" w:rsidP="00E3690C">
      <w:pPr>
        <w:spacing w:line="276" w:lineRule="auto"/>
        <w:rPr>
          <w:lang w:val="en-GB"/>
        </w:rPr>
      </w:pPr>
      <w:r w:rsidRPr="00BE0B33">
        <w:rPr>
          <w:lang w:val="en-GB"/>
        </w:rPr>
        <w:t xml:space="preserve">This </w:t>
      </w:r>
      <w:r>
        <w:rPr>
          <w:lang w:val="en-GB"/>
        </w:rPr>
        <w:t xml:space="preserve">issue </w:t>
      </w:r>
      <w:r w:rsidRPr="00BE0B33">
        <w:rPr>
          <w:lang w:val="en-GB"/>
        </w:rPr>
        <w:t xml:space="preserve">is being addressed in partnership with the Association of Marine Park Tourism Operators and Tourism and Events Queensland through the creation of a ‘Master Reef Guides’ program for the </w:t>
      </w:r>
      <w:r>
        <w:rPr>
          <w:lang w:val="en-GB"/>
        </w:rPr>
        <w:t>Region</w:t>
      </w:r>
      <w:r w:rsidRPr="00BE0B33">
        <w:rPr>
          <w:lang w:val="en-GB"/>
        </w:rPr>
        <w:t xml:space="preserve">. In order to present contemporary and accurate information to Reef visitors, marine tourism staff </w:t>
      </w:r>
      <w:r>
        <w:rPr>
          <w:lang w:val="en-GB"/>
        </w:rPr>
        <w:t>require</w:t>
      </w:r>
      <w:r w:rsidRPr="00BE0B33">
        <w:rPr>
          <w:lang w:val="en-GB"/>
        </w:rPr>
        <w:t xml:space="preserve"> access to up</w:t>
      </w:r>
      <w:r>
        <w:rPr>
          <w:lang w:val="en-GB"/>
        </w:rPr>
        <w:t>-</w:t>
      </w:r>
      <w:r w:rsidRPr="00BE0B33">
        <w:rPr>
          <w:lang w:val="en-GB"/>
        </w:rPr>
        <w:t>to</w:t>
      </w:r>
      <w:r>
        <w:rPr>
          <w:lang w:val="en-GB"/>
        </w:rPr>
        <w:t>-</w:t>
      </w:r>
      <w:r w:rsidRPr="00BE0B33">
        <w:rPr>
          <w:lang w:val="en-GB"/>
        </w:rPr>
        <w:t xml:space="preserve">date information and training on how best to interpret information </w:t>
      </w:r>
      <w:r>
        <w:rPr>
          <w:lang w:val="en-GB"/>
        </w:rPr>
        <w:t xml:space="preserve">on the values of the World Heritage Area </w:t>
      </w:r>
      <w:r w:rsidRPr="00BE0B33">
        <w:rPr>
          <w:lang w:val="en-GB"/>
        </w:rPr>
        <w:t>to guests. In addition to the Master Reef Guides program</w:t>
      </w:r>
      <w:r>
        <w:rPr>
          <w:lang w:val="en-GB"/>
        </w:rPr>
        <w:t>,</w:t>
      </w:r>
      <w:r w:rsidRPr="00BE0B33">
        <w:rPr>
          <w:lang w:val="en-GB"/>
        </w:rPr>
        <w:t xml:space="preserve"> the Marine Park Authority launched a comprehensive online Reef Discovery </w:t>
      </w:r>
      <w:r>
        <w:rPr>
          <w:lang w:val="en-GB"/>
        </w:rPr>
        <w:t>training c</w:t>
      </w:r>
      <w:r w:rsidRPr="00BE0B33">
        <w:rPr>
          <w:lang w:val="en-GB"/>
        </w:rPr>
        <w:t>ourse, in June 2018</w:t>
      </w:r>
      <w:r>
        <w:rPr>
          <w:lang w:val="en-GB"/>
        </w:rPr>
        <w:t>,</w:t>
      </w:r>
      <w:r w:rsidRPr="00BE0B33">
        <w:rPr>
          <w:lang w:val="en-GB"/>
        </w:rPr>
        <w:t xml:space="preserve"> which </w:t>
      </w:r>
      <w:r>
        <w:rPr>
          <w:lang w:val="en-GB"/>
        </w:rPr>
        <w:t>encompasses</w:t>
      </w:r>
      <w:r w:rsidRPr="00BE0B33">
        <w:rPr>
          <w:lang w:val="en-GB"/>
        </w:rPr>
        <w:t xml:space="preserve"> biology, ecology, geology, heritage and management.</w:t>
      </w:r>
    </w:p>
    <w:p w14:paraId="5761D1FD" w14:textId="77777777" w:rsidR="00A56EE9" w:rsidRPr="00BE0B33" w:rsidRDefault="00A56EE9" w:rsidP="00E3690C">
      <w:pPr>
        <w:spacing w:line="276" w:lineRule="auto"/>
        <w:rPr>
          <w:lang w:val="en-GB"/>
        </w:rPr>
      </w:pPr>
      <w:r w:rsidRPr="00BE0B33">
        <w:rPr>
          <w:lang w:val="en-GB"/>
        </w:rPr>
        <w:t xml:space="preserve">Joint permitting between </w:t>
      </w:r>
      <w:r>
        <w:rPr>
          <w:lang w:val="en-GB"/>
        </w:rPr>
        <w:t>the Marine Park Authority</w:t>
      </w:r>
      <w:r w:rsidRPr="00BE0B33">
        <w:rPr>
          <w:lang w:val="en-GB"/>
        </w:rPr>
        <w:t xml:space="preserve"> and QPWS </w:t>
      </w:r>
      <w:r>
        <w:rPr>
          <w:lang w:val="en-GB"/>
        </w:rPr>
        <w:t xml:space="preserve">is </w:t>
      </w:r>
      <w:r w:rsidRPr="00BE0B33">
        <w:rPr>
          <w:lang w:val="en-GB"/>
        </w:rPr>
        <w:t xml:space="preserve">underpinned by </w:t>
      </w:r>
      <w:r>
        <w:rPr>
          <w:lang w:val="en-GB"/>
        </w:rPr>
        <w:t xml:space="preserve">appropriate </w:t>
      </w:r>
      <w:r w:rsidRPr="00BE0B33">
        <w:rPr>
          <w:lang w:val="en-GB"/>
        </w:rPr>
        <w:t>policy, risk assessments and systems. The</w:t>
      </w:r>
      <w:r>
        <w:rPr>
          <w:lang w:val="en-GB"/>
        </w:rPr>
        <w:t xml:space="preserve"> </w:t>
      </w:r>
      <w:r w:rsidRPr="00BE0B33">
        <w:rPr>
          <w:lang w:val="en-GB"/>
        </w:rPr>
        <w:t>relationship between the</w:t>
      </w:r>
      <w:r>
        <w:rPr>
          <w:lang w:val="en-GB"/>
        </w:rPr>
        <w:t xml:space="preserve"> governments through the Field Management P</w:t>
      </w:r>
      <w:r w:rsidRPr="00BE0B33">
        <w:rPr>
          <w:lang w:val="en-GB"/>
        </w:rPr>
        <w:t>rogram continues to be strong. Queensland Government recognises the importance of the Region to tourism</w:t>
      </w:r>
      <w:r>
        <w:rPr>
          <w:lang w:val="en-GB"/>
        </w:rPr>
        <w:t>,</w:t>
      </w:r>
      <w:r w:rsidRPr="00BE0B33">
        <w:rPr>
          <w:lang w:val="en-GB"/>
        </w:rPr>
        <w:t xml:space="preserve"> as reflected in its </w:t>
      </w:r>
      <w:r w:rsidRPr="00C93EF3">
        <w:rPr>
          <w:i/>
          <w:lang w:val="en-GB"/>
        </w:rPr>
        <w:t>Ecotourism Plan 2016-2020</w:t>
      </w:r>
      <w:r w:rsidRPr="00405486">
        <w:rPr>
          <w:lang w:val="en-GB"/>
        </w:rPr>
        <w:t xml:space="preserve"> (</w:t>
      </w:r>
      <w:r>
        <w:rPr>
          <w:lang w:val="en-GB"/>
        </w:rPr>
        <w:t>QPWS</w:t>
      </w:r>
      <w:r w:rsidRPr="00405486">
        <w:rPr>
          <w:lang w:val="en-GB"/>
        </w:rPr>
        <w:t xml:space="preserve"> 2016).</w:t>
      </w:r>
      <w:r>
        <w:rPr>
          <w:lang w:val="en-GB"/>
        </w:rPr>
        <w:t xml:space="preserve"> </w:t>
      </w:r>
    </w:p>
    <w:p w14:paraId="5761D1FE" w14:textId="3FA67FB9" w:rsidR="00A56EE9" w:rsidRDefault="00A56EE9" w:rsidP="00E3690C">
      <w:pPr>
        <w:spacing w:line="276" w:lineRule="auto"/>
        <w:rPr>
          <w:lang w:val="en-GB"/>
        </w:rPr>
      </w:pPr>
      <w:r w:rsidRPr="00316E79">
        <w:rPr>
          <w:lang w:val="en-GB"/>
        </w:rPr>
        <w:t xml:space="preserve">Within </w:t>
      </w:r>
      <w:r>
        <w:rPr>
          <w:lang w:val="en-GB"/>
        </w:rPr>
        <w:t>the Marine Park Authority,</w:t>
      </w:r>
      <w:r w:rsidRPr="00316E79">
        <w:rPr>
          <w:lang w:val="en-GB"/>
        </w:rPr>
        <w:t xml:space="preserve"> high levels of skills related to marine tourism m</w:t>
      </w:r>
      <w:r>
        <w:rPr>
          <w:lang w:val="en-GB"/>
        </w:rPr>
        <w:t>anagement and impact assessment h</w:t>
      </w:r>
      <w:r w:rsidRPr="00316E79">
        <w:rPr>
          <w:lang w:val="en-GB"/>
        </w:rPr>
        <w:t xml:space="preserve">ave been retained. The new organisational design resulting from </w:t>
      </w:r>
      <w:r>
        <w:rPr>
          <w:lang w:val="en-GB"/>
        </w:rPr>
        <w:t>the</w:t>
      </w:r>
      <w:r w:rsidRPr="00316E79">
        <w:rPr>
          <w:lang w:val="en-GB"/>
        </w:rPr>
        <w:t xml:space="preserve"> operational review maintains resources in the Environmental Assessment and Protection section, </w:t>
      </w:r>
      <w:r>
        <w:rPr>
          <w:lang w:val="en-GB"/>
        </w:rPr>
        <w:t xml:space="preserve">strengthens a </w:t>
      </w:r>
      <w:r w:rsidRPr="00316E79">
        <w:rPr>
          <w:lang w:val="en-GB"/>
        </w:rPr>
        <w:t xml:space="preserve">focus on </w:t>
      </w:r>
      <w:r>
        <w:rPr>
          <w:lang w:val="en-GB"/>
        </w:rPr>
        <w:t xml:space="preserve">contemporary </w:t>
      </w:r>
      <w:r w:rsidRPr="00316E79">
        <w:rPr>
          <w:lang w:val="en-GB"/>
        </w:rPr>
        <w:t>policy within a new dedicated policy and planning section</w:t>
      </w:r>
      <w:r>
        <w:rPr>
          <w:lang w:val="en-GB"/>
        </w:rPr>
        <w:t>,</w:t>
      </w:r>
      <w:r w:rsidRPr="00316E79">
        <w:rPr>
          <w:lang w:val="en-GB"/>
        </w:rPr>
        <w:t xml:space="preserve"> and maintains some tourism engagement in the Engagement, Stewardship and Partnerships section. </w:t>
      </w:r>
    </w:p>
    <w:p w14:paraId="5761D1FF" w14:textId="0AB5D74C" w:rsidR="00A56EE9" w:rsidRDefault="00A56EE9" w:rsidP="00E3690C">
      <w:pPr>
        <w:spacing w:line="276" w:lineRule="auto"/>
        <w:rPr>
          <w:lang w:val="en-GB"/>
        </w:rPr>
      </w:pPr>
      <w:r w:rsidRPr="00316E79">
        <w:rPr>
          <w:lang w:val="en-GB"/>
        </w:rPr>
        <w:t>The Fi</w:t>
      </w:r>
      <w:r>
        <w:rPr>
          <w:lang w:val="en-GB"/>
        </w:rPr>
        <w:t xml:space="preserve">eld Management Program </w:t>
      </w:r>
      <w:r w:rsidRPr="00316E79">
        <w:rPr>
          <w:lang w:val="en-GB"/>
        </w:rPr>
        <w:t>staff</w:t>
      </w:r>
      <w:r>
        <w:rPr>
          <w:lang w:val="en-GB"/>
        </w:rPr>
        <w:t>,</w:t>
      </w:r>
      <w:r w:rsidRPr="00316E79">
        <w:rPr>
          <w:lang w:val="en-GB"/>
        </w:rPr>
        <w:t xml:space="preserve"> </w:t>
      </w:r>
      <w:r>
        <w:rPr>
          <w:lang w:val="en-GB"/>
        </w:rPr>
        <w:t>responsible for on-water compliance, comprise</w:t>
      </w:r>
      <w:r w:rsidRPr="00316E79">
        <w:rPr>
          <w:lang w:val="en-GB"/>
        </w:rPr>
        <w:t xml:space="preserve"> a highly skilled and motivated workforce</w:t>
      </w:r>
      <w:r>
        <w:rPr>
          <w:lang w:val="en-GB"/>
        </w:rPr>
        <w:t xml:space="preserve">. </w:t>
      </w:r>
      <w:r w:rsidR="009D4DCB">
        <w:rPr>
          <w:lang w:val="en-GB"/>
        </w:rPr>
        <w:t>In addition to on-water compliance, management of tourism activities are strengthened through strong engagement. For example, e</w:t>
      </w:r>
      <w:r w:rsidRPr="00316E79">
        <w:rPr>
          <w:lang w:val="en-GB"/>
        </w:rPr>
        <w:t xml:space="preserve">xpert advice continues to be sought through the </w:t>
      </w:r>
      <w:r>
        <w:rPr>
          <w:lang w:val="en-GB"/>
        </w:rPr>
        <w:t>Tourism Reef Advisory Committee</w:t>
      </w:r>
      <w:r w:rsidR="009D4DCB">
        <w:rPr>
          <w:lang w:val="en-GB"/>
        </w:rPr>
        <w:t>, which advises the Great Barrier Reef Marine Park Authority Board</w:t>
      </w:r>
      <w:r>
        <w:rPr>
          <w:lang w:val="en-GB"/>
        </w:rPr>
        <w:t>.</w:t>
      </w:r>
      <w:r w:rsidRPr="00316E79">
        <w:rPr>
          <w:lang w:val="en-GB"/>
        </w:rPr>
        <w:t xml:space="preserve"> </w:t>
      </w:r>
      <w:r>
        <w:rPr>
          <w:lang w:val="en-GB"/>
        </w:rPr>
        <w:t xml:space="preserve">In 2017, the Marine Park Authority addressed concerns of </w:t>
      </w:r>
      <w:r w:rsidR="009D4DCB">
        <w:rPr>
          <w:lang w:val="en-GB"/>
        </w:rPr>
        <w:t xml:space="preserve">advisory committee </w:t>
      </w:r>
      <w:r>
        <w:rPr>
          <w:lang w:val="en-GB"/>
        </w:rPr>
        <w:t xml:space="preserve">members about the number of meetings per year by trialling a third workshop-style meeting. </w:t>
      </w:r>
      <w:r w:rsidRPr="00316E79">
        <w:rPr>
          <w:lang w:val="en-GB"/>
        </w:rPr>
        <w:t>Representatives from the tourism industry are also members of Local Marine Advisory Committees.</w:t>
      </w:r>
      <w:r w:rsidR="00242993">
        <w:rPr>
          <w:lang w:val="en-GB"/>
        </w:rPr>
        <w:t xml:space="preserve"> </w:t>
      </w:r>
    </w:p>
    <w:p w14:paraId="5761D200" w14:textId="77777777" w:rsidR="00A56EE9" w:rsidRDefault="00A56EE9" w:rsidP="00E3690C">
      <w:pPr>
        <w:spacing w:line="276" w:lineRule="auto"/>
        <w:rPr>
          <w:lang w:val="en-GB"/>
        </w:rPr>
      </w:pPr>
      <w:r w:rsidRPr="00316E79">
        <w:rPr>
          <w:lang w:val="en-GB"/>
        </w:rPr>
        <w:t xml:space="preserve">Risks </w:t>
      </w:r>
      <w:r>
        <w:rPr>
          <w:lang w:val="en-GB"/>
        </w:rPr>
        <w:t>to the Region from tourism activities</w:t>
      </w:r>
      <w:r w:rsidRPr="00316E79">
        <w:rPr>
          <w:lang w:val="en-GB"/>
        </w:rPr>
        <w:t xml:space="preserve"> </w:t>
      </w:r>
      <w:r>
        <w:rPr>
          <w:lang w:val="en-GB"/>
        </w:rPr>
        <w:t>have</w:t>
      </w:r>
      <w:r w:rsidRPr="00316E79">
        <w:rPr>
          <w:lang w:val="en-GB"/>
        </w:rPr>
        <w:t xml:space="preserve"> been reduced through additional management and education</w:t>
      </w:r>
      <w:r>
        <w:rPr>
          <w:lang w:val="en-GB"/>
        </w:rPr>
        <w:t>,</w:t>
      </w:r>
      <w:r w:rsidRPr="00316E79">
        <w:rPr>
          <w:lang w:val="en-GB"/>
        </w:rPr>
        <w:t xml:space="preserve"> including the implementation of new assessment guidelines, policy and regulations from the strengthening permissions system project. </w:t>
      </w:r>
      <w:r>
        <w:rPr>
          <w:lang w:val="en-GB"/>
        </w:rPr>
        <w:t>It is hoped that this will result in</w:t>
      </w:r>
      <w:r w:rsidRPr="00316E79">
        <w:rPr>
          <w:lang w:val="en-GB"/>
        </w:rPr>
        <w:t xml:space="preserve"> </w:t>
      </w:r>
      <w:r>
        <w:rPr>
          <w:lang w:val="en-GB"/>
        </w:rPr>
        <w:t xml:space="preserve">a </w:t>
      </w:r>
      <w:r w:rsidRPr="00316E79">
        <w:rPr>
          <w:lang w:val="en-GB"/>
        </w:rPr>
        <w:t>pre-emptive reduction in permit applications that propose activities that are inconsistent with polic</w:t>
      </w:r>
      <w:r>
        <w:rPr>
          <w:lang w:val="en-GB"/>
        </w:rPr>
        <w:t>ies</w:t>
      </w:r>
      <w:r w:rsidRPr="00316E79">
        <w:rPr>
          <w:lang w:val="en-GB"/>
        </w:rPr>
        <w:t xml:space="preserve"> of the </w:t>
      </w:r>
      <w:r>
        <w:rPr>
          <w:lang w:val="en-GB"/>
        </w:rPr>
        <w:t>managing agencies</w:t>
      </w:r>
      <w:r w:rsidRPr="00316E79">
        <w:rPr>
          <w:lang w:val="en-GB"/>
        </w:rPr>
        <w:t>. It is also expected to in</w:t>
      </w:r>
      <w:r>
        <w:rPr>
          <w:lang w:val="en-GB"/>
        </w:rPr>
        <w:t>crease the quality of applications</w:t>
      </w:r>
      <w:r w:rsidRPr="00316E79">
        <w:rPr>
          <w:lang w:val="en-GB"/>
        </w:rPr>
        <w:t xml:space="preserve">, by making it clear to applicants what information is required to support a comprehensive permit assessment (e.g. </w:t>
      </w:r>
      <w:r w:rsidRPr="00251BD0">
        <w:rPr>
          <w:lang w:val="en-GB"/>
        </w:rPr>
        <w:t>maintenance certificates supplied at the time of application continuation</w:t>
      </w:r>
      <w:r w:rsidRPr="00316E79">
        <w:rPr>
          <w:lang w:val="en-GB"/>
        </w:rPr>
        <w:t>).</w:t>
      </w:r>
    </w:p>
    <w:p w14:paraId="5761D201" w14:textId="77777777" w:rsidR="00A56EE9" w:rsidRDefault="00A56EE9" w:rsidP="00E3690C">
      <w:pPr>
        <w:spacing w:line="276" w:lineRule="auto"/>
      </w:pPr>
      <w:r>
        <w:rPr>
          <w:lang w:val="en-GB"/>
        </w:rPr>
        <w:lastRenderedPageBreak/>
        <w:t>T</w:t>
      </w:r>
      <w:r w:rsidRPr="00316E79">
        <w:rPr>
          <w:lang w:val="en-GB"/>
        </w:rPr>
        <w:t>he impact of external factors such as climate change</w:t>
      </w:r>
      <w:r>
        <w:rPr>
          <w:lang w:val="en-GB"/>
        </w:rPr>
        <w:t>,</w:t>
      </w:r>
      <w:r w:rsidRPr="00316E79">
        <w:rPr>
          <w:lang w:val="en-GB"/>
        </w:rPr>
        <w:t xml:space="preserve"> coral bleaching</w:t>
      </w:r>
      <w:r>
        <w:rPr>
          <w:lang w:val="en-GB"/>
        </w:rPr>
        <w:t>, poor water quality</w:t>
      </w:r>
      <w:r w:rsidRPr="00316E79">
        <w:rPr>
          <w:lang w:val="en-GB"/>
        </w:rPr>
        <w:t xml:space="preserve"> </w:t>
      </w:r>
      <w:r>
        <w:rPr>
          <w:lang w:val="en-GB"/>
        </w:rPr>
        <w:t xml:space="preserve">and severe weather </w:t>
      </w:r>
      <w:r w:rsidRPr="00316E79">
        <w:rPr>
          <w:lang w:val="en-GB"/>
        </w:rPr>
        <w:t xml:space="preserve">on particular </w:t>
      </w:r>
      <w:r>
        <w:rPr>
          <w:lang w:val="en-GB"/>
        </w:rPr>
        <w:t xml:space="preserve">tourism </w:t>
      </w:r>
      <w:r w:rsidRPr="00316E79">
        <w:rPr>
          <w:lang w:val="en-GB"/>
        </w:rPr>
        <w:t xml:space="preserve">sites means the </w:t>
      </w:r>
      <w:r>
        <w:rPr>
          <w:lang w:val="en-GB"/>
        </w:rPr>
        <w:t xml:space="preserve">industry and the managing agencies </w:t>
      </w:r>
      <w:r w:rsidRPr="00316E79">
        <w:rPr>
          <w:lang w:val="en-GB"/>
        </w:rPr>
        <w:t xml:space="preserve">need to be flexible to ensure the “best” sites are not overcrowded as other sites become unviable for tourism purposes. </w:t>
      </w:r>
      <w:r>
        <w:t>From the Marine Park Authority perspective, t</w:t>
      </w:r>
      <w:r w:rsidRPr="006D38A7">
        <w:t xml:space="preserve">he </w:t>
      </w:r>
      <w:r w:rsidRPr="006D38A7">
        <w:rPr>
          <w:lang w:val="en-GB"/>
        </w:rPr>
        <w:t>Marine Tourism</w:t>
      </w:r>
      <w:r w:rsidRPr="006D38A7">
        <w:t xml:space="preserve"> Contingency Plan provides flexibility where the operator is prepared to move to other locations. The </w:t>
      </w:r>
      <w:r>
        <w:t xml:space="preserve">Contingency </w:t>
      </w:r>
      <w:r w:rsidRPr="006D38A7">
        <w:t xml:space="preserve">Plan </w:t>
      </w:r>
      <w:r>
        <w:t xml:space="preserve">also </w:t>
      </w:r>
      <w:r w:rsidRPr="006D38A7">
        <w:t xml:space="preserve">acknowledges that where the impact is widespread or on multiple operators, the </w:t>
      </w:r>
      <w:r>
        <w:t xml:space="preserve">Marine Park </w:t>
      </w:r>
      <w:r w:rsidRPr="006D38A7">
        <w:t xml:space="preserve">Authority </w:t>
      </w:r>
      <w:r>
        <w:t>may need</w:t>
      </w:r>
      <w:r w:rsidRPr="006D38A7">
        <w:t xml:space="preserve"> to consider other options including review of general planning arrangements</w:t>
      </w:r>
      <w:r>
        <w:t>. O</w:t>
      </w:r>
      <w:r w:rsidRPr="006D38A7">
        <w:t xml:space="preserve">perators </w:t>
      </w:r>
      <w:r>
        <w:t xml:space="preserve">can also assist by </w:t>
      </w:r>
      <w:r w:rsidRPr="006D38A7">
        <w:t>plan</w:t>
      </w:r>
      <w:r>
        <w:t>ning</w:t>
      </w:r>
      <w:r w:rsidRPr="006D38A7">
        <w:t xml:space="preserve"> for changes to their sites and build in their own contingency</w:t>
      </w:r>
      <w:r>
        <w:t>, such as by</w:t>
      </w:r>
      <w:r w:rsidRPr="006D38A7">
        <w:t xml:space="preserve"> incorporati</w:t>
      </w:r>
      <w:r>
        <w:t>ng a combination of island and r</w:t>
      </w:r>
      <w:r w:rsidRPr="006D38A7">
        <w:t xml:space="preserve">eef experiences, </w:t>
      </w:r>
      <w:r>
        <w:t xml:space="preserve">and by </w:t>
      </w:r>
      <w:r w:rsidRPr="006D38A7">
        <w:t>having flexibility</w:t>
      </w:r>
      <w:r>
        <w:t xml:space="preserve"> in their activities.</w:t>
      </w:r>
    </w:p>
    <w:p w14:paraId="5761D202" w14:textId="77777777" w:rsidR="00A56EE9" w:rsidRPr="00316E79" w:rsidRDefault="00A56EE9" w:rsidP="00E3690C">
      <w:pPr>
        <w:spacing w:line="276" w:lineRule="auto"/>
        <w:rPr>
          <w:lang w:val="en-GB"/>
        </w:rPr>
      </w:pPr>
      <w:r w:rsidRPr="006D38A7">
        <w:rPr>
          <w:lang w:val="en-GB"/>
        </w:rPr>
        <w:t xml:space="preserve">The value that </w:t>
      </w:r>
      <w:r>
        <w:rPr>
          <w:lang w:val="en-GB"/>
        </w:rPr>
        <w:t xml:space="preserve">tourism </w:t>
      </w:r>
      <w:r w:rsidRPr="006D38A7">
        <w:rPr>
          <w:lang w:val="en-GB"/>
        </w:rPr>
        <w:t xml:space="preserve">visitors put on the </w:t>
      </w:r>
      <w:r>
        <w:rPr>
          <w:lang w:val="en-GB"/>
        </w:rPr>
        <w:t>Region</w:t>
      </w:r>
      <w:r w:rsidRPr="006D38A7">
        <w:rPr>
          <w:lang w:val="en-GB"/>
        </w:rPr>
        <w:t xml:space="preserve"> is indicative of its national</w:t>
      </w:r>
      <w:r>
        <w:rPr>
          <w:lang w:val="en-GB"/>
        </w:rPr>
        <w:t xml:space="preserve"> and international importance. The effective management of marine tourism in the Region based on strong partnerships with the industry and community supports this importance. </w:t>
      </w:r>
    </w:p>
    <w:p w14:paraId="5761D203" w14:textId="1D0FBAC0" w:rsidR="00A56EE9" w:rsidRDefault="00A56EE9" w:rsidP="00BB6AD5">
      <w:pPr>
        <w:pStyle w:val="Caption"/>
        <w:keepNext/>
        <w:spacing w:line="240" w:lineRule="auto"/>
        <w:jc w:val="center"/>
      </w:pPr>
      <w:bookmarkStart w:id="49" w:name="_Ref259284965"/>
      <w:bookmarkStart w:id="50" w:name="_Toc369681973"/>
      <w:bookmarkStart w:id="51" w:name="_Toc373830111"/>
      <w:bookmarkStart w:id="52" w:name="_Toc389205079"/>
      <w:bookmarkStart w:id="53" w:name="_Toc525654450"/>
      <w:r w:rsidRPr="005F616A">
        <w:t xml:space="preserve">Table </w:t>
      </w:r>
      <w:r>
        <w:fldChar w:fldCharType="begin"/>
      </w:r>
      <w:r>
        <w:instrText xml:space="preserve"> SEQ Table \* ARABIC </w:instrText>
      </w:r>
      <w:r>
        <w:fldChar w:fldCharType="separate"/>
      </w:r>
      <w:r w:rsidR="00A4170C">
        <w:rPr>
          <w:noProof/>
        </w:rPr>
        <w:t>5</w:t>
      </w:r>
      <w:r>
        <w:rPr>
          <w:noProof/>
        </w:rPr>
        <w:fldChar w:fldCharType="end"/>
      </w:r>
      <w:bookmarkEnd w:id="49"/>
      <w:r w:rsidRPr="005F616A">
        <w:t xml:space="preserve"> Assessment results for </w:t>
      </w:r>
      <w:r>
        <w:t>C</w:t>
      </w:r>
      <w:r w:rsidRPr="005F616A">
        <w:t xml:space="preserve">ommercial </w:t>
      </w:r>
      <w:r>
        <w:t>M</w:t>
      </w:r>
      <w:r w:rsidRPr="005F616A">
        <w:t xml:space="preserve">arine </w:t>
      </w:r>
      <w:r>
        <w:t>T</w:t>
      </w:r>
      <w:r w:rsidRPr="005F616A">
        <w:t>ourism</w:t>
      </w:r>
      <w:bookmarkEnd w:id="50"/>
      <w:bookmarkEnd w:id="51"/>
      <w:bookmarkEnd w:id="52"/>
      <w:bookmarkEnd w:id="53"/>
    </w:p>
    <w:tbl>
      <w:tblPr>
        <w:tblStyle w:val="TableGrid"/>
        <w:tblW w:w="5000" w:type="pct"/>
        <w:jc w:val="center"/>
        <w:tblLayout w:type="fixed"/>
        <w:tblLook w:val="04A0" w:firstRow="1" w:lastRow="0" w:firstColumn="1" w:lastColumn="0" w:noHBand="0" w:noVBand="1"/>
        <w:tblCaption w:val="Table 5 Assessment results for the management effectiveness for commercial marine tourism"/>
        <w:tblDescription w:val="Grades and trends for Commercial marine tourism:&#10;Context: Effective; stable&#10;Planning: Mostly effective; stable &#10;Inputs: Mostly effective; improving&#10;Processes: Mostly effective; stable&#10;Outputs: Effective; stable&#10;Outcomes: Effective; stable"/>
      </w:tblPr>
      <w:tblGrid>
        <w:gridCol w:w="3114"/>
        <w:gridCol w:w="1984"/>
        <w:gridCol w:w="1843"/>
        <w:gridCol w:w="2075"/>
      </w:tblGrid>
      <w:tr w:rsidR="00A56EE9" w:rsidRPr="003D54F2" w14:paraId="5761D208" w14:textId="77777777" w:rsidTr="00BB6AD5">
        <w:trPr>
          <w:trHeight w:val="441"/>
          <w:tblHeader/>
          <w:jc w:val="center"/>
        </w:trPr>
        <w:tc>
          <w:tcPr>
            <w:tcW w:w="3114" w:type="dxa"/>
            <w:vAlign w:val="center"/>
          </w:tcPr>
          <w:p w14:paraId="5761D204" w14:textId="77777777" w:rsidR="00A56EE9" w:rsidRPr="003D54F2" w:rsidRDefault="00A56EE9" w:rsidP="00BB6AD5">
            <w:pPr>
              <w:keepNext/>
              <w:jc w:val="both"/>
              <w:rPr>
                <w:b/>
              </w:rPr>
            </w:pPr>
            <w:r w:rsidRPr="003D54F2">
              <w:rPr>
                <w:b/>
              </w:rPr>
              <w:t>Commercial marine tourism</w:t>
            </w:r>
          </w:p>
        </w:tc>
        <w:tc>
          <w:tcPr>
            <w:tcW w:w="1984" w:type="dxa"/>
            <w:vAlign w:val="center"/>
          </w:tcPr>
          <w:p w14:paraId="5761D205" w14:textId="77777777" w:rsidR="00A56EE9" w:rsidRPr="004A4864" w:rsidRDefault="00A56EE9" w:rsidP="00BB6AD5">
            <w:pPr>
              <w:keepNext/>
              <w:jc w:val="both"/>
              <w:rPr>
                <w:b/>
              </w:rPr>
            </w:pPr>
            <w:r w:rsidRPr="004A4864">
              <w:rPr>
                <w:b/>
              </w:rPr>
              <w:t>2009</w:t>
            </w:r>
          </w:p>
        </w:tc>
        <w:tc>
          <w:tcPr>
            <w:tcW w:w="1843" w:type="dxa"/>
            <w:vAlign w:val="center"/>
          </w:tcPr>
          <w:p w14:paraId="5761D206" w14:textId="77777777" w:rsidR="00A56EE9" w:rsidRPr="004A4864" w:rsidRDefault="00A56EE9" w:rsidP="00BB6AD5">
            <w:pPr>
              <w:keepNext/>
              <w:jc w:val="both"/>
              <w:rPr>
                <w:b/>
              </w:rPr>
            </w:pPr>
            <w:r w:rsidRPr="004A4864">
              <w:rPr>
                <w:b/>
              </w:rPr>
              <w:t>2014</w:t>
            </w:r>
          </w:p>
        </w:tc>
        <w:tc>
          <w:tcPr>
            <w:tcW w:w="2075" w:type="dxa"/>
            <w:tcBorders>
              <w:bottom w:val="single" w:sz="4" w:space="0" w:color="auto"/>
            </w:tcBorders>
            <w:vAlign w:val="center"/>
          </w:tcPr>
          <w:p w14:paraId="5761D207" w14:textId="77777777" w:rsidR="00A56EE9" w:rsidRPr="004A4864" w:rsidRDefault="00A56EE9" w:rsidP="00BB6AD5">
            <w:pPr>
              <w:keepNext/>
              <w:jc w:val="both"/>
              <w:rPr>
                <w:b/>
              </w:rPr>
            </w:pPr>
            <w:r w:rsidRPr="004A4864">
              <w:rPr>
                <w:b/>
              </w:rPr>
              <w:t>2019</w:t>
            </w:r>
          </w:p>
        </w:tc>
      </w:tr>
      <w:tr w:rsidR="00A56EE9" w:rsidRPr="003D54F2" w14:paraId="5761D20D" w14:textId="77777777" w:rsidTr="00BB6AD5">
        <w:trPr>
          <w:jc w:val="center"/>
        </w:trPr>
        <w:tc>
          <w:tcPr>
            <w:tcW w:w="3114" w:type="dxa"/>
            <w:vAlign w:val="center"/>
          </w:tcPr>
          <w:p w14:paraId="5761D209" w14:textId="77777777" w:rsidR="00A56EE9" w:rsidRPr="003D54F2" w:rsidRDefault="00A56EE9" w:rsidP="00BB6AD5">
            <w:pPr>
              <w:keepNext/>
              <w:rPr>
                <w:b/>
              </w:rPr>
            </w:pPr>
            <w:r w:rsidRPr="003D54F2">
              <w:rPr>
                <w:b/>
              </w:rPr>
              <w:t>Context</w:t>
            </w:r>
          </w:p>
        </w:tc>
        <w:tc>
          <w:tcPr>
            <w:tcW w:w="1984" w:type="dxa"/>
            <w:shd w:val="clear" w:color="auto" w:fill="538135" w:themeFill="accent6" w:themeFillShade="BF"/>
            <w:vAlign w:val="center"/>
          </w:tcPr>
          <w:p w14:paraId="5761D20A" w14:textId="77777777" w:rsidR="00A56EE9" w:rsidRPr="00E15040" w:rsidRDefault="00A56EE9" w:rsidP="00BB6AD5">
            <w:pPr>
              <w:keepNext/>
              <w:jc w:val="center"/>
              <w:rPr>
                <w:rFonts w:ascii="Cambria Math" w:hAnsi="Cambria Math"/>
                <w:b/>
                <w:sz w:val="24"/>
                <w:szCs w:val="24"/>
              </w:rPr>
            </w:pPr>
          </w:p>
        </w:tc>
        <w:tc>
          <w:tcPr>
            <w:tcW w:w="1843" w:type="dxa"/>
            <w:shd w:val="clear" w:color="auto" w:fill="538135" w:themeFill="accent6" w:themeFillShade="BF"/>
            <w:vAlign w:val="center"/>
          </w:tcPr>
          <w:p w14:paraId="5761D20B" w14:textId="77777777" w:rsidR="00A56EE9" w:rsidRPr="00E15040" w:rsidRDefault="00A56EE9" w:rsidP="00BB6AD5">
            <w:pPr>
              <w:keepNext/>
              <w:jc w:val="center"/>
              <w:rPr>
                <w:rFonts w:ascii="Cambria Math" w:hAnsi="Cambria Math"/>
                <w:b/>
                <w:sz w:val="24"/>
                <w:szCs w:val="24"/>
              </w:rPr>
            </w:pPr>
            <w:r w:rsidRPr="005F616A">
              <w:rPr>
                <w:rFonts w:ascii="Cambria Math" w:hAnsi="Cambria Math" w:cs="Cambria Math"/>
                <w:b/>
              </w:rPr>
              <w:t>↔</w:t>
            </w:r>
          </w:p>
        </w:tc>
        <w:tc>
          <w:tcPr>
            <w:tcW w:w="2075" w:type="dxa"/>
            <w:tcBorders>
              <w:bottom w:val="single" w:sz="4" w:space="0" w:color="auto"/>
            </w:tcBorders>
            <w:shd w:val="clear" w:color="auto" w:fill="538135" w:themeFill="accent6" w:themeFillShade="BF"/>
            <w:vAlign w:val="center"/>
          </w:tcPr>
          <w:p w14:paraId="5761D20C"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212" w14:textId="77777777" w:rsidTr="00BB6AD5">
        <w:trPr>
          <w:jc w:val="center"/>
        </w:trPr>
        <w:tc>
          <w:tcPr>
            <w:tcW w:w="3114" w:type="dxa"/>
            <w:vAlign w:val="center"/>
          </w:tcPr>
          <w:p w14:paraId="5761D20E" w14:textId="77777777" w:rsidR="00A56EE9" w:rsidRPr="003D54F2" w:rsidRDefault="00A56EE9" w:rsidP="00BB6AD5">
            <w:pPr>
              <w:keepNext/>
              <w:rPr>
                <w:b/>
              </w:rPr>
            </w:pPr>
            <w:r w:rsidRPr="003D54F2">
              <w:rPr>
                <w:b/>
              </w:rPr>
              <w:t>Planning</w:t>
            </w:r>
          </w:p>
        </w:tc>
        <w:tc>
          <w:tcPr>
            <w:tcW w:w="1984" w:type="dxa"/>
            <w:shd w:val="clear" w:color="auto" w:fill="538135" w:themeFill="accent6" w:themeFillShade="BF"/>
            <w:vAlign w:val="center"/>
          </w:tcPr>
          <w:p w14:paraId="5761D20F" w14:textId="77777777" w:rsidR="00A56EE9" w:rsidRPr="00E15040" w:rsidRDefault="00A56EE9" w:rsidP="00BB6AD5">
            <w:pPr>
              <w:keepNext/>
              <w:jc w:val="center"/>
              <w:rPr>
                <w:rFonts w:ascii="Cambria Math" w:hAnsi="Cambria Math"/>
                <w:b/>
                <w:sz w:val="24"/>
                <w:szCs w:val="24"/>
              </w:rPr>
            </w:pPr>
          </w:p>
        </w:tc>
        <w:tc>
          <w:tcPr>
            <w:tcW w:w="1843" w:type="dxa"/>
            <w:shd w:val="clear" w:color="auto" w:fill="A8D08D" w:themeFill="accent6" w:themeFillTint="99"/>
            <w:vAlign w:val="center"/>
          </w:tcPr>
          <w:p w14:paraId="5761D210" w14:textId="77777777" w:rsidR="00A56EE9" w:rsidRPr="00E15040" w:rsidRDefault="00A56EE9" w:rsidP="00BB6AD5">
            <w:pPr>
              <w:keepNext/>
              <w:jc w:val="center"/>
              <w:rPr>
                <w:rFonts w:ascii="Cambria Math" w:hAnsi="Cambria Math"/>
                <w:b/>
                <w:sz w:val="24"/>
                <w:szCs w:val="24"/>
              </w:rPr>
            </w:pPr>
            <w:r w:rsidRPr="005F616A">
              <w:rPr>
                <w:rFonts w:ascii="Cambria Math" w:hAnsi="Cambria Math" w:cs="Cambria Math"/>
              </w:rPr>
              <w:t>⬇</w:t>
            </w:r>
          </w:p>
        </w:tc>
        <w:tc>
          <w:tcPr>
            <w:tcW w:w="2075" w:type="dxa"/>
            <w:tcBorders>
              <w:bottom w:val="single" w:sz="4" w:space="0" w:color="auto"/>
            </w:tcBorders>
            <w:shd w:val="clear" w:color="auto" w:fill="A8D08D" w:themeFill="accent6" w:themeFillTint="99"/>
            <w:vAlign w:val="center"/>
          </w:tcPr>
          <w:p w14:paraId="5761D211" w14:textId="77777777" w:rsidR="00A56EE9" w:rsidRPr="00E15040" w:rsidRDefault="00A56EE9" w:rsidP="00BB6AD5">
            <w:pPr>
              <w:keepNext/>
              <w:jc w:val="center"/>
              <w:rPr>
                <w:rFonts w:ascii="Cambria Math" w:hAnsi="Cambria Math"/>
                <w:b/>
                <w:sz w:val="24"/>
                <w:szCs w:val="24"/>
              </w:rPr>
            </w:pPr>
            <w:r w:rsidRPr="005F616A">
              <w:rPr>
                <w:rFonts w:ascii="Cambria Math" w:hAnsi="Cambria Math" w:cs="Cambria Math"/>
                <w:b/>
              </w:rPr>
              <w:t>↔</w:t>
            </w:r>
          </w:p>
        </w:tc>
      </w:tr>
      <w:tr w:rsidR="00A56EE9" w:rsidRPr="003D54F2" w14:paraId="5761D217" w14:textId="77777777" w:rsidTr="00BB6AD5">
        <w:trPr>
          <w:jc w:val="center"/>
        </w:trPr>
        <w:tc>
          <w:tcPr>
            <w:tcW w:w="3114" w:type="dxa"/>
            <w:vAlign w:val="center"/>
          </w:tcPr>
          <w:p w14:paraId="5761D213" w14:textId="77777777" w:rsidR="00A56EE9" w:rsidRPr="003D54F2" w:rsidRDefault="00A56EE9" w:rsidP="00BB6AD5">
            <w:pPr>
              <w:keepNext/>
              <w:rPr>
                <w:b/>
              </w:rPr>
            </w:pPr>
            <w:r w:rsidRPr="003D54F2">
              <w:rPr>
                <w:b/>
              </w:rPr>
              <w:t>Inputs</w:t>
            </w:r>
          </w:p>
        </w:tc>
        <w:tc>
          <w:tcPr>
            <w:tcW w:w="1984" w:type="dxa"/>
            <w:shd w:val="clear" w:color="auto" w:fill="A8D08D" w:themeFill="accent6" w:themeFillTint="99"/>
            <w:vAlign w:val="center"/>
          </w:tcPr>
          <w:p w14:paraId="5761D214" w14:textId="77777777" w:rsidR="00A56EE9" w:rsidRPr="00E15040" w:rsidRDefault="00A56EE9" w:rsidP="00BB6AD5">
            <w:pPr>
              <w:keepNext/>
              <w:jc w:val="center"/>
              <w:rPr>
                <w:rFonts w:ascii="Cambria Math" w:hAnsi="Cambria Math"/>
                <w:b/>
                <w:sz w:val="24"/>
                <w:szCs w:val="24"/>
              </w:rPr>
            </w:pPr>
          </w:p>
        </w:tc>
        <w:tc>
          <w:tcPr>
            <w:tcW w:w="1843" w:type="dxa"/>
            <w:shd w:val="clear" w:color="auto" w:fill="A8D08D" w:themeFill="accent6" w:themeFillTint="99"/>
            <w:vAlign w:val="center"/>
          </w:tcPr>
          <w:p w14:paraId="5761D215" w14:textId="77777777" w:rsidR="00A56EE9" w:rsidRPr="00E15040" w:rsidRDefault="00A56EE9" w:rsidP="00BB6AD5">
            <w:pPr>
              <w:keepNext/>
              <w:jc w:val="center"/>
              <w:rPr>
                <w:rFonts w:ascii="Cambria Math" w:hAnsi="Cambria Math"/>
                <w:b/>
                <w:sz w:val="24"/>
                <w:szCs w:val="24"/>
              </w:rPr>
            </w:pPr>
            <w:r w:rsidRPr="005F616A">
              <w:rPr>
                <w:rFonts w:ascii="Cambria Math" w:hAnsi="Cambria Math" w:cs="Cambria Math"/>
                <w:b/>
              </w:rPr>
              <w:t>↗</w:t>
            </w:r>
          </w:p>
        </w:tc>
        <w:tc>
          <w:tcPr>
            <w:tcW w:w="2075" w:type="dxa"/>
            <w:tcBorders>
              <w:bottom w:val="single" w:sz="4" w:space="0" w:color="auto"/>
            </w:tcBorders>
            <w:shd w:val="clear" w:color="auto" w:fill="A8D08D" w:themeFill="accent6" w:themeFillTint="99"/>
            <w:vAlign w:val="center"/>
          </w:tcPr>
          <w:p w14:paraId="5761D216" w14:textId="77777777" w:rsidR="00A56EE9" w:rsidRPr="00E15040" w:rsidRDefault="00A56EE9" w:rsidP="00BB6AD5">
            <w:pPr>
              <w:keepNext/>
              <w:jc w:val="center"/>
              <w:rPr>
                <w:rFonts w:ascii="Cambria Math" w:hAnsi="Cambria Math"/>
                <w:b/>
                <w:sz w:val="24"/>
                <w:szCs w:val="24"/>
              </w:rPr>
            </w:pPr>
            <w:r w:rsidRPr="00C80F3D">
              <w:rPr>
                <w:rFonts w:ascii="Cambria Math" w:hAnsi="Cambria Math"/>
                <w:b/>
                <w:sz w:val="24"/>
                <w:szCs w:val="24"/>
              </w:rPr>
              <w:t>↗</w:t>
            </w:r>
          </w:p>
        </w:tc>
      </w:tr>
      <w:tr w:rsidR="00A56EE9" w:rsidRPr="003D54F2" w14:paraId="5761D21C" w14:textId="77777777" w:rsidTr="00BB6AD5">
        <w:trPr>
          <w:jc w:val="center"/>
        </w:trPr>
        <w:tc>
          <w:tcPr>
            <w:tcW w:w="3114" w:type="dxa"/>
            <w:vAlign w:val="center"/>
          </w:tcPr>
          <w:p w14:paraId="5761D218" w14:textId="77777777" w:rsidR="00A56EE9" w:rsidRPr="003D54F2" w:rsidRDefault="00A56EE9" w:rsidP="00BB6AD5">
            <w:pPr>
              <w:keepNext/>
              <w:rPr>
                <w:b/>
              </w:rPr>
            </w:pPr>
            <w:r w:rsidRPr="003D54F2">
              <w:rPr>
                <w:b/>
              </w:rPr>
              <w:t>Processes</w:t>
            </w:r>
          </w:p>
        </w:tc>
        <w:tc>
          <w:tcPr>
            <w:tcW w:w="1984" w:type="dxa"/>
            <w:shd w:val="clear" w:color="auto" w:fill="538135" w:themeFill="accent6" w:themeFillShade="BF"/>
            <w:vAlign w:val="center"/>
          </w:tcPr>
          <w:p w14:paraId="5761D219" w14:textId="77777777" w:rsidR="00A56EE9" w:rsidRPr="00E15040" w:rsidRDefault="00A56EE9" w:rsidP="00BB6AD5">
            <w:pPr>
              <w:keepNext/>
              <w:jc w:val="center"/>
              <w:rPr>
                <w:rFonts w:ascii="Cambria Math" w:hAnsi="Cambria Math"/>
                <w:b/>
                <w:sz w:val="24"/>
                <w:szCs w:val="24"/>
              </w:rPr>
            </w:pPr>
          </w:p>
        </w:tc>
        <w:tc>
          <w:tcPr>
            <w:tcW w:w="1843" w:type="dxa"/>
            <w:shd w:val="clear" w:color="auto" w:fill="A8D08D" w:themeFill="accent6" w:themeFillTint="99"/>
            <w:vAlign w:val="center"/>
          </w:tcPr>
          <w:p w14:paraId="5761D21A" w14:textId="77777777" w:rsidR="00A56EE9" w:rsidRPr="00E15040" w:rsidRDefault="00A56EE9" w:rsidP="00BB6AD5">
            <w:pPr>
              <w:keepNext/>
              <w:jc w:val="center"/>
              <w:rPr>
                <w:rFonts w:ascii="Cambria Math" w:hAnsi="Cambria Math"/>
                <w:b/>
                <w:sz w:val="24"/>
                <w:szCs w:val="24"/>
              </w:rPr>
            </w:pPr>
            <w:r w:rsidRPr="005F616A">
              <w:rPr>
                <w:rFonts w:ascii="Cambria Math" w:hAnsi="Cambria Math" w:cs="Cambria Math"/>
              </w:rPr>
              <w:t>⬇</w:t>
            </w:r>
          </w:p>
        </w:tc>
        <w:tc>
          <w:tcPr>
            <w:tcW w:w="2075" w:type="dxa"/>
            <w:tcBorders>
              <w:bottom w:val="single" w:sz="4" w:space="0" w:color="auto"/>
            </w:tcBorders>
            <w:shd w:val="clear" w:color="auto" w:fill="A8D08D" w:themeFill="accent6" w:themeFillTint="99"/>
            <w:vAlign w:val="center"/>
          </w:tcPr>
          <w:p w14:paraId="5761D21B" w14:textId="77777777" w:rsidR="00A56EE9" w:rsidRPr="00E15040" w:rsidRDefault="00A56EE9" w:rsidP="00BB6AD5">
            <w:pPr>
              <w:keepNext/>
              <w:jc w:val="center"/>
              <w:rPr>
                <w:rFonts w:ascii="Cambria Math" w:hAnsi="Cambria Math"/>
                <w:b/>
                <w:sz w:val="24"/>
                <w:szCs w:val="24"/>
              </w:rPr>
            </w:pPr>
            <w:r w:rsidRPr="005F616A">
              <w:rPr>
                <w:rFonts w:ascii="Cambria Math" w:hAnsi="Cambria Math" w:cs="Cambria Math"/>
                <w:b/>
              </w:rPr>
              <w:t>↔</w:t>
            </w:r>
          </w:p>
        </w:tc>
      </w:tr>
      <w:tr w:rsidR="00A56EE9" w:rsidRPr="003D54F2" w14:paraId="5761D221" w14:textId="77777777" w:rsidTr="00BB6AD5">
        <w:trPr>
          <w:jc w:val="center"/>
        </w:trPr>
        <w:tc>
          <w:tcPr>
            <w:tcW w:w="3114" w:type="dxa"/>
            <w:vAlign w:val="center"/>
          </w:tcPr>
          <w:p w14:paraId="5761D21D" w14:textId="77777777" w:rsidR="00A56EE9" w:rsidRPr="003D54F2" w:rsidRDefault="00A56EE9" w:rsidP="00BB6AD5">
            <w:pPr>
              <w:keepNext/>
              <w:rPr>
                <w:b/>
              </w:rPr>
            </w:pPr>
            <w:r w:rsidRPr="003D54F2">
              <w:rPr>
                <w:b/>
              </w:rPr>
              <w:t>Outputs</w:t>
            </w:r>
          </w:p>
        </w:tc>
        <w:tc>
          <w:tcPr>
            <w:tcW w:w="1984" w:type="dxa"/>
            <w:shd w:val="clear" w:color="auto" w:fill="538135" w:themeFill="accent6" w:themeFillShade="BF"/>
            <w:vAlign w:val="center"/>
          </w:tcPr>
          <w:p w14:paraId="5761D21E" w14:textId="77777777" w:rsidR="00A56EE9" w:rsidRPr="00E15040" w:rsidRDefault="00A56EE9" w:rsidP="00BB6AD5">
            <w:pPr>
              <w:keepNext/>
              <w:jc w:val="center"/>
              <w:rPr>
                <w:rFonts w:ascii="Cambria Math" w:hAnsi="Cambria Math"/>
                <w:b/>
                <w:sz w:val="24"/>
                <w:szCs w:val="24"/>
              </w:rPr>
            </w:pPr>
          </w:p>
        </w:tc>
        <w:tc>
          <w:tcPr>
            <w:tcW w:w="1843" w:type="dxa"/>
            <w:shd w:val="clear" w:color="auto" w:fill="538135" w:themeFill="accent6" w:themeFillShade="BF"/>
            <w:vAlign w:val="center"/>
          </w:tcPr>
          <w:p w14:paraId="5761D21F" w14:textId="77777777" w:rsidR="00A56EE9" w:rsidRPr="00E15040" w:rsidRDefault="00A56EE9" w:rsidP="00BB6AD5">
            <w:pPr>
              <w:keepNext/>
              <w:jc w:val="center"/>
              <w:rPr>
                <w:rFonts w:ascii="Cambria Math" w:hAnsi="Cambria Math"/>
                <w:b/>
                <w:sz w:val="24"/>
                <w:szCs w:val="24"/>
              </w:rPr>
            </w:pPr>
            <w:r w:rsidRPr="005F616A">
              <w:rPr>
                <w:rFonts w:ascii="Cambria Math" w:hAnsi="Cambria Math" w:cs="Cambria Math"/>
                <w:b/>
              </w:rPr>
              <w:t>↔</w:t>
            </w:r>
          </w:p>
        </w:tc>
        <w:tc>
          <w:tcPr>
            <w:tcW w:w="2075" w:type="dxa"/>
            <w:tcBorders>
              <w:bottom w:val="single" w:sz="4" w:space="0" w:color="auto"/>
            </w:tcBorders>
            <w:shd w:val="clear" w:color="auto" w:fill="538135" w:themeFill="accent6" w:themeFillShade="BF"/>
            <w:vAlign w:val="center"/>
          </w:tcPr>
          <w:p w14:paraId="5761D220"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226" w14:textId="77777777" w:rsidTr="00BB6AD5">
        <w:trPr>
          <w:jc w:val="center"/>
        </w:trPr>
        <w:tc>
          <w:tcPr>
            <w:tcW w:w="3114" w:type="dxa"/>
            <w:vAlign w:val="center"/>
          </w:tcPr>
          <w:p w14:paraId="5761D222" w14:textId="77777777" w:rsidR="00A56EE9" w:rsidRPr="003D54F2" w:rsidRDefault="00A56EE9" w:rsidP="00BB6AD5">
            <w:pPr>
              <w:keepNext/>
              <w:rPr>
                <w:b/>
              </w:rPr>
            </w:pPr>
            <w:r w:rsidRPr="003D54F2">
              <w:rPr>
                <w:b/>
              </w:rPr>
              <w:t>Outcomes</w:t>
            </w:r>
          </w:p>
        </w:tc>
        <w:tc>
          <w:tcPr>
            <w:tcW w:w="1984" w:type="dxa"/>
            <w:shd w:val="clear" w:color="auto" w:fill="538135" w:themeFill="accent6" w:themeFillShade="BF"/>
            <w:vAlign w:val="center"/>
          </w:tcPr>
          <w:p w14:paraId="5761D223" w14:textId="77777777" w:rsidR="00A56EE9" w:rsidRPr="00E15040" w:rsidRDefault="00A56EE9" w:rsidP="00BB6AD5">
            <w:pPr>
              <w:keepNext/>
              <w:jc w:val="center"/>
              <w:rPr>
                <w:rFonts w:ascii="Cambria Math" w:hAnsi="Cambria Math"/>
                <w:b/>
                <w:sz w:val="24"/>
                <w:szCs w:val="24"/>
              </w:rPr>
            </w:pPr>
          </w:p>
        </w:tc>
        <w:tc>
          <w:tcPr>
            <w:tcW w:w="1843" w:type="dxa"/>
            <w:shd w:val="clear" w:color="auto" w:fill="538135" w:themeFill="accent6" w:themeFillShade="BF"/>
            <w:vAlign w:val="center"/>
          </w:tcPr>
          <w:p w14:paraId="5761D224" w14:textId="77777777" w:rsidR="00A56EE9" w:rsidRPr="00E15040" w:rsidRDefault="00A56EE9" w:rsidP="00BB6AD5">
            <w:pPr>
              <w:keepNext/>
              <w:jc w:val="center"/>
              <w:rPr>
                <w:rFonts w:ascii="Cambria Math" w:hAnsi="Cambria Math"/>
                <w:b/>
                <w:sz w:val="24"/>
                <w:szCs w:val="24"/>
              </w:rPr>
            </w:pPr>
            <w:r w:rsidRPr="005F616A">
              <w:rPr>
                <w:rFonts w:ascii="Cambria Math" w:hAnsi="Cambria Math" w:cs="Cambria Math"/>
                <w:b/>
              </w:rPr>
              <w:t>↔</w:t>
            </w:r>
          </w:p>
        </w:tc>
        <w:tc>
          <w:tcPr>
            <w:tcW w:w="2075" w:type="dxa"/>
            <w:shd w:val="clear" w:color="auto" w:fill="538135" w:themeFill="accent6" w:themeFillShade="BF"/>
            <w:vAlign w:val="center"/>
          </w:tcPr>
          <w:p w14:paraId="5761D225"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bl>
    <w:p w14:paraId="5761D227" w14:textId="77777777" w:rsidR="00A56EE9" w:rsidRDefault="00A56EE9" w:rsidP="00BB6AD5">
      <w:pPr>
        <w:keepNext/>
        <w:spacing w:line="240" w:lineRule="auto"/>
        <w:ind w:left="852" w:firstLine="1133"/>
        <w:contextualSpacing/>
        <w:rPr>
          <w:sz w:val="16"/>
          <w:szCs w:val="16"/>
        </w:rPr>
      </w:pPr>
      <w:r>
        <w:rPr>
          <w:sz w:val="16"/>
          <w:szCs w:val="16"/>
        </w:rPr>
        <w:t xml:space="preserve">Management effective assessment is colour coded: </w:t>
      </w:r>
    </w:p>
    <w:tbl>
      <w:tblPr>
        <w:tblStyle w:val="TableGrid"/>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261"/>
      </w:tblGrid>
      <w:tr w:rsidR="00A56EE9" w14:paraId="5761D230" w14:textId="77777777" w:rsidTr="00BB6AD5">
        <w:trPr>
          <w:tblHeader/>
        </w:trPr>
        <w:tc>
          <w:tcPr>
            <w:tcW w:w="1084" w:type="dxa"/>
          </w:tcPr>
          <w:p w14:paraId="5761D228" w14:textId="77777777" w:rsidR="00A56EE9" w:rsidRDefault="00A56EE9" w:rsidP="00BB6AD5">
            <w:pPr>
              <w:keepNext/>
              <w:ind w:right="-158"/>
              <w:contextualSpacing/>
              <w:rPr>
                <w:sz w:val="16"/>
                <w:szCs w:val="16"/>
              </w:rPr>
            </w:pPr>
            <w:r>
              <w:rPr>
                <w:sz w:val="16"/>
                <w:szCs w:val="16"/>
              </w:rPr>
              <w:t>Effective (E)</w:t>
            </w:r>
          </w:p>
        </w:tc>
        <w:tc>
          <w:tcPr>
            <w:tcW w:w="0" w:type="auto"/>
          </w:tcPr>
          <w:p w14:paraId="5761D229" w14:textId="77777777" w:rsidR="00A56EE9" w:rsidRDefault="00A56EE9" w:rsidP="00BB6AD5">
            <w:pPr>
              <w:keepNext/>
              <w:contextualSpacing/>
              <w:rPr>
                <w:sz w:val="16"/>
                <w:szCs w:val="16"/>
              </w:rPr>
            </w:pPr>
            <w:r>
              <w:rPr>
                <w:noProof/>
                <w:sz w:val="16"/>
                <w:szCs w:val="16"/>
              </w:rPr>
              <mc:AlternateContent>
                <mc:Choice Requires="wps">
                  <w:drawing>
                    <wp:anchor distT="0" distB="0" distL="114300" distR="114300" simplePos="0" relativeHeight="251680768" behindDoc="1" locked="0" layoutInCell="1" allowOverlap="1" wp14:anchorId="57620C56" wp14:editId="57620C57">
                      <wp:simplePos x="0" y="0"/>
                      <wp:positionH relativeFrom="column">
                        <wp:posOffset>-50800</wp:posOffset>
                      </wp:positionH>
                      <wp:positionV relativeFrom="paragraph">
                        <wp:posOffset>26670</wp:posOffset>
                      </wp:positionV>
                      <wp:extent cx="95250" cy="104775"/>
                      <wp:effectExtent l="0" t="0" r="19050" b="28575"/>
                      <wp:wrapSquare wrapText="bothSides"/>
                      <wp:docPr id="1" name="Rectangle 1"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2"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56" id="Rectangle 1" o:spid="_x0000_s1035" alt="Title: Rectangle - Description: Rectangle coloured dark green" style="position:absolute;margin-left:-4pt;margin-top:2.1pt;width:7.5pt;height:8.2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" fillcolor="#060" strokecolor="black [3213]" strokeweight="1pt">
                      <v:textbox>
                        <w:txbxContent>
                          <w:p w14:paraId="57620D02"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22A" w14:textId="77777777" w:rsidR="00A56EE9" w:rsidRDefault="00A56EE9" w:rsidP="00BB6AD5">
            <w:pPr>
              <w:keepNext/>
              <w:contextualSpacing/>
              <w:rPr>
                <w:sz w:val="16"/>
                <w:szCs w:val="16"/>
              </w:rPr>
            </w:pPr>
            <w:r>
              <w:rPr>
                <w:sz w:val="16"/>
                <w:szCs w:val="16"/>
              </w:rPr>
              <w:t>Mostly effective (ME)</w:t>
            </w:r>
          </w:p>
        </w:tc>
        <w:tc>
          <w:tcPr>
            <w:tcW w:w="0" w:type="auto"/>
          </w:tcPr>
          <w:p w14:paraId="5761D22B" w14:textId="77777777" w:rsidR="00A56EE9" w:rsidRDefault="00A56EE9" w:rsidP="00BB6AD5">
            <w:pPr>
              <w:keepNext/>
              <w:contextualSpacing/>
              <w:rPr>
                <w:sz w:val="16"/>
                <w:szCs w:val="16"/>
              </w:rPr>
            </w:pPr>
            <w:r>
              <w:rPr>
                <w:noProof/>
                <w:sz w:val="16"/>
                <w:szCs w:val="16"/>
              </w:rPr>
              <mc:AlternateContent>
                <mc:Choice Requires="wps">
                  <w:drawing>
                    <wp:anchor distT="0" distB="0" distL="114300" distR="114300" simplePos="0" relativeHeight="251677696" behindDoc="0" locked="0" layoutInCell="1" allowOverlap="1" wp14:anchorId="57620C58" wp14:editId="57620C59">
                      <wp:simplePos x="0" y="0"/>
                      <wp:positionH relativeFrom="column">
                        <wp:posOffset>-41275</wp:posOffset>
                      </wp:positionH>
                      <wp:positionV relativeFrom="paragraph">
                        <wp:posOffset>22860</wp:posOffset>
                      </wp:positionV>
                      <wp:extent cx="95250" cy="104775"/>
                      <wp:effectExtent l="0" t="0" r="19050" b="28575"/>
                      <wp:wrapNone/>
                      <wp:docPr id="2" name="Rectangle 2"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3"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58" id="Rectangle 2" o:spid="_x0000_s1036" alt="Title: Rectangle - Description: Rectangle coloured light green" style="position:absolute;margin-left:-3.25pt;margin-top:1.8pt;width:7.5pt;height:8.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" fillcolor="#92d050" strokecolor="black [3213]" strokeweight="1pt">
                      <v:textbox>
                        <w:txbxContent>
                          <w:p w14:paraId="57620D03" w14:textId="77777777" w:rsidR="008B5998" w:rsidRDefault="008B5998" w:rsidP="00BB6AD5">
                            <w:pPr>
                              <w:jc w:val="center"/>
                            </w:pPr>
                          </w:p>
                        </w:txbxContent>
                      </v:textbox>
                    </v:rect>
                  </w:pict>
                </mc:Fallback>
              </mc:AlternateContent>
            </w:r>
            <w:r>
              <w:rPr>
                <w:sz w:val="16"/>
                <w:szCs w:val="16"/>
              </w:rPr>
              <w:t>;</w:t>
            </w:r>
          </w:p>
        </w:tc>
        <w:tc>
          <w:tcPr>
            <w:tcW w:w="0" w:type="auto"/>
          </w:tcPr>
          <w:p w14:paraId="5761D22C" w14:textId="77777777" w:rsidR="00A56EE9" w:rsidRDefault="00A56EE9" w:rsidP="00BB6AD5">
            <w:pPr>
              <w:keepNext/>
              <w:contextualSpacing/>
              <w:rPr>
                <w:sz w:val="16"/>
                <w:szCs w:val="16"/>
              </w:rPr>
            </w:pPr>
            <w:r>
              <w:rPr>
                <w:sz w:val="16"/>
                <w:szCs w:val="16"/>
              </w:rPr>
              <w:t>Partially effective (PE)</w:t>
            </w:r>
          </w:p>
        </w:tc>
        <w:tc>
          <w:tcPr>
            <w:tcW w:w="0" w:type="auto"/>
          </w:tcPr>
          <w:p w14:paraId="5761D22D" w14:textId="77777777" w:rsidR="00A56EE9" w:rsidRDefault="00A56EE9" w:rsidP="00BB6AD5">
            <w:pPr>
              <w:keepNext/>
              <w:contextualSpacing/>
              <w:rPr>
                <w:sz w:val="16"/>
                <w:szCs w:val="16"/>
              </w:rPr>
            </w:pPr>
            <w:r>
              <w:rPr>
                <w:noProof/>
                <w:sz w:val="16"/>
                <w:szCs w:val="16"/>
              </w:rPr>
              <mc:AlternateContent>
                <mc:Choice Requires="wps">
                  <w:drawing>
                    <wp:anchor distT="0" distB="0" distL="114300" distR="114300" simplePos="0" relativeHeight="251678720" behindDoc="0" locked="0" layoutInCell="1" allowOverlap="1" wp14:anchorId="57620C5A" wp14:editId="57620C5B">
                      <wp:simplePos x="0" y="0"/>
                      <wp:positionH relativeFrom="column">
                        <wp:posOffset>-65405</wp:posOffset>
                      </wp:positionH>
                      <wp:positionV relativeFrom="paragraph">
                        <wp:posOffset>19685</wp:posOffset>
                      </wp:positionV>
                      <wp:extent cx="95250" cy="104775"/>
                      <wp:effectExtent l="0" t="0" r="19050" b="28575"/>
                      <wp:wrapNone/>
                      <wp:docPr id="3" name="Rectangle 3"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4"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5A" id="Rectangle 3" o:spid="_x0000_s1037" alt="Title: Rectangle - Description: Rectangle coloured orange" style="position:absolute;margin-left:-5.15pt;margin-top:1.55pt;width:7.5pt;height:8.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" fillcolor="#ffc000" strokecolor="black [3213]" strokeweight="1pt">
                      <v:textbox>
                        <w:txbxContent>
                          <w:p w14:paraId="57620D04" w14:textId="77777777" w:rsidR="008B5998" w:rsidRDefault="008B5998" w:rsidP="00BB6AD5">
                            <w:pPr>
                              <w:jc w:val="center"/>
                            </w:pPr>
                          </w:p>
                        </w:txbxContent>
                      </v:textbox>
                    </v:rect>
                  </w:pict>
                </mc:Fallback>
              </mc:AlternateContent>
            </w:r>
            <w:r>
              <w:rPr>
                <w:sz w:val="16"/>
                <w:szCs w:val="16"/>
              </w:rPr>
              <w:t>;</w:t>
            </w:r>
          </w:p>
        </w:tc>
        <w:tc>
          <w:tcPr>
            <w:tcW w:w="0" w:type="auto"/>
          </w:tcPr>
          <w:p w14:paraId="5761D22E" w14:textId="77777777" w:rsidR="00A56EE9" w:rsidRDefault="00A56EE9" w:rsidP="00BB6AD5">
            <w:pPr>
              <w:keepNext/>
              <w:contextualSpacing/>
              <w:rPr>
                <w:sz w:val="16"/>
                <w:szCs w:val="16"/>
              </w:rPr>
            </w:pPr>
            <w:r>
              <w:rPr>
                <w:sz w:val="16"/>
                <w:szCs w:val="16"/>
              </w:rPr>
              <w:t>Ineffective (I)</w:t>
            </w:r>
          </w:p>
        </w:tc>
        <w:tc>
          <w:tcPr>
            <w:tcW w:w="0" w:type="auto"/>
          </w:tcPr>
          <w:p w14:paraId="5761D22F" w14:textId="77777777" w:rsidR="00A56EE9" w:rsidRDefault="00A56EE9" w:rsidP="00BB6AD5">
            <w:pPr>
              <w:keepNext/>
              <w:contextualSpacing/>
              <w:rPr>
                <w:sz w:val="16"/>
                <w:szCs w:val="16"/>
              </w:rPr>
            </w:pPr>
            <w:r>
              <w:rPr>
                <w:noProof/>
                <w:sz w:val="16"/>
                <w:szCs w:val="16"/>
              </w:rPr>
              <mc:AlternateContent>
                <mc:Choice Requires="wps">
                  <w:drawing>
                    <wp:anchor distT="0" distB="0" distL="114300" distR="114300" simplePos="0" relativeHeight="251679744" behindDoc="0" locked="0" layoutInCell="1" allowOverlap="1" wp14:anchorId="57620C5C" wp14:editId="57620C5D">
                      <wp:simplePos x="0" y="0"/>
                      <wp:positionH relativeFrom="column">
                        <wp:posOffset>-50165</wp:posOffset>
                      </wp:positionH>
                      <wp:positionV relativeFrom="paragraph">
                        <wp:posOffset>24130</wp:posOffset>
                      </wp:positionV>
                      <wp:extent cx="95250" cy="104775"/>
                      <wp:effectExtent l="0" t="0" r="19050" b="28575"/>
                      <wp:wrapNone/>
                      <wp:docPr id="7" name="Rectangle 7"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5"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5C" id="Rectangle 7" o:spid="_x0000_s1038" alt="Title: Rectangle - Description: Rectangle coloured red" style="position:absolute;margin-left:-3.95pt;margin-top:1.9pt;width:7.5pt;height:8.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" fillcolor="red" strokecolor="black [3213]" strokeweight="1pt">
                      <v:textbox>
                        <w:txbxContent>
                          <w:p w14:paraId="57620D05" w14:textId="77777777" w:rsidR="008B5998" w:rsidRDefault="008B5998" w:rsidP="00BB6AD5">
                            <w:pPr>
                              <w:jc w:val="center"/>
                            </w:pPr>
                          </w:p>
                        </w:txbxContent>
                      </v:textbox>
                    </v:rect>
                  </w:pict>
                </mc:Fallback>
              </mc:AlternateContent>
            </w:r>
            <w:r>
              <w:rPr>
                <w:sz w:val="16"/>
                <w:szCs w:val="16"/>
              </w:rPr>
              <w:t>;</w:t>
            </w:r>
          </w:p>
        </w:tc>
      </w:tr>
    </w:tbl>
    <w:p w14:paraId="5761D231" w14:textId="77777777" w:rsidR="00A56EE9" w:rsidRPr="005F616A" w:rsidRDefault="00A56EE9" w:rsidP="00BB6AD5">
      <w:pPr>
        <w:keepNext/>
        <w:spacing w:after="0" w:line="240" w:lineRule="auto"/>
        <w:ind w:left="1704"/>
        <w:contextualSpacing/>
        <w:rPr>
          <w:b/>
        </w:rPr>
      </w:pPr>
      <w:r w:rsidRPr="005F616A">
        <w:rPr>
          <w:rFonts w:ascii="Cambria Math" w:hAnsi="Cambria Math" w:cs="Cambria Math"/>
          <w:b/>
        </w:rPr>
        <w:t>↗</w:t>
      </w:r>
      <w:r w:rsidRPr="005F616A">
        <w:rPr>
          <w:b/>
        </w:rPr>
        <w:t xml:space="preserve"> </w:t>
      </w:r>
      <w:r w:rsidRPr="005F616A">
        <w:rPr>
          <w:sz w:val="16"/>
          <w:szCs w:val="16"/>
        </w:rPr>
        <w:t xml:space="preserve">Trend since </w:t>
      </w:r>
      <w:r>
        <w:rPr>
          <w:sz w:val="16"/>
          <w:szCs w:val="16"/>
        </w:rPr>
        <w:t xml:space="preserve">2009, </w:t>
      </w:r>
      <w:r w:rsidRPr="005F616A">
        <w:rPr>
          <w:sz w:val="16"/>
          <w:szCs w:val="16"/>
        </w:rPr>
        <w:t>20</w:t>
      </w:r>
      <w:r>
        <w:rPr>
          <w:sz w:val="16"/>
          <w:szCs w:val="16"/>
        </w:rPr>
        <w:t>14</w:t>
      </w:r>
      <w:r w:rsidRPr="005F616A">
        <w:rPr>
          <w:sz w:val="16"/>
          <w:szCs w:val="16"/>
        </w:rPr>
        <w:t xml:space="preserve"> is increasing but has not caused an upwards grade change</w:t>
      </w:r>
    </w:p>
    <w:p w14:paraId="5761D232" w14:textId="77777777" w:rsidR="00A56EE9" w:rsidRPr="005F616A" w:rsidRDefault="00A56EE9" w:rsidP="00BB6AD5">
      <w:pPr>
        <w:keepNext/>
        <w:spacing w:after="0" w:line="240" w:lineRule="auto"/>
        <w:ind w:left="1704"/>
        <w:contextualSpacing/>
      </w:pPr>
      <w:r w:rsidRPr="005F616A">
        <w:rPr>
          <w:rFonts w:ascii="Cambria Math" w:hAnsi="Cambria Math" w:cs="Cambria Math"/>
          <w:b/>
        </w:rPr>
        <w:t>↔</w:t>
      </w:r>
      <w:r w:rsidRPr="005F616A">
        <w:t xml:space="preserve"> </w:t>
      </w:r>
      <w:r w:rsidRPr="005F616A">
        <w:rPr>
          <w:sz w:val="16"/>
          <w:szCs w:val="16"/>
        </w:rPr>
        <w:t xml:space="preserve">Grade has remained stable compared to </w:t>
      </w:r>
      <w:r>
        <w:rPr>
          <w:sz w:val="16"/>
          <w:szCs w:val="16"/>
        </w:rPr>
        <w:t>2009, 2014</w:t>
      </w:r>
      <w:r w:rsidRPr="005F616A">
        <w:rPr>
          <w:sz w:val="16"/>
          <w:szCs w:val="16"/>
        </w:rPr>
        <w:t>, with no major trends</w:t>
      </w:r>
      <w:r w:rsidRPr="005F616A">
        <w:t xml:space="preserve"> </w:t>
      </w:r>
    </w:p>
    <w:p w14:paraId="5761D233" w14:textId="77777777" w:rsidR="00A56EE9" w:rsidRPr="004F2ABF" w:rsidRDefault="00A56EE9" w:rsidP="00BB6AD5">
      <w:pPr>
        <w:keepNext/>
        <w:spacing w:after="0" w:line="240" w:lineRule="auto"/>
        <w:ind w:left="1704"/>
        <w:contextualSpacing/>
      </w:pPr>
      <w:r w:rsidRPr="005F616A">
        <w:rPr>
          <w:rFonts w:ascii="Cambria Math" w:hAnsi="Cambria Math" w:cs="Cambria Math"/>
        </w:rPr>
        <w:t>⬇</w:t>
      </w:r>
      <w:r w:rsidRPr="005F616A">
        <w:t xml:space="preserve"> </w:t>
      </w:r>
      <w:r w:rsidRPr="005F616A">
        <w:rPr>
          <w:sz w:val="16"/>
          <w:szCs w:val="16"/>
        </w:rPr>
        <w:t xml:space="preserve">Trend since </w:t>
      </w:r>
      <w:r>
        <w:rPr>
          <w:sz w:val="16"/>
          <w:szCs w:val="16"/>
        </w:rPr>
        <w:t xml:space="preserve">2009, </w:t>
      </w:r>
      <w:r w:rsidRPr="005F616A">
        <w:rPr>
          <w:sz w:val="16"/>
          <w:szCs w:val="16"/>
        </w:rPr>
        <w:t>20</w:t>
      </w:r>
      <w:r>
        <w:rPr>
          <w:sz w:val="16"/>
          <w:szCs w:val="16"/>
        </w:rPr>
        <w:t>14 has been a</w:t>
      </w:r>
      <w:r w:rsidRPr="005F616A">
        <w:rPr>
          <w:sz w:val="16"/>
          <w:szCs w:val="16"/>
        </w:rPr>
        <w:t xml:space="preserve"> downwards change in grade</w:t>
      </w:r>
    </w:p>
    <w:p w14:paraId="5761D235" w14:textId="77777777" w:rsidR="00A56EE9" w:rsidRDefault="00A56EE9" w:rsidP="00A11869">
      <w:pPr>
        <w:pStyle w:val="Heading2"/>
        <w:numPr>
          <w:ilvl w:val="1"/>
          <w:numId w:val="17"/>
        </w:numPr>
        <w:ind w:left="357" w:hanging="357"/>
      </w:pPr>
      <w:bookmarkStart w:id="54" w:name="_Toc523423780"/>
      <w:r>
        <w:t>Defence activities</w:t>
      </w:r>
      <w:bookmarkEnd w:id="54"/>
    </w:p>
    <w:p w14:paraId="5761D236" w14:textId="77777777" w:rsidR="00A56EE9" w:rsidRPr="00350DDE" w:rsidRDefault="00A56EE9" w:rsidP="00E3690C">
      <w:pPr>
        <w:spacing w:line="276" w:lineRule="auto"/>
        <w:rPr>
          <w:lang w:val="en-US" w:eastAsia="en-AU"/>
        </w:rPr>
      </w:pPr>
      <w:r w:rsidRPr="00F16078">
        <w:rPr>
          <w:lang w:val="en-US" w:eastAsia="en-AU"/>
        </w:rPr>
        <w:t xml:space="preserve">This review has considered the management of activities undertaken by the </w:t>
      </w:r>
      <w:r>
        <w:rPr>
          <w:lang w:val="en-US" w:eastAsia="en-AU"/>
        </w:rPr>
        <w:t xml:space="preserve">Australian </w:t>
      </w:r>
      <w:r w:rsidRPr="00F16078">
        <w:rPr>
          <w:lang w:val="en-US" w:eastAsia="en-AU"/>
        </w:rPr>
        <w:t>Department of Defence</w:t>
      </w:r>
      <w:r>
        <w:rPr>
          <w:lang w:val="en-US" w:eastAsia="en-AU"/>
        </w:rPr>
        <w:t xml:space="preserve"> (Defence)</w:t>
      </w:r>
      <w:r w:rsidRPr="00F16078">
        <w:rPr>
          <w:lang w:val="en-US" w:eastAsia="en-AU"/>
        </w:rPr>
        <w:t xml:space="preserve"> in the </w:t>
      </w:r>
      <w:r>
        <w:rPr>
          <w:lang w:val="en-US" w:eastAsia="en-AU"/>
        </w:rPr>
        <w:t>Region</w:t>
      </w:r>
      <w:r w:rsidRPr="00F16078">
        <w:rPr>
          <w:lang w:val="en-US" w:eastAsia="en-AU"/>
        </w:rPr>
        <w:t xml:space="preserve"> and has drawn similar conclusions to </w:t>
      </w:r>
      <w:r>
        <w:rPr>
          <w:lang w:val="en-US" w:eastAsia="en-AU"/>
        </w:rPr>
        <w:t>the Outlook Report 2009 and Outlook Report 2014</w:t>
      </w:r>
      <w:r w:rsidRPr="00F16078">
        <w:rPr>
          <w:lang w:val="en-US" w:eastAsia="en-AU"/>
        </w:rPr>
        <w:t xml:space="preserve">. </w:t>
      </w:r>
      <w:r w:rsidRPr="00ED046A">
        <w:rPr>
          <w:lang w:val="en-US" w:eastAsia="en-AU"/>
        </w:rPr>
        <w:t>Defence activities</w:t>
      </w:r>
      <w:r w:rsidRPr="00F16078">
        <w:rPr>
          <w:lang w:val="en-US" w:eastAsia="en-AU"/>
        </w:rPr>
        <w:t xml:space="preserve"> continue to be well managed</w:t>
      </w:r>
      <w:r>
        <w:rPr>
          <w:lang w:val="en-US" w:eastAsia="en-AU"/>
        </w:rPr>
        <w:t>,</w:t>
      </w:r>
      <w:r w:rsidRPr="00F16078">
        <w:rPr>
          <w:lang w:val="en-US" w:eastAsia="en-AU"/>
        </w:rPr>
        <w:t xml:space="preserve"> with </w:t>
      </w:r>
      <w:r>
        <w:rPr>
          <w:lang w:val="en-US" w:eastAsia="en-AU"/>
        </w:rPr>
        <w:t>continuing</w:t>
      </w:r>
      <w:r w:rsidRPr="00F16078">
        <w:rPr>
          <w:lang w:val="en-US" w:eastAsia="en-AU"/>
        </w:rPr>
        <w:t xml:space="preserve"> close cooperation between Defence, </w:t>
      </w:r>
      <w:r>
        <w:rPr>
          <w:lang w:val="en-US" w:eastAsia="en-AU"/>
        </w:rPr>
        <w:t>the Marine Park Authority</w:t>
      </w:r>
      <w:r w:rsidRPr="00F16078">
        <w:rPr>
          <w:lang w:val="en-US" w:eastAsia="en-AU"/>
        </w:rPr>
        <w:t xml:space="preserve"> and the Queensland Parks and Wildlife Service evident, particularly </w:t>
      </w:r>
      <w:r>
        <w:rPr>
          <w:lang w:val="en-US" w:eastAsia="en-AU"/>
        </w:rPr>
        <w:t>relating to</w:t>
      </w:r>
      <w:r w:rsidRPr="00F16078">
        <w:rPr>
          <w:lang w:val="en-US" w:eastAsia="en-AU"/>
        </w:rPr>
        <w:t xml:space="preserve"> </w:t>
      </w:r>
      <w:r>
        <w:rPr>
          <w:lang w:val="en-US" w:eastAsia="en-AU"/>
        </w:rPr>
        <w:t xml:space="preserve">the management </w:t>
      </w:r>
      <w:r w:rsidRPr="00F16078">
        <w:rPr>
          <w:lang w:val="en-US" w:eastAsia="en-AU"/>
        </w:rPr>
        <w:t xml:space="preserve">cycles </w:t>
      </w:r>
      <w:r>
        <w:rPr>
          <w:lang w:val="en-US" w:eastAsia="en-AU"/>
        </w:rPr>
        <w:t xml:space="preserve">for </w:t>
      </w:r>
      <w:r w:rsidRPr="00F16078">
        <w:rPr>
          <w:lang w:val="en-US" w:eastAsia="en-AU"/>
        </w:rPr>
        <w:t>major exercise</w:t>
      </w:r>
      <w:r>
        <w:rPr>
          <w:lang w:val="en-US" w:eastAsia="en-AU"/>
        </w:rPr>
        <w:t>s</w:t>
      </w:r>
      <w:r w:rsidRPr="00F16078">
        <w:rPr>
          <w:lang w:val="en-US" w:eastAsia="en-AU"/>
        </w:rPr>
        <w:t xml:space="preserve"> using Shoalwater Bay Training Area. For example, </w:t>
      </w:r>
      <w:r>
        <w:rPr>
          <w:lang w:val="en-US" w:eastAsia="en-AU"/>
        </w:rPr>
        <w:t>the two managing agencies</w:t>
      </w:r>
      <w:r w:rsidRPr="00F16078">
        <w:rPr>
          <w:lang w:val="en-US" w:eastAsia="en-AU"/>
        </w:rPr>
        <w:t xml:space="preserve"> participate in exercise planning meetings and assist</w:t>
      </w:r>
      <w:r>
        <w:rPr>
          <w:lang w:val="en-US" w:eastAsia="en-AU"/>
        </w:rPr>
        <w:t>s</w:t>
      </w:r>
      <w:r w:rsidRPr="00F16078">
        <w:rPr>
          <w:lang w:val="en-US" w:eastAsia="en-AU"/>
        </w:rPr>
        <w:t xml:space="preserve"> with advice about locations for discharges from ships and monitoring of activities such as amphibious landings. </w:t>
      </w:r>
      <w:r w:rsidRPr="00350DDE">
        <w:rPr>
          <w:lang w:val="en-US" w:eastAsia="en-AU"/>
        </w:rPr>
        <w:t>Rating</w:t>
      </w:r>
      <w:r>
        <w:rPr>
          <w:lang w:val="en-US" w:eastAsia="en-AU"/>
        </w:rPr>
        <w:t>s</w:t>
      </w:r>
      <w:r w:rsidRPr="00350DDE">
        <w:rPr>
          <w:lang w:val="en-US" w:eastAsia="en-AU"/>
        </w:rPr>
        <w:t xml:space="preserve"> for a</w:t>
      </w:r>
      <w:r>
        <w:rPr>
          <w:lang w:val="en-US" w:eastAsia="en-AU"/>
        </w:rPr>
        <w:t xml:space="preserve">ll six assessment elements are </w:t>
      </w:r>
      <w:r w:rsidRPr="00D07110">
        <w:rPr>
          <w:i/>
          <w:lang w:val="en-US" w:eastAsia="en-AU"/>
        </w:rPr>
        <w:t>effective</w:t>
      </w:r>
      <w:r w:rsidRPr="00350DDE">
        <w:rPr>
          <w:lang w:val="en-US" w:eastAsia="en-AU"/>
        </w:rPr>
        <w:t xml:space="preserve">. The rating for Inputs </w:t>
      </w:r>
      <w:r>
        <w:rPr>
          <w:lang w:val="en-US" w:eastAsia="en-AU"/>
        </w:rPr>
        <w:t xml:space="preserve">improved from </w:t>
      </w:r>
      <w:r w:rsidRPr="00D07110">
        <w:rPr>
          <w:i/>
          <w:lang w:val="en-US" w:eastAsia="en-AU"/>
        </w:rPr>
        <w:t>mostly effective</w:t>
      </w:r>
      <w:r>
        <w:rPr>
          <w:lang w:val="en-US" w:eastAsia="en-AU"/>
        </w:rPr>
        <w:t xml:space="preserve"> in 2014 to </w:t>
      </w:r>
      <w:r w:rsidRPr="00D07110">
        <w:rPr>
          <w:i/>
          <w:lang w:val="en-US" w:eastAsia="en-AU"/>
        </w:rPr>
        <w:t>effective</w:t>
      </w:r>
      <w:r w:rsidRPr="00350DDE">
        <w:rPr>
          <w:lang w:val="en-US" w:eastAsia="en-AU"/>
        </w:rPr>
        <w:t xml:space="preserve"> in 2019. </w:t>
      </w:r>
    </w:p>
    <w:p w14:paraId="5761D237" w14:textId="6ABDD113" w:rsidR="00A56EE9" w:rsidRPr="00F16078" w:rsidRDefault="00A56EE9" w:rsidP="00E3690C">
      <w:pPr>
        <w:spacing w:line="276" w:lineRule="auto"/>
        <w:rPr>
          <w:lang w:val="en-US" w:eastAsia="en-AU"/>
        </w:rPr>
      </w:pPr>
      <w:r w:rsidRPr="00F16078">
        <w:rPr>
          <w:lang w:val="en-US" w:eastAsia="en-AU"/>
        </w:rPr>
        <w:t xml:space="preserve">The environmental management system that Defence has in place is mature and has operated very effectively for many years. The management agreement and </w:t>
      </w:r>
      <w:r w:rsidRPr="00F16078">
        <w:rPr>
          <w:lang w:val="en-US" w:eastAsia="en-AU"/>
        </w:rPr>
        <w:lastRenderedPageBreak/>
        <w:t xml:space="preserve">Memorandum of Understanding (MOU) between Defence and </w:t>
      </w:r>
      <w:r>
        <w:rPr>
          <w:lang w:val="en-US" w:eastAsia="en-AU"/>
        </w:rPr>
        <w:t>the Marine Park Authority</w:t>
      </w:r>
      <w:r w:rsidRPr="00F16078">
        <w:rPr>
          <w:lang w:val="en-US" w:eastAsia="en-AU"/>
        </w:rPr>
        <w:t xml:space="preserve"> have been regularly reviewed and updated since the Outlook Report</w:t>
      </w:r>
      <w:r>
        <w:rPr>
          <w:lang w:val="en-US" w:eastAsia="en-AU"/>
        </w:rPr>
        <w:t xml:space="preserve"> 2014.</w:t>
      </w:r>
      <w:r w:rsidRPr="00F16078">
        <w:rPr>
          <w:lang w:val="en-US" w:eastAsia="en-AU"/>
        </w:rPr>
        <w:t xml:space="preserve"> This MOU continues to underpin the close working relationship between the two agencies.</w:t>
      </w:r>
      <w:r w:rsidR="00242993">
        <w:rPr>
          <w:lang w:val="en-US" w:eastAsia="en-AU"/>
        </w:rPr>
        <w:t xml:space="preserve"> </w:t>
      </w:r>
    </w:p>
    <w:p w14:paraId="5761D238" w14:textId="77777777" w:rsidR="00A56EE9" w:rsidRPr="00F16078" w:rsidRDefault="00A56EE9" w:rsidP="00E3690C">
      <w:pPr>
        <w:spacing w:line="276" w:lineRule="auto"/>
        <w:rPr>
          <w:lang w:val="en-US" w:eastAsia="en-AU"/>
        </w:rPr>
      </w:pPr>
      <w:r w:rsidRPr="00F16078">
        <w:rPr>
          <w:lang w:val="en-US" w:eastAsia="en-AU"/>
        </w:rPr>
        <w:t xml:space="preserve">Defence continues to demonstrate a strong commitment to minimising its impacts including implementing more strict controls on some activities in sensitive habitats, for example </w:t>
      </w:r>
      <w:r>
        <w:rPr>
          <w:lang w:val="en-US" w:eastAsia="en-AU"/>
        </w:rPr>
        <w:t>related to</w:t>
      </w:r>
      <w:r w:rsidRPr="00F16078">
        <w:rPr>
          <w:lang w:val="en-US" w:eastAsia="en-AU"/>
        </w:rPr>
        <w:t xml:space="preserve"> the amphibious landing activities that occurred at Stanage Bay as part of the Talisman Sabre exercise in 2017. This is in recognition of the pressures facing the Region from other threats, particularly the bleaching effects and more frequent storm events that are associated with climate change. </w:t>
      </w:r>
    </w:p>
    <w:p w14:paraId="5761D239" w14:textId="77777777" w:rsidR="00A56EE9" w:rsidRPr="00F16078" w:rsidRDefault="00A56EE9" w:rsidP="00E3690C">
      <w:pPr>
        <w:spacing w:line="276" w:lineRule="auto"/>
        <w:rPr>
          <w:lang w:eastAsia="en-AU"/>
        </w:rPr>
      </w:pPr>
      <w:r w:rsidRPr="00F16078">
        <w:rPr>
          <w:lang w:val="en-US" w:eastAsia="en-AU"/>
        </w:rPr>
        <w:t xml:space="preserve">Resources supporting Defence environmental management remain adequate to deliver these positive outcomes. </w:t>
      </w:r>
      <w:r w:rsidRPr="00F16078">
        <w:rPr>
          <w:lang w:eastAsia="en-AU"/>
        </w:rPr>
        <w:t xml:space="preserve">The nature of Defence activities undertaken in the Great Barrier Reef is well understood by Defence environmental staff who consider environmental impacts and risks associated with the different types of Defence activities. </w:t>
      </w:r>
      <w:r>
        <w:rPr>
          <w:lang w:eastAsia="en-AU"/>
        </w:rPr>
        <w:t>The</w:t>
      </w:r>
      <w:r w:rsidRPr="00F16078">
        <w:rPr>
          <w:lang w:eastAsia="en-AU"/>
        </w:rPr>
        <w:t xml:space="preserve"> high level of in-house expertise in Defence complements </w:t>
      </w:r>
      <w:r>
        <w:rPr>
          <w:lang w:eastAsia="en-AU"/>
        </w:rPr>
        <w:t>the Marine Park Authority’s</w:t>
      </w:r>
      <w:r w:rsidRPr="00F16078">
        <w:rPr>
          <w:lang w:eastAsia="en-AU"/>
        </w:rPr>
        <w:t xml:space="preserve"> own management expertise. Working together and sharing information through the Memorandum of Understanding helps ensure </w:t>
      </w:r>
      <w:r>
        <w:rPr>
          <w:lang w:eastAsia="en-AU"/>
        </w:rPr>
        <w:t>a</w:t>
      </w:r>
      <w:r w:rsidRPr="00F16078">
        <w:rPr>
          <w:lang w:eastAsia="en-AU"/>
        </w:rPr>
        <w:t xml:space="preserve"> high level of confidence that Defence activities in the Region are environmentally sustainable. The high standard of management would not be possible if Defence expertise or resourcing were to decline or be lost altogether.</w:t>
      </w:r>
    </w:p>
    <w:p w14:paraId="5761D23A" w14:textId="77777777" w:rsidR="00A56EE9" w:rsidRPr="00F16078" w:rsidRDefault="00A56EE9" w:rsidP="00E3690C">
      <w:pPr>
        <w:spacing w:line="276" w:lineRule="auto"/>
        <w:rPr>
          <w:lang w:eastAsia="en-AU"/>
        </w:rPr>
      </w:pPr>
      <w:r w:rsidRPr="00F16078">
        <w:rPr>
          <w:lang w:eastAsia="en-AU"/>
        </w:rPr>
        <w:t>The potential for intensification of use in and around Shoalwater Bay for amphibious lodgement training remains a potential emerging risk – with new areas outside of Defence-owned training facilities, such as Stanage Bay, now being used. Shoalwater Bay remains a relatively large and intact natural area that is an increasingly important refuge for species</w:t>
      </w:r>
      <w:r>
        <w:rPr>
          <w:lang w:eastAsia="en-AU"/>
        </w:rPr>
        <w:t xml:space="preserve"> (for example dugong and birdlife) </w:t>
      </w:r>
      <w:r w:rsidRPr="00F16078">
        <w:rPr>
          <w:lang w:eastAsia="en-AU"/>
        </w:rPr>
        <w:t>whose ranges are contracting in response to other pressures</w:t>
      </w:r>
      <w:r>
        <w:rPr>
          <w:lang w:eastAsia="en-AU"/>
        </w:rPr>
        <w:t>, such as</w:t>
      </w:r>
      <w:r w:rsidRPr="00F16078">
        <w:rPr>
          <w:lang w:eastAsia="en-AU"/>
        </w:rPr>
        <w:t xml:space="preserve"> coastal development and climate change. Balancing the Defence requirements for training with conservation of critical environmental values will remain a significant challenge for </w:t>
      </w:r>
      <w:r>
        <w:rPr>
          <w:lang w:val="en-US" w:eastAsia="en-AU"/>
        </w:rPr>
        <w:t>managing agencies</w:t>
      </w:r>
      <w:r w:rsidRPr="00F16078">
        <w:rPr>
          <w:lang w:eastAsia="en-AU"/>
        </w:rPr>
        <w:t xml:space="preserve"> and Defence to manage. </w:t>
      </w:r>
    </w:p>
    <w:p w14:paraId="5761D23B" w14:textId="77777777" w:rsidR="00A56EE9" w:rsidRPr="00F16078" w:rsidRDefault="00A56EE9" w:rsidP="00E3690C">
      <w:pPr>
        <w:spacing w:line="276" w:lineRule="auto"/>
        <w:rPr>
          <w:lang w:eastAsia="en-AU"/>
        </w:rPr>
      </w:pPr>
      <w:r w:rsidRPr="00F16078">
        <w:rPr>
          <w:lang w:eastAsia="en-AU"/>
        </w:rPr>
        <w:t xml:space="preserve">Since the </w:t>
      </w:r>
      <w:r>
        <w:rPr>
          <w:lang w:eastAsia="en-AU"/>
        </w:rPr>
        <w:t>Outlook Report 2014</w:t>
      </w:r>
      <w:r w:rsidRPr="00F16078">
        <w:rPr>
          <w:lang w:eastAsia="en-AU"/>
        </w:rPr>
        <w:t xml:space="preserve">, some improvements to the publicly available information relating to management of Unexploded Ordnance (UXO), explosive ordnance waste, and a wide range of dumped war materials have been implemented. </w:t>
      </w:r>
      <w:r>
        <w:rPr>
          <w:lang w:eastAsia="en-AU"/>
        </w:rPr>
        <w:t>W</w:t>
      </w:r>
      <w:r w:rsidRPr="00F16078">
        <w:rPr>
          <w:lang w:eastAsia="en-AU"/>
        </w:rPr>
        <w:t xml:space="preserve">eb-based mapping tools now cover some of the known marine areas where contamination is likely to exist outside the existing Defence training areas. This information is useful for managers making decisions about permitted uses in areas that might be </w:t>
      </w:r>
      <w:r>
        <w:rPr>
          <w:lang w:eastAsia="en-AU"/>
        </w:rPr>
        <w:t>affected</w:t>
      </w:r>
      <w:r w:rsidRPr="00F16078">
        <w:rPr>
          <w:lang w:eastAsia="en-AU"/>
        </w:rPr>
        <w:t xml:space="preserve"> by discarded or misfired ordnance.</w:t>
      </w:r>
    </w:p>
    <w:p w14:paraId="5761D23C" w14:textId="0F0AACDB" w:rsidR="00A56EE9" w:rsidRPr="00F16078" w:rsidRDefault="00A56EE9" w:rsidP="00E3690C">
      <w:pPr>
        <w:spacing w:line="276" w:lineRule="auto"/>
        <w:rPr>
          <w:lang w:eastAsia="en-AU"/>
        </w:rPr>
      </w:pPr>
      <w:bookmarkStart w:id="55" w:name="_Ref259285007"/>
      <w:bookmarkStart w:id="56" w:name="_Toc369681975"/>
      <w:bookmarkStart w:id="57" w:name="_Toc389205080"/>
      <w:r>
        <w:rPr>
          <w:lang w:val="en-GB" w:eastAsia="en-AU"/>
        </w:rPr>
        <w:t xml:space="preserve">Defence’s role in response to reports about the presence of legacy UXO continues to be </w:t>
      </w:r>
      <w:r w:rsidRPr="00D07110">
        <w:rPr>
          <w:lang w:val="en-GB" w:eastAsia="en-AU"/>
        </w:rPr>
        <w:t>effective</w:t>
      </w:r>
      <w:r>
        <w:rPr>
          <w:lang w:val="en-GB" w:eastAsia="en-AU"/>
        </w:rPr>
        <w:t xml:space="preserve">. Commonwealth policy </w:t>
      </w:r>
      <w:r>
        <w:rPr>
          <w:lang w:val="en-US"/>
        </w:rPr>
        <w:t xml:space="preserve">on the </w:t>
      </w:r>
      <w:r w:rsidRPr="00AE3099">
        <w:rPr>
          <w:i/>
          <w:lang w:val="en-US"/>
        </w:rPr>
        <w:t>Management of Land Affected by Unexploded Ordnance</w:t>
      </w:r>
      <w:r w:rsidRPr="00AB024A">
        <w:t xml:space="preserve"> </w:t>
      </w:r>
      <w:r>
        <w:rPr>
          <w:lang w:val="en-GB" w:eastAsia="en-AU"/>
        </w:rPr>
        <w:t>is clear that outside of responding to incidents, legacy UXO contamination is not a Defence responsibility. T</w:t>
      </w:r>
      <w:r w:rsidRPr="00F16078">
        <w:rPr>
          <w:lang w:val="en-GB" w:eastAsia="en-AU"/>
        </w:rPr>
        <w:t>here is almost no available information regarding the presence or effects of ordnance contamination on the Reef</w:t>
      </w:r>
      <w:r>
        <w:rPr>
          <w:lang w:val="en-GB" w:eastAsia="en-AU"/>
        </w:rPr>
        <w:t>. An</w:t>
      </w:r>
      <w:r w:rsidRPr="00F16078">
        <w:rPr>
          <w:lang w:val="en-GB" w:eastAsia="en-AU"/>
        </w:rPr>
        <w:t xml:space="preserve"> exception </w:t>
      </w:r>
      <w:r>
        <w:rPr>
          <w:lang w:val="en-GB" w:eastAsia="en-AU"/>
        </w:rPr>
        <w:t xml:space="preserve">is the </w:t>
      </w:r>
      <w:r w:rsidRPr="00F16078">
        <w:rPr>
          <w:lang w:val="en-GB" w:eastAsia="en-AU"/>
        </w:rPr>
        <w:t>WWII dump site at John Brewer Reef offshore from Townsville</w:t>
      </w:r>
      <w:r>
        <w:rPr>
          <w:lang w:val="en-GB" w:eastAsia="en-AU"/>
        </w:rPr>
        <w:t xml:space="preserve"> where more extensive surveys have been undertaken since the discovery of </w:t>
      </w:r>
      <w:r>
        <w:rPr>
          <w:lang w:val="en-GB" w:eastAsia="en-AU"/>
        </w:rPr>
        <w:lastRenderedPageBreak/>
        <w:t>dumped ordnance from WWII in 1988</w:t>
      </w:r>
      <w:r w:rsidRPr="00F16078">
        <w:rPr>
          <w:lang w:val="en-GB" w:eastAsia="en-AU"/>
        </w:rPr>
        <w:t>.</w:t>
      </w:r>
      <w:r w:rsidR="00242993">
        <w:rPr>
          <w:lang w:val="en-GB" w:eastAsia="en-AU"/>
        </w:rPr>
        <w:t xml:space="preserve"> </w:t>
      </w:r>
      <w:r w:rsidRPr="00F16078">
        <w:rPr>
          <w:lang w:val="en-GB" w:eastAsia="en-AU"/>
        </w:rPr>
        <w:t xml:space="preserve">As noted in the </w:t>
      </w:r>
      <w:r>
        <w:rPr>
          <w:lang w:val="en-GB" w:eastAsia="en-AU"/>
        </w:rPr>
        <w:t>Outlook Report</w:t>
      </w:r>
      <w:r w:rsidRPr="00F16078">
        <w:rPr>
          <w:lang w:val="en-GB" w:eastAsia="en-AU"/>
        </w:rPr>
        <w:t xml:space="preserve"> 2014</w:t>
      </w:r>
      <w:r>
        <w:rPr>
          <w:lang w:val="en-GB" w:eastAsia="en-AU"/>
        </w:rPr>
        <w:t xml:space="preserve"> </w:t>
      </w:r>
      <w:r w:rsidRPr="00F16078">
        <w:rPr>
          <w:lang w:val="en-GB" w:eastAsia="en-AU"/>
        </w:rPr>
        <w:t>th</w:t>
      </w:r>
      <w:r>
        <w:rPr>
          <w:lang w:val="en-GB" w:eastAsia="en-AU"/>
        </w:rPr>
        <w:t>e overall</w:t>
      </w:r>
      <w:r w:rsidRPr="00F16078">
        <w:rPr>
          <w:lang w:val="en-GB" w:eastAsia="en-AU"/>
        </w:rPr>
        <w:t xml:space="preserve"> approach continues to treat hazards arising from UXO contamination completely differently to all other forms of hazardous material contamination of the environment. It is a specific shortcoming that </w:t>
      </w:r>
      <w:r w:rsidRPr="00F16078">
        <w:rPr>
          <w:lang w:eastAsia="en-AU"/>
        </w:rPr>
        <w:t>the Commonwealth UXO policy does not clearly consider environmental contamination risks</w:t>
      </w:r>
      <w:r>
        <w:rPr>
          <w:lang w:eastAsia="en-AU"/>
        </w:rPr>
        <w:t>. M</w:t>
      </w:r>
      <w:r w:rsidRPr="00F16078">
        <w:rPr>
          <w:lang w:eastAsia="en-AU"/>
        </w:rPr>
        <w:t>any of the observations made by the Australian National Audit Office more than 20 years ago in their ‘Review of Contamination of Commonwealth Land’ remain relevant to the current state of management of this issue</w:t>
      </w:r>
      <w:r w:rsidRPr="00F16078">
        <w:rPr>
          <w:vertAlign w:val="superscript"/>
          <w:lang w:eastAsia="en-AU"/>
        </w:rPr>
        <w:footnoteReference w:id="2"/>
      </w:r>
      <w:r w:rsidRPr="00F16078">
        <w:rPr>
          <w:lang w:eastAsia="en-AU"/>
        </w:rPr>
        <w:t>.</w:t>
      </w:r>
    </w:p>
    <w:p w14:paraId="5761D23D" w14:textId="20A2F92D" w:rsidR="00A56EE9" w:rsidRPr="00F16078" w:rsidRDefault="00A56EE9" w:rsidP="00E3690C">
      <w:pPr>
        <w:spacing w:line="276" w:lineRule="auto"/>
        <w:rPr>
          <w:lang w:val="en-GB" w:eastAsia="en-AU"/>
        </w:rPr>
      </w:pPr>
      <w:r>
        <w:rPr>
          <w:lang w:eastAsia="en-AU"/>
        </w:rPr>
        <w:t xml:space="preserve">Legacy </w:t>
      </w:r>
      <w:r w:rsidRPr="00F16078">
        <w:rPr>
          <w:lang w:eastAsia="en-AU"/>
        </w:rPr>
        <w:t xml:space="preserve">UXO contaminated sites, particularly from WWII, are not all known or accurately recorded. It is understood that the Commonwealth Policy for management of UXO (dating from 1999) is still in place and states that the Commonwealth is </w:t>
      </w:r>
      <w:r w:rsidRPr="00F16078">
        <w:rPr>
          <w:lang w:val="en-GB" w:eastAsia="en-AU"/>
        </w:rPr>
        <w:t>generally under no legal obligation to commit resources to reduce known hazards associated with UXO contamination</w:t>
      </w:r>
      <w:r w:rsidR="00C70E92">
        <w:rPr>
          <w:lang w:val="en-GB" w:eastAsia="en-AU"/>
        </w:rPr>
        <w:t xml:space="preserve"> (Commonwealth of Australia, 1999)</w:t>
      </w:r>
      <w:r w:rsidRPr="00F16078">
        <w:rPr>
          <w:lang w:val="en-GB" w:eastAsia="en-AU"/>
        </w:rPr>
        <w:t>.</w:t>
      </w:r>
    </w:p>
    <w:p w14:paraId="5761D23E" w14:textId="5FF6D226" w:rsidR="00A56EE9" w:rsidRDefault="00A56EE9" w:rsidP="00BB6AD5">
      <w:pPr>
        <w:pStyle w:val="Caption"/>
        <w:keepNext/>
        <w:spacing w:line="240" w:lineRule="auto"/>
        <w:jc w:val="center"/>
      </w:pPr>
      <w:bookmarkStart w:id="58" w:name="_Toc525654451"/>
      <w:r w:rsidRPr="005F616A">
        <w:t xml:space="preserve">Table </w:t>
      </w:r>
      <w:r>
        <w:fldChar w:fldCharType="begin"/>
      </w:r>
      <w:r>
        <w:instrText xml:space="preserve"> SEQ Table \* ARABIC </w:instrText>
      </w:r>
      <w:r>
        <w:fldChar w:fldCharType="separate"/>
      </w:r>
      <w:r w:rsidR="00A4170C">
        <w:rPr>
          <w:noProof/>
        </w:rPr>
        <w:t>6</w:t>
      </w:r>
      <w:r>
        <w:rPr>
          <w:noProof/>
        </w:rPr>
        <w:fldChar w:fldCharType="end"/>
      </w:r>
      <w:bookmarkEnd w:id="55"/>
      <w:r w:rsidRPr="005F616A">
        <w:t xml:space="preserve"> Assessment results for </w:t>
      </w:r>
      <w:r>
        <w:t>D</w:t>
      </w:r>
      <w:r w:rsidRPr="005F616A">
        <w:t>efence</w:t>
      </w:r>
      <w:bookmarkEnd w:id="58"/>
      <w:r w:rsidRPr="005F616A">
        <w:t xml:space="preserve"> </w:t>
      </w:r>
      <w:bookmarkEnd w:id="56"/>
      <w:bookmarkEnd w:id="57"/>
    </w:p>
    <w:tbl>
      <w:tblPr>
        <w:tblStyle w:val="TableGrid"/>
        <w:tblW w:w="5000" w:type="pct"/>
        <w:jc w:val="center"/>
        <w:tblLayout w:type="fixed"/>
        <w:tblLook w:val="04A0" w:firstRow="1" w:lastRow="0" w:firstColumn="1" w:lastColumn="0" w:noHBand="0" w:noVBand="1"/>
        <w:tblCaption w:val="Table 5 Assessment results the management effectiveness for Defense"/>
        <w:tblDescription w:val="Grades and trends for Defence&#10;Context: Effective; stable&#10;Planning: Effective; stable&#10;Inputs: Effective, improved&#10;Processes: Effective; stable&#10;Outputs:Effective; stable&#10;Outcomes: Effective; stable"/>
      </w:tblPr>
      <w:tblGrid>
        <w:gridCol w:w="3320"/>
        <w:gridCol w:w="1831"/>
        <w:gridCol w:w="1828"/>
        <w:gridCol w:w="2037"/>
      </w:tblGrid>
      <w:tr w:rsidR="00A56EE9" w:rsidRPr="003D54F2" w14:paraId="5761D243" w14:textId="77777777" w:rsidTr="00BB6AD5">
        <w:trPr>
          <w:trHeight w:val="441"/>
          <w:tblHeader/>
          <w:jc w:val="center"/>
        </w:trPr>
        <w:tc>
          <w:tcPr>
            <w:tcW w:w="1286" w:type="dxa"/>
            <w:vAlign w:val="center"/>
          </w:tcPr>
          <w:p w14:paraId="5761D23F" w14:textId="77777777" w:rsidR="00A56EE9" w:rsidRPr="003D54F2" w:rsidRDefault="00A56EE9" w:rsidP="00BB6AD5">
            <w:pPr>
              <w:keepNext/>
              <w:jc w:val="both"/>
              <w:rPr>
                <w:b/>
              </w:rPr>
            </w:pPr>
            <w:r>
              <w:rPr>
                <w:b/>
              </w:rPr>
              <w:t>Defence</w:t>
            </w:r>
          </w:p>
        </w:tc>
        <w:tc>
          <w:tcPr>
            <w:tcW w:w="709" w:type="dxa"/>
            <w:vAlign w:val="center"/>
          </w:tcPr>
          <w:p w14:paraId="5761D240" w14:textId="77777777" w:rsidR="00A56EE9" w:rsidRPr="004A4864" w:rsidRDefault="00A56EE9" w:rsidP="00BB6AD5">
            <w:pPr>
              <w:keepNext/>
              <w:jc w:val="both"/>
              <w:rPr>
                <w:b/>
              </w:rPr>
            </w:pPr>
            <w:r w:rsidRPr="004A4864">
              <w:rPr>
                <w:b/>
              </w:rPr>
              <w:t>2009</w:t>
            </w:r>
          </w:p>
        </w:tc>
        <w:tc>
          <w:tcPr>
            <w:tcW w:w="708" w:type="dxa"/>
            <w:vAlign w:val="center"/>
          </w:tcPr>
          <w:p w14:paraId="5761D241" w14:textId="77777777" w:rsidR="00A56EE9" w:rsidRPr="004A4864" w:rsidRDefault="00A56EE9" w:rsidP="00BB6AD5">
            <w:pPr>
              <w:keepNext/>
              <w:jc w:val="both"/>
              <w:rPr>
                <w:b/>
              </w:rPr>
            </w:pPr>
            <w:r w:rsidRPr="004A4864">
              <w:rPr>
                <w:b/>
              </w:rPr>
              <w:t>2014</w:t>
            </w:r>
          </w:p>
        </w:tc>
        <w:tc>
          <w:tcPr>
            <w:tcW w:w="789" w:type="dxa"/>
            <w:tcBorders>
              <w:bottom w:val="single" w:sz="4" w:space="0" w:color="auto"/>
            </w:tcBorders>
            <w:vAlign w:val="center"/>
          </w:tcPr>
          <w:p w14:paraId="5761D242" w14:textId="77777777" w:rsidR="00A56EE9" w:rsidRPr="004A4864" w:rsidRDefault="00A56EE9" w:rsidP="00BB6AD5">
            <w:pPr>
              <w:keepNext/>
              <w:jc w:val="both"/>
              <w:rPr>
                <w:b/>
              </w:rPr>
            </w:pPr>
            <w:r w:rsidRPr="004A4864">
              <w:rPr>
                <w:b/>
              </w:rPr>
              <w:t>2019</w:t>
            </w:r>
          </w:p>
        </w:tc>
      </w:tr>
      <w:tr w:rsidR="00A56EE9" w:rsidRPr="003D54F2" w14:paraId="5761D248" w14:textId="77777777" w:rsidTr="00BB6AD5">
        <w:trPr>
          <w:jc w:val="center"/>
        </w:trPr>
        <w:tc>
          <w:tcPr>
            <w:tcW w:w="1286" w:type="dxa"/>
            <w:vAlign w:val="center"/>
          </w:tcPr>
          <w:p w14:paraId="5761D244" w14:textId="77777777" w:rsidR="00A56EE9" w:rsidRPr="003D54F2" w:rsidRDefault="00A56EE9" w:rsidP="00BB6AD5">
            <w:pPr>
              <w:keepNext/>
              <w:rPr>
                <w:b/>
              </w:rPr>
            </w:pPr>
            <w:r w:rsidRPr="003D54F2">
              <w:rPr>
                <w:b/>
              </w:rPr>
              <w:t>Context</w:t>
            </w:r>
          </w:p>
        </w:tc>
        <w:tc>
          <w:tcPr>
            <w:tcW w:w="709" w:type="dxa"/>
            <w:shd w:val="clear" w:color="auto" w:fill="538135" w:themeFill="accent6" w:themeFillShade="BF"/>
            <w:vAlign w:val="center"/>
          </w:tcPr>
          <w:p w14:paraId="5761D245" w14:textId="77777777" w:rsidR="00A56EE9" w:rsidRPr="00E15040" w:rsidRDefault="00A56EE9" w:rsidP="00BB6AD5">
            <w:pPr>
              <w:keepNext/>
              <w:jc w:val="center"/>
              <w:rPr>
                <w:rFonts w:ascii="Cambria Math" w:hAnsi="Cambria Math"/>
                <w:b/>
                <w:sz w:val="24"/>
                <w:szCs w:val="24"/>
              </w:rPr>
            </w:pPr>
          </w:p>
        </w:tc>
        <w:tc>
          <w:tcPr>
            <w:tcW w:w="708" w:type="dxa"/>
            <w:shd w:val="clear" w:color="auto" w:fill="538135" w:themeFill="accent6" w:themeFillShade="BF"/>
            <w:vAlign w:val="center"/>
          </w:tcPr>
          <w:p w14:paraId="5761D246"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c>
          <w:tcPr>
            <w:tcW w:w="789" w:type="dxa"/>
            <w:tcBorders>
              <w:bottom w:val="single" w:sz="4" w:space="0" w:color="auto"/>
            </w:tcBorders>
            <w:shd w:val="clear" w:color="auto" w:fill="538135" w:themeFill="accent6" w:themeFillShade="BF"/>
            <w:vAlign w:val="center"/>
          </w:tcPr>
          <w:p w14:paraId="5761D247"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24D" w14:textId="77777777" w:rsidTr="00BB6AD5">
        <w:trPr>
          <w:jc w:val="center"/>
        </w:trPr>
        <w:tc>
          <w:tcPr>
            <w:tcW w:w="1286" w:type="dxa"/>
            <w:vAlign w:val="center"/>
          </w:tcPr>
          <w:p w14:paraId="5761D249" w14:textId="77777777" w:rsidR="00A56EE9" w:rsidRPr="003D54F2" w:rsidRDefault="00A56EE9" w:rsidP="00BB6AD5">
            <w:pPr>
              <w:keepNext/>
              <w:rPr>
                <w:b/>
              </w:rPr>
            </w:pPr>
            <w:r w:rsidRPr="003D54F2">
              <w:rPr>
                <w:b/>
              </w:rPr>
              <w:t>Planning</w:t>
            </w:r>
          </w:p>
        </w:tc>
        <w:tc>
          <w:tcPr>
            <w:tcW w:w="709" w:type="dxa"/>
            <w:shd w:val="clear" w:color="auto" w:fill="538135" w:themeFill="accent6" w:themeFillShade="BF"/>
            <w:vAlign w:val="center"/>
          </w:tcPr>
          <w:p w14:paraId="5761D24A" w14:textId="77777777" w:rsidR="00A56EE9" w:rsidRPr="00E15040" w:rsidRDefault="00A56EE9" w:rsidP="00BB6AD5">
            <w:pPr>
              <w:keepNext/>
              <w:jc w:val="center"/>
              <w:rPr>
                <w:rFonts w:ascii="Cambria Math" w:hAnsi="Cambria Math"/>
                <w:b/>
                <w:sz w:val="24"/>
                <w:szCs w:val="24"/>
              </w:rPr>
            </w:pPr>
          </w:p>
        </w:tc>
        <w:tc>
          <w:tcPr>
            <w:tcW w:w="708" w:type="dxa"/>
            <w:shd w:val="clear" w:color="auto" w:fill="538135" w:themeFill="accent6" w:themeFillShade="BF"/>
            <w:vAlign w:val="center"/>
          </w:tcPr>
          <w:p w14:paraId="5761D24B"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c>
          <w:tcPr>
            <w:tcW w:w="789" w:type="dxa"/>
            <w:tcBorders>
              <w:bottom w:val="single" w:sz="4" w:space="0" w:color="auto"/>
            </w:tcBorders>
            <w:shd w:val="clear" w:color="auto" w:fill="538135" w:themeFill="accent6" w:themeFillShade="BF"/>
            <w:vAlign w:val="center"/>
          </w:tcPr>
          <w:p w14:paraId="5761D24C"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252" w14:textId="77777777" w:rsidTr="00BB6AD5">
        <w:trPr>
          <w:jc w:val="center"/>
        </w:trPr>
        <w:tc>
          <w:tcPr>
            <w:tcW w:w="1286" w:type="dxa"/>
            <w:vAlign w:val="center"/>
          </w:tcPr>
          <w:p w14:paraId="5761D24E" w14:textId="77777777" w:rsidR="00A56EE9" w:rsidRPr="003D54F2" w:rsidRDefault="00A56EE9" w:rsidP="00BB6AD5">
            <w:pPr>
              <w:keepNext/>
              <w:rPr>
                <w:b/>
              </w:rPr>
            </w:pPr>
            <w:r w:rsidRPr="003D54F2">
              <w:rPr>
                <w:b/>
              </w:rPr>
              <w:t>Inputs</w:t>
            </w:r>
          </w:p>
        </w:tc>
        <w:tc>
          <w:tcPr>
            <w:tcW w:w="709" w:type="dxa"/>
            <w:shd w:val="clear" w:color="auto" w:fill="538135" w:themeFill="accent6" w:themeFillShade="BF"/>
            <w:vAlign w:val="center"/>
          </w:tcPr>
          <w:p w14:paraId="5761D24F" w14:textId="77777777" w:rsidR="00A56EE9" w:rsidRPr="00E15040" w:rsidRDefault="00A56EE9" w:rsidP="00BB6AD5">
            <w:pPr>
              <w:keepNext/>
              <w:jc w:val="center"/>
              <w:rPr>
                <w:rFonts w:ascii="Cambria Math" w:hAnsi="Cambria Math"/>
                <w:b/>
                <w:sz w:val="24"/>
                <w:szCs w:val="24"/>
              </w:rPr>
            </w:pPr>
          </w:p>
        </w:tc>
        <w:tc>
          <w:tcPr>
            <w:tcW w:w="708" w:type="dxa"/>
            <w:shd w:val="clear" w:color="auto" w:fill="A8D08D" w:themeFill="accent6" w:themeFillTint="99"/>
            <w:vAlign w:val="center"/>
          </w:tcPr>
          <w:p w14:paraId="5761D250"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rPr>
              <w:t>⬇</w:t>
            </w:r>
          </w:p>
        </w:tc>
        <w:tc>
          <w:tcPr>
            <w:tcW w:w="789" w:type="dxa"/>
            <w:tcBorders>
              <w:bottom w:val="single" w:sz="4" w:space="0" w:color="auto"/>
            </w:tcBorders>
            <w:shd w:val="clear" w:color="auto" w:fill="538135" w:themeFill="accent6" w:themeFillShade="BF"/>
            <w:vAlign w:val="center"/>
          </w:tcPr>
          <w:p w14:paraId="5761D251" w14:textId="77777777" w:rsidR="00A56EE9" w:rsidRPr="00E15040" w:rsidRDefault="00A56EE9" w:rsidP="00BB6AD5">
            <w:pPr>
              <w:keepNext/>
              <w:jc w:val="center"/>
              <w:rPr>
                <w:rFonts w:ascii="Cambria Math" w:hAnsi="Cambria Math"/>
                <w:b/>
                <w:sz w:val="24"/>
                <w:szCs w:val="24"/>
              </w:rPr>
            </w:pPr>
            <w:r w:rsidRPr="00C80F3D">
              <w:rPr>
                <w:rFonts w:ascii="Cambria Math" w:hAnsi="Cambria Math" w:cs="Cambria Math"/>
                <w:b/>
              </w:rPr>
              <w:t>⬆</w:t>
            </w:r>
          </w:p>
        </w:tc>
      </w:tr>
      <w:tr w:rsidR="00A56EE9" w:rsidRPr="003D54F2" w14:paraId="5761D257" w14:textId="77777777" w:rsidTr="00BB6AD5">
        <w:trPr>
          <w:jc w:val="center"/>
        </w:trPr>
        <w:tc>
          <w:tcPr>
            <w:tcW w:w="1286" w:type="dxa"/>
            <w:vAlign w:val="center"/>
          </w:tcPr>
          <w:p w14:paraId="5761D253" w14:textId="77777777" w:rsidR="00A56EE9" w:rsidRPr="003D54F2" w:rsidRDefault="00A56EE9" w:rsidP="00BB6AD5">
            <w:pPr>
              <w:keepNext/>
              <w:rPr>
                <w:b/>
              </w:rPr>
            </w:pPr>
            <w:r w:rsidRPr="003D54F2">
              <w:rPr>
                <w:b/>
              </w:rPr>
              <w:t>Processes</w:t>
            </w:r>
          </w:p>
        </w:tc>
        <w:tc>
          <w:tcPr>
            <w:tcW w:w="709" w:type="dxa"/>
            <w:shd w:val="clear" w:color="auto" w:fill="538135" w:themeFill="accent6" w:themeFillShade="BF"/>
            <w:vAlign w:val="center"/>
          </w:tcPr>
          <w:p w14:paraId="5761D254" w14:textId="77777777" w:rsidR="00A56EE9" w:rsidRPr="00E15040" w:rsidRDefault="00A56EE9" w:rsidP="00BB6AD5">
            <w:pPr>
              <w:keepNext/>
              <w:jc w:val="center"/>
              <w:rPr>
                <w:rFonts w:ascii="Cambria Math" w:hAnsi="Cambria Math"/>
                <w:b/>
                <w:sz w:val="24"/>
                <w:szCs w:val="24"/>
              </w:rPr>
            </w:pPr>
          </w:p>
        </w:tc>
        <w:tc>
          <w:tcPr>
            <w:tcW w:w="708" w:type="dxa"/>
            <w:shd w:val="clear" w:color="auto" w:fill="538135" w:themeFill="accent6" w:themeFillShade="BF"/>
            <w:vAlign w:val="center"/>
          </w:tcPr>
          <w:p w14:paraId="5761D255"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c>
          <w:tcPr>
            <w:tcW w:w="789" w:type="dxa"/>
            <w:tcBorders>
              <w:bottom w:val="single" w:sz="4" w:space="0" w:color="auto"/>
            </w:tcBorders>
            <w:shd w:val="clear" w:color="auto" w:fill="538135" w:themeFill="accent6" w:themeFillShade="BF"/>
            <w:vAlign w:val="center"/>
          </w:tcPr>
          <w:p w14:paraId="5761D256"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25C" w14:textId="77777777" w:rsidTr="00BB6AD5">
        <w:trPr>
          <w:jc w:val="center"/>
        </w:trPr>
        <w:tc>
          <w:tcPr>
            <w:tcW w:w="1286" w:type="dxa"/>
            <w:vAlign w:val="center"/>
          </w:tcPr>
          <w:p w14:paraId="5761D258" w14:textId="77777777" w:rsidR="00A56EE9" w:rsidRPr="003D54F2" w:rsidRDefault="00A56EE9" w:rsidP="00BB6AD5">
            <w:pPr>
              <w:keepNext/>
              <w:rPr>
                <w:b/>
              </w:rPr>
            </w:pPr>
            <w:r w:rsidRPr="003D54F2">
              <w:rPr>
                <w:b/>
              </w:rPr>
              <w:t>Outputs</w:t>
            </w:r>
          </w:p>
        </w:tc>
        <w:tc>
          <w:tcPr>
            <w:tcW w:w="709" w:type="dxa"/>
            <w:shd w:val="clear" w:color="auto" w:fill="538135" w:themeFill="accent6" w:themeFillShade="BF"/>
            <w:vAlign w:val="center"/>
          </w:tcPr>
          <w:p w14:paraId="5761D259" w14:textId="77777777" w:rsidR="00A56EE9" w:rsidRPr="00E15040" w:rsidRDefault="00A56EE9" w:rsidP="00BB6AD5">
            <w:pPr>
              <w:keepNext/>
              <w:jc w:val="center"/>
              <w:rPr>
                <w:rFonts w:ascii="Cambria Math" w:hAnsi="Cambria Math"/>
                <w:b/>
                <w:sz w:val="24"/>
                <w:szCs w:val="24"/>
              </w:rPr>
            </w:pPr>
          </w:p>
        </w:tc>
        <w:tc>
          <w:tcPr>
            <w:tcW w:w="708" w:type="dxa"/>
            <w:shd w:val="clear" w:color="auto" w:fill="538135" w:themeFill="accent6" w:themeFillShade="BF"/>
            <w:vAlign w:val="center"/>
          </w:tcPr>
          <w:p w14:paraId="5761D25A"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c>
          <w:tcPr>
            <w:tcW w:w="789" w:type="dxa"/>
            <w:tcBorders>
              <w:bottom w:val="single" w:sz="4" w:space="0" w:color="auto"/>
            </w:tcBorders>
            <w:shd w:val="clear" w:color="auto" w:fill="538135" w:themeFill="accent6" w:themeFillShade="BF"/>
            <w:vAlign w:val="center"/>
          </w:tcPr>
          <w:p w14:paraId="5761D25B"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261" w14:textId="77777777" w:rsidTr="00BB6AD5">
        <w:trPr>
          <w:jc w:val="center"/>
        </w:trPr>
        <w:tc>
          <w:tcPr>
            <w:tcW w:w="1286" w:type="dxa"/>
            <w:vAlign w:val="center"/>
          </w:tcPr>
          <w:p w14:paraId="5761D25D" w14:textId="77777777" w:rsidR="00A56EE9" w:rsidRPr="003D54F2" w:rsidRDefault="00A56EE9" w:rsidP="00BB6AD5">
            <w:pPr>
              <w:keepNext/>
              <w:rPr>
                <w:b/>
              </w:rPr>
            </w:pPr>
            <w:r w:rsidRPr="003D54F2">
              <w:rPr>
                <w:b/>
              </w:rPr>
              <w:t>Outcomes</w:t>
            </w:r>
          </w:p>
        </w:tc>
        <w:tc>
          <w:tcPr>
            <w:tcW w:w="709" w:type="dxa"/>
            <w:shd w:val="clear" w:color="auto" w:fill="538135" w:themeFill="accent6" w:themeFillShade="BF"/>
            <w:vAlign w:val="center"/>
          </w:tcPr>
          <w:p w14:paraId="5761D25E" w14:textId="77777777" w:rsidR="00A56EE9" w:rsidRPr="00E15040" w:rsidRDefault="00A56EE9" w:rsidP="00BB6AD5">
            <w:pPr>
              <w:keepNext/>
              <w:jc w:val="center"/>
              <w:rPr>
                <w:rFonts w:ascii="Cambria Math" w:hAnsi="Cambria Math"/>
                <w:b/>
                <w:sz w:val="24"/>
                <w:szCs w:val="24"/>
              </w:rPr>
            </w:pPr>
          </w:p>
        </w:tc>
        <w:tc>
          <w:tcPr>
            <w:tcW w:w="708" w:type="dxa"/>
            <w:shd w:val="clear" w:color="auto" w:fill="538135" w:themeFill="accent6" w:themeFillShade="BF"/>
            <w:vAlign w:val="center"/>
          </w:tcPr>
          <w:p w14:paraId="5761D25F"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c>
          <w:tcPr>
            <w:tcW w:w="789" w:type="dxa"/>
            <w:shd w:val="clear" w:color="auto" w:fill="538135" w:themeFill="accent6" w:themeFillShade="BF"/>
            <w:vAlign w:val="center"/>
          </w:tcPr>
          <w:p w14:paraId="5761D260"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bl>
    <w:p w14:paraId="5761D262" w14:textId="77777777" w:rsidR="00A56EE9" w:rsidRDefault="00A56EE9" w:rsidP="00BB6AD5">
      <w:pPr>
        <w:keepNext/>
        <w:spacing w:line="240" w:lineRule="auto"/>
        <w:ind w:left="852" w:firstLine="1842"/>
        <w:contextualSpacing/>
        <w:rPr>
          <w:sz w:val="16"/>
          <w:szCs w:val="16"/>
        </w:rPr>
      </w:pPr>
      <w:r>
        <w:rPr>
          <w:sz w:val="16"/>
          <w:szCs w:val="16"/>
        </w:rPr>
        <w:t xml:space="preserve">Management effective assessment is colour coded: </w:t>
      </w:r>
    </w:p>
    <w:tbl>
      <w:tblPr>
        <w:tblStyle w:val="TableGrid"/>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261"/>
      </w:tblGrid>
      <w:tr w:rsidR="00A56EE9" w14:paraId="5761D26B" w14:textId="77777777" w:rsidTr="00BB6AD5">
        <w:trPr>
          <w:tblHeader/>
        </w:trPr>
        <w:tc>
          <w:tcPr>
            <w:tcW w:w="1084" w:type="dxa"/>
          </w:tcPr>
          <w:p w14:paraId="5761D263" w14:textId="77777777" w:rsidR="00A56EE9" w:rsidRDefault="00A56EE9" w:rsidP="00BB6AD5">
            <w:pPr>
              <w:keepNext/>
              <w:ind w:right="-158"/>
              <w:contextualSpacing/>
              <w:rPr>
                <w:sz w:val="16"/>
                <w:szCs w:val="16"/>
              </w:rPr>
            </w:pPr>
            <w:r>
              <w:rPr>
                <w:sz w:val="16"/>
                <w:szCs w:val="16"/>
              </w:rPr>
              <w:t>Effective (E)</w:t>
            </w:r>
          </w:p>
        </w:tc>
        <w:tc>
          <w:tcPr>
            <w:tcW w:w="0" w:type="auto"/>
          </w:tcPr>
          <w:p w14:paraId="5761D264" w14:textId="77777777" w:rsidR="00A56EE9" w:rsidRDefault="00A56EE9" w:rsidP="00BB6AD5">
            <w:pPr>
              <w:keepNext/>
              <w:contextualSpacing/>
              <w:rPr>
                <w:sz w:val="16"/>
                <w:szCs w:val="16"/>
              </w:rPr>
            </w:pPr>
            <w:r>
              <w:rPr>
                <w:noProof/>
                <w:sz w:val="16"/>
                <w:szCs w:val="16"/>
              </w:rPr>
              <mc:AlternateContent>
                <mc:Choice Requires="wps">
                  <w:drawing>
                    <wp:anchor distT="0" distB="0" distL="114300" distR="114300" simplePos="0" relativeHeight="251684864" behindDoc="1" locked="0" layoutInCell="1" allowOverlap="1" wp14:anchorId="57620C5E" wp14:editId="57620C5F">
                      <wp:simplePos x="0" y="0"/>
                      <wp:positionH relativeFrom="column">
                        <wp:posOffset>-50800</wp:posOffset>
                      </wp:positionH>
                      <wp:positionV relativeFrom="paragraph">
                        <wp:posOffset>26670</wp:posOffset>
                      </wp:positionV>
                      <wp:extent cx="95250" cy="104775"/>
                      <wp:effectExtent l="0" t="0" r="19050" b="28575"/>
                      <wp:wrapSquare wrapText="bothSides"/>
                      <wp:docPr id="16" name="Rectangle 16"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6"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5E" id="Rectangle 16" o:spid="_x0000_s1039" alt="Title: Rectangle - Description: Rectangle coloured dark green" style="position:absolute;margin-left:-4pt;margin-top:2.1pt;width:7.5pt;height:8.2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" fillcolor="#060" strokecolor="black [3213]" strokeweight="1pt">
                      <v:textbox>
                        <w:txbxContent>
                          <w:p w14:paraId="57620D06"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265" w14:textId="77777777" w:rsidR="00A56EE9" w:rsidRDefault="00A56EE9" w:rsidP="00BB6AD5">
            <w:pPr>
              <w:keepNext/>
              <w:contextualSpacing/>
              <w:rPr>
                <w:sz w:val="16"/>
                <w:szCs w:val="16"/>
              </w:rPr>
            </w:pPr>
            <w:r>
              <w:rPr>
                <w:sz w:val="16"/>
                <w:szCs w:val="16"/>
              </w:rPr>
              <w:t>Mostly effective (ME)</w:t>
            </w:r>
          </w:p>
        </w:tc>
        <w:tc>
          <w:tcPr>
            <w:tcW w:w="0" w:type="auto"/>
          </w:tcPr>
          <w:p w14:paraId="5761D266" w14:textId="77777777" w:rsidR="00A56EE9" w:rsidRDefault="00A56EE9" w:rsidP="00BB6AD5">
            <w:pPr>
              <w:keepNext/>
              <w:contextualSpacing/>
              <w:rPr>
                <w:sz w:val="16"/>
                <w:szCs w:val="16"/>
              </w:rPr>
            </w:pPr>
            <w:r>
              <w:rPr>
                <w:noProof/>
                <w:sz w:val="16"/>
                <w:szCs w:val="16"/>
              </w:rPr>
              <mc:AlternateContent>
                <mc:Choice Requires="wps">
                  <w:drawing>
                    <wp:anchor distT="0" distB="0" distL="114300" distR="114300" simplePos="0" relativeHeight="251681792" behindDoc="0" locked="0" layoutInCell="1" allowOverlap="1" wp14:anchorId="57620C60" wp14:editId="57620C61">
                      <wp:simplePos x="0" y="0"/>
                      <wp:positionH relativeFrom="column">
                        <wp:posOffset>-41275</wp:posOffset>
                      </wp:positionH>
                      <wp:positionV relativeFrom="paragraph">
                        <wp:posOffset>22860</wp:posOffset>
                      </wp:positionV>
                      <wp:extent cx="95250" cy="104775"/>
                      <wp:effectExtent l="0" t="0" r="19050" b="28575"/>
                      <wp:wrapNone/>
                      <wp:docPr id="17" name="Rectangle 17"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7"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60" id="Rectangle 17" o:spid="_x0000_s1040" alt="Title: Rectangle - Description: Rectangle coloured light green" style="position:absolute;margin-left:-3.25pt;margin-top:1.8pt;width:7.5pt;height:8.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" fillcolor="#92d050" strokecolor="black [3213]" strokeweight="1pt">
                      <v:textbox>
                        <w:txbxContent>
                          <w:p w14:paraId="57620D07" w14:textId="77777777" w:rsidR="008B5998" w:rsidRDefault="008B5998" w:rsidP="00BB6AD5">
                            <w:pPr>
                              <w:jc w:val="center"/>
                            </w:pPr>
                          </w:p>
                        </w:txbxContent>
                      </v:textbox>
                    </v:rect>
                  </w:pict>
                </mc:Fallback>
              </mc:AlternateContent>
            </w:r>
            <w:r>
              <w:rPr>
                <w:sz w:val="16"/>
                <w:szCs w:val="16"/>
              </w:rPr>
              <w:t>;</w:t>
            </w:r>
          </w:p>
        </w:tc>
        <w:tc>
          <w:tcPr>
            <w:tcW w:w="0" w:type="auto"/>
          </w:tcPr>
          <w:p w14:paraId="5761D267" w14:textId="77777777" w:rsidR="00A56EE9" w:rsidRDefault="00A56EE9" w:rsidP="00BB6AD5">
            <w:pPr>
              <w:keepNext/>
              <w:contextualSpacing/>
              <w:rPr>
                <w:sz w:val="16"/>
                <w:szCs w:val="16"/>
              </w:rPr>
            </w:pPr>
            <w:r>
              <w:rPr>
                <w:sz w:val="16"/>
                <w:szCs w:val="16"/>
              </w:rPr>
              <w:t>Partially effective (PE)</w:t>
            </w:r>
          </w:p>
        </w:tc>
        <w:tc>
          <w:tcPr>
            <w:tcW w:w="0" w:type="auto"/>
          </w:tcPr>
          <w:p w14:paraId="5761D268" w14:textId="77777777" w:rsidR="00A56EE9" w:rsidRDefault="00A56EE9" w:rsidP="00BB6AD5">
            <w:pPr>
              <w:keepNext/>
              <w:contextualSpacing/>
              <w:rPr>
                <w:sz w:val="16"/>
                <w:szCs w:val="16"/>
              </w:rPr>
            </w:pPr>
            <w:r>
              <w:rPr>
                <w:noProof/>
                <w:sz w:val="16"/>
                <w:szCs w:val="16"/>
              </w:rPr>
              <mc:AlternateContent>
                <mc:Choice Requires="wps">
                  <w:drawing>
                    <wp:anchor distT="0" distB="0" distL="114300" distR="114300" simplePos="0" relativeHeight="251682816" behindDoc="0" locked="0" layoutInCell="1" allowOverlap="1" wp14:anchorId="57620C62" wp14:editId="57620C63">
                      <wp:simplePos x="0" y="0"/>
                      <wp:positionH relativeFrom="column">
                        <wp:posOffset>-65405</wp:posOffset>
                      </wp:positionH>
                      <wp:positionV relativeFrom="paragraph">
                        <wp:posOffset>19685</wp:posOffset>
                      </wp:positionV>
                      <wp:extent cx="95250" cy="104775"/>
                      <wp:effectExtent l="0" t="0" r="19050" b="28575"/>
                      <wp:wrapNone/>
                      <wp:docPr id="18" name="Rectangle 18"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8"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62" id="Rectangle 18" o:spid="_x0000_s1041" alt="Title: Rectangle - Description: Rectangle coloured orange" style="position:absolute;margin-left:-5.15pt;margin-top:1.55pt;width:7.5pt;height:8.2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" fillcolor="#ffc000" strokecolor="black [3213]" strokeweight="1pt">
                      <v:textbox>
                        <w:txbxContent>
                          <w:p w14:paraId="57620D08" w14:textId="77777777" w:rsidR="008B5998" w:rsidRDefault="008B5998" w:rsidP="00BB6AD5">
                            <w:pPr>
                              <w:jc w:val="center"/>
                            </w:pPr>
                          </w:p>
                        </w:txbxContent>
                      </v:textbox>
                    </v:rect>
                  </w:pict>
                </mc:Fallback>
              </mc:AlternateContent>
            </w:r>
            <w:r>
              <w:rPr>
                <w:sz w:val="16"/>
                <w:szCs w:val="16"/>
              </w:rPr>
              <w:t>;</w:t>
            </w:r>
          </w:p>
        </w:tc>
        <w:tc>
          <w:tcPr>
            <w:tcW w:w="0" w:type="auto"/>
          </w:tcPr>
          <w:p w14:paraId="5761D269" w14:textId="77777777" w:rsidR="00A56EE9" w:rsidRDefault="00A56EE9" w:rsidP="00BB6AD5">
            <w:pPr>
              <w:keepNext/>
              <w:contextualSpacing/>
              <w:rPr>
                <w:sz w:val="16"/>
                <w:szCs w:val="16"/>
              </w:rPr>
            </w:pPr>
            <w:r>
              <w:rPr>
                <w:sz w:val="16"/>
                <w:szCs w:val="16"/>
              </w:rPr>
              <w:t>Ineffective (I)</w:t>
            </w:r>
          </w:p>
        </w:tc>
        <w:tc>
          <w:tcPr>
            <w:tcW w:w="0" w:type="auto"/>
          </w:tcPr>
          <w:p w14:paraId="5761D26A" w14:textId="77777777" w:rsidR="00A56EE9" w:rsidRDefault="00A56EE9" w:rsidP="00BB6AD5">
            <w:pPr>
              <w:keepNext/>
              <w:contextualSpacing/>
              <w:rPr>
                <w:sz w:val="16"/>
                <w:szCs w:val="16"/>
              </w:rPr>
            </w:pPr>
            <w:r>
              <w:rPr>
                <w:noProof/>
                <w:sz w:val="16"/>
                <w:szCs w:val="16"/>
              </w:rPr>
              <mc:AlternateContent>
                <mc:Choice Requires="wps">
                  <w:drawing>
                    <wp:anchor distT="0" distB="0" distL="114300" distR="114300" simplePos="0" relativeHeight="251683840" behindDoc="0" locked="0" layoutInCell="1" allowOverlap="1" wp14:anchorId="57620C64" wp14:editId="57620C65">
                      <wp:simplePos x="0" y="0"/>
                      <wp:positionH relativeFrom="column">
                        <wp:posOffset>-50165</wp:posOffset>
                      </wp:positionH>
                      <wp:positionV relativeFrom="paragraph">
                        <wp:posOffset>24130</wp:posOffset>
                      </wp:positionV>
                      <wp:extent cx="95250" cy="104775"/>
                      <wp:effectExtent l="0" t="0" r="19050" b="28575"/>
                      <wp:wrapNone/>
                      <wp:docPr id="19" name="Rectangle 19"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9"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64" id="Rectangle 19" o:spid="_x0000_s1042" alt="Title: Rectangle - Description: Rectangle coloured red" style="position:absolute;margin-left:-3.95pt;margin-top:1.9pt;width:7.5pt;height:8.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" fillcolor="red" strokecolor="black [3213]" strokeweight="1pt">
                      <v:textbox>
                        <w:txbxContent>
                          <w:p w14:paraId="57620D09" w14:textId="77777777" w:rsidR="008B5998" w:rsidRDefault="008B5998" w:rsidP="00BB6AD5">
                            <w:pPr>
                              <w:jc w:val="center"/>
                            </w:pPr>
                          </w:p>
                        </w:txbxContent>
                      </v:textbox>
                    </v:rect>
                  </w:pict>
                </mc:Fallback>
              </mc:AlternateContent>
            </w:r>
            <w:r>
              <w:rPr>
                <w:sz w:val="16"/>
                <w:szCs w:val="16"/>
              </w:rPr>
              <w:t>;</w:t>
            </w:r>
          </w:p>
        </w:tc>
      </w:tr>
    </w:tbl>
    <w:p w14:paraId="5761D26C" w14:textId="77777777" w:rsidR="00A56EE9" w:rsidRPr="00274554" w:rsidRDefault="00A56EE9" w:rsidP="00BB6AD5">
      <w:pPr>
        <w:keepNext/>
        <w:spacing w:after="0" w:line="240" w:lineRule="auto"/>
        <w:ind w:left="1704"/>
        <w:contextualSpacing/>
      </w:pPr>
      <w:r w:rsidRPr="004F2ABF">
        <w:rPr>
          <w:rFonts w:ascii="Cambria Math" w:hAnsi="Cambria Math" w:cs="Cambria Math"/>
        </w:rPr>
        <w:t>⬆</w:t>
      </w:r>
      <w:r>
        <w:t xml:space="preserve"> </w:t>
      </w:r>
      <w:r w:rsidRPr="006C34EB">
        <w:rPr>
          <w:sz w:val="16"/>
          <w:szCs w:val="16"/>
        </w:rPr>
        <w:t xml:space="preserve">Trend since </w:t>
      </w:r>
      <w:r>
        <w:rPr>
          <w:sz w:val="16"/>
          <w:szCs w:val="16"/>
        </w:rPr>
        <w:t>2009, 2014</w:t>
      </w:r>
      <w:r w:rsidRPr="006C34EB">
        <w:rPr>
          <w:sz w:val="16"/>
          <w:szCs w:val="16"/>
        </w:rPr>
        <w:t xml:space="preserve"> has been an upwards change in grade</w:t>
      </w:r>
    </w:p>
    <w:p w14:paraId="5761D26D" w14:textId="77777777" w:rsidR="00A56EE9" w:rsidRPr="004F2ABF" w:rsidRDefault="00A56EE9" w:rsidP="00BB6AD5">
      <w:pPr>
        <w:keepNext/>
        <w:spacing w:after="0" w:line="240" w:lineRule="auto"/>
        <w:ind w:left="1704"/>
        <w:contextualSpacing/>
      </w:pPr>
      <w:r>
        <w:rPr>
          <w:rFonts w:ascii="Cambria Math" w:hAnsi="Cambria Math" w:cs="Cambria Math"/>
          <w:b/>
        </w:rPr>
        <w:t>↔</w:t>
      </w:r>
      <w:r w:rsidRPr="004F2ABF">
        <w:t xml:space="preserve"> </w:t>
      </w:r>
      <w:r w:rsidRPr="006C34EB">
        <w:rPr>
          <w:sz w:val="16"/>
          <w:szCs w:val="16"/>
        </w:rPr>
        <w:t>Grade has remained stable compared to 2009,</w:t>
      </w:r>
      <w:r>
        <w:rPr>
          <w:sz w:val="16"/>
          <w:szCs w:val="16"/>
        </w:rPr>
        <w:t xml:space="preserve"> 2014</w:t>
      </w:r>
      <w:r w:rsidRPr="006C34EB">
        <w:rPr>
          <w:sz w:val="16"/>
          <w:szCs w:val="16"/>
        </w:rPr>
        <w:t xml:space="preserve"> with no major trends</w:t>
      </w:r>
      <w:r w:rsidRPr="004F2ABF">
        <w:t xml:space="preserve"> </w:t>
      </w:r>
    </w:p>
    <w:p w14:paraId="5761D26E" w14:textId="77777777" w:rsidR="00A56EE9" w:rsidRPr="004F2ABF" w:rsidRDefault="00A56EE9" w:rsidP="00BB6AD5">
      <w:pPr>
        <w:keepNext/>
        <w:spacing w:after="0" w:line="240" w:lineRule="auto"/>
        <w:ind w:left="1704"/>
        <w:contextualSpacing/>
      </w:pPr>
      <w:r>
        <w:rPr>
          <w:rFonts w:ascii="Cambria Math" w:hAnsi="Cambria Math" w:cs="Cambria Math"/>
          <w:b/>
        </w:rPr>
        <w:t>↘</w:t>
      </w:r>
      <w:r w:rsidRPr="004F2ABF">
        <w:rPr>
          <w:b/>
        </w:rPr>
        <w:t xml:space="preserve"> </w:t>
      </w:r>
      <w:r w:rsidRPr="006C34EB">
        <w:rPr>
          <w:sz w:val="16"/>
          <w:szCs w:val="16"/>
        </w:rPr>
        <w:t>Trend since 2009</w:t>
      </w:r>
      <w:r>
        <w:rPr>
          <w:sz w:val="16"/>
          <w:szCs w:val="16"/>
        </w:rPr>
        <w:t xml:space="preserve">, 2014 </w:t>
      </w:r>
      <w:r w:rsidRPr="006C34EB">
        <w:rPr>
          <w:sz w:val="16"/>
          <w:szCs w:val="16"/>
        </w:rPr>
        <w:t>is decreasing but has not caused a downwards grade change</w:t>
      </w:r>
    </w:p>
    <w:p w14:paraId="5761D26F" w14:textId="77777777" w:rsidR="00A56EE9" w:rsidRPr="004F2ABF" w:rsidRDefault="00A56EE9" w:rsidP="00BB6AD5">
      <w:pPr>
        <w:keepNext/>
        <w:spacing w:after="0" w:line="240" w:lineRule="auto"/>
        <w:ind w:left="1704"/>
        <w:contextualSpacing/>
      </w:pPr>
      <w:r w:rsidRPr="004F2ABF">
        <w:rPr>
          <w:rFonts w:ascii="Cambria Math" w:hAnsi="Cambria Math" w:cs="Cambria Math"/>
        </w:rPr>
        <w:t>⬇</w:t>
      </w:r>
      <w:r>
        <w:t xml:space="preserve"> </w:t>
      </w:r>
      <w:r w:rsidRPr="006C34EB">
        <w:rPr>
          <w:sz w:val="16"/>
          <w:szCs w:val="16"/>
        </w:rPr>
        <w:t>Trend since 2009</w:t>
      </w:r>
      <w:r>
        <w:rPr>
          <w:sz w:val="16"/>
          <w:szCs w:val="16"/>
        </w:rPr>
        <w:t>, 2014</w:t>
      </w:r>
      <w:r w:rsidRPr="006C34EB">
        <w:rPr>
          <w:sz w:val="16"/>
          <w:szCs w:val="16"/>
        </w:rPr>
        <w:t xml:space="preserve"> has bee</w:t>
      </w:r>
      <w:r>
        <w:rPr>
          <w:sz w:val="16"/>
          <w:szCs w:val="16"/>
        </w:rPr>
        <w:t>n a</w:t>
      </w:r>
      <w:r w:rsidRPr="006C34EB">
        <w:rPr>
          <w:sz w:val="16"/>
          <w:szCs w:val="16"/>
        </w:rPr>
        <w:t xml:space="preserve"> downwards change in grade</w:t>
      </w:r>
    </w:p>
    <w:p w14:paraId="5761D271" w14:textId="77777777" w:rsidR="00A56EE9" w:rsidRDefault="00A56EE9" w:rsidP="00A11869">
      <w:pPr>
        <w:pStyle w:val="Heading2"/>
        <w:numPr>
          <w:ilvl w:val="1"/>
          <w:numId w:val="17"/>
        </w:numPr>
        <w:ind w:left="357" w:hanging="357"/>
      </w:pPr>
      <w:bookmarkStart w:id="59" w:name="_Toc523423781"/>
      <w:r>
        <w:t>Fishing</w:t>
      </w:r>
      <w:bookmarkEnd w:id="59"/>
    </w:p>
    <w:p w14:paraId="5761D272" w14:textId="77777777" w:rsidR="00A56EE9" w:rsidRDefault="00A56EE9" w:rsidP="00E3690C">
      <w:pPr>
        <w:spacing w:line="276" w:lineRule="auto"/>
      </w:pPr>
      <w:r w:rsidRPr="00A34C09">
        <w:t>Fishing continues to be the principal extractive use of the Great Barrier Reef. Viable commercial fishing industries and recreational fishing depend on a healthy ecosystem. Commercial fishing targets a range of species including fish, sharks, crabs, lobsters</w:t>
      </w:r>
      <w:r>
        <w:t>, scallops</w:t>
      </w:r>
      <w:r w:rsidRPr="00A34C09">
        <w:t xml:space="preserve"> and prawns. </w:t>
      </w:r>
      <w:r>
        <w:t>In addition, c</w:t>
      </w:r>
      <w:r w:rsidRPr="00A34C09">
        <w:t xml:space="preserve">ommercial harvest fisheries target </w:t>
      </w:r>
      <w:r>
        <w:t xml:space="preserve">a </w:t>
      </w:r>
      <w:r w:rsidRPr="00A34C09">
        <w:t xml:space="preserve">range of species including coral and live rock, marine aquarium fish, sea cucumber and tropical rock lobster. The main target species for recreational fishing are coral trout and other cod, emperor, tropical snapper, barramundi, bream, mackerel, whiting, crabs, </w:t>
      </w:r>
      <w:r>
        <w:t xml:space="preserve">tropical rock </w:t>
      </w:r>
      <w:r w:rsidRPr="00A34C09">
        <w:t xml:space="preserve">lobster and bait fish. </w:t>
      </w:r>
    </w:p>
    <w:p w14:paraId="5761D273" w14:textId="43FFA1EB" w:rsidR="00A56EE9" w:rsidRPr="00A34C09" w:rsidRDefault="00A56EE9" w:rsidP="00E3690C">
      <w:pPr>
        <w:spacing w:line="276" w:lineRule="auto"/>
      </w:pPr>
      <w:r w:rsidRPr="00C80F3D">
        <w:t xml:space="preserve">Rating of effectiveness for </w:t>
      </w:r>
      <w:r>
        <w:t>two</w:t>
      </w:r>
      <w:r w:rsidRPr="00C80F3D">
        <w:t xml:space="preserve"> of the si</w:t>
      </w:r>
      <w:r>
        <w:t xml:space="preserve">x assessment elements has </w:t>
      </w:r>
      <w:r w:rsidRPr="00C80F3D">
        <w:t>improved</w:t>
      </w:r>
      <w:r>
        <w:t>:</w:t>
      </w:r>
      <w:r w:rsidRPr="00C80F3D">
        <w:t xml:space="preserve"> </w:t>
      </w:r>
      <w:r>
        <w:t xml:space="preserve">Planning from </w:t>
      </w:r>
      <w:r w:rsidRPr="00D07110">
        <w:rPr>
          <w:i/>
        </w:rPr>
        <w:t>mostly effective</w:t>
      </w:r>
      <w:r>
        <w:t xml:space="preserve"> to </w:t>
      </w:r>
      <w:r w:rsidRPr="00D07110">
        <w:rPr>
          <w:i/>
        </w:rPr>
        <w:t>effective</w:t>
      </w:r>
      <w:r>
        <w:t xml:space="preserve">, and Inputs from </w:t>
      </w:r>
      <w:r w:rsidRPr="00D07110">
        <w:rPr>
          <w:i/>
        </w:rPr>
        <w:t>partially effective</w:t>
      </w:r>
      <w:r>
        <w:t xml:space="preserve"> to </w:t>
      </w:r>
      <w:r w:rsidRPr="00D07110">
        <w:rPr>
          <w:i/>
        </w:rPr>
        <w:t>mostly effective</w:t>
      </w:r>
      <w:r>
        <w:t xml:space="preserve"> respectively</w:t>
      </w:r>
      <w:r w:rsidRPr="00C80F3D">
        <w:t xml:space="preserve">. </w:t>
      </w:r>
      <w:r>
        <w:t>Context,</w:t>
      </w:r>
      <w:r w:rsidRPr="00C80F3D">
        <w:t xml:space="preserve"> Processes</w:t>
      </w:r>
      <w:r>
        <w:t>,</w:t>
      </w:r>
      <w:r w:rsidRPr="00C80F3D">
        <w:t xml:space="preserve"> Outputs </w:t>
      </w:r>
      <w:r>
        <w:t xml:space="preserve">and Outcomes </w:t>
      </w:r>
      <w:r w:rsidRPr="00C80F3D">
        <w:t>remained the same as in the Outlook Report</w:t>
      </w:r>
      <w:r>
        <w:t xml:space="preserve"> </w:t>
      </w:r>
      <w:r w:rsidRPr="00C80F3D">
        <w:t>2014</w:t>
      </w:r>
      <w:r>
        <w:t>.</w:t>
      </w:r>
      <w:r w:rsidR="00242993">
        <w:t xml:space="preserve"> </w:t>
      </w:r>
    </w:p>
    <w:p w14:paraId="5761D274" w14:textId="4549E94B" w:rsidR="00A56EE9" w:rsidRDefault="00A56EE9" w:rsidP="00E3690C">
      <w:pPr>
        <w:spacing w:line="276" w:lineRule="auto"/>
      </w:pPr>
      <w:r>
        <w:t>M</w:t>
      </w:r>
      <w:r w:rsidRPr="00A34C09">
        <w:t>anagement of fishing</w:t>
      </w:r>
      <w:r>
        <w:t>,</w:t>
      </w:r>
      <w:r w:rsidRPr="00A34C09">
        <w:t xml:space="preserve"> and </w:t>
      </w:r>
      <w:r>
        <w:t>the</w:t>
      </w:r>
      <w:r w:rsidRPr="00A34C09">
        <w:t xml:space="preserve"> aquatic environment</w:t>
      </w:r>
      <w:r>
        <w:t xml:space="preserve"> on which the uses depend,</w:t>
      </w:r>
      <w:r w:rsidRPr="00A34C09">
        <w:t xml:space="preserve"> is shared between the Australian and Queensland governments. </w:t>
      </w:r>
      <w:r w:rsidRPr="00890051">
        <w:t>Managers have a good understanding about the values of the Region with respect to fishing, and knowledge about the condition and trend of these values is improving</w:t>
      </w:r>
      <w:r>
        <w:t>.</w:t>
      </w:r>
      <w:r w:rsidRPr="00890051">
        <w:t xml:space="preserve"> </w:t>
      </w:r>
      <w:r>
        <w:t>T</w:t>
      </w:r>
      <w:r w:rsidRPr="00A34C09">
        <w:t>he economic and social value of</w:t>
      </w:r>
      <w:r w:rsidR="0025269E">
        <w:t xml:space="preserve"> </w:t>
      </w:r>
      <w:r w:rsidRPr="00A34C09">
        <w:t xml:space="preserve">fishing are </w:t>
      </w:r>
      <w:r>
        <w:t xml:space="preserve">well </w:t>
      </w:r>
      <w:r w:rsidRPr="00A34C09">
        <w:t xml:space="preserve">understood, </w:t>
      </w:r>
      <w:r>
        <w:t xml:space="preserve">although </w:t>
      </w:r>
      <w:r w:rsidRPr="00A34C09">
        <w:t xml:space="preserve">the </w:t>
      </w:r>
      <w:r>
        <w:t xml:space="preserve">effect of </w:t>
      </w:r>
      <w:r w:rsidRPr="00A34C09">
        <w:t xml:space="preserve">ecosystem </w:t>
      </w:r>
      <w:r>
        <w:t>stress or degradation</w:t>
      </w:r>
      <w:r w:rsidRPr="00A34C09">
        <w:t xml:space="preserve"> on fisheries productivity is less well understood. In particular, the </w:t>
      </w:r>
      <w:r>
        <w:t xml:space="preserve">flow-on </w:t>
      </w:r>
      <w:r w:rsidRPr="00A34C09">
        <w:t>effect</w:t>
      </w:r>
      <w:r>
        <w:t xml:space="preserve">s </w:t>
      </w:r>
      <w:r w:rsidRPr="00A34C09">
        <w:t xml:space="preserve">of the recent coral bleaching in the Region </w:t>
      </w:r>
      <w:r>
        <w:t>to fisheries</w:t>
      </w:r>
      <w:r w:rsidRPr="00A34C09">
        <w:t xml:space="preserve"> is </w:t>
      </w:r>
      <w:r>
        <w:t>of concern. For example, c</w:t>
      </w:r>
      <w:r w:rsidRPr="00A34C09">
        <w:t>oral trout h</w:t>
      </w:r>
      <w:r>
        <w:t>ave</w:t>
      </w:r>
      <w:r w:rsidRPr="00A34C09">
        <w:t xml:space="preserve"> been shown to be sensitive to changes in habitat and environmental conditions (Pratchett et al</w:t>
      </w:r>
      <w:r>
        <w:t>.</w:t>
      </w:r>
      <w:r w:rsidRPr="00A34C09">
        <w:t xml:space="preserve"> 2013</w:t>
      </w:r>
      <w:r>
        <w:t>, 2017</w:t>
      </w:r>
      <w:r w:rsidRPr="00A34C09">
        <w:t>)</w:t>
      </w:r>
      <w:r>
        <w:t>.</w:t>
      </w:r>
      <w:r w:rsidRPr="00A34C09">
        <w:t xml:space="preserve"> </w:t>
      </w:r>
      <w:r>
        <w:t xml:space="preserve">The national and international influences on fishing are well known, and stakeholders are also well known, and engaged. </w:t>
      </w:r>
    </w:p>
    <w:p w14:paraId="5761D275" w14:textId="5CF96463" w:rsidR="00A56EE9" w:rsidRDefault="00A56EE9" w:rsidP="00E3690C">
      <w:pPr>
        <w:spacing w:line="276" w:lineRule="auto"/>
      </w:pPr>
      <w:r>
        <w:t>T</w:t>
      </w:r>
      <w:r w:rsidRPr="00774F56">
        <w:t xml:space="preserve">he primary management tool with respect to fishing is the </w:t>
      </w:r>
      <w:r w:rsidRPr="00E615F0">
        <w:rPr>
          <w:i/>
        </w:rPr>
        <w:t>Queensland Fisheries Act 1994</w:t>
      </w:r>
      <w:r w:rsidRPr="00774F56">
        <w:t xml:space="preserve"> and associated fisheries regulations that require licencing of commercial fishing</w:t>
      </w:r>
      <w:r>
        <w:t>; and</w:t>
      </w:r>
      <w:r w:rsidRPr="00774F56">
        <w:t xml:space="preserve"> establish fishing gear limitations, size and possession limits, spatial and temporal fishery closures and total allowable </w:t>
      </w:r>
      <w:r>
        <w:t xml:space="preserve">commercial </w:t>
      </w:r>
      <w:r w:rsidRPr="00774F56">
        <w:t>catch limits.</w:t>
      </w:r>
      <w:r w:rsidR="00242993">
        <w:t xml:space="preserve"> </w:t>
      </w:r>
      <w:r w:rsidRPr="00774F56">
        <w:t>Additionally</w:t>
      </w:r>
      <w:r>
        <w:t>,</w:t>
      </w:r>
      <w:r w:rsidRPr="00774F56">
        <w:t xml:space="preserve"> there is a comprehensive compliance program </w:t>
      </w:r>
      <w:r>
        <w:t>undertaken by</w:t>
      </w:r>
      <w:r w:rsidRPr="00774F56">
        <w:t xml:space="preserve"> Queensland Boating and </w:t>
      </w:r>
      <w:r>
        <w:t>Fisheries Patrol and the Field Management P</w:t>
      </w:r>
      <w:r w:rsidRPr="00774F56">
        <w:t>rogram</w:t>
      </w:r>
      <w:r>
        <w:t>. This program has been strengthened over the past five years, particularly in relation to recreational fishing. Further details are provided below.</w:t>
      </w:r>
      <w:r w:rsidR="00242993">
        <w:t xml:space="preserve"> </w:t>
      </w:r>
      <w:r>
        <w:t>S</w:t>
      </w:r>
      <w:r w:rsidRPr="00774F56">
        <w:t>tewardship approaches</w:t>
      </w:r>
      <w:r>
        <w:t>,</w:t>
      </w:r>
      <w:r w:rsidRPr="00774F56">
        <w:t xml:space="preserve"> </w:t>
      </w:r>
      <w:r>
        <w:t>such as</w:t>
      </w:r>
      <w:r w:rsidRPr="00774F56">
        <w:t xml:space="preserve"> Reef Guardian fishers</w:t>
      </w:r>
      <w:r>
        <w:t>,</w:t>
      </w:r>
      <w:r w:rsidRPr="00774F56">
        <w:t xml:space="preserve"> and joint Marine Parks permits for a small number of harvest and developmental fisheries also play significant roles in managing the impacts of </w:t>
      </w:r>
      <w:r>
        <w:t>fishing</w:t>
      </w:r>
    </w:p>
    <w:p w14:paraId="5761D276" w14:textId="77777777" w:rsidR="00A56EE9" w:rsidRPr="00774F56" w:rsidRDefault="00A56EE9" w:rsidP="00E3690C">
      <w:pPr>
        <w:spacing w:line="276" w:lineRule="auto"/>
      </w:pPr>
      <w:r w:rsidRPr="00A34C09">
        <w:t xml:space="preserve">The most significant change in the management of fishing in the Region is the development of the Queensland Sustainable Fisheries Strategy 2017-2027. This </w:t>
      </w:r>
      <w:r>
        <w:t xml:space="preserve">comprehensive planning </w:t>
      </w:r>
      <w:r w:rsidRPr="00A34C09">
        <w:t xml:space="preserve">document </w:t>
      </w:r>
      <w:r>
        <w:t>clearly articulates objectives and actions and includes an implementation and monitoring plan. It addresses 1</w:t>
      </w:r>
      <w:r w:rsidRPr="00A34C09">
        <w:t>0 major reform areas</w:t>
      </w:r>
      <w:r>
        <w:t xml:space="preserve"> around sustainability limits, research and monitoring, community engagement, harvest strategies and decision rules about when to act. The s</w:t>
      </w:r>
      <w:r w:rsidRPr="00774F56">
        <w:t xml:space="preserve">trategy sets a target for fish stocks </w:t>
      </w:r>
      <w:r w:rsidRPr="00E615F0">
        <w:rPr>
          <w:i/>
        </w:rPr>
        <w:t>to achieve a biomass of 60 per cent of the original unfished populations (or maximum economic yield) by 2027</w:t>
      </w:r>
      <w:r w:rsidRPr="002A1399">
        <w:t xml:space="preserve">. </w:t>
      </w:r>
      <w:r>
        <w:t>The strategy, through its implementation and resourcing, is expected to improve the management effectiveness for the Fisheries topic over the next five years.</w:t>
      </w:r>
    </w:p>
    <w:p w14:paraId="5761D277" w14:textId="77777777" w:rsidR="00A56EE9" w:rsidRDefault="00A56EE9" w:rsidP="00E3690C">
      <w:pPr>
        <w:spacing w:line="276" w:lineRule="auto"/>
      </w:pPr>
      <w:r>
        <w:t>T</w:t>
      </w:r>
      <w:r w:rsidRPr="00A34C09">
        <w:t xml:space="preserve">here is a good understanding of commercial </w:t>
      </w:r>
      <w:r>
        <w:t xml:space="preserve">fisheries’ effort and harvest </w:t>
      </w:r>
      <w:r w:rsidRPr="00A34C09">
        <w:t>information. The Queensland Department of Agriculture and Fisheries assesses the stock status of important Queensland fish species each year. These assessments follow a weight-of-evidence approach</w:t>
      </w:r>
      <w:r>
        <w:t>,</w:t>
      </w:r>
      <w:r w:rsidRPr="00A34C09">
        <w:t xml:space="preserve"> where an expert panel dete</w:t>
      </w:r>
      <w:r>
        <w:t>rmines the status of each stock</w:t>
      </w:r>
      <w:r w:rsidRPr="00A34C09">
        <w:t xml:space="preserve"> and assess</w:t>
      </w:r>
      <w:r>
        <w:t>es</w:t>
      </w:r>
      <w:r w:rsidRPr="00A34C09">
        <w:t xml:space="preserve"> the biological sustainability of key wild-caught fish stocks. While some of the cumulative impacts associated with commercial fishing are known, information gaps exist, especially with respect to the </w:t>
      </w:r>
      <w:r>
        <w:t xml:space="preserve">coral </w:t>
      </w:r>
      <w:r w:rsidRPr="00A34C09">
        <w:t>bleaching events</w:t>
      </w:r>
      <w:r>
        <w:t xml:space="preserve"> and the impact of fishing activities on Reef ecosystems</w:t>
      </w:r>
      <w:r w:rsidRPr="00A34C09">
        <w:t xml:space="preserve">. </w:t>
      </w:r>
      <w:r>
        <w:t>In the Outlook Report 2014, t</w:t>
      </w:r>
      <w:r w:rsidRPr="00A34C09">
        <w:t>he highest risks associated with fishing include</w:t>
      </w:r>
      <w:r>
        <w:t>d</w:t>
      </w:r>
      <w:r w:rsidRPr="00A34C09">
        <w:t xml:space="preserve"> </w:t>
      </w:r>
      <w:r>
        <w:t>i</w:t>
      </w:r>
      <w:r w:rsidRPr="00A34C09">
        <w:t>ncidental catch of species of conservation concern, extraction of predators, discarded catch and extraction from spawning</w:t>
      </w:r>
      <w:r>
        <w:t xml:space="preserve"> aggregations. </w:t>
      </w:r>
    </w:p>
    <w:p w14:paraId="5761D278" w14:textId="77777777" w:rsidR="00A56EE9" w:rsidRPr="007E6D8B" w:rsidRDefault="00A56EE9" w:rsidP="00E3690C">
      <w:pPr>
        <w:spacing w:line="276" w:lineRule="auto"/>
        <w:rPr>
          <w:color w:val="000000" w:themeColor="text1"/>
        </w:rPr>
      </w:pPr>
      <w:r w:rsidRPr="000C51C4">
        <w:rPr>
          <w:color w:val="000000" w:themeColor="text1"/>
        </w:rPr>
        <w:t>Sustainability concerns are present for pearl perch which ha</w:t>
      </w:r>
      <w:r>
        <w:rPr>
          <w:color w:val="000000" w:themeColor="text1"/>
        </w:rPr>
        <w:t>s</w:t>
      </w:r>
      <w:r w:rsidRPr="000C51C4">
        <w:rPr>
          <w:color w:val="000000" w:themeColor="text1"/>
        </w:rPr>
        <w:t xml:space="preserve"> been classified as transitional depleting. There are also concerns with large declines in spawning aggregation and catch rates for Spanish mackerel</w:t>
      </w:r>
      <w:r>
        <w:rPr>
          <w:color w:val="000000" w:themeColor="text1"/>
        </w:rPr>
        <w:t xml:space="preserve"> (Buckley et al. 2017, Tobin et al. 2014), as well as</w:t>
      </w:r>
      <w:r w:rsidRPr="000C51C4">
        <w:rPr>
          <w:color w:val="000000" w:themeColor="text1"/>
        </w:rPr>
        <w:t xml:space="preserve"> evidence indicating the Queensland component of the snapper stock has suffered large declines in catch rates</w:t>
      </w:r>
      <w:r>
        <w:rPr>
          <w:color w:val="000000" w:themeColor="text1"/>
        </w:rPr>
        <w:t xml:space="preserve"> (Thurstan et al. 2016).</w:t>
      </w:r>
      <w:r w:rsidRPr="000C51C4">
        <w:rPr>
          <w:color w:val="000000" w:themeColor="text1"/>
        </w:rPr>
        <w:t xml:space="preserve"> </w:t>
      </w:r>
    </w:p>
    <w:p w14:paraId="5761D279" w14:textId="77777777" w:rsidR="00A56EE9" w:rsidRPr="003E134A" w:rsidRDefault="00A56EE9" w:rsidP="00E3690C">
      <w:pPr>
        <w:pStyle w:val="CommentText"/>
        <w:rPr>
          <w:rFonts w:cstheme="minorBidi"/>
          <w:sz w:val="22"/>
          <w:szCs w:val="22"/>
        </w:rPr>
      </w:pPr>
      <w:r w:rsidRPr="003E134A">
        <w:rPr>
          <w:rFonts w:cstheme="minorBidi"/>
          <w:sz w:val="22"/>
          <w:szCs w:val="22"/>
        </w:rPr>
        <w:t xml:space="preserve">Estimated statewide recreational fishing effort surveyed in 2013-2014 showed a decline compared to 2000-2001. The Queensland Government has rolled out additional recreational fishing monitoring since 2015 and now undertakes surveys at more than 47 boat ramps across Queensland four times a month and collects information on how many fish were caught, details of the fishing trip and size of the fish retained. Ecosystem effects and cumulative impacts of recreational fishing are likely to be concentrated in inshore areas close to major population centres. Increasing numbers of seasonal recreational fishers may increase the pressure on specific species and locations, but these impacts are largely unquantified. </w:t>
      </w:r>
    </w:p>
    <w:p w14:paraId="5761D27A" w14:textId="77777777" w:rsidR="00A56EE9" w:rsidRDefault="00A56EE9" w:rsidP="00E3690C">
      <w:pPr>
        <w:spacing w:line="276" w:lineRule="auto"/>
      </w:pPr>
      <w:r>
        <w:t>I</w:t>
      </w:r>
      <w:r w:rsidRPr="00A34C09">
        <w:t>nfofish Australia have created recreational fisher citizen science tools for predictive forecasting of fisher experience and have developed a ‘Track my fish’ app</w:t>
      </w:r>
      <w:r>
        <w:t>lication</w:t>
      </w:r>
      <w:r w:rsidRPr="00A34C09">
        <w:t xml:space="preserve"> that provides near real-time catch and effort information as well as providing instantaneous feedback to users. </w:t>
      </w:r>
      <w:r>
        <w:t xml:space="preserve">While not yet peer reviewed or considered a robust monitoring method, this is a useful community engagement tool. </w:t>
      </w:r>
      <w:r w:rsidRPr="00A34C09">
        <w:t>Accessibility to affordable high</w:t>
      </w:r>
      <w:r>
        <w:t>-</w:t>
      </w:r>
      <w:r w:rsidRPr="00A34C09">
        <w:t xml:space="preserve">functioning navigation and sonar technology may be enhancing the </w:t>
      </w:r>
      <w:r>
        <w:t>effective catch</w:t>
      </w:r>
      <w:r w:rsidRPr="00A34C09">
        <w:t xml:space="preserve"> of recreational fishers</w:t>
      </w:r>
      <w:r>
        <w:t xml:space="preserve"> but may also have the detrimental effect of concentrating fishing in particular sites</w:t>
      </w:r>
      <w:r w:rsidRPr="00A34C09">
        <w:t xml:space="preserve">. </w:t>
      </w:r>
    </w:p>
    <w:p w14:paraId="5761D27B" w14:textId="77777777" w:rsidR="00A56EE9" w:rsidRPr="00A34C09" w:rsidRDefault="00A56EE9" w:rsidP="00E3690C">
      <w:pPr>
        <w:spacing w:line="276" w:lineRule="auto"/>
      </w:pPr>
      <w:r>
        <w:t>In response to the introduction of net-free fishing zones, the Rockhampton, Mackay and Cairns Councils have developed draft recreational fishing strategies aimed at identifying priority actions to increase the recreational fishing through improved infrastructure and marketing while ensuring the health of fish and their habitat. These strategies are valuable stakeholder and community engagement tools.</w:t>
      </w:r>
    </w:p>
    <w:p w14:paraId="5761D27C" w14:textId="79D21F88" w:rsidR="00A56EE9" w:rsidRDefault="00A56EE9" w:rsidP="00E3690C">
      <w:pPr>
        <w:spacing w:line="276" w:lineRule="auto"/>
      </w:pPr>
      <w:r w:rsidRPr="002A1399">
        <w:t>Illegal fishing and poaching w</w:t>
      </w:r>
      <w:r>
        <w:t>ere</w:t>
      </w:r>
      <w:r w:rsidRPr="002A1399">
        <w:t xml:space="preserve"> rated a very high risk to the Region’s ecosystem and heritage values in the Outlook Report 2014.</w:t>
      </w:r>
      <w:r w:rsidR="00242993">
        <w:t xml:space="preserve"> </w:t>
      </w:r>
      <w:r w:rsidRPr="002A1399">
        <w:t xml:space="preserve">Recreational fishing in green </w:t>
      </w:r>
      <w:r w:rsidR="007049ED">
        <w:t xml:space="preserve">(no take) </w:t>
      </w:r>
      <w:r w:rsidRPr="002A1399">
        <w:t xml:space="preserve">zones continues to be the most common offence in the Marine Park, contributing to undermining </w:t>
      </w:r>
      <w:r>
        <w:t>R</w:t>
      </w:r>
      <w:r w:rsidRPr="002A1399">
        <w:t>eef</w:t>
      </w:r>
      <w:r w:rsidRPr="003F5D2E">
        <w:t xml:space="preserve"> </w:t>
      </w:r>
      <w:r>
        <w:t>resilience. Each</w:t>
      </w:r>
      <w:r w:rsidRPr="00BC77DE">
        <w:t xml:space="preserve"> year since</w:t>
      </w:r>
      <w:r w:rsidRPr="002A1399">
        <w:t xml:space="preserve"> 2014-2015, the Field Management Compliance Program has recorded more than 500 offences involving recreational fishing in the Marine Parks. This is due to increased and improved surveillance </w:t>
      </w:r>
      <w:r>
        <w:t>effort</w:t>
      </w:r>
      <w:r w:rsidRPr="002A1399">
        <w:t xml:space="preserve"> </w:t>
      </w:r>
      <w:r>
        <w:t>but</w:t>
      </w:r>
      <w:r w:rsidRPr="002A1399">
        <w:t xml:space="preserve"> </w:t>
      </w:r>
      <w:r>
        <w:t xml:space="preserve">is also </w:t>
      </w:r>
      <w:r w:rsidRPr="002A1399">
        <w:t xml:space="preserve">likely </w:t>
      </w:r>
      <w:r>
        <w:t>to reflect</w:t>
      </w:r>
      <w:r w:rsidRPr="002A1399">
        <w:t xml:space="preserve"> increased illegal activity. Recent social science research to understand why people fish in no-take zones has determined th</w:t>
      </w:r>
      <w:r>
        <w:t>at the</w:t>
      </w:r>
      <w:r w:rsidRPr="002A1399">
        <w:t xml:space="preserve"> primary drivers are fishers’ perceptions of better fishing, a belief they won’t get caught, and that others are doing the same (Bergseth et al 2017, Bergseth et al 2018). This information is being used to inform and refine compliance plans and strategies targeting recreational fishing - a current key focus of complianc</w:t>
      </w:r>
      <w:r>
        <w:t xml:space="preserve">e management in the </w:t>
      </w:r>
      <w:r w:rsidR="0025269E">
        <w:t>M</w:t>
      </w:r>
      <w:r>
        <w:t xml:space="preserve">arine </w:t>
      </w:r>
      <w:r w:rsidR="0025269E">
        <w:t>P</w:t>
      </w:r>
      <w:r>
        <w:t>ark</w:t>
      </w:r>
      <w:r w:rsidRPr="002A1399">
        <w:t>. Notably, the research also found that illegal fishers are a minority</w:t>
      </w:r>
      <w:r>
        <w:t>:</w:t>
      </w:r>
      <w:r w:rsidRPr="002A1399">
        <w:t xml:space="preserve"> most fishers have high perceptions of the legitimacy of management and believe that illegal fishing is socially unacceptable</w:t>
      </w:r>
      <w:r>
        <w:t>.</w:t>
      </w:r>
    </w:p>
    <w:p w14:paraId="5761D27D" w14:textId="148FC196" w:rsidR="00A56EE9" w:rsidRDefault="00A56EE9" w:rsidP="00E3690C">
      <w:pPr>
        <w:spacing w:line="276" w:lineRule="auto"/>
      </w:pPr>
      <w:r w:rsidRPr="002A1399">
        <w:t xml:space="preserve">To address illegal commercial fishing, </w:t>
      </w:r>
      <w:r w:rsidR="0025269E">
        <w:t>V</w:t>
      </w:r>
      <w:r w:rsidRPr="002A1399">
        <w:t xml:space="preserve">essel </w:t>
      </w:r>
      <w:r w:rsidR="0025269E">
        <w:t>M</w:t>
      </w:r>
      <w:r w:rsidRPr="002A1399">
        <w:t xml:space="preserve">onitoring </w:t>
      </w:r>
      <w:r w:rsidR="0025269E">
        <w:t>S</w:t>
      </w:r>
      <w:r w:rsidRPr="002A1399">
        <w:t>ystems will be required on all commercial vessels by 2020, with a priority to install units on net, line and crab commercial fishing vessels by the end of 2018. It is expected that implementation of these requirements will significantly reduce the number of illegal commercial fishing incidents. Enforcement has also been strengthened through the Marine Park Authority using legislative provisions to prohibit fish</w:t>
      </w:r>
      <w:r>
        <w:t>ing activity in the Marine Park</w:t>
      </w:r>
      <w:r w:rsidRPr="002A1399">
        <w:t xml:space="preserve"> by recidivist offenders</w:t>
      </w:r>
      <w:r>
        <w:t xml:space="preserve">. </w:t>
      </w:r>
    </w:p>
    <w:p w14:paraId="5761D27E" w14:textId="77777777" w:rsidR="00A56EE9" w:rsidRPr="00A34C09" w:rsidRDefault="00A56EE9" w:rsidP="00E3690C">
      <w:pPr>
        <w:spacing w:line="276" w:lineRule="auto"/>
      </w:pPr>
      <w:r w:rsidRPr="00A34C09">
        <w:t xml:space="preserve">Commercial fisheries in the </w:t>
      </w:r>
      <w:r>
        <w:t>Region</w:t>
      </w:r>
      <w:r w:rsidRPr="00A34C09">
        <w:t xml:space="preserve"> </w:t>
      </w:r>
      <w:r>
        <w:t>are</w:t>
      </w:r>
      <w:r w:rsidRPr="00A34C09">
        <w:t xml:space="preserve"> accredited against national sustainability guidelines under the </w:t>
      </w:r>
      <w:r>
        <w:t xml:space="preserve">Environment </w:t>
      </w:r>
      <w:r w:rsidRPr="00A34C09">
        <w:t>P</w:t>
      </w:r>
      <w:r>
        <w:t xml:space="preserve">rotection and </w:t>
      </w:r>
      <w:r w:rsidRPr="00A34C09">
        <w:t>B</w:t>
      </w:r>
      <w:r>
        <w:t xml:space="preserve">iodiversity </w:t>
      </w:r>
      <w:r w:rsidRPr="00A34C09">
        <w:t>C</w:t>
      </w:r>
      <w:r>
        <w:t xml:space="preserve">onservation </w:t>
      </w:r>
      <w:r w:rsidRPr="00A34C09">
        <w:t xml:space="preserve">Act and are regularly benchmarked against other Australian jurisdictions to ensure consistency in management approach. </w:t>
      </w:r>
    </w:p>
    <w:p w14:paraId="5761D27F" w14:textId="77777777" w:rsidR="00A56EE9" w:rsidRPr="00A34C09" w:rsidRDefault="00A56EE9" w:rsidP="00E3690C">
      <w:pPr>
        <w:spacing w:line="276" w:lineRule="auto"/>
      </w:pPr>
      <w:r w:rsidRPr="00A34C09">
        <w:t xml:space="preserve">The </w:t>
      </w:r>
      <w:r>
        <w:t xml:space="preserve">Marine Park </w:t>
      </w:r>
      <w:r w:rsidRPr="00A34C09">
        <w:t>Authority</w:t>
      </w:r>
      <w:r>
        <w:t>, QPWS and</w:t>
      </w:r>
      <w:r w:rsidRPr="00A34C09">
        <w:t xml:space="preserve"> Fisheries Queensland endeavour to engage with key stakeholder</w:t>
      </w:r>
      <w:r>
        <w:t>s. However, m</w:t>
      </w:r>
      <w:r w:rsidRPr="00A34C09">
        <w:t xml:space="preserve">embership of commercial fishers in </w:t>
      </w:r>
      <w:r>
        <w:t>the Marine Park Authority</w:t>
      </w:r>
      <w:r w:rsidRPr="00A34C09">
        <w:t xml:space="preserve">’s Local Marine Advisory Committees is </w:t>
      </w:r>
      <w:r>
        <w:t>currently</w:t>
      </w:r>
      <w:r w:rsidRPr="00A34C09">
        <w:t xml:space="preserve"> lacking. Public consultation with stakeholders associated with the development </w:t>
      </w:r>
      <w:r>
        <w:t>o</w:t>
      </w:r>
      <w:r w:rsidRPr="00A34C09">
        <w:t>f the Queensland</w:t>
      </w:r>
      <w:r>
        <w:t xml:space="preserve"> Sustainable</w:t>
      </w:r>
      <w:r w:rsidRPr="00A34C09">
        <w:t xml:space="preserve"> Fish</w:t>
      </w:r>
      <w:r>
        <w:t>eries</w:t>
      </w:r>
      <w:r w:rsidRPr="00A34C09">
        <w:t xml:space="preserve"> Strategy was undertaken, and one of the </w:t>
      </w:r>
      <w:r>
        <w:t>major reforms outlined in the s</w:t>
      </w:r>
      <w:r w:rsidRPr="00A34C09">
        <w:t>trategy is for improved stakeholder engagement. A sustainable Fisheries Expert Panel has be</w:t>
      </w:r>
      <w:r>
        <w:t>en established, and stakeholder</w:t>
      </w:r>
      <w:r w:rsidRPr="00A34C09">
        <w:t xml:space="preserve">-based fishery working groups have also been established for </w:t>
      </w:r>
      <w:r>
        <w:t xml:space="preserve">example: </w:t>
      </w:r>
      <w:r w:rsidRPr="00A34C09">
        <w:t>Coral Reef Fin Fish</w:t>
      </w:r>
      <w:r>
        <w:t>;</w:t>
      </w:r>
      <w:r w:rsidRPr="00A34C09">
        <w:t xml:space="preserve"> </w:t>
      </w:r>
      <w:r>
        <w:t>T</w:t>
      </w:r>
      <w:r w:rsidRPr="00A34C09">
        <w:t>rawl</w:t>
      </w:r>
      <w:r>
        <w:t>;</w:t>
      </w:r>
      <w:r w:rsidRPr="00A34C09">
        <w:t xml:space="preserve"> </w:t>
      </w:r>
      <w:r>
        <w:t>c</w:t>
      </w:r>
      <w:r w:rsidRPr="00A34C09">
        <w:t>rab</w:t>
      </w:r>
      <w:r>
        <w:t>; tropical rock lobster;</w:t>
      </w:r>
      <w:r w:rsidRPr="00A34C09">
        <w:t xml:space="preserve"> an</w:t>
      </w:r>
      <w:r>
        <w:t>d East Coast Inshore F</w:t>
      </w:r>
      <w:r w:rsidRPr="00A34C09">
        <w:t xml:space="preserve">isheries. </w:t>
      </w:r>
    </w:p>
    <w:p w14:paraId="5761D280" w14:textId="77777777" w:rsidR="00A56EE9" w:rsidRPr="00A34C09" w:rsidRDefault="00A56EE9" w:rsidP="00E3690C">
      <w:pPr>
        <w:spacing w:line="276" w:lineRule="auto"/>
      </w:pPr>
      <w:r>
        <w:t>Management</w:t>
      </w:r>
      <w:r w:rsidRPr="00A34C09">
        <w:t xml:space="preserve"> staff engage with key recreation</w:t>
      </w:r>
      <w:r>
        <w:t>al</w:t>
      </w:r>
      <w:r w:rsidRPr="00A34C09">
        <w:t xml:space="preserve"> fishing stakeholders to promote stewardship and to seek to influence opinion on issue</w:t>
      </w:r>
      <w:r>
        <w:t>s</w:t>
      </w:r>
      <w:r w:rsidRPr="00A34C09">
        <w:t xml:space="preserve"> that affect management goals. Local Marine Advisory Committees host community events </w:t>
      </w:r>
      <w:r>
        <w:t>with an aim to</w:t>
      </w:r>
      <w:r w:rsidRPr="00A34C09">
        <w:t xml:space="preserve"> improv</w:t>
      </w:r>
      <w:r>
        <w:t>e</w:t>
      </w:r>
      <w:r w:rsidRPr="00A34C09">
        <w:t xml:space="preserve"> </w:t>
      </w:r>
      <w:r>
        <w:t>the</w:t>
      </w:r>
      <w:r w:rsidRPr="00A34C09">
        <w:t xml:space="preserve"> understanding of marine park management and fisheries management </w:t>
      </w:r>
      <w:r>
        <w:t>and to promote</w:t>
      </w:r>
      <w:r w:rsidRPr="00A34C09">
        <w:t xml:space="preserve"> stewardship by recreational fishers.</w:t>
      </w:r>
    </w:p>
    <w:p w14:paraId="5761D281" w14:textId="6AC238CC" w:rsidR="00A56EE9" w:rsidRPr="00E615F0" w:rsidRDefault="00A56EE9" w:rsidP="00E3690C">
      <w:pPr>
        <w:spacing w:line="276" w:lineRule="auto"/>
        <w:rPr>
          <w:highlight w:val="cyan"/>
        </w:rPr>
      </w:pPr>
      <w:r w:rsidRPr="003802E7">
        <w:t>Resources dedicated to fisheries issues in Queensland Department of Agriculture and Fisheries have been focussed on the development of the</w:t>
      </w:r>
      <w:r>
        <w:t xml:space="preserve"> fisheries s</w:t>
      </w:r>
      <w:r w:rsidRPr="003802E7">
        <w:t>trategy</w:t>
      </w:r>
      <w:r>
        <w:t>.</w:t>
      </w:r>
      <w:r w:rsidRPr="003802E7">
        <w:t xml:space="preserve"> </w:t>
      </w:r>
      <w:r>
        <w:t xml:space="preserve">An additional 16 </w:t>
      </w:r>
      <w:r w:rsidRPr="00C93EF3">
        <w:t>Great Barrier Reef compliance office</w:t>
      </w:r>
      <w:r>
        <w:t>rs and 11 other full-time equivalent staff were recruited in 2017/18 to support implementation of the strategy</w:t>
      </w:r>
      <w:r w:rsidRPr="007665E5">
        <w:t>. The Field Management Program has had a significant i</w:t>
      </w:r>
      <w:r w:rsidR="00C92B0B">
        <w:t>ncrease in funding in 2018</w:t>
      </w:r>
      <w:r w:rsidRPr="007665E5">
        <w:t>, after a number of years of static funding.</w:t>
      </w:r>
      <w:r>
        <w:t xml:space="preserve"> </w:t>
      </w:r>
    </w:p>
    <w:p w14:paraId="5761D282" w14:textId="77777777" w:rsidR="00A56EE9" w:rsidRPr="005015BA" w:rsidRDefault="00A56EE9" w:rsidP="00E3690C">
      <w:pPr>
        <w:pStyle w:val="Caption"/>
        <w:ind w:left="0"/>
        <w:rPr>
          <w:rFonts w:cstheme="minorBidi"/>
          <w:b w:val="0"/>
          <w:sz w:val="22"/>
          <w:szCs w:val="22"/>
        </w:rPr>
      </w:pPr>
      <w:r w:rsidRPr="005015BA">
        <w:rPr>
          <w:rFonts w:cstheme="minorBidi"/>
          <w:b w:val="0"/>
          <w:sz w:val="22"/>
          <w:szCs w:val="22"/>
        </w:rPr>
        <w:t>Whi</w:t>
      </w:r>
      <w:r>
        <w:rPr>
          <w:rFonts w:cstheme="minorBidi"/>
          <w:b w:val="0"/>
          <w:sz w:val="22"/>
          <w:szCs w:val="22"/>
        </w:rPr>
        <w:t>le actions associated with the s</w:t>
      </w:r>
      <w:r w:rsidRPr="005015BA">
        <w:rPr>
          <w:rFonts w:cstheme="minorBidi"/>
          <w:b w:val="0"/>
          <w:sz w:val="22"/>
          <w:szCs w:val="22"/>
        </w:rPr>
        <w:t>trategy have been on track to date, it has been in pl</w:t>
      </w:r>
      <w:r>
        <w:rPr>
          <w:rFonts w:cstheme="minorBidi"/>
          <w:b w:val="0"/>
          <w:sz w:val="22"/>
          <w:szCs w:val="22"/>
        </w:rPr>
        <w:t>ace for only a short time. The s</w:t>
      </w:r>
      <w:r w:rsidRPr="005015BA">
        <w:rPr>
          <w:rFonts w:cstheme="minorBidi"/>
          <w:b w:val="0"/>
          <w:sz w:val="22"/>
          <w:szCs w:val="22"/>
        </w:rPr>
        <w:t>trategy provides a clear program of work and the reforms under the strategy provide an opportunity to introduce best practice standards. It is responsible for the improved manag</w:t>
      </w:r>
      <w:r>
        <w:rPr>
          <w:rFonts w:cstheme="minorBidi"/>
          <w:b w:val="0"/>
          <w:sz w:val="22"/>
          <w:szCs w:val="22"/>
        </w:rPr>
        <w:t>ement effectiveness scores for F</w:t>
      </w:r>
      <w:r w:rsidRPr="005015BA">
        <w:rPr>
          <w:rFonts w:cstheme="minorBidi"/>
          <w:b w:val="0"/>
          <w:sz w:val="22"/>
          <w:szCs w:val="22"/>
        </w:rPr>
        <w:t>ish</w:t>
      </w:r>
      <w:r>
        <w:rPr>
          <w:rFonts w:cstheme="minorBidi"/>
          <w:b w:val="0"/>
          <w:sz w:val="22"/>
          <w:szCs w:val="22"/>
        </w:rPr>
        <w:t>ing. The implementation of the s</w:t>
      </w:r>
      <w:r w:rsidRPr="005015BA">
        <w:rPr>
          <w:rFonts w:cstheme="minorBidi"/>
          <w:b w:val="0"/>
          <w:sz w:val="22"/>
          <w:szCs w:val="22"/>
        </w:rPr>
        <w:t xml:space="preserve">trategy, in conjunction with the improved compliance measures, provides the opportunity for </w:t>
      </w:r>
      <w:r>
        <w:rPr>
          <w:rFonts w:cstheme="minorBidi"/>
          <w:b w:val="0"/>
          <w:sz w:val="22"/>
          <w:szCs w:val="22"/>
        </w:rPr>
        <w:t>greater effective management in the future.</w:t>
      </w:r>
      <w:r w:rsidRPr="005015BA">
        <w:rPr>
          <w:rFonts w:cstheme="minorBidi"/>
          <w:b w:val="0"/>
          <w:sz w:val="22"/>
          <w:szCs w:val="22"/>
        </w:rPr>
        <w:t xml:space="preserve"> </w:t>
      </w:r>
    </w:p>
    <w:p w14:paraId="5761D283" w14:textId="05E68BF1" w:rsidR="00A56EE9" w:rsidRDefault="00A56EE9" w:rsidP="00BB6AD5">
      <w:pPr>
        <w:pStyle w:val="Caption"/>
        <w:ind w:left="0"/>
        <w:jc w:val="center"/>
      </w:pPr>
      <w:bookmarkStart w:id="60" w:name="_Ref259285087"/>
      <w:bookmarkStart w:id="61" w:name="_Toc369681976"/>
      <w:bookmarkStart w:id="62" w:name="_Ref259285081"/>
      <w:bookmarkStart w:id="63" w:name="_Toc389205081"/>
      <w:bookmarkStart w:id="64" w:name="_Toc525654452"/>
      <w:r w:rsidRPr="005F616A">
        <w:t xml:space="preserve">Table </w:t>
      </w:r>
      <w:r>
        <w:fldChar w:fldCharType="begin"/>
      </w:r>
      <w:r>
        <w:instrText xml:space="preserve"> SEQ Table \* ARABIC </w:instrText>
      </w:r>
      <w:r>
        <w:fldChar w:fldCharType="separate"/>
      </w:r>
      <w:r w:rsidR="00A4170C">
        <w:rPr>
          <w:noProof/>
        </w:rPr>
        <w:t>7</w:t>
      </w:r>
      <w:r>
        <w:rPr>
          <w:noProof/>
        </w:rPr>
        <w:fldChar w:fldCharType="end"/>
      </w:r>
      <w:bookmarkEnd w:id="60"/>
      <w:r w:rsidRPr="005F616A">
        <w:t xml:space="preserve"> Assessment results for </w:t>
      </w:r>
      <w:r>
        <w:t>F</w:t>
      </w:r>
      <w:r w:rsidRPr="005F616A">
        <w:t>ishing</w:t>
      </w:r>
      <w:bookmarkEnd w:id="61"/>
      <w:bookmarkEnd w:id="62"/>
      <w:bookmarkEnd w:id="63"/>
      <w:bookmarkEnd w:id="64"/>
    </w:p>
    <w:tbl>
      <w:tblPr>
        <w:tblStyle w:val="TableGrid"/>
        <w:tblW w:w="5000" w:type="pct"/>
        <w:jc w:val="center"/>
        <w:tblLayout w:type="fixed"/>
        <w:tblLook w:val="04A0" w:firstRow="1" w:lastRow="0" w:firstColumn="1" w:lastColumn="0" w:noHBand="0" w:noVBand="1"/>
        <w:tblCaption w:val="Table 5 Assessment results for the management effectiveness for Fishing"/>
        <w:tblDescription w:val="Grades and trends fishing:&#10;Context: Mostly effective; stable.&#10;Planning: Effective; improved&#10;Inputs: Mostly effective; improved &#10;Processes: Mostly effective; stable&#10;Outputs: Mostly effective; stable.&#10;Outcomes: Partially effective; stable"/>
      </w:tblPr>
      <w:tblGrid>
        <w:gridCol w:w="3320"/>
        <w:gridCol w:w="1831"/>
        <w:gridCol w:w="1828"/>
        <w:gridCol w:w="2037"/>
      </w:tblGrid>
      <w:tr w:rsidR="00A56EE9" w:rsidRPr="003D54F2" w14:paraId="5761D288" w14:textId="77777777" w:rsidTr="00BB6AD5">
        <w:trPr>
          <w:trHeight w:val="441"/>
          <w:tblHeader/>
          <w:jc w:val="center"/>
        </w:trPr>
        <w:tc>
          <w:tcPr>
            <w:tcW w:w="1286" w:type="dxa"/>
            <w:vAlign w:val="center"/>
          </w:tcPr>
          <w:p w14:paraId="5761D284" w14:textId="77777777" w:rsidR="00A56EE9" w:rsidRPr="003D54F2" w:rsidRDefault="00A56EE9" w:rsidP="00BB6AD5">
            <w:pPr>
              <w:spacing w:line="240" w:lineRule="exact"/>
              <w:jc w:val="both"/>
              <w:rPr>
                <w:b/>
              </w:rPr>
            </w:pPr>
            <w:r>
              <w:rPr>
                <w:b/>
              </w:rPr>
              <w:t>Fishing</w:t>
            </w:r>
          </w:p>
        </w:tc>
        <w:tc>
          <w:tcPr>
            <w:tcW w:w="709" w:type="dxa"/>
            <w:vAlign w:val="center"/>
          </w:tcPr>
          <w:p w14:paraId="5761D285" w14:textId="77777777" w:rsidR="00A56EE9" w:rsidRPr="004A4864" w:rsidRDefault="00A56EE9" w:rsidP="00BB6AD5">
            <w:pPr>
              <w:spacing w:line="240" w:lineRule="exact"/>
              <w:jc w:val="both"/>
              <w:rPr>
                <w:b/>
              </w:rPr>
            </w:pPr>
            <w:r w:rsidRPr="004A4864">
              <w:rPr>
                <w:b/>
              </w:rPr>
              <w:t>2009</w:t>
            </w:r>
          </w:p>
        </w:tc>
        <w:tc>
          <w:tcPr>
            <w:tcW w:w="708" w:type="dxa"/>
            <w:vAlign w:val="center"/>
          </w:tcPr>
          <w:p w14:paraId="5761D286" w14:textId="77777777" w:rsidR="00A56EE9" w:rsidRPr="004A4864" w:rsidRDefault="00A56EE9" w:rsidP="00BB6AD5">
            <w:pPr>
              <w:spacing w:line="240" w:lineRule="exact"/>
              <w:jc w:val="both"/>
              <w:rPr>
                <w:b/>
              </w:rPr>
            </w:pPr>
            <w:r w:rsidRPr="004A4864">
              <w:rPr>
                <w:b/>
              </w:rPr>
              <w:t>2014</w:t>
            </w:r>
          </w:p>
        </w:tc>
        <w:tc>
          <w:tcPr>
            <w:tcW w:w="789" w:type="dxa"/>
            <w:vAlign w:val="center"/>
          </w:tcPr>
          <w:p w14:paraId="5761D287" w14:textId="77777777" w:rsidR="00A56EE9" w:rsidRPr="004A4864" w:rsidRDefault="00A56EE9" w:rsidP="00BB6AD5">
            <w:pPr>
              <w:spacing w:line="240" w:lineRule="exact"/>
              <w:jc w:val="both"/>
              <w:rPr>
                <w:b/>
              </w:rPr>
            </w:pPr>
            <w:r w:rsidRPr="004A4864">
              <w:rPr>
                <w:b/>
              </w:rPr>
              <w:t>2019</w:t>
            </w:r>
          </w:p>
        </w:tc>
      </w:tr>
      <w:tr w:rsidR="00A56EE9" w:rsidRPr="003D54F2" w14:paraId="5761D28D" w14:textId="77777777" w:rsidTr="00BB6AD5">
        <w:trPr>
          <w:jc w:val="center"/>
        </w:trPr>
        <w:tc>
          <w:tcPr>
            <w:tcW w:w="1286" w:type="dxa"/>
            <w:vAlign w:val="center"/>
          </w:tcPr>
          <w:p w14:paraId="5761D289" w14:textId="77777777" w:rsidR="00A56EE9" w:rsidRPr="003D54F2" w:rsidRDefault="00A56EE9" w:rsidP="00BB6AD5">
            <w:pPr>
              <w:spacing w:line="240" w:lineRule="exact"/>
              <w:rPr>
                <w:b/>
              </w:rPr>
            </w:pPr>
            <w:r w:rsidRPr="003D54F2">
              <w:rPr>
                <w:b/>
              </w:rPr>
              <w:t>Context</w:t>
            </w:r>
          </w:p>
        </w:tc>
        <w:tc>
          <w:tcPr>
            <w:tcW w:w="709" w:type="dxa"/>
            <w:shd w:val="clear" w:color="auto" w:fill="A8D08D" w:themeFill="accent6" w:themeFillTint="99"/>
            <w:vAlign w:val="center"/>
          </w:tcPr>
          <w:p w14:paraId="5761D28A" w14:textId="77777777" w:rsidR="00A56EE9" w:rsidRPr="00E15040" w:rsidRDefault="00A56EE9" w:rsidP="00BB6AD5">
            <w:pPr>
              <w:spacing w:line="240" w:lineRule="exact"/>
              <w:rPr>
                <w:rFonts w:ascii="Cambria Math" w:hAnsi="Cambria Math"/>
                <w:b/>
                <w:sz w:val="24"/>
                <w:szCs w:val="24"/>
              </w:rPr>
            </w:pPr>
          </w:p>
        </w:tc>
        <w:tc>
          <w:tcPr>
            <w:tcW w:w="708" w:type="dxa"/>
            <w:shd w:val="clear" w:color="auto" w:fill="A8D08D" w:themeFill="accent6" w:themeFillTint="99"/>
            <w:vAlign w:val="center"/>
          </w:tcPr>
          <w:p w14:paraId="5761D28B"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shd w:val="clear" w:color="auto" w:fill="A8D08D" w:themeFill="accent6" w:themeFillTint="99"/>
            <w:vAlign w:val="center"/>
          </w:tcPr>
          <w:p w14:paraId="5761D28C"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292" w14:textId="77777777" w:rsidTr="00BB6AD5">
        <w:trPr>
          <w:jc w:val="center"/>
        </w:trPr>
        <w:tc>
          <w:tcPr>
            <w:tcW w:w="1286" w:type="dxa"/>
            <w:vAlign w:val="center"/>
          </w:tcPr>
          <w:p w14:paraId="5761D28E" w14:textId="77777777" w:rsidR="00A56EE9" w:rsidRPr="003D54F2" w:rsidRDefault="00A56EE9" w:rsidP="00BB6AD5">
            <w:pPr>
              <w:spacing w:line="240" w:lineRule="exact"/>
              <w:rPr>
                <w:b/>
              </w:rPr>
            </w:pPr>
            <w:r w:rsidRPr="003D54F2">
              <w:rPr>
                <w:b/>
              </w:rPr>
              <w:t>Planning</w:t>
            </w:r>
          </w:p>
        </w:tc>
        <w:tc>
          <w:tcPr>
            <w:tcW w:w="709" w:type="dxa"/>
            <w:shd w:val="clear" w:color="auto" w:fill="A8D08D" w:themeFill="accent6" w:themeFillTint="99"/>
            <w:vAlign w:val="center"/>
          </w:tcPr>
          <w:p w14:paraId="5761D28F"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290"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shd w:val="clear" w:color="auto" w:fill="538135" w:themeFill="accent6" w:themeFillShade="BF"/>
            <w:vAlign w:val="center"/>
          </w:tcPr>
          <w:p w14:paraId="5761D291"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297" w14:textId="77777777" w:rsidTr="00BB6AD5">
        <w:trPr>
          <w:jc w:val="center"/>
        </w:trPr>
        <w:tc>
          <w:tcPr>
            <w:tcW w:w="1286" w:type="dxa"/>
            <w:vAlign w:val="center"/>
          </w:tcPr>
          <w:p w14:paraId="5761D293" w14:textId="77777777" w:rsidR="00A56EE9" w:rsidRPr="003D54F2" w:rsidRDefault="00A56EE9" w:rsidP="00BB6AD5">
            <w:pPr>
              <w:spacing w:line="240" w:lineRule="exact"/>
              <w:rPr>
                <w:b/>
              </w:rPr>
            </w:pPr>
            <w:r w:rsidRPr="003D54F2">
              <w:rPr>
                <w:b/>
              </w:rPr>
              <w:t>Inputs</w:t>
            </w:r>
          </w:p>
        </w:tc>
        <w:tc>
          <w:tcPr>
            <w:tcW w:w="709" w:type="dxa"/>
            <w:shd w:val="clear" w:color="auto" w:fill="FFC000" w:themeFill="accent4"/>
            <w:vAlign w:val="center"/>
          </w:tcPr>
          <w:p w14:paraId="5761D294"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FFC000" w:themeFill="accent4"/>
            <w:vAlign w:val="center"/>
          </w:tcPr>
          <w:p w14:paraId="5761D295"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shd w:val="clear" w:color="auto" w:fill="A8D08D" w:themeFill="accent6" w:themeFillTint="99"/>
            <w:vAlign w:val="center"/>
          </w:tcPr>
          <w:p w14:paraId="5761D296"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29C" w14:textId="77777777" w:rsidTr="00BB6AD5">
        <w:trPr>
          <w:jc w:val="center"/>
        </w:trPr>
        <w:tc>
          <w:tcPr>
            <w:tcW w:w="1286" w:type="dxa"/>
            <w:vAlign w:val="center"/>
          </w:tcPr>
          <w:p w14:paraId="5761D298" w14:textId="77777777" w:rsidR="00A56EE9" w:rsidRPr="003D54F2" w:rsidRDefault="00A56EE9" w:rsidP="00BB6AD5">
            <w:pPr>
              <w:spacing w:line="240" w:lineRule="exact"/>
              <w:rPr>
                <w:b/>
              </w:rPr>
            </w:pPr>
            <w:r w:rsidRPr="003D54F2">
              <w:rPr>
                <w:b/>
              </w:rPr>
              <w:t>Processes</w:t>
            </w:r>
          </w:p>
        </w:tc>
        <w:tc>
          <w:tcPr>
            <w:tcW w:w="709" w:type="dxa"/>
            <w:shd w:val="clear" w:color="auto" w:fill="A8D08D" w:themeFill="accent6" w:themeFillTint="99"/>
            <w:vAlign w:val="center"/>
          </w:tcPr>
          <w:p w14:paraId="5761D299"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29A"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shd w:val="clear" w:color="auto" w:fill="A8D08D" w:themeFill="accent6" w:themeFillTint="99"/>
            <w:vAlign w:val="center"/>
          </w:tcPr>
          <w:p w14:paraId="5761D29B"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2A1" w14:textId="77777777" w:rsidTr="00BB6AD5">
        <w:trPr>
          <w:jc w:val="center"/>
        </w:trPr>
        <w:tc>
          <w:tcPr>
            <w:tcW w:w="1286" w:type="dxa"/>
            <w:vAlign w:val="center"/>
          </w:tcPr>
          <w:p w14:paraId="5761D29D" w14:textId="77777777" w:rsidR="00A56EE9" w:rsidRPr="003D54F2" w:rsidRDefault="00A56EE9" w:rsidP="00BB6AD5">
            <w:pPr>
              <w:spacing w:line="240" w:lineRule="exact"/>
              <w:rPr>
                <w:b/>
              </w:rPr>
            </w:pPr>
            <w:r w:rsidRPr="003D54F2">
              <w:rPr>
                <w:b/>
              </w:rPr>
              <w:t>Outputs</w:t>
            </w:r>
          </w:p>
        </w:tc>
        <w:tc>
          <w:tcPr>
            <w:tcW w:w="709" w:type="dxa"/>
            <w:shd w:val="clear" w:color="auto" w:fill="A8D08D" w:themeFill="accent6" w:themeFillTint="99"/>
            <w:vAlign w:val="center"/>
          </w:tcPr>
          <w:p w14:paraId="5761D29E"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29F"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shd w:val="clear" w:color="auto" w:fill="A8D08D" w:themeFill="accent6" w:themeFillTint="99"/>
            <w:vAlign w:val="center"/>
          </w:tcPr>
          <w:p w14:paraId="5761D2A0"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2A6" w14:textId="77777777" w:rsidTr="00BB6AD5">
        <w:trPr>
          <w:jc w:val="center"/>
        </w:trPr>
        <w:tc>
          <w:tcPr>
            <w:tcW w:w="1286" w:type="dxa"/>
            <w:vAlign w:val="center"/>
          </w:tcPr>
          <w:p w14:paraId="5761D2A2" w14:textId="77777777" w:rsidR="00A56EE9" w:rsidRPr="003D54F2" w:rsidRDefault="00A56EE9" w:rsidP="00BB6AD5">
            <w:pPr>
              <w:spacing w:line="240" w:lineRule="exact"/>
              <w:rPr>
                <w:b/>
              </w:rPr>
            </w:pPr>
            <w:r w:rsidRPr="003D54F2">
              <w:rPr>
                <w:b/>
              </w:rPr>
              <w:t>Outcomes</w:t>
            </w:r>
          </w:p>
        </w:tc>
        <w:tc>
          <w:tcPr>
            <w:tcW w:w="709" w:type="dxa"/>
            <w:shd w:val="clear" w:color="auto" w:fill="FFC000" w:themeFill="accent4"/>
            <w:vAlign w:val="center"/>
          </w:tcPr>
          <w:p w14:paraId="5761D2A3"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FFC000" w:themeFill="accent4"/>
            <w:vAlign w:val="center"/>
          </w:tcPr>
          <w:p w14:paraId="5761D2A4"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shd w:val="clear" w:color="auto" w:fill="FFC000" w:themeFill="accent4"/>
            <w:vAlign w:val="center"/>
          </w:tcPr>
          <w:p w14:paraId="5761D2A5"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bl>
    <w:p w14:paraId="5761D2A7" w14:textId="77777777" w:rsidR="00A56EE9" w:rsidRDefault="00A56EE9" w:rsidP="00BB6AD5">
      <w:pPr>
        <w:spacing w:after="0" w:line="240" w:lineRule="auto"/>
        <w:ind w:left="852" w:firstLine="1983"/>
        <w:contextualSpacing/>
        <w:rPr>
          <w:sz w:val="16"/>
          <w:szCs w:val="16"/>
        </w:rPr>
      </w:pPr>
      <w:r>
        <w:rPr>
          <w:sz w:val="16"/>
          <w:szCs w:val="16"/>
        </w:rPr>
        <w:t xml:space="preserve">Management effective assessment is colour coded: </w:t>
      </w:r>
    </w:p>
    <w:tbl>
      <w:tblPr>
        <w:tblStyle w:val="TableGrid"/>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261"/>
      </w:tblGrid>
      <w:tr w:rsidR="00A56EE9" w14:paraId="5761D2B0" w14:textId="77777777" w:rsidTr="00BB6AD5">
        <w:trPr>
          <w:tblHeader/>
        </w:trPr>
        <w:tc>
          <w:tcPr>
            <w:tcW w:w="1084" w:type="dxa"/>
          </w:tcPr>
          <w:p w14:paraId="5761D2A8" w14:textId="77777777" w:rsidR="00A56EE9" w:rsidRDefault="00A56EE9" w:rsidP="00BB6AD5">
            <w:pPr>
              <w:ind w:right="-158"/>
              <w:contextualSpacing/>
              <w:rPr>
                <w:sz w:val="16"/>
                <w:szCs w:val="16"/>
              </w:rPr>
            </w:pPr>
            <w:r>
              <w:rPr>
                <w:sz w:val="16"/>
                <w:szCs w:val="16"/>
              </w:rPr>
              <w:t>Effective (E)</w:t>
            </w:r>
          </w:p>
        </w:tc>
        <w:tc>
          <w:tcPr>
            <w:tcW w:w="0" w:type="auto"/>
          </w:tcPr>
          <w:p w14:paraId="5761D2A9"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88960" behindDoc="1" locked="0" layoutInCell="1" allowOverlap="1" wp14:anchorId="57620C66" wp14:editId="57620C67">
                      <wp:simplePos x="0" y="0"/>
                      <wp:positionH relativeFrom="column">
                        <wp:posOffset>-50800</wp:posOffset>
                      </wp:positionH>
                      <wp:positionV relativeFrom="paragraph">
                        <wp:posOffset>26670</wp:posOffset>
                      </wp:positionV>
                      <wp:extent cx="95250" cy="104775"/>
                      <wp:effectExtent l="0" t="0" r="19050" b="28575"/>
                      <wp:wrapSquare wrapText="bothSides"/>
                      <wp:docPr id="20" name="Rectangle 20"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A"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66" id="Rectangle 20" o:spid="_x0000_s1043" alt="Title: Rectangle - Description: Rectangle coloured dark green" style="position:absolute;margin-left:-4pt;margin-top:2.1pt;width:7.5pt;height:8.2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" fillcolor="#060" strokecolor="black [3213]" strokeweight="1pt">
                      <v:textbox>
                        <w:txbxContent>
                          <w:p w14:paraId="57620D0A"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2AA" w14:textId="77777777" w:rsidR="00A56EE9" w:rsidRDefault="00A56EE9" w:rsidP="00BB6AD5">
            <w:pPr>
              <w:contextualSpacing/>
              <w:rPr>
                <w:sz w:val="16"/>
                <w:szCs w:val="16"/>
              </w:rPr>
            </w:pPr>
            <w:r>
              <w:rPr>
                <w:sz w:val="16"/>
                <w:szCs w:val="16"/>
              </w:rPr>
              <w:t>Mostly effective (ME)</w:t>
            </w:r>
          </w:p>
        </w:tc>
        <w:tc>
          <w:tcPr>
            <w:tcW w:w="0" w:type="auto"/>
          </w:tcPr>
          <w:p w14:paraId="5761D2AB"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85888" behindDoc="0" locked="0" layoutInCell="1" allowOverlap="1" wp14:anchorId="57620C68" wp14:editId="57620C69">
                      <wp:simplePos x="0" y="0"/>
                      <wp:positionH relativeFrom="column">
                        <wp:posOffset>-41275</wp:posOffset>
                      </wp:positionH>
                      <wp:positionV relativeFrom="paragraph">
                        <wp:posOffset>22860</wp:posOffset>
                      </wp:positionV>
                      <wp:extent cx="95250" cy="104775"/>
                      <wp:effectExtent l="0" t="0" r="19050" b="28575"/>
                      <wp:wrapNone/>
                      <wp:docPr id="21" name="Rectangle 21"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B"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68" id="Rectangle 21" o:spid="_x0000_s1044" alt="Title: Rectangle - Description: Rectangle coloured light green" style="position:absolute;margin-left:-3.25pt;margin-top:1.8pt;width:7.5pt;height:8.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" fillcolor="#92d050" strokecolor="black [3213]" strokeweight="1pt">
                      <v:textbox>
                        <w:txbxContent>
                          <w:p w14:paraId="57620D0B" w14:textId="77777777" w:rsidR="008B5998" w:rsidRDefault="008B5998" w:rsidP="00BB6AD5">
                            <w:pPr>
                              <w:jc w:val="center"/>
                            </w:pPr>
                          </w:p>
                        </w:txbxContent>
                      </v:textbox>
                    </v:rect>
                  </w:pict>
                </mc:Fallback>
              </mc:AlternateContent>
            </w:r>
            <w:r>
              <w:rPr>
                <w:sz w:val="16"/>
                <w:szCs w:val="16"/>
              </w:rPr>
              <w:t>;</w:t>
            </w:r>
          </w:p>
        </w:tc>
        <w:tc>
          <w:tcPr>
            <w:tcW w:w="0" w:type="auto"/>
          </w:tcPr>
          <w:p w14:paraId="5761D2AC" w14:textId="77777777" w:rsidR="00A56EE9" w:rsidRDefault="00A56EE9" w:rsidP="00BB6AD5">
            <w:pPr>
              <w:contextualSpacing/>
              <w:rPr>
                <w:sz w:val="16"/>
                <w:szCs w:val="16"/>
              </w:rPr>
            </w:pPr>
            <w:r>
              <w:rPr>
                <w:sz w:val="16"/>
                <w:szCs w:val="16"/>
              </w:rPr>
              <w:t>Partially effective (PE)</w:t>
            </w:r>
          </w:p>
        </w:tc>
        <w:tc>
          <w:tcPr>
            <w:tcW w:w="0" w:type="auto"/>
          </w:tcPr>
          <w:p w14:paraId="5761D2AD"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86912" behindDoc="0" locked="0" layoutInCell="1" allowOverlap="1" wp14:anchorId="57620C6A" wp14:editId="57620C6B">
                      <wp:simplePos x="0" y="0"/>
                      <wp:positionH relativeFrom="column">
                        <wp:posOffset>-65405</wp:posOffset>
                      </wp:positionH>
                      <wp:positionV relativeFrom="paragraph">
                        <wp:posOffset>19685</wp:posOffset>
                      </wp:positionV>
                      <wp:extent cx="95250" cy="104775"/>
                      <wp:effectExtent l="0" t="0" r="19050" b="28575"/>
                      <wp:wrapNone/>
                      <wp:docPr id="22" name="Rectangle 22"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C"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6A" id="Rectangle 22" o:spid="_x0000_s1045" alt="Title: Rectangle - Description: Rectangle coloured orange" style="position:absolute;margin-left:-5.15pt;margin-top:1.55pt;width:7.5pt;height:8.2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" fillcolor="#ffc000" strokecolor="black [3213]" strokeweight="1pt">
                      <v:textbox>
                        <w:txbxContent>
                          <w:p w14:paraId="57620D0C" w14:textId="77777777" w:rsidR="008B5998" w:rsidRDefault="008B5998" w:rsidP="00BB6AD5">
                            <w:pPr>
                              <w:jc w:val="center"/>
                            </w:pPr>
                          </w:p>
                        </w:txbxContent>
                      </v:textbox>
                    </v:rect>
                  </w:pict>
                </mc:Fallback>
              </mc:AlternateContent>
            </w:r>
            <w:r>
              <w:rPr>
                <w:sz w:val="16"/>
                <w:szCs w:val="16"/>
              </w:rPr>
              <w:t>;</w:t>
            </w:r>
          </w:p>
        </w:tc>
        <w:tc>
          <w:tcPr>
            <w:tcW w:w="0" w:type="auto"/>
          </w:tcPr>
          <w:p w14:paraId="5761D2AE" w14:textId="77777777" w:rsidR="00A56EE9" w:rsidRDefault="00A56EE9" w:rsidP="00BB6AD5">
            <w:pPr>
              <w:contextualSpacing/>
              <w:rPr>
                <w:sz w:val="16"/>
                <w:szCs w:val="16"/>
              </w:rPr>
            </w:pPr>
            <w:r>
              <w:rPr>
                <w:sz w:val="16"/>
                <w:szCs w:val="16"/>
              </w:rPr>
              <w:t>Ineffective (I)</w:t>
            </w:r>
          </w:p>
        </w:tc>
        <w:tc>
          <w:tcPr>
            <w:tcW w:w="0" w:type="auto"/>
          </w:tcPr>
          <w:p w14:paraId="5761D2AF"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87936" behindDoc="0" locked="0" layoutInCell="1" allowOverlap="1" wp14:anchorId="57620C6C" wp14:editId="57620C6D">
                      <wp:simplePos x="0" y="0"/>
                      <wp:positionH relativeFrom="column">
                        <wp:posOffset>-50165</wp:posOffset>
                      </wp:positionH>
                      <wp:positionV relativeFrom="paragraph">
                        <wp:posOffset>24130</wp:posOffset>
                      </wp:positionV>
                      <wp:extent cx="95250" cy="104775"/>
                      <wp:effectExtent l="0" t="0" r="19050" b="28575"/>
                      <wp:wrapNone/>
                      <wp:docPr id="23" name="Rectangle 23"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D"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6C" id="Rectangle 23" o:spid="_x0000_s1046" alt="Title: Rectangle - Description: Rectangle coloured red" style="position:absolute;margin-left:-3.95pt;margin-top:1.9pt;width:7.5pt;height:8.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" fillcolor="red" strokecolor="black [3213]" strokeweight="1pt">
                      <v:textbox>
                        <w:txbxContent>
                          <w:p w14:paraId="57620D0D" w14:textId="77777777" w:rsidR="008B5998" w:rsidRDefault="008B5998" w:rsidP="00BB6AD5">
                            <w:pPr>
                              <w:jc w:val="center"/>
                            </w:pPr>
                          </w:p>
                        </w:txbxContent>
                      </v:textbox>
                    </v:rect>
                  </w:pict>
                </mc:Fallback>
              </mc:AlternateContent>
            </w:r>
            <w:r>
              <w:rPr>
                <w:sz w:val="16"/>
                <w:szCs w:val="16"/>
              </w:rPr>
              <w:t>;</w:t>
            </w:r>
          </w:p>
        </w:tc>
      </w:tr>
    </w:tbl>
    <w:p w14:paraId="5761D2B1" w14:textId="77777777" w:rsidR="00A56EE9" w:rsidRPr="004F2ABF" w:rsidRDefault="00A56EE9" w:rsidP="00BB6AD5">
      <w:pPr>
        <w:spacing w:after="0" w:line="240" w:lineRule="auto"/>
        <w:ind w:left="1704"/>
        <w:contextualSpacing/>
      </w:pPr>
      <w:r w:rsidRPr="004F2ABF">
        <w:rPr>
          <w:rFonts w:ascii="Cambria Math" w:hAnsi="Cambria Math" w:cs="Cambria Math"/>
        </w:rPr>
        <w:t>⬆</w:t>
      </w:r>
      <w: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w:t>
      </w:r>
      <w:r w:rsidRPr="006C34EB">
        <w:rPr>
          <w:sz w:val="16"/>
          <w:szCs w:val="16"/>
        </w:rPr>
        <w:t xml:space="preserve"> has been an upwards change in grade</w:t>
      </w:r>
    </w:p>
    <w:p w14:paraId="5761D2B2" w14:textId="77777777" w:rsidR="00A56EE9" w:rsidRPr="004F2ABF" w:rsidRDefault="00A56EE9" w:rsidP="00BB6AD5">
      <w:pPr>
        <w:spacing w:after="0" w:line="240" w:lineRule="auto"/>
        <w:ind w:left="1704"/>
        <w:contextualSpacing/>
      </w:pPr>
      <w:r>
        <w:rPr>
          <w:rFonts w:ascii="Cambria Math" w:hAnsi="Cambria Math" w:cs="Cambria Math"/>
          <w:b/>
        </w:rPr>
        <w:t>↔</w:t>
      </w:r>
      <w:r w:rsidRPr="004F2ABF">
        <w:t xml:space="preserve"> </w:t>
      </w:r>
      <w:r w:rsidRPr="006C34EB">
        <w:rPr>
          <w:sz w:val="16"/>
          <w:szCs w:val="16"/>
        </w:rPr>
        <w:t xml:space="preserve">Grade has remained stable compared to </w:t>
      </w:r>
      <w:r>
        <w:rPr>
          <w:sz w:val="16"/>
          <w:szCs w:val="16"/>
        </w:rPr>
        <w:t>2009, 2014</w:t>
      </w:r>
      <w:r w:rsidRPr="006C34EB">
        <w:rPr>
          <w:sz w:val="16"/>
          <w:szCs w:val="16"/>
        </w:rPr>
        <w:t>, with no major trends</w:t>
      </w:r>
      <w:r w:rsidRPr="004F2ABF">
        <w:t xml:space="preserve"> </w:t>
      </w:r>
    </w:p>
    <w:p w14:paraId="5761D2B4" w14:textId="77777777" w:rsidR="00A56EE9" w:rsidRDefault="00A56EE9" w:rsidP="00A11869">
      <w:pPr>
        <w:pStyle w:val="Heading2"/>
        <w:numPr>
          <w:ilvl w:val="1"/>
          <w:numId w:val="17"/>
        </w:numPr>
        <w:ind w:left="357" w:hanging="357"/>
      </w:pPr>
      <w:bookmarkStart w:id="65" w:name="_Toc523423782"/>
      <w:r>
        <w:t>Ports</w:t>
      </w:r>
      <w:bookmarkEnd w:id="65"/>
    </w:p>
    <w:p w14:paraId="5761D2B5" w14:textId="2CDAA3CA" w:rsidR="00A56EE9" w:rsidRDefault="00A56EE9" w:rsidP="00E3690C">
      <w:pPr>
        <w:spacing w:line="276" w:lineRule="auto"/>
      </w:pPr>
      <w:r w:rsidRPr="006E6244">
        <w:t>There are 12 Great Barrier Reef trading ports, managed by four individual port authorities, all of which are Queensland Government-owned corporations. Of these, only the minor ports of Cooktown and Quintell Beach are actually located within the Marine Park</w:t>
      </w:r>
      <w:r>
        <w:t>, with the remainder wholly or partly in the Great Barrier Reef Region</w:t>
      </w:r>
      <w:r w:rsidRPr="006E6244">
        <w:t xml:space="preserve">. Nevertheless, ports can and do have an effect upon the management of the processes and conservation </w:t>
      </w:r>
      <w:r>
        <w:t>of</w:t>
      </w:r>
      <w:r w:rsidRPr="006E6244">
        <w:t xml:space="preserve"> values.</w:t>
      </w:r>
      <w:r w:rsidR="00242993">
        <w:t xml:space="preserve"> </w:t>
      </w:r>
      <w:r w:rsidRPr="006E6244">
        <w:t xml:space="preserve">Accordingly, the scope of the Outlook assessments in relation to Ports is to evaluate how the ports are planned, developed and operated so that due recognition is given to the actual and potential effects upon the </w:t>
      </w:r>
      <w:r>
        <w:t>Region</w:t>
      </w:r>
      <w:r w:rsidRPr="006E6244">
        <w:t xml:space="preserve">, and the interactions between port regulatory agencies (Commonwealth and Queensland), port operating authorities, port users and the Marine Park Authority. This assessment does not evaluate or critique operations or management of the Great Barrier Reef ports themselves, except to the extent of matters relevant to their interactions and linkages with </w:t>
      </w:r>
      <w:r>
        <w:t>the Region</w:t>
      </w:r>
      <w:r w:rsidRPr="006E6244">
        <w:t xml:space="preserve">. </w:t>
      </w:r>
    </w:p>
    <w:p w14:paraId="5761D2B6" w14:textId="3AA6BEC8" w:rsidR="00A56EE9" w:rsidRPr="006E6244" w:rsidRDefault="00A56EE9" w:rsidP="00E3690C">
      <w:pPr>
        <w:spacing w:line="276" w:lineRule="auto"/>
      </w:pPr>
      <w:r w:rsidRPr="006E6244">
        <w:t>Ratings of effectiveness (</w:t>
      </w:r>
      <w:r w:rsidRPr="006E6244">
        <w:fldChar w:fldCharType="begin"/>
      </w:r>
      <w:r w:rsidRPr="006E6244">
        <w:instrText xml:space="preserve"> REF _Ref259285137 \h </w:instrText>
      </w:r>
      <w:r>
        <w:instrText xml:space="preserve"> \* MERGEFORMAT </w:instrText>
      </w:r>
      <w:r w:rsidRPr="006E6244">
        <w:fldChar w:fldCharType="separate"/>
      </w:r>
      <w:r w:rsidR="00A4170C" w:rsidRPr="005F616A">
        <w:t xml:space="preserve">Table </w:t>
      </w:r>
      <w:r w:rsidR="00A4170C">
        <w:rPr>
          <w:noProof/>
        </w:rPr>
        <w:t>8</w:t>
      </w:r>
      <w:r w:rsidRPr="006E6244">
        <w:fldChar w:fldCharType="end"/>
      </w:r>
      <w:r w:rsidRPr="006E6244">
        <w:t xml:space="preserve">) for </w:t>
      </w:r>
      <w:r>
        <w:t>four</w:t>
      </w:r>
      <w:r w:rsidRPr="006E6244">
        <w:t xml:space="preserve"> of the six assessment elements (Context, Planning, Outcomes,) improved since the Outlook Report 2014 </w:t>
      </w:r>
      <w:r>
        <w:t xml:space="preserve">from </w:t>
      </w:r>
      <w:r w:rsidRPr="00D07110">
        <w:rPr>
          <w:i/>
        </w:rPr>
        <w:t>mostly effective</w:t>
      </w:r>
      <w:r>
        <w:t xml:space="preserve"> to </w:t>
      </w:r>
      <w:r w:rsidRPr="00D07110">
        <w:rPr>
          <w:i/>
        </w:rPr>
        <w:t>effective</w:t>
      </w:r>
      <w:r w:rsidRPr="006E6244">
        <w:t xml:space="preserve">. </w:t>
      </w:r>
      <w:r w:rsidR="00C92B0B">
        <w:t xml:space="preserve">Outputs improved from </w:t>
      </w:r>
      <w:r w:rsidR="00C92B0B" w:rsidRPr="00C92B0B">
        <w:rPr>
          <w:i/>
        </w:rPr>
        <w:t>partially effective to mostly effective</w:t>
      </w:r>
      <w:r w:rsidR="00C92B0B">
        <w:t xml:space="preserve">, and </w:t>
      </w:r>
      <w:r w:rsidRPr="006E6244">
        <w:t>Inputs</w:t>
      </w:r>
      <w:r>
        <w:t xml:space="preserve"> and</w:t>
      </w:r>
      <w:r w:rsidRPr="006E6244">
        <w:t xml:space="preserve"> Processes remained the same although the underlying scores for Processes </w:t>
      </w:r>
      <w:r>
        <w:t>have</w:t>
      </w:r>
      <w:r w:rsidRPr="006E6244">
        <w:t xml:space="preserve"> increased. </w:t>
      </w:r>
    </w:p>
    <w:p w14:paraId="5761D2B7" w14:textId="77777777" w:rsidR="00A56EE9" w:rsidRPr="006E6244" w:rsidRDefault="00A56EE9" w:rsidP="00E3690C">
      <w:pPr>
        <w:spacing w:line="276" w:lineRule="auto"/>
      </w:pPr>
      <w:r w:rsidRPr="006E6244">
        <w:t>The Marine Park Authority’s interest in matters relating to ports adjacent to the Region is facilitated through a Memorandum of Understanding (MoU) with the Queensland Ports Association, which has been in place since 2009. This MoU allows for a cooperative and communicative approach when it comes to Reef-related policy and regulatory matters relevant to Great Barrier Reef ports. Regular Port Forum meetings, which include representatives of all relevant Port Corporation</w:t>
      </w:r>
      <w:r>
        <w:t>s</w:t>
      </w:r>
      <w:r w:rsidRPr="006E6244">
        <w:t xml:space="preserve"> as well as relevant </w:t>
      </w:r>
      <w:r>
        <w:t xml:space="preserve">Queensland </w:t>
      </w:r>
      <w:r w:rsidRPr="006E6244">
        <w:t xml:space="preserve">and </w:t>
      </w:r>
      <w:r>
        <w:t>Australian government</w:t>
      </w:r>
      <w:r w:rsidRPr="006E6244">
        <w:t xml:space="preserve"> environmental regulators, allow for discussions on policy and regulatory matters. </w:t>
      </w:r>
    </w:p>
    <w:p w14:paraId="5761D2B8" w14:textId="77777777" w:rsidR="00A56EE9" w:rsidRPr="006E6244" w:rsidRDefault="00A56EE9" w:rsidP="00E3690C">
      <w:pPr>
        <w:spacing w:line="276" w:lineRule="auto"/>
      </w:pPr>
      <w:r>
        <w:t>E</w:t>
      </w:r>
      <w:r w:rsidRPr="006E6244">
        <w:t xml:space="preserve">nvironmental risks and effects </w:t>
      </w:r>
      <w:r>
        <w:t>associated with</w:t>
      </w:r>
      <w:r w:rsidRPr="006E6244">
        <w:t xml:space="preserve"> 'port developments' include: dredging for the creation (capital dredging) and upkeep (maintenance dredging) of channels and basins; land reclamation; creation of artificial structures (e.g. rock walls, sheet pile walls, piles); placement of navigation and other markers (e.g. buoys, spars, pylons); siting and designation of anchorages; and development of land-side infrastructure.</w:t>
      </w:r>
    </w:p>
    <w:p w14:paraId="5761D2B9" w14:textId="77777777" w:rsidR="00A56EE9" w:rsidRDefault="00A56EE9" w:rsidP="00E3690C">
      <w:pPr>
        <w:spacing w:line="276" w:lineRule="auto"/>
      </w:pPr>
      <w:r w:rsidRPr="006E6244">
        <w:t>Since the Outlook Report</w:t>
      </w:r>
      <w:r>
        <w:t xml:space="preserve"> 2014</w:t>
      </w:r>
      <w:r w:rsidRPr="006E6244">
        <w:t>, port planning and development in the Region has been reinvigorated, with the benefit of significant reforms. Reforms include new regulations limiting the spatial extent of port developments and restricting ports to existing sites, as well as new controls on dredging and the disposal of dredge spoil. The Queensland and Great Barrier Reef Ports Strategies</w:t>
      </w:r>
      <w:r>
        <w:t>,</w:t>
      </w:r>
      <w:r w:rsidRPr="006E6244">
        <w:t xml:space="preserve"> and the associated statutory ports master planning processes being implemented by the Queensland Government</w:t>
      </w:r>
      <w:r>
        <w:t>,</w:t>
      </w:r>
      <w:r w:rsidRPr="006E6244">
        <w:t xml:space="preserve"> have improved this situation markedly. Implementation of the port master planning processes was in its infancy at the time of this management effectiveness review, and thus its full effect was not able to be observed or assessed. Nevertheless, the new, mandatory and coordinated approach to port development in the Region </w:t>
      </w:r>
      <w:r>
        <w:t>is intended to</w:t>
      </w:r>
      <w:r w:rsidRPr="006E6244">
        <w:t xml:space="preserve"> ensure effective recognition and protection of the area’s Outstanding Universal Value, which will likely be reflected in future management effectiveness evaluations.</w:t>
      </w:r>
    </w:p>
    <w:p w14:paraId="5761D2BA" w14:textId="77777777" w:rsidR="00A56EE9" w:rsidRPr="006E6244" w:rsidRDefault="00A56EE9" w:rsidP="00E3690C">
      <w:pPr>
        <w:spacing w:line="276" w:lineRule="auto"/>
      </w:pPr>
      <w:r w:rsidRPr="006E6244">
        <w:t xml:space="preserve">In general terms, ports within the Region continue to be well managed. While ports conduct a </w:t>
      </w:r>
      <w:r>
        <w:t xml:space="preserve">diverse range and </w:t>
      </w:r>
      <w:r w:rsidRPr="006E6244">
        <w:t>number of monitoring programs</w:t>
      </w:r>
      <w:r>
        <w:t xml:space="preserve">, </w:t>
      </w:r>
      <w:r w:rsidRPr="006E6244">
        <w:t xml:space="preserve">there </w:t>
      </w:r>
      <w:r>
        <w:t xml:space="preserve">are </w:t>
      </w:r>
      <w:r w:rsidRPr="006E6244">
        <w:t>gaps in the range, quality and consistency of data gathered</w:t>
      </w:r>
      <w:r>
        <w:t xml:space="preserve"> across ports generally. This also applies to the presentation and </w:t>
      </w:r>
      <w:r w:rsidRPr="006E6244">
        <w:t>availability</w:t>
      </w:r>
      <w:r>
        <w:t xml:space="preserve"> of collected data</w:t>
      </w:r>
      <w:r w:rsidRPr="006E6244">
        <w:t xml:space="preserve">, based upon </w:t>
      </w:r>
      <w:r>
        <w:t xml:space="preserve">a </w:t>
      </w:r>
      <w:r w:rsidRPr="006E6244">
        <w:t xml:space="preserve">review of the publicly accessible ports monitoring data. This situation has improved since 2014 and continues to improve. </w:t>
      </w:r>
      <w:r>
        <w:t>Expanded</w:t>
      </w:r>
      <w:r w:rsidRPr="006E6244">
        <w:t xml:space="preserve"> monitoring and reporting</w:t>
      </w:r>
      <w:r>
        <w:t xml:space="preserve"> programs</w:t>
      </w:r>
      <w:r w:rsidRPr="006E6244">
        <w:t xml:space="preserve">, focused upon known and potential risks, </w:t>
      </w:r>
      <w:r>
        <w:t>has the potential to provide</w:t>
      </w:r>
      <w:r w:rsidRPr="006E6244">
        <w:t xml:space="preserve"> indications of new or emerging threats to the Marine Park, such as significant deterioration in sediment quality or the incidence of invasive marine species, or demonstrate the absence of such threats. </w:t>
      </w:r>
    </w:p>
    <w:p w14:paraId="5761D2BC" w14:textId="028A60A8" w:rsidR="00A56EE9" w:rsidRDefault="00A56EE9" w:rsidP="00BB6AD5">
      <w:pPr>
        <w:pStyle w:val="Caption"/>
        <w:jc w:val="center"/>
      </w:pPr>
      <w:bookmarkStart w:id="66" w:name="_Ref259285137"/>
      <w:bookmarkStart w:id="67" w:name="_Toc369681979"/>
      <w:bookmarkStart w:id="68" w:name="_Toc389205082"/>
      <w:bookmarkStart w:id="69" w:name="_Toc525654453"/>
      <w:r w:rsidRPr="005F616A">
        <w:t xml:space="preserve">Table </w:t>
      </w:r>
      <w:r>
        <w:fldChar w:fldCharType="begin"/>
      </w:r>
      <w:r>
        <w:instrText xml:space="preserve"> SEQ Table \* ARABIC </w:instrText>
      </w:r>
      <w:r>
        <w:fldChar w:fldCharType="separate"/>
      </w:r>
      <w:r w:rsidR="00A4170C">
        <w:rPr>
          <w:noProof/>
        </w:rPr>
        <w:t>8</w:t>
      </w:r>
      <w:r>
        <w:rPr>
          <w:noProof/>
        </w:rPr>
        <w:fldChar w:fldCharType="end"/>
      </w:r>
      <w:bookmarkEnd w:id="66"/>
      <w:r w:rsidRPr="005F616A">
        <w:t xml:space="preserve"> Assessment results for </w:t>
      </w:r>
      <w:r>
        <w:t>P</w:t>
      </w:r>
      <w:r w:rsidRPr="005F616A">
        <w:t>orts</w:t>
      </w:r>
      <w:bookmarkEnd w:id="67"/>
      <w:bookmarkEnd w:id="68"/>
      <w:bookmarkEnd w:id="69"/>
      <w:r w:rsidRPr="003D54F2">
        <w:t xml:space="preserve"> </w:t>
      </w:r>
    </w:p>
    <w:tbl>
      <w:tblPr>
        <w:tblStyle w:val="TableGrid"/>
        <w:tblW w:w="5000" w:type="pct"/>
        <w:jc w:val="center"/>
        <w:tblLayout w:type="fixed"/>
        <w:tblLook w:val="04A0" w:firstRow="1" w:lastRow="0" w:firstColumn="1" w:lastColumn="0" w:noHBand="0" w:noVBand="1"/>
        <w:tblCaption w:val="Table 5 Assessment results for Ports"/>
        <w:tblDescription w:val="Grades and trends for Ports:&#10;Context: Effective improved&#10;Planning: Effective improved&#10;Inputs: Mostly effective and stable&#10;Process: Mostly effective, score improving&#10;Outputs:Mostly effective, improved&#10;Outcomes: Effective; improved"/>
      </w:tblPr>
      <w:tblGrid>
        <w:gridCol w:w="3542"/>
        <w:gridCol w:w="1759"/>
        <w:gridCol w:w="1757"/>
        <w:gridCol w:w="1958"/>
      </w:tblGrid>
      <w:tr w:rsidR="00A56EE9" w:rsidRPr="003D54F2" w14:paraId="5761D2C1" w14:textId="77777777" w:rsidTr="00BB6AD5">
        <w:trPr>
          <w:trHeight w:val="441"/>
          <w:tblHeader/>
          <w:jc w:val="center"/>
        </w:trPr>
        <w:tc>
          <w:tcPr>
            <w:tcW w:w="1428" w:type="dxa"/>
            <w:vAlign w:val="center"/>
          </w:tcPr>
          <w:p w14:paraId="5761D2BD" w14:textId="77777777" w:rsidR="00A56EE9" w:rsidRPr="003D54F2" w:rsidRDefault="00A56EE9" w:rsidP="00BB6AD5">
            <w:pPr>
              <w:spacing w:line="240" w:lineRule="exact"/>
              <w:jc w:val="both"/>
              <w:rPr>
                <w:b/>
              </w:rPr>
            </w:pPr>
            <w:r>
              <w:rPr>
                <w:b/>
              </w:rPr>
              <w:t>Ports</w:t>
            </w:r>
          </w:p>
        </w:tc>
        <w:tc>
          <w:tcPr>
            <w:tcW w:w="709" w:type="dxa"/>
            <w:vAlign w:val="center"/>
          </w:tcPr>
          <w:p w14:paraId="5761D2BE" w14:textId="77777777" w:rsidR="00A56EE9" w:rsidRPr="004A4864" w:rsidRDefault="00A56EE9" w:rsidP="00BB6AD5">
            <w:pPr>
              <w:spacing w:line="240" w:lineRule="exact"/>
              <w:jc w:val="both"/>
              <w:rPr>
                <w:b/>
              </w:rPr>
            </w:pPr>
            <w:r w:rsidRPr="004A4864">
              <w:rPr>
                <w:b/>
              </w:rPr>
              <w:t>2009</w:t>
            </w:r>
            <w:r>
              <w:rPr>
                <w:b/>
              </w:rPr>
              <w:t>*</w:t>
            </w:r>
          </w:p>
        </w:tc>
        <w:tc>
          <w:tcPr>
            <w:tcW w:w="708" w:type="dxa"/>
            <w:tcBorders>
              <w:bottom w:val="single" w:sz="4" w:space="0" w:color="auto"/>
            </w:tcBorders>
            <w:vAlign w:val="center"/>
          </w:tcPr>
          <w:p w14:paraId="5761D2BF" w14:textId="77777777" w:rsidR="00A56EE9" w:rsidRPr="004A4864" w:rsidRDefault="00A56EE9" w:rsidP="00BB6AD5">
            <w:pPr>
              <w:spacing w:line="240" w:lineRule="exact"/>
              <w:jc w:val="both"/>
              <w:rPr>
                <w:b/>
              </w:rPr>
            </w:pPr>
            <w:r w:rsidRPr="004A4864">
              <w:rPr>
                <w:b/>
              </w:rPr>
              <w:t>2014</w:t>
            </w:r>
          </w:p>
        </w:tc>
        <w:tc>
          <w:tcPr>
            <w:tcW w:w="789" w:type="dxa"/>
            <w:tcBorders>
              <w:bottom w:val="single" w:sz="4" w:space="0" w:color="auto"/>
            </w:tcBorders>
            <w:vAlign w:val="center"/>
          </w:tcPr>
          <w:p w14:paraId="5761D2C0" w14:textId="77777777" w:rsidR="00A56EE9" w:rsidRPr="004A4864" w:rsidRDefault="00A56EE9" w:rsidP="00BB6AD5">
            <w:pPr>
              <w:spacing w:line="240" w:lineRule="exact"/>
              <w:jc w:val="both"/>
              <w:rPr>
                <w:b/>
              </w:rPr>
            </w:pPr>
            <w:r w:rsidRPr="004A4864">
              <w:rPr>
                <w:b/>
              </w:rPr>
              <w:t>2019</w:t>
            </w:r>
          </w:p>
        </w:tc>
      </w:tr>
      <w:tr w:rsidR="00A56EE9" w:rsidRPr="003D54F2" w14:paraId="5761D2C6" w14:textId="77777777" w:rsidTr="00BB6AD5">
        <w:trPr>
          <w:jc w:val="center"/>
        </w:trPr>
        <w:tc>
          <w:tcPr>
            <w:tcW w:w="1428" w:type="dxa"/>
            <w:vAlign w:val="center"/>
          </w:tcPr>
          <w:p w14:paraId="5761D2C2" w14:textId="77777777" w:rsidR="00A56EE9" w:rsidRPr="003D54F2" w:rsidRDefault="00A56EE9" w:rsidP="00BB6AD5">
            <w:pPr>
              <w:spacing w:line="240" w:lineRule="exact"/>
              <w:rPr>
                <w:b/>
              </w:rPr>
            </w:pPr>
            <w:r w:rsidRPr="003D54F2">
              <w:rPr>
                <w:b/>
              </w:rPr>
              <w:t>Context</w:t>
            </w:r>
          </w:p>
        </w:tc>
        <w:tc>
          <w:tcPr>
            <w:tcW w:w="709" w:type="dxa"/>
            <w:shd w:val="clear" w:color="auto" w:fill="auto"/>
            <w:vAlign w:val="center"/>
          </w:tcPr>
          <w:p w14:paraId="5761D2C3"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2C4"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b/>
                <w:sz w:val="24"/>
                <w:szCs w:val="24"/>
              </w:rPr>
              <w:t>_</w:t>
            </w:r>
          </w:p>
        </w:tc>
        <w:tc>
          <w:tcPr>
            <w:tcW w:w="789" w:type="dxa"/>
            <w:tcBorders>
              <w:bottom w:val="single" w:sz="4" w:space="0" w:color="auto"/>
            </w:tcBorders>
            <w:shd w:val="clear" w:color="auto" w:fill="538135" w:themeFill="accent6" w:themeFillShade="BF"/>
            <w:vAlign w:val="center"/>
          </w:tcPr>
          <w:p w14:paraId="5761D2C5"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2CB" w14:textId="77777777" w:rsidTr="00BB6AD5">
        <w:trPr>
          <w:jc w:val="center"/>
        </w:trPr>
        <w:tc>
          <w:tcPr>
            <w:tcW w:w="1428" w:type="dxa"/>
            <w:vAlign w:val="center"/>
          </w:tcPr>
          <w:p w14:paraId="5761D2C7" w14:textId="77777777" w:rsidR="00A56EE9" w:rsidRPr="003D54F2" w:rsidRDefault="00A56EE9" w:rsidP="00BB6AD5">
            <w:pPr>
              <w:spacing w:line="240" w:lineRule="exact"/>
              <w:rPr>
                <w:b/>
              </w:rPr>
            </w:pPr>
            <w:r w:rsidRPr="003D54F2">
              <w:rPr>
                <w:b/>
              </w:rPr>
              <w:t>Planning</w:t>
            </w:r>
          </w:p>
        </w:tc>
        <w:tc>
          <w:tcPr>
            <w:tcW w:w="709" w:type="dxa"/>
            <w:shd w:val="clear" w:color="auto" w:fill="auto"/>
            <w:vAlign w:val="center"/>
          </w:tcPr>
          <w:p w14:paraId="5761D2C8"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2C9"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b/>
                <w:sz w:val="24"/>
                <w:szCs w:val="24"/>
              </w:rPr>
              <w:t>_</w:t>
            </w:r>
          </w:p>
        </w:tc>
        <w:tc>
          <w:tcPr>
            <w:tcW w:w="789" w:type="dxa"/>
            <w:shd w:val="clear" w:color="auto" w:fill="538135" w:themeFill="accent6" w:themeFillShade="BF"/>
            <w:vAlign w:val="center"/>
          </w:tcPr>
          <w:p w14:paraId="5761D2CA"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2D0" w14:textId="77777777" w:rsidTr="00BB6AD5">
        <w:trPr>
          <w:jc w:val="center"/>
        </w:trPr>
        <w:tc>
          <w:tcPr>
            <w:tcW w:w="1428" w:type="dxa"/>
            <w:vAlign w:val="center"/>
          </w:tcPr>
          <w:p w14:paraId="5761D2CC" w14:textId="77777777" w:rsidR="00A56EE9" w:rsidRPr="003D54F2" w:rsidRDefault="00A56EE9" w:rsidP="00BB6AD5">
            <w:pPr>
              <w:spacing w:line="240" w:lineRule="exact"/>
              <w:rPr>
                <w:b/>
              </w:rPr>
            </w:pPr>
            <w:r w:rsidRPr="003D54F2">
              <w:rPr>
                <w:b/>
              </w:rPr>
              <w:t>Inputs</w:t>
            </w:r>
          </w:p>
        </w:tc>
        <w:tc>
          <w:tcPr>
            <w:tcW w:w="709" w:type="dxa"/>
            <w:shd w:val="clear" w:color="auto" w:fill="auto"/>
            <w:vAlign w:val="center"/>
          </w:tcPr>
          <w:p w14:paraId="5761D2CD"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2CE"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b/>
                <w:sz w:val="24"/>
                <w:szCs w:val="24"/>
              </w:rPr>
              <w:t>_</w:t>
            </w:r>
          </w:p>
        </w:tc>
        <w:tc>
          <w:tcPr>
            <w:tcW w:w="789" w:type="dxa"/>
            <w:shd w:val="clear" w:color="auto" w:fill="A8D08D" w:themeFill="accent6" w:themeFillTint="99"/>
            <w:vAlign w:val="center"/>
          </w:tcPr>
          <w:p w14:paraId="5761D2CF" w14:textId="77777777" w:rsidR="00A56EE9" w:rsidRPr="00E15040" w:rsidRDefault="00A56EE9" w:rsidP="00BB6AD5">
            <w:pPr>
              <w:spacing w:line="240" w:lineRule="exact"/>
              <w:jc w:val="center"/>
              <w:rPr>
                <w:rFonts w:ascii="Cambria Math" w:hAnsi="Cambria Math"/>
                <w:b/>
                <w:sz w:val="24"/>
                <w:szCs w:val="24"/>
              </w:rPr>
            </w:pPr>
            <w:r w:rsidRPr="001C6DB4">
              <w:rPr>
                <w:rFonts w:ascii="Segoe UI Symbol" w:hAnsi="Segoe UI Symbol"/>
                <w:b/>
                <w:sz w:val="24"/>
                <w:szCs w:val="24"/>
              </w:rPr>
              <w:t>↔</w:t>
            </w:r>
          </w:p>
        </w:tc>
      </w:tr>
      <w:tr w:rsidR="00A56EE9" w:rsidRPr="003D54F2" w14:paraId="5761D2D5" w14:textId="77777777" w:rsidTr="00BB6AD5">
        <w:trPr>
          <w:jc w:val="center"/>
        </w:trPr>
        <w:tc>
          <w:tcPr>
            <w:tcW w:w="1428" w:type="dxa"/>
            <w:vAlign w:val="center"/>
          </w:tcPr>
          <w:p w14:paraId="5761D2D1" w14:textId="77777777" w:rsidR="00A56EE9" w:rsidRPr="003D54F2" w:rsidRDefault="00A56EE9" w:rsidP="00BB6AD5">
            <w:pPr>
              <w:spacing w:line="240" w:lineRule="exact"/>
              <w:rPr>
                <w:b/>
              </w:rPr>
            </w:pPr>
            <w:r w:rsidRPr="003D54F2">
              <w:rPr>
                <w:b/>
              </w:rPr>
              <w:t>Processes</w:t>
            </w:r>
          </w:p>
        </w:tc>
        <w:tc>
          <w:tcPr>
            <w:tcW w:w="709" w:type="dxa"/>
            <w:shd w:val="clear" w:color="auto" w:fill="auto"/>
            <w:vAlign w:val="center"/>
          </w:tcPr>
          <w:p w14:paraId="5761D2D2" w14:textId="77777777" w:rsidR="00A56EE9" w:rsidRPr="00E15040" w:rsidRDefault="00A56EE9" w:rsidP="00BB6AD5">
            <w:pPr>
              <w:spacing w:line="240" w:lineRule="exact"/>
              <w:jc w:val="center"/>
              <w:rPr>
                <w:rFonts w:ascii="Cambria Math" w:hAnsi="Cambria Math"/>
                <w:b/>
                <w:sz w:val="24"/>
                <w:szCs w:val="24"/>
              </w:rPr>
            </w:pPr>
          </w:p>
        </w:tc>
        <w:tc>
          <w:tcPr>
            <w:tcW w:w="708" w:type="dxa"/>
            <w:tcBorders>
              <w:bottom w:val="single" w:sz="4" w:space="0" w:color="auto"/>
            </w:tcBorders>
            <w:shd w:val="clear" w:color="auto" w:fill="A8D08D" w:themeFill="accent6" w:themeFillTint="99"/>
            <w:vAlign w:val="center"/>
          </w:tcPr>
          <w:p w14:paraId="5761D2D3"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b/>
                <w:sz w:val="24"/>
                <w:szCs w:val="24"/>
              </w:rPr>
              <w:t>_</w:t>
            </w:r>
          </w:p>
        </w:tc>
        <w:tc>
          <w:tcPr>
            <w:tcW w:w="789" w:type="dxa"/>
            <w:shd w:val="clear" w:color="auto" w:fill="A8D08D" w:themeFill="accent6" w:themeFillTint="99"/>
            <w:vAlign w:val="center"/>
          </w:tcPr>
          <w:p w14:paraId="5761D2D4"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b/>
              </w:rPr>
              <w:t>↗</w:t>
            </w:r>
          </w:p>
        </w:tc>
      </w:tr>
      <w:tr w:rsidR="00A56EE9" w:rsidRPr="003D54F2" w14:paraId="5761D2DA" w14:textId="77777777" w:rsidTr="00BB6AD5">
        <w:trPr>
          <w:jc w:val="center"/>
        </w:trPr>
        <w:tc>
          <w:tcPr>
            <w:tcW w:w="1428" w:type="dxa"/>
            <w:vAlign w:val="center"/>
          </w:tcPr>
          <w:p w14:paraId="5761D2D6" w14:textId="77777777" w:rsidR="00A56EE9" w:rsidRPr="003D54F2" w:rsidRDefault="00A56EE9" w:rsidP="00BB6AD5">
            <w:pPr>
              <w:spacing w:line="240" w:lineRule="exact"/>
              <w:rPr>
                <w:b/>
              </w:rPr>
            </w:pPr>
            <w:r w:rsidRPr="003D54F2">
              <w:rPr>
                <w:b/>
              </w:rPr>
              <w:t>Outputs</w:t>
            </w:r>
          </w:p>
        </w:tc>
        <w:tc>
          <w:tcPr>
            <w:tcW w:w="709" w:type="dxa"/>
            <w:shd w:val="clear" w:color="auto" w:fill="auto"/>
            <w:vAlign w:val="center"/>
          </w:tcPr>
          <w:p w14:paraId="5761D2D7" w14:textId="77777777" w:rsidR="00A56EE9" w:rsidRPr="00E15040" w:rsidRDefault="00A56EE9" w:rsidP="00BB6AD5">
            <w:pPr>
              <w:spacing w:line="240" w:lineRule="exact"/>
              <w:jc w:val="center"/>
              <w:rPr>
                <w:rFonts w:ascii="Cambria Math" w:hAnsi="Cambria Math"/>
                <w:b/>
                <w:sz w:val="24"/>
                <w:szCs w:val="24"/>
              </w:rPr>
            </w:pPr>
          </w:p>
        </w:tc>
        <w:tc>
          <w:tcPr>
            <w:tcW w:w="708" w:type="dxa"/>
            <w:tcBorders>
              <w:bottom w:val="single" w:sz="4" w:space="0" w:color="auto"/>
            </w:tcBorders>
            <w:shd w:val="clear" w:color="auto" w:fill="FFC000" w:themeFill="accent4"/>
            <w:vAlign w:val="center"/>
          </w:tcPr>
          <w:p w14:paraId="5761D2D8"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b/>
                <w:sz w:val="24"/>
                <w:szCs w:val="24"/>
              </w:rPr>
              <w:t>_</w:t>
            </w:r>
          </w:p>
        </w:tc>
        <w:tc>
          <w:tcPr>
            <w:tcW w:w="789" w:type="dxa"/>
            <w:tcBorders>
              <w:bottom w:val="single" w:sz="4" w:space="0" w:color="auto"/>
            </w:tcBorders>
            <w:shd w:val="clear" w:color="auto" w:fill="A8D08D" w:themeFill="accent6" w:themeFillTint="99"/>
            <w:vAlign w:val="center"/>
          </w:tcPr>
          <w:p w14:paraId="5761D2D9"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2DF" w14:textId="77777777" w:rsidTr="00BB6AD5">
        <w:trPr>
          <w:jc w:val="center"/>
        </w:trPr>
        <w:tc>
          <w:tcPr>
            <w:tcW w:w="1428" w:type="dxa"/>
            <w:vAlign w:val="center"/>
          </w:tcPr>
          <w:p w14:paraId="5761D2DB" w14:textId="77777777" w:rsidR="00A56EE9" w:rsidRPr="003D54F2" w:rsidRDefault="00A56EE9" w:rsidP="00BB6AD5">
            <w:pPr>
              <w:spacing w:line="240" w:lineRule="exact"/>
              <w:rPr>
                <w:b/>
              </w:rPr>
            </w:pPr>
            <w:r w:rsidRPr="003D54F2">
              <w:rPr>
                <w:b/>
              </w:rPr>
              <w:t>Outcomes</w:t>
            </w:r>
          </w:p>
        </w:tc>
        <w:tc>
          <w:tcPr>
            <w:tcW w:w="709" w:type="dxa"/>
            <w:shd w:val="clear" w:color="auto" w:fill="auto"/>
            <w:vAlign w:val="center"/>
          </w:tcPr>
          <w:p w14:paraId="5761D2DC"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2DD"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b/>
                <w:sz w:val="24"/>
                <w:szCs w:val="24"/>
              </w:rPr>
              <w:t>_</w:t>
            </w:r>
          </w:p>
        </w:tc>
        <w:tc>
          <w:tcPr>
            <w:tcW w:w="789" w:type="dxa"/>
            <w:shd w:val="clear" w:color="auto" w:fill="538135" w:themeFill="accent6" w:themeFillShade="BF"/>
            <w:vAlign w:val="center"/>
          </w:tcPr>
          <w:p w14:paraId="5761D2DE"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bl>
    <w:p w14:paraId="5761D2E0" w14:textId="77777777" w:rsidR="00A56EE9" w:rsidRDefault="00A56EE9" w:rsidP="00BB6AD5">
      <w:pPr>
        <w:spacing w:line="240" w:lineRule="auto"/>
        <w:ind w:left="852" w:firstLine="1842"/>
        <w:contextualSpacing/>
        <w:rPr>
          <w:sz w:val="16"/>
          <w:szCs w:val="16"/>
        </w:rPr>
      </w:pPr>
      <w:r>
        <w:rPr>
          <w:sz w:val="16"/>
          <w:szCs w:val="16"/>
        </w:rPr>
        <w:t xml:space="preserve">Management effective assessment is colour coded: </w:t>
      </w:r>
    </w:p>
    <w:tbl>
      <w:tblPr>
        <w:tblStyle w:val="TableGrid"/>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261"/>
      </w:tblGrid>
      <w:tr w:rsidR="00A56EE9" w14:paraId="5761D2E9" w14:textId="77777777" w:rsidTr="00BB6AD5">
        <w:trPr>
          <w:tblHeader/>
        </w:trPr>
        <w:tc>
          <w:tcPr>
            <w:tcW w:w="1084" w:type="dxa"/>
          </w:tcPr>
          <w:p w14:paraId="5761D2E1" w14:textId="77777777" w:rsidR="00A56EE9" w:rsidRDefault="00A56EE9" w:rsidP="00BB6AD5">
            <w:pPr>
              <w:ind w:right="-158"/>
              <w:contextualSpacing/>
              <w:rPr>
                <w:sz w:val="16"/>
                <w:szCs w:val="16"/>
              </w:rPr>
            </w:pPr>
            <w:r>
              <w:rPr>
                <w:sz w:val="16"/>
                <w:szCs w:val="16"/>
              </w:rPr>
              <w:t>Effective (E)</w:t>
            </w:r>
          </w:p>
        </w:tc>
        <w:tc>
          <w:tcPr>
            <w:tcW w:w="0" w:type="auto"/>
          </w:tcPr>
          <w:p w14:paraId="5761D2E2"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93056" behindDoc="1" locked="0" layoutInCell="1" allowOverlap="1" wp14:anchorId="57620C6E" wp14:editId="57620C6F">
                      <wp:simplePos x="0" y="0"/>
                      <wp:positionH relativeFrom="column">
                        <wp:posOffset>-50800</wp:posOffset>
                      </wp:positionH>
                      <wp:positionV relativeFrom="paragraph">
                        <wp:posOffset>26670</wp:posOffset>
                      </wp:positionV>
                      <wp:extent cx="95250" cy="104775"/>
                      <wp:effectExtent l="0" t="0" r="19050" b="28575"/>
                      <wp:wrapSquare wrapText="bothSides"/>
                      <wp:docPr id="24" name="Rectangle 24"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E"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6E" id="Rectangle 24" o:spid="_x0000_s1047" alt="Title: Rectangle - Description: Rectangle coloured dark green" style="position:absolute;margin-left:-4pt;margin-top:2.1pt;width:7.5pt;height:8.2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" fillcolor="#060" strokecolor="black [3213]" strokeweight="1pt">
                      <v:textbox>
                        <w:txbxContent>
                          <w:p w14:paraId="57620D0E"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2E3" w14:textId="77777777" w:rsidR="00A56EE9" w:rsidRDefault="00A56EE9" w:rsidP="00BB6AD5">
            <w:pPr>
              <w:contextualSpacing/>
              <w:rPr>
                <w:sz w:val="16"/>
                <w:szCs w:val="16"/>
              </w:rPr>
            </w:pPr>
            <w:r>
              <w:rPr>
                <w:sz w:val="16"/>
                <w:szCs w:val="16"/>
              </w:rPr>
              <w:t>Mostly effective (ME)</w:t>
            </w:r>
          </w:p>
        </w:tc>
        <w:tc>
          <w:tcPr>
            <w:tcW w:w="0" w:type="auto"/>
          </w:tcPr>
          <w:p w14:paraId="5761D2E4"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89984" behindDoc="0" locked="0" layoutInCell="1" allowOverlap="1" wp14:anchorId="57620C70" wp14:editId="57620C71">
                      <wp:simplePos x="0" y="0"/>
                      <wp:positionH relativeFrom="column">
                        <wp:posOffset>-41275</wp:posOffset>
                      </wp:positionH>
                      <wp:positionV relativeFrom="paragraph">
                        <wp:posOffset>22860</wp:posOffset>
                      </wp:positionV>
                      <wp:extent cx="95250" cy="104775"/>
                      <wp:effectExtent l="0" t="0" r="19050" b="28575"/>
                      <wp:wrapNone/>
                      <wp:docPr id="25" name="Rectangle 25"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0F"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70" id="Rectangle 25" o:spid="_x0000_s1048" alt="Title: Rectangle - Description: Rectangle coloured light green" style="position:absolute;margin-left:-3.25pt;margin-top:1.8pt;width:7.5pt;height:8.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" fillcolor="#92d050" strokecolor="black [3213]" strokeweight="1pt">
                      <v:textbox>
                        <w:txbxContent>
                          <w:p w14:paraId="57620D0F" w14:textId="77777777" w:rsidR="008B5998" w:rsidRDefault="008B5998" w:rsidP="00BB6AD5">
                            <w:pPr>
                              <w:jc w:val="center"/>
                            </w:pPr>
                          </w:p>
                        </w:txbxContent>
                      </v:textbox>
                    </v:rect>
                  </w:pict>
                </mc:Fallback>
              </mc:AlternateContent>
            </w:r>
            <w:r>
              <w:rPr>
                <w:sz w:val="16"/>
                <w:szCs w:val="16"/>
              </w:rPr>
              <w:t>;</w:t>
            </w:r>
          </w:p>
        </w:tc>
        <w:tc>
          <w:tcPr>
            <w:tcW w:w="0" w:type="auto"/>
          </w:tcPr>
          <w:p w14:paraId="5761D2E5" w14:textId="77777777" w:rsidR="00A56EE9" w:rsidRDefault="00A56EE9" w:rsidP="00BB6AD5">
            <w:pPr>
              <w:contextualSpacing/>
              <w:rPr>
                <w:sz w:val="16"/>
                <w:szCs w:val="16"/>
              </w:rPr>
            </w:pPr>
            <w:r>
              <w:rPr>
                <w:sz w:val="16"/>
                <w:szCs w:val="16"/>
              </w:rPr>
              <w:t>Partially effective (PE)</w:t>
            </w:r>
          </w:p>
        </w:tc>
        <w:tc>
          <w:tcPr>
            <w:tcW w:w="0" w:type="auto"/>
          </w:tcPr>
          <w:p w14:paraId="5761D2E6"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91008" behindDoc="0" locked="0" layoutInCell="1" allowOverlap="1" wp14:anchorId="57620C72" wp14:editId="57620C73">
                      <wp:simplePos x="0" y="0"/>
                      <wp:positionH relativeFrom="column">
                        <wp:posOffset>-65405</wp:posOffset>
                      </wp:positionH>
                      <wp:positionV relativeFrom="paragraph">
                        <wp:posOffset>19685</wp:posOffset>
                      </wp:positionV>
                      <wp:extent cx="95250" cy="104775"/>
                      <wp:effectExtent l="0" t="0" r="19050" b="28575"/>
                      <wp:wrapNone/>
                      <wp:docPr id="31" name="Rectangle 31"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0"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72" id="Rectangle 31" o:spid="_x0000_s1049" alt="Title: Rectangle - Description: Rectangle coloured orange" style="position:absolute;margin-left:-5.15pt;margin-top:1.55pt;width:7.5pt;height:8.2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" fillcolor="#ffc000" strokecolor="black [3213]" strokeweight="1pt">
                      <v:textbox>
                        <w:txbxContent>
                          <w:p w14:paraId="57620D10" w14:textId="77777777" w:rsidR="008B5998" w:rsidRDefault="008B5998" w:rsidP="00BB6AD5">
                            <w:pPr>
                              <w:jc w:val="center"/>
                            </w:pPr>
                          </w:p>
                        </w:txbxContent>
                      </v:textbox>
                    </v:rect>
                  </w:pict>
                </mc:Fallback>
              </mc:AlternateContent>
            </w:r>
            <w:r>
              <w:rPr>
                <w:sz w:val="16"/>
                <w:szCs w:val="16"/>
              </w:rPr>
              <w:t>;</w:t>
            </w:r>
          </w:p>
        </w:tc>
        <w:tc>
          <w:tcPr>
            <w:tcW w:w="0" w:type="auto"/>
          </w:tcPr>
          <w:p w14:paraId="5761D2E7" w14:textId="77777777" w:rsidR="00A56EE9" w:rsidRDefault="00A56EE9" w:rsidP="00BB6AD5">
            <w:pPr>
              <w:contextualSpacing/>
              <w:rPr>
                <w:sz w:val="16"/>
                <w:szCs w:val="16"/>
              </w:rPr>
            </w:pPr>
            <w:r>
              <w:rPr>
                <w:sz w:val="16"/>
                <w:szCs w:val="16"/>
              </w:rPr>
              <w:t>Ineffective (I)</w:t>
            </w:r>
          </w:p>
        </w:tc>
        <w:tc>
          <w:tcPr>
            <w:tcW w:w="0" w:type="auto"/>
          </w:tcPr>
          <w:p w14:paraId="5761D2E8"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92032" behindDoc="0" locked="0" layoutInCell="1" allowOverlap="1" wp14:anchorId="57620C74" wp14:editId="57620C75">
                      <wp:simplePos x="0" y="0"/>
                      <wp:positionH relativeFrom="column">
                        <wp:posOffset>-50165</wp:posOffset>
                      </wp:positionH>
                      <wp:positionV relativeFrom="paragraph">
                        <wp:posOffset>24130</wp:posOffset>
                      </wp:positionV>
                      <wp:extent cx="95250" cy="104775"/>
                      <wp:effectExtent l="0" t="0" r="19050" b="28575"/>
                      <wp:wrapNone/>
                      <wp:docPr id="32" name="Rectangle 32"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1"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74" id="Rectangle 32" o:spid="_x0000_s1050" alt="Title: Rectangle - Description: Rectangle coloured red" style="position:absolute;margin-left:-3.95pt;margin-top:1.9pt;width:7.5pt;height:8.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" fillcolor="red" strokecolor="black [3213]" strokeweight="1pt">
                      <v:textbox>
                        <w:txbxContent>
                          <w:p w14:paraId="57620D11" w14:textId="77777777" w:rsidR="008B5998" w:rsidRDefault="008B5998" w:rsidP="00BB6AD5">
                            <w:pPr>
                              <w:jc w:val="center"/>
                            </w:pPr>
                          </w:p>
                        </w:txbxContent>
                      </v:textbox>
                    </v:rect>
                  </w:pict>
                </mc:Fallback>
              </mc:AlternateContent>
            </w:r>
            <w:r>
              <w:rPr>
                <w:sz w:val="16"/>
                <w:szCs w:val="16"/>
              </w:rPr>
              <w:t>;</w:t>
            </w:r>
          </w:p>
        </w:tc>
      </w:tr>
    </w:tbl>
    <w:p w14:paraId="5761D2EA" w14:textId="77777777" w:rsidR="00A56EE9" w:rsidRPr="004F2ABF" w:rsidRDefault="00A56EE9" w:rsidP="00BB6AD5">
      <w:pPr>
        <w:spacing w:after="0" w:line="240" w:lineRule="auto"/>
        <w:ind w:left="1704"/>
        <w:contextualSpacing/>
      </w:pPr>
      <w:r w:rsidRPr="004F2ABF">
        <w:rPr>
          <w:rFonts w:ascii="Cambria Math" w:hAnsi="Cambria Math" w:cs="Cambria Math"/>
        </w:rPr>
        <w:t>⬆</w:t>
      </w:r>
      <w:r>
        <w:t xml:space="preserve"> </w:t>
      </w:r>
      <w:r w:rsidRPr="006C34EB">
        <w:rPr>
          <w:sz w:val="16"/>
          <w:szCs w:val="16"/>
        </w:rPr>
        <w:t>Trend since 20</w:t>
      </w:r>
      <w:r>
        <w:rPr>
          <w:sz w:val="16"/>
          <w:szCs w:val="16"/>
        </w:rPr>
        <w:t>14</w:t>
      </w:r>
      <w:r w:rsidRPr="006C34EB">
        <w:rPr>
          <w:sz w:val="16"/>
          <w:szCs w:val="16"/>
        </w:rPr>
        <w:t xml:space="preserve"> has been an upwards change in grade</w:t>
      </w:r>
    </w:p>
    <w:p w14:paraId="5761D2EB" w14:textId="77777777" w:rsidR="00A56EE9" w:rsidRPr="004F2ABF" w:rsidRDefault="00A56EE9" w:rsidP="00BB6AD5">
      <w:pPr>
        <w:spacing w:after="0" w:line="240" w:lineRule="auto"/>
        <w:ind w:left="1704"/>
        <w:contextualSpacing/>
        <w:rPr>
          <w:b/>
        </w:rPr>
      </w:pPr>
      <w:r w:rsidRPr="004F2ABF">
        <w:rPr>
          <w:rFonts w:ascii="Cambria Math" w:hAnsi="Cambria Math" w:cs="Cambria Math"/>
          <w:b/>
        </w:rPr>
        <w:t>↗</w:t>
      </w:r>
      <w:r w:rsidRPr="004F2ABF">
        <w:rPr>
          <w:b/>
        </w:rPr>
        <w:t xml:space="preserve"> </w:t>
      </w:r>
      <w:r w:rsidRPr="006C34EB">
        <w:rPr>
          <w:sz w:val="16"/>
          <w:szCs w:val="16"/>
        </w:rPr>
        <w:t>Trend since 20</w:t>
      </w:r>
      <w:r>
        <w:rPr>
          <w:sz w:val="16"/>
          <w:szCs w:val="16"/>
        </w:rPr>
        <w:t>14</w:t>
      </w:r>
      <w:r w:rsidRPr="006C34EB">
        <w:rPr>
          <w:sz w:val="16"/>
          <w:szCs w:val="16"/>
        </w:rPr>
        <w:t xml:space="preserve"> is increasing but has not caused an upwards grade change</w:t>
      </w:r>
    </w:p>
    <w:p w14:paraId="5761D2EC" w14:textId="77777777" w:rsidR="00A56EE9" w:rsidRPr="004F2ABF" w:rsidRDefault="00A56EE9" w:rsidP="00BB6AD5">
      <w:pPr>
        <w:spacing w:after="0" w:line="240" w:lineRule="auto"/>
        <w:ind w:left="1704"/>
        <w:contextualSpacing/>
      </w:pPr>
      <w:r>
        <w:rPr>
          <w:rFonts w:ascii="Cambria Math" w:hAnsi="Cambria Math" w:cs="Cambria Math"/>
          <w:b/>
        </w:rPr>
        <w:t>↔</w:t>
      </w:r>
      <w:r w:rsidRPr="004F2ABF">
        <w:t xml:space="preserve"> </w:t>
      </w:r>
      <w:r w:rsidRPr="006C34EB">
        <w:rPr>
          <w:sz w:val="16"/>
          <w:szCs w:val="16"/>
        </w:rPr>
        <w:t xml:space="preserve">Grade has </w:t>
      </w:r>
      <w:r>
        <w:rPr>
          <w:sz w:val="16"/>
          <w:szCs w:val="16"/>
        </w:rPr>
        <w:t>remained stable compared to 2014</w:t>
      </w:r>
      <w:r w:rsidRPr="006C34EB">
        <w:rPr>
          <w:sz w:val="16"/>
          <w:szCs w:val="16"/>
        </w:rPr>
        <w:t>, with no major trends</w:t>
      </w:r>
      <w:r w:rsidRPr="004F2ABF">
        <w:t xml:space="preserve"> </w:t>
      </w:r>
    </w:p>
    <w:p w14:paraId="5761D2ED" w14:textId="77777777" w:rsidR="00A56EE9" w:rsidRPr="008254A0" w:rsidRDefault="00A56EE9" w:rsidP="00A11869">
      <w:pPr>
        <w:pStyle w:val="ListParagraph"/>
        <w:numPr>
          <w:ilvl w:val="0"/>
          <w:numId w:val="22"/>
        </w:numPr>
        <w:spacing w:after="0"/>
        <w:rPr>
          <w:sz w:val="16"/>
          <w:szCs w:val="16"/>
        </w:rPr>
      </w:pPr>
      <w:r w:rsidRPr="008254A0">
        <w:rPr>
          <w:sz w:val="16"/>
          <w:szCs w:val="16"/>
        </w:rPr>
        <w:t>The topic was not assessed in 2009</w:t>
      </w:r>
    </w:p>
    <w:p w14:paraId="5761D2EE" w14:textId="77777777" w:rsidR="00A56EE9" w:rsidRDefault="00A56EE9" w:rsidP="00BB6AD5">
      <w:pPr>
        <w:pStyle w:val="NoSpacing"/>
      </w:pPr>
    </w:p>
    <w:p w14:paraId="5761D2EF" w14:textId="77777777" w:rsidR="00A56EE9" w:rsidRDefault="00A56EE9" w:rsidP="00A11869">
      <w:pPr>
        <w:pStyle w:val="Heading2"/>
        <w:numPr>
          <w:ilvl w:val="1"/>
          <w:numId w:val="17"/>
        </w:numPr>
        <w:ind w:left="357" w:hanging="357"/>
      </w:pPr>
      <w:bookmarkStart w:id="70" w:name="_Toc523423783"/>
      <w:r>
        <w:t>Recreation (not including fishing)</w:t>
      </w:r>
      <w:bookmarkEnd w:id="70"/>
    </w:p>
    <w:p w14:paraId="5761D2F0" w14:textId="77777777" w:rsidR="00A56EE9" w:rsidRDefault="00A56EE9" w:rsidP="00E3690C">
      <w:pPr>
        <w:spacing w:line="276" w:lineRule="auto"/>
      </w:pPr>
      <w:r>
        <w:t>R</w:t>
      </w:r>
      <w:r w:rsidRPr="001C34B3">
        <w:t xml:space="preserve">esponsibility for management of non-extractive recreation is spread across a variety of </w:t>
      </w:r>
      <w:r>
        <w:t>Australian and Queensland G</w:t>
      </w:r>
      <w:r w:rsidRPr="001C34B3">
        <w:t>overnment agencies. Principal among these are the Marine Park Authority, the Queensland Parks and Wildlife Service and Maritime Safety Queensland.</w:t>
      </w:r>
      <w:r>
        <w:t xml:space="preserve"> </w:t>
      </w:r>
      <w:r w:rsidRPr="001C34B3">
        <w:t xml:space="preserve">The </w:t>
      </w:r>
      <w:r>
        <w:t>Marine Park Authority</w:t>
      </w:r>
      <w:r w:rsidRPr="001C34B3">
        <w:t xml:space="preserve"> defines recreation as an independent visit for enjoyment that is not part of a commercial tourism operation (GBRMPA 2012</w:t>
      </w:r>
      <w:r>
        <w:t>a</w:t>
      </w:r>
      <w:r w:rsidRPr="001C34B3">
        <w:t xml:space="preserve">). It includes locals recreating and a portion of traditional tourists under international definitions (for example, free and independent tourists). Fishing for recreational purposes is considered under the Fishing topic. </w:t>
      </w:r>
    </w:p>
    <w:p w14:paraId="5761D2F1" w14:textId="757B9855" w:rsidR="00A56EE9" w:rsidRPr="001C34B3" w:rsidRDefault="00A56EE9" w:rsidP="00E3690C">
      <w:pPr>
        <w:spacing w:line="276" w:lineRule="auto"/>
      </w:pPr>
      <w:r>
        <w:t>Ratings for effectiveness (Table 9) f</w:t>
      </w:r>
      <w:r w:rsidRPr="00C80F3D">
        <w:t xml:space="preserve">or </w:t>
      </w:r>
      <w:r>
        <w:t>five</w:t>
      </w:r>
      <w:r w:rsidRPr="00C80F3D">
        <w:t xml:space="preserve"> of the six assessment elements (Context, Planning, </w:t>
      </w:r>
      <w:r>
        <w:t>Inputs, Processes and Outcomes</w:t>
      </w:r>
      <w:r w:rsidRPr="00C80F3D">
        <w:t xml:space="preserve">) </w:t>
      </w:r>
      <w:r>
        <w:t xml:space="preserve">have remained </w:t>
      </w:r>
      <w:r w:rsidRPr="00C80F3D">
        <w:t>the same as in the Outlook Report</w:t>
      </w:r>
      <w:r>
        <w:t xml:space="preserve"> </w:t>
      </w:r>
      <w:r w:rsidRPr="00C80F3D">
        <w:t>2014</w:t>
      </w:r>
      <w:r>
        <w:t>.</w:t>
      </w:r>
      <w:r w:rsidR="00242993">
        <w:t xml:space="preserve"> </w:t>
      </w:r>
      <w:r w:rsidRPr="00C80F3D">
        <w:t xml:space="preserve">Outputs </w:t>
      </w:r>
      <w:r>
        <w:t xml:space="preserve">has declined from </w:t>
      </w:r>
      <w:r w:rsidRPr="00D07110">
        <w:rPr>
          <w:i/>
        </w:rPr>
        <w:t>mostly effective</w:t>
      </w:r>
      <w:r>
        <w:t xml:space="preserve"> to </w:t>
      </w:r>
      <w:r w:rsidRPr="00D07110">
        <w:rPr>
          <w:i/>
        </w:rPr>
        <w:t>partially effective</w:t>
      </w:r>
      <w:r>
        <w:t>.</w:t>
      </w:r>
    </w:p>
    <w:p w14:paraId="5761D2F2" w14:textId="77777777" w:rsidR="00A56EE9" w:rsidRPr="001C34B3" w:rsidRDefault="00A56EE9" w:rsidP="00E3690C">
      <w:pPr>
        <w:spacing w:line="276" w:lineRule="auto"/>
      </w:pPr>
      <w:r w:rsidRPr="001C34B3">
        <w:t xml:space="preserve">The </w:t>
      </w:r>
      <w:r>
        <w:t>Marine Park Authority</w:t>
      </w:r>
      <w:r w:rsidRPr="001C34B3">
        <w:t xml:space="preserve"> prepared a </w:t>
      </w:r>
      <w:r w:rsidRPr="001C34B3">
        <w:rPr>
          <w:i/>
        </w:rPr>
        <w:t>Recreation Management Strategy</w:t>
      </w:r>
      <w:r w:rsidRPr="001C34B3">
        <w:t xml:space="preserve"> </w:t>
      </w:r>
      <w:r>
        <w:t xml:space="preserve">(RMS) (GBRMPA 2012a) </w:t>
      </w:r>
      <w:r w:rsidRPr="001C34B3">
        <w:t xml:space="preserve">in 2012 in response </w:t>
      </w:r>
      <w:r>
        <w:t xml:space="preserve">to </w:t>
      </w:r>
      <w:r w:rsidRPr="001C34B3">
        <w:t>concerns outlined in the Outlook Report</w:t>
      </w:r>
      <w:r>
        <w:t xml:space="preserve"> 2009</w:t>
      </w:r>
      <w:r w:rsidRPr="001C34B3">
        <w:t xml:space="preserve">. The </w:t>
      </w:r>
      <w:r>
        <w:t>RMS</w:t>
      </w:r>
      <w:r w:rsidRPr="001C34B3">
        <w:t xml:space="preserve"> was designed to provide an overarching framework </w:t>
      </w:r>
      <w:r>
        <w:t>to manage</w:t>
      </w:r>
      <w:r w:rsidRPr="001C34B3">
        <w:t xml:space="preserve"> recreation in a coordinated manner and to inform the public of the management approach.</w:t>
      </w:r>
      <w:r>
        <w:t xml:space="preserve"> </w:t>
      </w:r>
      <w:r w:rsidRPr="001C34B3">
        <w:t>The</w:t>
      </w:r>
      <w:r>
        <w:t xml:space="preserve"> RMS</w:t>
      </w:r>
      <w:r w:rsidRPr="001C34B3">
        <w:t xml:space="preserve"> also identified which management tools are in place for each recreation activity. The </w:t>
      </w:r>
      <w:r w:rsidRPr="00C55D30">
        <w:t>RMS</w:t>
      </w:r>
      <w:r w:rsidRPr="001C34B3">
        <w:t xml:space="preserve"> provides </w:t>
      </w:r>
      <w:r>
        <w:t>information</w:t>
      </w:r>
      <w:r w:rsidRPr="001C34B3">
        <w:t xml:space="preserve"> concerning the risk-based approach adopted by the </w:t>
      </w:r>
      <w:r>
        <w:t>Marine Park Authority and identifies</w:t>
      </w:r>
      <w:r w:rsidRPr="001C34B3">
        <w:t xml:space="preserve"> the major risks and threats associated with recreation</w:t>
      </w:r>
      <w:r>
        <w:t>,</w:t>
      </w:r>
      <w:r w:rsidRPr="001C34B3">
        <w:t xml:space="preserve"> and avenues to reduce those risks. </w:t>
      </w:r>
      <w:r>
        <w:t>T</w:t>
      </w:r>
      <w:r w:rsidRPr="001C34B3">
        <w:t xml:space="preserve">he review of the </w:t>
      </w:r>
      <w:r>
        <w:t xml:space="preserve">RMS </w:t>
      </w:r>
      <w:r w:rsidRPr="001C34B3">
        <w:t>anticipated for 2017 has not occurred</w:t>
      </w:r>
      <w:r>
        <w:t>.</w:t>
      </w:r>
      <w:r w:rsidRPr="001C34B3">
        <w:t xml:space="preserve"> </w:t>
      </w:r>
    </w:p>
    <w:p w14:paraId="5761D2F3" w14:textId="77777777" w:rsidR="00A56EE9" w:rsidRDefault="00A56EE9" w:rsidP="00E3690C">
      <w:pPr>
        <w:spacing w:line="276" w:lineRule="auto"/>
      </w:pPr>
      <w:r w:rsidRPr="001C34B3">
        <w:t xml:space="preserve">The values that attract large numbers of visitors outlined in the RMS are still relevant, </w:t>
      </w:r>
      <w:r>
        <w:t>but</w:t>
      </w:r>
      <w:r w:rsidRPr="001C34B3">
        <w:t xml:space="preserve"> the threats and risks to those values </w:t>
      </w:r>
      <w:r>
        <w:t>require reviewing to assess their current impact</w:t>
      </w:r>
      <w:r w:rsidRPr="001C34B3">
        <w:t>. The risk analysis assessment in the RMS determined there were no threats from recreational use that posed a very high or high risk to the values. While the IUCN Outlook Report for the G</w:t>
      </w:r>
      <w:r>
        <w:t xml:space="preserve">reat </w:t>
      </w:r>
      <w:r w:rsidRPr="001C34B3">
        <w:t>B</w:t>
      </w:r>
      <w:r>
        <w:t xml:space="preserve">arrier </w:t>
      </w:r>
      <w:r w:rsidRPr="001C34B3">
        <w:t>R</w:t>
      </w:r>
      <w:r>
        <w:t>eef</w:t>
      </w:r>
      <w:r w:rsidRPr="001C34B3">
        <w:t xml:space="preserve"> </w:t>
      </w:r>
      <w:r>
        <w:t xml:space="preserve">(IUCN 2017) </w:t>
      </w:r>
      <w:r w:rsidRPr="001C34B3">
        <w:t xml:space="preserve">supports </w:t>
      </w:r>
      <w:r>
        <w:t xml:space="preserve">the conclusion </w:t>
      </w:r>
      <w:r w:rsidRPr="001C34B3">
        <w:t>that the direct impact of recreation is a low threat to the O</w:t>
      </w:r>
      <w:r>
        <w:t xml:space="preserve">utstanding </w:t>
      </w:r>
      <w:r w:rsidRPr="001C34B3">
        <w:t>U</w:t>
      </w:r>
      <w:r>
        <w:t xml:space="preserve">niversal </w:t>
      </w:r>
      <w:r w:rsidRPr="001C34B3">
        <w:t>V</w:t>
      </w:r>
      <w:r>
        <w:t>alue</w:t>
      </w:r>
      <w:r w:rsidRPr="001C34B3">
        <w:t xml:space="preserve"> of the </w:t>
      </w:r>
      <w:r>
        <w:t>Region</w:t>
      </w:r>
      <w:r w:rsidRPr="001C34B3">
        <w:t xml:space="preserve">, </w:t>
      </w:r>
      <w:r>
        <w:t xml:space="preserve">it would be appropriate to conduct </w:t>
      </w:r>
      <w:r w:rsidRPr="001C34B3">
        <w:t xml:space="preserve">a review of the risk assessment in the RMS to consider new information concerning cumulative impacts. </w:t>
      </w:r>
    </w:p>
    <w:p w14:paraId="5761D2F4" w14:textId="75F94493" w:rsidR="00A56EE9" w:rsidRPr="001C34B3" w:rsidRDefault="00A56EE9" w:rsidP="00E3690C">
      <w:pPr>
        <w:spacing w:line="276" w:lineRule="auto"/>
      </w:pPr>
      <w:r w:rsidRPr="001C34B3">
        <w:t xml:space="preserve">Work undertaken on the aesthetic values of the </w:t>
      </w:r>
      <w:r>
        <w:t>Region</w:t>
      </w:r>
      <w:r w:rsidRPr="001C34B3">
        <w:t xml:space="preserve"> reported that the cumulative use of recreational users at popular sites had a localised, medium risk of </w:t>
      </w:r>
      <w:r>
        <w:t>affecting</w:t>
      </w:r>
      <w:r w:rsidRPr="001C34B3">
        <w:t xml:space="preserve"> naturalness, solitude and tranquillity</w:t>
      </w:r>
      <w:r>
        <w:t xml:space="preserve"> (Johns</w:t>
      </w:r>
      <w:r w:rsidR="001A6A7E">
        <w:t>t</w:t>
      </w:r>
      <w:r>
        <w:t>on</w:t>
      </w:r>
      <w:r w:rsidR="001A6A7E">
        <w:t>e</w:t>
      </w:r>
      <w:r>
        <w:t xml:space="preserve"> et al 2013)</w:t>
      </w:r>
      <w:r w:rsidRPr="001C34B3">
        <w:t xml:space="preserve">. The condition and trend of recreation is </w:t>
      </w:r>
      <w:r>
        <w:t>discussed</w:t>
      </w:r>
      <w:r w:rsidRPr="001C34B3">
        <w:t xml:space="preserve"> in the RMS, </w:t>
      </w:r>
      <w:r>
        <w:t>but information about</w:t>
      </w:r>
      <w:r w:rsidRPr="001C34B3">
        <w:t xml:space="preserve"> impacts of recreation on condition and trend of values as a whole is still lacking. Key risks identified in the risk-based compliance and enforcement plan relevant to recreation include vessels approaching whales, disposal of garbage, island national park offences, misuse of public moorings and Plan of Management offences (motorised water sports, anchoring in no-anchoring areas, and speed of vessels). </w:t>
      </w:r>
    </w:p>
    <w:p w14:paraId="5761D2F5" w14:textId="77777777" w:rsidR="00A56EE9" w:rsidRPr="00C55D30" w:rsidRDefault="00A56EE9" w:rsidP="00E3690C">
      <w:pPr>
        <w:spacing w:line="276" w:lineRule="auto"/>
      </w:pPr>
      <w:r w:rsidRPr="00C55D30">
        <w:t xml:space="preserve">Recreation in the Great Barrier Reef </w:t>
      </w:r>
      <w:r>
        <w:t>is</w:t>
      </w:r>
      <w:r w:rsidRPr="00C55D30">
        <w:t xml:space="preserve"> managed through legislation, the Zoning Plan, Plans of Management, site management, partnerships, education and community awareness. </w:t>
      </w:r>
      <w:r>
        <w:t>In addition, t</w:t>
      </w:r>
      <w:r w:rsidRPr="00C55D30">
        <w:t>he expanded network of public moorings and no</w:t>
      </w:r>
      <w:r>
        <w:t>-</w:t>
      </w:r>
      <w:r w:rsidRPr="00C55D30">
        <w:t xml:space="preserve"> anchoring areas specifically help to reduce the impact of recreational use in heavily accessed areas, while providing easier access for recreational users to enjoy the </w:t>
      </w:r>
      <w:r>
        <w:t>Region</w:t>
      </w:r>
      <w:r w:rsidRPr="00C55D30">
        <w:t xml:space="preserve">. The management tools are supported by a risk-based compliance and enforcement plan mentioned above. </w:t>
      </w:r>
      <w:r w:rsidRPr="001C34B3">
        <w:t xml:space="preserve">Coordination between relevant agencies (the </w:t>
      </w:r>
      <w:r>
        <w:t>Marine Park Authority</w:t>
      </w:r>
      <w:r w:rsidRPr="001C34B3">
        <w:t xml:space="preserve">, QPWS, Queensland Boating and Fisheries Patrol, Maritime Safety Queensland, </w:t>
      </w:r>
      <w:r>
        <w:t>Queensland</w:t>
      </w:r>
      <w:r w:rsidRPr="001C34B3">
        <w:t xml:space="preserve"> Water Police) to enforce Marine Park Acts, Regulations, Zoning Plans and </w:t>
      </w:r>
      <w:r>
        <w:t>P</w:t>
      </w:r>
      <w:r w:rsidRPr="001C34B3">
        <w:t xml:space="preserve">lans of </w:t>
      </w:r>
      <w:r>
        <w:t>M</w:t>
      </w:r>
      <w:r w:rsidRPr="001C34B3">
        <w:t xml:space="preserve">anagement continues to be high. </w:t>
      </w:r>
    </w:p>
    <w:p w14:paraId="5761D2F6" w14:textId="77777777" w:rsidR="00A56EE9" w:rsidRDefault="00A56EE9" w:rsidP="00E3690C">
      <w:pPr>
        <w:spacing w:line="276" w:lineRule="auto"/>
      </w:pPr>
      <w:r>
        <w:t xml:space="preserve">The </w:t>
      </w:r>
      <w:r w:rsidRPr="00F873D5">
        <w:rPr>
          <w:i/>
        </w:rPr>
        <w:t>Responsible Reef Practices</w:t>
      </w:r>
      <w:r w:rsidRPr="001C34B3">
        <w:t xml:space="preserve"> </w:t>
      </w:r>
      <w:r>
        <w:t xml:space="preserve">program </w:t>
      </w:r>
      <w:r w:rsidRPr="001C34B3">
        <w:t>provides advi</w:t>
      </w:r>
      <w:r>
        <w:t>c</w:t>
      </w:r>
      <w:r w:rsidRPr="001C34B3">
        <w:t>e to recreational users about how to undertake activities in a “reef friendly way” and cover a wide range of recreational activities from anchoring and mooring, to bird watching, how to interact with marine species such as whales, turtles and dolphins</w:t>
      </w:r>
      <w:r>
        <w:t>,</w:t>
      </w:r>
      <w:r w:rsidRPr="001C34B3">
        <w:t xml:space="preserve"> and visiting islands and coral cays. </w:t>
      </w:r>
    </w:p>
    <w:p w14:paraId="5761D2F7" w14:textId="77777777" w:rsidR="00A56EE9" w:rsidRPr="001C34B3" w:rsidRDefault="00A56EE9" w:rsidP="00E3690C">
      <w:pPr>
        <w:spacing w:line="276" w:lineRule="auto"/>
      </w:pPr>
      <w:r>
        <w:t xml:space="preserve">A major undertaking in Recreation since 2014 has been the review of the Whitsundays Plan of Management. The Plan provides, among other things, no-anchoring sites to protect coral reefs, and flight height restrictions over significant bird sites. The revised Plan provides increased access for super yachts to approved locations, increased provision for water sport activities, a greater recognition of the importance of the area to Traditional owners and increased flexibility to accommodate low-impact activities. </w:t>
      </w:r>
      <w:r w:rsidRPr="001C34B3">
        <w:t xml:space="preserve">The changes to the Plan of Management </w:t>
      </w:r>
      <w:r>
        <w:t xml:space="preserve">also </w:t>
      </w:r>
      <w:r w:rsidRPr="001C34B3">
        <w:t>considered</w:t>
      </w:r>
      <w:r>
        <w:t xml:space="preserve"> the impacts of C</w:t>
      </w:r>
      <w:r w:rsidRPr="001C34B3">
        <w:t xml:space="preserve">yclone Debbie </w:t>
      </w:r>
      <w:r>
        <w:t xml:space="preserve">in </w:t>
      </w:r>
      <w:r w:rsidRPr="001C34B3">
        <w:t>March 2017 and the resulting pressure on popula</w:t>
      </w:r>
      <w:r>
        <w:t>r sites. Work on public moorings, new no-anchoring areas and improved access to Whitsunday National Parks also demonstrated the ability for management to respond to environmental changes after Cyclone Debbie and support sustainable recreational use.</w:t>
      </w:r>
    </w:p>
    <w:p w14:paraId="5761D2F8" w14:textId="05EDB1E5" w:rsidR="00A56EE9" w:rsidRPr="001C34B3" w:rsidRDefault="00A56EE9" w:rsidP="00E3690C">
      <w:pPr>
        <w:spacing w:line="276" w:lineRule="auto"/>
      </w:pPr>
      <w:r w:rsidRPr="001C34B3">
        <w:t xml:space="preserve">Since the development of the </w:t>
      </w:r>
      <w:r w:rsidRPr="00052A35">
        <w:t>RMS,</w:t>
      </w:r>
      <w:r w:rsidRPr="001C34B3">
        <w:rPr>
          <w:i/>
        </w:rPr>
        <w:t xml:space="preserve"> </w:t>
      </w:r>
      <w:r w:rsidRPr="001C34B3">
        <w:t xml:space="preserve">limited </w:t>
      </w:r>
      <w:r>
        <w:t xml:space="preserve">Marine Park Authority </w:t>
      </w:r>
      <w:r w:rsidRPr="001C34B3">
        <w:t xml:space="preserve">resources have been </w:t>
      </w:r>
      <w:r>
        <w:t xml:space="preserve">directly </w:t>
      </w:r>
      <w:r w:rsidRPr="001C34B3">
        <w:t xml:space="preserve">allocated to managing recreation </w:t>
      </w:r>
      <w:r>
        <w:t>apart from</w:t>
      </w:r>
      <w:r w:rsidRPr="001C34B3">
        <w:t xml:space="preserve"> the Whitsunday Plan of Management review. </w:t>
      </w:r>
      <w:r>
        <w:t>While there was a</w:t>
      </w:r>
      <w:r w:rsidRPr="001C34B3">
        <w:t xml:space="preserve"> decrease in funding in real terms for the Field Management Program </w:t>
      </w:r>
      <w:r>
        <w:t>over the past ten years, a substantial increase in funding for the Field Management Program was announced in April 2018. T</w:t>
      </w:r>
      <w:r w:rsidRPr="001C34B3">
        <w:t>he F</w:t>
      </w:r>
      <w:r>
        <w:t xml:space="preserve">ield </w:t>
      </w:r>
      <w:r w:rsidRPr="001C34B3">
        <w:t>M</w:t>
      </w:r>
      <w:r>
        <w:t>anagement</w:t>
      </w:r>
      <w:r w:rsidRPr="001C34B3">
        <w:t xml:space="preserve"> Strategy for 2018-2023 includes targets associated with maintaining capital investment</w:t>
      </w:r>
      <w:r>
        <w:t xml:space="preserve"> and </w:t>
      </w:r>
      <w:r w:rsidRPr="001C34B3">
        <w:t>ensuring the maintenance and s</w:t>
      </w:r>
      <w:r>
        <w:t>afety of existing infrastructure.</w:t>
      </w:r>
      <w:r w:rsidRPr="001C34B3">
        <w:t xml:space="preserve"> </w:t>
      </w:r>
      <w:r>
        <w:t>The</w:t>
      </w:r>
      <w:r w:rsidRPr="001C34B3">
        <w:t xml:space="preserve"> Queensland Government has </w:t>
      </w:r>
      <w:r w:rsidR="00C92B0B">
        <w:t xml:space="preserve">also </w:t>
      </w:r>
      <w:r w:rsidRPr="001C34B3">
        <w:t>invested over $2.3</w:t>
      </w:r>
      <w:r>
        <w:t xml:space="preserve"> million</w:t>
      </w:r>
      <w:r w:rsidRPr="001C34B3">
        <w:t xml:space="preserve"> to expand the public moorings and reef protection markers </w:t>
      </w:r>
      <w:proofErr w:type="gramStart"/>
      <w:r w:rsidRPr="001C34B3">
        <w:t>between 2016-2019</w:t>
      </w:r>
      <w:proofErr w:type="gramEnd"/>
      <w:r w:rsidRPr="001C34B3">
        <w:t>.</w:t>
      </w:r>
      <w:r>
        <w:t xml:space="preserve"> </w:t>
      </w:r>
    </w:p>
    <w:p w14:paraId="5761D2F9" w14:textId="08D1E32C" w:rsidR="007F1AA6" w:rsidRDefault="00A56EE9" w:rsidP="00E3690C">
      <w:pPr>
        <w:spacing w:line="276" w:lineRule="auto"/>
      </w:pPr>
      <w:r w:rsidRPr="001C34B3">
        <w:t xml:space="preserve">Stakeholder engagement remains strong. </w:t>
      </w:r>
      <w:r>
        <w:t>Marine Park Authority</w:t>
      </w:r>
      <w:r w:rsidRPr="001C34B3">
        <w:t xml:space="preserve"> </w:t>
      </w:r>
      <w:r>
        <w:t xml:space="preserve">and QPWS </w:t>
      </w:r>
      <w:r w:rsidRPr="001C34B3">
        <w:t xml:space="preserve">staff </w:t>
      </w:r>
      <w:r>
        <w:t>across the Region</w:t>
      </w:r>
      <w:r w:rsidRPr="001C34B3">
        <w:t xml:space="preserve"> continue to interact with recreational users</w:t>
      </w:r>
      <w:r>
        <w:t>,</w:t>
      </w:r>
      <w:r w:rsidRPr="001C34B3">
        <w:t xml:space="preserve"> particularly through Community Access Points and engagement for the Reef Guardian program which includes schools, councils, farmers and fishers. However, the diversity and informality inherent in the sector continue to present challenge</w:t>
      </w:r>
      <w:r>
        <w:t>s</w:t>
      </w:r>
      <w:r w:rsidRPr="001C34B3">
        <w:t xml:space="preserve"> to engage with the majority of recreational users and to spatially document their values and activities.</w:t>
      </w:r>
      <w:r>
        <w:t xml:space="preserve"> </w:t>
      </w:r>
      <w:r w:rsidRPr="001C34B3">
        <w:t xml:space="preserve">The lack of an implementation plan or review of the RMS since it was </w:t>
      </w:r>
      <w:r>
        <w:t>finalised</w:t>
      </w:r>
      <w:r w:rsidRPr="001C34B3">
        <w:t xml:space="preserve"> reflects</w:t>
      </w:r>
      <w:r>
        <w:t xml:space="preserve"> the low risk recreation has on the Reef values. </w:t>
      </w:r>
    </w:p>
    <w:p w14:paraId="7704BA24" w14:textId="77777777" w:rsidR="007F1AA6" w:rsidRDefault="007F1AA6">
      <w:r>
        <w:br w:type="page"/>
      </w:r>
    </w:p>
    <w:p w14:paraId="5761D2FB" w14:textId="39B4C67C" w:rsidR="00A56EE9" w:rsidRPr="005E2E4B" w:rsidRDefault="00A56EE9" w:rsidP="00BB6AD5">
      <w:pPr>
        <w:pStyle w:val="Caption"/>
        <w:jc w:val="center"/>
      </w:pPr>
      <w:bookmarkStart w:id="71" w:name="_Ref259285163"/>
      <w:bookmarkStart w:id="72" w:name="_Toc369681980"/>
      <w:bookmarkStart w:id="73" w:name="_Toc389205083"/>
      <w:bookmarkStart w:id="74" w:name="_Toc525654454"/>
      <w:r w:rsidRPr="005E2E4B">
        <w:t xml:space="preserve">Table </w:t>
      </w:r>
      <w:r w:rsidRPr="005E2E4B">
        <w:fldChar w:fldCharType="begin"/>
      </w:r>
      <w:r w:rsidRPr="005F616A">
        <w:instrText xml:space="preserve"> SEQ Table \* ARABIC </w:instrText>
      </w:r>
      <w:r w:rsidRPr="005E2E4B">
        <w:fldChar w:fldCharType="separate"/>
      </w:r>
      <w:r w:rsidR="00A4170C">
        <w:rPr>
          <w:noProof/>
        </w:rPr>
        <w:t>9</w:t>
      </w:r>
      <w:r w:rsidRPr="005E2E4B">
        <w:rPr>
          <w:noProof/>
        </w:rPr>
        <w:fldChar w:fldCharType="end"/>
      </w:r>
      <w:bookmarkEnd w:id="71"/>
      <w:r w:rsidRPr="005E2E4B">
        <w:t xml:space="preserve"> Assessment results for </w:t>
      </w:r>
      <w:r>
        <w:t>R</w:t>
      </w:r>
      <w:r w:rsidRPr="005E2E4B">
        <w:t>ecreation</w:t>
      </w:r>
      <w:bookmarkEnd w:id="72"/>
      <w:r w:rsidRPr="005E2E4B">
        <w:t xml:space="preserve"> (not including fishing)</w:t>
      </w:r>
      <w:bookmarkEnd w:id="73"/>
      <w:bookmarkEnd w:id="74"/>
    </w:p>
    <w:tbl>
      <w:tblPr>
        <w:tblStyle w:val="TableGrid"/>
        <w:tblW w:w="5000" w:type="pct"/>
        <w:jc w:val="center"/>
        <w:tblLayout w:type="fixed"/>
        <w:tblLook w:val="04A0" w:firstRow="1" w:lastRow="0" w:firstColumn="1" w:lastColumn="0" w:noHBand="0" w:noVBand="1"/>
        <w:tblCaption w:val="Table 5 Assessment results for Recreation (not including fishing)"/>
        <w:tblDescription w:val="Grades and trends for Recreation:&#10;Context: Effective; stable&#10;Planning: Mostly effective but declining&#10;Inputs: Mostly effective; stable&#10;Processes: Mostly effective; stable&#10;Outputs: partially effective; declined&#10;Outcomes: Mostly effective;stable "/>
      </w:tblPr>
      <w:tblGrid>
        <w:gridCol w:w="5075"/>
        <w:gridCol w:w="1267"/>
        <w:gridCol w:w="1265"/>
        <w:gridCol w:w="1409"/>
      </w:tblGrid>
      <w:tr w:rsidR="00A56EE9" w:rsidRPr="003D54F2" w14:paraId="5761D300" w14:textId="77777777" w:rsidTr="00BB6AD5">
        <w:trPr>
          <w:trHeight w:val="441"/>
          <w:tblHeader/>
          <w:jc w:val="center"/>
        </w:trPr>
        <w:tc>
          <w:tcPr>
            <w:tcW w:w="2841" w:type="dxa"/>
            <w:vAlign w:val="center"/>
          </w:tcPr>
          <w:p w14:paraId="5761D2FC" w14:textId="77777777" w:rsidR="00A56EE9" w:rsidRPr="003D54F2" w:rsidRDefault="00A56EE9" w:rsidP="00BB6AD5">
            <w:pPr>
              <w:spacing w:line="240" w:lineRule="exact"/>
              <w:jc w:val="both"/>
              <w:rPr>
                <w:b/>
              </w:rPr>
            </w:pPr>
            <w:r>
              <w:rPr>
                <w:b/>
              </w:rPr>
              <w:t>Recreation (not including fishing)</w:t>
            </w:r>
          </w:p>
        </w:tc>
        <w:tc>
          <w:tcPr>
            <w:tcW w:w="709" w:type="dxa"/>
            <w:vAlign w:val="center"/>
          </w:tcPr>
          <w:p w14:paraId="5761D2FD" w14:textId="77777777" w:rsidR="00A56EE9" w:rsidRPr="004A4864" w:rsidRDefault="00A56EE9" w:rsidP="00BB6AD5">
            <w:pPr>
              <w:spacing w:line="240" w:lineRule="exact"/>
              <w:jc w:val="both"/>
              <w:rPr>
                <w:b/>
              </w:rPr>
            </w:pPr>
            <w:r w:rsidRPr="004A4864">
              <w:rPr>
                <w:b/>
              </w:rPr>
              <w:t>2009</w:t>
            </w:r>
          </w:p>
        </w:tc>
        <w:tc>
          <w:tcPr>
            <w:tcW w:w="708" w:type="dxa"/>
            <w:vAlign w:val="center"/>
          </w:tcPr>
          <w:p w14:paraId="5761D2FE" w14:textId="77777777" w:rsidR="00A56EE9" w:rsidRPr="004A4864" w:rsidRDefault="00A56EE9" w:rsidP="00BB6AD5">
            <w:pPr>
              <w:spacing w:line="240" w:lineRule="exact"/>
              <w:jc w:val="both"/>
              <w:rPr>
                <w:b/>
              </w:rPr>
            </w:pPr>
            <w:r w:rsidRPr="004A4864">
              <w:rPr>
                <w:b/>
              </w:rPr>
              <w:t>2014</w:t>
            </w:r>
          </w:p>
        </w:tc>
        <w:tc>
          <w:tcPr>
            <w:tcW w:w="789" w:type="dxa"/>
            <w:tcBorders>
              <w:bottom w:val="single" w:sz="4" w:space="0" w:color="auto"/>
            </w:tcBorders>
            <w:vAlign w:val="center"/>
          </w:tcPr>
          <w:p w14:paraId="5761D2FF" w14:textId="77777777" w:rsidR="00A56EE9" w:rsidRPr="004A4864" w:rsidRDefault="00A56EE9" w:rsidP="00BB6AD5">
            <w:pPr>
              <w:spacing w:line="240" w:lineRule="exact"/>
              <w:jc w:val="both"/>
              <w:rPr>
                <w:b/>
              </w:rPr>
            </w:pPr>
            <w:r w:rsidRPr="004A4864">
              <w:rPr>
                <w:b/>
              </w:rPr>
              <w:t>2019</w:t>
            </w:r>
          </w:p>
        </w:tc>
      </w:tr>
      <w:tr w:rsidR="00A56EE9" w:rsidRPr="003D54F2" w14:paraId="5761D305" w14:textId="77777777" w:rsidTr="00BB6AD5">
        <w:trPr>
          <w:jc w:val="center"/>
        </w:trPr>
        <w:tc>
          <w:tcPr>
            <w:tcW w:w="2841" w:type="dxa"/>
            <w:vAlign w:val="center"/>
          </w:tcPr>
          <w:p w14:paraId="5761D301" w14:textId="77777777" w:rsidR="00A56EE9" w:rsidRPr="003D54F2" w:rsidRDefault="00A56EE9" w:rsidP="00BB6AD5">
            <w:pPr>
              <w:spacing w:line="240" w:lineRule="exact"/>
              <w:rPr>
                <w:b/>
              </w:rPr>
            </w:pPr>
            <w:r w:rsidRPr="003D54F2">
              <w:rPr>
                <w:b/>
              </w:rPr>
              <w:t>Context</w:t>
            </w:r>
          </w:p>
        </w:tc>
        <w:tc>
          <w:tcPr>
            <w:tcW w:w="709" w:type="dxa"/>
            <w:tcBorders>
              <w:bottom w:val="single" w:sz="4" w:space="0" w:color="auto"/>
            </w:tcBorders>
            <w:shd w:val="clear" w:color="auto" w:fill="538135" w:themeFill="accent6" w:themeFillShade="BF"/>
            <w:vAlign w:val="center"/>
          </w:tcPr>
          <w:p w14:paraId="5761D302" w14:textId="77777777" w:rsidR="00A56EE9" w:rsidRPr="00E15040" w:rsidRDefault="00A56EE9" w:rsidP="00BB6AD5">
            <w:pPr>
              <w:spacing w:line="240" w:lineRule="exact"/>
              <w:jc w:val="center"/>
              <w:rPr>
                <w:rFonts w:ascii="Cambria Math" w:hAnsi="Cambria Math"/>
                <w:b/>
                <w:sz w:val="24"/>
                <w:szCs w:val="24"/>
              </w:rPr>
            </w:pPr>
          </w:p>
        </w:tc>
        <w:tc>
          <w:tcPr>
            <w:tcW w:w="708" w:type="dxa"/>
            <w:tcBorders>
              <w:bottom w:val="single" w:sz="4" w:space="0" w:color="auto"/>
            </w:tcBorders>
            <w:shd w:val="clear" w:color="auto" w:fill="538135" w:themeFill="accent6" w:themeFillShade="BF"/>
            <w:vAlign w:val="center"/>
          </w:tcPr>
          <w:p w14:paraId="5761D303"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tcBorders>
              <w:bottom w:val="single" w:sz="4" w:space="0" w:color="auto"/>
            </w:tcBorders>
            <w:shd w:val="clear" w:color="auto" w:fill="538135" w:themeFill="accent6" w:themeFillShade="BF"/>
            <w:vAlign w:val="center"/>
          </w:tcPr>
          <w:p w14:paraId="5761D304"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30A" w14:textId="77777777" w:rsidTr="00BB6AD5">
        <w:trPr>
          <w:jc w:val="center"/>
        </w:trPr>
        <w:tc>
          <w:tcPr>
            <w:tcW w:w="2841" w:type="dxa"/>
            <w:vAlign w:val="center"/>
          </w:tcPr>
          <w:p w14:paraId="5761D306" w14:textId="77777777" w:rsidR="00A56EE9" w:rsidRPr="003D54F2" w:rsidRDefault="00A56EE9" w:rsidP="00BB6AD5">
            <w:pPr>
              <w:spacing w:line="240" w:lineRule="exact"/>
              <w:rPr>
                <w:b/>
              </w:rPr>
            </w:pPr>
            <w:r w:rsidRPr="003D54F2">
              <w:rPr>
                <w:b/>
              </w:rPr>
              <w:t>Planning</w:t>
            </w:r>
          </w:p>
        </w:tc>
        <w:tc>
          <w:tcPr>
            <w:tcW w:w="709" w:type="dxa"/>
            <w:shd w:val="clear" w:color="auto" w:fill="A8D08D" w:themeFill="accent6" w:themeFillTint="99"/>
            <w:vAlign w:val="center"/>
          </w:tcPr>
          <w:p w14:paraId="5761D307"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308"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tcBorders>
              <w:bottom w:val="single" w:sz="4" w:space="0" w:color="auto"/>
            </w:tcBorders>
            <w:shd w:val="clear" w:color="auto" w:fill="A8D08D" w:themeFill="accent6" w:themeFillTint="99"/>
            <w:vAlign w:val="center"/>
          </w:tcPr>
          <w:p w14:paraId="5761D309" w14:textId="77777777" w:rsidR="00A56EE9" w:rsidRPr="00E15040" w:rsidRDefault="00A56EE9" w:rsidP="00BB6AD5">
            <w:pPr>
              <w:spacing w:line="240" w:lineRule="exact"/>
              <w:jc w:val="center"/>
              <w:rPr>
                <w:rFonts w:ascii="Cambria Math" w:hAnsi="Cambria Math"/>
                <w:b/>
                <w:sz w:val="24"/>
                <w:szCs w:val="24"/>
              </w:rPr>
            </w:pPr>
            <w:r w:rsidRPr="009364AC">
              <w:rPr>
                <w:rFonts w:ascii="Cambria Math" w:hAnsi="Cambria Math"/>
                <w:b/>
                <w:sz w:val="24"/>
                <w:szCs w:val="24"/>
              </w:rPr>
              <w:t>↘</w:t>
            </w:r>
          </w:p>
        </w:tc>
      </w:tr>
      <w:tr w:rsidR="00A56EE9" w:rsidRPr="003D54F2" w14:paraId="5761D30F" w14:textId="77777777" w:rsidTr="00BB6AD5">
        <w:trPr>
          <w:jc w:val="center"/>
        </w:trPr>
        <w:tc>
          <w:tcPr>
            <w:tcW w:w="2841" w:type="dxa"/>
            <w:vAlign w:val="center"/>
          </w:tcPr>
          <w:p w14:paraId="5761D30B" w14:textId="77777777" w:rsidR="00A56EE9" w:rsidRPr="003D54F2" w:rsidRDefault="00A56EE9" w:rsidP="00BB6AD5">
            <w:pPr>
              <w:spacing w:line="240" w:lineRule="exact"/>
              <w:rPr>
                <w:b/>
              </w:rPr>
            </w:pPr>
            <w:r w:rsidRPr="003D54F2">
              <w:rPr>
                <w:b/>
              </w:rPr>
              <w:t>Inputs</w:t>
            </w:r>
          </w:p>
        </w:tc>
        <w:tc>
          <w:tcPr>
            <w:tcW w:w="709" w:type="dxa"/>
            <w:shd w:val="clear" w:color="auto" w:fill="A8D08D" w:themeFill="accent6" w:themeFillTint="99"/>
            <w:vAlign w:val="center"/>
          </w:tcPr>
          <w:p w14:paraId="5761D30C"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30D" w14:textId="77777777" w:rsidR="00A56EE9" w:rsidRPr="00E15040" w:rsidRDefault="00A56EE9" w:rsidP="00BB6AD5">
            <w:pPr>
              <w:spacing w:line="240" w:lineRule="exact"/>
              <w:jc w:val="center"/>
              <w:rPr>
                <w:rFonts w:ascii="Cambria Math" w:hAnsi="Cambria Math"/>
                <w:b/>
                <w:sz w:val="24"/>
                <w:szCs w:val="24"/>
              </w:rPr>
            </w:pPr>
            <w:r w:rsidRPr="009364AC">
              <w:rPr>
                <w:rFonts w:ascii="Cambria Math" w:hAnsi="Cambria Math"/>
                <w:b/>
                <w:sz w:val="24"/>
                <w:szCs w:val="24"/>
              </w:rPr>
              <w:t>↘</w:t>
            </w:r>
          </w:p>
        </w:tc>
        <w:tc>
          <w:tcPr>
            <w:tcW w:w="789" w:type="dxa"/>
            <w:tcBorders>
              <w:bottom w:val="single" w:sz="4" w:space="0" w:color="auto"/>
            </w:tcBorders>
            <w:shd w:val="clear" w:color="auto" w:fill="A8D08D" w:themeFill="accent6" w:themeFillTint="99"/>
            <w:vAlign w:val="center"/>
          </w:tcPr>
          <w:p w14:paraId="5761D30E"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314" w14:textId="77777777" w:rsidTr="00BB6AD5">
        <w:trPr>
          <w:jc w:val="center"/>
        </w:trPr>
        <w:tc>
          <w:tcPr>
            <w:tcW w:w="2841" w:type="dxa"/>
            <w:vAlign w:val="center"/>
          </w:tcPr>
          <w:p w14:paraId="5761D310" w14:textId="77777777" w:rsidR="00A56EE9" w:rsidRPr="003D54F2" w:rsidRDefault="00A56EE9" w:rsidP="00BB6AD5">
            <w:pPr>
              <w:spacing w:line="240" w:lineRule="exact"/>
              <w:rPr>
                <w:b/>
              </w:rPr>
            </w:pPr>
            <w:r w:rsidRPr="003D54F2">
              <w:rPr>
                <w:b/>
              </w:rPr>
              <w:t>Processes</w:t>
            </w:r>
          </w:p>
        </w:tc>
        <w:tc>
          <w:tcPr>
            <w:tcW w:w="709" w:type="dxa"/>
            <w:shd w:val="clear" w:color="auto" w:fill="A8D08D" w:themeFill="accent6" w:themeFillTint="99"/>
            <w:vAlign w:val="center"/>
          </w:tcPr>
          <w:p w14:paraId="5761D311"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312" w14:textId="77777777" w:rsidR="00A56EE9" w:rsidRPr="00E15040" w:rsidRDefault="00A56EE9" w:rsidP="00BB6AD5">
            <w:pPr>
              <w:spacing w:line="240" w:lineRule="exact"/>
              <w:jc w:val="center"/>
              <w:rPr>
                <w:rFonts w:ascii="Cambria Math" w:hAnsi="Cambria Math"/>
                <w:b/>
                <w:sz w:val="24"/>
                <w:szCs w:val="24"/>
              </w:rPr>
            </w:pPr>
            <w:r w:rsidRPr="009364AC">
              <w:rPr>
                <w:rFonts w:ascii="Cambria Math" w:hAnsi="Cambria Math"/>
                <w:b/>
                <w:sz w:val="24"/>
                <w:szCs w:val="24"/>
              </w:rPr>
              <w:t>↘</w:t>
            </w:r>
          </w:p>
        </w:tc>
        <w:tc>
          <w:tcPr>
            <w:tcW w:w="789" w:type="dxa"/>
            <w:shd w:val="clear" w:color="auto" w:fill="A8D08D" w:themeFill="accent6" w:themeFillTint="99"/>
            <w:vAlign w:val="center"/>
          </w:tcPr>
          <w:p w14:paraId="5761D313"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319" w14:textId="77777777" w:rsidTr="00BB6AD5">
        <w:trPr>
          <w:jc w:val="center"/>
        </w:trPr>
        <w:tc>
          <w:tcPr>
            <w:tcW w:w="2841" w:type="dxa"/>
            <w:vAlign w:val="center"/>
          </w:tcPr>
          <w:p w14:paraId="5761D315" w14:textId="77777777" w:rsidR="00A56EE9" w:rsidRPr="003D54F2" w:rsidRDefault="00A56EE9" w:rsidP="00BB6AD5">
            <w:pPr>
              <w:spacing w:line="240" w:lineRule="exact"/>
              <w:rPr>
                <w:b/>
              </w:rPr>
            </w:pPr>
            <w:r w:rsidRPr="003D54F2">
              <w:rPr>
                <w:b/>
              </w:rPr>
              <w:t>Outputs</w:t>
            </w:r>
          </w:p>
        </w:tc>
        <w:tc>
          <w:tcPr>
            <w:tcW w:w="709" w:type="dxa"/>
            <w:shd w:val="clear" w:color="auto" w:fill="A8D08D" w:themeFill="accent6" w:themeFillTint="99"/>
            <w:vAlign w:val="center"/>
          </w:tcPr>
          <w:p w14:paraId="5761D316"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317"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tcBorders>
              <w:bottom w:val="single" w:sz="4" w:space="0" w:color="auto"/>
            </w:tcBorders>
            <w:shd w:val="clear" w:color="auto" w:fill="FFC000" w:themeFill="accent4"/>
            <w:vAlign w:val="center"/>
          </w:tcPr>
          <w:p w14:paraId="5761D318"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31E" w14:textId="77777777" w:rsidTr="00BB6AD5">
        <w:trPr>
          <w:jc w:val="center"/>
        </w:trPr>
        <w:tc>
          <w:tcPr>
            <w:tcW w:w="2841" w:type="dxa"/>
            <w:vAlign w:val="center"/>
          </w:tcPr>
          <w:p w14:paraId="5761D31A" w14:textId="77777777" w:rsidR="00A56EE9" w:rsidRPr="003D54F2" w:rsidRDefault="00A56EE9" w:rsidP="00BB6AD5">
            <w:pPr>
              <w:spacing w:line="240" w:lineRule="exact"/>
              <w:rPr>
                <w:b/>
              </w:rPr>
            </w:pPr>
            <w:r w:rsidRPr="003D54F2">
              <w:rPr>
                <w:b/>
              </w:rPr>
              <w:t>Outcomes</w:t>
            </w:r>
          </w:p>
        </w:tc>
        <w:tc>
          <w:tcPr>
            <w:tcW w:w="709" w:type="dxa"/>
            <w:shd w:val="clear" w:color="auto" w:fill="A8D08D" w:themeFill="accent6" w:themeFillTint="99"/>
            <w:vAlign w:val="center"/>
          </w:tcPr>
          <w:p w14:paraId="5761D31B"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31C"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shd w:val="clear" w:color="auto" w:fill="A8D08D" w:themeFill="accent6" w:themeFillTint="99"/>
            <w:vAlign w:val="center"/>
          </w:tcPr>
          <w:p w14:paraId="5761D31D"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bl>
    <w:p w14:paraId="5761D31F" w14:textId="77777777" w:rsidR="00A56EE9" w:rsidRDefault="00A56EE9" w:rsidP="00BB6AD5">
      <w:pPr>
        <w:spacing w:line="240" w:lineRule="auto"/>
        <w:ind w:firstLine="1985"/>
        <w:contextualSpacing/>
        <w:rPr>
          <w:sz w:val="16"/>
          <w:szCs w:val="16"/>
        </w:rPr>
      </w:pPr>
      <w:r>
        <w:rPr>
          <w:sz w:val="16"/>
          <w:szCs w:val="16"/>
        </w:rPr>
        <w:t xml:space="preserve">Management effective assessment is colour coded: </w:t>
      </w:r>
    </w:p>
    <w:tbl>
      <w:tblPr>
        <w:tblStyle w:val="TableGrid"/>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261"/>
      </w:tblGrid>
      <w:tr w:rsidR="00A56EE9" w14:paraId="5761D328" w14:textId="77777777" w:rsidTr="00BB6AD5">
        <w:trPr>
          <w:tblHeader/>
        </w:trPr>
        <w:tc>
          <w:tcPr>
            <w:tcW w:w="1084" w:type="dxa"/>
          </w:tcPr>
          <w:p w14:paraId="5761D320" w14:textId="77777777" w:rsidR="00A56EE9" w:rsidRDefault="00A56EE9" w:rsidP="00BB6AD5">
            <w:pPr>
              <w:ind w:right="-158"/>
              <w:contextualSpacing/>
              <w:rPr>
                <w:sz w:val="16"/>
                <w:szCs w:val="16"/>
              </w:rPr>
            </w:pPr>
            <w:r>
              <w:rPr>
                <w:sz w:val="16"/>
                <w:szCs w:val="16"/>
              </w:rPr>
              <w:t>Effective (E)</w:t>
            </w:r>
          </w:p>
        </w:tc>
        <w:tc>
          <w:tcPr>
            <w:tcW w:w="0" w:type="auto"/>
          </w:tcPr>
          <w:p w14:paraId="5761D321"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97152" behindDoc="1" locked="0" layoutInCell="1" allowOverlap="1" wp14:anchorId="57620C76" wp14:editId="57620C77">
                      <wp:simplePos x="0" y="0"/>
                      <wp:positionH relativeFrom="column">
                        <wp:posOffset>-50800</wp:posOffset>
                      </wp:positionH>
                      <wp:positionV relativeFrom="paragraph">
                        <wp:posOffset>26670</wp:posOffset>
                      </wp:positionV>
                      <wp:extent cx="95250" cy="104775"/>
                      <wp:effectExtent l="0" t="0" r="19050" b="28575"/>
                      <wp:wrapSquare wrapText="bothSides"/>
                      <wp:docPr id="33" name="Rectangle 33"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2"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76" id="Rectangle 33" o:spid="_x0000_s1051" alt="Title: Rectangle - Description: Rectangle coloured dark green" style="position:absolute;margin-left:-4pt;margin-top:2.1pt;width:7.5pt;height:8.2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" fillcolor="#060" strokecolor="black [3213]" strokeweight="1pt">
                      <v:textbox>
                        <w:txbxContent>
                          <w:p w14:paraId="57620D12"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322" w14:textId="77777777" w:rsidR="00A56EE9" w:rsidRDefault="00A56EE9" w:rsidP="00BB6AD5">
            <w:pPr>
              <w:contextualSpacing/>
              <w:rPr>
                <w:sz w:val="16"/>
                <w:szCs w:val="16"/>
              </w:rPr>
            </w:pPr>
            <w:r>
              <w:rPr>
                <w:sz w:val="16"/>
                <w:szCs w:val="16"/>
              </w:rPr>
              <w:t>Mostly effective (ME)</w:t>
            </w:r>
          </w:p>
        </w:tc>
        <w:tc>
          <w:tcPr>
            <w:tcW w:w="0" w:type="auto"/>
          </w:tcPr>
          <w:p w14:paraId="5761D323"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94080" behindDoc="0" locked="0" layoutInCell="1" allowOverlap="1" wp14:anchorId="57620C78" wp14:editId="57620C79">
                      <wp:simplePos x="0" y="0"/>
                      <wp:positionH relativeFrom="column">
                        <wp:posOffset>-41275</wp:posOffset>
                      </wp:positionH>
                      <wp:positionV relativeFrom="paragraph">
                        <wp:posOffset>22860</wp:posOffset>
                      </wp:positionV>
                      <wp:extent cx="95250" cy="104775"/>
                      <wp:effectExtent l="0" t="0" r="19050" b="28575"/>
                      <wp:wrapNone/>
                      <wp:docPr id="38" name="Rectangle 38"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3"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78" id="Rectangle 38" o:spid="_x0000_s1052" alt="Title: Rectangle - Description: Rectangle coloured light green" style="position:absolute;margin-left:-3.25pt;margin-top:1.8pt;width:7.5pt;height:8.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" fillcolor="#92d050" strokecolor="black [3213]" strokeweight="1pt">
                      <v:textbox>
                        <w:txbxContent>
                          <w:p w14:paraId="57620D13" w14:textId="77777777" w:rsidR="008B5998" w:rsidRDefault="008B5998" w:rsidP="00BB6AD5">
                            <w:pPr>
                              <w:jc w:val="center"/>
                            </w:pPr>
                          </w:p>
                        </w:txbxContent>
                      </v:textbox>
                    </v:rect>
                  </w:pict>
                </mc:Fallback>
              </mc:AlternateContent>
            </w:r>
            <w:r>
              <w:rPr>
                <w:sz w:val="16"/>
                <w:szCs w:val="16"/>
              </w:rPr>
              <w:t>;</w:t>
            </w:r>
          </w:p>
        </w:tc>
        <w:tc>
          <w:tcPr>
            <w:tcW w:w="0" w:type="auto"/>
          </w:tcPr>
          <w:p w14:paraId="5761D324" w14:textId="77777777" w:rsidR="00A56EE9" w:rsidRDefault="00A56EE9" w:rsidP="00BB6AD5">
            <w:pPr>
              <w:contextualSpacing/>
              <w:rPr>
                <w:sz w:val="16"/>
                <w:szCs w:val="16"/>
              </w:rPr>
            </w:pPr>
            <w:r>
              <w:rPr>
                <w:sz w:val="16"/>
                <w:szCs w:val="16"/>
              </w:rPr>
              <w:t>Partially effective (PE)</w:t>
            </w:r>
          </w:p>
        </w:tc>
        <w:tc>
          <w:tcPr>
            <w:tcW w:w="0" w:type="auto"/>
          </w:tcPr>
          <w:p w14:paraId="5761D325"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95104" behindDoc="0" locked="0" layoutInCell="1" allowOverlap="1" wp14:anchorId="57620C7A" wp14:editId="57620C7B">
                      <wp:simplePos x="0" y="0"/>
                      <wp:positionH relativeFrom="column">
                        <wp:posOffset>-65405</wp:posOffset>
                      </wp:positionH>
                      <wp:positionV relativeFrom="paragraph">
                        <wp:posOffset>19685</wp:posOffset>
                      </wp:positionV>
                      <wp:extent cx="95250" cy="104775"/>
                      <wp:effectExtent l="0" t="0" r="19050" b="28575"/>
                      <wp:wrapNone/>
                      <wp:docPr id="39" name="Rectangle 39"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4"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7A" id="Rectangle 39" o:spid="_x0000_s1053" alt="Title: Rectangle - Description: Rectangle coloured orange" style="position:absolute;margin-left:-5.15pt;margin-top:1.55pt;width:7.5pt;height:8.2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" fillcolor="#ffc000" strokecolor="black [3213]" strokeweight="1pt">
                      <v:textbox>
                        <w:txbxContent>
                          <w:p w14:paraId="57620D14" w14:textId="77777777" w:rsidR="008B5998" w:rsidRDefault="008B5998" w:rsidP="00BB6AD5">
                            <w:pPr>
                              <w:jc w:val="center"/>
                            </w:pPr>
                          </w:p>
                        </w:txbxContent>
                      </v:textbox>
                    </v:rect>
                  </w:pict>
                </mc:Fallback>
              </mc:AlternateContent>
            </w:r>
            <w:r>
              <w:rPr>
                <w:sz w:val="16"/>
                <w:szCs w:val="16"/>
              </w:rPr>
              <w:t>;</w:t>
            </w:r>
          </w:p>
        </w:tc>
        <w:tc>
          <w:tcPr>
            <w:tcW w:w="0" w:type="auto"/>
          </w:tcPr>
          <w:p w14:paraId="5761D326" w14:textId="77777777" w:rsidR="00A56EE9" w:rsidRDefault="00A56EE9" w:rsidP="00BB6AD5">
            <w:pPr>
              <w:contextualSpacing/>
              <w:rPr>
                <w:sz w:val="16"/>
                <w:szCs w:val="16"/>
              </w:rPr>
            </w:pPr>
            <w:r>
              <w:rPr>
                <w:sz w:val="16"/>
                <w:szCs w:val="16"/>
              </w:rPr>
              <w:t>Ineffective (I)</w:t>
            </w:r>
          </w:p>
        </w:tc>
        <w:tc>
          <w:tcPr>
            <w:tcW w:w="0" w:type="auto"/>
          </w:tcPr>
          <w:p w14:paraId="5761D327"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96128" behindDoc="0" locked="0" layoutInCell="1" allowOverlap="1" wp14:anchorId="57620C7C" wp14:editId="57620C7D">
                      <wp:simplePos x="0" y="0"/>
                      <wp:positionH relativeFrom="column">
                        <wp:posOffset>-50165</wp:posOffset>
                      </wp:positionH>
                      <wp:positionV relativeFrom="paragraph">
                        <wp:posOffset>24130</wp:posOffset>
                      </wp:positionV>
                      <wp:extent cx="95250" cy="104775"/>
                      <wp:effectExtent l="0" t="0" r="19050" b="28575"/>
                      <wp:wrapNone/>
                      <wp:docPr id="40" name="Rectangle 40"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5"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7C" id="Rectangle 40" o:spid="_x0000_s1054" alt="Title: Rectangle - Description: Rectangle coloured red" style="position:absolute;margin-left:-3.95pt;margin-top:1.9pt;width:7.5pt;height:8.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" fillcolor="red" strokecolor="black [3213]" strokeweight="1pt">
                      <v:textbox>
                        <w:txbxContent>
                          <w:p w14:paraId="57620D15" w14:textId="77777777" w:rsidR="008B5998" w:rsidRDefault="008B5998" w:rsidP="00BB6AD5">
                            <w:pPr>
                              <w:jc w:val="center"/>
                            </w:pPr>
                          </w:p>
                        </w:txbxContent>
                      </v:textbox>
                    </v:rect>
                  </w:pict>
                </mc:Fallback>
              </mc:AlternateContent>
            </w:r>
            <w:r>
              <w:rPr>
                <w:sz w:val="16"/>
                <w:szCs w:val="16"/>
              </w:rPr>
              <w:t>;</w:t>
            </w:r>
          </w:p>
        </w:tc>
      </w:tr>
    </w:tbl>
    <w:p w14:paraId="5761D329" w14:textId="77777777" w:rsidR="00A56EE9" w:rsidRPr="004F2ABF" w:rsidRDefault="00A56EE9" w:rsidP="00BB6AD5">
      <w:pPr>
        <w:spacing w:after="0" w:line="240" w:lineRule="auto"/>
        <w:ind w:left="1704"/>
        <w:contextualSpacing/>
      </w:pPr>
      <w:r>
        <w:rPr>
          <w:rFonts w:ascii="Cambria Math" w:hAnsi="Cambria Math" w:cs="Cambria Math"/>
          <w:b/>
        </w:rPr>
        <w:t>↔</w:t>
      </w:r>
      <w:r w:rsidRPr="004F2ABF">
        <w:t xml:space="preserve"> </w:t>
      </w:r>
      <w:r w:rsidRPr="006C34EB">
        <w:rPr>
          <w:sz w:val="16"/>
          <w:szCs w:val="16"/>
        </w:rPr>
        <w:t>Grade has remained stable compared to 2009</w:t>
      </w:r>
      <w:r>
        <w:rPr>
          <w:sz w:val="16"/>
          <w:szCs w:val="16"/>
        </w:rPr>
        <w:t>, 2014</w:t>
      </w:r>
      <w:r w:rsidRPr="006C34EB">
        <w:rPr>
          <w:sz w:val="16"/>
          <w:szCs w:val="16"/>
        </w:rPr>
        <w:t xml:space="preserve"> with no major trends</w:t>
      </w:r>
      <w:r w:rsidRPr="004F2ABF">
        <w:t xml:space="preserve"> </w:t>
      </w:r>
    </w:p>
    <w:p w14:paraId="5761D32A" w14:textId="77777777" w:rsidR="00A56EE9" w:rsidRPr="004F2ABF" w:rsidRDefault="00A56EE9" w:rsidP="00BB6AD5">
      <w:pPr>
        <w:spacing w:after="0" w:line="240" w:lineRule="auto"/>
        <w:ind w:left="1704"/>
        <w:contextualSpacing/>
      </w:pPr>
      <w:r>
        <w:rPr>
          <w:rFonts w:ascii="Cambria Math" w:hAnsi="Cambria Math" w:cs="Cambria Math"/>
          <w:b/>
        </w:rPr>
        <w:t>↘</w:t>
      </w:r>
      <w:r w:rsidRPr="004F2ABF">
        <w:rPr>
          <w:b/>
        </w:rP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w:t>
      </w:r>
      <w:r w:rsidRPr="006C34EB">
        <w:rPr>
          <w:sz w:val="16"/>
          <w:szCs w:val="16"/>
        </w:rPr>
        <w:t xml:space="preserve"> is decreasing but has not caused a downwards grade change</w:t>
      </w:r>
    </w:p>
    <w:p w14:paraId="5761D32B" w14:textId="77777777" w:rsidR="00A56EE9" w:rsidRPr="004F2ABF" w:rsidRDefault="00A56EE9" w:rsidP="00BB6AD5">
      <w:pPr>
        <w:spacing w:after="0" w:line="240" w:lineRule="auto"/>
        <w:ind w:left="1704"/>
        <w:contextualSpacing/>
      </w:pPr>
      <w:r w:rsidRPr="004F2ABF">
        <w:rPr>
          <w:rFonts w:ascii="Cambria Math" w:hAnsi="Cambria Math" w:cs="Cambria Math"/>
        </w:rPr>
        <w:t>⬇</w:t>
      </w:r>
      <w: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 has been a</w:t>
      </w:r>
      <w:r w:rsidRPr="006C34EB">
        <w:rPr>
          <w:sz w:val="16"/>
          <w:szCs w:val="16"/>
        </w:rPr>
        <w:t xml:space="preserve"> downwards change in grade</w:t>
      </w:r>
    </w:p>
    <w:p w14:paraId="5761D32D" w14:textId="77777777" w:rsidR="00A56EE9" w:rsidRDefault="00A56EE9" w:rsidP="00A11869">
      <w:pPr>
        <w:pStyle w:val="Heading2"/>
        <w:numPr>
          <w:ilvl w:val="1"/>
          <w:numId w:val="17"/>
        </w:numPr>
        <w:ind w:left="357" w:hanging="357"/>
      </w:pPr>
      <w:bookmarkStart w:id="75" w:name="_Toc523423784"/>
      <w:r>
        <w:t>Research activities</w:t>
      </w:r>
      <w:bookmarkEnd w:id="75"/>
    </w:p>
    <w:p w14:paraId="5761D32E" w14:textId="77777777" w:rsidR="00A56EE9" w:rsidRPr="00DC42CB" w:rsidRDefault="00A56EE9" w:rsidP="00E3690C">
      <w:pPr>
        <w:spacing w:line="276" w:lineRule="auto"/>
        <w:rPr>
          <w:rFonts w:eastAsia="Calibri" w:cs="Times New Roman"/>
        </w:rPr>
      </w:pPr>
      <w:r>
        <w:rPr>
          <w:rFonts w:eastAsia="Calibri" w:cs="Times New Roman"/>
        </w:rPr>
        <w:t>This section</w:t>
      </w:r>
      <w:r w:rsidRPr="00DC42CB">
        <w:rPr>
          <w:rFonts w:eastAsia="Calibri" w:cs="Times New Roman"/>
        </w:rPr>
        <w:t xml:space="preserve"> addresses issues of the management of research by management agencies and</w:t>
      </w:r>
      <w:r>
        <w:rPr>
          <w:rFonts w:eastAsia="Calibri" w:cs="Times New Roman"/>
        </w:rPr>
        <w:t>,</w:t>
      </w:r>
      <w:r w:rsidRPr="00DC42CB">
        <w:rPr>
          <w:rFonts w:eastAsia="Calibri" w:cs="Times New Roman"/>
        </w:rPr>
        <w:t xml:space="preserve"> to a lesser extent</w:t>
      </w:r>
      <w:r>
        <w:rPr>
          <w:rFonts w:eastAsia="Calibri" w:cs="Times New Roman"/>
        </w:rPr>
        <w:t>,</w:t>
      </w:r>
      <w:r w:rsidRPr="00DC42CB">
        <w:rPr>
          <w:rFonts w:eastAsia="Calibri" w:cs="Times New Roman"/>
        </w:rPr>
        <w:t xml:space="preserve"> the interactions between the agencies and research/education institutions and researchers. The Marine Park Authority and the main Queensland Government management agencies are not research institutions </w:t>
      </w:r>
      <w:r w:rsidRPr="00DC42CB">
        <w:rPr>
          <w:rFonts w:eastAsia="Calibri" w:cs="Times New Roman"/>
          <w:i/>
        </w:rPr>
        <w:t>per se</w:t>
      </w:r>
      <w:r w:rsidRPr="00DC42CB">
        <w:rPr>
          <w:rFonts w:eastAsia="Calibri" w:cs="Times New Roman"/>
        </w:rPr>
        <w:t xml:space="preserve">, but they work closely with research institutions such as CSIRO, </w:t>
      </w:r>
      <w:r>
        <w:rPr>
          <w:rFonts w:eastAsia="Calibri" w:cs="Times New Roman"/>
        </w:rPr>
        <w:t>AIMS</w:t>
      </w:r>
      <w:r w:rsidRPr="00DC42CB">
        <w:rPr>
          <w:rFonts w:eastAsia="Calibri" w:cs="Times New Roman"/>
        </w:rPr>
        <w:t xml:space="preserve">, universities and other research bodies to help focus research on key management issues for the Region, to apply existing research knowledge to management and to manage the research process and minimise any adverse impacts of research activity. </w:t>
      </w:r>
    </w:p>
    <w:p w14:paraId="5761D32F" w14:textId="0A81ACA5" w:rsidR="00A56EE9" w:rsidRPr="00DC42CB" w:rsidRDefault="00A56EE9" w:rsidP="00E3690C">
      <w:pPr>
        <w:spacing w:line="276" w:lineRule="auto"/>
        <w:rPr>
          <w:rFonts w:eastAsia="Calibri" w:cs="Times New Roman"/>
        </w:rPr>
      </w:pPr>
      <w:r w:rsidRPr="00DC42CB">
        <w:rPr>
          <w:rFonts w:eastAsia="Calibri" w:cs="Times New Roman"/>
        </w:rPr>
        <w:t>All six assessment elements (</w:t>
      </w:r>
      <w:r w:rsidRPr="00DC42CB">
        <w:rPr>
          <w:rFonts w:eastAsia="Calibri" w:cs="Times New Roman"/>
        </w:rPr>
        <w:fldChar w:fldCharType="begin"/>
      </w:r>
      <w:r w:rsidRPr="00DC42CB">
        <w:rPr>
          <w:rFonts w:eastAsia="Calibri" w:cs="Times New Roman"/>
        </w:rPr>
        <w:instrText xml:space="preserve"> REF _Ref259285192 \h </w:instrText>
      </w:r>
      <w:r w:rsidR="00E3690C">
        <w:rPr>
          <w:rFonts w:eastAsia="Calibri" w:cs="Times New Roman"/>
        </w:rPr>
        <w:instrText xml:space="preserve"> \* MERGEFORMAT </w:instrText>
      </w:r>
      <w:r w:rsidRPr="00DC42CB">
        <w:rPr>
          <w:rFonts w:eastAsia="Calibri" w:cs="Times New Roman"/>
        </w:rPr>
      </w:r>
      <w:r w:rsidRPr="00DC42CB">
        <w:rPr>
          <w:rFonts w:eastAsia="Calibri" w:cs="Times New Roman"/>
        </w:rPr>
        <w:fldChar w:fldCharType="separate"/>
      </w:r>
      <w:r w:rsidR="00A4170C" w:rsidRPr="005F616A">
        <w:t xml:space="preserve">Table </w:t>
      </w:r>
      <w:r w:rsidR="00A4170C">
        <w:rPr>
          <w:noProof/>
        </w:rPr>
        <w:t>10</w:t>
      </w:r>
      <w:r w:rsidRPr="00DC42CB">
        <w:rPr>
          <w:rFonts w:eastAsia="Calibri" w:cs="Times New Roman"/>
        </w:rPr>
        <w:fldChar w:fldCharType="end"/>
      </w:r>
      <w:r w:rsidRPr="00DC42CB">
        <w:rPr>
          <w:rFonts w:eastAsia="Calibri" w:cs="Times New Roman"/>
        </w:rPr>
        <w:t xml:space="preserve">) are rated as </w:t>
      </w:r>
      <w:r w:rsidRPr="00C92B0B">
        <w:rPr>
          <w:rFonts w:eastAsia="Calibri" w:cs="Times New Roman"/>
          <w:i/>
        </w:rPr>
        <w:t>effectively</w:t>
      </w:r>
      <w:r w:rsidRPr="00DC42CB">
        <w:rPr>
          <w:rFonts w:eastAsia="Calibri" w:cs="Times New Roman"/>
        </w:rPr>
        <w:t xml:space="preserve"> managed. Planning, Inputs and Processes all improved one grade from the 2014 assessment, largely as a result of improved systems and processes relating to research permit management. This restores the situation seen in the assessment of Research and educational activities in the Outlook Report</w:t>
      </w:r>
      <w:r>
        <w:rPr>
          <w:rFonts w:eastAsia="Calibri" w:cs="Times New Roman"/>
        </w:rPr>
        <w:t xml:space="preserve"> </w:t>
      </w:r>
      <w:r w:rsidRPr="00DC42CB">
        <w:rPr>
          <w:rFonts w:eastAsia="Calibri" w:cs="Times New Roman"/>
        </w:rPr>
        <w:t xml:space="preserve">2009, which had declined in the </w:t>
      </w:r>
      <w:r>
        <w:rPr>
          <w:rFonts w:eastAsia="Calibri" w:cs="Times New Roman"/>
        </w:rPr>
        <w:t>Outlook Report 2014</w:t>
      </w:r>
      <w:r w:rsidRPr="00DC42CB">
        <w:rPr>
          <w:rFonts w:eastAsia="Calibri" w:cs="Times New Roman"/>
        </w:rPr>
        <w:t>.</w:t>
      </w:r>
    </w:p>
    <w:p w14:paraId="5761D330" w14:textId="77777777" w:rsidR="00A56EE9" w:rsidRPr="00DC42CB" w:rsidRDefault="00A56EE9" w:rsidP="00E3690C">
      <w:pPr>
        <w:spacing w:line="276" w:lineRule="auto"/>
        <w:rPr>
          <w:rFonts w:eastAsia="Calibri" w:cs="Times New Roman"/>
        </w:rPr>
      </w:pPr>
      <w:r w:rsidRPr="00DC42CB">
        <w:rPr>
          <w:rFonts w:eastAsia="Calibri" w:cs="Times New Roman"/>
        </w:rPr>
        <w:t xml:space="preserve">Management of research priorities is becoming a more important component of research management within the Marine Park Authority, especially as managers and researchers respond to the research needs generated by the declining condition of the Reef. Following the </w:t>
      </w:r>
      <w:r>
        <w:rPr>
          <w:rFonts w:eastAsia="Calibri" w:cs="Times New Roman"/>
        </w:rPr>
        <w:t xml:space="preserve">Great Barrier Reef </w:t>
      </w:r>
      <w:r w:rsidRPr="00DE60A7">
        <w:rPr>
          <w:rFonts w:eastAsia="Calibri" w:cs="Times New Roman"/>
        </w:rPr>
        <w:t>Strategic Assessment</w:t>
      </w:r>
      <w:r w:rsidRPr="00DC42CB">
        <w:rPr>
          <w:rFonts w:eastAsia="Calibri" w:cs="Times New Roman"/>
        </w:rPr>
        <w:t xml:space="preserve"> and</w:t>
      </w:r>
      <w:r>
        <w:rPr>
          <w:rFonts w:eastAsia="Calibri" w:cs="Times New Roman"/>
        </w:rPr>
        <w:t xml:space="preserve"> </w:t>
      </w:r>
      <w:r w:rsidRPr="00DC42CB">
        <w:rPr>
          <w:rFonts w:eastAsia="Calibri" w:cs="Times New Roman"/>
        </w:rPr>
        <w:t xml:space="preserve">Outlook Report 2014, the Marine Park Authority’s </w:t>
      </w:r>
      <w:r w:rsidRPr="00DC42CB">
        <w:rPr>
          <w:rFonts w:eastAsia="Calibri" w:cs="Times New Roman"/>
          <w:i/>
        </w:rPr>
        <w:t xml:space="preserve">Science Strategy and Information </w:t>
      </w:r>
      <w:r w:rsidRPr="00D27653">
        <w:rPr>
          <w:rFonts w:eastAsia="Calibri" w:cs="Times New Roman"/>
          <w:i/>
        </w:rPr>
        <w:t xml:space="preserve">Needs </w:t>
      </w:r>
      <w:r w:rsidRPr="00D27653">
        <w:rPr>
          <w:rFonts w:eastAsia="Calibri" w:cs="Times New Roman"/>
        </w:rPr>
        <w:t>(GBRMPA 2014</w:t>
      </w:r>
      <w:r>
        <w:rPr>
          <w:rFonts w:eastAsia="Calibri" w:cs="Times New Roman"/>
        </w:rPr>
        <w:t>d</w:t>
      </w:r>
      <w:r w:rsidRPr="00D27653">
        <w:rPr>
          <w:rFonts w:eastAsia="Calibri" w:cs="Times New Roman"/>
        </w:rPr>
        <w:t>)</w:t>
      </w:r>
      <w:r>
        <w:rPr>
          <w:rFonts w:eastAsia="Calibri" w:cs="Times New Roman"/>
        </w:rPr>
        <w:t xml:space="preserve"> </w:t>
      </w:r>
      <w:r w:rsidRPr="00DC42CB">
        <w:rPr>
          <w:rFonts w:eastAsia="Calibri" w:cs="Times New Roman"/>
        </w:rPr>
        <w:t xml:space="preserve">was updated for the period 2014-2019. It identifies key information needed to better inform management of the area and provides a searchable database of research questions. This document, along with partnership agreements with key research institutions, provides the basis for research alignment that should deliver valuable outcomes for improved management. </w:t>
      </w:r>
    </w:p>
    <w:p w14:paraId="5761D331" w14:textId="77777777" w:rsidR="00A56EE9" w:rsidRPr="00DC42CB" w:rsidRDefault="00A56EE9" w:rsidP="00E3690C">
      <w:pPr>
        <w:spacing w:line="276" w:lineRule="auto"/>
        <w:rPr>
          <w:rFonts w:eastAsia="Calibri" w:cs="Times New Roman"/>
        </w:rPr>
      </w:pPr>
      <w:r w:rsidRPr="00DC42CB">
        <w:rPr>
          <w:rFonts w:eastAsia="Calibri" w:cs="Times New Roman"/>
        </w:rPr>
        <w:t xml:space="preserve">However, a number of researchers interviewed for this current management effectiveness assessment indicated that they have experienced a decline in engagement with the Marine Park Authority staff </w:t>
      </w:r>
      <w:r>
        <w:rPr>
          <w:rFonts w:eastAsia="Calibri" w:cs="Times New Roman"/>
        </w:rPr>
        <w:t>regarding</w:t>
      </w:r>
      <w:r w:rsidRPr="00DC42CB">
        <w:rPr>
          <w:rFonts w:eastAsia="Calibri" w:cs="Times New Roman"/>
        </w:rPr>
        <w:t xml:space="preserve"> research priorities, which they attribute to a loss of key staff members from the Marine Park Authority. They report that management agencies are frequently not represented at important meetings relating to research priorities and partnerships. While this view was expressed by a number of researchers, the Marine Park Authority continues to have representation on all of the major Boards and Committees relating to research on the Great Barrier Reef. It may be, in part, a consequence of diversified sources of funding for the Region’s research</w:t>
      </w:r>
      <w:r>
        <w:rPr>
          <w:rFonts w:eastAsia="Calibri" w:cs="Times New Roman"/>
        </w:rPr>
        <w:t>,</w:t>
      </w:r>
      <w:r w:rsidRPr="00DC42CB">
        <w:rPr>
          <w:rFonts w:eastAsia="Calibri" w:cs="Times New Roman"/>
        </w:rPr>
        <w:t xml:space="preserve"> with significant research funds being managed through the Department </w:t>
      </w:r>
      <w:r>
        <w:rPr>
          <w:rFonts w:eastAsia="Calibri" w:cs="Times New Roman"/>
        </w:rPr>
        <w:t>of Environment and Energy</w:t>
      </w:r>
      <w:r w:rsidRPr="00DC42CB">
        <w:rPr>
          <w:rFonts w:eastAsia="Calibri" w:cs="Times New Roman"/>
        </w:rPr>
        <w:t xml:space="preserve"> and the O</w:t>
      </w:r>
      <w:r>
        <w:rPr>
          <w:rFonts w:eastAsia="Calibri" w:cs="Times New Roman"/>
        </w:rPr>
        <w:t>ffice of the Great Barrier Reef</w:t>
      </w:r>
      <w:r w:rsidRPr="00DC42CB">
        <w:rPr>
          <w:rFonts w:eastAsia="Calibri" w:cs="Times New Roman"/>
        </w:rPr>
        <w:t>.</w:t>
      </w:r>
    </w:p>
    <w:p w14:paraId="5761D332" w14:textId="77777777" w:rsidR="00A56EE9" w:rsidRPr="00DC42CB" w:rsidRDefault="00A56EE9" w:rsidP="00E3690C">
      <w:pPr>
        <w:spacing w:line="276" w:lineRule="auto"/>
        <w:rPr>
          <w:rFonts w:eastAsia="Calibri" w:cs="Times New Roman"/>
        </w:rPr>
      </w:pPr>
      <w:r w:rsidRPr="00DC42CB">
        <w:rPr>
          <w:rFonts w:eastAsia="Calibri" w:cs="Times New Roman"/>
        </w:rPr>
        <w:t>The Great Barrier Reef is known internationally as a premier site in which to conduct scientific studies. The majority of research occurs at the four major research stations at Lizard Island, Orpheus Island, One Tree Island and Heron Island. A wide range of low intensity research is conducted at other locations.</w:t>
      </w:r>
    </w:p>
    <w:p w14:paraId="5761D333" w14:textId="77777777" w:rsidR="00A56EE9" w:rsidRPr="00DC42CB" w:rsidRDefault="00A56EE9" w:rsidP="00E3690C">
      <w:pPr>
        <w:spacing w:line="276" w:lineRule="auto"/>
        <w:rPr>
          <w:rFonts w:eastAsia="Calibri" w:cs="Times New Roman"/>
        </w:rPr>
      </w:pPr>
      <w:r w:rsidRPr="00DC42CB">
        <w:rPr>
          <w:rFonts w:eastAsia="Calibri" w:cs="Times New Roman"/>
        </w:rPr>
        <w:t xml:space="preserve">The Marine Park Authority and QPWS have a lead role in relation to the management of research activities (that is, access to the Marine Parks and islands to undertake research) within and adjacent to the Region. Guidelines on Managing Scientific Research </w:t>
      </w:r>
      <w:r>
        <w:rPr>
          <w:rFonts w:eastAsia="Calibri" w:cs="Times New Roman"/>
        </w:rPr>
        <w:t xml:space="preserve">(GBRMPA 2017b) </w:t>
      </w:r>
      <w:r w:rsidRPr="00DC42CB">
        <w:rPr>
          <w:rFonts w:eastAsia="Calibri" w:cs="Times New Roman"/>
        </w:rPr>
        <w:t xml:space="preserve">and the </w:t>
      </w:r>
      <w:r w:rsidRPr="00C93EF3">
        <w:rPr>
          <w:rFonts w:eastAsia="Calibri" w:cs="Times New Roman"/>
        </w:rPr>
        <w:t>Great Barrier Reef Marine Park Regulations 1983</w:t>
      </w:r>
      <w:r w:rsidRPr="00DC42CB">
        <w:rPr>
          <w:rFonts w:eastAsia="Calibri" w:cs="Times New Roman"/>
        </w:rPr>
        <w:t xml:space="preserve"> (the Regulations) were updated in late 2017 as part of strengthening the permissions system work. A mix of management tools are used, principally permits for specific research projects and accreditation of partner research institutions to manage potential impacts from this activity. These mechanisms cross-reference to the Zoning Plans and Plans of Management for specific geographic areas, as well as specific policies. </w:t>
      </w:r>
    </w:p>
    <w:p w14:paraId="5761D334" w14:textId="77777777" w:rsidR="00A56EE9" w:rsidRPr="00DC42CB" w:rsidRDefault="00A56EE9" w:rsidP="00E3690C">
      <w:pPr>
        <w:spacing w:line="276" w:lineRule="auto"/>
        <w:rPr>
          <w:rFonts w:eastAsia="Calibri" w:cs="Times New Roman"/>
        </w:rPr>
      </w:pPr>
      <w:r w:rsidRPr="00DC42CB">
        <w:rPr>
          <w:rFonts w:eastAsia="Calibri" w:cs="Times New Roman"/>
        </w:rPr>
        <w:t xml:space="preserve">However, there is limited compliance auditing of research permits. Timeframes for assessment of permits can be lengthy, with priority given to assessment of new applications so that researchers are able to commence their work. This means that some renewals can be significantly delayed as researchers are able to continue activities during the assessment period. In some cases, these delays can extend for more than 12 months, </w:t>
      </w:r>
      <w:r>
        <w:rPr>
          <w:rFonts w:eastAsia="Calibri" w:cs="Times New Roman"/>
        </w:rPr>
        <w:t xml:space="preserve">due to </w:t>
      </w:r>
      <w:r w:rsidRPr="00DC42CB">
        <w:rPr>
          <w:rFonts w:eastAsia="Calibri" w:cs="Times New Roman"/>
        </w:rPr>
        <w:t xml:space="preserve">either a lack of staff within the Marine Park Authority to process the application or delays in provision of information by the applicant. While specific impact studies have not been undertaken, research is not considered to have a large or detrimental impact on the Reef ecosystem, and research activities were generally considered to be environmentally sustainable given the nature and limited extent and intensity of research. </w:t>
      </w:r>
    </w:p>
    <w:p w14:paraId="5761D335" w14:textId="77777777" w:rsidR="00A56EE9" w:rsidRDefault="00A56EE9" w:rsidP="00E3690C">
      <w:pPr>
        <w:spacing w:line="276" w:lineRule="auto"/>
      </w:pPr>
      <w:r w:rsidRPr="00717E39">
        <w:t>However, confidence that research is environmentally sustainable is reduced by the limited knowledge of cumulative impacts of collection undertaken for research. Researchers are required to submit reports detailing what they collect throughout the permit’s duration with data provided on what species are collected and from where. These reports are not always analysed or used by managing agencies in future decision-making, limiting the capacity to identify cumulative impacts of research</w:t>
      </w:r>
      <w:r>
        <w:t>, particularly in high use areas around research stations</w:t>
      </w:r>
      <w:r w:rsidRPr="00717E39">
        <w:t xml:space="preserve">. </w:t>
      </w:r>
    </w:p>
    <w:p w14:paraId="5761D336" w14:textId="77777777" w:rsidR="00A56EE9" w:rsidRPr="00DC42CB" w:rsidRDefault="00A56EE9" w:rsidP="00E3690C">
      <w:pPr>
        <w:spacing w:line="276" w:lineRule="auto"/>
        <w:rPr>
          <w:rFonts w:ascii="Times New Roman" w:hAnsi="Times New Roman" w:cs="Times New Roman"/>
          <w:sz w:val="24"/>
          <w:szCs w:val="24"/>
        </w:rPr>
      </w:pPr>
      <w:r w:rsidRPr="00D33C6E">
        <w:t>A new online permits system has been developed and has been operational since late 2017. This should provide for more timely assessment of permits and monitoring of permit compliance</w:t>
      </w:r>
      <w:r>
        <w:t>. U</w:t>
      </w:r>
      <w:r w:rsidRPr="00D33C6E">
        <w:t xml:space="preserve">se of electronic data returns </w:t>
      </w:r>
      <w:r>
        <w:t>w</w:t>
      </w:r>
      <w:r w:rsidRPr="00D33C6E">
        <w:t xml:space="preserve">ill improve collection and analysis of </w:t>
      </w:r>
      <w:r>
        <w:t>research collection</w:t>
      </w:r>
      <w:r w:rsidRPr="00D33C6E">
        <w:t xml:space="preserve"> return</w:t>
      </w:r>
      <w:r>
        <w:t>s</w:t>
      </w:r>
      <w:r w:rsidRPr="00D33C6E">
        <w:t xml:space="preserve"> from late 2018 onwards. </w:t>
      </w:r>
      <w:r>
        <w:t>B</w:t>
      </w:r>
      <w:r w:rsidRPr="00D33C6E">
        <w:t xml:space="preserve">ut it is still too early to judge the impact of this on management of research permits in practice. </w:t>
      </w:r>
    </w:p>
    <w:p w14:paraId="5761D337" w14:textId="77777777" w:rsidR="00A56EE9" w:rsidRPr="00DC42CB" w:rsidRDefault="00A56EE9" w:rsidP="00E3690C">
      <w:pPr>
        <w:spacing w:line="276" w:lineRule="auto"/>
        <w:rPr>
          <w:rFonts w:eastAsia="Calibri" w:cs="Times New Roman"/>
        </w:rPr>
      </w:pPr>
      <w:r>
        <w:rPr>
          <w:rFonts w:eastAsia="Calibri" w:cs="Times New Roman"/>
        </w:rPr>
        <w:t>In the first Outlook R</w:t>
      </w:r>
      <w:r w:rsidRPr="00DC42CB">
        <w:rPr>
          <w:rFonts w:eastAsia="Calibri" w:cs="Times New Roman"/>
        </w:rPr>
        <w:t>eport in 2009</w:t>
      </w:r>
      <w:r>
        <w:rPr>
          <w:rFonts w:eastAsia="Calibri" w:cs="Times New Roman"/>
        </w:rPr>
        <w:t xml:space="preserve">, </w:t>
      </w:r>
      <w:r w:rsidRPr="00DC42CB">
        <w:rPr>
          <w:rFonts w:eastAsia="Calibri" w:cs="Times New Roman"/>
        </w:rPr>
        <w:t>the development of environmental management plans was judged to be slow, with only one plan completed and another two in draft. While little progress has been made since then, other management arrangements are in place to assist with the effective management of these zones. For example, permit conditions require consultation and negotiation between researchers and research station staff regarding the location and timing of permitted research activities. The Marine Park Authority places reliance on research station</w:t>
      </w:r>
      <w:r>
        <w:rPr>
          <w:rFonts w:eastAsia="Calibri" w:cs="Times New Roman"/>
        </w:rPr>
        <w:t xml:space="preserve"> d</w:t>
      </w:r>
      <w:r w:rsidRPr="00DC42CB">
        <w:rPr>
          <w:rFonts w:eastAsia="Calibri" w:cs="Times New Roman"/>
        </w:rPr>
        <w:t xml:space="preserve">irectors to assist with monitoring and managing the activities of researchers that use those facilities. </w:t>
      </w:r>
    </w:p>
    <w:p w14:paraId="5761D338" w14:textId="77777777" w:rsidR="00A56EE9" w:rsidRDefault="00A56EE9" w:rsidP="00E3690C">
      <w:pPr>
        <w:spacing w:line="276" w:lineRule="auto"/>
      </w:pPr>
      <w:r w:rsidRPr="00B228FA">
        <w:t xml:space="preserve">While research itself is considered to only have a minor impact on </w:t>
      </w:r>
      <w:r>
        <w:t>the Region’s</w:t>
      </w:r>
      <w:r w:rsidRPr="00B228FA">
        <w:t xml:space="preserve"> values, it is key to addressing the more significant threats arising from broader environmental</w:t>
      </w:r>
      <w:r>
        <w:t xml:space="preserve"> and anthropogenic </w:t>
      </w:r>
      <w:r w:rsidRPr="00B228FA">
        <w:t xml:space="preserve">stressors. Significant research funding has been provided for research </w:t>
      </w:r>
      <w:r>
        <w:t>on the R</w:t>
      </w:r>
      <w:r w:rsidRPr="00B228FA">
        <w:t xml:space="preserve">eef through successive government programs such as the National Environmental Research Program, National Environmental Science Program, as well as funding </w:t>
      </w:r>
      <w:r>
        <w:t>to</w:t>
      </w:r>
      <w:r w:rsidRPr="00B228FA">
        <w:t xml:space="preserve"> AIMS, CSIRO and universities. Promoting and applying research to </w:t>
      </w:r>
      <w:r>
        <w:t xml:space="preserve">understand and </w:t>
      </w:r>
      <w:r w:rsidRPr="00B228FA">
        <w:t xml:space="preserve">address these larger environmental stressors is a key role for management agencies. </w:t>
      </w:r>
    </w:p>
    <w:p w14:paraId="5761D339" w14:textId="77777777" w:rsidR="00A56EE9" w:rsidRPr="00DC42CB" w:rsidRDefault="00A56EE9" w:rsidP="00E3690C">
      <w:pPr>
        <w:spacing w:line="276" w:lineRule="auto"/>
        <w:rPr>
          <w:rFonts w:eastAsia="Calibri" w:cs="Times New Roman"/>
        </w:rPr>
      </w:pPr>
      <w:r w:rsidRPr="00DC42CB">
        <w:rPr>
          <w:rFonts w:eastAsia="Calibri" w:cs="Times New Roman"/>
        </w:rPr>
        <w:t>The science of responding to impacts from stressors such as climate change is only in its infancy. Similarly, a major research effort is needed around reef restoration and methods of enhancing the resilience of ecosystems within the Great Barrier Reef to ensure that such efforts are based upon solid evidence of effectiveness. The Reef Restoration and Adaptation Program, involving a partnership between the Marine Park Authority, AIMS, CSIRO and a number of universities, provides the basis for such research.</w:t>
      </w:r>
    </w:p>
    <w:p w14:paraId="5761D33A" w14:textId="77777777" w:rsidR="00A56EE9" w:rsidRPr="00DC42CB" w:rsidRDefault="00A56EE9" w:rsidP="00E3690C">
      <w:pPr>
        <w:spacing w:line="276" w:lineRule="auto"/>
        <w:rPr>
          <w:rFonts w:eastAsia="Calibri" w:cs="Times New Roman"/>
        </w:rPr>
      </w:pPr>
      <w:r w:rsidRPr="00DC42CB">
        <w:rPr>
          <w:rFonts w:eastAsia="Calibri" w:cs="Times New Roman"/>
        </w:rPr>
        <w:t>Historically, research has been focused on biophysical systems but there has been more recent interest in socio-economic drivers. While more biophysical information is available to support the management of the Great Barrier Reef, there is limited traditional knowledge</w:t>
      </w:r>
      <w:r>
        <w:rPr>
          <w:rFonts w:eastAsia="Calibri" w:cs="Times New Roman"/>
        </w:rPr>
        <w:t>.</w:t>
      </w:r>
      <w:r w:rsidRPr="00DC42CB">
        <w:rPr>
          <w:rFonts w:eastAsia="Calibri" w:cs="Times New Roman"/>
        </w:rPr>
        <w:t xml:space="preserve"> </w:t>
      </w:r>
      <w:r>
        <w:rPr>
          <w:rFonts w:eastAsia="Calibri" w:cs="Times New Roman"/>
        </w:rPr>
        <w:t>M</w:t>
      </w:r>
      <w:r w:rsidRPr="00DC42CB">
        <w:rPr>
          <w:rFonts w:eastAsia="Calibri" w:cs="Times New Roman"/>
        </w:rPr>
        <w:t xml:space="preserve">ore extensive socio-economic information is only now </w:t>
      </w:r>
      <w:r>
        <w:rPr>
          <w:rFonts w:eastAsia="Calibri" w:cs="Times New Roman"/>
        </w:rPr>
        <w:t>becoming available through the RIMRe</w:t>
      </w:r>
      <w:r w:rsidRPr="00DC42CB">
        <w:rPr>
          <w:rFonts w:eastAsia="Calibri" w:cs="Times New Roman"/>
        </w:rPr>
        <w:t>P</w:t>
      </w:r>
      <w:r>
        <w:rPr>
          <w:rFonts w:eastAsia="Calibri" w:cs="Times New Roman"/>
        </w:rPr>
        <w:t>-</w:t>
      </w:r>
      <w:r w:rsidRPr="00DC42CB">
        <w:rPr>
          <w:rFonts w:eastAsia="Calibri" w:cs="Times New Roman"/>
        </w:rPr>
        <w:t xml:space="preserve">funded social and economic long-term monitoring program. </w:t>
      </w:r>
    </w:p>
    <w:p w14:paraId="5761D33B" w14:textId="5329C714" w:rsidR="007F1AA6" w:rsidRDefault="00A56EE9" w:rsidP="00E3690C">
      <w:pPr>
        <w:spacing w:line="276" w:lineRule="auto"/>
        <w:rPr>
          <w:rFonts w:eastAsia="Calibri" w:cs="Times New Roman"/>
        </w:rPr>
      </w:pPr>
      <w:r w:rsidRPr="00DC42CB">
        <w:rPr>
          <w:rFonts w:eastAsia="Calibri" w:cs="Times New Roman"/>
        </w:rPr>
        <w:t>Research permit applications with the potential to impact Indigenous values are referred to the relevant Indigenous liaison staff for guidance. While Traditional Owner participation in research within their sea country, and dissemination of research results to them, is limited across the Great Barrier Reef, there are promising examples of what can be done to address this situation. For example, the protocol between the Wuthathi Aboriginal Corporation and the QPWS to manage permits for research in the Shelburne Bay area in Cape York</w:t>
      </w:r>
      <w:r>
        <w:rPr>
          <w:rFonts w:eastAsia="Calibri" w:cs="Times New Roman"/>
        </w:rPr>
        <w:t>,</w:t>
      </w:r>
      <w:r w:rsidRPr="00DC42CB">
        <w:rPr>
          <w:rFonts w:eastAsia="Calibri" w:cs="Times New Roman"/>
        </w:rPr>
        <w:t xml:space="preserve"> and the guidelines developed for Woppaburra Traditional Owner Heritage Assessments in the Keppel Islands region. The objectives of the</w:t>
      </w:r>
      <w:r>
        <w:rPr>
          <w:rFonts w:eastAsia="Calibri" w:cs="Times New Roman"/>
        </w:rPr>
        <w:t>se</w:t>
      </w:r>
      <w:r w:rsidRPr="00DC42CB">
        <w:rPr>
          <w:rFonts w:eastAsia="Calibri" w:cs="Times New Roman"/>
        </w:rPr>
        <w:t xml:space="preserve"> agreements are to provide management agency staff and applicants with guidance</w:t>
      </w:r>
      <w:r>
        <w:rPr>
          <w:rFonts w:eastAsia="Calibri" w:cs="Times New Roman"/>
        </w:rPr>
        <w:t xml:space="preserve"> on</w:t>
      </w:r>
      <w:r w:rsidRPr="00DC42CB">
        <w:rPr>
          <w:rFonts w:eastAsia="Calibri" w:cs="Times New Roman"/>
        </w:rPr>
        <w:t xml:space="preserve"> </w:t>
      </w:r>
      <w:r>
        <w:rPr>
          <w:rFonts w:eastAsia="Calibri" w:cs="Times New Roman"/>
        </w:rPr>
        <w:t xml:space="preserve">research </w:t>
      </w:r>
      <w:r w:rsidRPr="00DC42CB">
        <w:rPr>
          <w:rFonts w:eastAsia="Calibri" w:cs="Times New Roman"/>
        </w:rPr>
        <w:t>activities that may impact on Aboriginal heritage values within land and sea country. They also provide Traditional Owners with a framework for informing the assessment process. Similarly, Traditional Owners have been extensively involved in the development and implementation of plans for research, monitoring and restoration at Raine Island in the far northern part of the Region.</w:t>
      </w:r>
    </w:p>
    <w:p w14:paraId="04C71DAA" w14:textId="77777777" w:rsidR="007F1AA6" w:rsidRDefault="007F1AA6">
      <w:pPr>
        <w:rPr>
          <w:rFonts w:eastAsia="Calibri" w:cs="Times New Roman"/>
        </w:rPr>
      </w:pPr>
      <w:r>
        <w:rPr>
          <w:rFonts w:eastAsia="Calibri" w:cs="Times New Roman"/>
        </w:rPr>
        <w:br w:type="page"/>
      </w:r>
    </w:p>
    <w:p w14:paraId="5761D33C" w14:textId="05294C7F" w:rsidR="00A56EE9" w:rsidRPr="005F616A" w:rsidRDefault="00A56EE9" w:rsidP="00BB6AD5">
      <w:pPr>
        <w:pStyle w:val="Caption"/>
        <w:jc w:val="center"/>
      </w:pPr>
      <w:bookmarkStart w:id="76" w:name="_Ref259285192"/>
      <w:bookmarkStart w:id="77" w:name="_Toc373830116"/>
      <w:bookmarkStart w:id="78" w:name="_Toc525654455"/>
      <w:bookmarkStart w:id="79" w:name="_Toc389205084"/>
      <w:r w:rsidRPr="005F616A">
        <w:t xml:space="preserve">Table </w:t>
      </w:r>
      <w:r>
        <w:fldChar w:fldCharType="begin"/>
      </w:r>
      <w:r>
        <w:instrText xml:space="preserve"> SEQ Table \* ARABIC </w:instrText>
      </w:r>
      <w:r>
        <w:fldChar w:fldCharType="separate"/>
      </w:r>
      <w:r w:rsidR="00A4170C">
        <w:rPr>
          <w:noProof/>
        </w:rPr>
        <w:t>10</w:t>
      </w:r>
      <w:r>
        <w:rPr>
          <w:noProof/>
        </w:rPr>
        <w:fldChar w:fldCharType="end"/>
      </w:r>
      <w:bookmarkEnd w:id="76"/>
      <w:r w:rsidRPr="005F616A">
        <w:t xml:space="preserve"> Assessment results for </w:t>
      </w:r>
      <w:r>
        <w:t>R</w:t>
      </w:r>
      <w:r w:rsidRPr="005F616A">
        <w:t>esearch</w:t>
      </w:r>
      <w:bookmarkEnd w:id="77"/>
      <w:bookmarkEnd w:id="78"/>
      <w:r w:rsidRPr="005F616A">
        <w:t xml:space="preserve"> </w:t>
      </w:r>
      <w:bookmarkEnd w:id="79"/>
    </w:p>
    <w:tbl>
      <w:tblPr>
        <w:tblStyle w:val="TableGrid"/>
        <w:tblW w:w="5000" w:type="pct"/>
        <w:jc w:val="center"/>
        <w:tblLayout w:type="fixed"/>
        <w:tblLook w:val="04A0" w:firstRow="1" w:lastRow="0" w:firstColumn="1" w:lastColumn="0" w:noHBand="0" w:noVBand="1"/>
        <w:tblCaption w:val="Table 5 Assessment results for Research"/>
        <w:tblDescription w:val="Grades and trends for the management effectiveness for Research:&#10;Context: Effective and stable&#10;Planning: Effective, improved&#10;Inputs: Effective; improved&#10;Processes: Effective; improved&#10;Outputs: Effective and stable&#10;Outcomes: Effective and stable"/>
      </w:tblPr>
      <w:tblGrid>
        <w:gridCol w:w="3320"/>
        <w:gridCol w:w="1831"/>
        <w:gridCol w:w="1828"/>
        <w:gridCol w:w="2037"/>
      </w:tblGrid>
      <w:tr w:rsidR="00A56EE9" w:rsidRPr="003D54F2" w14:paraId="5761D341" w14:textId="77777777" w:rsidTr="00BB6AD5">
        <w:trPr>
          <w:trHeight w:val="441"/>
          <w:tblHeader/>
          <w:jc w:val="center"/>
        </w:trPr>
        <w:tc>
          <w:tcPr>
            <w:tcW w:w="1286" w:type="dxa"/>
            <w:vAlign w:val="center"/>
          </w:tcPr>
          <w:p w14:paraId="5761D33D" w14:textId="77777777" w:rsidR="00A56EE9" w:rsidRPr="005F616A" w:rsidRDefault="00A56EE9" w:rsidP="00BB6AD5">
            <w:pPr>
              <w:spacing w:line="240" w:lineRule="exact"/>
              <w:jc w:val="both"/>
              <w:rPr>
                <w:b/>
              </w:rPr>
            </w:pPr>
            <w:r w:rsidRPr="005F616A">
              <w:rPr>
                <w:b/>
              </w:rPr>
              <w:t xml:space="preserve">Research </w:t>
            </w:r>
          </w:p>
        </w:tc>
        <w:tc>
          <w:tcPr>
            <w:tcW w:w="709" w:type="dxa"/>
            <w:vAlign w:val="center"/>
          </w:tcPr>
          <w:p w14:paraId="5761D33E" w14:textId="77777777" w:rsidR="00A56EE9" w:rsidRPr="005F616A" w:rsidRDefault="00A56EE9" w:rsidP="00BB6AD5">
            <w:pPr>
              <w:spacing w:line="240" w:lineRule="exact"/>
              <w:jc w:val="both"/>
              <w:rPr>
                <w:b/>
              </w:rPr>
            </w:pPr>
            <w:r w:rsidRPr="005F616A">
              <w:rPr>
                <w:b/>
              </w:rPr>
              <w:t>2009</w:t>
            </w:r>
          </w:p>
        </w:tc>
        <w:tc>
          <w:tcPr>
            <w:tcW w:w="708" w:type="dxa"/>
            <w:vAlign w:val="center"/>
          </w:tcPr>
          <w:p w14:paraId="5761D33F" w14:textId="77777777" w:rsidR="00A56EE9" w:rsidRPr="005F616A" w:rsidRDefault="00A56EE9" w:rsidP="00BB6AD5">
            <w:pPr>
              <w:spacing w:line="240" w:lineRule="exact"/>
              <w:jc w:val="both"/>
              <w:rPr>
                <w:b/>
              </w:rPr>
            </w:pPr>
            <w:r w:rsidRPr="005F616A">
              <w:rPr>
                <w:b/>
              </w:rPr>
              <w:t>2014</w:t>
            </w:r>
          </w:p>
        </w:tc>
        <w:tc>
          <w:tcPr>
            <w:tcW w:w="789" w:type="dxa"/>
            <w:tcBorders>
              <w:bottom w:val="single" w:sz="4" w:space="0" w:color="auto"/>
            </w:tcBorders>
            <w:vAlign w:val="center"/>
          </w:tcPr>
          <w:p w14:paraId="5761D340" w14:textId="77777777" w:rsidR="00A56EE9" w:rsidRPr="004A4864" w:rsidRDefault="00A56EE9" w:rsidP="00BB6AD5">
            <w:pPr>
              <w:spacing w:line="240" w:lineRule="exact"/>
              <w:jc w:val="both"/>
              <w:rPr>
                <w:b/>
              </w:rPr>
            </w:pPr>
            <w:r w:rsidRPr="005F616A">
              <w:rPr>
                <w:b/>
              </w:rPr>
              <w:t>2019</w:t>
            </w:r>
          </w:p>
        </w:tc>
      </w:tr>
      <w:tr w:rsidR="00A56EE9" w:rsidRPr="003D54F2" w14:paraId="5761D346" w14:textId="77777777" w:rsidTr="00BB6AD5">
        <w:trPr>
          <w:jc w:val="center"/>
        </w:trPr>
        <w:tc>
          <w:tcPr>
            <w:tcW w:w="1286" w:type="dxa"/>
            <w:vAlign w:val="center"/>
          </w:tcPr>
          <w:p w14:paraId="5761D342" w14:textId="77777777" w:rsidR="00A56EE9" w:rsidRPr="003D54F2" w:rsidRDefault="00A56EE9" w:rsidP="00BB6AD5">
            <w:pPr>
              <w:spacing w:line="240" w:lineRule="exact"/>
              <w:rPr>
                <w:b/>
              </w:rPr>
            </w:pPr>
            <w:r w:rsidRPr="003D54F2">
              <w:rPr>
                <w:b/>
              </w:rPr>
              <w:t>Context</w:t>
            </w:r>
          </w:p>
        </w:tc>
        <w:tc>
          <w:tcPr>
            <w:tcW w:w="709" w:type="dxa"/>
            <w:shd w:val="clear" w:color="auto" w:fill="538135" w:themeFill="accent6" w:themeFillShade="BF"/>
            <w:vAlign w:val="center"/>
          </w:tcPr>
          <w:p w14:paraId="5761D343" w14:textId="77777777" w:rsidR="00A56EE9" w:rsidRPr="00E15040" w:rsidRDefault="00A56EE9" w:rsidP="00BB6AD5">
            <w:pPr>
              <w:spacing w:line="240" w:lineRule="exact"/>
              <w:rPr>
                <w:rFonts w:ascii="Cambria Math" w:hAnsi="Cambria Math"/>
                <w:b/>
                <w:sz w:val="24"/>
                <w:szCs w:val="24"/>
              </w:rPr>
            </w:pPr>
          </w:p>
        </w:tc>
        <w:tc>
          <w:tcPr>
            <w:tcW w:w="708" w:type="dxa"/>
            <w:tcBorders>
              <w:bottom w:val="single" w:sz="4" w:space="0" w:color="auto"/>
            </w:tcBorders>
            <w:shd w:val="clear" w:color="auto" w:fill="538135" w:themeFill="accent6" w:themeFillShade="BF"/>
            <w:vAlign w:val="center"/>
          </w:tcPr>
          <w:p w14:paraId="5761D344"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b/>
              </w:rPr>
              <w:t>↗</w:t>
            </w:r>
          </w:p>
        </w:tc>
        <w:tc>
          <w:tcPr>
            <w:tcW w:w="789" w:type="dxa"/>
            <w:shd w:val="clear" w:color="auto" w:fill="538135" w:themeFill="accent6" w:themeFillShade="BF"/>
            <w:vAlign w:val="center"/>
          </w:tcPr>
          <w:p w14:paraId="5761D345"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34B" w14:textId="77777777" w:rsidTr="00BB6AD5">
        <w:trPr>
          <w:jc w:val="center"/>
        </w:trPr>
        <w:tc>
          <w:tcPr>
            <w:tcW w:w="1286" w:type="dxa"/>
            <w:vAlign w:val="center"/>
          </w:tcPr>
          <w:p w14:paraId="5761D347" w14:textId="77777777" w:rsidR="00A56EE9" w:rsidRPr="003D54F2" w:rsidRDefault="00A56EE9" w:rsidP="00BB6AD5">
            <w:pPr>
              <w:spacing w:line="240" w:lineRule="exact"/>
              <w:rPr>
                <w:b/>
              </w:rPr>
            </w:pPr>
            <w:r w:rsidRPr="003D54F2">
              <w:rPr>
                <w:b/>
              </w:rPr>
              <w:t>Planning</w:t>
            </w:r>
          </w:p>
        </w:tc>
        <w:tc>
          <w:tcPr>
            <w:tcW w:w="709" w:type="dxa"/>
            <w:shd w:val="clear" w:color="auto" w:fill="538135" w:themeFill="accent6" w:themeFillShade="BF"/>
            <w:vAlign w:val="center"/>
          </w:tcPr>
          <w:p w14:paraId="5761D348" w14:textId="77777777" w:rsidR="00A56EE9" w:rsidRPr="00E15040" w:rsidRDefault="00A56EE9" w:rsidP="00BB6AD5">
            <w:pPr>
              <w:spacing w:line="240" w:lineRule="exact"/>
              <w:jc w:val="center"/>
              <w:rPr>
                <w:rFonts w:ascii="Cambria Math" w:hAnsi="Cambria Math"/>
                <w:b/>
                <w:sz w:val="24"/>
                <w:szCs w:val="24"/>
              </w:rPr>
            </w:pPr>
          </w:p>
        </w:tc>
        <w:tc>
          <w:tcPr>
            <w:tcW w:w="708" w:type="dxa"/>
            <w:tcBorders>
              <w:bottom w:val="single" w:sz="4" w:space="0" w:color="auto"/>
            </w:tcBorders>
            <w:shd w:val="clear" w:color="auto" w:fill="A8D08D" w:themeFill="accent6" w:themeFillTint="99"/>
            <w:vAlign w:val="center"/>
          </w:tcPr>
          <w:p w14:paraId="5761D349"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c>
          <w:tcPr>
            <w:tcW w:w="789" w:type="dxa"/>
            <w:shd w:val="clear" w:color="auto" w:fill="538135" w:themeFill="accent6" w:themeFillShade="BF"/>
            <w:vAlign w:val="center"/>
          </w:tcPr>
          <w:p w14:paraId="5761D34A"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350" w14:textId="77777777" w:rsidTr="00BB6AD5">
        <w:trPr>
          <w:jc w:val="center"/>
        </w:trPr>
        <w:tc>
          <w:tcPr>
            <w:tcW w:w="1286" w:type="dxa"/>
            <w:vAlign w:val="center"/>
          </w:tcPr>
          <w:p w14:paraId="5761D34C" w14:textId="77777777" w:rsidR="00A56EE9" w:rsidRPr="003D54F2" w:rsidRDefault="00A56EE9" w:rsidP="00BB6AD5">
            <w:pPr>
              <w:spacing w:line="240" w:lineRule="exact"/>
              <w:rPr>
                <w:b/>
              </w:rPr>
            </w:pPr>
            <w:r w:rsidRPr="003D54F2">
              <w:rPr>
                <w:b/>
              </w:rPr>
              <w:t>Inputs</w:t>
            </w:r>
          </w:p>
        </w:tc>
        <w:tc>
          <w:tcPr>
            <w:tcW w:w="709" w:type="dxa"/>
            <w:shd w:val="clear" w:color="auto" w:fill="538135" w:themeFill="accent6" w:themeFillShade="BF"/>
            <w:vAlign w:val="center"/>
          </w:tcPr>
          <w:p w14:paraId="5761D34D" w14:textId="77777777" w:rsidR="00A56EE9" w:rsidRPr="00E15040" w:rsidRDefault="00A56EE9" w:rsidP="00BB6AD5">
            <w:pPr>
              <w:spacing w:line="240" w:lineRule="exact"/>
              <w:jc w:val="center"/>
              <w:rPr>
                <w:rFonts w:ascii="Cambria Math" w:hAnsi="Cambria Math"/>
                <w:b/>
                <w:sz w:val="24"/>
                <w:szCs w:val="24"/>
              </w:rPr>
            </w:pPr>
          </w:p>
        </w:tc>
        <w:tc>
          <w:tcPr>
            <w:tcW w:w="708" w:type="dxa"/>
            <w:tcBorders>
              <w:bottom w:val="single" w:sz="4" w:space="0" w:color="auto"/>
            </w:tcBorders>
            <w:shd w:val="clear" w:color="auto" w:fill="A8D08D" w:themeFill="accent6" w:themeFillTint="99"/>
            <w:vAlign w:val="center"/>
          </w:tcPr>
          <w:p w14:paraId="5761D34E"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c>
          <w:tcPr>
            <w:tcW w:w="789" w:type="dxa"/>
            <w:shd w:val="clear" w:color="auto" w:fill="538135" w:themeFill="accent6" w:themeFillShade="BF"/>
            <w:vAlign w:val="center"/>
          </w:tcPr>
          <w:p w14:paraId="5761D34F"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355" w14:textId="77777777" w:rsidTr="00BB6AD5">
        <w:trPr>
          <w:jc w:val="center"/>
        </w:trPr>
        <w:tc>
          <w:tcPr>
            <w:tcW w:w="1286" w:type="dxa"/>
            <w:vAlign w:val="center"/>
          </w:tcPr>
          <w:p w14:paraId="5761D351" w14:textId="77777777" w:rsidR="00A56EE9" w:rsidRPr="003D54F2" w:rsidRDefault="00A56EE9" w:rsidP="00BB6AD5">
            <w:pPr>
              <w:spacing w:line="240" w:lineRule="exact"/>
              <w:rPr>
                <w:b/>
              </w:rPr>
            </w:pPr>
            <w:r w:rsidRPr="003D54F2">
              <w:rPr>
                <w:b/>
              </w:rPr>
              <w:t>Processes</w:t>
            </w:r>
          </w:p>
        </w:tc>
        <w:tc>
          <w:tcPr>
            <w:tcW w:w="709" w:type="dxa"/>
            <w:shd w:val="clear" w:color="auto" w:fill="538135" w:themeFill="accent6" w:themeFillShade="BF"/>
            <w:vAlign w:val="center"/>
          </w:tcPr>
          <w:p w14:paraId="5761D352"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353"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c>
          <w:tcPr>
            <w:tcW w:w="789" w:type="dxa"/>
            <w:shd w:val="clear" w:color="auto" w:fill="538135" w:themeFill="accent6" w:themeFillShade="BF"/>
            <w:vAlign w:val="center"/>
          </w:tcPr>
          <w:p w14:paraId="5761D354"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35A" w14:textId="77777777" w:rsidTr="00BB6AD5">
        <w:trPr>
          <w:jc w:val="center"/>
        </w:trPr>
        <w:tc>
          <w:tcPr>
            <w:tcW w:w="1286" w:type="dxa"/>
            <w:vAlign w:val="center"/>
          </w:tcPr>
          <w:p w14:paraId="5761D356" w14:textId="77777777" w:rsidR="00A56EE9" w:rsidRPr="003D54F2" w:rsidRDefault="00A56EE9" w:rsidP="00BB6AD5">
            <w:pPr>
              <w:spacing w:line="240" w:lineRule="exact"/>
              <w:rPr>
                <w:b/>
              </w:rPr>
            </w:pPr>
            <w:r w:rsidRPr="003D54F2">
              <w:rPr>
                <w:b/>
              </w:rPr>
              <w:t>Outputs</w:t>
            </w:r>
          </w:p>
        </w:tc>
        <w:tc>
          <w:tcPr>
            <w:tcW w:w="709" w:type="dxa"/>
            <w:shd w:val="clear" w:color="auto" w:fill="538135" w:themeFill="accent6" w:themeFillShade="BF"/>
            <w:vAlign w:val="center"/>
          </w:tcPr>
          <w:p w14:paraId="5761D357"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538135" w:themeFill="accent6" w:themeFillShade="BF"/>
            <w:vAlign w:val="center"/>
          </w:tcPr>
          <w:p w14:paraId="5761D358"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shd w:val="clear" w:color="auto" w:fill="538135" w:themeFill="accent6" w:themeFillShade="BF"/>
            <w:vAlign w:val="center"/>
          </w:tcPr>
          <w:p w14:paraId="5761D359"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35F" w14:textId="77777777" w:rsidTr="00BB6AD5">
        <w:trPr>
          <w:jc w:val="center"/>
        </w:trPr>
        <w:tc>
          <w:tcPr>
            <w:tcW w:w="1286" w:type="dxa"/>
            <w:vAlign w:val="center"/>
          </w:tcPr>
          <w:p w14:paraId="5761D35B" w14:textId="77777777" w:rsidR="00A56EE9" w:rsidRPr="003D54F2" w:rsidRDefault="00A56EE9" w:rsidP="00BB6AD5">
            <w:pPr>
              <w:spacing w:line="240" w:lineRule="exact"/>
              <w:rPr>
                <w:b/>
              </w:rPr>
            </w:pPr>
            <w:r w:rsidRPr="003D54F2">
              <w:rPr>
                <w:b/>
              </w:rPr>
              <w:t>Outcomes</w:t>
            </w:r>
          </w:p>
        </w:tc>
        <w:tc>
          <w:tcPr>
            <w:tcW w:w="709" w:type="dxa"/>
            <w:shd w:val="clear" w:color="auto" w:fill="538135" w:themeFill="accent6" w:themeFillShade="BF"/>
            <w:vAlign w:val="center"/>
          </w:tcPr>
          <w:p w14:paraId="5761D35C" w14:textId="77777777" w:rsidR="00A56EE9" w:rsidRPr="00E15040" w:rsidRDefault="00A56EE9" w:rsidP="00BB6AD5">
            <w:pPr>
              <w:spacing w:line="240" w:lineRule="exact"/>
              <w:jc w:val="center"/>
              <w:rPr>
                <w:rFonts w:ascii="Cambria Math" w:hAnsi="Cambria Math"/>
                <w:b/>
                <w:sz w:val="24"/>
                <w:szCs w:val="24"/>
              </w:rPr>
            </w:pPr>
          </w:p>
        </w:tc>
        <w:tc>
          <w:tcPr>
            <w:tcW w:w="708" w:type="dxa"/>
            <w:shd w:val="clear" w:color="auto" w:fill="538135" w:themeFill="accent6" w:themeFillShade="BF"/>
            <w:vAlign w:val="center"/>
          </w:tcPr>
          <w:p w14:paraId="5761D35D"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789" w:type="dxa"/>
            <w:shd w:val="clear" w:color="auto" w:fill="538135" w:themeFill="accent6" w:themeFillShade="BF"/>
            <w:vAlign w:val="center"/>
          </w:tcPr>
          <w:p w14:paraId="5761D35E"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bl>
    <w:p w14:paraId="5761D360" w14:textId="77777777" w:rsidR="00A56EE9" w:rsidRDefault="00A56EE9" w:rsidP="00BB6AD5">
      <w:pPr>
        <w:spacing w:line="240" w:lineRule="auto"/>
        <w:ind w:firstLine="2694"/>
        <w:contextualSpacing/>
        <w:rPr>
          <w:sz w:val="16"/>
          <w:szCs w:val="16"/>
        </w:rPr>
      </w:pPr>
      <w:r>
        <w:rPr>
          <w:sz w:val="16"/>
          <w:szCs w:val="16"/>
        </w:rPr>
        <w:t xml:space="preserve">Management effective assessment is colour coded: </w:t>
      </w:r>
    </w:p>
    <w:tbl>
      <w:tblPr>
        <w:tblStyle w:val="TableGrid"/>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261"/>
      </w:tblGrid>
      <w:tr w:rsidR="00A56EE9" w14:paraId="5761D369" w14:textId="77777777" w:rsidTr="00BB6AD5">
        <w:trPr>
          <w:tblHeader/>
        </w:trPr>
        <w:tc>
          <w:tcPr>
            <w:tcW w:w="1084" w:type="dxa"/>
          </w:tcPr>
          <w:p w14:paraId="5761D361" w14:textId="77777777" w:rsidR="00A56EE9" w:rsidRDefault="00A56EE9" w:rsidP="00BB6AD5">
            <w:pPr>
              <w:ind w:right="-158" w:firstLine="38"/>
              <w:contextualSpacing/>
              <w:rPr>
                <w:sz w:val="16"/>
                <w:szCs w:val="16"/>
              </w:rPr>
            </w:pPr>
            <w:r>
              <w:rPr>
                <w:sz w:val="16"/>
                <w:szCs w:val="16"/>
              </w:rPr>
              <w:t>Effective (E)</w:t>
            </w:r>
          </w:p>
        </w:tc>
        <w:tc>
          <w:tcPr>
            <w:tcW w:w="0" w:type="auto"/>
          </w:tcPr>
          <w:p w14:paraId="5761D362"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01248" behindDoc="1" locked="0" layoutInCell="1" allowOverlap="1" wp14:anchorId="57620C7E" wp14:editId="57620C7F">
                      <wp:simplePos x="0" y="0"/>
                      <wp:positionH relativeFrom="column">
                        <wp:posOffset>-50800</wp:posOffset>
                      </wp:positionH>
                      <wp:positionV relativeFrom="paragraph">
                        <wp:posOffset>26670</wp:posOffset>
                      </wp:positionV>
                      <wp:extent cx="95250" cy="104775"/>
                      <wp:effectExtent l="0" t="0" r="19050" b="28575"/>
                      <wp:wrapSquare wrapText="bothSides"/>
                      <wp:docPr id="41" name="Rectangle 41"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6"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7E" id="Rectangle 41" o:spid="_x0000_s1055" alt="Title: Rectangle - Description: Rectangle coloured dark green" style="position:absolute;margin-left:-4pt;margin-top:2.1pt;width:7.5pt;height:8.2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" fillcolor="#060" strokecolor="black [3213]" strokeweight="1pt">
                      <v:textbox>
                        <w:txbxContent>
                          <w:p w14:paraId="57620D16"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363" w14:textId="77777777" w:rsidR="00A56EE9" w:rsidRDefault="00A56EE9" w:rsidP="00BB6AD5">
            <w:pPr>
              <w:contextualSpacing/>
              <w:rPr>
                <w:sz w:val="16"/>
                <w:szCs w:val="16"/>
              </w:rPr>
            </w:pPr>
            <w:r>
              <w:rPr>
                <w:sz w:val="16"/>
                <w:szCs w:val="16"/>
              </w:rPr>
              <w:t>Mostly effective (ME)</w:t>
            </w:r>
          </w:p>
        </w:tc>
        <w:tc>
          <w:tcPr>
            <w:tcW w:w="0" w:type="auto"/>
          </w:tcPr>
          <w:p w14:paraId="5761D364"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98176" behindDoc="0" locked="0" layoutInCell="1" allowOverlap="1" wp14:anchorId="57620C80" wp14:editId="57620C81">
                      <wp:simplePos x="0" y="0"/>
                      <wp:positionH relativeFrom="column">
                        <wp:posOffset>-41275</wp:posOffset>
                      </wp:positionH>
                      <wp:positionV relativeFrom="paragraph">
                        <wp:posOffset>22860</wp:posOffset>
                      </wp:positionV>
                      <wp:extent cx="95250" cy="104775"/>
                      <wp:effectExtent l="0" t="0" r="19050" b="28575"/>
                      <wp:wrapNone/>
                      <wp:docPr id="42" name="Rectangle 42"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7"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80" id="Rectangle 42" o:spid="_x0000_s1056" alt="Title: Rectangle - Description: Rectangle coloured light green" style="position:absolute;margin-left:-3.25pt;margin-top:1.8pt;width:7.5pt;height:8.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" fillcolor="#92d050" strokecolor="black [3213]" strokeweight="1pt">
                      <v:textbox>
                        <w:txbxContent>
                          <w:p w14:paraId="57620D17" w14:textId="77777777" w:rsidR="008B5998" w:rsidRDefault="008B5998" w:rsidP="00BB6AD5">
                            <w:pPr>
                              <w:jc w:val="center"/>
                            </w:pPr>
                          </w:p>
                        </w:txbxContent>
                      </v:textbox>
                    </v:rect>
                  </w:pict>
                </mc:Fallback>
              </mc:AlternateContent>
            </w:r>
            <w:r>
              <w:rPr>
                <w:sz w:val="16"/>
                <w:szCs w:val="16"/>
              </w:rPr>
              <w:t>;</w:t>
            </w:r>
          </w:p>
        </w:tc>
        <w:tc>
          <w:tcPr>
            <w:tcW w:w="0" w:type="auto"/>
          </w:tcPr>
          <w:p w14:paraId="5761D365" w14:textId="77777777" w:rsidR="00A56EE9" w:rsidRDefault="00A56EE9" w:rsidP="00BB6AD5">
            <w:pPr>
              <w:contextualSpacing/>
              <w:rPr>
                <w:sz w:val="16"/>
                <w:szCs w:val="16"/>
              </w:rPr>
            </w:pPr>
            <w:r>
              <w:rPr>
                <w:sz w:val="16"/>
                <w:szCs w:val="16"/>
              </w:rPr>
              <w:t>Partially effective (PE)</w:t>
            </w:r>
          </w:p>
        </w:tc>
        <w:tc>
          <w:tcPr>
            <w:tcW w:w="0" w:type="auto"/>
          </w:tcPr>
          <w:p w14:paraId="5761D366"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99200" behindDoc="0" locked="0" layoutInCell="1" allowOverlap="1" wp14:anchorId="57620C82" wp14:editId="57620C83">
                      <wp:simplePos x="0" y="0"/>
                      <wp:positionH relativeFrom="column">
                        <wp:posOffset>-65405</wp:posOffset>
                      </wp:positionH>
                      <wp:positionV relativeFrom="paragraph">
                        <wp:posOffset>19685</wp:posOffset>
                      </wp:positionV>
                      <wp:extent cx="95250" cy="104775"/>
                      <wp:effectExtent l="0" t="0" r="19050" b="28575"/>
                      <wp:wrapNone/>
                      <wp:docPr id="43" name="Rectangle 43"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8"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82" id="Rectangle 43" o:spid="_x0000_s1057" alt="Title: Rectangle - Description: Rectangle coloured orange" style="position:absolute;margin-left:-5.15pt;margin-top:1.55pt;width:7.5pt;height:8.2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" fillcolor="#ffc000" strokecolor="black [3213]" strokeweight="1pt">
                      <v:textbox>
                        <w:txbxContent>
                          <w:p w14:paraId="57620D18" w14:textId="77777777" w:rsidR="008B5998" w:rsidRDefault="008B5998" w:rsidP="00BB6AD5">
                            <w:pPr>
                              <w:jc w:val="center"/>
                            </w:pPr>
                          </w:p>
                        </w:txbxContent>
                      </v:textbox>
                    </v:rect>
                  </w:pict>
                </mc:Fallback>
              </mc:AlternateContent>
            </w:r>
            <w:r>
              <w:rPr>
                <w:sz w:val="16"/>
                <w:szCs w:val="16"/>
              </w:rPr>
              <w:t>;</w:t>
            </w:r>
          </w:p>
        </w:tc>
        <w:tc>
          <w:tcPr>
            <w:tcW w:w="0" w:type="auto"/>
          </w:tcPr>
          <w:p w14:paraId="5761D367" w14:textId="77777777" w:rsidR="00A56EE9" w:rsidRDefault="00A56EE9" w:rsidP="00BB6AD5">
            <w:pPr>
              <w:contextualSpacing/>
              <w:rPr>
                <w:sz w:val="16"/>
                <w:szCs w:val="16"/>
              </w:rPr>
            </w:pPr>
            <w:r>
              <w:rPr>
                <w:sz w:val="16"/>
                <w:szCs w:val="16"/>
              </w:rPr>
              <w:t>Ineffective (I)</w:t>
            </w:r>
          </w:p>
        </w:tc>
        <w:tc>
          <w:tcPr>
            <w:tcW w:w="0" w:type="auto"/>
          </w:tcPr>
          <w:p w14:paraId="5761D368"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00224" behindDoc="0" locked="0" layoutInCell="1" allowOverlap="1" wp14:anchorId="57620C84" wp14:editId="57620C85">
                      <wp:simplePos x="0" y="0"/>
                      <wp:positionH relativeFrom="column">
                        <wp:posOffset>-50165</wp:posOffset>
                      </wp:positionH>
                      <wp:positionV relativeFrom="paragraph">
                        <wp:posOffset>24130</wp:posOffset>
                      </wp:positionV>
                      <wp:extent cx="95250" cy="104775"/>
                      <wp:effectExtent l="0" t="0" r="19050" b="28575"/>
                      <wp:wrapNone/>
                      <wp:docPr id="44" name="Rectangle 44"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9"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84" id="Rectangle 44" o:spid="_x0000_s1058" alt="Title: Rectangle - Description: Rectangle coloured red" style="position:absolute;margin-left:-3.95pt;margin-top:1.9pt;width:7.5pt;height:8.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" fillcolor="red" strokecolor="black [3213]" strokeweight="1pt">
                      <v:textbox>
                        <w:txbxContent>
                          <w:p w14:paraId="57620D19" w14:textId="77777777" w:rsidR="008B5998" w:rsidRDefault="008B5998" w:rsidP="00BB6AD5">
                            <w:pPr>
                              <w:jc w:val="center"/>
                            </w:pPr>
                          </w:p>
                        </w:txbxContent>
                      </v:textbox>
                    </v:rect>
                  </w:pict>
                </mc:Fallback>
              </mc:AlternateContent>
            </w:r>
            <w:r>
              <w:rPr>
                <w:sz w:val="16"/>
                <w:szCs w:val="16"/>
              </w:rPr>
              <w:t>;</w:t>
            </w:r>
          </w:p>
        </w:tc>
      </w:tr>
    </w:tbl>
    <w:p w14:paraId="5761D36A" w14:textId="77777777" w:rsidR="00A56EE9" w:rsidRPr="004F2ABF" w:rsidRDefault="00A56EE9" w:rsidP="00BB6AD5">
      <w:pPr>
        <w:spacing w:after="0" w:line="240" w:lineRule="auto"/>
        <w:ind w:left="1704"/>
        <w:contextualSpacing/>
      </w:pPr>
      <w:r w:rsidRPr="004F2ABF">
        <w:rPr>
          <w:rFonts w:ascii="Cambria Math" w:hAnsi="Cambria Math" w:cs="Cambria Math"/>
        </w:rPr>
        <w:t>⬆</w:t>
      </w:r>
      <w: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w:t>
      </w:r>
      <w:r w:rsidRPr="006C34EB">
        <w:rPr>
          <w:sz w:val="16"/>
          <w:szCs w:val="16"/>
        </w:rPr>
        <w:t xml:space="preserve"> has been an upwards change in grade</w:t>
      </w:r>
    </w:p>
    <w:p w14:paraId="5761D36B" w14:textId="77777777" w:rsidR="00A56EE9" w:rsidRPr="004F2ABF" w:rsidRDefault="00A56EE9" w:rsidP="00BB6AD5">
      <w:pPr>
        <w:spacing w:after="0" w:line="240" w:lineRule="auto"/>
        <w:ind w:left="1704"/>
        <w:contextualSpacing/>
        <w:rPr>
          <w:b/>
        </w:rPr>
      </w:pPr>
      <w:r w:rsidRPr="004F2ABF">
        <w:rPr>
          <w:rFonts w:ascii="Cambria Math" w:hAnsi="Cambria Math" w:cs="Cambria Math"/>
          <w:b/>
        </w:rPr>
        <w:t>↗</w:t>
      </w:r>
      <w:r w:rsidRPr="004F2ABF">
        <w:rPr>
          <w:b/>
        </w:rP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w:t>
      </w:r>
      <w:r w:rsidRPr="006C34EB">
        <w:rPr>
          <w:sz w:val="16"/>
          <w:szCs w:val="16"/>
        </w:rPr>
        <w:t xml:space="preserve"> is increasing but has not caused an upwards grade change</w:t>
      </w:r>
    </w:p>
    <w:p w14:paraId="5761D36C" w14:textId="77777777" w:rsidR="00A56EE9" w:rsidRPr="004F2ABF" w:rsidRDefault="00A56EE9" w:rsidP="00BB6AD5">
      <w:pPr>
        <w:spacing w:after="0" w:line="240" w:lineRule="auto"/>
        <w:ind w:left="1704"/>
        <w:contextualSpacing/>
      </w:pPr>
      <w:r>
        <w:rPr>
          <w:rFonts w:ascii="Cambria Math" w:hAnsi="Cambria Math" w:cs="Cambria Math"/>
          <w:b/>
        </w:rPr>
        <w:t>↔</w:t>
      </w:r>
      <w:r w:rsidRPr="004F2ABF">
        <w:t xml:space="preserve"> </w:t>
      </w:r>
      <w:r w:rsidRPr="006C34EB">
        <w:rPr>
          <w:sz w:val="16"/>
          <w:szCs w:val="16"/>
        </w:rPr>
        <w:t xml:space="preserve">Grade has remained stable compared to 2009, </w:t>
      </w:r>
      <w:r>
        <w:rPr>
          <w:sz w:val="16"/>
          <w:szCs w:val="16"/>
        </w:rPr>
        <w:t xml:space="preserve">2014 </w:t>
      </w:r>
      <w:r w:rsidRPr="006C34EB">
        <w:rPr>
          <w:sz w:val="16"/>
          <w:szCs w:val="16"/>
        </w:rPr>
        <w:t>with no major trends</w:t>
      </w:r>
      <w:r w:rsidRPr="004F2ABF">
        <w:t xml:space="preserve"> </w:t>
      </w:r>
    </w:p>
    <w:p w14:paraId="5761D36D" w14:textId="77777777" w:rsidR="00A56EE9" w:rsidRPr="004F2ABF" w:rsidRDefault="00A56EE9" w:rsidP="00BB6AD5">
      <w:pPr>
        <w:spacing w:after="0" w:line="240" w:lineRule="auto"/>
        <w:ind w:left="1704"/>
        <w:contextualSpacing/>
      </w:pPr>
      <w:r w:rsidRPr="004F2ABF">
        <w:rPr>
          <w:rFonts w:ascii="Cambria Math" w:hAnsi="Cambria Math" w:cs="Cambria Math"/>
        </w:rPr>
        <w:t>⬇</w:t>
      </w:r>
      <w:r>
        <w:t xml:space="preserve"> </w:t>
      </w:r>
      <w:r>
        <w:rPr>
          <w:sz w:val="16"/>
          <w:szCs w:val="16"/>
        </w:rPr>
        <w:t>Trend since 2009, 2014</w:t>
      </w:r>
      <w:r w:rsidRPr="006C34EB">
        <w:rPr>
          <w:sz w:val="16"/>
          <w:szCs w:val="16"/>
        </w:rPr>
        <w:t xml:space="preserve"> has bee</w:t>
      </w:r>
      <w:r>
        <w:rPr>
          <w:sz w:val="16"/>
          <w:szCs w:val="16"/>
        </w:rPr>
        <w:t>n a</w:t>
      </w:r>
      <w:r w:rsidRPr="006C34EB">
        <w:rPr>
          <w:sz w:val="16"/>
          <w:szCs w:val="16"/>
        </w:rPr>
        <w:t xml:space="preserve"> downwards change in grade</w:t>
      </w:r>
    </w:p>
    <w:p w14:paraId="5761D36F" w14:textId="77777777" w:rsidR="00A56EE9" w:rsidRDefault="00A56EE9" w:rsidP="00A11869">
      <w:pPr>
        <w:pStyle w:val="Heading2"/>
        <w:numPr>
          <w:ilvl w:val="1"/>
          <w:numId w:val="17"/>
        </w:numPr>
        <w:ind w:left="357" w:hanging="357"/>
      </w:pPr>
      <w:bookmarkStart w:id="80" w:name="_Toc523423785"/>
      <w:r>
        <w:t>Shipping</w:t>
      </w:r>
      <w:bookmarkEnd w:id="80"/>
    </w:p>
    <w:p w14:paraId="5761D370" w14:textId="77777777" w:rsidR="00A56EE9" w:rsidRPr="007566A9" w:rsidRDefault="00A56EE9" w:rsidP="00E3690C">
      <w:pPr>
        <w:pStyle w:val="BodyText"/>
        <w:spacing w:line="276" w:lineRule="auto"/>
      </w:pPr>
      <w:r>
        <w:t xml:space="preserve">In this report, </w:t>
      </w:r>
      <w:r w:rsidRPr="00ED046A">
        <w:t>Shipping</w:t>
      </w:r>
      <w:r>
        <w:t xml:space="preserve"> </w:t>
      </w:r>
      <w:r w:rsidRPr="001B6E25">
        <w:t xml:space="preserve">is considered to include all aspects of the movement and operations of ships within the Region, </w:t>
      </w:r>
      <w:r>
        <w:t>including</w:t>
      </w:r>
      <w:r w:rsidRPr="001B6E25">
        <w:t xml:space="preserve"> ships sailing to</w:t>
      </w:r>
      <w:r>
        <w:t xml:space="preserve"> and </w:t>
      </w:r>
      <w:r w:rsidRPr="001B6E25">
        <w:t xml:space="preserve">from or between ports in the Region, or transiting through </w:t>
      </w:r>
      <w:r>
        <w:t>the</w:t>
      </w:r>
      <w:r w:rsidRPr="001B6E25">
        <w:t xml:space="preserve"> Region</w:t>
      </w:r>
      <w:r>
        <w:t>’s</w:t>
      </w:r>
      <w:r w:rsidRPr="001B6E25">
        <w:t xml:space="preserve"> waters while </w:t>
      </w:r>
      <w:r w:rsidRPr="001B6E25">
        <w:rPr>
          <w:i/>
        </w:rPr>
        <w:t>en route</w:t>
      </w:r>
      <w:r w:rsidRPr="001B6E25">
        <w:t xml:space="preserve"> </w:t>
      </w:r>
      <w:r>
        <w:t>to</w:t>
      </w:r>
      <w:r w:rsidRPr="001B6E25">
        <w:t xml:space="preserve"> other locations</w:t>
      </w:r>
      <w:r>
        <w:rPr>
          <w:rStyle w:val="FootnoteReference"/>
        </w:rPr>
        <w:footnoteReference w:id="3"/>
      </w:r>
      <w:r w:rsidRPr="001B6E25">
        <w:t xml:space="preserve">. </w:t>
      </w:r>
      <w:r w:rsidRPr="007566A9">
        <w:t>Th</w:t>
      </w:r>
      <w:r>
        <w:t>e</w:t>
      </w:r>
      <w:r w:rsidRPr="007566A9">
        <w:t xml:space="preserve"> distinction between </w:t>
      </w:r>
      <w:r>
        <w:t>P</w:t>
      </w:r>
      <w:r w:rsidRPr="007566A9">
        <w:t xml:space="preserve">orts and </w:t>
      </w:r>
      <w:r>
        <w:t>S</w:t>
      </w:r>
      <w:r w:rsidRPr="007566A9">
        <w:t xml:space="preserve">hipping is the same as </w:t>
      </w:r>
      <w:r>
        <w:t>that</w:t>
      </w:r>
      <w:r w:rsidRPr="007566A9">
        <w:t xml:space="preserve"> used for the Outlook Report</w:t>
      </w:r>
      <w:r>
        <w:t xml:space="preserve"> 2014.</w:t>
      </w:r>
    </w:p>
    <w:p w14:paraId="5761D371" w14:textId="77777777" w:rsidR="00A56EE9" w:rsidRDefault="00A56EE9" w:rsidP="00E3690C">
      <w:pPr>
        <w:pStyle w:val="BodyText"/>
        <w:spacing w:line="276" w:lineRule="auto"/>
      </w:pPr>
      <w:r w:rsidRPr="007566A9">
        <w:t xml:space="preserve">A ship is considered to be a vessel greater than 50 metres in length. Commercial ships sailing within the </w:t>
      </w:r>
      <w:r>
        <w:t xml:space="preserve">Region </w:t>
      </w:r>
      <w:r w:rsidRPr="007566A9">
        <w:t xml:space="preserve">include bulk carriers, container carriers, vehicle carriers, general cargo ships, tankers, and cruise ships. Fishing vessels, tourist charters and recreational vessels are not considered as </w:t>
      </w:r>
      <w:proofErr w:type="gramStart"/>
      <w:r>
        <w:t>S</w:t>
      </w:r>
      <w:r w:rsidRPr="007566A9">
        <w:t>hipping</w:t>
      </w:r>
      <w:proofErr w:type="gramEnd"/>
      <w:r w:rsidRPr="007566A9">
        <w:t xml:space="preserve"> for the purposes of this review</w:t>
      </w:r>
      <w:r>
        <w:t>, as they are covered in other topics</w:t>
      </w:r>
      <w:r w:rsidRPr="007566A9">
        <w:t xml:space="preserve">. </w:t>
      </w:r>
    </w:p>
    <w:p w14:paraId="5761D372" w14:textId="308DBE6C" w:rsidR="00A56EE9" w:rsidRPr="00015A79" w:rsidRDefault="00A56EE9" w:rsidP="00E3690C">
      <w:pPr>
        <w:spacing w:line="276" w:lineRule="auto"/>
        <w:rPr>
          <w:rFonts w:eastAsia="Calibri" w:cs="Times New Roman"/>
        </w:rPr>
      </w:pPr>
      <w:r w:rsidRPr="009440FB">
        <w:t>Five assessment elements (</w:t>
      </w:r>
      <w:r w:rsidRPr="009440FB">
        <w:fldChar w:fldCharType="begin"/>
      </w:r>
      <w:r w:rsidRPr="009440FB">
        <w:instrText xml:space="preserve"> REF _Ref259285230 \h  \* MERGEFORMAT </w:instrText>
      </w:r>
      <w:r w:rsidRPr="009440FB">
        <w:fldChar w:fldCharType="separate"/>
      </w:r>
      <w:r w:rsidR="00A4170C" w:rsidRPr="002B5F80">
        <w:t xml:space="preserve">Table </w:t>
      </w:r>
      <w:r w:rsidR="00A4170C">
        <w:rPr>
          <w:noProof/>
        </w:rPr>
        <w:t>11</w:t>
      </w:r>
      <w:r w:rsidRPr="009440FB">
        <w:fldChar w:fldCharType="end"/>
      </w:r>
      <w:r w:rsidRPr="00B228FA">
        <w:rPr>
          <w:rFonts w:eastAsia="Calibri" w:cs="Times New Roman"/>
        </w:rPr>
        <w:t>) a</w:t>
      </w:r>
      <w:r>
        <w:rPr>
          <w:rFonts w:eastAsia="Calibri" w:cs="Times New Roman"/>
        </w:rPr>
        <w:t xml:space="preserve">re rated as </w:t>
      </w:r>
      <w:r w:rsidRPr="00D07110">
        <w:rPr>
          <w:rFonts w:eastAsia="Calibri" w:cs="Times New Roman"/>
          <w:i/>
        </w:rPr>
        <w:t>effectively</w:t>
      </w:r>
      <w:r>
        <w:rPr>
          <w:rFonts w:eastAsia="Calibri" w:cs="Times New Roman"/>
        </w:rPr>
        <w:t xml:space="preserve"> managed, while Outputs is considered to be </w:t>
      </w:r>
      <w:r w:rsidRPr="00D07110">
        <w:rPr>
          <w:rFonts w:eastAsia="Calibri" w:cs="Times New Roman"/>
          <w:i/>
        </w:rPr>
        <w:t>mostly effective</w:t>
      </w:r>
      <w:r>
        <w:rPr>
          <w:rFonts w:eastAsia="Calibri" w:cs="Times New Roman"/>
        </w:rPr>
        <w:t>.</w:t>
      </w:r>
      <w:r w:rsidRPr="00B228FA">
        <w:rPr>
          <w:rFonts w:eastAsia="Calibri" w:cs="Times New Roman"/>
        </w:rPr>
        <w:t xml:space="preserve"> </w:t>
      </w:r>
      <w:r>
        <w:rPr>
          <w:rFonts w:eastAsia="Calibri" w:cs="Times New Roman"/>
        </w:rPr>
        <w:t xml:space="preserve">Context, Planning, </w:t>
      </w:r>
      <w:r w:rsidRPr="00B228FA">
        <w:rPr>
          <w:rFonts w:eastAsia="Calibri" w:cs="Times New Roman"/>
        </w:rPr>
        <w:t>Inputs</w:t>
      </w:r>
      <w:r>
        <w:rPr>
          <w:rFonts w:eastAsia="Calibri" w:cs="Times New Roman"/>
        </w:rPr>
        <w:t xml:space="preserve"> and Processes</w:t>
      </w:r>
      <w:r w:rsidRPr="00B228FA">
        <w:rPr>
          <w:rFonts w:eastAsia="Calibri" w:cs="Times New Roman"/>
        </w:rPr>
        <w:t xml:space="preserve"> all improved one grade from the 2014 assessment</w:t>
      </w:r>
      <w:r>
        <w:rPr>
          <w:rFonts w:eastAsia="Calibri" w:cs="Times New Roman"/>
        </w:rPr>
        <w:t xml:space="preserve">. </w:t>
      </w:r>
    </w:p>
    <w:p w14:paraId="5761D373" w14:textId="6ED63E8D" w:rsidR="00A56EE9" w:rsidRDefault="00A56EE9" w:rsidP="00E3690C">
      <w:pPr>
        <w:pStyle w:val="BodyText"/>
        <w:spacing w:line="276" w:lineRule="auto"/>
      </w:pPr>
      <w:r>
        <w:t>In</w:t>
      </w:r>
      <w:r w:rsidRPr="001B6E25">
        <w:t xml:space="preserve"> comparison with other areas of significance to world shipping, </w:t>
      </w:r>
      <w:r>
        <w:t xml:space="preserve">shipping in </w:t>
      </w:r>
      <w:r w:rsidRPr="001B6E25">
        <w:t xml:space="preserve">the </w:t>
      </w:r>
      <w:r>
        <w:t>Region</w:t>
      </w:r>
      <w:r w:rsidRPr="001B6E25">
        <w:t xml:space="preserve"> </w:t>
      </w:r>
      <w:r w:rsidR="00F01A3F">
        <w:t xml:space="preserve">is </w:t>
      </w:r>
      <w:r>
        <w:t>well regulated and</w:t>
      </w:r>
      <w:r w:rsidRPr="001B6E25">
        <w:t xml:space="preserve"> effectively managed and </w:t>
      </w:r>
      <w:r>
        <w:t>employs</w:t>
      </w:r>
      <w:r w:rsidRPr="001B6E25">
        <w:t xml:space="preserve"> an extensive suite of control, risk reduction and risk response measures</w:t>
      </w:r>
      <w:r>
        <w:t>.</w:t>
      </w:r>
      <w:r w:rsidRPr="001B6E25">
        <w:t xml:space="preserve"> </w:t>
      </w:r>
      <w:r>
        <w:t>S</w:t>
      </w:r>
      <w:r w:rsidRPr="001B6E25">
        <w:t xml:space="preserve">hipping activity levels </w:t>
      </w:r>
      <w:r>
        <w:t>in the Region</w:t>
      </w:r>
      <w:r w:rsidRPr="001B6E25">
        <w:t xml:space="preserve"> are relatively modest by comparison with many other areas, albeit over a much larger area of interest and within an environment of unique significance. Although shipping incidents</w:t>
      </w:r>
      <w:r>
        <w:t xml:space="preserve"> such as loss of </w:t>
      </w:r>
      <w:r w:rsidRPr="001B6E25">
        <w:t>propulsion</w:t>
      </w:r>
      <w:r>
        <w:t xml:space="preserve"> and</w:t>
      </w:r>
      <w:r w:rsidRPr="001B6E25">
        <w:t xml:space="preserve"> navigation error</w:t>
      </w:r>
      <w:r>
        <w:t>s</w:t>
      </w:r>
      <w:r w:rsidRPr="001B6E25">
        <w:t xml:space="preserve"> inevitably occur </w:t>
      </w:r>
      <w:r>
        <w:t>at times</w:t>
      </w:r>
      <w:r w:rsidRPr="001B6E25">
        <w:t xml:space="preserve">, both the rate of </w:t>
      </w:r>
      <w:r>
        <w:t xml:space="preserve">such </w:t>
      </w:r>
      <w:r w:rsidRPr="001B6E25">
        <w:t>inciden</w:t>
      </w:r>
      <w:r>
        <w:t>ts</w:t>
      </w:r>
      <w:r w:rsidRPr="001B6E25">
        <w:t xml:space="preserve"> and the potential consequences </w:t>
      </w:r>
      <w:r>
        <w:t>are</w:t>
      </w:r>
      <w:r w:rsidRPr="001B6E25">
        <w:t xml:space="preserve"> attenuated to a significant extent by improvements in technology, constantly advancing ship design and marine environment protection and safety requirements (e</w:t>
      </w:r>
      <w:r>
        <w:t>.</w:t>
      </w:r>
      <w:r w:rsidRPr="001B6E25">
        <w:t>g. protected fuel tanks and electronic aids to navigation), other controls (e</w:t>
      </w:r>
      <w:r>
        <w:t>.</w:t>
      </w:r>
      <w:r w:rsidRPr="001B6E25">
        <w:t xml:space="preserve">g. </w:t>
      </w:r>
      <w:r>
        <w:t xml:space="preserve">the vessel tracking system </w:t>
      </w:r>
      <w:r w:rsidRPr="001B6E25">
        <w:t>REEFVTS, Designated Shipping Areas) and enforcement</w:t>
      </w:r>
      <w:r>
        <w:t xml:space="preserve"> and </w:t>
      </w:r>
      <w:r w:rsidRPr="001B6E25">
        <w:t>compliance mechanisms (e</w:t>
      </w:r>
      <w:r>
        <w:t>.</w:t>
      </w:r>
      <w:r w:rsidRPr="001B6E25">
        <w:t xml:space="preserve">g. Port State Control inspections, ship vetting). These measures </w:t>
      </w:r>
      <w:r>
        <w:t>prevent</w:t>
      </w:r>
      <w:r w:rsidRPr="001B6E25">
        <w:t xml:space="preserve"> increas</w:t>
      </w:r>
      <w:r>
        <w:t>ed</w:t>
      </w:r>
      <w:r w:rsidRPr="001B6E25">
        <w:t xml:space="preserve"> shipping numbers </w:t>
      </w:r>
      <w:r>
        <w:t>from resulting in</w:t>
      </w:r>
      <w:r w:rsidRPr="001B6E25">
        <w:t xml:space="preserve"> a commensurate linear increase in ship environmental incidents. </w:t>
      </w:r>
    </w:p>
    <w:p w14:paraId="5761D374" w14:textId="77777777" w:rsidR="00A56EE9" w:rsidRPr="001B6E25" w:rsidRDefault="00A56EE9" w:rsidP="00E3690C">
      <w:pPr>
        <w:pStyle w:val="BodyText"/>
        <w:spacing w:line="276" w:lineRule="auto"/>
      </w:pPr>
      <w:r w:rsidRPr="001B6E25">
        <w:t>Within this context</w:t>
      </w:r>
      <w:r>
        <w:t>,</w:t>
      </w:r>
      <w:r w:rsidRPr="001B6E25">
        <w:t xml:space="preserve"> it is critical that control and emergency response arrangements effectively anticipate, and respond pre-emptively to, changes in shipping activity levels and risk profiles. Further work is also needed in relation to matters such as policy and procedures for restoration</w:t>
      </w:r>
      <w:r>
        <w:t xml:space="preserve"> and </w:t>
      </w:r>
      <w:r w:rsidRPr="001B6E25">
        <w:t>rehabilitation of damaged areas following groundings, and control, surveillance and monitoring for introduced marine species, particularly in relation to ship biofouling.</w:t>
      </w:r>
    </w:p>
    <w:p w14:paraId="5761D375" w14:textId="49C38089" w:rsidR="00A56EE9" w:rsidRPr="001B6E25" w:rsidRDefault="00A56EE9" w:rsidP="00E3690C">
      <w:pPr>
        <w:pStyle w:val="BodyText"/>
        <w:spacing w:line="276" w:lineRule="auto"/>
      </w:pPr>
      <w:r w:rsidRPr="001B6E25">
        <w:t>Although the likelihood of single, catastrophic events is controlled, chronic, low-level effects also need to be considered</w:t>
      </w:r>
      <w:r>
        <w:t>. There is particular concern about</w:t>
      </w:r>
      <w:r w:rsidRPr="001B6E25">
        <w:t xml:space="preserve"> cumulative effects of aspects such as leaching</w:t>
      </w:r>
      <w:r>
        <w:t xml:space="preserve"> and </w:t>
      </w:r>
      <w:r w:rsidRPr="001B6E25">
        <w:t>loss of biocidal anti-fouling paints, wake</w:t>
      </w:r>
      <w:r>
        <w:t xml:space="preserve"> and </w:t>
      </w:r>
      <w:r w:rsidRPr="001B6E25">
        <w:t xml:space="preserve">turbulence effects, </w:t>
      </w:r>
      <w:r>
        <w:t>animal</w:t>
      </w:r>
      <w:r w:rsidRPr="001B6E25">
        <w:t xml:space="preserve"> strikes, and possibly also altered light and underwater noise regimes. There is also some interest in assessing aesthetic issues related to shipping in remote areas, but the need for such evaluations in designated port</w:t>
      </w:r>
      <w:r>
        <w:t xml:space="preserve"> and </w:t>
      </w:r>
      <w:r w:rsidRPr="001B6E25">
        <w:t>anchorage areas is less obvious. While there has been some progress on the study and management of these issues in recent years</w:t>
      </w:r>
      <w:r>
        <w:t xml:space="preserve">, </w:t>
      </w:r>
      <w:r w:rsidRPr="001B6E25">
        <w:t>further work remains to be done.</w:t>
      </w:r>
    </w:p>
    <w:p w14:paraId="5761D376" w14:textId="77777777" w:rsidR="00A56EE9" w:rsidRPr="001B6E25" w:rsidRDefault="00A56EE9" w:rsidP="00E3690C">
      <w:pPr>
        <w:pStyle w:val="BodyText"/>
        <w:spacing w:line="276" w:lineRule="auto"/>
      </w:pPr>
      <w:r>
        <w:t>I</w:t>
      </w:r>
      <w:r w:rsidRPr="001B6E25">
        <w:t>t is evident that since 2012 the c</w:t>
      </w:r>
      <w:r>
        <w:t>oordinated</w:t>
      </w:r>
      <w:r w:rsidRPr="001B6E25">
        <w:t xml:space="preserve"> management </w:t>
      </w:r>
      <w:r>
        <w:t xml:space="preserve">of Shipping </w:t>
      </w:r>
      <w:r w:rsidRPr="001B6E25">
        <w:t>has improved markedly. Testament to this is the development and progressive implementation of the 2014 North East S</w:t>
      </w:r>
      <w:r>
        <w:t>hipping Management Plan (NESMP)</w:t>
      </w:r>
      <w:r w:rsidRPr="001B6E25">
        <w:t xml:space="preserve"> and its foundation of multi-party coordination, management and advisory groups. Implementation of the NESMP </w:t>
      </w:r>
      <w:r>
        <w:t>has included (among other things) an increased number of marine surveyors at ports to ensure effective inspection of ships and the upgrade of emergency towage capacity in the Region. It has also identified emergent risks, improved multi-agency coordination, and refined existing management practices,</w:t>
      </w:r>
      <w:r w:rsidRPr="001B6E25">
        <w:t xml:space="preserve"> </w:t>
      </w:r>
      <w:r>
        <w:t xml:space="preserve">and </w:t>
      </w:r>
      <w:r w:rsidRPr="001B6E25">
        <w:t>is enhanced by the parallel implementation of elements of</w:t>
      </w:r>
      <w:r>
        <w:t xml:space="preserve"> the Reef 2050 Plan related to S</w:t>
      </w:r>
      <w:r w:rsidRPr="001B6E25">
        <w:t>hipping.</w:t>
      </w:r>
    </w:p>
    <w:p w14:paraId="5761D377" w14:textId="0ACE43BC" w:rsidR="00A56EE9" w:rsidRPr="00417CE4" w:rsidRDefault="00A56EE9" w:rsidP="00E3690C">
      <w:pPr>
        <w:pStyle w:val="BodyText"/>
        <w:spacing w:line="276" w:lineRule="auto"/>
      </w:pPr>
      <w:r w:rsidRPr="00417CE4">
        <w:t xml:space="preserve">While the public has previously perceived Shipping as one of the major threats to the Region, recent data (Marshall et al 2017) indicates that concerns about shipping are lessening compared to pollution, climate change, cyclones, tropical storms and agricultural run-off. Empirical evidence has also demonstrated a reduction in the occurrence of ship groundings when compared with historical records. While shipping has the potential to cause significant damage in the Region, these risks are recognised and contained. </w:t>
      </w:r>
    </w:p>
    <w:p w14:paraId="5761D378" w14:textId="7BF6BC97" w:rsidR="007F1AA6" w:rsidRDefault="00A56EE9" w:rsidP="00E3690C">
      <w:pPr>
        <w:pStyle w:val="BodyText"/>
        <w:spacing w:line="276" w:lineRule="auto"/>
      </w:pPr>
      <w:r>
        <w:t>A</w:t>
      </w:r>
      <w:r w:rsidRPr="001B6E25">
        <w:t>gencies with responsibili</w:t>
      </w:r>
      <w:r>
        <w:t xml:space="preserve">ty for managing shipping in the </w:t>
      </w:r>
      <w:r w:rsidRPr="001B6E25">
        <w:t xml:space="preserve">Region </w:t>
      </w:r>
      <w:r w:rsidRPr="00571F35">
        <w:t xml:space="preserve">(AMSA, MSQ and the Marine Park Authority) </w:t>
      </w:r>
      <w:r w:rsidRPr="001B6E25">
        <w:t>are considered to be generally well equipped to undertake the required tasks, with evidence of effective methods and procedures for planning and implementation of appropriate m</w:t>
      </w:r>
      <w:r w:rsidRPr="007566A9">
        <w:t xml:space="preserve">easures </w:t>
      </w:r>
      <w:r>
        <w:t xml:space="preserve">to </w:t>
      </w:r>
      <w:r w:rsidRPr="007566A9">
        <w:t xml:space="preserve">manage shipping activity. </w:t>
      </w:r>
      <w:r>
        <w:t>I</w:t>
      </w:r>
      <w:r w:rsidRPr="007566A9">
        <w:t xml:space="preserve">t is recognised that </w:t>
      </w:r>
      <w:r>
        <w:t>the Marine Park Authority</w:t>
      </w:r>
      <w:r w:rsidRPr="007566A9">
        <w:t xml:space="preserve"> is not a primary shipping management agency, but its input and influence are nevertheless critical to ensure that shipping is managed in a sustainable manner and consistent with management objectives for the </w:t>
      </w:r>
      <w:r>
        <w:t>Region.</w:t>
      </w:r>
      <w:r w:rsidRPr="007566A9">
        <w:t xml:space="preserve"> </w:t>
      </w:r>
      <w:r>
        <w:t>The Outlook Report 2014</w:t>
      </w:r>
      <w:r w:rsidRPr="007566A9">
        <w:t xml:space="preserve"> considered it important that </w:t>
      </w:r>
      <w:r>
        <w:t>the Marine Park Authority</w:t>
      </w:r>
      <w:r w:rsidRPr="007566A9">
        <w:t xml:space="preserve"> develop a more cogent, informed set of management objectives and implementation plans with regard to shipping</w:t>
      </w:r>
      <w:r>
        <w:t xml:space="preserve">. </w:t>
      </w:r>
    </w:p>
    <w:p w14:paraId="43ADD4C8" w14:textId="77777777" w:rsidR="007F1AA6" w:rsidRDefault="007F1AA6">
      <w:r>
        <w:br w:type="page"/>
      </w:r>
    </w:p>
    <w:p w14:paraId="5761D379" w14:textId="08DB0925" w:rsidR="00A56EE9" w:rsidRDefault="00A56EE9" w:rsidP="00BB6AD5">
      <w:pPr>
        <w:pStyle w:val="Caption"/>
      </w:pPr>
      <w:bookmarkStart w:id="81" w:name="_Ref259285230"/>
      <w:bookmarkStart w:id="82" w:name="_Toc389205085"/>
      <w:bookmarkStart w:id="83" w:name="_Toc525654456"/>
      <w:r w:rsidRPr="002B5F80">
        <w:t xml:space="preserve">Table </w:t>
      </w:r>
      <w:r>
        <w:fldChar w:fldCharType="begin"/>
      </w:r>
      <w:r>
        <w:instrText xml:space="preserve"> SEQ Table \* ARABIC </w:instrText>
      </w:r>
      <w:r>
        <w:fldChar w:fldCharType="separate"/>
      </w:r>
      <w:r w:rsidR="00A4170C">
        <w:rPr>
          <w:noProof/>
        </w:rPr>
        <w:t>11</w:t>
      </w:r>
      <w:r>
        <w:rPr>
          <w:noProof/>
        </w:rPr>
        <w:fldChar w:fldCharType="end"/>
      </w:r>
      <w:bookmarkEnd w:id="81"/>
      <w:r w:rsidRPr="002B5F80">
        <w:t xml:space="preserve"> Assessment results for </w:t>
      </w:r>
      <w:r>
        <w:t>Shipping</w:t>
      </w:r>
      <w:bookmarkEnd w:id="82"/>
      <w:bookmarkEnd w:id="83"/>
    </w:p>
    <w:tbl>
      <w:tblPr>
        <w:tblStyle w:val="TableGrid"/>
        <w:tblW w:w="5000" w:type="pct"/>
        <w:jc w:val="center"/>
        <w:tblLayout w:type="fixed"/>
        <w:tblLook w:val="04A0" w:firstRow="1" w:lastRow="0" w:firstColumn="1" w:lastColumn="0" w:noHBand="0" w:noVBand="1"/>
        <w:tblCaption w:val="Table 5 Assessment results for shipping"/>
        <w:tblDescription w:val="Grades and trends for the management effectiveness for shipping:&#10;Context: Effective; improved&#10;Planning: Effective; improved&#10;Inputs: Effective; improved&#10;Processes:Effective; improved&#10;Outputs: Mostly effective; improving&#10;Outcomes:Effective; stable"/>
      </w:tblPr>
      <w:tblGrid>
        <w:gridCol w:w="3320"/>
        <w:gridCol w:w="1831"/>
        <w:gridCol w:w="1828"/>
        <w:gridCol w:w="2037"/>
      </w:tblGrid>
      <w:tr w:rsidR="00A56EE9" w:rsidRPr="003D54F2" w14:paraId="5761D37E" w14:textId="77777777" w:rsidTr="00BB6AD5">
        <w:trPr>
          <w:trHeight w:val="441"/>
          <w:tblHeader/>
          <w:jc w:val="center"/>
        </w:trPr>
        <w:tc>
          <w:tcPr>
            <w:tcW w:w="3320" w:type="dxa"/>
            <w:vAlign w:val="center"/>
          </w:tcPr>
          <w:p w14:paraId="5761D37A" w14:textId="77777777" w:rsidR="00A56EE9" w:rsidRPr="003D54F2" w:rsidRDefault="00A56EE9" w:rsidP="00BB6AD5">
            <w:pPr>
              <w:spacing w:line="240" w:lineRule="exact"/>
              <w:jc w:val="both"/>
              <w:rPr>
                <w:b/>
              </w:rPr>
            </w:pPr>
            <w:r>
              <w:rPr>
                <w:b/>
              </w:rPr>
              <w:t>Shipping</w:t>
            </w:r>
          </w:p>
        </w:tc>
        <w:tc>
          <w:tcPr>
            <w:tcW w:w="1831" w:type="dxa"/>
            <w:vAlign w:val="center"/>
          </w:tcPr>
          <w:p w14:paraId="5761D37B" w14:textId="77777777" w:rsidR="00A56EE9" w:rsidRPr="004A4864" w:rsidRDefault="00A56EE9" w:rsidP="00BB6AD5">
            <w:pPr>
              <w:spacing w:line="240" w:lineRule="exact"/>
              <w:jc w:val="both"/>
              <w:rPr>
                <w:b/>
              </w:rPr>
            </w:pPr>
            <w:r w:rsidRPr="004A4864">
              <w:rPr>
                <w:b/>
              </w:rPr>
              <w:t>2009</w:t>
            </w:r>
          </w:p>
        </w:tc>
        <w:tc>
          <w:tcPr>
            <w:tcW w:w="1828" w:type="dxa"/>
            <w:vAlign w:val="center"/>
          </w:tcPr>
          <w:p w14:paraId="5761D37C" w14:textId="77777777" w:rsidR="00A56EE9" w:rsidRPr="004A4864" w:rsidRDefault="00A56EE9" w:rsidP="00BB6AD5">
            <w:pPr>
              <w:spacing w:line="240" w:lineRule="exact"/>
              <w:jc w:val="both"/>
              <w:rPr>
                <w:b/>
              </w:rPr>
            </w:pPr>
            <w:r w:rsidRPr="004A4864">
              <w:rPr>
                <w:b/>
              </w:rPr>
              <w:t>2014</w:t>
            </w:r>
          </w:p>
        </w:tc>
        <w:tc>
          <w:tcPr>
            <w:tcW w:w="2037" w:type="dxa"/>
            <w:tcBorders>
              <w:bottom w:val="single" w:sz="4" w:space="0" w:color="auto"/>
            </w:tcBorders>
            <w:vAlign w:val="center"/>
          </w:tcPr>
          <w:p w14:paraId="5761D37D" w14:textId="77777777" w:rsidR="00A56EE9" w:rsidRPr="004A4864" w:rsidRDefault="00A56EE9" w:rsidP="00BB6AD5">
            <w:pPr>
              <w:spacing w:line="240" w:lineRule="exact"/>
              <w:jc w:val="both"/>
              <w:rPr>
                <w:b/>
              </w:rPr>
            </w:pPr>
            <w:r w:rsidRPr="004A4864">
              <w:rPr>
                <w:b/>
              </w:rPr>
              <w:t>2019</w:t>
            </w:r>
          </w:p>
        </w:tc>
      </w:tr>
      <w:tr w:rsidR="00A56EE9" w:rsidRPr="003D54F2" w14:paraId="5761D383" w14:textId="77777777" w:rsidTr="00BB6AD5">
        <w:trPr>
          <w:jc w:val="center"/>
        </w:trPr>
        <w:tc>
          <w:tcPr>
            <w:tcW w:w="3320" w:type="dxa"/>
            <w:vAlign w:val="center"/>
          </w:tcPr>
          <w:p w14:paraId="5761D37F" w14:textId="77777777" w:rsidR="00A56EE9" w:rsidRPr="003D54F2" w:rsidRDefault="00A56EE9" w:rsidP="00BB6AD5">
            <w:pPr>
              <w:spacing w:line="240" w:lineRule="exact"/>
              <w:rPr>
                <w:b/>
              </w:rPr>
            </w:pPr>
            <w:r w:rsidRPr="003D54F2">
              <w:rPr>
                <w:b/>
              </w:rPr>
              <w:t>Context</w:t>
            </w:r>
          </w:p>
        </w:tc>
        <w:tc>
          <w:tcPr>
            <w:tcW w:w="1831" w:type="dxa"/>
            <w:shd w:val="clear" w:color="auto" w:fill="auto"/>
            <w:vAlign w:val="center"/>
          </w:tcPr>
          <w:p w14:paraId="5761D380" w14:textId="77777777" w:rsidR="00A56EE9" w:rsidRPr="00E15040" w:rsidRDefault="00A56EE9" w:rsidP="00BB6AD5">
            <w:pPr>
              <w:spacing w:line="240" w:lineRule="exact"/>
              <w:jc w:val="center"/>
              <w:rPr>
                <w:rFonts w:ascii="Cambria Math" w:hAnsi="Cambria Math"/>
                <w:b/>
                <w:sz w:val="24"/>
                <w:szCs w:val="24"/>
              </w:rPr>
            </w:pPr>
          </w:p>
        </w:tc>
        <w:tc>
          <w:tcPr>
            <w:tcW w:w="1828" w:type="dxa"/>
            <w:shd w:val="clear" w:color="auto" w:fill="C5E0B3" w:themeFill="accent6" w:themeFillTint="66"/>
            <w:vAlign w:val="center"/>
          </w:tcPr>
          <w:p w14:paraId="5761D381" w14:textId="77777777" w:rsidR="00A56EE9" w:rsidRPr="00E15040" w:rsidRDefault="00A56EE9" w:rsidP="00BB6AD5">
            <w:pPr>
              <w:spacing w:line="240" w:lineRule="exact"/>
              <w:jc w:val="center"/>
              <w:rPr>
                <w:rFonts w:ascii="Cambria Math" w:hAnsi="Cambria Math"/>
                <w:b/>
                <w:sz w:val="24"/>
                <w:szCs w:val="24"/>
              </w:rPr>
            </w:pPr>
          </w:p>
        </w:tc>
        <w:tc>
          <w:tcPr>
            <w:tcW w:w="2037" w:type="dxa"/>
            <w:tcBorders>
              <w:bottom w:val="single" w:sz="4" w:space="0" w:color="auto"/>
            </w:tcBorders>
            <w:shd w:val="clear" w:color="auto" w:fill="538135" w:themeFill="accent6" w:themeFillShade="BF"/>
            <w:vAlign w:val="center"/>
          </w:tcPr>
          <w:p w14:paraId="5761D382"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388" w14:textId="77777777" w:rsidTr="00BB6AD5">
        <w:trPr>
          <w:jc w:val="center"/>
        </w:trPr>
        <w:tc>
          <w:tcPr>
            <w:tcW w:w="3320" w:type="dxa"/>
            <w:vAlign w:val="center"/>
          </w:tcPr>
          <w:p w14:paraId="5761D384" w14:textId="77777777" w:rsidR="00A56EE9" w:rsidRPr="003D54F2" w:rsidRDefault="00A56EE9" w:rsidP="00BB6AD5">
            <w:pPr>
              <w:spacing w:line="240" w:lineRule="exact"/>
              <w:rPr>
                <w:b/>
              </w:rPr>
            </w:pPr>
            <w:r w:rsidRPr="003D54F2">
              <w:rPr>
                <w:b/>
              </w:rPr>
              <w:t>Planning</w:t>
            </w:r>
          </w:p>
        </w:tc>
        <w:tc>
          <w:tcPr>
            <w:tcW w:w="1831" w:type="dxa"/>
            <w:shd w:val="clear" w:color="auto" w:fill="auto"/>
            <w:vAlign w:val="center"/>
          </w:tcPr>
          <w:p w14:paraId="5761D385" w14:textId="77777777" w:rsidR="00A56EE9" w:rsidRPr="00E15040" w:rsidRDefault="00A56EE9" w:rsidP="00BB6AD5">
            <w:pPr>
              <w:spacing w:line="240" w:lineRule="exact"/>
              <w:jc w:val="center"/>
              <w:rPr>
                <w:rFonts w:ascii="Cambria Math" w:hAnsi="Cambria Math"/>
                <w:b/>
                <w:sz w:val="24"/>
                <w:szCs w:val="24"/>
              </w:rPr>
            </w:pPr>
          </w:p>
        </w:tc>
        <w:tc>
          <w:tcPr>
            <w:tcW w:w="1828" w:type="dxa"/>
            <w:shd w:val="clear" w:color="auto" w:fill="C5E0B3" w:themeFill="accent6" w:themeFillTint="66"/>
            <w:vAlign w:val="center"/>
          </w:tcPr>
          <w:p w14:paraId="5761D386" w14:textId="77777777" w:rsidR="00A56EE9" w:rsidRPr="00E15040" w:rsidRDefault="00A56EE9" w:rsidP="00BB6AD5">
            <w:pPr>
              <w:spacing w:line="240" w:lineRule="exact"/>
              <w:jc w:val="center"/>
              <w:rPr>
                <w:rFonts w:ascii="Cambria Math" w:hAnsi="Cambria Math"/>
                <w:b/>
                <w:sz w:val="24"/>
                <w:szCs w:val="24"/>
              </w:rPr>
            </w:pPr>
          </w:p>
        </w:tc>
        <w:tc>
          <w:tcPr>
            <w:tcW w:w="2037" w:type="dxa"/>
            <w:tcBorders>
              <w:bottom w:val="single" w:sz="4" w:space="0" w:color="auto"/>
            </w:tcBorders>
            <w:shd w:val="clear" w:color="auto" w:fill="538135" w:themeFill="accent6" w:themeFillShade="BF"/>
            <w:vAlign w:val="center"/>
          </w:tcPr>
          <w:p w14:paraId="5761D387"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38D" w14:textId="77777777" w:rsidTr="00BB6AD5">
        <w:trPr>
          <w:jc w:val="center"/>
        </w:trPr>
        <w:tc>
          <w:tcPr>
            <w:tcW w:w="3320" w:type="dxa"/>
            <w:vAlign w:val="center"/>
          </w:tcPr>
          <w:p w14:paraId="5761D389" w14:textId="77777777" w:rsidR="00A56EE9" w:rsidRPr="003D54F2" w:rsidRDefault="00A56EE9" w:rsidP="00BB6AD5">
            <w:pPr>
              <w:spacing w:line="240" w:lineRule="exact"/>
              <w:rPr>
                <w:b/>
              </w:rPr>
            </w:pPr>
            <w:r w:rsidRPr="003D54F2">
              <w:rPr>
                <w:b/>
              </w:rPr>
              <w:t>Inputs</w:t>
            </w:r>
          </w:p>
        </w:tc>
        <w:tc>
          <w:tcPr>
            <w:tcW w:w="1831" w:type="dxa"/>
            <w:shd w:val="clear" w:color="auto" w:fill="auto"/>
            <w:vAlign w:val="center"/>
          </w:tcPr>
          <w:p w14:paraId="5761D38A" w14:textId="77777777" w:rsidR="00A56EE9" w:rsidRPr="00E15040" w:rsidRDefault="00A56EE9" w:rsidP="00BB6AD5">
            <w:pPr>
              <w:spacing w:line="240" w:lineRule="exact"/>
              <w:jc w:val="center"/>
              <w:rPr>
                <w:rFonts w:ascii="Cambria Math" w:hAnsi="Cambria Math"/>
                <w:b/>
                <w:sz w:val="24"/>
                <w:szCs w:val="24"/>
              </w:rPr>
            </w:pPr>
          </w:p>
        </w:tc>
        <w:tc>
          <w:tcPr>
            <w:tcW w:w="1828" w:type="dxa"/>
            <w:shd w:val="clear" w:color="auto" w:fill="C5E0B3" w:themeFill="accent6" w:themeFillTint="66"/>
            <w:vAlign w:val="center"/>
          </w:tcPr>
          <w:p w14:paraId="5761D38B" w14:textId="77777777" w:rsidR="00A56EE9" w:rsidRPr="00E15040" w:rsidRDefault="00A56EE9" w:rsidP="00BB6AD5">
            <w:pPr>
              <w:spacing w:line="240" w:lineRule="exact"/>
              <w:jc w:val="center"/>
              <w:rPr>
                <w:rFonts w:ascii="Cambria Math" w:hAnsi="Cambria Math"/>
                <w:b/>
                <w:sz w:val="24"/>
                <w:szCs w:val="24"/>
              </w:rPr>
            </w:pPr>
          </w:p>
        </w:tc>
        <w:tc>
          <w:tcPr>
            <w:tcW w:w="2037" w:type="dxa"/>
            <w:tcBorders>
              <w:bottom w:val="single" w:sz="4" w:space="0" w:color="auto"/>
            </w:tcBorders>
            <w:shd w:val="clear" w:color="auto" w:fill="538135" w:themeFill="accent6" w:themeFillShade="BF"/>
            <w:vAlign w:val="center"/>
          </w:tcPr>
          <w:p w14:paraId="5761D38C"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392" w14:textId="77777777" w:rsidTr="00BB6AD5">
        <w:trPr>
          <w:jc w:val="center"/>
        </w:trPr>
        <w:tc>
          <w:tcPr>
            <w:tcW w:w="3320" w:type="dxa"/>
            <w:vAlign w:val="center"/>
          </w:tcPr>
          <w:p w14:paraId="5761D38E" w14:textId="77777777" w:rsidR="00A56EE9" w:rsidRPr="003D54F2" w:rsidRDefault="00A56EE9" w:rsidP="00BB6AD5">
            <w:pPr>
              <w:spacing w:line="240" w:lineRule="exact"/>
              <w:rPr>
                <w:b/>
              </w:rPr>
            </w:pPr>
            <w:r w:rsidRPr="003D54F2">
              <w:rPr>
                <w:b/>
              </w:rPr>
              <w:t>Processes</w:t>
            </w:r>
          </w:p>
        </w:tc>
        <w:tc>
          <w:tcPr>
            <w:tcW w:w="1831" w:type="dxa"/>
            <w:shd w:val="clear" w:color="auto" w:fill="auto"/>
            <w:vAlign w:val="center"/>
          </w:tcPr>
          <w:p w14:paraId="5761D38F" w14:textId="77777777" w:rsidR="00A56EE9" w:rsidRPr="00E15040" w:rsidRDefault="00A56EE9" w:rsidP="00BB6AD5">
            <w:pPr>
              <w:spacing w:line="240" w:lineRule="exact"/>
              <w:jc w:val="center"/>
              <w:rPr>
                <w:rFonts w:ascii="Cambria Math" w:hAnsi="Cambria Math"/>
                <w:b/>
                <w:sz w:val="24"/>
                <w:szCs w:val="24"/>
              </w:rPr>
            </w:pPr>
          </w:p>
        </w:tc>
        <w:tc>
          <w:tcPr>
            <w:tcW w:w="1828" w:type="dxa"/>
            <w:shd w:val="clear" w:color="auto" w:fill="C5E0B3" w:themeFill="accent6" w:themeFillTint="66"/>
            <w:vAlign w:val="center"/>
          </w:tcPr>
          <w:p w14:paraId="5761D390" w14:textId="77777777" w:rsidR="00A56EE9" w:rsidRPr="00E15040" w:rsidRDefault="00A56EE9" w:rsidP="00BB6AD5">
            <w:pPr>
              <w:spacing w:line="240" w:lineRule="exact"/>
              <w:jc w:val="center"/>
              <w:rPr>
                <w:rFonts w:ascii="Cambria Math" w:hAnsi="Cambria Math"/>
                <w:b/>
                <w:sz w:val="24"/>
                <w:szCs w:val="24"/>
              </w:rPr>
            </w:pPr>
          </w:p>
        </w:tc>
        <w:tc>
          <w:tcPr>
            <w:tcW w:w="2037" w:type="dxa"/>
            <w:tcBorders>
              <w:bottom w:val="single" w:sz="4" w:space="0" w:color="auto"/>
            </w:tcBorders>
            <w:shd w:val="clear" w:color="auto" w:fill="538135" w:themeFill="accent6" w:themeFillShade="BF"/>
            <w:vAlign w:val="center"/>
          </w:tcPr>
          <w:p w14:paraId="5761D391"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397" w14:textId="77777777" w:rsidTr="00BB6AD5">
        <w:trPr>
          <w:jc w:val="center"/>
        </w:trPr>
        <w:tc>
          <w:tcPr>
            <w:tcW w:w="3320" w:type="dxa"/>
            <w:vAlign w:val="center"/>
          </w:tcPr>
          <w:p w14:paraId="5761D393" w14:textId="77777777" w:rsidR="00A56EE9" w:rsidRPr="003D54F2" w:rsidRDefault="00A56EE9" w:rsidP="00BB6AD5">
            <w:pPr>
              <w:spacing w:line="240" w:lineRule="exact"/>
              <w:rPr>
                <w:b/>
              </w:rPr>
            </w:pPr>
            <w:r w:rsidRPr="003D54F2">
              <w:rPr>
                <w:b/>
              </w:rPr>
              <w:t>Outputs</w:t>
            </w:r>
          </w:p>
        </w:tc>
        <w:tc>
          <w:tcPr>
            <w:tcW w:w="1831" w:type="dxa"/>
            <w:shd w:val="clear" w:color="auto" w:fill="auto"/>
            <w:vAlign w:val="center"/>
          </w:tcPr>
          <w:p w14:paraId="5761D394" w14:textId="77777777" w:rsidR="00A56EE9" w:rsidRPr="00E15040" w:rsidRDefault="00A56EE9" w:rsidP="00BB6AD5">
            <w:pPr>
              <w:spacing w:line="240" w:lineRule="exact"/>
              <w:jc w:val="center"/>
              <w:rPr>
                <w:rFonts w:ascii="Cambria Math" w:hAnsi="Cambria Math"/>
                <w:b/>
                <w:sz w:val="24"/>
                <w:szCs w:val="24"/>
              </w:rPr>
            </w:pPr>
          </w:p>
        </w:tc>
        <w:tc>
          <w:tcPr>
            <w:tcW w:w="1828" w:type="dxa"/>
            <w:shd w:val="clear" w:color="auto" w:fill="C5E0B3" w:themeFill="accent6" w:themeFillTint="66"/>
            <w:vAlign w:val="center"/>
          </w:tcPr>
          <w:p w14:paraId="5761D395" w14:textId="77777777" w:rsidR="00A56EE9" w:rsidRPr="00E15040" w:rsidRDefault="00A56EE9" w:rsidP="00BB6AD5">
            <w:pPr>
              <w:spacing w:line="240" w:lineRule="exact"/>
              <w:jc w:val="center"/>
              <w:rPr>
                <w:rFonts w:ascii="Cambria Math" w:hAnsi="Cambria Math"/>
                <w:b/>
                <w:sz w:val="24"/>
                <w:szCs w:val="24"/>
              </w:rPr>
            </w:pPr>
          </w:p>
        </w:tc>
        <w:tc>
          <w:tcPr>
            <w:tcW w:w="2037" w:type="dxa"/>
            <w:tcBorders>
              <w:bottom w:val="single" w:sz="4" w:space="0" w:color="auto"/>
            </w:tcBorders>
            <w:shd w:val="clear" w:color="auto" w:fill="A8D08D" w:themeFill="accent6" w:themeFillTint="99"/>
            <w:vAlign w:val="center"/>
          </w:tcPr>
          <w:p w14:paraId="5761D396"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b/>
              </w:rPr>
              <w:t>↗</w:t>
            </w:r>
          </w:p>
        </w:tc>
      </w:tr>
      <w:tr w:rsidR="00A56EE9" w:rsidRPr="003D54F2" w14:paraId="5761D39C" w14:textId="77777777" w:rsidTr="00BB6AD5">
        <w:trPr>
          <w:trHeight w:val="251"/>
          <w:jc w:val="center"/>
        </w:trPr>
        <w:tc>
          <w:tcPr>
            <w:tcW w:w="3320" w:type="dxa"/>
            <w:vAlign w:val="center"/>
          </w:tcPr>
          <w:p w14:paraId="5761D398" w14:textId="77777777" w:rsidR="00A56EE9" w:rsidRPr="003D54F2" w:rsidRDefault="00A56EE9" w:rsidP="00BB6AD5">
            <w:pPr>
              <w:spacing w:line="240" w:lineRule="exact"/>
              <w:rPr>
                <w:b/>
              </w:rPr>
            </w:pPr>
            <w:r w:rsidRPr="003D54F2">
              <w:rPr>
                <w:b/>
              </w:rPr>
              <w:t>Outcomes</w:t>
            </w:r>
          </w:p>
        </w:tc>
        <w:tc>
          <w:tcPr>
            <w:tcW w:w="1831" w:type="dxa"/>
            <w:shd w:val="clear" w:color="auto" w:fill="auto"/>
            <w:vAlign w:val="center"/>
          </w:tcPr>
          <w:p w14:paraId="5761D399" w14:textId="77777777" w:rsidR="00A56EE9" w:rsidRPr="00E15040" w:rsidRDefault="00A56EE9" w:rsidP="00BB6AD5">
            <w:pPr>
              <w:spacing w:line="240" w:lineRule="exact"/>
              <w:jc w:val="center"/>
              <w:rPr>
                <w:rFonts w:ascii="Cambria Math" w:hAnsi="Cambria Math"/>
                <w:b/>
                <w:sz w:val="24"/>
                <w:szCs w:val="24"/>
              </w:rPr>
            </w:pPr>
          </w:p>
        </w:tc>
        <w:tc>
          <w:tcPr>
            <w:tcW w:w="1828" w:type="dxa"/>
            <w:shd w:val="clear" w:color="auto" w:fill="538135" w:themeFill="accent6" w:themeFillShade="BF"/>
            <w:vAlign w:val="center"/>
          </w:tcPr>
          <w:p w14:paraId="5761D39A" w14:textId="77777777" w:rsidR="00A56EE9" w:rsidRPr="00E15040" w:rsidRDefault="00A56EE9" w:rsidP="00BB6AD5">
            <w:pPr>
              <w:spacing w:line="240" w:lineRule="exact"/>
              <w:jc w:val="center"/>
              <w:rPr>
                <w:rFonts w:ascii="Cambria Math" w:hAnsi="Cambria Math"/>
                <w:b/>
                <w:sz w:val="24"/>
                <w:szCs w:val="24"/>
              </w:rPr>
            </w:pPr>
          </w:p>
        </w:tc>
        <w:tc>
          <w:tcPr>
            <w:tcW w:w="2037" w:type="dxa"/>
            <w:shd w:val="clear" w:color="auto" w:fill="538135" w:themeFill="accent6" w:themeFillShade="BF"/>
            <w:vAlign w:val="center"/>
          </w:tcPr>
          <w:p w14:paraId="5761D39B"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bl>
    <w:p w14:paraId="5761D39D" w14:textId="77777777" w:rsidR="00A56EE9" w:rsidRDefault="00A56EE9" w:rsidP="00BB6AD5">
      <w:pPr>
        <w:spacing w:line="240" w:lineRule="auto"/>
        <w:ind w:firstLine="2694"/>
        <w:contextualSpacing/>
        <w:rPr>
          <w:sz w:val="16"/>
          <w:szCs w:val="16"/>
        </w:rPr>
      </w:pPr>
      <w:r>
        <w:rPr>
          <w:sz w:val="16"/>
          <w:szCs w:val="16"/>
        </w:rPr>
        <w:t xml:space="preserve">Management effective assessment is colour coded: </w:t>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261"/>
      </w:tblGrid>
      <w:tr w:rsidR="00A56EE9" w14:paraId="5761D3A6" w14:textId="77777777" w:rsidTr="00BB6AD5">
        <w:trPr>
          <w:tblHeader/>
        </w:trPr>
        <w:tc>
          <w:tcPr>
            <w:tcW w:w="1084" w:type="dxa"/>
          </w:tcPr>
          <w:p w14:paraId="5761D39E" w14:textId="77777777" w:rsidR="00A56EE9" w:rsidRDefault="00A56EE9" w:rsidP="00BB6AD5">
            <w:pPr>
              <w:ind w:right="-158"/>
              <w:contextualSpacing/>
              <w:rPr>
                <w:sz w:val="16"/>
                <w:szCs w:val="16"/>
              </w:rPr>
            </w:pPr>
            <w:r>
              <w:rPr>
                <w:sz w:val="16"/>
                <w:szCs w:val="16"/>
              </w:rPr>
              <w:t>Effective (E)</w:t>
            </w:r>
          </w:p>
        </w:tc>
        <w:tc>
          <w:tcPr>
            <w:tcW w:w="0" w:type="auto"/>
          </w:tcPr>
          <w:p w14:paraId="5761D39F"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05344" behindDoc="1" locked="0" layoutInCell="1" allowOverlap="1" wp14:anchorId="57620C86" wp14:editId="57620C87">
                      <wp:simplePos x="0" y="0"/>
                      <wp:positionH relativeFrom="column">
                        <wp:posOffset>-50800</wp:posOffset>
                      </wp:positionH>
                      <wp:positionV relativeFrom="paragraph">
                        <wp:posOffset>26670</wp:posOffset>
                      </wp:positionV>
                      <wp:extent cx="95250" cy="104775"/>
                      <wp:effectExtent l="0" t="0" r="19050" b="28575"/>
                      <wp:wrapSquare wrapText="bothSides"/>
                      <wp:docPr id="45" name="Rectangle 45"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A"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86" id="Rectangle 45" o:spid="_x0000_s1059" alt="Title: Rectangle - Description: Rectangle coloured dark green" style="position:absolute;margin-left:-4pt;margin-top:2.1pt;width:7.5pt;height:8.2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" fillcolor="#060" strokecolor="black [3213]" strokeweight="1pt">
                      <v:textbox>
                        <w:txbxContent>
                          <w:p w14:paraId="57620D1A"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3A0" w14:textId="77777777" w:rsidR="00A56EE9" w:rsidRDefault="00A56EE9" w:rsidP="00BB6AD5">
            <w:pPr>
              <w:contextualSpacing/>
              <w:rPr>
                <w:sz w:val="16"/>
                <w:szCs w:val="16"/>
              </w:rPr>
            </w:pPr>
            <w:r>
              <w:rPr>
                <w:sz w:val="16"/>
                <w:szCs w:val="16"/>
              </w:rPr>
              <w:t>Mostly effective (ME)</w:t>
            </w:r>
          </w:p>
        </w:tc>
        <w:tc>
          <w:tcPr>
            <w:tcW w:w="0" w:type="auto"/>
          </w:tcPr>
          <w:p w14:paraId="5761D3A1"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02272" behindDoc="0" locked="0" layoutInCell="1" allowOverlap="1" wp14:anchorId="57620C88" wp14:editId="57620C89">
                      <wp:simplePos x="0" y="0"/>
                      <wp:positionH relativeFrom="column">
                        <wp:posOffset>-41275</wp:posOffset>
                      </wp:positionH>
                      <wp:positionV relativeFrom="paragraph">
                        <wp:posOffset>22860</wp:posOffset>
                      </wp:positionV>
                      <wp:extent cx="95250" cy="104775"/>
                      <wp:effectExtent l="0" t="0" r="19050" b="28575"/>
                      <wp:wrapNone/>
                      <wp:docPr id="46" name="Rectangle 46"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B"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88" id="Rectangle 46" o:spid="_x0000_s1060" alt="Title: Rectangle - Description: Rectangle coloured light green" style="position:absolute;margin-left:-3.25pt;margin-top:1.8pt;width:7.5pt;height:8.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" fillcolor="#92d050" strokecolor="black [3213]" strokeweight="1pt">
                      <v:textbox>
                        <w:txbxContent>
                          <w:p w14:paraId="57620D1B" w14:textId="77777777" w:rsidR="008B5998" w:rsidRDefault="008B5998" w:rsidP="00BB6AD5">
                            <w:pPr>
                              <w:jc w:val="center"/>
                            </w:pPr>
                          </w:p>
                        </w:txbxContent>
                      </v:textbox>
                    </v:rect>
                  </w:pict>
                </mc:Fallback>
              </mc:AlternateContent>
            </w:r>
            <w:r>
              <w:rPr>
                <w:sz w:val="16"/>
                <w:szCs w:val="16"/>
              </w:rPr>
              <w:t>;</w:t>
            </w:r>
          </w:p>
        </w:tc>
        <w:tc>
          <w:tcPr>
            <w:tcW w:w="0" w:type="auto"/>
          </w:tcPr>
          <w:p w14:paraId="5761D3A2" w14:textId="77777777" w:rsidR="00A56EE9" w:rsidRDefault="00A56EE9" w:rsidP="00BB6AD5">
            <w:pPr>
              <w:contextualSpacing/>
              <w:rPr>
                <w:sz w:val="16"/>
                <w:szCs w:val="16"/>
              </w:rPr>
            </w:pPr>
            <w:r>
              <w:rPr>
                <w:sz w:val="16"/>
                <w:szCs w:val="16"/>
              </w:rPr>
              <w:t>Partially effective (PE)</w:t>
            </w:r>
          </w:p>
        </w:tc>
        <w:tc>
          <w:tcPr>
            <w:tcW w:w="0" w:type="auto"/>
          </w:tcPr>
          <w:p w14:paraId="5761D3A3"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03296" behindDoc="0" locked="0" layoutInCell="1" allowOverlap="1" wp14:anchorId="57620C8A" wp14:editId="57620C8B">
                      <wp:simplePos x="0" y="0"/>
                      <wp:positionH relativeFrom="column">
                        <wp:posOffset>-65405</wp:posOffset>
                      </wp:positionH>
                      <wp:positionV relativeFrom="paragraph">
                        <wp:posOffset>19685</wp:posOffset>
                      </wp:positionV>
                      <wp:extent cx="95250" cy="104775"/>
                      <wp:effectExtent l="0" t="0" r="19050" b="28575"/>
                      <wp:wrapNone/>
                      <wp:docPr id="47" name="Rectangle 47"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C"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8A" id="Rectangle 47" o:spid="_x0000_s1061" alt="Title: Rectangle - Description: Rectangle coloured orange" style="position:absolute;margin-left:-5.15pt;margin-top:1.55pt;width:7.5pt;height:8.25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" fillcolor="#ffc000" strokecolor="black [3213]" strokeweight="1pt">
                      <v:textbox>
                        <w:txbxContent>
                          <w:p w14:paraId="57620D1C" w14:textId="77777777" w:rsidR="008B5998" w:rsidRDefault="008B5998" w:rsidP="00BB6AD5">
                            <w:pPr>
                              <w:jc w:val="center"/>
                            </w:pPr>
                          </w:p>
                        </w:txbxContent>
                      </v:textbox>
                    </v:rect>
                  </w:pict>
                </mc:Fallback>
              </mc:AlternateContent>
            </w:r>
            <w:r>
              <w:rPr>
                <w:sz w:val="16"/>
                <w:szCs w:val="16"/>
              </w:rPr>
              <w:t>;</w:t>
            </w:r>
          </w:p>
        </w:tc>
        <w:tc>
          <w:tcPr>
            <w:tcW w:w="0" w:type="auto"/>
          </w:tcPr>
          <w:p w14:paraId="5761D3A4" w14:textId="77777777" w:rsidR="00A56EE9" w:rsidRDefault="00A56EE9" w:rsidP="00BB6AD5">
            <w:pPr>
              <w:contextualSpacing/>
              <w:rPr>
                <w:sz w:val="16"/>
                <w:szCs w:val="16"/>
              </w:rPr>
            </w:pPr>
            <w:r>
              <w:rPr>
                <w:sz w:val="16"/>
                <w:szCs w:val="16"/>
              </w:rPr>
              <w:t>Ineffective (I)</w:t>
            </w:r>
          </w:p>
        </w:tc>
        <w:tc>
          <w:tcPr>
            <w:tcW w:w="0" w:type="auto"/>
          </w:tcPr>
          <w:p w14:paraId="5761D3A5"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04320" behindDoc="0" locked="0" layoutInCell="1" allowOverlap="1" wp14:anchorId="57620C8C" wp14:editId="57620C8D">
                      <wp:simplePos x="0" y="0"/>
                      <wp:positionH relativeFrom="column">
                        <wp:posOffset>-50165</wp:posOffset>
                      </wp:positionH>
                      <wp:positionV relativeFrom="paragraph">
                        <wp:posOffset>24130</wp:posOffset>
                      </wp:positionV>
                      <wp:extent cx="95250" cy="104775"/>
                      <wp:effectExtent l="0" t="0" r="19050" b="28575"/>
                      <wp:wrapNone/>
                      <wp:docPr id="48" name="Rectangle 48"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D"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8C" id="Rectangle 48" o:spid="_x0000_s1062" alt="Title: Rectangle - Description: Rectangle coloured red" style="position:absolute;margin-left:-3.95pt;margin-top:1.9pt;width:7.5pt;height:8.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" fillcolor="red" strokecolor="black [3213]" strokeweight="1pt">
                      <v:textbox>
                        <w:txbxContent>
                          <w:p w14:paraId="57620D1D" w14:textId="77777777" w:rsidR="008B5998" w:rsidRDefault="008B5998" w:rsidP="00BB6AD5">
                            <w:pPr>
                              <w:jc w:val="center"/>
                            </w:pPr>
                          </w:p>
                        </w:txbxContent>
                      </v:textbox>
                    </v:rect>
                  </w:pict>
                </mc:Fallback>
              </mc:AlternateContent>
            </w:r>
            <w:r>
              <w:rPr>
                <w:sz w:val="16"/>
                <w:szCs w:val="16"/>
              </w:rPr>
              <w:t>;</w:t>
            </w:r>
          </w:p>
        </w:tc>
      </w:tr>
    </w:tbl>
    <w:p w14:paraId="5761D3A7" w14:textId="77777777" w:rsidR="00A56EE9" w:rsidRPr="004F2ABF" w:rsidRDefault="00A56EE9" w:rsidP="00BB6AD5">
      <w:pPr>
        <w:spacing w:after="0" w:line="240" w:lineRule="auto"/>
        <w:ind w:left="1704"/>
        <w:contextualSpacing/>
      </w:pPr>
      <w:r w:rsidRPr="004F2ABF">
        <w:rPr>
          <w:rFonts w:ascii="Cambria Math" w:hAnsi="Cambria Math" w:cs="Cambria Math"/>
        </w:rPr>
        <w:t>⬆</w:t>
      </w:r>
      <w:r>
        <w:t xml:space="preserve"> </w:t>
      </w:r>
      <w:r w:rsidRPr="006C34EB">
        <w:rPr>
          <w:sz w:val="16"/>
          <w:szCs w:val="16"/>
        </w:rPr>
        <w:t>Trend since 20</w:t>
      </w:r>
      <w:r>
        <w:rPr>
          <w:sz w:val="16"/>
          <w:szCs w:val="16"/>
        </w:rPr>
        <w:t>14</w:t>
      </w:r>
      <w:r w:rsidRPr="006C34EB">
        <w:rPr>
          <w:sz w:val="16"/>
          <w:szCs w:val="16"/>
        </w:rPr>
        <w:t xml:space="preserve"> has been an upwards change in grade</w:t>
      </w:r>
    </w:p>
    <w:p w14:paraId="5761D3A8" w14:textId="77777777" w:rsidR="00A56EE9" w:rsidRPr="004F2ABF" w:rsidRDefault="00A56EE9" w:rsidP="00BB6AD5">
      <w:pPr>
        <w:spacing w:after="0" w:line="240" w:lineRule="auto"/>
        <w:ind w:left="1704"/>
        <w:contextualSpacing/>
        <w:rPr>
          <w:b/>
        </w:rPr>
      </w:pPr>
      <w:r w:rsidRPr="004F2ABF">
        <w:rPr>
          <w:rFonts w:ascii="Cambria Math" w:hAnsi="Cambria Math" w:cs="Cambria Math"/>
          <w:b/>
        </w:rPr>
        <w:t>↗</w:t>
      </w:r>
      <w:r w:rsidRPr="004F2ABF">
        <w:rPr>
          <w:b/>
        </w:rPr>
        <w:t xml:space="preserve"> </w:t>
      </w:r>
      <w:r w:rsidRPr="006C34EB">
        <w:rPr>
          <w:sz w:val="16"/>
          <w:szCs w:val="16"/>
        </w:rPr>
        <w:t>Trend since 20</w:t>
      </w:r>
      <w:r>
        <w:rPr>
          <w:sz w:val="16"/>
          <w:szCs w:val="16"/>
        </w:rPr>
        <w:t>14</w:t>
      </w:r>
      <w:r w:rsidRPr="006C34EB">
        <w:rPr>
          <w:sz w:val="16"/>
          <w:szCs w:val="16"/>
        </w:rPr>
        <w:t xml:space="preserve"> is increasing but has not caused an upwards grade change</w:t>
      </w:r>
    </w:p>
    <w:p w14:paraId="5761D3A9" w14:textId="77777777" w:rsidR="00A56EE9" w:rsidRPr="009F119E" w:rsidRDefault="00A56EE9" w:rsidP="00BB6AD5">
      <w:pPr>
        <w:spacing w:after="0" w:line="240" w:lineRule="auto"/>
        <w:ind w:left="1704"/>
        <w:contextualSpacing/>
      </w:pPr>
      <w:r>
        <w:rPr>
          <w:rFonts w:ascii="Cambria Math" w:hAnsi="Cambria Math" w:cs="Cambria Math"/>
          <w:b/>
        </w:rPr>
        <w:t>↔</w:t>
      </w:r>
      <w:r w:rsidRPr="004F2ABF">
        <w:t xml:space="preserve"> </w:t>
      </w:r>
      <w:r w:rsidRPr="006C34EB">
        <w:rPr>
          <w:sz w:val="16"/>
          <w:szCs w:val="16"/>
        </w:rPr>
        <w:t xml:space="preserve">Grade has </w:t>
      </w:r>
      <w:r>
        <w:rPr>
          <w:sz w:val="16"/>
          <w:szCs w:val="16"/>
        </w:rPr>
        <w:t>remained stable compared to 2014</w:t>
      </w:r>
      <w:r w:rsidRPr="006C34EB">
        <w:rPr>
          <w:sz w:val="16"/>
          <w:szCs w:val="16"/>
        </w:rPr>
        <w:t>, with no major trends</w:t>
      </w:r>
      <w:r w:rsidRPr="004F2ABF">
        <w:t xml:space="preserve"> </w:t>
      </w:r>
    </w:p>
    <w:p w14:paraId="5761D3AA" w14:textId="77777777" w:rsidR="00A56EE9" w:rsidRDefault="00A56EE9" w:rsidP="007F1AA6">
      <w:pPr>
        <w:spacing w:line="240" w:lineRule="auto"/>
        <w:ind w:left="1572" w:firstLine="588"/>
        <w:contextualSpacing/>
        <w:rPr>
          <w:sz w:val="16"/>
          <w:szCs w:val="16"/>
        </w:rPr>
      </w:pPr>
      <w:r>
        <w:rPr>
          <w:sz w:val="16"/>
          <w:szCs w:val="16"/>
        </w:rPr>
        <w:t>The</w:t>
      </w:r>
      <w:r w:rsidRPr="008E4F3E">
        <w:rPr>
          <w:sz w:val="16"/>
          <w:szCs w:val="16"/>
        </w:rPr>
        <w:t xml:space="preserve"> topic was not assessed in 2009</w:t>
      </w:r>
    </w:p>
    <w:p w14:paraId="5761D3AC" w14:textId="77777777" w:rsidR="00A56EE9" w:rsidRDefault="00A56EE9" w:rsidP="00A11869">
      <w:pPr>
        <w:pStyle w:val="Heading2"/>
        <w:numPr>
          <w:ilvl w:val="1"/>
          <w:numId w:val="17"/>
        </w:numPr>
        <w:ind w:left="357" w:hanging="357"/>
      </w:pPr>
      <w:bookmarkStart w:id="84" w:name="_Toc523423786"/>
      <w:r>
        <w:t>Traditional Use of Marine Resources</w:t>
      </w:r>
      <w:bookmarkEnd w:id="84"/>
    </w:p>
    <w:p w14:paraId="5761D3AD" w14:textId="77777777" w:rsidR="00A56EE9" w:rsidRPr="007F0D8F" w:rsidRDefault="00A56EE9" w:rsidP="00E3690C">
      <w:pPr>
        <w:spacing w:line="276" w:lineRule="auto"/>
      </w:pPr>
      <w:bookmarkStart w:id="85" w:name="_Hlk508269516"/>
      <w:r w:rsidRPr="007F0D8F">
        <w:t xml:space="preserve">The program to develop and implement agreements </w:t>
      </w:r>
      <w:r>
        <w:t xml:space="preserve">regarding </w:t>
      </w:r>
      <w:r w:rsidRPr="007F0D8F">
        <w:t xml:space="preserve">the </w:t>
      </w:r>
      <w:r>
        <w:t>T</w:t>
      </w:r>
      <w:r w:rsidRPr="007F0D8F">
        <w:t xml:space="preserve">raditional </w:t>
      </w:r>
      <w:r>
        <w:t>U</w:t>
      </w:r>
      <w:r w:rsidRPr="007F0D8F">
        <w:t xml:space="preserve">se of </w:t>
      </w:r>
      <w:r>
        <w:t>M</w:t>
      </w:r>
      <w:r w:rsidRPr="007F0D8F">
        <w:t xml:space="preserve">arine </w:t>
      </w:r>
      <w:r>
        <w:t>R</w:t>
      </w:r>
      <w:r w:rsidRPr="007F0D8F">
        <w:t>esources remains one of the success stories in management</w:t>
      </w:r>
      <w:r>
        <w:t xml:space="preserve"> of the Region</w:t>
      </w:r>
      <w:r w:rsidRPr="007F0D8F">
        <w:t>.</w:t>
      </w:r>
    </w:p>
    <w:bookmarkEnd w:id="85"/>
    <w:p w14:paraId="5761D3AE" w14:textId="77777777" w:rsidR="00A56EE9" w:rsidRPr="007F0D8F" w:rsidRDefault="00A56EE9" w:rsidP="00E3690C">
      <w:pPr>
        <w:spacing w:line="276" w:lineRule="auto"/>
      </w:pPr>
      <w:r w:rsidRPr="007F0D8F">
        <w:t xml:space="preserve">Under the </w:t>
      </w:r>
      <w:r w:rsidRPr="007F0D8F">
        <w:rPr>
          <w:i/>
        </w:rPr>
        <w:t>Native Title Act 1993</w:t>
      </w:r>
      <w:r w:rsidRPr="007F0D8F">
        <w:t xml:space="preserve">, Aboriginal and Torres Strait Islander people from more than 70 Traditional Owner clan groups along the </w:t>
      </w:r>
      <w:r>
        <w:t>R</w:t>
      </w:r>
      <w:r w:rsidRPr="007F0D8F">
        <w:t>eef have rights in relation to the harvest and use of marine resources for traditional uses within their land and sea country. Traditional use of marine resources is the undertaking of activities as</w:t>
      </w:r>
      <w:r>
        <w:t xml:space="preserve"> </w:t>
      </w:r>
      <w:r w:rsidRPr="007F0D8F">
        <w:t>part of Aboriginal and Torres Strait Islander people's cultures, customs or traditions for the purpose of satisfying personal, domestic or communal needs.</w:t>
      </w:r>
    </w:p>
    <w:p w14:paraId="5761D3AF" w14:textId="77777777" w:rsidR="00A56EE9" w:rsidRDefault="00A56EE9" w:rsidP="00E3690C">
      <w:pPr>
        <w:spacing w:line="276" w:lineRule="auto"/>
      </w:pPr>
      <w:bookmarkStart w:id="86" w:name="_Hlk508269549"/>
      <w:r>
        <w:t xml:space="preserve">Most of the ratings for effectiveness of the </w:t>
      </w:r>
      <w:r w:rsidRPr="007F0D8F">
        <w:t>Traditional Use of Marine Resources Agreements (</w:t>
      </w:r>
      <w:r>
        <w:t xml:space="preserve">TUMRA) program have remained the same since the Outlook Report 2014 (Table 12). Context has declined from </w:t>
      </w:r>
      <w:r w:rsidRPr="00D07110">
        <w:rPr>
          <w:i/>
        </w:rPr>
        <w:t>effective</w:t>
      </w:r>
      <w:r>
        <w:t xml:space="preserve"> to </w:t>
      </w:r>
      <w:r w:rsidRPr="00D07110">
        <w:rPr>
          <w:i/>
        </w:rPr>
        <w:t>mostly effective</w:t>
      </w:r>
      <w:r>
        <w:t xml:space="preserve">, due to the challenges of understanding threats, impacts and current status of the relevant values in times of rapid change, especially due to the impacts of coral bleaching, cyclones and climate change. Outputs have increased from </w:t>
      </w:r>
      <w:r w:rsidRPr="00D07110">
        <w:rPr>
          <w:i/>
        </w:rPr>
        <w:t>mostly effective</w:t>
      </w:r>
      <w:r>
        <w:t xml:space="preserve"> to </w:t>
      </w:r>
      <w:r w:rsidRPr="00D07110">
        <w:rPr>
          <w:i/>
        </w:rPr>
        <w:t>effective</w:t>
      </w:r>
      <w:r>
        <w:t>, with new TUMRAs being developed and targets being met.</w:t>
      </w:r>
    </w:p>
    <w:p w14:paraId="5761D3B0" w14:textId="77777777" w:rsidR="00A56EE9" w:rsidRPr="007F0D8F" w:rsidRDefault="00A56EE9" w:rsidP="00E3690C">
      <w:pPr>
        <w:spacing w:line="276" w:lineRule="auto"/>
      </w:pPr>
      <w:r w:rsidRPr="007F0D8F">
        <w:t xml:space="preserve">Traditional </w:t>
      </w:r>
      <w:r>
        <w:t>u</w:t>
      </w:r>
      <w:r w:rsidRPr="007F0D8F">
        <w:t xml:space="preserve">se of </w:t>
      </w:r>
      <w:r>
        <w:t>m</w:t>
      </w:r>
      <w:r w:rsidRPr="007F0D8F">
        <w:t xml:space="preserve">arine </w:t>
      </w:r>
      <w:r>
        <w:t>r</w:t>
      </w:r>
      <w:r w:rsidRPr="007F0D8F">
        <w:t>esources is primarily managed through TUMRAs</w:t>
      </w:r>
      <w:r>
        <w:t>, which are statutory agreements under the Great Barrier Reef Marine Park Regulations (and mirrored in state legislation)</w:t>
      </w:r>
      <w:r w:rsidRPr="007F0D8F">
        <w:t xml:space="preserve">. The framework for TUMRAs complements existing community-based measures developed by some Traditional Owner groups to manage their use of some of these resources. TUMRAs promote sustainable use of </w:t>
      </w:r>
      <w:r>
        <w:t>marine resources, notably t</w:t>
      </w:r>
      <w:r w:rsidRPr="007F0D8F">
        <w:t>hreatened species such as dugongs and green turtles</w:t>
      </w:r>
      <w:r>
        <w:t xml:space="preserve">. They also </w:t>
      </w:r>
      <w:r w:rsidRPr="007F0D8F">
        <w:t xml:space="preserve">incorporate </w:t>
      </w:r>
      <w:r>
        <w:t xml:space="preserve">monitoring and </w:t>
      </w:r>
      <w:r w:rsidRPr="007F0D8F">
        <w:t xml:space="preserve">management of other species and ecosystems such as seagrass, oyster beds and shellfish. The </w:t>
      </w:r>
      <w:r>
        <w:t>Marine Park Authority</w:t>
      </w:r>
      <w:r w:rsidRPr="007F0D8F">
        <w:t xml:space="preserve"> and Queensland Government jointly accredit TUMRAs. </w:t>
      </w:r>
      <w:r>
        <w:t xml:space="preserve">Nine </w:t>
      </w:r>
      <w:r w:rsidRPr="007F0D8F">
        <w:t>TUMRAs (</w:t>
      </w:r>
      <w:r>
        <w:t xml:space="preserve">Mandubarra, </w:t>
      </w:r>
      <w:r w:rsidRPr="007F0D8F">
        <w:t xml:space="preserve">Girringun region, Woppaburra, Wuthathi, Port Curtis Coral Coast, Lama Lama, Yuku-Baja-Muliku, Gunggandji, </w:t>
      </w:r>
      <w:r>
        <w:t xml:space="preserve">and </w:t>
      </w:r>
      <w:r w:rsidRPr="007F0D8F">
        <w:t>Yirriganydji</w:t>
      </w:r>
      <w:r>
        <w:t>)</w:t>
      </w:r>
      <w:r w:rsidRPr="007F0D8F">
        <w:t xml:space="preserve"> and one marine Indigenous Land Use Agreement (Kuuku Ya’u People’s Indigenous Land Use Agreement) </w:t>
      </w:r>
      <w:r>
        <w:t>are accredited</w:t>
      </w:r>
      <w:r w:rsidRPr="007F0D8F">
        <w:t>, covering about 2</w:t>
      </w:r>
      <w:r>
        <w:t>5</w:t>
      </w:r>
      <w:r w:rsidRPr="007F0D8F">
        <w:t xml:space="preserve"> per cent of the </w:t>
      </w:r>
      <w:r>
        <w:t>Region’s coastline</w:t>
      </w:r>
      <w:r w:rsidRPr="007F0D8F">
        <w:t xml:space="preserve">. This is an increase of two agreements since 2014. </w:t>
      </w:r>
      <w:r>
        <w:t>Another</w:t>
      </w:r>
      <w:r w:rsidRPr="007F0D8F">
        <w:t xml:space="preserve"> TUMRA </w:t>
      </w:r>
      <w:r>
        <w:t>is</w:t>
      </w:r>
      <w:r w:rsidRPr="007F0D8F">
        <w:t xml:space="preserve"> currently in </w:t>
      </w:r>
      <w:r>
        <w:t>development.</w:t>
      </w:r>
    </w:p>
    <w:bookmarkEnd w:id="86"/>
    <w:p w14:paraId="5761D3B1" w14:textId="77777777" w:rsidR="00A56EE9" w:rsidRPr="007F0D8F" w:rsidRDefault="00A56EE9" w:rsidP="00E3690C">
      <w:pPr>
        <w:spacing w:line="276" w:lineRule="auto"/>
      </w:pPr>
      <w:r w:rsidRPr="007F0D8F">
        <w:t xml:space="preserve">TUMRA Frameworks also provide mechanisms and support for many other activities conducted by Traditional Owner groups, including monitoring, education, community activities and management within their land and sea country. </w:t>
      </w:r>
      <w:r>
        <w:t xml:space="preserve">Indigenous Rangers employed under both Australian and Queensland government arrangements, as well as within the Field Management Program, help to uphold compliance across the Region and undertake natural resource management activities. This may also include supporting TUMRAs in conjunction with Traditional Owners. </w:t>
      </w:r>
      <w:r w:rsidRPr="007F0D8F">
        <w:t xml:space="preserve">Some 15 Reef 2050 actions involve or are supported by the TUMRA program. This </w:t>
      </w:r>
      <w:r>
        <w:t xml:space="preserve">section of the </w:t>
      </w:r>
      <w:r w:rsidRPr="007F0D8F">
        <w:t xml:space="preserve">report thus overlaps with the </w:t>
      </w:r>
      <w:r>
        <w:t>section</w:t>
      </w:r>
      <w:r w:rsidRPr="007F0D8F">
        <w:t xml:space="preserve"> on Heritage, which includes actions to sustain and protect Indigenous </w:t>
      </w:r>
      <w:r>
        <w:t>H</w:t>
      </w:r>
      <w:r w:rsidRPr="007F0D8F">
        <w:t xml:space="preserve">eritage. Aspiration statements, clear objectives and implementation plans are part of the </w:t>
      </w:r>
      <w:r>
        <w:t>TUMRA</w:t>
      </w:r>
      <w:r w:rsidRPr="007F0D8F">
        <w:t xml:space="preserve"> package, although the agreements, implementation plans and reporting on outcomes are not available to the public. The TUMRA program has been successful in meeting all its milestones and objectives. </w:t>
      </w:r>
    </w:p>
    <w:p w14:paraId="5761D3B2" w14:textId="118026B0" w:rsidR="00A56EE9" w:rsidRPr="007F0D8F" w:rsidRDefault="00A56EE9" w:rsidP="00E3690C">
      <w:pPr>
        <w:spacing w:line="276" w:lineRule="auto"/>
        <w:rPr>
          <w:lang w:val="en-GB"/>
        </w:rPr>
      </w:pPr>
      <w:r>
        <w:rPr>
          <w:lang w:val="en-GB"/>
        </w:rPr>
        <w:t>In</w:t>
      </w:r>
      <w:r w:rsidRPr="007F0D8F">
        <w:rPr>
          <w:lang w:val="en-GB"/>
        </w:rPr>
        <w:t xml:space="preserve">formation about </w:t>
      </w:r>
      <w:r>
        <w:rPr>
          <w:lang w:val="en-GB"/>
        </w:rPr>
        <w:t xml:space="preserve">the status of </w:t>
      </w:r>
      <w:r w:rsidRPr="007F0D8F">
        <w:rPr>
          <w:lang w:val="en-GB"/>
        </w:rPr>
        <w:t xml:space="preserve">dugong, turtles, and other marine species is </w:t>
      </w:r>
      <w:r>
        <w:rPr>
          <w:lang w:val="en-GB"/>
        </w:rPr>
        <w:t>fairly reliable</w:t>
      </w:r>
      <w:r w:rsidRPr="007F0D8F">
        <w:rPr>
          <w:lang w:val="en-GB"/>
        </w:rPr>
        <w:t xml:space="preserve"> and is based on recent scientific surveys of dugongs, adult turtles</w:t>
      </w:r>
      <w:r>
        <w:rPr>
          <w:lang w:val="en-GB"/>
        </w:rPr>
        <w:t>, though rapid changes due to climate change and events such as cyclones and floods can influence the status of these species</w:t>
      </w:r>
      <w:r w:rsidRPr="007F0D8F">
        <w:rPr>
          <w:lang w:val="en-GB"/>
        </w:rPr>
        <w:t>. As these are high-profile</w:t>
      </w:r>
      <w:r>
        <w:rPr>
          <w:lang w:val="en-GB"/>
        </w:rPr>
        <w:t xml:space="preserve"> and culturally important</w:t>
      </w:r>
      <w:r w:rsidRPr="007F0D8F">
        <w:rPr>
          <w:lang w:val="en-GB"/>
        </w:rPr>
        <w:t xml:space="preserve"> species, the information is communicated to and understood by managers within Traditional Owner groups </w:t>
      </w:r>
      <w:r>
        <w:rPr>
          <w:lang w:val="en-GB"/>
        </w:rPr>
        <w:t>and Marine Park Authority</w:t>
      </w:r>
      <w:r w:rsidRPr="007F0D8F">
        <w:rPr>
          <w:lang w:val="en-GB"/>
        </w:rPr>
        <w:t xml:space="preserve">/QPWS. Managers also have a good understanding of the legislation at </w:t>
      </w:r>
      <w:r>
        <w:rPr>
          <w:lang w:val="en-GB"/>
        </w:rPr>
        <w:t>Queensland</w:t>
      </w:r>
      <w:r w:rsidRPr="007F0D8F">
        <w:rPr>
          <w:lang w:val="en-GB"/>
        </w:rPr>
        <w:t xml:space="preserve"> and </w:t>
      </w:r>
      <w:r>
        <w:rPr>
          <w:lang w:val="en-GB"/>
        </w:rPr>
        <w:t>Australian government</w:t>
      </w:r>
      <w:r w:rsidRPr="007F0D8F">
        <w:rPr>
          <w:lang w:val="en-GB"/>
        </w:rPr>
        <w:t xml:space="preserve"> level, and national and international obligations in relation to biodiversity conservation and the rights of Indigenous peoples.</w:t>
      </w:r>
    </w:p>
    <w:p w14:paraId="5761D3B3" w14:textId="6C26E08F" w:rsidR="00A56EE9" w:rsidRPr="007F0D8F" w:rsidRDefault="00A56EE9" w:rsidP="00E3690C">
      <w:pPr>
        <w:spacing w:line="276" w:lineRule="auto"/>
      </w:pPr>
      <w:bookmarkStart w:id="87" w:name="_Hlk508269640"/>
      <w:r w:rsidRPr="007F0D8F">
        <w:t xml:space="preserve">Research </w:t>
      </w:r>
      <w:r>
        <w:t>has</w:t>
      </w:r>
      <w:r w:rsidRPr="007F0D8F">
        <w:t xml:space="preserve"> estimated the impact of traditional use on marine resources and </w:t>
      </w:r>
      <w:r>
        <w:t>supports an</w:t>
      </w:r>
      <w:r w:rsidRPr="007F0D8F">
        <w:t xml:space="preserve"> informed statement that this is a minor and localised impact compared to factors such as climate change and extreme climatic events, marine debris </w:t>
      </w:r>
      <w:r>
        <w:t>(</w:t>
      </w:r>
      <w:r w:rsidRPr="007F0D8F">
        <w:t>especially abandoned fishing nets</w:t>
      </w:r>
      <w:r>
        <w:t>)</w:t>
      </w:r>
      <w:r w:rsidRPr="007F0D8F">
        <w:t xml:space="preserve">, boat strike, pollution, sedimentation, and hunting outside the </w:t>
      </w:r>
      <w:r>
        <w:t>Region</w:t>
      </w:r>
      <w:r w:rsidRPr="007F0D8F">
        <w:t xml:space="preserve"> </w:t>
      </w:r>
      <w:r>
        <w:rPr>
          <w:noProof/>
        </w:rPr>
        <w:t>(Marsh and Hamman, 2016, Commonwealth of Australia, 2017)</w:t>
      </w:r>
      <w:r w:rsidRPr="007F0D8F">
        <w:t xml:space="preserve">. However, given the low numbers of dugongs, some Traditional Owner groups have decided to forego their traditional rights and not take any </w:t>
      </w:r>
      <w:r>
        <w:t>for cultural purposes until numbers recover.</w:t>
      </w:r>
      <w:r w:rsidRPr="007F0D8F">
        <w:t xml:space="preserve"> </w:t>
      </w:r>
      <w:bookmarkEnd w:id="87"/>
      <w:r w:rsidRPr="007F0D8F">
        <w:t>The cumulative impacts of all other</w:t>
      </w:r>
      <w:r>
        <w:t xml:space="preserve"> threats</w:t>
      </w:r>
      <w:r w:rsidRPr="007F0D8F">
        <w:t>, and the ability of species to recover, are less well understood</w:t>
      </w:r>
      <w:r>
        <w:t>.</w:t>
      </w:r>
      <w:r w:rsidRPr="007F0D8F">
        <w:t xml:space="preserve"> </w:t>
      </w:r>
      <w:r>
        <w:t>It</w:t>
      </w:r>
      <w:r w:rsidRPr="007F0D8F">
        <w:t xml:space="preserve"> is clear that impacts from the range of </w:t>
      </w:r>
      <w:r>
        <w:t xml:space="preserve">other major </w:t>
      </w:r>
      <w:r w:rsidRPr="007F0D8F">
        <w:t>threats</w:t>
      </w:r>
      <w:r>
        <w:t xml:space="preserve"> to the Reef,</w:t>
      </w:r>
      <w:r w:rsidRPr="007F0D8F">
        <w:t xml:space="preserve"> </w:t>
      </w:r>
      <w:r>
        <w:t xml:space="preserve">including those listed above, </w:t>
      </w:r>
      <w:r w:rsidRPr="007F0D8F">
        <w:t>have affected Traditional Owners’ use of the marine environment and thus their ability to continue important cultural practices.</w:t>
      </w:r>
    </w:p>
    <w:p w14:paraId="5761D3B4" w14:textId="77777777" w:rsidR="00A56EE9" w:rsidRPr="007F0D8F" w:rsidRDefault="00A56EE9" w:rsidP="00E3690C">
      <w:pPr>
        <w:spacing w:line="276" w:lineRule="auto"/>
      </w:pPr>
      <w:r w:rsidRPr="007F0D8F">
        <w:t xml:space="preserve">The effectiveness of engagement of broader stakeholders and local communities is highly variable. There have been some examples (2015-16) of disputes in multiple-use areas where the activities of tourism operators and visitors conflict with Traditional Owner use of marine resources in the sea country areas where they express their native title rights. Some of these tensions </w:t>
      </w:r>
      <w:r>
        <w:t>were</w:t>
      </w:r>
      <w:r w:rsidRPr="007F0D8F">
        <w:t xml:space="preserve"> relieved by the Gunggandji Traditional Use of Marine Resources Agreement signed in June 2016. </w:t>
      </w:r>
    </w:p>
    <w:p w14:paraId="5761D3B5" w14:textId="1DD74E52" w:rsidR="00A56EE9" w:rsidRPr="007F0D8F" w:rsidRDefault="00A56EE9" w:rsidP="00E3690C">
      <w:pPr>
        <w:spacing w:line="276" w:lineRule="auto"/>
      </w:pPr>
      <w:bookmarkStart w:id="88" w:name="_Hlk508269759"/>
      <w:r w:rsidRPr="007F0D8F">
        <w:t xml:space="preserve">There has been strong engagement by both </w:t>
      </w:r>
      <w:r>
        <w:t>Marine Park Authority</w:t>
      </w:r>
      <w:r w:rsidRPr="007F0D8F">
        <w:t xml:space="preserve"> and </w:t>
      </w:r>
      <w:r>
        <w:t>F</w:t>
      </w:r>
      <w:r w:rsidRPr="007F0D8F">
        <w:t xml:space="preserve">ield </w:t>
      </w:r>
      <w:r>
        <w:t>M</w:t>
      </w:r>
      <w:r w:rsidRPr="007F0D8F">
        <w:t xml:space="preserve">anagement staff with Traditional Owner groups in relation to traditional use of marine resources. </w:t>
      </w:r>
      <w:r>
        <w:t>There was</w:t>
      </w:r>
      <w:r w:rsidRPr="007F0D8F">
        <w:t xml:space="preserve"> some concern </w:t>
      </w:r>
      <w:r>
        <w:t>about</w:t>
      </w:r>
      <w:r w:rsidRPr="007F0D8F">
        <w:t xml:space="preserve"> the capacity of</w:t>
      </w:r>
      <w:r>
        <w:t xml:space="preserve"> the Marine Park Authority</w:t>
      </w:r>
      <w:r w:rsidRPr="007F0D8F">
        <w:t xml:space="preserve"> to engage on a continuing basis</w:t>
      </w:r>
      <w:r>
        <w:t xml:space="preserve">. While </w:t>
      </w:r>
      <w:r w:rsidRPr="007F0D8F">
        <w:t xml:space="preserve">securing TUMRAs over the remaining areas of the </w:t>
      </w:r>
      <w:r>
        <w:t xml:space="preserve">Region </w:t>
      </w:r>
      <w:r w:rsidRPr="007F0D8F">
        <w:t xml:space="preserve">is important, the process cannot be rushed, and continuing dedicated resources are needed to build and maintain relationships and support existing TUMRA groups, as well as </w:t>
      </w:r>
      <w:r>
        <w:t>supporting the development of new agreements</w:t>
      </w:r>
      <w:r w:rsidRPr="007F0D8F">
        <w:t>.</w:t>
      </w:r>
      <w:r>
        <w:t xml:space="preserve"> </w:t>
      </w:r>
      <w:r w:rsidRPr="007665E5">
        <w:t>Funding announced in 2018 secured resourcing for the TUMRA program</w:t>
      </w:r>
      <w:r>
        <w:t>, meaning that appropriate levels of engagement should be possible.</w:t>
      </w:r>
      <w:r w:rsidRPr="007F0D8F">
        <w:t xml:space="preserve"> </w:t>
      </w:r>
    </w:p>
    <w:p w14:paraId="5761D3B6" w14:textId="77777777" w:rsidR="00A56EE9" w:rsidRPr="007F0D8F" w:rsidRDefault="00A56EE9" w:rsidP="00E3690C">
      <w:pPr>
        <w:spacing w:line="276" w:lineRule="auto"/>
      </w:pPr>
      <w:bookmarkStart w:id="89" w:name="_Hlk508269486"/>
      <w:bookmarkEnd w:id="88"/>
      <w:r w:rsidRPr="007F0D8F">
        <w:t xml:space="preserve">Compliance training </w:t>
      </w:r>
      <w:r>
        <w:t>was</w:t>
      </w:r>
      <w:r w:rsidRPr="007F0D8F">
        <w:t xml:space="preserve"> delivered to more than 500 Traditional Owners over 2016-17, strengthening their ability to enforce their TUMRA both within their communities and in case</w:t>
      </w:r>
      <w:r>
        <w:t>s</w:t>
      </w:r>
      <w:r w:rsidRPr="007F0D8F">
        <w:t xml:space="preserve"> where people from outside hunt within their sea country.</w:t>
      </w:r>
    </w:p>
    <w:p w14:paraId="5761D3B7" w14:textId="77777777" w:rsidR="00A56EE9" w:rsidRPr="007F0D8F" w:rsidRDefault="00A56EE9" w:rsidP="00E3690C">
      <w:pPr>
        <w:spacing w:line="276" w:lineRule="auto"/>
      </w:pPr>
      <w:r w:rsidRPr="007F0D8F">
        <w:t>In those communities where TUMRAs are established, this has formed a major focus for activities related to management of Sea Country and Indigenous Heritage.</w:t>
      </w:r>
      <w:bookmarkEnd w:id="89"/>
      <w:r w:rsidRPr="007F0D8F">
        <w:t xml:space="preserve"> Outcomes include better management of marine resources and </w:t>
      </w:r>
      <w:r>
        <w:t xml:space="preserve">have </w:t>
      </w:r>
      <w:r w:rsidRPr="007F0D8F">
        <w:t>benefit</w:t>
      </w:r>
      <w:r>
        <w:t>t</w:t>
      </w:r>
      <w:r w:rsidRPr="007F0D8F">
        <w:t>e</w:t>
      </w:r>
      <w:r>
        <w:t>d</w:t>
      </w:r>
      <w:r w:rsidRPr="007F0D8F">
        <w:t xml:space="preserve"> </w:t>
      </w:r>
      <w:r>
        <w:t xml:space="preserve">Traditional Owners </w:t>
      </w:r>
      <w:r w:rsidRPr="007F0D8F">
        <w:t xml:space="preserve">through employment and training. Social, economic and health outcomes </w:t>
      </w:r>
      <w:r>
        <w:t>have not been formally assessed</w:t>
      </w:r>
      <w:r w:rsidRPr="007F0D8F">
        <w:t>, but are likely to also be substantial, as are outcomes from Indigenous Ranger program generally (van Bueren et al., 2015).</w:t>
      </w:r>
      <w:r>
        <w:t xml:space="preserve"> </w:t>
      </w:r>
    </w:p>
    <w:p w14:paraId="5761D3B8" w14:textId="24DB6E5E" w:rsidR="00A56EE9" w:rsidRPr="003D54F2" w:rsidRDefault="00A56EE9" w:rsidP="00BB6AD5">
      <w:pPr>
        <w:pStyle w:val="Caption"/>
        <w:keepNext/>
        <w:spacing w:line="240" w:lineRule="auto"/>
        <w:jc w:val="center"/>
      </w:pPr>
      <w:bookmarkStart w:id="90" w:name="_Ref259285260"/>
      <w:bookmarkStart w:id="91" w:name="_Toc389205086"/>
      <w:bookmarkStart w:id="92" w:name="_Toc525654457"/>
      <w:r w:rsidRPr="002B5F80">
        <w:t xml:space="preserve">Table </w:t>
      </w:r>
      <w:r>
        <w:fldChar w:fldCharType="begin"/>
      </w:r>
      <w:r>
        <w:instrText xml:space="preserve"> SEQ Table \* ARABIC </w:instrText>
      </w:r>
      <w:r>
        <w:fldChar w:fldCharType="separate"/>
      </w:r>
      <w:r w:rsidR="00A4170C">
        <w:rPr>
          <w:noProof/>
        </w:rPr>
        <w:t>12</w:t>
      </w:r>
      <w:r>
        <w:rPr>
          <w:noProof/>
        </w:rPr>
        <w:fldChar w:fldCharType="end"/>
      </w:r>
      <w:bookmarkEnd w:id="90"/>
      <w:r w:rsidRPr="002B5F80">
        <w:t xml:space="preserve"> Assessment results for </w:t>
      </w:r>
      <w:r>
        <w:t>T</w:t>
      </w:r>
      <w:r w:rsidRPr="002B5F80">
        <w:t xml:space="preserve">raditional </w:t>
      </w:r>
      <w:r>
        <w:t>U</w:t>
      </w:r>
      <w:r w:rsidRPr="002B5F80">
        <w:t xml:space="preserve">se of </w:t>
      </w:r>
      <w:r>
        <w:t>M</w:t>
      </w:r>
      <w:r w:rsidRPr="002B5F80">
        <w:t xml:space="preserve">arine </w:t>
      </w:r>
      <w:r>
        <w:t>R</w:t>
      </w:r>
      <w:r w:rsidRPr="002B5F80">
        <w:t>esources</w:t>
      </w:r>
      <w:bookmarkEnd w:id="91"/>
      <w:bookmarkEnd w:id="92"/>
    </w:p>
    <w:tbl>
      <w:tblPr>
        <w:tblStyle w:val="TableGrid"/>
        <w:tblW w:w="5000" w:type="pct"/>
        <w:jc w:val="center"/>
        <w:tblLayout w:type="fixed"/>
        <w:tblLook w:val="04A0" w:firstRow="1" w:lastRow="0" w:firstColumn="1" w:lastColumn="0" w:noHBand="0" w:noVBand="1"/>
        <w:tblCaption w:val="Table 5 Assessment results for Traditional Use of Marine Resources"/>
        <w:tblDescription w:val="Grades and trends for the management effectiveness for TUMRAs&#10;Context: Effective; declined&#10;Planning: Effective; stable&#10;Inputs: Mostly effective; stable &#10;Processes:Mostly effective; stable&#10;Outputs: Effective; improved&#10;Outcomes: Effective; stable"/>
      </w:tblPr>
      <w:tblGrid>
        <w:gridCol w:w="4586"/>
        <w:gridCol w:w="1424"/>
        <w:gridCol w:w="1422"/>
        <w:gridCol w:w="1584"/>
      </w:tblGrid>
      <w:tr w:rsidR="00A56EE9" w:rsidRPr="003D54F2" w14:paraId="5761D3BD" w14:textId="77777777" w:rsidTr="00BB6AD5">
        <w:trPr>
          <w:trHeight w:val="441"/>
          <w:tblHeader/>
          <w:jc w:val="center"/>
        </w:trPr>
        <w:tc>
          <w:tcPr>
            <w:tcW w:w="2284" w:type="dxa"/>
            <w:vAlign w:val="center"/>
          </w:tcPr>
          <w:p w14:paraId="5761D3B9" w14:textId="77777777" w:rsidR="00A56EE9" w:rsidRPr="003D54F2" w:rsidRDefault="00A56EE9" w:rsidP="00BB6AD5">
            <w:pPr>
              <w:keepNext/>
              <w:jc w:val="both"/>
              <w:rPr>
                <w:b/>
              </w:rPr>
            </w:pPr>
            <w:r>
              <w:rPr>
                <w:b/>
              </w:rPr>
              <w:t>Traditional use of marine resources</w:t>
            </w:r>
          </w:p>
        </w:tc>
        <w:tc>
          <w:tcPr>
            <w:tcW w:w="709" w:type="dxa"/>
            <w:vAlign w:val="center"/>
          </w:tcPr>
          <w:p w14:paraId="5761D3BA" w14:textId="77777777" w:rsidR="00A56EE9" w:rsidRPr="004A4864" w:rsidRDefault="00A56EE9" w:rsidP="00BB6AD5">
            <w:pPr>
              <w:keepNext/>
              <w:jc w:val="both"/>
              <w:rPr>
                <w:b/>
              </w:rPr>
            </w:pPr>
            <w:r w:rsidRPr="004A4864">
              <w:rPr>
                <w:b/>
              </w:rPr>
              <w:t>2009</w:t>
            </w:r>
          </w:p>
        </w:tc>
        <w:tc>
          <w:tcPr>
            <w:tcW w:w="708" w:type="dxa"/>
            <w:vAlign w:val="center"/>
          </w:tcPr>
          <w:p w14:paraId="5761D3BB" w14:textId="77777777" w:rsidR="00A56EE9" w:rsidRPr="004A4864" w:rsidRDefault="00A56EE9" w:rsidP="00BB6AD5">
            <w:pPr>
              <w:keepNext/>
              <w:jc w:val="both"/>
              <w:rPr>
                <w:b/>
              </w:rPr>
            </w:pPr>
            <w:r w:rsidRPr="004A4864">
              <w:rPr>
                <w:b/>
              </w:rPr>
              <w:t>2014</w:t>
            </w:r>
          </w:p>
        </w:tc>
        <w:tc>
          <w:tcPr>
            <w:tcW w:w="789" w:type="dxa"/>
            <w:tcBorders>
              <w:bottom w:val="single" w:sz="4" w:space="0" w:color="auto"/>
            </w:tcBorders>
            <w:vAlign w:val="center"/>
          </w:tcPr>
          <w:p w14:paraId="5761D3BC" w14:textId="77777777" w:rsidR="00A56EE9" w:rsidRPr="004A4864" w:rsidRDefault="00A56EE9" w:rsidP="00BB6AD5">
            <w:pPr>
              <w:keepNext/>
              <w:jc w:val="both"/>
              <w:rPr>
                <w:b/>
              </w:rPr>
            </w:pPr>
            <w:r w:rsidRPr="004A4864">
              <w:rPr>
                <w:b/>
              </w:rPr>
              <w:t>2019</w:t>
            </w:r>
          </w:p>
        </w:tc>
      </w:tr>
      <w:tr w:rsidR="00A56EE9" w:rsidRPr="003D54F2" w14:paraId="5761D3C2" w14:textId="77777777" w:rsidTr="00BB6AD5">
        <w:trPr>
          <w:jc w:val="center"/>
        </w:trPr>
        <w:tc>
          <w:tcPr>
            <w:tcW w:w="2284" w:type="dxa"/>
            <w:vAlign w:val="center"/>
          </w:tcPr>
          <w:p w14:paraId="5761D3BE" w14:textId="77777777" w:rsidR="00A56EE9" w:rsidRPr="003D54F2" w:rsidRDefault="00A56EE9" w:rsidP="00BB6AD5">
            <w:pPr>
              <w:keepNext/>
              <w:rPr>
                <w:b/>
              </w:rPr>
            </w:pPr>
            <w:r w:rsidRPr="003D54F2">
              <w:rPr>
                <w:b/>
              </w:rPr>
              <w:t>Context</w:t>
            </w:r>
          </w:p>
        </w:tc>
        <w:tc>
          <w:tcPr>
            <w:tcW w:w="709" w:type="dxa"/>
            <w:tcBorders>
              <w:bottom w:val="single" w:sz="4" w:space="0" w:color="auto"/>
            </w:tcBorders>
            <w:shd w:val="clear" w:color="auto" w:fill="538135" w:themeFill="accent6" w:themeFillShade="BF"/>
            <w:vAlign w:val="center"/>
          </w:tcPr>
          <w:p w14:paraId="5761D3BF" w14:textId="77777777" w:rsidR="00A56EE9" w:rsidRPr="00E15040" w:rsidRDefault="00A56EE9" w:rsidP="00BB6AD5">
            <w:pPr>
              <w:keepNext/>
              <w:jc w:val="center"/>
              <w:rPr>
                <w:rFonts w:ascii="Cambria Math" w:hAnsi="Cambria Math"/>
                <w:b/>
                <w:sz w:val="24"/>
                <w:szCs w:val="24"/>
              </w:rPr>
            </w:pPr>
          </w:p>
        </w:tc>
        <w:tc>
          <w:tcPr>
            <w:tcW w:w="708" w:type="dxa"/>
            <w:shd w:val="clear" w:color="auto" w:fill="538135" w:themeFill="accent6" w:themeFillShade="BF"/>
            <w:vAlign w:val="center"/>
          </w:tcPr>
          <w:p w14:paraId="5761D3C0"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b/>
              </w:rPr>
              <w:t>↗</w:t>
            </w:r>
          </w:p>
        </w:tc>
        <w:tc>
          <w:tcPr>
            <w:tcW w:w="789" w:type="dxa"/>
            <w:tcBorders>
              <w:bottom w:val="single" w:sz="4" w:space="0" w:color="auto"/>
            </w:tcBorders>
            <w:shd w:val="clear" w:color="auto" w:fill="A8D08D" w:themeFill="accent6" w:themeFillTint="99"/>
            <w:vAlign w:val="center"/>
          </w:tcPr>
          <w:p w14:paraId="5761D3C1"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rPr>
              <w:t>⬇</w:t>
            </w:r>
          </w:p>
        </w:tc>
      </w:tr>
      <w:tr w:rsidR="00A56EE9" w:rsidRPr="003D54F2" w14:paraId="5761D3C7" w14:textId="77777777" w:rsidTr="00BB6AD5">
        <w:trPr>
          <w:jc w:val="center"/>
        </w:trPr>
        <w:tc>
          <w:tcPr>
            <w:tcW w:w="2284" w:type="dxa"/>
            <w:vAlign w:val="center"/>
          </w:tcPr>
          <w:p w14:paraId="5761D3C3" w14:textId="77777777" w:rsidR="00A56EE9" w:rsidRPr="003D54F2" w:rsidRDefault="00A56EE9" w:rsidP="00BB6AD5">
            <w:pPr>
              <w:keepNext/>
              <w:rPr>
                <w:b/>
              </w:rPr>
            </w:pPr>
            <w:r w:rsidRPr="003D54F2">
              <w:rPr>
                <w:b/>
              </w:rPr>
              <w:t>Planning</w:t>
            </w:r>
          </w:p>
        </w:tc>
        <w:tc>
          <w:tcPr>
            <w:tcW w:w="709" w:type="dxa"/>
            <w:shd w:val="clear" w:color="auto" w:fill="A8D08D" w:themeFill="accent6" w:themeFillTint="99"/>
            <w:vAlign w:val="center"/>
          </w:tcPr>
          <w:p w14:paraId="5761D3C4" w14:textId="77777777" w:rsidR="00A56EE9" w:rsidRPr="00E15040" w:rsidRDefault="00A56EE9" w:rsidP="00BB6AD5">
            <w:pPr>
              <w:keepNext/>
              <w:jc w:val="center"/>
              <w:rPr>
                <w:rFonts w:ascii="Cambria Math" w:hAnsi="Cambria Math"/>
                <w:b/>
                <w:sz w:val="24"/>
                <w:szCs w:val="24"/>
              </w:rPr>
            </w:pPr>
          </w:p>
        </w:tc>
        <w:tc>
          <w:tcPr>
            <w:tcW w:w="708" w:type="dxa"/>
            <w:shd w:val="clear" w:color="auto" w:fill="538135" w:themeFill="accent6" w:themeFillShade="BF"/>
            <w:vAlign w:val="center"/>
          </w:tcPr>
          <w:p w14:paraId="5761D3C5"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rPr>
              <w:t>⬆</w:t>
            </w:r>
          </w:p>
        </w:tc>
        <w:tc>
          <w:tcPr>
            <w:tcW w:w="789" w:type="dxa"/>
            <w:shd w:val="clear" w:color="auto" w:fill="538135" w:themeFill="accent6" w:themeFillShade="BF"/>
            <w:vAlign w:val="center"/>
          </w:tcPr>
          <w:p w14:paraId="5761D3C6"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3CC" w14:textId="77777777" w:rsidTr="00BB6AD5">
        <w:trPr>
          <w:jc w:val="center"/>
        </w:trPr>
        <w:tc>
          <w:tcPr>
            <w:tcW w:w="2284" w:type="dxa"/>
            <w:vAlign w:val="center"/>
          </w:tcPr>
          <w:p w14:paraId="5761D3C8" w14:textId="77777777" w:rsidR="00A56EE9" w:rsidRPr="003D54F2" w:rsidRDefault="00A56EE9" w:rsidP="00BB6AD5">
            <w:pPr>
              <w:keepNext/>
              <w:rPr>
                <w:b/>
              </w:rPr>
            </w:pPr>
            <w:r w:rsidRPr="003D54F2">
              <w:rPr>
                <w:b/>
              </w:rPr>
              <w:t>Inputs</w:t>
            </w:r>
          </w:p>
        </w:tc>
        <w:tc>
          <w:tcPr>
            <w:tcW w:w="709" w:type="dxa"/>
            <w:shd w:val="clear" w:color="auto" w:fill="FFC000" w:themeFill="accent4"/>
            <w:vAlign w:val="center"/>
          </w:tcPr>
          <w:p w14:paraId="5761D3C9" w14:textId="77777777" w:rsidR="00A56EE9" w:rsidRPr="00E15040" w:rsidRDefault="00A56EE9" w:rsidP="00BB6AD5">
            <w:pPr>
              <w:keepNext/>
              <w:jc w:val="center"/>
              <w:rPr>
                <w:rFonts w:ascii="Cambria Math" w:hAnsi="Cambria Math"/>
                <w:b/>
                <w:sz w:val="24"/>
                <w:szCs w:val="24"/>
              </w:rPr>
            </w:pPr>
          </w:p>
        </w:tc>
        <w:tc>
          <w:tcPr>
            <w:tcW w:w="708" w:type="dxa"/>
            <w:shd w:val="clear" w:color="auto" w:fill="A8D08D" w:themeFill="accent6" w:themeFillTint="99"/>
            <w:vAlign w:val="center"/>
          </w:tcPr>
          <w:p w14:paraId="5761D3CA"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rPr>
              <w:t>⬆</w:t>
            </w:r>
          </w:p>
        </w:tc>
        <w:tc>
          <w:tcPr>
            <w:tcW w:w="789" w:type="dxa"/>
            <w:shd w:val="clear" w:color="auto" w:fill="A8D08D" w:themeFill="accent6" w:themeFillTint="99"/>
            <w:vAlign w:val="center"/>
          </w:tcPr>
          <w:p w14:paraId="5761D3CB"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3D1" w14:textId="77777777" w:rsidTr="00BB6AD5">
        <w:trPr>
          <w:jc w:val="center"/>
        </w:trPr>
        <w:tc>
          <w:tcPr>
            <w:tcW w:w="2284" w:type="dxa"/>
            <w:vAlign w:val="center"/>
          </w:tcPr>
          <w:p w14:paraId="5761D3CD" w14:textId="77777777" w:rsidR="00A56EE9" w:rsidRPr="003D54F2" w:rsidRDefault="00A56EE9" w:rsidP="00BB6AD5">
            <w:pPr>
              <w:keepNext/>
              <w:rPr>
                <w:b/>
              </w:rPr>
            </w:pPr>
            <w:r w:rsidRPr="003D54F2">
              <w:rPr>
                <w:b/>
              </w:rPr>
              <w:t>Processes</w:t>
            </w:r>
          </w:p>
        </w:tc>
        <w:tc>
          <w:tcPr>
            <w:tcW w:w="709" w:type="dxa"/>
            <w:shd w:val="clear" w:color="auto" w:fill="A8D08D" w:themeFill="accent6" w:themeFillTint="99"/>
            <w:vAlign w:val="center"/>
          </w:tcPr>
          <w:p w14:paraId="5761D3CE" w14:textId="77777777" w:rsidR="00A56EE9" w:rsidRPr="00E15040" w:rsidRDefault="00A56EE9" w:rsidP="00BB6AD5">
            <w:pPr>
              <w:keepNext/>
              <w:rPr>
                <w:rFonts w:ascii="Cambria Math" w:hAnsi="Cambria Math"/>
                <w:b/>
                <w:sz w:val="24"/>
                <w:szCs w:val="24"/>
              </w:rPr>
            </w:pPr>
          </w:p>
        </w:tc>
        <w:tc>
          <w:tcPr>
            <w:tcW w:w="708" w:type="dxa"/>
            <w:shd w:val="clear" w:color="auto" w:fill="A8D08D" w:themeFill="accent6" w:themeFillTint="99"/>
            <w:vAlign w:val="center"/>
          </w:tcPr>
          <w:p w14:paraId="5761D3CF"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b/>
              </w:rPr>
              <w:t>↗</w:t>
            </w:r>
          </w:p>
        </w:tc>
        <w:tc>
          <w:tcPr>
            <w:tcW w:w="789" w:type="dxa"/>
            <w:tcBorders>
              <w:bottom w:val="single" w:sz="4" w:space="0" w:color="auto"/>
            </w:tcBorders>
            <w:shd w:val="clear" w:color="auto" w:fill="A8D08D" w:themeFill="accent6" w:themeFillTint="99"/>
            <w:vAlign w:val="center"/>
          </w:tcPr>
          <w:p w14:paraId="5761D3D0"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3D6" w14:textId="77777777" w:rsidTr="00BB6AD5">
        <w:trPr>
          <w:jc w:val="center"/>
        </w:trPr>
        <w:tc>
          <w:tcPr>
            <w:tcW w:w="2284" w:type="dxa"/>
            <w:vAlign w:val="center"/>
          </w:tcPr>
          <w:p w14:paraId="5761D3D2" w14:textId="77777777" w:rsidR="00A56EE9" w:rsidRPr="003D54F2" w:rsidRDefault="00A56EE9" w:rsidP="00BB6AD5">
            <w:pPr>
              <w:keepNext/>
              <w:rPr>
                <w:b/>
              </w:rPr>
            </w:pPr>
            <w:r w:rsidRPr="003D54F2">
              <w:rPr>
                <w:b/>
              </w:rPr>
              <w:t>Outputs</w:t>
            </w:r>
          </w:p>
        </w:tc>
        <w:tc>
          <w:tcPr>
            <w:tcW w:w="709" w:type="dxa"/>
            <w:shd w:val="clear" w:color="auto" w:fill="A8D08D" w:themeFill="accent6" w:themeFillTint="99"/>
            <w:vAlign w:val="center"/>
          </w:tcPr>
          <w:p w14:paraId="5761D3D3" w14:textId="77777777" w:rsidR="00A56EE9" w:rsidRPr="00E15040" w:rsidRDefault="00A56EE9" w:rsidP="00BB6AD5">
            <w:pPr>
              <w:keepNext/>
              <w:jc w:val="center"/>
              <w:rPr>
                <w:rFonts w:ascii="Cambria Math" w:hAnsi="Cambria Math"/>
                <w:b/>
                <w:sz w:val="24"/>
                <w:szCs w:val="24"/>
              </w:rPr>
            </w:pPr>
          </w:p>
        </w:tc>
        <w:tc>
          <w:tcPr>
            <w:tcW w:w="708" w:type="dxa"/>
            <w:shd w:val="clear" w:color="auto" w:fill="A8D08D" w:themeFill="accent6" w:themeFillTint="99"/>
            <w:vAlign w:val="center"/>
          </w:tcPr>
          <w:p w14:paraId="5761D3D4"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c>
          <w:tcPr>
            <w:tcW w:w="789" w:type="dxa"/>
            <w:tcBorders>
              <w:bottom w:val="single" w:sz="4" w:space="0" w:color="auto"/>
            </w:tcBorders>
            <w:shd w:val="clear" w:color="auto" w:fill="538135" w:themeFill="accent6" w:themeFillShade="BF"/>
            <w:vAlign w:val="center"/>
          </w:tcPr>
          <w:p w14:paraId="5761D3D5"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rPr>
              <w:t>⬆</w:t>
            </w:r>
          </w:p>
        </w:tc>
      </w:tr>
      <w:tr w:rsidR="00A56EE9" w:rsidRPr="003D54F2" w14:paraId="5761D3DB" w14:textId="77777777" w:rsidTr="00BB6AD5">
        <w:trPr>
          <w:jc w:val="center"/>
        </w:trPr>
        <w:tc>
          <w:tcPr>
            <w:tcW w:w="2284" w:type="dxa"/>
            <w:vAlign w:val="center"/>
          </w:tcPr>
          <w:p w14:paraId="5761D3D7" w14:textId="77777777" w:rsidR="00A56EE9" w:rsidRPr="003D54F2" w:rsidRDefault="00A56EE9" w:rsidP="00BB6AD5">
            <w:pPr>
              <w:keepNext/>
              <w:rPr>
                <w:b/>
              </w:rPr>
            </w:pPr>
            <w:r w:rsidRPr="003D54F2">
              <w:rPr>
                <w:b/>
              </w:rPr>
              <w:t>Outcomes</w:t>
            </w:r>
          </w:p>
        </w:tc>
        <w:tc>
          <w:tcPr>
            <w:tcW w:w="709" w:type="dxa"/>
            <w:shd w:val="clear" w:color="auto" w:fill="A8D08D" w:themeFill="accent6" w:themeFillTint="99"/>
            <w:vAlign w:val="center"/>
          </w:tcPr>
          <w:p w14:paraId="5761D3D8" w14:textId="77777777" w:rsidR="00A56EE9" w:rsidRPr="00E15040" w:rsidRDefault="00A56EE9" w:rsidP="00BB6AD5">
            <w:pPr>
              <w:keepNext/>
              <w:jc w:val="center"/>
              <w:rPr>
                <w:rFonts w:ascii="Cambria Math" w:hAnsi="Cambria Math"/>
                <w:b/>
                <w:sz w:val="24"/>
                <w:szCs w:val="24"/>
              </w:rPr>
            </w:pPr>
          </w:p>
        </w:tc>
        <w:tc>
          <w:tcPr>
            <w:tcW w:w="708" w:type="dxa"/>
            <w:shd w:val="clear" w:color="auto" w:fill="538135" w:themeFill="accent6" w:themeFillShade="BF"/>
            <w:vAlign w:val="center"/>
          </w:tcPr>
          <w:p w14:paraId="5761D3D9"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rPr>
              <w:t>⬆</w:t>
            </w:r>
          </w:p>
        </w:tc>
        <w:tc>
          <w:tcPr>
            <w:tcW w:w="789" w:type="dxa"/>
            <w:shd w:val="clear" w:color="auto" w:fill="538135" w:themeFill="accent6" w:themeFillShade="BF"/>
            <w:vAlign w:val="center"/>
          </w:tcPr>
          <w:p w14:paraId="5761D3DA"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bl>
    <w:p w14:paraId="5761D3DC" w14:textId="77777777" w:rsidR="00A56EE9" w:rsidRDefault="00A56EE9" w:rsidP="00BB6AD5">
      <w:pPr>
        <w:spacing w:line="240" w:lineRule="auto"/>
        <w:ind w:firstLine="2268"/>
        <w:contextualSpacing/>
        <w:rPr>
          <w:sz w:val="16"/>
          <w:szCs w:val="16"/>
        </w:rPr>
      </w:pPr>
      <w:r>
        <w:rPr>
          <w:sz w:val="16"/>
          <w:szCs w:val="16"/>
        </w:rPr>
        <w:t xml:space="preserve">Management effective assessment is colour coded: </w:t>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261"/>
      </w:tblGrid>
      <w:tr w:rsidR="00A56EE9" w14:paraId="5761D3E5" w14:textId="77777777" w:rsidTr="00BB6AD5">
        <w:trPr>
          <w:tblHeader/>
        </w:trPr>
        <w:tc>
          <w:tcPr>
            <w:tcW w:w="1084" w:type="dxa"/>
          </w:tcPr>
          <w:p w14:paraId="5761D3DD" w14:textId="77777777" w:rsidR="00A56EE9" w:rsidRDefault="00A56EE9" w:rsidP="00BB6AD5">
            <w:pPr>
              <w:ind w:right="-158"/>
              <w:contextualSpacing/>
              <w:rPr>
                <w:sz w:val="16"/>
                <w:szCs w:val="16"/>
              </w:rPr>
            </w:pPr>
            <w:r>
              <w:rPr>
                <w:sz w:val="16"/>
                <w:szCs w:val="16"/>
              </w:rPr>
              <w:t>Effective (E)</w:t>
            </w:r>
          </w:p>
        </w:tc>
        <w:tc>
          <w:tcPr>
            <w:tcW w:w="0" w:type="auto"/>
          </w:tcPr>
          <w:p w14:paraId="5761D3DE"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62336" behindDoc="1" locked="0" layoutInCell="1" allowOverlap="1" wp14:anchorId="57620C8E" wp14:editId="57620C8F">
                      <wp:simplePos x="0" y="0"/>
                      <wp:positionH relativeFrom="column">
                        <wp:posOffset>-50800</wp:posOffset>
                      </wp:positionH>
                      <wp:positionV relativeFrom="paragraph">
                        <wp:posOffset>26670</wp:posOffset>
                      </wp:positionV>
                      <wp:extent cx="95250" cy="104775"/>
                      <wp:effectExtent l="0" t="0" r="19050" b="28575"/>
                      <wp:wrapSquare wrapText="bothSides"/>
                      <wp:docPr id="49" name="Rectangle 49"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E"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8E" id="Rectangle 49" o:spid="_x0000_s1063" alt="Title: Rectangle - Description: Rectangle coloured dark green" style="position:absolute;margin-left:-4pt;margin-top:2.1pt;width:7.5pt;height:8.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" fillcolor="#060" strokecolor="black [3213]" strokeweight="1pt">
                      <v:textbox>
                        <w:txbxContent>
                          <w:p w14:paraId="57620D1E"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3DF" w14:textId="77777777" w:rsidR="00A56EE9" w:rsidRDefault="00A56EE9" w:rsidP="00BB6AD5">
            <w:pPr>
              <w:contextualSpacing/>
              <w:rPr>
                <w:sz w:val="16"/>
                <w:szCs w:val="16"/>
              </w:rPr>
            </w:pPr>
            <w:r>
              <w:rPr>
                <w:sz w:val="16"/>
                <w:szCs w:val="16"/>
              </w:rPr>
              <w:t>Mostly effective (ME)</w:t>
            </w:r>
          </w:p>
        </w:tc>
        <w:tc>
          <w:tcPr>
            <w:tcW w:w="0" w:type="auto"/>
          </w:tcPr>
          <w:p w14:paraId="5761D3E0"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59264" behindDoc="0" locked="0" layoutInCell="1" allowOverlap="1" wp14:anchorId="57620C90" wp14:editId="57620C91">
                      <wp:simplePos x="0" y="0"/>
                      <wp:positionH relativeFrom="column">
                        <wp:posOffset>-41275</wp:posOffset>
                      </wp:positionH>
                      <wp:positionV relativeFrom="paragraph">
                        <wp:posOffset>22860</wp:posOffset>
                      </wp:positionV>
                      <wp:extent cx="95250" cy="104775"/>
                      <wp:effectExtent l="0" t="0" r="19050" b="28575"/>
                      <wp:wrapNone/>
                      <wp:docPr id="50" name="Rectangle 50"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1F"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90" id="Rectangle 50" o:spid="_x0000_s1064" alt="Title: Rectangle - Description: Rectangle coloured light green" style="position:absolute;margin-left:-3.25pt;margin-top:1.8pt;width:7.5pt;height: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" fillcolor="#92d050" strokecolor="black [3213]" strokeweight="1pt">
                      <v:textbox>
                        <w:txbxContent>
                          <w:p w14:paraId="57620D1F" w14:textId="77777777" w:rsidR="008B5998" w:rsidRDefault="008B5998" w:rsidP="00BB6AD5">
                            <w:pPr>
                              <w:jc w:val="center"/>
                            </w:pPr>
                          </w:p>
                        </w:txbxContent>
                      </v:textbox>
                    </v:rect>
                  </w:pict>
                </mc:Fallback>
              </mc:AlternateContent>
            </w:r>
            <w:r>
              <w:rPr>
                <w:sz w:val="16"/>
                <w:szCs w:val="16"/>
              </w:rPr>
              <w:t>;</w:t>
            </w:r>
          </w:p>
        </w:tc>
        <w:tc>
          <w:tcPr>
            <w:tcW w:w="0" w:type="auto"/>
          </w:tcPr>
          <w:p w14:paraId="5761D3E1" w14:textId="77777777" w:rsidR="00A56EE9" w:rsidRDefault="00A56EE9" w:rsidP="00BB6AD5">
            <w:pPr>
              <w:contextualSpacing/>
              <w:rPr>
                <w:sz w:val="16"/>
                <w:szCs w:val="16"/>
              </w:rPr>
            </w:pPr>
            <w:r>
              <w:rPr>
                <w:sz w:val="16"/>
                <w:szCs w:val="16"/>
              </w:rPr>
              <w:t>Partially effective (PE)</w:t>
            </w:r>
          </w:p>
        </w:tc>
        <w:tc>
          <w:tcPr>
            <w:tcW w:w="0" w:type="auto"/>
          </w:tcPr>
          <w:p w14:paraId="5761D3E2"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60288" behindDoc="0" locked="0" layoutInCell="1" allowOverlap="1" wp14:anchorId="57620C92" wp14:editId="57620C93">
                      <wp:simplePos x="0" y="0"/>
                      <wp:positionH relativeFrom="column">
                        <wp:posOffset>-65405</wp:posOffset>
                      </wp:positionH>
                      <wp:positionV relativeFrom="paragraph">
                        <wp:posOffset>19685</wp:posOffset>
                      </wp:positionV>
                      <wp:extent cx="95250" cy="104775"/>
                      <wp:effectExtent l="0" t="0" r="19050" b="28575"/>
                      <wp:wrapNone/>
                      <wp:docPr id="51" name="Rectangle 51"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20"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92" id="Rectangle 51" o:spid="_x0000_s1065" alt="Title: Rectangle - Description: Rectangle coloured orange" style="position:absolute;margin-left:-5.15pt;margin-top:1.55pt;width:7.5pt;height:8.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" fillcolor="#ffc000" strokecolor="black [3213]" strokeweight="1pt">
                      <v:textbox>
                        <w:txbxContent>
                          <w:p w14:paraId="57620D20" w14:textId="77777777" w:rsidR="008B5998" w:rsidRDefault="008B5998" w:rsidP="00BB6AD5">
                            <w:pPr>
                              <w:jc w:val="center"/>
                            </w:pPr>
                          </w:p>
                        </w:txbxContent>
                      </v:textbox>
                    </v:rect>
                  </w:pict>
                </mc:Fallback>
              </mc:AlternateContent>
            </w:r>
            <w:r>
              <w:rPr>
                <w:sz w:val="16"/>
                <w:szCs w:val="16"/>
              </w:rPr>
              <w:t>;</w:t>
            </w:r>
          </w:p>
        </w:tc>
        <w:tc>
          <w:tcPr>
            <w:tcW w:w="0" w:type="auto"/>
          </w:tcPr>
          <w:p w14:paraId="5761D3E3" w14:textId="77777777" w:rsidR="00A56EE9" w:rsidRDefault="00A56EE9" w:rsidP="00BB6AD5">
            <w:pPr>
              <w:contextualSpacing/>
              <w:rPr>
                <w:sz w:val="16"/>
                <w:szCs w:val="16"/>
              </w:rPr>
            </w:pPr>
            <w:r>
              <w:rPr>
                <w:sz w:val="16"/>
                <w:szCs w:val="16"/>
              </w:rPr>
              <w:t>Ineffective (I)</w:t>
            </w:r>
          </w:p>
        </w:tc>
        <w:tc>
          <w:tcPr>
            <w:tcW w:w="0" w:type="auto"/>
          </w:tcPr>
          <w:p w14:paraId="5761D3E4"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61312" behindDoc="0" locked="0" layoutInCell="1" allowOverlap="1" wp14:anchorId="57620C94" wp14:editId="57620C95">
                      <wp:simplePos x="0" y="0"/>
                      <wp:positionH relativeFrom="column">
                        <wp:posOffset>-50165</wp:posOffset>
                      </wp:positionH>
                      <wp:positionV relativeFrom="paragraph">
                        <wp:posOffset>24130</wp:posOffset>
                      </wp:positionV>
                      <wp:extent cx="95250" cy="104775"/>
                      <wp:effectExtent l="0" t="0" r="19050" b="28575"/>
                      <wp:wrapNone/>
                      <wp:docPr id="52" name="Rectangle 52"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21"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94" id="Rectangle 52" o:spid="_x0000_s1066" alt="Title: Rectangle - Description: Rectangle coloured red" style="position:absolute;margin-left:-3.95pt;margin-top:1.9pt;width:7.5pt;height: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" fillcolor="red" strokecolor="black [3213]" strokeweight="1pt">
                      <v:textbox>
                        <w:txbxContent>
                          <w:p w14:paraId="57620D21" w14:textId="77777777" w:rsidR="008B5998" w:rsidRDefault="008B5998" w:rsidP="00BB6AD5">
                            <w:pPr>
                              <w:jc w:val="center"/>
                            </w:pPr>
                          </w:p>
                        </w:txbxContent>
                      </v:textbox>
                    </v:rect>
                  </w:pict>
                </mc:Fallback>
              </mc:AlternateContent>
            </w:r>
            <w:r>
              <w:rPr>
                <w:sz w:val="16"/>
                <w:szCs w:val="16"/>
              </w:rPr>
              <w:t>;</w:t>
            </w:r>
          </w:p>
        </w:tc>
      </w:tr>
    </w:tbl>
    <w:p w14:paraId="5761D3E6" w14:textId="77777777" w:rsidR="00A56EE9" w:rsidRPr="004F2ABF" w:rsidRDefault="00A56EE9" w:rsidP="00BB6AD5">
      <w:pPr>
        <w:spacing w:after="0" w:line="240" w:lineRule="auto"/>
        <w:ind w:left="1704"/>
        <w:contextualSpacing/>
      </w:pPr>
      <w:r w:rsidRPr="004F2ABF">
        <w:rPr>
          <w:rFonts w:ascii="Cambria Math" w:hAnsi="Cambria Math" w:cs="Cambria Math"/>
        </w:rPr>
        <w:t>⬆</w:t>
      </w:r>
      <w:r>
        <w:t xml:space="preserve"> </w:t>
      </w:r>
      <w:r>
        <w:rPr>
          <w:sz w:val="16"/>
          <w:szCs w:val="16"/>
        </w:rPr>
        <w:t>Trend since 2009, 2014</w:t>
      </w:r>
      <w:r w:rsidRPr="006C34EB">
        <w:rPr>
          <w:sz w:val="16"/>
          <w:szCs w:val="16"/>
        </w:rPr>
        <w:t xml:space="preserve"> has been an upwards change in grade</w:t>
      </w:r>
    </w:p>
    <w:p w14:paraId="5761D3E7" w14:textId="77777777" w:rsidR="00A56EE9" w:rsidRPr="004F2ABF" w:rsidRDefault="00A56EE9" w:rsidP="00BB6AD5">
      <w:pPr>
        <w:spacing w:after="0" w:line="240" w:lineRule="auto"/>
        <w:ind w:left="1704"/>
        <w:contextualSpacing/>
        <w:rPr>
          <w:b/>
        </w:rPr>
      </w:pPr>
      <w:r w:rsidRPr="004F2ABF">
        <w:rPr>
          <w:rFonts w:ascii="Cambria Math" w:hAnsi="Cambria Math" w:cs="Cambria Math"/>
          <w:b/>
        </w:rPr>
        <w:t>↗</w:t>
      </w:r>
      <w:r w:rsidRPr="004F2ABF">
        <w:rPr>
          <w:b/>
        </w:rP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w:t>
      </w:r>
      <w:r w:rsidRPr="006C34EB">
        <w:rPr>
          <w:sz w:val="16"/>
          <w:szCs w:val="16"/>
        </w:rPr>
        <w:t xml:space="preserve"> is increasing but has not caused an upwards grade change</w:t>
      </w:r>
    </w:p>
    <w:p w14:paraId="5761D3E8" w14:textId="77777777" w:rsidR="00A56EE9" w:rsidRPr="004F2ABF" w:rsidRDefault="00A56EE9" w:rsidP="00BB6AD5">
      <w:pPr>
        <w:spacing w:after="0" w:line="240" w:lineRule="auto"/>
        <w:ind w:left="1704"/>
        <w:contextualSpacing/>
      </w:pPr>
      <w:r>
        <w:rPr>
          <w:rFonts w:ascii="Cambria Math" w:hAnsi="Cambria Math" w:cs="Cambria Math"/>
          <w:b/>
        </w:rPr>
        <w:t>↔</w:t>
      </w:r>
      <w:r w:rsidRPr="004F2ABF">
        <w:t xml:space="preserve"> </w:t>
      </w:r>
      <w:r w:rsidRPr="006C34EB">
        <w:rPr>
          <w:sz w:val="16"/>
          <w:szCs w:val="16"/>
        </w:rPr>
        <w:t xml:space="preserve">Grade has remained stable compared to </w:t>
      </w:r>
      <w:r>
        <w:rPr>
          <w:sz w:val="16"/>
          <w:szCs w:val="16"/>
        </w:rPr>
        <w:t xml:space="preserve">2009, </w:t>
      </w:r>
      <w:r w:rsidRPr="006C34EB">
        <w:rPr>
          <w:sz w:val="16"/>
          <w:szCs w:val="16"/>
        </w:rPr>
        <w:t>20</w:t>
      </w:r>
      <w:r>
        <w:rPr>
          <w:sz w:val="16"/>
          <w:szCs w:val="16"/>
        </w:rPr>
        <w:t>14</w:t>
      </w:r>
      <w:r w:rsidRPr="006C34EB">
        <w:rPr>
          <w:sz w:val="16"/>
          <w:szCs w:val="16"/>
        </w:rPr>
        <w:t>, with no major trends</w:t>
      </w:r>
      <w:r w:rsidRPr="004F2ABF">
        <w:t xml:space="preserve"> </w:t>
      </w:r>
    </w:p>
    <w:p w14:paraId="5761D3E9" w14:textId="77777777" w:rsidR="00A56EE9" w:rsidRDefault="00A56EE9" w:rsidP="00BB6AD5">
      <w:pPr>
        <w:spacing w:after="0" w:line="240" w:lineRule="auto"/>
        <w:ind w:left="1704"/>
        <w:contextualSpacing/>
      </w:pPr>
      <w:r w:rsidRPr="004F2ABF">
        <w:rPr>
          <w:rFonts w:ascii="Cambria Math" w:hAnsi="Cambria Math" w:cs="Cambria Math"/>
        </w:rPr>
        <w:t>⬇</w:t>
      </w:r>
      <w: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 has been a</w:t>
      </w:r>
      <w:r w:rsidRPr="006C34EB">
        <w:rPr>
          <w:sz w:val="16"/>
          <w:szCs w:val="16"/>
        </w:rPr>
        <w:t xml:space="preserve"> downwards change in grade</w:t>
      </w:r>
    </w:p>
    <w:p w14:paraId="5761D3EA" w14:textId="77777777" w:rsidR="00A56EE9" w:rsidRDefault="00A56EE9" w:rsidP="00A11869">
      <w:pPr>
        <w:pStyle w:val="Heading1"/>
        <w:numPr>
          <w:ilvl w:val="0"/>
          <w:numId w:val="17"/>
        </w:numPr>
        <w:tabs>
          <w:tab w:val="clear" w:pos="360"/>
        </w:tabs>
      </w:pPr>
      <w:bookmarkStart w:id="93" w:name="_Toc523423787"/>
      <w:r>
        <w:t>Assessment of managing external factors influencing the Region</w:t>
      </w:r>
      <w:bookmarkEnd w:id="93"/>
    </w:p>
    <w:p w14:paraId="5761D3EB" w14:textId="77777777" w:rsidR="00A56EE9" w:rsidRDefault="00A56EE9" w:rsidP="00A11869">
      <w:pPr>
        <w:pStyle w:val="Heading2"/>
        <w:numPr>
          <w:ilvl w:val="1"/>
          <w:numId w:val="17"/>
        </w:numPr>
        <w:ind w:left="357" w:hanging="357"/>
      </w:pPr>
      <w:bookmarkStart w:id="94" w:name="_Toc523423788"/>
      <w:r>
        <w:t>Climate change</w:t>
      </w:r>
      <w:bookmarkEnd w:id="94"/>
    </w:p>
    <w:p w14:paraId="5761D3EC" w14:textId="695A44C7" w:rsidR="00A56EE9" w:rsidRDefault="00A56EE9" w:rsidP="00E3690C">
      <w:pPr>
        <w:spacing w:line="276" w:lineRule="auto"/>
        <w:rPr>
          <w:rFonts w:eastAsia="Calibri" w:cs="Arial"/>
        </w:rPr>
      </w:pPr>
      <w:r w:rsidRPr="001F7C48">
        <w:rPr>
          <w:rFonts w:eastAsia="Calibri" w:cs="Arial"/>
        </w:rPr>
        <w:t xml:space="preserve">Primary responsibility for national responses to climate change rests with the </w:t>
      </w:r>
      <w:r>
        <w:rPr>
          <w:rFonts w:eastAsia="Calibri" w:cs="Arial"/>
        </w:rPr>
        <w:t>Commonwealth</w:t>
      </w:r>
      <w:r w:rsidRPr="001F7C48">
        <w:rPr>
          <w:rFonts w:eastAsia="Calibri" w:cs="Arial"/>
        </w:rPr>
        <w:t xml:space="preserve"> Department of </w:t>
      </w:r>
      <w:r>
        <w:rPr>
          <w:rFonts w:eastAsia="Calibri" w:cs="Arial"/>
        </w:rPr>
        <w:t xml:space="preserve">the </w:t>
      </w:r>
      <w:r w:rsidRPr="001F7C48">
        <w:rPr>
          <w:rFonts w:eastAsia="Calibri" w:cs="Arial"/>
        </w:rPr>
        <w:t xml:space="preserve">Environment and Energy. </w:t>
      </w:r>
      <w:r>
        <w:rPr>
          <w:rFonts w:eastAsia="Calibri" w:cs="Arial"/>
        </w:rPr>
        <w:t>Globally, the Paris Agreement under the United Nations Framework Convention on Climate Change provides the international framework under which actions to mitigate climate change are occurring. Nationally Determined Contributions, which set out countries actions to limit climate change to well below 2</w:t>
      </w:r>
      <w:r>
        <w:rPr>
          <w:rFonts w:eastAsia="Calibri" w:cs="Arial"/>
          <w:vertAlign w:val="superscript"/>
        </w:rPr>
        <w:t xml:space="preserve">o </w:t>
      </w:r>
      <w:r>
        <w:rPr>
          <w:rFonts w:eastAsia="Calibri" w:cs="Arial"/>
        </w:rPr>
        <w:t xml:space="preserve">C, are not yet sufficient to achieve this goal (Comstock and Hackmann, 2018). The effectiveness of global actions to mitigate climate change will be the primary determinant to climate impacts on the Great Barrier Reef. </w:t>
      </w:r>
    </w:p>
    <w:p w14:paraId="5761D3ED" w14:textId="77777777" w:rsidR="00A56EE9" w:rsidRPr="001F7C48" w:rsidRDefault="00A56EE9" w:rsidP="00E3690C">
      <w:pPr>
        <w:spacing w:line="276" w:lineRule="auto"/>
        <w:rPr>
          <w:rFonts w:eastAsia="Calibri" w:cs="Arial"/>
        </w:rPr>
      </w:pPr>
      <w:r w:rsidRPr="001F7C48">
        <w:rPr>
          <w:rFonts w:eastAsia="Calibri" w:cs="Arial"/>
        </w:rPr>
        <w:t xml:space="preserve">The </w:t>
      </w:r>
      <w:r>
        <w:rPr>
          <w:rFonts w:eastAsia="Calibri" w:cs="Arial"/>
        </w:rPr>
        <w:t xml:space="preserve">Marine Park </w:t>
      </w:r>
      <w:r w:rsidRPr="001F7C48">
        <w:rPr>
          <w:rFonts w:eastAsia="Calibri" w:cs="Arial"/>
        </w:rPr>
        <w:t>Authority has an advisory role to other agencies in relation to mitigation and adaptation to climate change and extreme weather in the Region</w:t>
      </w:r>
      <w:r>
        <w:rPr>
          <w:rFonts w:eastAsia="Calibri" w:cs="Arial"/>
        </w:rPr>
        <w:t xml:space="preserve"> as well as a “hands-on” role in relation to adaptation responses to build the resilience of Reef ecosystems to climate impacts</w:t>
      </w:r>
      <w:r w:rsidRPr="001F7C48">
        <w:rPr>
          <w:rFonts w:eastAsia="Calibri" w:cs="Arial"/>
        </w:rPr>
        <w:t xml:space="preserve">. Climate policy and resultant mitigation and adaptation programs remain in a state of flux at national level as </w:t>
      </w:r>
      <w:r>
        <w:rPr>
          <w:rFonts w:eastAsia="Calibri" w:cs="Arial"/>
        </w:rPr>
        <w:t>made</w:t>
      </w:r>
      <w:r w:rsidRPr="001F7C48">
        <w:rPr>
          <w:rFonts w:eastAsia="Calibri" w:cs="Arial"/>
        </w:rPr>
        <w:t xml:space="preserve"> clear in the report of the Senate Enquiry on impacts of climate change on marine fisheries and biodiversity (Australian Senate, 2017). At the time of the last Outlook Report in 2014, Queensland</w:t>
      </w:r>
      <w:r>
        <w:rPr>
          <w:rFonts w:eastAsia="Calibri" w:cs="Arial"/>
        </w:rPr>
        <w:t>’s</w:t>
      </w:r>
      <w:r w:rsidRPr="001F7C48">
        <w:rPr>
          <w:rFonts w:eastAsia="Calibri" w:cs="Arial"/>
        </w:rPr>
        <w:t xml:space="preserve"> specific government focus and action on climate change had diminished with the disbanding of the Office of Climate Change and significant reductions in staffing and expertise relevant to climate change within the </w:t>
      </w:r>
      <w:r>
        <w:rPr>
          <w:rFonts w:eastAsia="Calibri" w:cs="Arial"/>
        </w:rPr>
        <w:t>Queensland G</w:t>
      </w:r>
      <w:r w:rsidRPr="001F7C48">
        <w:rPr>
          <w:rFonts w:eastAsia="Calibri" w:cs="Arial"/>
        </w:rPr>
        <w:t xml:space="preserve">overnment. </w:t>
      </w:r>
      <w:r>
        <w:rPr>
          <w:rFonts w:eastAsia="Calibri" w:cs="Arial"/>
        </w:rPr>
        <w:t>Since that time, c</w:t>
      </w:r>
      <w:r w:rsidRPr="001F7C48">
        <w:rPr>
          <w:rFonts w:eastAsia="Calibri" w:cs="Arial"/>
        </w:rPr>
        <w:t>limate change programs and staffing are being rebuilt and new climate transition and adaptation strategies have been released</w:t>
      </w:r>
      <w:r>
        <w:rPr>
          <w:rFonts w:eastAsia="Calibri" w:cs="Arial"/>
        </w:rPr>
        <w:t xml:space="preserve">. These include specific sectoral strategies and programs for local government, such as </w:t>
      </w:r>
      <w:r w:rsidRPr="00F010CB">
        <w:rPr>
          <w:rFonts w:eastAsia="Calibri" w:cs="Arial"/>
        </w:rPr>
        <w:t xml:space="preserve">QCoast </w:t>
      </w:r>
      <w:r w:rsidRPr="004E0A0F">
        <w:rPr>
          <w:rFonts w:eastAsia="Calibri" w:cs="Arial"/>
          <w:vertAlign w:val="subscript"/>
        </w:rPr>
        <w:t>2100</w:t>
      </w:r>
      <w:r>
        <w:rPr>
          <w:rFonts w:eastAsia="Calibri" w:cs="Arial"/>
        </w:rPr>
        <w:t>, which supports local government to prepare coastal hazard adaptation measures. However,</w:t>
      </w:r>
      <w:r w:rsidRPr="001F7C48">
        <w:rPr>
          <w:rFonts w:eastAsia="Calibri" w:cs="Arial"/>
        </w:rPr>
        <w:t xml:space="preserve"> governments at all levels continue to exhibit considerable “policy dissonance” </w:t>
      </w:r>
      <w:r>
        <w:rPr>
          <w:rFonts w:eastAsia="Calibri" w:cs="Arial"/>
        </w:rPr>
        <w:t>relating to</w:t>
      </w:r>
      <w:r w:rsidRPr="001F7C48">
        <w:rPr>
          <w:rFonts w:eastAsia="Calibri" w:cs="Arial"/>
        </w:rPr>
        <w:t xml:space="preserve"> climate change responses and economic and development strategies being pursued by governments </w:t>
      </w:r>
      <w:r>
        <w:rPr>
          <w:rFonts w:eastAsia="Calibri" w:cs="Arial"/>
        </w:rPr>
        <w:t xml:space="preserve">as indicated by </w:t>
      </w:r>
      <w:r w:rsidRPr="001F7C48">
        <w:rPr>
          <w:rFonts w:eastAsia="Calibri" w:cs="Arial"/>
        </w:rPr>
        <w:t>Dale et al</w:t>
      </w:r>
      <w:r>
        <w:rPr>
          <w:rFonts w:eastAsia="Calibri" w:cs="Arial"/>
        </w:rPr>
        <w:t>.</w:t>
      </w:r>
      <w:r w:rsidRPr="001F7C48">
        <w:rPr>
          <w:rFonts w:eastAsia="Calibri" w:cs="Arial"/>
        </w:rPr>
        <w:t xml:space="preserve"> </w:t>
      </w:r>
      <w:r>
        <w:rPr>
          <w:rFonts w:eastAsia="Calibri" w:cs="Arial"/>
        </w:rPr>
        <w:t>(</w:t>
      </w:r>
      <w:r w:rsidRPr="001F7C48">
        <w:rPr>
          <w:rFonts w:eastAsia="Calibri" w:cs="Arial"/>
        </w:rPr>
        <w:t>2016).</w:t>
      </w:r>
    </w:p>
    <w:p w14:paraId="5761D3EE" w14:textId="77777777" w:rsidR="00A56EE9" w:rsidRPr="001F7C48" w:rsidRDefault="00A56EE9" w:rsidP="00E3690C">
      <w:pPr>
        <w:spacing w:line="276" w:lineRule="auto"/>
        <w:rPr>
          <w:rFonts w:eastAsia="Calibri" w:cs="Arial"/>
        </w:rPr>
      </w:pPr>
      <w:r w:rsidRPr="009243E3">
        <w:rPr>
          <w:rFonts w:eastAsia="Calibri" w:cs="Arial"/>
        </w:rPr>
        <w:t xml:space="preserve">Rating of effectiveness for </w:t>
      </w:r>
      <w:r>
        <w:rPr>
          <w:rFonts w:eastAsia="Calibri" w:cs="Arial"/>
        </w:rPr>
        <w:t>four</w:t>
      </w:r>
      <w:r w:rsidRPr="009243E3">
        <w:rPr>
          <w:rFonts w:eastAsia="Calibri" w:cs="Arial"/>
        </w:rPr>
        <w:t xml:space="preserve"> of the six assessment elements </w:t>
      </w:r>
      <w:r>
        <w:rPr>
          <w:rFonts w:eastAsia="Calibri" w:cs="Arial"/>
        </w:rPr>
        <w:t xml:space="preserve">(Table 13) </w:t>
      </w:r>
      <w:r w:rsidRPr="009243E3">
        <w:rPr>
          <w:rFonts w:eastAsia="Calibri" w:cs="Arial"/>
        </w:rPr>
        <w:t>remained the same as in the Outlook Report</w:t>
      </w:r>
      <w:r>
        <w:rPr>
          <w:rFonts w:eastAsia="Calibri" w:cs="Arial"/>
        </w:rPr>
        <w:t xml:space="preserve"> </w:t>
      </w:r>
      <w:r w:rsidRPr="009243E3">
        <w:rPr>
          <w:rFonts w:eastAsia="Calibri" w:cs="Arial"/>
        </w:rPr>
        <w:t xml:space="preserve">2014. The rating </w:t>
      </w:r>
      <w:r>
        <w:rPr>
          <w:rFonts w:eastAsia="Calibri" w:cs="Arial"/>
        </w:rPr>
        <w:t xml:space="preserve">of Inputs dropped one grade to </w:t>
      </w:r>
      <w:r w:rsidRPr="00D07110">
        <w:rPr>
          <w:rFonts w:eastAsia="Calibri" w:cs="Arial"/>
          <w:i/>
        </w:rPr>
        <w:t>partially effective</w:t>
      </w:r>
      <w:r w:rsidRPr="009243E3">
        <w:rPr>
          <w:rFonts w:eastAsia="Calibri" w:cs="Arial"/>
        </w:rPr>
        <w:t xml:space="preserve"> while Out</w:t>
      </w:r>
      <w:r>
        <w:rPr>
          <w:rFonts w:eastAsia="Calibri" w:cs="Arial"/>
        </w:rPr>
        <w:t>puts</w:t>
      </w:r>
      <w:r w:rsidRPr="009243E3">
        <w:rPr>
          <w:rFonts w:eastAsia="Calibri" w:cs="Arial"/>
        </w:rPr>
        <w:t xml:space="preserve"> dropped </w:t>
      </w:r>
      <w:r>
        <w:rPr>
          <w:rFonts w:eastAsia="Calibri" w:cs="Arial"/>
        </w:rPr>
        <w:t xml:space="preserve">two grades from </w:t>
      </w:r>
      <w:r w:rsidRPr="00D07110">
        <w:rPr>
          <w:rFonts w:eastAsia="Calibri" w:cs="Arial"/>
          <w:i/>
        </w:rPr>
        <w:t>mostly effective</w:t>
      </w:r>
      <w:r>
        <w:rPr>
          <w:rFonts w:eastAsia="Calibri" w:cs="Arial"/>
        </w:rPr>
        <w:t xml:space="preserve"> to </w:t>
      </w:r>
      <w:r w:rsidRPr="00D07110">
        <w:rPr>
          <w:rFonts w:eastAsia="Calibri" w:cs="Arial"/>
          <w:i/>
        </w:rPr>
        <w:t>ineffective</w:t>
      </w:r>
      <w:r w:rsidRPr="009243E3">
        <w:rPr>
          <w:rFonts w:eastAsia="Calibri" w:cs="Arial"/>
        </w:rPr>
        <w:t>. Ou</w:t>
      </w:r>
      <w:r>
        <w:rPr>
          <w:rFonts w:eastAsia="Calibri" w:cs="Arial"/>
        </w:rPr>
        <w:t xml:space="preserve">tcomes remain </w:t>
      </w:r>
      <w:r w:rsidRPr="00D07110">
        <w:rPr>
          <w:rFonts w:eastAsia="Calibri" w:cs="Arial"/>
          <w:i/>
        </w:rPr>
        <w:t>ineffective</w:t>
      </w:r>
      <w:r w:rsidRPr="009243E3">
        <w:rPr>
          <w:rFonts w:eastAsia="Calibri" w:cs="Arial"/>
        </w:rPr>
        <w:t>.</w:t>
      </w:r>
    </w:p>
    <w:p w14:paraId="5761D3EF" w14:textId="77777777" w:rsidR="00A56EE9" w:rsidRDefault="00A56EE9" w:rsidP="00E3690C">
      <w:pPr>
        <w:spacing w:line="276" w:lineRule="auto"/>
        <w:rPr>
          <w:rFonts w:eastAsia="Calibri" w:cs="Arial"/>
        </w:rPr>
      </w:pPr>
      <w:r>
        <w:rPr>
          <w:rFonts w:eastAsia="Calibri" w:cs="Arial"/>
        </w:rPr>
        <w:t>While t</w:t>
      </w:r>
      <w:r w:rsidRPr="001F7C48">
        <w:rPr>
          <w:rFonts w:eastAsia="Calibri" w:cs="Arial"/>
        </w:rPr>
        <w:t xml:space="preserve">he </w:t>
      </w:r>
      <w:r>
        <w:rPr>
          <w:rFonts w:eastAsia="Calibri" w:cs="Arial"/>
        </w:rPr>
        <w:t>Marine Park Authority</w:t>
      </w:r>
      <w:r w:rsidRPr="001F7C48">
        <w:rPr>
          <w:rFonts w:eastAsia="Calibri" w:cs="Arial"/>
        </w:rPr>
        <w:t xml:space="preserve"> has </w:t>
      </w:r>
      <w:r>
        <w:rPr>
          <w:rFonts w:eastAsia="Calibri" w:cs="Arial"/>
        </w:rPr>
        <w:t>no</w:t>
      </w:r>
      <w:r w:rsidRPr="001F7C48">
        <w:rPr>
          <w:rFonts w:eastAsia="Calibri" w:cs="Arial"/>
        </w:rPr>
        <w:t xml:space="preserve"> jurisdictional responsibility for addressing climate change in the broad sense</w:t>
      </w:r>
      <w:r>
        <w:rPr>
          <w:rFonts w:eastAsia="Calibri" w:cs="Arial"/>
        </w:rPr>
        <w:t>, it</w:t>
      </w:r>
      <w:r w:rsidRPr="001F7C48">
        <w:rPr>
          <w:rFonts w:eastAsia="Calibri" w:cs="Arial"/>
        </w:rPr>
        <w:t xml:space="preserve"> has contributed significantly to the development of international best practice for managing responses to climate change and extreme weather issues as they relate to Reef ecosystems. This has been </w:t>
      </w:r>
      <w:r>
        <w:rPr>
          <w:rFonts w:eastAsia="Calibri" w:cs="Arial"/>
        </w:rPr>
        <w:t>achieved</w:t>
      </w:r>
      <w:r w:rsidRPr="001F7C48">
        <w:rPr>
          <w:rFonts w:eastAsia="Calibri" w:cs="Arial"/>
        </w:rPr>
        <w:t xml:space="preserve"> through research, monitoring, and partnerships with research institutions, government agencies and stakeholder groups as well as education, community awareness and stakeholder engagement programs. Assessing the effectiveness of the </w:t>
      </w:r>
      <w:r>
        <w:rPr>
          <w:rFonts w:eastAsia="Calibri" w:cs="Arial"/>
        </w:rPr>
        <w:t>Marine Park Authority</w:t>
      </w:r>
      <w:r w:rsidRPr="001F7C48">
        <w:rPr>
          <w:rFonts w:eastAsia="Calibri" w:cs="Arial"/>
        </w:rPr>
        <w:t xml:space="preserve"> and other Reef management agencies in addressing this issue is challenging, as so much depends on the actions of others, especially in regard to the effectiveness of mitigation measures taken at national and international levels and the mitigation and adaptation measures undertaken in adjacent coastal areas by local government</w:t>
      </w:r>
      <w:r>
        <w:rPr>
          <w:rFonts w:eastAsia="Calibri" w:cs="Arial"/>
        </w:rPr>
        <w:t>s</w:t>
      </w:r>
      <w:r w:rsidRPr="001F7C48">
        <w:rPr>
          <w:rFonts w:eastAsia="Calibri" w:cs="Arial"/>
        </w:rPr>
        <w:t xml:space="preserve"> and others. </w:t>
      </w:r>
    </w:p>
    <w:p w14:paraId="5761D3F0" w14:textId="77777777" w:rsidR="00A56EE9" w:rsidRPr="001F7C48" w:rsidRDefault="00A56EE9" w:rsidP="00E3690C">
      <w:pPr>
        <w:spacing w:line="276" w:lineRule="auto"/>
        <w:rPr>
          <w:rFonts w:eastAsia="Calibri" w:cs="Arial"/>
        </w:rPr>
      </w:pPr>
      <w:r>
        <w:rPr>
          <w:rFonts w:eastAsia="Calibri" w:cs="Arial"/>
        </w:rPr>
        <w:t>In the past, t</w:t>
      </w:r>
      <w:r w:rsidRPr="001F7C48">
        <w:rPr>
          <w:rFonts w:eastAsia="Calibri" w:cs="Arial"/>
        </w:rPr>
        <w:t>he Marine Park Authority has</w:t>
      </w:r>
      <w:r>
        <w:rPr>
          <w:rFonts w:eastAsia="Calibri" w:cs="Arial"/>
        </w:rPr>
        <w:t xml:space="preserve"> </w:t>
      </w:r>
      <w:r w:rsidRPr="001F7C48">
        <w:rPr>
          <w:rFonts w:eastAsia="Calibri" w:cs="Arial"/>
        </w:rPr>
        <w:t>played a lead role in facilitating awareness of the impacts from climate change and extreme weather on the Region</w:t>
      </w:r>
      <w:r>
        <w:rPr>
          <w:rFonts w:eastAsia="Calibri" w:cs="Arial"/>
        </w:rPr>
        <w:t>,</w:t>
      </w:r>
      <w:r w:rsidRPr="001F7C48">
        <w:rPr>
          <w:rFonts w:eastAsia="Calibri" w:cs="Arial"/>
        </w:rPr>
        <w:t xml:space="preserve"> and </w:t>
      </w:r>
      <w:r>
        <w:rPr>
          <w:rFonts w:eastAsia="Calibri" w:cs="Arial"/>
        </w:rPr>
        <w:t xml:space="preserve">it </w:t>
      </w:r>
      <w:r w:rsidRPr="001F7C48">
        <w:rPr>
          <w:rFonts w:eastAsia="Calibri" w:cs="Arial"/>
        </w:rPr>
        <w:t xml:space="preserve">continues to </w:t>
      </w:r>
      <w:r>
        <w:rPr>
          <w:rFonts w:eastAsia="Calibri" w:cs="Arial"/>
        </w:rPr>
        <w:t>emphasise</w:t>
      </w:r>
      <w:r w:rsidRPr="001F7C48">
        <w:rPr>
          <w:rFonts w:eastAsia="Calibri" w:cs="Arial"/>
        </w:rPr>
        <w:t xml:space="preserve"> that climate change is the principal </w:t>
      </w:r>
      <w:r>
        <w:rPr>
          <w:rFonts w:eastAsia="Calibri" w:cs="Arial"/>
        </w:rPr>
        <w:t xml:space="preserve">long-term </w:t>
      </w:r>
      <w:r w:rsidRPr="001F7C48">
        <w:rPr>
          <w:rFonts w:eastAsia="Calibri" w:cs="Arial"/>
        </w:rPr>
        <w:t xml:space="preserve">threat to the condition of the ecosystem. It prepared a vulnerability assessment for the Reef in relation to climate change in 2007 and a strategic plan to address climate change in 2009. The </w:t>
      </w:r>
      <w:r w:rsidRPr="001F7C48">
        <w:rPr>
          <w:rFonts w:eastAsia="Calibri" w:cs="Arial"/>
          <w:i/>
        </w:rPr>
        <w:t>Climate Change Strategy and Action Plan 2012–2017</w:t>
      </w:r>
      <w:r>
        <w:rPr>
          <w:rFonts w:eastAsia="Calibri" w:cs="Arial"/>
          <w:i/>
        </w:rPr>
        <w:t xml:space="preserve"> (</w:t>
      </w:r>
      <w:r>
        <w:rPr>
          <w:rFonts w:eastAsia="Calibri" w:cs="Arial"/>
        </w:rPr>
        <w:t>Climate Change Action P</w:t>
      </w:r>
      <w:r w:rsidRPr="00D27653">
        <w:rPr>
          <w:rFonts w:eastAsia="Calibri" w:cs="Arial"/>
        </w:rPr>
        <w:t>lan</w:t>
      </w:r>
      <w:r>
        <w:rPr>
          <w:rFonts w:eastAsia="Calibri" w:cs="Arial"/>
          <w:i/>
        </w:rPr>
        <w:t>)</w:t>
      </w:r>
      <w:r w:rsidRPr="001F7C48">
        <w:rPr>
          <w:rFonts w:eastAsia="Calibri" w:cs="Arial"/>
        </w:rPr>
        <w:t xml:space="preserve"> </w:t>
      </w:r>
      <w:r>
        <w:rPr>
          <w:rFonts w:eastAsia="Calibri" w:cs="Arial"/>
        </w:rPr>
        <w:t xml:space="preserve">(GBRMPA 2012d) was an </w:t>
      </w:r>
      <w:r w:rsidRPr="001F7C48">
        <w:rPr>
          <w:rFonts w:eastAsia="Calibri" w:cs="Arial"/>
        </w:rPr>
        <w:t>update</w:t>
      </w:r>
      <w:r>
        <w:rPr>
          <w:rFonts w:eastAsia="Calibri" w:cs="Arial"/>
        </w:rPr>
        <w:t xml:space="preserve"> to</w:t>
      </w:r>
      <w:r w:rsidRPr="001F7C48">
        <w:rPr>
          <w:rFonts w:eastAsia="Calibri" w:cs="Arial"/>
        </w:rPr>
        <w:t xml:space="preserve"> the </w:t>
      </w:r>
      <w:r>
        <w:rPr>
          <w:rFonts w:eastAsia="Calibri" w:cs="Arial"/>
        </w:rPr>
        <w:t>2009</w:t>
      </w:r>
      <w:r w:rsidRPr="001F7C48">
        <w:rPr>
          <w:rFonts w:eastAsia="Calibri" w:cs="Arial"/>
        </w:rPr>
        <w:t xml:space="preserve"> plan. </w:t>
      </w:r>
      <w:r>
        <w:rPr>
          <w:rFonts w:eastAsia="Calibri" w:cs="Arial"/>
        </w:rPr>
        <w:t>This</w:t>
      </w:r>
      <w:r w:rsidRPr="001F7C48">
        <w:rPr>
          <w:rFonts w:eastAsia="Calibri" w:cs="Arial"/>
        </w:rPr>
        <w:t xml:space="preserve"> acknowledged the important role the </w:t>
      </w:r>
      <w:r>
        <w:rPr>
          <w:rFonts w:eastAsia="Calibri" w:cs="Arial"/>
        </w:rPr>
        <w:t>Marine Park Authority</w:t>
      </w:r>
      <w:r w:rsidRPr="001F7C48">
        <w:rPr>
          <w:rFonts w:eastAsia="Calibri" w:cs="Arial"/>
        </w:rPr>
        <w:t xml:space="preserve"> plays in informing national and international climate policy and providing knowledge to support effective management of inshore areas. However, </w:t>
      </w:r>
      <w:r>
        <w:rPr>
          <w:rFonts w:eastAsia="Calibri" w:cs="Arial"/>
        </w:rPr>
        <w:t xml:space="preserve">implementation of </w:t>
      </w:r>
      <w:r w:rsidRPr="001F7C48">
        <w:rPr>
          <w:rFonts w:eastAsia="Calibri" w:cs="Arial"/>
        </w:rPr>
        <w:t>the plan was de</w:t>
      </w:r>
      <w:r>
        <w:rPr>
          <w:rFonts w:eastAsia="Calibri" w:cs="Arial"/>
        </w:rPr>
        <w:t>-</w:t>
      </w:r>
      <w:r w:rsidRPr="001F7C48">
        <w:rPr>
          <w:rFonts w:eastAsia="Calibri" w:cs="Arial"/>
        </w:rPr>
        <w:t>funded early in its life and many actions in that plan remain unaddressed or only partially implemented</w:t>
      </w:r>
      <w:r>
        <w:rPr>
          <w:rFonts w:eastAsia="Calibri" w:cs="Arial"/>
        </w:rPr>
        <w:t>, though a number of them have been incorporated into annual operational plans or are now included in the sectoral adaptation programs being developed at Queensland government level</w:t>
      </w:r>
      <w:r w:rsidRPr="001F7C48">
        <w:rPr>
          <w:rFonts w:eastAsia="Calibri" w:cs="Arial"/>
        </w:rPr>
        <w:t xml:space="preserve">. Changes in staffing and organisational structures within </w:t>
      </w:r>
      <w:r>
        <w:rPr>
          <w:rFonts w:eastAsia="Calibri" w:cs="Arial"/>
        </w:rPr>
        <w:t>Marine Park Authority</w:t>
      </w:r>
      <w:r w:rsidRPr="001F7C48">
        <w:rPr>
          <w:rFonts w:eastAsia="Calibri" w:cs="Arial"/>
        </w:rPr>
        <w:t xml:space="preserve"> have lowered </w:t>
      </w:r>
      <w:r>
        <w:rPr>
          <w:rFonts w:eastAsia="Calibri" w:cs="Arial"/>
        </w:rPr>
        <w:t>its</w:t>
      </w:r>
      <w:r w:rsidRPr="001F7C48">
        <w:rPr>
          <w:rFonts w:eastAsia="Calibri" w:cs="Arial"/>
        </w:rPr>
        <w:t xml:space="preserve"> visibility in addressing climate change. There is no longer an identifiable unit within the </w:t>
      </w:r>
      <w:r>
        <w:rPr>
          <w:rFonts w:eastAsia="Calibri" w:cs="Arial"/>
        </w:rPr>
        <w:t>Marine Park Authority</w:t>
      </w:r>
      <w:r w:rsidRPr="001F7C48">
        <w:rPr>
          <w:rFonts w:eastAsia="Calibri" w:cs="Arial"/>
        </w:rPr>
        <w:t xml:space="preserve"> focussed on climate change responses </w:t>
      </w:r>
      <w:r>
        <w:rPr>
          <w:rFonts w:eastAsia="Calibri" w:cs="Arial"/>
        </w:rPr>
        <w:t>although a number of staff across the Marine Park Authority have responsibility for climate policy and responses</w:t>
      </w:r>
      <w:r w:rsidRPr="001F7C48">
        <w:rPr>
          <w:rFonts w:eastAsia="Calibri" w:cs="Arial"/>
        </w:rPr>
        <w:t xml:space="preserve">. </w:t>
      </w:r>
    </w:p>
    <w:p w14:paraId="5761D3F1" w14:textId="23C7DF37" w:rsidR="00A56EE9" w:rsidRPr="001F7C48" w:rsidRDefault="00A56EE9" w:rsidP="00E3690C">
      <w:pPr>
        <w:spacing w:line="276" w:lineRule="auto"/>
        <w:rPr>
          <w:rFonts w:eastAsia="Calibri" w:cs="Arial"/>
        </w:rPr>
      </w:pPr>
      <w:r w:rsidRPr="001F7C48">
        <w:rPr>
          <w:rFonts w:eastAsia="Calibri" w:cs="Arial"/>
        </w:rPr>
        <w:t xml:space="preserve">Work continues on identifying the gaps in available biophysical information. This job has been made larger and more consequential as a result of back-to-back bleaching </w:t>
      </w:r>
      <w:r>
        <w:rPr>
          <w:rFonts w:eastAsia="Calibri" w:cs="Arial"/>
        </w:rPr>
        <w:t xml:space="preserve">events </w:t>
      </w:r>
      <w:r w:rsidRPr="001F7C48">
        <w:rPr>
          <w:rFonts w:eastAsia="Calibri" w:cs="Arial"/>
        </w:rPr>
        <w:t>and</w:t>
      </w:r>
      <w:r>
        <w:rPr>
          <w:rFonts w:eastAsia="Calibri" w:cs="Arial"/>
        </w:rPr>
        <w:t xml:space="preserve"> as</w:t>
      </w:r>
      <w:r w:rsidRPr="001F7C48">
        <w:rPr>
          <w:rFonts w:eastAsia="Calibri" w:cs="Arial"/>
        </w:rPr>
        <w:t xml:space="preserve"> our knowledge</w:t>
      </w:r>
      <w:r>
        <w:rPr>
          <w:rFonts w:eastAsia="Calibri" w:cs="Arial"/>
        </w:rPr>
        <w:t xml:space="preserve"> of the resultant condition of R</w:t>
      </w:r>
      <w:r w:rsidRPr="001F7C48">
        <w:rPr>
          <w:rFonts w:eastAsia="Calibri" w:cs="Arial"/>
        </w:rPr>
        <w:t>eef biota has declined. The Reef Integrated Monitoring and Reporting Program (RIMR</w:t>
      </w:r>
      <w:r>
        <w:rPr>
          <w:rFonts w:eastAsia="Calibri" w:cs="Arial"/>
        </w:rPr>
        <w:t>e</w:t>
      </w:r>
      <w:r w:rsidRPr="001F7C48">
        <w:rPr>
          <w:rFonts w:eastAsia="Calibri" w:cs="Arial"/>
        </w:rPr>
        <w:t xml:space="preserve">P), when operational, will help to provide critical knowledge within a structured framework. The need to clarify socio-economic implications is being addressed in collaboration with CSIRO through </w:t>
      </w:r>
      <w:r>
        <w:rPr>
          <w:rFonts w:eastAsia="Calibri" w:cs="Arial"/>
        </w:rPr>
        <w:t xml:space="preserve">the </w:t>
      </w:r>
      <w:r w:rsidRPr="001F7C48">
        <w:rPr>
          <w:rFonts w:eastAsia="Calibri" w:cs="Arial"/>
        </w:rPr>
        <w:t>Social and Economic Long-Term Monitoring Program</w:t>
      </w:r>
      <w:r>
        <w:rPr>
          <w:rFonts w:eastAsia="Calibri" w:cs="Arial"/>
        </w:rPr>
        <w:t xml:space="preserve"> (Marshall et al. 2017) that was established with National Environmental Research Funding in 2011</w:t>
      </w:r>
      <w:r w:rsidRPr="001F7C48">
        <w:rPr>
          <w:rFonts w:eastAsia="Calibri" w:cs="Arial"/>
        </w:rPr>
        <w:t>.</w:t>
      </w:r>
      <w:r w:rsidR="00242993">
        <w:rPr>
          <w:rFonts w:eastAsia="Calibri" w:cs="Arial"/>
        </w:rPr>
        <w:t xml:space="preserve"> </w:t>
      </w:r>
    </w:p>
    <w:p w14:paraId="5761D3F2" w14:textId="77777777" w:rsidR="00A56EE9" w:rsidRPr="001F7C48" w:rsidRDefault="00A56EE9" w:rsidP="00E3690C">
      <w:pPr>
        <w:spacing w:line="276" w:lineRule="auto"/>
        <w:rPr>
          <w:rFonts w:eastAsia="Calibri" w:cs="Arial"/>
        </w:rPr>
      </w:pPr>
      <w:r w:rsidRPr="001F7C48">
        <w:rPr>
          <w:rFonts w:eastAsia="Calibri" w:cs="Arial"/>
        </w:rPr>
        <w:t xml:space="preserve">Climate change </w:t>
      </w:r>
      <w:r>
        <w:rPr>
          <w:rFonts w:eastAsia="Calibri" w:cs="Arial"/>
        </w:rPr>
        <w:t xml:space="preserve">policy and research </w:t>
      </w:r>
      <w:r w:rsidRPr="001F7C48">
        <w:rPr>
          <w:rFonts w:eastAsia="Calibri" w:cs="Arial"/>
        </w:rPr>
        <w:t xml:space="preserve">was instrumental in </w:t>
      </w:r>
      <w:r>
        <w:rPr>
          <w:rFonts w:eastAsia="Calibri" w:cs="Arial"/>
        </w:rPr>
        <w:t xml:space="preserve">the </w:t>
      </w:r>
      <w:r w:rsidRPr="001F7C48">
        <w:rPr>
          <w:rFonts w:eastAsia="Calibri" w:cs="Arial"/>
        </w:rPr>
        <w:t>consideration of consequential and cumulative impacts on the Region’s values. Critical elements of current condition and trend cannot be confidently determined and monitored by managers and this</w:t>
      </w:r>
      <w:r>
        <w:rPr>
          <w:rFonts w:eastAsia="Calibri" w:cs="Arial"/>
        </w:rPr>
        <w:t xml:space="preserve"> knowledge gap</w:t>
      </w:r>
      <w:r w:rsidRPr="001F7C48">
        <w:rPr>
          <w:rFonts w:eastAsia="Calibri" w:cs="Arial"/>
        </w:rPr>
        <w:t xml:space="preserve"> has been exacerbated by the back-to-back bleaching events. Efforts continue, including work with Traditional Owners, to apply available traditional knowledge to consider climate change implications, particularly through Traditional Use of Marine Resources Agreements. </w:t>
      </w:r>
    </w:p>
    <w:p w14:paraId="5761D3F3" w14:textId="77777777" w:rsidR="00A56EE9" w:rsidRPr="001F7C48" w:rsidRDefault="00A56EE9" w:rsidP="00E3690C">
      <w:pPr>
        <w:spacing w:line="276" w:lineRule="auto"/>
        <w:rPr>
          <w:rFonts w:eastAsia="Calibri" w:cs="Arial"/>
        </w:rPr>
      </w:pPr>
      <w:r w:rsidRPr="001F7C48">
        <w:rPr>
          <w:rFonts w:eastAsia="Calibri" w:cs="Arial"/>
        </w:rPr>
        <w:t xml:space="preserve">Community engagement relating to climate change continues through initiatives such as Eye on the Reef and the Reef Guardian program which includes schools, councils, fishers and farmers. Work under the </w:t>
      </w:r>
      <w:r w:rsidRPr="00D27653">
        <w:rPr>
          <w:rFonts w:eastAsia="Calibri" w:cs="Arial"/>
        </w:rPr>
        <w:t>Climate Change Action Plan</w:t>
      </w:r>
      <w:r w:rsidRPr="001F7C48">
        <w:rPr>
          <w:rFonts w:eastAsia="Calibri" w:cs="Arial"/>
        </w:rPr>
        <w:t xml:space="preserve"> contributed to substantially strengthened partnerships with key sectors of the commercial fishing industry and the marine tourism industry and sector awareness and engagement remains high. A reef health incident response framework was developed in 2011, in consultation with stakeholders, </w:t>
      </w:r>
      <w:r>
        <w:rPr>
          <w:rFonts w:eastAsia="Calibri" w:cs="Arial"/>
        </w:rPr>
        <w:t xml:space="preserve">and continues to be updated as needed. It </w:t>
      </w:r>
      <w:r w:rsidRPr="001F7C48">
        <w:rPr>
          <w:rFonts w:eastAsia="Calibri" w:cs="Arial"/>
        </w:rPr>
        <w:t>includes:</w:t>
      </w:r>
    </w:p>
    <w:p w14:paraId="5761D3F4" w14:textId="77777777" w:rsidR="00A56EE9" w:rsidRPr="001F7C48" w:rsidRDefault="00A56EE9" w:rsidP="00E3690C">
      <w:pPr>
        <w:numPr>
          <w:ilvl w:val="0"/>
          <w:numId w:val="5"/>
        </w:numPr>
        <w:spacing w:after="0" w:line="276" w:lineRule="auto"/>
        <w:contextualSpacing/>
        <w:rPr>
          <w:rFonts w:eastAsia="Calibri" w:cs="Arial"/>
        </w:rPr>
      </w:pPr>
      <w:r w:rsidRPr="001F7C48">
        <w:rPr>
          <w:rFonts w:eastAsia="Calibri" w:cs="Arial"/>
        </w:rPr>
        <w:t>coral bleaching response plan</w:t>
      </w:r>
    </w:p>
    <w:p w14:paraId="5761D3F5" w14:textId="77777777" w:rsidR="00A56EE9" w:rsidRPr="001F7C48" w:rsidRDefault="00A56EE9" w:rsidP="00E3690C">
      <w:pPr>
        <w:numPr>
          <w:ilvl w:val="0"/>
          <w:numId w:val="5"/>
        </w:numPr>
        <w:spacing w:after="0" w:line="276" w:lineRule="auto"/>
        <w:contextualSpacing/>
        <w:rPr>
          <w:rFonts w:eastAsia="Calibri" w:cs="Arial"/>
        </w:rPr>
      </w:pPr>
      <w:r w:rsidRPr="001F7C48">
        <w:rPr>
          <w:rFonts w:eastAsia="Calibri" w:cs="Arial"/>
        </w:rPr>
        <w:t>cyclone response plan</w:t>
      </w:r>
    </w:p>
    <w:p w14:paraId="5761D3F6" w14:textId="77777777" w:rsidR="00A56EE9" w:rsidRPr="001F7C48" w:rsidRDefault="00A56EE9" w:rsidP="00E3690C">
      <w:pPr>
        <w:numPr>
          <w:ilvl w:val="0"/>
          <w:numId w:val="5"/>
        </w:numPr>
        <w:spacing w:after="0" w:line="276" w:lineRule="auto"/>
        <w:contextualSpacing/>
        <w:rPr>
          <w:rFonts w:eastAsia="Calibri" w:cs="Arial"/>
        </w:rPr>
      </w:pPr>
      <w:r w:rsidRPr="001F7C48">
        <w:rPr>
          <w:rFonts w:eastAsia="Calibri" w:cs="Arial"/>
        </w:rPr>
        <w:t>coral disease response plan</w:t>
      </w:r>
    </w:p>
    <w:p w14:paraId="5761D3F7" w14:textId="77777777" w:rsidR="00A56EE9" w:rsidRPr="001F7C48" w:rsidRDefault="00A56EE9" w:rsidP="00E3690C">
      <w:pPr>
        <w:numPr>
          <w:ilvl w:val="0"/>
          <w:numId w:val="5"/>
        </w:numPr>
        <w:spacing w:after="0" w:line="276" w:lineRule="auto"/>
        <w:contextualSpacing/>
        <w:rPr>
          <w:rFonts w:eastAsia="Calibri" w:cs="Arial"/>
        </w:rPr>
      </w:pPr>
      <w:proofErr w:type="gramStart"/>
      <w:r w:rsidRPr="001F7C48">
        <w:rPr>
          <w:rFonts w:eastAsia="Calibri" w:cs="Arial"/>
        </w:rPr>
        <w:t>crown-of-thorns</w:t>
      </w:r>
      <w:proofErr w:type="gramEnd"/>
      <w:r w:rsidRPr="001F7C48">
        <w:rPr>
          <w:rFonts w:eastAsia="Calibri" w:cs="Arial"/>
        </w:rPr>
        <w:t xml:space="preserve"> starfish response plan.</w:t>
      </w:r>
    </w:p>
    <w:p w14:paraId="5761D3F9" w14:textId="77777777" w:rsidR="00A56EE9" w:rsidRDefault="00A56EE9" w:rsidP="007F1AA6">
      <w:pPr>
        <w:spacing w:before="240" w:line="276" w:lineRule="auto"/>
        <w:rPr>
          <w:rFonts w:eastAsia="Calibri" w:cs="Arial"/>
        </w:rPr>
      </w:pPr>
      <w:r w:rsidRPr="001F7C48">
        <w:rPr>
          <w:rFonts w:eastAsia="Calibri" w:cs="Arial"/>
        </w:rPr>
        <w:t>While the Reef 2050 Plan aims to address key threats and boost the health and resili</w:t>
      </w:r>
      <w:r>
        <w:rPr>
          <w:rFonts w:eastAsia="Calibri" w:cs="Arial"/>
        </w:rPr>
        <w:t>ence of the R</w:t>
      </w:r>
      <w:r w:rsidRPr="001F7C48">
        <w:rPr>
          <w:rFonts w:eastAsia="Calibri" w:cs="Arial"/>
        </w:rPr>
        <w:t xml:space="preserve">eef so that it can better cope with the </w:t>
      </w:r>
      <w:r>
        <w:rPr>
          <w:rFonts w:eastAsia="Calibri" w:cs="Arial"/>
        </w:rPr>
        <w:t>impacts of climate change, the P</w:t>
      </w:r>
      <w:r w:rsidRPr="001F7C48">
        <w:rPr>
          <w:rFonts w:eastAsia="Calibri" w:cs="Arial"/>
        </w:rPr>
        <w:t xml:space="preserve">lan does not directly address the threat of climate change or establish </w:t>
      </w:r>
      <w:r>
        <w:rPr>
          <w:rFonts w:eastAsia="Calibri" w:cs="Arial"/>
        </w:rPr>
        <w:t>o</w:t>
      </w:r>
      <w:r w:rsidRPr="001F7C48">
        <w:rPr>
          <w:rFonts w:eastAsia="Calibri" w:cs="Arial"/>
        </w:rPr>
        <w:t xml:space="preserve">bjectives, </w:t>
      </w:r>
      <w:r>
        <w:rPr>
          <w:rFonts w:eastAsia="Calibri" w:cs="Arial"/>
        </w:rPr>
        <w:t>t</w:t>
      </w:r>
      <w:r w:rsidRPr="001F7C48">
        <w:rPr>
          <w:rFonts w:eastAsia="Calibri" w:cs="Arial"/>
        </w:rPr>
        <w:t xml:space="preserve">argets and </w:t>
      </w:r>
      <w:r>
        <w:rPr>
          <w:rFonts w:eastAsia="Calibri" w:cs="Arial"/>
        </w:rPr>
        <w:t>a</w:t>
      </w:r>
      <w:r w:rsidRPr="001F7C48">
        <w:rPr>
          <w:rFonts w:eastAsia="Calibri" w:cs="Arial"/>
        </w:rPr>
        <w:t>ctions relating to climate change. Th</w:t>
      </w:r>
      <w:r>
        <w:rPr>
          <w:rFonts w:eastAsia="Calibri" w:cs="Arial"/>
        </w:rPr>
        <w:t>is</w:t>
      </w:r>
      <w:r w:rsidRPr="001F7C48">
        <w:rPr>
          <w:rFonts w:eastAsia="Calibri" w:cs="Arial"/>
        </w:rPr>
        <w:t xml:space="preserve"> shortcoming </w:t>
      </w:r>
      <w:r>
        <w:rPr>
          <w:rFonts w:eastAsia="Calibri" w:cs="Arial"/>
        </w:rPr>
        <w:t>was</w:t>
      </w:r>
      <w:r w:rsidRPr="001F7C48">
        <w:rPr>
          <w:rFonts w:eastAsia="Calibri" w:cs="Arial"/>
        </w:rPr>
        <w:t xml:space="preserve"> pointed out by the Reef 2050 </w:t>
      </w:r>
      <w:r>
        <w:rPr>
          <w:rFonts w:eastAsia="Calibri" w:cs="Arial"/>
        </w:rPr>
        <w:t>Advisory Bodies which recommended that objectives, targets and actions relating to climate change be explicitly included in the Reef 2050 Plan</w:t>
      </w:r>
      <w:r w:rsidRPr="001F7C48">
        <w:rPr>
          <w:rFonts w:eastAsia="Calibri" w:cs="Arial"/>
        </w:rPr>
        <w:t xml:space="preserve">. </w:t>
      </w:r>
    </w:p>
    <w:p w14:paraId="5761D3FA" w14:textId="77777777" w:rsidR="00A56EE9" w:rsidRPr="001F7C48" w:rsidRDefault="00A56EE9" w:rsidP="00E3690C">
      <w:pPr>
        <w:spacing w:line="276" w:lineRule="auto"/>
        <w:rPr>
          <w:rFonts w:eastAsia="Calibri" w:cs="Arial"/>
        </w:rPr>
      </w:pPr>
      <w:r>
        <w:rPr>
          <w:rFonts w:eastAsia="Calibri" w:cs="Arial"/>
        </w:rPr>
        <w:t>On 28 July 2017, the</w:t>
      </w:r>
      <w:r w:rsidRPr="003E741B">
        <w:rPr>
          <w:rFonts w:eastAsia="Calibri" w:cs="Arial"/>
        </w:rPr>
        <w:t xml:space="preserve"> Great Barrier Reef Ministerial Forum</w:t>
      </w:r>
      <w:r w:rsidRPr="001F7C48">
        <w:rPr>
          <w:rFonts w:eastAsia="Calibri" w:cs="Arial"/>
        </w:rPr>
        <w:t xml:space="preserve"> </w:t>
      </w:r>
      <w:r>
        <w:rPr>
          <w:rFonts w:eastAsia="Calibri" w:cs="Arial"/>
        </w:rPr>
        <w:t xml:space="preserve">recognised that in light of the impacts of coral bleaching and future climate projections, the mid-term review is critical to identify and accelerate priority actions to support the Reef’s health and resilience. The Ministerial Forum agreed to bring forward the commencement of the mid-term review to address this issue. </w:t>
      </w:r>
      <w:r w:rsidRPr="001F7C48">
        <w:rPr>
          <w:rFonts w:eastAsia="Calibri" w:cs="Arial"/>
        </w:rPr>
        <w:t>A report on options for the mid-term review recommend</w:t>
      </w:r>
      <w:r>
        <w:rPr>
          <w:rFonts w:eastAsia="Calibri" w:cs="Arial"/>
        </w:rPr>
        <w:t>ed</w:t>
      </w:r>
      <w:r w:rsidRPr="001F7C48">
        <w:rPr>
          <w:rFonts w:eastAsia="Calibri" w:cs="Arial"/>
        </w:rPr>
        <w:t xml:space="preserve"> that it incorporate ‘no regrets’ climate change adaptations into the </w:t>
      </w:r>
      <w:r>
        <w:rPr>
          <w:rFonts w:eastAsia="Calibri" w:cs="Arial"/>
        </w:rPr>
        <w:t>Reef 2050 P</w:t>
      </w:r>
      <w:r w:rsidRPr="001F7C48">
        <w:rPr>
          <w:rFonts w:eastAsia="Calibri" w:cs="Arial"/>
        </w:rPr>
        <w:t>lan. It also recommend</w:t>
      </w:r>
      <w:r>
        <w:rPr>
          <w:rFonts w:eastAsia="Calibri" w:cs="Arial"/>
        </w:rPr>
        <w:t>ed</w:t>
      </w:r>
      <w:r w:rsidRPr="001F7C48">
        <w:rPr>
          <w:rFonts w:eastAsia="Calibri" w:cs="Arial"/>
        </w:rPr>
        <w:t xml:space="preserve"> that the </w:t>
      </w:r>
      <w:r>
        <w:rPr>
          <w:rFonts w:eastAsia="Calibri" w:cs="Arial"/>
        </w:rPr>
        <w:t>Reef 2050 P</w:t>
      </w:r>
      <w:r w:rsidRPr="001F7C48">
        <w:rPr>
          <w:rFonts w:eastAsia="Calibri" w:cs="Arial"/>
        </w:rPr>
        <w:t>lan:</w:t>
      </w:r>
    </w:p>
    <w:p w14:paraId="5761D3FB" w14:textId="77777777" w:rsidR="00A56EE9" w:rsidRPr="001F7C48" w:rsidRDefault="00A56EE9" w:rsidP="00E3690C">
      <w:pPr>
        <w:spacing w:line="276" w:lineRule="auto"/>
        <w:ind w:left="720"/>
        <w:rPr>
          <w:rFonts w:eastAsia="Calibri" w:cs="Arial"/>
        </w:rPr>
      </w:pPr>
      <w:r w:rsidRPr="001F7C48">
        <w:rPr>
          <w:rFonts w:eastAsia="Calibri" w:cs="Arial"/>
        </w:rPr>
        <w:t>“</w:t>
      </w:r>
      <w:r>
        <w:rPr>
          <w:rFonts w:eastAsia="Calibri" w:cs="Arial"/>
        </w:rPr>
        <w:t>…p</w:t>
      </w:r>
      <w:r w:rsidRPr="001F7C48">
        <w:rPr>
          <w:rFonts w:eastAsia="Calibri" w:cs="Arial"/>
        </w:rPr>
        <w:t xml:space="preserve">ursue greater policy influence and coordination of areas that sit outside of the Reef 2050 Plan but threaten to undermine efforts to sustain the values of the </w:t>
      </w:r>
      <w:r>
        <w:rPr>
          <w:rFonts w:eastAsia="Calibri" w:cs="Arial"/>
        </w:rPr>
        <w:t>Region</w:t>
      </w:r>
      <w:r w:rsidRPr="001F7C48">
        <w:rPr>
          <w:rFonts w:eastAsia="Calibri" w:cs="Arial"/>
        </w:rPr>
        <w:t>. Priority policy areas include emissions reduction, agricultural and land use intensification and major development project assessments. Greater capacity to assess cumulative impacts can underpin Reef 2050 Plan and inform related policy arenas.”</w:t>
      </w:r>
    </w:p>
    <w:p w14:paraId="5761D3FC" w14:textId="77777777" w:rsidR="00A56EE9" w:rsidRDefault="00A56EE9" w:rsidP="00E3690C">
      <w:pPr>
        <w:spacing w:line="276" w:lineRule="auto"/>
        <w:rPr>
          <w:rFonts w:eastAsia="Calibri" w:cs="Arial"/>
        </w:rPr>
      </w:pPr>
      <w:r w:rsidRPr="001F7C48">
        <w:rPr>
          <w:rFonts w:eastAsia="Calibri" w:cs="Arial"/>
        </w:rPr>
        <w:t xml:space="preserve">The mid-term review of the Reef 2050 Plan </w:t>
      </w:r>
      <w:r>
        <w:rPr>
          <w:rFonts w:eastAsia="Calibri" w:cs="Arial"/>
        </w:rPr>
        <w:t>focussed</w:t>
      </w:r>
      <w:r w:rsidRPr="001F7C48">
        <w:rPr>
          <w:rFonts w:eastAsia="Calibri" w:cs="Arial"/>
        </w:rPr>
        <w:t xml:space="preserve"> on additional actions within the Region to address climate change impacts</w:t>
      </w:r>
      <w:r>
        <w:rPr>
          <w:rFonts w:eastAsia="Calibri" w:cs="Arial"/>
        </w:rPr>
        <w:t xml:space="preserve">. However, the review of </w:t>
      </w:r>
      <w:r w:rsidRPr="001F7C48">
        <w:rPr>
          <w:rFonts w:eastAsia="Calibri" w:cs="Arial"/>
        </w:rPr>
        <w:t xml:space="preserve">targets and objectives </w:t>
      </w:r>
      <w:r>
        <w:rPr>
          <w:rFonts w:eastAsia="Calibri" w:cs="Arial"/>
        </w:rPr>
        <w:t xml:space="preserve">will be predominantly addressed in the </w:t>
      </w:r>
      <w:r w:rsidRPr="001F7C48">
        <w:rPr>
          <w:rFonts w:eastAsia="Calibri" w:cs="Arial"/>
        </w:rPr>
        <w:t>review of the Plan in 2020. The Reef 2050 Plan is a collaborative program across government</w:t>
      </w:r>
      <w:r>
        <w:rPr>
          <w:rFonts w:eastAsia="Calibri" w:cs="Arial"/>
        </w:rPr>
        <w:t>s</w:t>
      </w:r>
      <w:r w:rsidRPr="001F7C48">
        <w:rPr>
          <w:rFonts w:eastAsia="Calibri" w:cs="Arial"/>
        </w:rPr>
        <w:t xml:space="preserve"> with common goals and objectives across jurisdictions. Its remit therefore include</w:t>
      </w:r>
      <w:r>
        <w:rPr>
          <w:rFonts w:eastAsia="Calibri" w:cs="Arial"/>
        </w:rPr>
        <w:t>s</w:t>
      </w:r>
      <w:r w:rsidRPr="001F7C48">
        <w:rPr>
          <w:rFonts w:eastAsia="Calibri" w:cs="Arial"/>
        </w:rPr>
        <w:t xml:space="preserve"> actions that address impacts on the Reef from beyond the Great Barrier Reef World Heritage Area. </w:t>
      </w:r>
      <w:r>
        <w:rPr>
          <w:rFonts w:eastAsia="Calibri" w:cs="Arial"/>
        </w:rPr>
        <w:t>However, it does not address</w:t>
      </w:r>
      <w:r w:rsidRPr="001F7C48">
        <w:rPr>
          <w:rFonts w:eastAsia="Calibri" w:cs="Arial"/>
        </w:rPr>
        <w:t xml:space="preserve"> the impacts of potentially conflicting policies in other sectors, such as mining development in the Galilee Basin</w:t>
      </w:r>
      <w:r>
        <w:rPr>
          <w:rFonts w:eastAsia="Calibri" w:cs="Arial"/>
        </w:rPr>
        <w:t xml:space="preserve"> or agricultural intensification in the Great Barrier Reef catchment</w:t>
      </w:r>
      <w:r w:rsidRPr="001F7C48">
        <w:rPr>
          <w:rFonts w:eastAsia="Calibri" w:cs="Arial"/>
        </w:rPr>
        <w:t xml:space="preserve">. </w:t>
      </w:r>
    </w:p>
    <w:p w14:paraId="5761D3FD" w14:textId="77777777" w:rsidR="00A56EE9" w:rsidRDefault="00A56EE9" w:rsidP="00E3690C">
      <w:pPr>
        <w:spacing w:line="276" w:lineRule="auto"/>
        <w:rPr>
          <w:rFonts w:eastAsia="Calibri" w:cs="Arial"/>
        </w:rPr>
      </w:pPr>
      <w:r>
        <w:rPr>
          <w:rFonts w:eastAsia="Calibri" w:cs="Arial"/>
        </w:rPr>
        <w:t>P</w:t>
      </w:r>
      <w:r w:rsidRPr="001F7C48">
        <w:rPr>
          <w:rFonts w:eastAsia="Calibri" w:cs="Arial"/>
        </w:rPr>
        <w:t xml:space="preserve">olicy dissonance exists within government and society whereby conflicting policies </w:t>
      </w:r>
      <w:r>
        <w:rPr>
          <w:rFonts w:eastAsia="Calibri" w:cs="Arial"/>
        </w:rPr>
        <w:t>relating to</w:t>
      </w:r>
      <w:r w:rsidRPr="001F7C48">
        <w:rPr>
          <w:rFonts w:eastAsia="Calibri" w:cs="Arial"/>
        </w:rPr>
        <w:t xml:space="preserve"> environmental protection and development sit side-by-side</w:t>
      </w:r>
      <w:r>
        <w:rPr>
          <w:rFonts w:eastAsia="Calibri" w:cs="Arial"/>
        </w:rPr>
        <w:t>. Many of these</w:t>
      </w:r>
      <w:r w:rsidRPr="001F7C48">
        <w:rPr>
          <w:rFonts w:eastAsia="Calibri" w:cs="Arial"/>
        </w:rPr>
        <w:t xml:space="preserve"> cannot be directly addressed by </w:t>
      </w:r>
      <w:r>
        <w:rPr>
          <w:rFonts w:eastAsia="Calibri" w:cs="Arial"/>
        </w:rPr>
        <w:t xml:space="preserve">most Reef 2050 partners </w:t>
      </w:r>
      <w:r w:rsidRPr="001F7C48">
        <w:rPr>
          <w:rFonts w:eastAsia="Calibri" w:cs="Arial"/>
        </w:rPr>
        <w:t>as th</w:t>
      </w:r>
      <w:r>
        <w:rPr>
          <w:rFonts w:eastAsia="Calibri" w:cs="Arial"/>
        </w:rPr>
        <w:t>ey</w:t>
      </w:r>
      <w:r w:rsidRPr="001F7C48">
        <w:rPr>
          <w:rFonts w:eastAsia="Calibri" w:cs="Arial"/>
        </w:rPr>
        <w:t xml:space="preserve"> lie outside the direct management role</w:t>
      </w:r>
      <w:r>
        <w:rPr>
          <w:rFonts w:eastAsia="Calibri" w:cs="Arial"/>
        </w:rPr>
        <w:t>s</w:t>
      </w:r>
      <w:r w:rsidRPr="001F7C48">
        <w:rPr>
          <w:rFonts w:eastAsia="Calibri" w:cs="Arial"/>
        </w:rPr>
        <w:t xml:space="preserve"> of </w:t>
      </w:r>
      <w:r>
        <w:rPr>
          <w:rFonts w:eastAsia="Calibri" w:cs="Arial"/>
        </w:rPr>
        <w:t xml:space="preserve">agencies </w:t>
      </w:r>
      <w:r w:rsidRPr="001F7C48">
        <w:rPr>
          <w:rFonts w:eastAsia="Calibri" w:cs="Arial"/>
        </w:rPr>
        <w:t xml:space="preserve">which </w:t>
      </w:r>
      <w:r>
        <w:rPr>
          <w:rFonts w:eastAsia="Calibri" w:cs="Arial"/>
        </w:rPr>
        <w:t>are</w:t>
      </w:r>
      <w:r w:rsidRPr="001F7C48">
        <w:rPr>
          <w:rFonts w:eastAsia="Calibri" w:cs="Arial"/>
        </w:rPr>
        <w:t xml:space="preserve"> limited </w:t>
      </w:r>
      <w:r>
        <w:rPr>
          <w:rFonts w:eastAsia="Calibri" w:cs="Arial"/>
        </w:rPr>
        <w:t>by statute</w:t>
      </w:r>
      <w:r w:rsidRPr="001F7C48">
        <w:rPr>
          <w:rFonts w:eastAsia="Calibri" w:cs="Arial"/>
        </w:rPr>
        <w:t xml:space="preserve">. </w:t>
      </w:r>
    </w:p>
    <w:p w14:paraId="5761D3FE" w14:textId="77777777" w:rsidR="00A56EE9" w:rsidRDefault="00A56EE9" w:rsidP="00E3690C">
      <w:pPr>
        <w:spacing w:line="276" w:lineRule="auto"/>
        <w:rPr>
          <w:rFonts w:eastAsia="Calibri" w:cs="Arial"/>
        </w:rPr>
      </w:pPr>
      <w:r w:rsidRPr="001F7C48">
        <w:rPr>
          <w:rFonts w:eastAsia="Calibri" w:cs="Arial"/>
        </w:rPr>
        <w:t xml:space="preserve">The </w:t>
      </w:r>
      <w:r>
        <w:rPr>
          <w:rFonts w:eastAsia="Calibri" w:cs="Arial"/>
        </w:rPr>
        <w:t>Marine Park Authority</w:t>
      </w:r>
      <w:r w:rsidRPr="001F7C48">
        <w:rPr>
          <w:rFonts w:eastAsia="Calibri" w:cs="Arial"/>
        </w:rPr>
        <w:t xml:space="preserve"> is just one voice in what is an increasingly crowded policy and management space</w:t>
      </w:r>
      <w:r>
        <w:rPr>
          <w:rFonts w:eastAsia="Calibri" w:cs="Arial"/>
        </w:rPr>
        <w:t>,</w:t>
      </w:r>
      <w:r w:rsidRPr="001F7C48">
        <w:rPr>
          <w:rFonts w:eastAsia="Calibri" w:cs="Arial"/>
        </w:rPr>
        <w:t xml:space="preserve"> with strategies being developed at national, state and local level</w:t>
      </w:r>
      <w:r>
        <w:rPr>
          <w:rFonts w:eastAsia="Calibri" w:cs="Arial"/>
        </w:rPr>
        <w:t>s</w:t>
      </w:r>
      <w:r w:rsidRPr="001F7C48">
        <w:rPr>
          <w:rFonts w:eastAsia="Calibri" w:cs="Arial"/>
        </w:rPr>
        <w:t xml:space="preserve">. However, the significant withdrawal of the </w:t>
      </w:r>
      <w:r>
        <w:rPr>
          <w:rFonts w:eastAsia="Calibri" w:cs="Arial"/>
        </w:rPr>
        <w:t>Marine Park Authority</w:t>
      </w:r>
      <w:r w:rsidRPr="001F7C48">
        <w:rPr>
          <w:rFonts w:eastAsia="Calibri" w:cs="Arial"/>
        </w:rPr>
        <w:t xml:space="preserve"> from a very visible role in planning for and leading work on addressing climate change </w:t>
      </w:r>
      <w:r>
        <w:rPr>
          <w:rFonts w:eastAsia="Calibri" w:cs="Arial"/>
        </w:rPr>
        <w:t>relating to the Region</w:t>
      </w:r>
      <w:r w:rsidRPr="001F7C48">
        <w:rPr>
          <w:rFonts w:eastAsia="Calibri" w:cs="Arial"/>
        </w:rPr>
        <w:t xml:space="preserve"> has, to some extent, shifted its role from being a “consequence maker” advocating for effective climate mitigation to being a “consequence taker”, responding to climate change i</w:t>
      </w:r>
      <w:r>
        <w:rPr>
          <w:rFonts w:eastAsia="Calibri" w:cs="Arial"/>
        </w:rPr>
        <w:t>mpacts with actions to improve R</w:t>
      </w:r>
      <w:r w:rsidRPr="001F7C48">
        <w:rPr>
          <w:rFonts w:eastAsia="Calibri" w:cs="Arial"/>
        </w:rPr>
        <w:t xml:space="preserve">eef resilience as </w:t>
      </w:r>
      <w:r>
        <w:rPr>
          <w:rFonts w:eastAsia="Calibri" w:cs="Arial"/>
        </w:rPr>
        <w:t xml:space="preserve">part of </w:t>
      </w:r>
      <w:r w:rsidRPr="001F7C48">
        <w:rPr>
          <w:rFonts w:eastAsia="Calibri" w:cs="Arial"/>
        </w:rPr>
        <w:t>an adaptation strategy.</w:t>
      </w:r>
    </w:p>
    <w:p w14:paraId="5761D3FF" w14:textId="77777777" w:rsidR="00A56EE9" w:rsidRPr="001F7C48" w:rsidRDefault="00A56EE9" w:rsidP="00E3690C">
      <w:pPr>
        <w:spacing w:line="276" w:lineRule="auto"/>
        <w:rPr>
          <w:rFonts w:eastAsia="Calibri" w:cs="Arial"/>
        </w:rPr>
      </w:pPr>
      <w:r w:rsidRPr="001F7C48">
        <w:rPr>
          <w:rFonts w:eastAsia="Calibri" w:cs="Arial"/>
        </w:rPr>
        <w:t xml:space="preserve">Documents such as the </w:t>
      </w:r>
      <w:r>
        <w:rPr>
          <w:rFonts w:eastAsia="Calibri" w:cs="Arial"/>
        </w:rPr>
        <w:t xml:space="preserve">Reef 2050 Plan and </w:t>
      </w:r>
      <w:r w:rsidRPr="000378CE">
        <w:rPr>
          <w:i/>
        </w:rPr>
        <w:t>Great Barrier Reef Blueprint for Resilience</w:t>
      </w:r>
      <w:r>
        <w:t xml:space="preserve"> (Reef Blueprint) (GBRMPA</w:t>
      </w:r>
      <w:r w:rsidRPr="0087147B">
        <w:t xml:space="preserve"> 2017) </w:t>
      </w:r>
      <w:r w:rsidRPr="001F7C48">
        <w:rPr>
          <w:rFonts w:eastAsia="Calibri" w:cs="Arial"/>
        </w:rPr>
        <w:t>make it clear that restricting the global temperature increase to 1.5</w:t>
      </w:r>
      <w:r w:rsidRPr="001F7C48">
        <w:rPr>
          <w:rFonts w:eastAsia="Calibri" w:cs="Arial"/>
          <w:vertAlign w:val="superscript"/>
        </w:rPr>
        <w:t>o</w:t>
      </w:r>
      <w:r w:rsidRPr="001F7C48">
        <w:rPr>
          <w:rFonts w:eastAsia="Calibri" w:cs="Arial"/>
        </w:rPr>
        <w:t xml:space="preserve">C or lower is critical to ensure that the </w:t>
      </w:r>
      <w:r>
        <w:rPr>
          <w:rFonts w:eastAsia="Calibri" w:cs="Arial"/>
        </w:rPr>
        <w:t>R</w:t>
      </w:r>
      <w:r w:rsidRPr="001F7C48">
        <w:rPr>
          <w:rFonts w:eastAsia="Calibri" w:cs="Arial"/>
        </w:rPr>
        <w:t xml:space="preserve">eef remains a functioning ecosystem. The Reef Blueprint, released in late 2017, may mark a resurgence of a more active role of </w:t>
      </w:r>
      <w:r>
        <w:rPr>
          <w:rFonts w:eastAsia="Calibri" w:cs="Arial"/>
        </w:rPr>
        <w:t>managing agencies</w:t>
      </w:r>
      <w:r w:rsidRPr="001F7C48">
        <w:rPr>
          <w:rFonts w:eastAsia="Calibri" w:cs="Arial"/>
        </w:rPr>
        <w:t xml:space="preserve"> in this space, with a focus on building a resilience network within the </w:t>
      </w:r>
      <w:r>
        <w:rPr>
          <w:rFonts w:eastAsia="Calibri" w:cs="Arial"/>
        </w:rPr>
        <w:t>Region</w:t>
      </w:r>
      <w:r w:rsidRPr="001F7C48">
        <w:rPr>
          <w:rFonts w:eastAsia="Calibri" w:cs="Arial"/>
        </w:rPr>
        <w:t xml:space="preserve">. While the proposed activities within the </w:t>
      </w:r>
      <w:r>
        <w:rPr>
          <w:rFonts w:eastAsia="Calibri" w:cs="Arial"/>
        </w:rPr>
        <w:t xml:space="preserve">Region </w:t>
      </w:r>
      <w:r w:rsidRPr="001F7C48">
        <w:rPr>
          <w:rFonts w:eastAsia="Calibri" w:cs="Arial"/>
        </w:rPr>
        <w:t xml:space="preserve">such as dramatically enhancing compliance, expanded </w:t>
      </w:r>
      <w:r>
        <w:rPr>
          <w:rFonts w:eastAsia="Calibri" w:cs="Arial"/>
        </w:rPr>
        <w:t>crown-of-thorns starfish</w:t>
      </w:r>
      <w:r w:rsidRPr="001F7C48">
        <w:rPr>
          <w:rFonts w:eastAsia="Calibri" w:cs="Arial"/>
        </w:rPr>
        <w:t xml:space="preserve"> control, protection of key species and locations</w:t>
      </w:r>
      <w:r>
        <w:rPr>
          <w:rFonts w:eastAsia="Calibri" w:cs="Arial"/>
        </w:rPr>
        <w:t>,</w:t>
      </w:r>
      <w:r w:rsidRPr="001F7C48">
        <w:rPr>
          <w:rFonts w:eastAsia="Calibri" w:cs="Arial"/>
        </w:rPr>
        <w:t xml:space="preserve"> and active localised restoration are all desirable ‘no-regrets’ actions, the extent </w:t>
      </w:r>
      <w:r>
        <w:rPr>
          <w:rFonts w:eastAsia="Calibri" w:cs="Arial"/>
        </w:rPr>
        <w:t>to which they</w:t>
      </w:r>
      <w:r w:rsidRPr="001F7C48">
        <w:rPr>
          <w:rFonts w:eastAsia="Calibri" w:cs="Arial"/>
        </w:rPr>
        <w:t xml:space="preserve"> are able to achieve broader objectives of fostering change at a wider policy, societal and geographic level, will be critical to the success of the </w:t>
      </w:r>
      <w:r>
        <w:rPr>
          <w:rFonts w:eastAsia="Calibri" w:cs="Arial"/>
        </w:rPr>
        <w:t>Reef Blueprint</w:t>
      </w:r>
      <w:r w:rsidRPr="001F7C48">
        <w:rPr>
          <w:rFonts w:eastAsia="Calibri" w:cs="Arial"/>
        </w:rPr>
        <w:t>.</w:t>
      </w:r>
    </w:p>
    <w:p w14:paraId="5761D401" w14:textId="2EB4A50E" w:rsidR="00A56EE9" w:rsidRPr="003173ED" w:rsidRDefault="00A56EE9" w:rsidP="00BB6AD5">
      <w:pPr>
        <w:pStyle w:val="Caption"/>
        <w:jc w:val="center"/>
      </w:pPr>
      <w:bookmarkStart w:id="95" w:name="_Ref259285293"/>
      <w:bookmarkStart w:id="96" w:name="_Toc389205087"/>
      <w:bookmarkStart w:id="97" w:name="_Toc525654458"/>
      <w:r w:rsidRPr="003173ED">
        <w:t xml:space="preserve">Table </w:t>
      </w:r>
      <w:r w:rsidRPr="003173ED">
        <w:fldChar w:fldCharType="begin"/>
      </w:r>
      <w:r w:rsidRPr="003173ED">
        <w:instrText xml:space="preserve"> SEQ Table \* ARABIC </w:instrText>
      </w:r>
      <w:r w:rsidRPr="003173ED">
        <w:fldChar w:fldCharType="separate"/>
      </w:r>
      <w:r w:rsidR="00A4170C">
        <w:rPr>
          <w:noProof/>
        </w:rPr>
        <w:t>13</w:t>
      </w:r>
      <w:r w:rsidRPr="003173ED">
        <w:fldChar w:fldCharType="end"/>
      </w:r>
      <w:bookmarkEnd w:id="95"/>
      <w:r w:rsidRPr="003173ED">
        <w:t xml:space="preserve"> Assessment results for Climate Change</w:t>
      </w:r>
      <w:bookmarkEnd w:id="96"/>
      <w:bookmarkEnd w:id="97"/>
    </w:p>
    <w:tbl>
      <w:tblPr>
        <w:tblStyle w:val="TableGrid"/>
        <w:tblW w:w="5000" w:type="pct"/>
        <w:jc w:val="center"/>
        <w:tblLayout w:type="fixed"/>
        <w:tblLook w:val="04A0" w:firstRow="1" w:lastRow="0" w:firstColumn="1" w:lastColumn="0" w:noHBand="0" w:noVBand="1"/>
        <w:tblCaption w:val="Table 5 Assessment results for Climate change"/>
        <w:tblDescription w:val="Grades and trends  for Climate change:&#10;Context: Effective; stable&#10;Planning: Partially effective; declining &#10;Inputs: Partially effective; declined&#10;Processes: partially effective; declining&#10;Outputs: Ineffective; declined &#10;Outcomes: Ineffective; declining"/>
      </w:tblPr>
      <w:tblGrid>
        <w:gridCol w:w="3320"/>
        <w:gridCol w:w="1831"/>
        <w:gridCol w:w="1828"/>
        <w:gridCol w:w="2037"/>
      </w:tblGrid>
      <w:tr w:rsidR="00A56EE9" w:rsidRPr="001F7C48" w14:paraId="5761D406" w14:textId="77777777" w:rsidTr="00BB6AD5">
        <w:trPr>
          <w:trHeight w:val="441"/>
          <w:tblHeader/>
          <w:jc w:val="center"/>
        </w:trPr>
        <w:tc>
          <w:tcPr>
            <w:tcW w:w="1286" w:type="dxa"/>
            <w:vAlign w:val="center"/>
          </w:tcPr>
          <w:p w14:paraId="5761D402" w14:textId="77777777" w:rsidR="00A56EE9" w:rsidRPr="001F7C48" w:rsidRDefault="00A56EE9" w:rsidP="00BB6AD5">
            <w:pPr>
              <w:keepLines/>
              <w:spacing w:line="240" w:lineRule="exact"/>
              <w:jc w:val="both"/>
              <w:rPr>
                <w:b/>
              </w:rPr>
            </w:pPr>
            <w:r w:rsidRPr="001F7C48">
              <w:rPr>
                <w:b/>
              </w:rPr>
              <w:t>Climate change</w:t>
            </w:r>
          </w:p>
        </w:tc>
        <w:tc>
          <w:tcPr>
            <w:tcW w:w="709" w:type="dxa"/>
            <w:vAlign w:val="center"/>
          </w:tcPr>
          <w:p w14:paraId="5761D403" w14:textId="77777777" w:rsidR="00A56EE9" w:rsidRPr="001F7C48" w:rsidRDefault="00A56EE9" w:rsidP="00BB6AD5">
            <w:pPr>
              <w:keepLines/>
              <w:spacing w:line="240" w:lineRule="exact"/>
              <w:jc w:val="both"/>
              <w:rPr>
                <w:b/>
              </w:rPr>
            </w:pPr>
            <w:r w:rsidRPr="001F7C48">
              <w:rPr>
                <w:b/>
              </w:rPr>
              <w:t>2009</w:t>
            </w:r>
          </w:p>
        </w:tc>
        <w:tc>
          <w:tcPr>
            <w:tcW w:w="708" w:type="dxa"/>
            <w:vAlign w:val="center"/>
          </w:tcPr>
          <w:p w14:paraId="5761D404" w14:textId="77777777" w:rsidR="00A56EE9" w:rsidRPr="001F7C48" w:rsidRDefault="00A56EE9" w:rsidP="00BB6AD5">
            <w:pPr>
              <w:keepLines/>
              <w:spacing w:line="240" w:lineRule="exact"/>
              <w:jc w:val="both"/>
              <w:rPr>
                <w:b/>
              </w:rPr>
            </w:pPr>
            <w:r w:rsidRPr="001F7C48">
              <w:rPr>
                <w:b/>
              </w:rPr>
              <w:t>2014</w:t>
            </w:r>
          </w:p>
        </w:tc>
        <w:tc>
          <w:tcPr>
            <w:tcW w:w="789" w:type="dxa"/>
            <w:tcBorders>
              <w:bottom w:val="single" w:sz="4" w:space="0" w:color="auto"/>
            </w:tcBorders>
            <w:vAlign w:val="center"/>
          </w:tcPr>
          <w:p w14:paraId="5761D405" w14:textId="77777777" w:rsidR="00A56EE9" w:rsidRPr="001F7C48" w:rsidRDefault="00A56EE9" w:rsidP="00BB6AD5">
            <w:pPr>
              <w:keepLines/>
              <w:spacing w:line="240" w:lineRule="exact"/>
              <w:jc w:val="both"/>
              <w:rPr>
                <w:b/>
              </w:rPr>
            </w:pPr>
            <w:r w:rsidRPr="001F7C48">
              <w:rPr>
                <w:b/>
              </w:rPr>
              <w:t>2019</w:t>
            </w:r>
          </w:p>
        </w:tc>
      </w:tr>
      <w:tr w:rsidR="00A56EE9" w:rsidRPr="001F7C48" w14:paraId="5761D40B" w14:textId="77777777" w:rsidTr="00BB6AD5">
        <w:trPr>
          <w:jc w:val="center"/>
        </w:trPr>
        <w:tc>
          <w:tcPr>
            <w:tcW w:w="1286" w:type="dxa"/>
            <w:vAlign w:val="center"/>
          </w:tcPr>
          <w:p w14:paraId="5761D407" w14:textId="77777777" w:rsidR="00A56EE9" w:rsidRPr="001F7C48" w:rsidRDefault="00A56EE9" w:rsidP="00BB6AD5">
            <w:pPr>
              <w:keepLines/>
              <w:spacing w:line="240" w:lineRule="exact"/>
              <w:rPr>
                <w:b/>
              </w:rPr>
            </w:pPr>
            <w:r w:rsidRPr="001F7C48">
              <w:rPr>
                <w:b/>
              </w:rPr>
              <w:t>Context</w:t>
            </w:r>
          </w:p>
        </w:tc>
        <w:tc>
          <w:tcPr>
            <w:tcW w:w="709" w:type="dxa"/>
            <w:shd w:val="clear" w:color="auto" w:fill="538135" w:themeFill="accent6" w:themeFillShade="BF"/>
            <w:vAlign w:val="center"/>
          </w:tcPr>
          <w:p w14:paraId="5761D408" w14:textId="77777777" w:rsidR="00A56EE9" w:rsidRPr="001F7C48" w:rsidRDefault="00A56EE9" w:rsidP="00BB6AD5">
            <w:pPr>
              <w:keepLines/>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409"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rPr>
              <w:t>⬇</w:t>
            </w:r>
          </w:p>
        </w:tc>
        <w:tc>
          <w:tcPr>
            <w:tcW w:w="789" w:type="dxa"/>
            <w:shd w:val="clear" w:color="auto" w:fill="A8D08D" w:themeFill="accent6" w:themeFillTint="99"/>
            <w:vAlign w:val="center"/>
          </w:tcPr>
          <w:p w14:paraId="5761D40A"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b/>
              </w:rPr>
              <w:t>↔</w:t>
            </w:r>
          </w:p>
        </w:tc>
      </w:tr>
      <w:tr w:rsidR="00A56EE9" w:rsidRPr="001F7C48" w14:paraId="5761D410" w14:textId="77777777" w:rsidTr="00BB6AD5">
        <w:trPr>
          <w:jc w:val="center"/>
        </w:trPr>
        <w:tc>
          <w:tcPr>
            <w:tcW w:w="1286" w:type="dxa"/>
            <w:vAlign w:val="center"/>
          </w:tcPr>
          <w:p w14:paraId="5761D40C" w14:textId="77777777" w:rsidR="00A56EE9" w:rsidRPr="001F7C48" w:rsidRDefault="00A56EE9" w:rsidP="00BB6AD5">
            <w:pPr>
              <w:keepLines/>
              <w:spacing w:line="240" w:lineRule="exact"/>
              <w:rPr>
                <w:b/>
              </w:rPr>
            </w:pPr>
            <w:r w:rsidRPr="001F7C48">
              <w:rPr>
                <w:b/>
              </w:rPr>
              <w:t>Planning</w:t>
            </w:r>
          </w:p>
        </w:tc>
        <w:tc>
          <w:tcPr>
            <w:tcW w:w="709" w:type="dxa"/>
            <w:shd w:val="clear" w:color="auto" w:fill="A8D08D" w:themeFill="accent6" w:themeFillTint="99"/>
            <w:vAlign w:val="center"/>
          </w:tcPr>
          <w:p w14:paraId="5761D40D" w14:textId="77777777" w:rsidR="00A56EE9" w:rsidRPr="001F7C48" w:rsidRDefault="00A56EE9" w:rsidP="00BB6AD5">
            <w:pPr>
              <w:keepLines/>
              <w:spacing w:line="240" w:lineRule="exact"/>
              <w:jc w:val="center"/>
              <w:rPr>
                <w:rFonts w:ascii="Cambria Math" w:hAnsi="Cambria Math"/>
                <w:b/>
                <w:sz w:val="24"/>
                <w:szCs w:val="24"/>
              </w:rPr>
            </w:pPr>
          </w:p>
        </w:tc>
        <w:tc>
          <w:tcPr>
            <w:tcW w:w="708" w:type="dxa"/>
            <w:shd w:val="clear" w:color="auto" w:fill="FFC000" w:themeFill="accent4"/>
            <w:vAlign w:val="center"/>
          </w:tcPr>
          <w:p w14:paraId="5761D40E"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rPr>
              <w:t>⬇</w:t>
            </w:r>
          </w:p>
        </w:tc>
        <w:tc>
          <w:tcPr>
            <w:tcW w:w="789" w:type="dxa"/>
            <w:shd w:val="clear" w:color="auto" w:fill="FFC000" w:themeFill="accent4"/>
            <w:vAlign w:val="center"/>
          </w:tcPr>
          <w:p w14:paraId="5761D40F"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b/>
              </w:rPr>
              <w:t>↘</w:t>
            </w:r>
          </w:p>
        </w:tc>
      </w:tr>
      <w:tr w:rsidR="00A56EE9" w:rsidRPr="001F7C48" w14:paraId="5761D415" w14:textId="77777777" w:rsidTr="00BB6AD5">
        <w:trPr>
          <w:jc w:val="center"/>
        </w:trPr>
        <w:tc>
          <w:tcPr>
            <w:tcW w:w="1286" w:type="dxa"/>
            <w:vAlign w:val="center"/>
          </w:tcPr>
          <w:p w14:paraId="5761D411" w14:textId="77777777" w:rsidR="00A56EE9" w:rsidRPr="001F7C48" w:rsidRDefault="00A56EE9" w:rsidP="00BB6AD5">
            <w:pPr>
              <w:keepLines/>
              <w:spacing w:line="240" w:lineRule="exact"/>
              <w:rPr>
                <w:b/>
              </w:rPr>
            </w:pPr>
            <w:r w:rsidRPr="001F7C48">
              <w:rPr>
                <w:b/>
              </w:rPr>
              <w:t>Inputs</w:t>
            </w:r>
          </w:p>
        </w:tc>
        <w:tc>
          <w:tcPr>
            <w:tcW w:w="709" w:type="dxa"/>
            <w:shd w:val="clear" w:color="auto" w:fill="A8D08D" w:themeFill="accent6" w:themeFillTint="99"/>
            <w:vAlign w:val="center"/>
          </w:tcPr>
          <w:p w14:paraId="5761D412" w14:textId="77777777" w:rsidR="00A56EE9" w:rsidRPr="001F7C48" w:rsidRDefault="00A56EE9" w:rsidP="00BB6AD5">
            <w:pPr>
              <w:keepLines/>
              <w:spacing w:line="240" w:lineRule="exact"/>
              <w:jc w:val="center"/>
              <w:rPr>
                <w:rFonts w:ascii="Cambria Math" w:hAnsi="Cambria Math"/>
                <w:b/>
                <w:sz w:val="24"/>
                <w:szCs w:val="24"/>
              </w:rPr>
            </w:pPr>
          </w:p>
        </w:tc>
        <w:tc>
          <w:tcPr>
            <w:tcW w:w="708" w:type="dxa"/>
            <w:tcBorders>
              <w:bottom w:val="single" w:sz="4" w:space="0" w:color="auto"/>
            </w:tcBorders>
            <w:shd w:val="clear" w:color="auto" w:fill="A8D08D" w:themeFill="accent6" w:themeFillTint="99"/>
            <w:vAlign w:val="center"/>
          </w:tcPr>
          <w:p w14:paraId="5761D413"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b/>
              </w:rPr>
              <w:t>↘</w:t>
            </w:r>
          </w:p>
        </w:tc>
        <w:tc>
          <w:tcPr>
            <w:tcW w:w="789" w:type="dxa"/>
            <w:shd w:val="clear" w:color="auto" w:fill="FFC000" w:themeFill="accent4"/>
            <w:vAlign w:val="center"/>
          </w:tcPr>
          <w:p w14:paraId="5761D414"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rPr>
              <w:t>⬇</w:t>
            </w:r>
          </w:p>
        </w:tc>
      </w:tr>
      <w:tr w:rsidR="00A56EE9" w:rsidRPr="001F7C48" w14:paraId="5761D41A" w14:textId="77777777" w:rsidTr="00BB6AD5">
        <w:trPr>
          <w:jc w:val="center"/>
        </w:trPr>
        <w:tc>
          <w:tcPr>
            <w:tcW w:w="1286" w:type="dxa"/>
            <w:vAlign w:val="center"/>
          </w:tcPr>
          <w:p w14:paraId="5761D416" w14:textId="77777777" w:rsidR="00A56EE9" w:rsidRPr="001F7C48" w:rsidRDefault="00A56EE9" w:rsidP="00BB6AD5">
            <w:pPr>
              <w:keepLines/>
              <w:spacing w:line="240" w:lineRule="exact"/>
              <w:rPr>
                <w:b/>
              </w:rPr>
            </w:pPr>
            <w:r w:rsidRPr="001F7C48">
              <w:rPr>
                <w:b/>
              </w:rPr>
              <w:t>Processes</w:t>
            </w:r>
          </w:p>
        </w:tc>
        <w:tc>
          <w:tcPr>
            <w:tcW w:w="709" w:type="dxa"/>
            <w:shd w:val="clear" w:color="auto" w:fill="A8D08D" w:themeFill="accent6" w:themeFillTint="99"/>
            <w:vAlign w:val="center"/>
          </w:tcPr>
          <w:p w14:paraId="5761D417" w14:textId="77777777" w:rsidR="00A56EE9" w:rsidRPr="001F7C48" w:rsidRDefault="00A56EE9" w:rsidP="00BB6AD5">
            <w:pPr>
              <w:keepLines/>
              <w:spacing w:line="240" w:lineRule="exact"/>
              <w:jc w:val="center"/>
              <w:rPr>
                <w:rFonts w:ascii="Cambria Math" w:hAnsi="Cambria Math"/>
                <w:b/>
                <w:sz w:val="24"/>
                <w:szCs w:val="24"/>
              </w:rPr>
            </w:pPr>
          </w:p>
        </w:tc>
        <w:tc>
          <w:tcPr>
            <w:tcW w:w="708" w:type="dxa"/>
            <w:shd w:val="clear" w:color="auto" w:fill="FFC000" w:themeFill="accent4"/>
            <w:vAlign w:val="center"/>
          </w:tcPr>
          <w:p w14:paraId="5761D418"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rPr>
              <w:t>⬇</w:t>
            </w:r>
          </w:p>
        </w:tc>
        <w:tc>
          <w:tcPr>
            <w:tcW w:w="789" w:type="dxa"/>
            <w:tcBorders>
              <w:bottom w:val="single" w:sz="4" w:space="0" w:color="auto"/>
            </w:tcBorders>
            <w:shd w:val="clear" w:color="auto" w:fill="FFC000" w:themeFill="accent4"/>
            <w:vAlign w:val="center"/>
          </w:tcPr>
          <w:p w14:paraId="5761D419"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b/>
              </w:rPr>
              <w:t>↘</w:t>
            </w:r>
          </w:p>
        </w:tc>
      </w:tr>
      <w:tr w:rsidR="00A56EE9" w:rsidRPr="001F7C48" w14:paraId="5761D41F" w14:textId="77777777" w:rsidTr="00BB6AD5">
        <w:trPr>
          <w:trHeight w:val="103"/>
          <w:jc w:val="center"/>
        </w:trPr>
        <w:tc>
          <w:tcPr>
            <w:tcW w:w="1286" w:type="dxa"/>
            <w:vAlign w:val="center"/>
          </w:tcPr>
          <w:p w14:paraId="5761D41B" w14:textId="77777777" w:rsidR="00A56EE9" w:rsidRPr="001F7C48" w:rsidRDefault="00A56EE9" w:rsidP="00BB6AD5">
            <w:pPr>
              <w:keepLines/>
              <w:spacing w:line="240" w:lineRule="exact"/>
              <w:rPr>
                <w:b/>
              </w:rPr>
            </w:pPr>
            <w:r w:rsidRPr="001F7C48">
              <w:rPr>
                <w:b/>
              </w:rPr>
              <w:t>Outputs</w:t>
            </w:r>
          </w:p>
        </w:tc>
        <w:tc>
          <w:tcPr>
            <w:tcW w:w="709" w:type="dxa"/>
            <w:shd w:val="clear" w:color="auto" w:fill="A8D08D" w:themeFill="accent6" w:themeFillTint="99"/>
            <w:vAlign w:val="center"/>
          </w:tcPr>
          <w:p w14:paraId="5761D41C" w14:textId="77777777" w:rsidR="00A56EE9" w:rsidRPr="001F7C48" w:rsidRDefault="00A56EE9" w:rsidP="00BB6AD5">
            <w:pPr>
              <w:keepLines/>
              <w:spacing w:line="240" w:lineRule="exact"/>
              <w:jc w:val="center"/>
              <w:rPr>
                <w:rFonts w:ascii="Cambria Math" w:hAnsi="Cambria Math"/>
                <w:b/>
                <w:sz w:val="24"/>
                <w:szCs w:val="24"/>
              </w:rPr>
            </w:pPr>
          </w:p>
        </w:tc>
        <w:tc>
          <w:tcPr>
            <w:tcW w:w="708" w:type="dxa"/>
            <w:shd w:val="clear" w:color="auto" w:fill="A8D08D" w:themeFill="accent6" w:themeFillTint="99"/>
            <w:vAlign w:val="center"/>
          </w:tcPr>
          <w:p w14:paraId="5761D41D"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b/>
              </w:rPr>
              <w:t>↔</w:t>
            </w:r>
          </w:p>
        </w:tc>
        <w:tc>
          <w:tcPr>
            <w:tcW w:w="789" w:type="dxa"/>
            <w:tcBorders>
              <w:bottom w:val="single" w:sz="4" w:space="0" w:color="auto"/>
            </w:tcBorders>
            <w:shd w:val="clear" w:color="auto" w:fill="FF0000"/>
            <w:vAlign w:val="center"/>
          </w:tcPr>
          <w:p w14:paraId="5761D41E"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rPr>
              <w:t>⬇</w:t>
            </w:r>
          </w:p>
        </w:tc>
      </w:tr>
      <w:tr w:rsidR="00A56EE9" w:rsidRPr="001F7C48" w14:paraId="5761D424" w14:textId="77777777" w:rsidTr="00BB6AD5">
        <w:trPr>
          <w:jc w:val="center"/>
        </w:trPr>
        <w:tc>
          <w:tcPr>
            <w:tcW w:w="1286" w:type="dxa"/>
            <w:vAlign w:val="center"/>
          </w:tcPr>
          <w:p w14:paraId="5761D420" w14:textId="77777777" w:rsidR="00A56EE9" w:rsidRPr="001F7C48" w:rsidRDefault="00A56EE9" w:rsidP="00BB6AD5">
            <w:pPr>
              <w:keepLines/>
              <w:spacing w:line="240" w:lineRule="exact"/>
              <w:rPr>
                <w:b/>
              </w:rPr>
            </w:pPr>
            <w:r w:rsidRPr="001F7C48">
              <w:rPr>
                <w:b/>
              </w:rPr>
              <w:t>Outcomes</w:t>
            </w:r>
          </w:p>
        </w:tc>
        <w:tc>
          <w:tcPr>
            <w:tcW w:w="709" w:type="dxa"/>
            <w:shd w:val="clear" w:color="auto" w:fill="FFC000" w:themeFill="accent4"/>
            <w:vAlign w:val="center"/>
          </w:tcPr>
          <w:p w14:paraId="5761D421" w14:textId="77777777" w:rsidR="00A56EE9" w:rsidRPr="001F7C48" w:rsidRDefault="00A56EE9" w:rsidP="00BB6AD5">
            <w:pPr>
              <w:keepLines/>
              <w:spacing w:line="240" w:lineRule="exact"/>
              <w:jc w:val="center"/>
              <w:rPr>
                <w:rFonts w:ascii="Cambria Math" w:hAnsi="Cambria Math"/>
                <w:b/>
                <w:sz w:val="24"/>
                <w:szCs w:val="24"/>
              </w:rPr>
            </w:pPr>
          </w:p>
        </w:tc>
        <w:tc>
          <w:tcPr>
            <w:tcW w:w="708" w:type="dxa"/>
            <w:shd w:val="clear" w:color="auto" w:fill="FF0000"/>
            <w:vAlign w:val="center"/>
          </w:tcPr>
          <w:p w14:paraId="5761D422"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rPr>
              <w:t>⬇</w:t>
            </w:r>
          </w:p>
        </w:tc>
        <w:tc>
          <w:tcPr>
            <w:tcW w:w="789" w:type="dxa"/>
            <w:shd w:val="clear" w:color="auto" w:fill="FF0000"/>
            <w:vAlign w:val="center"/>
          </w:tcPr>
          <w:p w14:paraId="5761D423" w14:textId="77777777" w:rsidR="00A56EE9" w:rsidRPr="001F7C48" w:rsidRDefault="00A56EE9" w:rsidP="00BB6AD5">
            <w:pPr>
              <w:keepLines/>
              <w:spacing w:line="240" w:lineRule="exact"/>
              <w:jc w:val="center"/>
              <w:rPr>
                <w:rFonts w:ascii="Cambria Math" w:hAnsi="Cambria Math"/>
                <w:b/>
                <w:sz w:val="24"/>
                <w:szCs w:val="24"/>
              </w:rPr>
            </w:pPr>
            <w:r w:rsidRPr="001F7C48">
              <w:rPr>
                <w:rFonts w:ascii="Cambria Math" w:eastAsia="Calibri" w:hAnsi="Cambria Math" w:cs="Cambria Math"/>
                <w:b/>
              </w:rPr>
              <w:t>↘</w:t>
            </w:r>
          </w:p>
        </w:tc>
      </w:tr>
    </w:tbl>
    <w:p w14:paraId="5761D425" w14:textId="77777777" w:rsidR="00A56EE9" w:rsidRPr="001F7C48" w:rsidRDefault="00A56EE9" w:rsidP="00BB6AD5">
      <w:pPr>
        <w:keepLines/>
        <w:spacing w:line="240" w:lineRule="auto"/>
        <w:ind w:firstLine="2694"/>
        <w:contextualSpacing/>
        <w:rPr>
          <w:rFonts w:eastAsia="Calibri" w:cs="Times New Roman"/>
          <w:sz w:val="16"/>
          <w:szCs w:val="16"/>
        </w:rPr>
      </w:pPr>
      <w:r w:rsidRPr="001F7C48">
        <w:rPr>
          <w:rFonts w:eastAsia="Calibri" w:cs="Times New Roman"/>
          <w:sz w:val="16"/>
          <w:szCs w:val="16"/>
        </w:rPr>
        <w:t xml:space="preserve">Management effective assessment is colour coded: </w:t>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261"/>
      </w:tblGrid>
      <w:tr w:rsidR="00A56EE9" w:rsidRPr="001F7C48" w14:paraId="5761D42E" w14:textId="77777777" w:rsidTr="00BB6AD5">
        <w:trPr>
          <w:tblHeader/>
        </w:trPr>
        <w:tc>
          <w:tcPr>
            <w:tcW w:w="1084" w:type="dxa"/>
          </w:tcPr>
          <w:p w14:paraId="5761D426" w14:textId="77777777" w:rsidR="00A56EE9" w:rsidRPr="001F7C48" w:rsidRDefault="00A56EE9" w:rsidP="00BB6AD5">
            <w:pPr>
              <w:keepLines/>
              <w:ind w:right="-158"/>
              <w:contextualSpacing/>
              <w:rPr>
                <w:sz w:val="16"/>
                <w:szCs w:val="16"/>
              </w:rPr>
            </w:pPr>
            <w:r w:rsidRPr="001F7C48">
              <w:rPr>
                <w:sz w:val="16"/>
                <w:szCs w:val="16"/>
              </w:rPr>
              <w:t>Effective (E)</w:t>
            </w:r>
          </w:p>
        </w:tc>
        <w:tc>
          <w:tcPr>
            <w:tcW w:w="0" w:type="auto"/>
          </w:tcPr>
          <w:p w14:paraId="5761D427" w14:textId="77777777" w:rsidR="00A56EE9" w:rsidRPr="001F7C48" w:rsidRDefault="00A56EE9" w:rsidP="00BB6AD5">
            <w:pPr>
              <w:keepLines/>
              <w:contextualSpacing/>
              <w:rPr>
                <w:sz w:val="16"/>
                <w:szCs w:val="16"/>
              </w:rPr>
            </w:pPr>
            <w:r w:rsidRPr="001F7C48">
              <w:rPr>
                <w:noProof/>
                <w:sz w:val="16"/>
                <w:szCs w:val="16"/>
              </w:rPr>
              <mc:AlternateContent>
                <mc:Choice Requires="wps">
                  <w:drawing>
                    <wp:anchor distT="0" distB="0" distL="114300" distR="114300" simplePos="0" relativeHeight="251722752" behindDoc="1" locked="0" layoutInCell="1" allowOverlap="1" wp14:anchorId="57620C96" wp14:editId="57620C97">
                      <wp:simplePos x="0" y="0"/>
                      <wp:positionH relativeFrom="column">
                        <wp:posOffset>-50800</wp:posOffset>
                      </wp:positionH>
                      <wp:positionV relativeFrom="paragraph">
                        <wp:posOffset>26670</wp:posOffset>
                      </wp:positionV>
                      <wp:extent cx="95250" cy="104775"/>
                      <wp:effectExtent l="0" t="0" r="19050" b="28575"/>
                      <wp:wrapSquare wrapText="bothSides"/>
                      <wp:docPr id="53" name="Rectangle 53"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cap="flat" cmpd="sng" algn="ctr">
                                <a:solidFill>
                                  <a:sysClr val="windowText" lastClr="000000"/>
                                </a:solidFill>
                                <a:prstDash val="solid"/>
                                <a:miter lim="800000"/>
                              </a:ln>
                              <a:effectLst/>
                            </wps:spPr>
                            <wps:txbx>
                              <w:txbxContent>
                                <w:p w14:paraId="57620D22"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96" id="Rectangle 53" o:spid="_x0000_s1067" alt="Title: Rectangle - Description: Rectangle coloured dark green" style="position:absolute;margin-left:-4pt;margin-top:2.1pt;width:7.5pt;height:8.25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" fillcolor="#060" strokecolor="windowText" strokeweight="1pt">
                      <v:textbox>
                        <w:txbxContent>
                          <w:p w14:paraId="57620D22"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428" w14:textId="77777777" w:rsidR="00A56EE9" w:rsidRPr="001F7C48" w:rsidRDefault="00A56EE9" w:rsidP="00BB6AD5">
            <w:pPr>
              <w:keepLines/>
              <w:contextualSpacing/>
              <w:rPr>
                <w:sz w:val="16"/>
                <w:szCs w:val="16"/>
              </w:rPr>
            </w:pPr>
            <w:r w:rsidRPr="001F7C48">
              <w:rPr>
                <w:sz w:val="16"/>
                <w:szCs w:val="16"/>
              </w:rPr>
              <w:t>Mostly effective (ME)</w:t>
            </w:r>
          </w:p>
        </w:tc>
        <w:tc>
          <w:tcPr>
            <w:tcW w:w="0" w:type="auto"/>
          </w:tcPr>
          <w:p w14:paraId="5761D429" w14:textId="77777777" w:rsidR="00A56EE9" w:rsidRPr="001F7C48" w:rsidRDefault="00A56EE9" w:rsidP="00BB6AD5">
            <w:pPr>
              <w:keepLines/>
              <w:contextualSpacing/>
              <w:rPr>
                <w:sz w:val="16"/>
                <w:szCs w:val="16"/>
              </w:rPr>
            </w:pPr>
            <w:r w:rsidRPr="001F7C48">
              <w:rPr>
                <w:noProof/>
                <w:sz w:val="16"/>
                <w:szCs w:val="16"/>
              </w:rPr>
              <mc:AlternateContent>
                <mc:Choice Requires="wps">
                  <w:drawing>
                    <wp:anchor distT="0" distB="0" distL="114300" distR="114300" simplePos="0" relativeHeight="251719680" behindDoc="0" locked="0" layoutInCell="1" allowOverlap="1" wp14:anchorId="57620C98" wp14:editId="57620C99">
                      <wp:simplePos x="0" y="0"/>
                      <wp:positionH relativeFrom="column">
                        <wp:posOffset>-41275</wp:posOffset>
                      </wp:positionH>
                      <wp:positionV relativeFrom="paragraph">
                        <wp:posOffset>22860</wp:posOffset>
                      </wp:positionV>
                      <wp:extent cx="95250" cy="104775"/>
                      <wp:effectExtent l="0" t="0" r="19050" b="28575"/>
                      <wp:wrapNone/>
                      <wp:docPr id="54" name="Rectangle 54"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cap="flat" cmpd="sng" algn="ctr">
                                <a:solidFill>
                                  <a:sysClr val="windowText" lastClr="000000"/>
                                </a:solidFill>
                                <a:prstDash val="solid"/>
                                <a:miter lim="800000"/>
                              </a:ln>
                              <a:effectLst/>
                            </wps:spPr>
                            <wps:txbx>
                              <w:txbxContent>
                                <w:p w14:paraId="57620D23"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98" id="Rectangle 54" o:spid="_x0000_s1068" alt="Title: Rectangle - Description: Rectangle coloured light green" style="position:absolute;margin-left:-3.25pt;margin-top:1.8pt;width:7.5pt;height:8.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" fillcolor="#92d050" strokecolor="windowText" strokeweight="1pt">
                      <v:textbox>
                        <w:txbxContent>
                          <w:p w14:paraId="57620D23" w14:textId="77777777" w:rsidR="008B5998" w:rsidRDefault="008B5998" w:rsidP="00BB6AD5">
                            <w:pPr>
                              <w:jc w:val="center"/>
                            </w:pPr>
                          </w:p>
                        </w:txbxContent>
                      </v:textbox>
                    </v:rect>
                  </w:pict>
                </mc:Fallback>
              </mc:AlternateContent>
            </w:r>
            <w:r w:rsidRPr="001F7C48">
              <w:rPr>
                <w:sz w:val="16"/>
                <w:szCs w:val="16"/>
              </w:rPr>
              <w:t>;</w:t>
            </w:r>
          </w:p>
        </w:tc>
        <w:tc>
          <w:tcPr>
            <w:tcW w:w="0" w:type="auto"/>
          </w:tcPr>
          <w:p w14:paraId="5761D42A" w14:textId="77777777" w:rsidR="00A56EE9" w:rsidRPr="001F7C48" w:rsidRDefault="00A56EE9" w:rsidP="00BB6AD5">
            <w:pPr>
              <w:keepLines/>
              <w:contextualSpacing/>
              <w:rPr>
                <w:sz w:val="16"/>
                <w:szCs w:val="16"/>
              </w:rPr>
            </w:pPr>
            <w:r w:rsidRPr="001F7C48">
              <w:rPr>
                <w:sz w:val="16"/>
                <w:szCs w:val="16"/>
              </w:rPr>
              <w:t>Partially effective (PE)</w:t>
            </w:r>
          </w:p>
        </w:tc>
        <w:tc>
          <w:tcPr>
            <w:tcW w:w="0" w:type="auto"/>
          </w:tcPr>
          <w:p w14:paraId="5761D42B" w14:textId="77777777" w:rsidR="00A56EE9" w:rsidRPr="001F7C48" w:rsidRDefault="00A56EE9" w:rsidP="00BB6AD5">
            <w:pPr>
              <w:keepLines/>
              <w:contextualSpacing/>
              <w:rPr>
                <w:sz w:val="16"/>
                <w:szCs w:val="16"/>
              </w:rPr>
            </w:pPr>
            <w:r w:rsidRPr="001F7C48">
              <w:rPr>
                <w:noProof/>
                <w:sz w:val="16"/>
                <w:szCs w:val="16"/>
              </w:rPr>
              <mc:AlternateContent>
                <mc:Choice Requires="wps">
                  <w:drawing>
                    <wp:anchor distT="0" distB="0" distL="114300" distR="114300" simplePos="0" relativeHeight="251720704" behindDoc="0" locked="0" layoutInCell="1" allowOverlap="1" wp14:anchorId="57620C9A" wp14:editId="57620C9B">
                      <wp:simplePos x="0" y="0"/>
                      <wp:positionH relativeFrom="column">
                        <wp:posOffset>-65405</wp:posOffset>
                      </wp:positionH>
                      <wp:positionV relativeFrom="paragraph">
                        <wp:posOffset>19685</wp:posOffset>
                      </wp:positionV>
                      <wp:extent cx="95250" cy="104775"/>
                      <wp:effectExtent l="0" t="0" r="19050" b="28575"/>
                      <wp:wrapNone/>
                      <wp:docPr id="55" name="Rectangle 55"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cap="flat" cmpd="sng" algn="ctr">
                                <a:solidFill>
                                  <a:sysClr val="windowText" lastClr="000000"/>
                                </a:solidFill>
                                <a:prstDash val="solid"/>
                                <a:miter lim="800000"/>
                              </a:ln>
                              <a:effectLst/>
                            </wps:spPr>
                            <wps:txbx>
                              <w:txbxContent>
                                <w:p w14:paraId="57620D24"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9A" id="Rectangle 55" o:spid="_x0000_s1069" alt="Title: Rectangle - Description: Rectangle coloured orange" style="position:absolute;margin-left:-5.15pt;margin-top:1.55pt;width:7.5pt;height:8.2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" fillcolor="#ffc000" strokecolor="windowText" strokeweight="1pt">
                      <v:textbox>
                        <w:txbxContent>
                          <w:p w14:paraId="57620D24" w14:textId="77777777" w:rsidR="008B5998" w:rsidRDefault="008B5998" w:rsidP="00BB6AD5">
                            <w:pPr>
                              <w:jc w:val="center"/>
                            </w:pPr>
                          </w:p>
                        </w:txbxContent>
                      </v:textbox>
                    </v:rect>
                  </w:pict>
                </mc:Fallback>
              </mc:AlternateContent>
            </w:r>
            <w:r w:rsidRPr="001F7C48">
              <w:rPr>
                <w:sz w:val="16"/>
                <w:szCs w:val="16"/>
              </w:rPr>
              <w:t>;</w:t>
            </w:r>
          </w:p>
        </w:tc>
        <w:tc>
          <w:tcPr>
            <w:tcW w:w="0" w:type="auto"/>
          </w:tcPr>
          <w:p w14:paraId="5761D42C" w14:textId="77777777" w:rsidR="00A56EE9" w:rsidRPr="001F7C48" w:rsidRDefault="00A56EE9" w:rsidP="00BB6AD5">
            <w:pPr>
              <w:keepLines/>
              <w:contextualSpacing/>
              <w:rPr>
                <w:sz w:val="16"/>
                <w:szCs w:val="16"/>
              </w:rPr>
            </w:pPr>
            <w:r w:rsidRPr="001F7C48">
              <w:rPr>
                <w:sz w:val="16"/>
                <w:szCs w:val="16"/>
              </w:rPr>
              <w:t>Ineffective (I)</w:t>
            </w:r>
          </w:p>
        </w:tc>
        <w:tc>
          <w:tcPr>
            <w:tcW w:w="0" w:type="auto"/>
          </w:tcPr>
          <w:p w14:paraId="5761D42D" w14:textId="77777777" w:rsidR="00A56EE9" w:rsidRPr="001F7C48" w:rsidRDefault="00A56EE9" w:rsidP="00BB6AD5">
            <w:pPr>
              <w:keepLines/>
              <w:contextualSpacing/>
              <w:rPr>
                <w:sz w:val="16"/>
                <w:szCs w:val="16"/>
              </w:rPr>
            </w:pPr>
            <w:r w:rsidRPr="001F7C48">
              <w:rPr>
                <w:noProof/>
                <w:sz w:val="16"/>
                <w:szCs w:val="16"/>
              </w:rPr>
              <mc:AlternateContent>
                <mc:Choice Requires="wps">
                  <w:drawing>
                    <wp:anchor distT="0" distB="0" distL="114300" distR="114300" simplePos="0" relativeHeight="251721728" behindDoc="0" locked="0" layoutInCell="1" allowOverlap="1" wp14:anchorId="57620C9C" wp14:editId="57620C9D">
                      <wp:simplePos x="0" y="0"/>
                      <wp:positionH relativeFrom="column">
                        <wp:posOffset>-50165</wp:posOffset>
                      </wp:positionH>
                      <wp:positionV relativeFrom="paragraph">
                        <wp:posOffset>24130</wp:posOffset>
                      </wp:positionV>
                      <wp:extent cx="95250" cy="104775"/>
                      <wp:effectExtent l="0" t="0" r="19050" b="28575"/>
                      <wp:wrapNone/>
                      <wp:docPr id="56" name="Rectangle 56"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cap="flat" cmpd="sng" algn="ctr">
                                <a:solidFill>
                                  <a:sysClr val="windowText" lastClr="000000"/>
                                </a:solidFill>
                                <a:prstDash val="solid"/>
                                <a:miter lim="800000"/>
                              </a:ln>
                              <a:effectLst/>
                            </wps:spPr>
                            <wps:txbx>
                              <w:txbxContent>
                                <w:p w14:paraId="57620D25"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9C" id="Rectangle 56" o:spid="_x0000_s1070" alt="Title: Rectangle - Description: Rectangle coloured red" style="position:absolute;margin-left:-3.95pt;margin-top:1.9pt;width:7.5pt;height:8.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" fillcolor="red" strokecolor="windowText" strokeweight="1pt">
                      <v:textbox>
                        <w:txbxContent>
                          <w:p w14:paraId="57620D25" w14:textId="77777777" w:rsidR="008B5998" w:rsidRDefault="008B5998" w:rsidP="00BB6AD5">
                            <w:pPr>
                              <w:jc w:val="center"/>
                            </w:pPr>
                          </w:p>
                        </w:txbxContent>
                      </v:textbox>
                    </v:rect>
                  </w:pict>
                </mc:Fallback>
              </mc:AlternateContent>
            </w:r>
            <w:r w:rsidRPr="001F7C48">
              <w:rPr>
                <w:sz w:val="16"/>
                <w:szCs w:val="16"/>
              </w:rPr>
              <w:t>;</w:t>
            </w:r>
          </w:p>
        </w:tc>
      </w:tr>
    </w:tbl>
    <w:p w14:paraId="5761D42F" w14:textId="77777777" w:rsidR="00A56EE9" w:rsidRPr="001F7C48" w:rsidRDefault="00A56EE9" w:rsidP="00BB6AD5">
      <w:pPr>
        <w:keepLines/>
        <w:spacing w:after="0" w:line="240" w:lineRule="auto"/>
        <w:ind w:left="1704"/>
        <w:contextualSpacing/>
        <w:rPr>
          <w:rFonts w:eastAsia="Calibri" w:cs="Times New Roman"/>
        </w:rPr>
      </w:pPr>
      <w:r w:rsidRPr="001F7C48">
        <w:rPr>
          <w:rFonts w:ascii="Cambria Math" w:eastAsia="Calibri" w:hAnsi="Cambria Math" w:cs="Cambria Math"/>
          <w:b/>
        </w:rPr>
        <w:t>↔</w:t>
      </w:r>
      <w:r w:rsidRPr="001F7C48">
        <w:rPr>
          <w:rFonts w:eastAsia="Calibri" w:cs="Times New Roman"/>
        </w:rPr>
        <w:t xml:space="preserve"> </w:t>
      </w:r>
      <w:r w:rsidRPr="001F7C48">
        <w:rPr>
          <w:rFonts w:eastAsia="Calibri" w:cs="Times New Roman"/>
          <w:sz w:val="16"/>
          <w:szCs w:val="16"/>
        </w:rPr>
        <w:t xml:space="preserve">Grade has remained stable compared to </w:t>
      </w:r>
      <w:r>
        <w:rPr>
          <w:rFonts w:eastAsia="Calibri" w:cs="Times New Roman"/>
          <w:sz w:val="16"/>
          <w:szCs w:val="16"/>
        </w:rPr>
        <w:t xml:space="preserve">2009, </w:t>
      </w:r>
      <w:r w:rsidRPr="001F7C48">
        <w:rPr>
          <w:rFonts w:eastAsia="Calibri" w:cs="Times New Roman"/>
          <w:sz w:val="16"/>
          <w:szCs w:val="16"/>
        </w:rPr>
        <w:t>20</w:t>
      </w:r>
      <w:r>
        <w:rPr>
          <w:rFonts w:eastAsia="Calibri" w:cs="Times New Roman"/>
          <w:sz w:val="16"/>
          <w:szCs w:val="16"/>
        </w:rPr>
        <w:t>14</w:t>
      </w:r>
      <w:r w:rsidRPr="001F7C48">
        <w:rPr>
          <w:rFonts w:eastAsia="Calibri" w:cs="Times New Roman"/>
          <w:sz w:val="16"/>
          <w:szCs w:val="16"/>
        </w:rPr>
        <w:t>, with no major trends</w:t>
      </w:r>
      <w:r w:rsidRPr="001F7C48">
        <w:rPr>
          <w:rFonts w:eastAsia="Calibri" w:cs="Times New Roman"/>
        </w:rPr>
        <w:t xml:space="preserve"> </w:t>
      </w:r>
    </w:p>
    <w:p w14:paraId="5761D430" w14:textId="77777777" w:rsidR="00A56EE9" w:rsidRPr="001F7C48" w:rsidRDefault="00A56EE9" w:rsidP="00BB6AD5">
      <w:pPr>
        <w:keepLines/>
        <w:spacing w:after="0" w:line="240" w:lineRule="auto"/>
        <w:ind w:left="1704"/>
        <w:contextualSpacing/>
        <w:rPr>
          <w:rFonts w:eastAsia="Calibri" w:cs="Times New Roman"/>
        </w:rPr>
      </w:pPr>
      <w:r w:rsidRPr="001F7C48">
        <w:rPr>
          <w:rFonts w:ascii="Cambria Math" w:eastAsia="Calibri" w:hAnsi="Cambria Math" w:cs="Cambria Math"/>
          <w:b/>
        </w:rPr>
        <w:t>↘</w:t>
      </w:r>
      <w:r w:rsidRPr="001F7C48">
        <w:rPr>
          <w:rFonts w:eastAsia="Calibri" w:cs="Times New Roman"/>
          <w:b/>
        </w:rPr>
        <w:t xml:space="preserve"> </w:t>
      </w:r>
      <w:r w:rsidRPr="001F7C48">
        <w:rPr>
          <w:rFonts w:eastAsia="Calibri" w:cs="Times New Roman"/>
          <w:sz w:val="16"/>
          <w:szCs w:val="16"/>
        </w:rPr>
        <w:t xml:space="preserve">Trend since </w:t>
      </w:r>
      <w:r>
        <w:rPr>
          <w:rFonts w:eastAsia="Calibri" w:cs="Times New Roman"/>
          <w:sz w:val="16"/>
          <w:szCs w:val="16"/>
        </w:rPr>
        <w:t xml:space="preserve">2009, </w:t>
      </w:r>
      <w:r w:rsidRPr="001F7C48">
        <w:rPr>
          <w:rFonts w:eastAsia="Calibri" w:cs="Times New Roman"/>
          <w:sz w:val="16"/>
          <w:szCs w:val="16"/>
        </w:rPr>
        <w:t>20</w:t>
      </w:r>
      <w:r>
        <w:rPr>
          <w:rFonts w:eastAsia="Calibri" w:cs="Times New Roman"/>
          <w:sz w:val="16"/>
          <w:szCs w:val="16"/>
        </w:rPr>
        <w:t>14</w:t>
      </w:r>
      <w:r w:rsidRPr="001F7C48">
        <w:rPr>
          <w:rFonts w:eastAsia="Calibri" w:cs="Times New Roman"/>
          <w:sz w:val="16"/>
          <w:szCs w:val="16"/>
        </w:rPr>
        <w:t xml:space="preserve"> is decreasing but has not caused a downwards grade change</w:t>
      </w:r>
    </w:p>
    <w:p w14:paraId="5761D431" w14:textId="77777777" w:rsidR="00A56EE9" w:rsidRPr="001F7C48" w:rsidRDefault="00A56EE9" w:rsidP="007F1AA6">
      <w:pPr>
        <w:keepLines/>
        <w:spacing w:line="240" w:lineRule="auto"/>
        <w:ind w:left="1704"/>
        <w:contextualSpacing/>
        <w:rPr>
          <w:rFonts w:eastAsia="Calibri" w:cs="Times New Roman"/>
        </w:rPr>
      </w:pPr>
      <w:r w:rsidRPr="001F7C48">
        <w:rPr>
          <w:rFonts w:ascii="Cambria Math" w:eastAsia="Calibri" w:hAnsi="Cambria Math" w:cs="Cambria Math"/>
        </w:rPr>
        <w:t>⬇</w:t>
      </w:r>
      <w:r w:rsidRPr="001F7C48">
        <w:rPr>
          <w:rFonts w:eastAsia="Calibri" w:cs="Times New Roman"/>
        </w:rPr>
        <w:t xml:space="preserve"> </w:t>
      </w:r>
      <w:r>
        <w:rPr>
          <w:rFonts w:eastAsia="Calibri" w:cs="Times New Roman"/>
          <w:sz w:val="16"/>
          <w:szCs w:val="16"/>
        </w:rPr>
        <w:t>Trend since 2009, 2014 has been a</w:t>
      </w:r>
      <w:r w:rsidRPr="001F7C48">
        <w:rPr>
          <w:rFonts w:eastAsia="Calibri" w:cs="Times New Roman"/>
          <w:sz w:val="16"/>
          <w:szCs w:val="16"/>
        </w:rPr>
        <w:t xml:space="preserve"> downwards change in grade</w:t>
      </w:r>
    </w:p>
    <w:p w14:paraId="5761D433" w14:textId="77777777" w:rsidR="00A56EE9" w:rsidRDefault="00A56EE9" w:rsidP="00A11869">
      <w:pPr>
        <w:pStyle w:val="Heading2"/>
        <w:numPr>
          <w:ilvl w:val="1"/>
          <w:numId w:val="17"/>
        </w:numPr>
        <w:ind w:left="357" w:hanging="357"/>
      </w:pPr>
      <w:bookmarkStart w:id="98" w:name="_Toc523423789"/>
      <w:r>
        <w:t>Coastal development</w:t>
      </w:r>
      <w:bookmarkEnd w:id="98"/>
    </w:p>
    <w:p w14:paraId="5761D434" w14:textId="77777777" w:rsidR="00A56EE9" w:rsidRDefault="00A56EE9" w:rsidP="00E3690C">
      <w:pPr>
        <w:spacing w:line="276" w:lineRule="auto"/>
      </w:pPr>
      <w:r>
        <w:t>C</w:t>
      </w:r>
      <w:r w:rsidRPr="00036E39">
        <w:t>oastal ecosystems adjacent to the Great Barrier Reef provide ecological processes critical to the health of the Reef. Protecting, maintaining and restoring the</w:t>
      </w:r>
      <w:r>
        <w:t>se</w:t>
      </w:r>
      <w:r w:rsidRPr="00036E39">
        <w:t xml:space="preserve"> coastal ecosystems adjacent to the Great Barrier Reef are essential components of halting and reversing </w:t>
      </w:r>
      <w:r>
        <w:t xml:space="preserve">declines in inshore ecosystem health </w:t>
      </w:r>
      <w:r w:rsidRPr="00036E39">
        <w:t xml:space="preserve">and maintaining the Outstanding Universal Value of the World Heritage Area. </w:t>
      </w:r>
    </w:p>
    <w:p w14:paraId="5761D435" w14:textId="5884E528" w:rsidR="00A56EE9" w:rsidRPr="00EE476D" w:rsidRDefault="00A56EE9" w:rsidP="00E3690C">
      <w:pPr>
        <w:spacing w:line="276" w:lineRule="auto"/>
        <w:rPr>
          <w:rFonts w:eastAsia="Calibri" w:cs="Arial"/>
        </w:rPr>
      </w:pPr>
      <w:r w:rsidRPr="009243E3">
        <w:rPr>
          <w:rFonts w:eastAsia="Calibri" w:cs="Arial"/>
        </w:rPr>
        <w:t>Rating</w:t>
      </w:r>
      <w:r>
        <w:rPr>
          <w:rFonts w:eastAsia="Calibri" w:cs="Arial"/>
        </w:rPr>
        <w:t>s</w:t>
      </w:r>
      <w:r w:rsidRPr="009243E3">
        <w:rPr>
          <w:rFonts w:eastAsia="Calibri" w:cs="Arial"/>
        </w:rPr>
        <w:t xml:space="preserve"> of effectiveness for </w:t>
      </w:r>
      <w:r>
        <w:rPr>
          <w:rFonts w:eastAsia="Calibri" w:cs="Arial"/>
        </w:rPr>
        <w:t>four</w:t>
      </w:r>
      <w:r w:rsidRPr="009243E3">
        <w:rPr>
          <w:rFonts w:eastAsia="Calibri" w:cs="Arial"/>
        </w:rPr>
        <w:t xml:space="preserve"> of the six assessment elements </w:t>
      </w:r>
      <w:r>
        <w:rPr>
          <w:rFonts w:eastAsia="Calibri" w:cs="Arial"/>
        </w:rPr>
        <w:t>(</w:t>
      </w:r>
      <w:r>
        <w:rPr>
          <w:rFonts w:eastAsia="Calibri" w:cs="Arial"/>
        </w:rPr>
        <w:fldChar w:fldCharType="begin"/>
      </w:r>
      <w:r>
        <w:rPr>
          <w:rFonts w:eastAsia="Calibri" w:cs="Arial"/>
        </w:rPr>
        <w:instrText xml:space="preserve"> REF _Ref259285330 \h </w:instrText>
      </w:r>
      <w:r w:rsidR="00E3690C">
        <w:rPr>
          <w:rFonts w:eastAsia="Calibri" w:cs="Arial"/>
        </w:rPr>
        <w:instrText xml:space="preserve"> \* MERGEFORMAT </w:instrText>
      </w:r>
      <w:r>
        <w:rPr>
          <w:rFonts w:eastAsia="Calibri" w:cs="Arial"/>
        </w:rPr>
      </w:r>
      <w:r>
        <w:rPr>
          <w:rFonts w:eastAsia="Calibri" w:cs="Arial"/>
        </w:rPr>
        <w:fldChar w:fldCharType="separate"/>
      </w:r>
      <w:r w:rsidR="00A4170C" w:rsidRPr="005F616A">
        <w:t xml:space="preserve">Table </w:t>
      </w:r>
      <w:r w:rsidR="00A4170C">
        <w:rPr>
          <w:noProof/>
        </w:rPr>
        <w:t>14</w:t>
      </w:r>
      <w:r>
        <w:rPr>
          <w:rFonts w:eastAsia="Calibri" w:cs="Arial"/>
        </w:rPr>
        <w:fldChar w:fldCharType="end"/>
      </w:r>
      <w:r>
        <w:rPr>
          <w:rFonts w:eastAsia="Calibri" w:cs="Arial"/>
        </w:rPr>
        <w:t xml:space="preserve">) have improved from </w:t>
      </w:r>
      <w:r w:rsidRPr="00D07110">
        <w:rPr>
          <w:rFonts w:eastAsia="Calibri" w:cs="Arial"/>
          <w:i/>
        </w:rPr>
        <w:t>partially effective</w:t>
      </w:r>
      <w:r>
        <w:rPr>
          <w:rFonts w:eastAsia="Calibri" w:cs="Arial"/>
        </w:rPr>
        <w:t xml:space="preserve"> to </w:t>
      </w:r>
      <w:r w:rsidRPr="00D07110">
        <w:rPr>
          <w:rFonts w:eastAsia="Calibri" w:cs="Arial"/>
          <w:i/>
        </w:rPr>
        <w:t>mostly effective</w:t>
      </w:r>
      <w:r>
        <w:rPr>
          <w:rFonts w:eastAsia="Calibri" w:cs="Arial"/>
        </w:rPr>
        <w:t xml:space="preserve"> since</w:t>
      </w:r>
      <w:r w:rsidRPr="009243E3">
        <w:rPr>
          <w:rFonts w:eastAsia="Calibri" w:cs="Arial"/>
        </w:rPr>
        <w:t xml:space="preserve"> the Outlook Report</w:t>
      </w:r>
      <w:r>
        <w:rPr>
          <w:rFonts w:eastAsia="Calibri" w:cs="Arial"/>
        </w:rPr>
        <w:t xml:space="preserve"> </w:t>
      </w:r>
      <w:r w:rsidRPr="009243E3">
        <w:rPr>
          <w:rFonts w:eastAsia="Calibri" w:cs="Arial"/>
        </w:rPr>
        <w:t xml:space="preserve">2014. The rating </w:t>
      </w:r>
      <w:r>
        <w:rPr>
          <w:rFonts w:eastAsia="Calibri" w:cs="Arial"/>
        </w:rPr>
        <w:t>for</w:t>
      </w:r>
      <w:r w:rsidRPr="009243E3">
        <w:rPr>
          <w:rFonts w:eastAsia="Calibri" w:cs="Arial"/>
        </w:rPr>
        <w:t xml:space="preserve"> </w:t>
      </w:r>
      <w:r>
        <w:rPr>
          <w:rFonts w:eastAsia="Calibri" w:cs="Arial"/>
        </w:rPr>
        <w:t xml:space="preserve">Context has remained as </w:t>
      </w:r>
      <w:r w:rsidRPr="00D07110">
        <w:rPr>
          <w:rFonts w:eastAsia="Calibri" w:cs="Arial"/>
          <w:i/>
        </w:rPr>
        <w:t>mostly effective</w:t>
      </w:r>
      <w:r>
        <w:rPr>
          <w:rFonts w:eastAsia="Calibri" w:cs="Arial"/>
        </w:rPr>
        <w:t xml:space="preserve">, while Outputs has remained as </w:t>
      </w:r>
      <w:r w:rsidRPr="00D07110">
        <w:rPr>
          <w:rFonts w:eastAsia="Calibri" w:cs="Arial"/>
          <w:i/>
        </w:rPr>
        <w:t>partially effective</w:t>
      </w:r>
      <w:r>
        <w:rPr>
          <w:rFonts w:eastAsia="Calibri" w:cs="Arial"/>
        </w:rPr>
        <w:t>.</w:t>
      </w:r>
    </w:p>
    <w:p w14:paraId="5761D436" w14:textId="77777777" w:rsidR="00A56EE9" w:rsidRPr="00D92131" w:rsidRDefault="00A56EE9" w:rsidP="00E3690C">
      <w:pPr>
        <w:spacing w:line="276" w:lineRule="auto"/>
      </w:pPr>
      <w:r w:rsidRPr="00C93EF3">
        <w:t xml:space="preserve">Values of the Region relevant to coastal development </w:t>
      </w:r>
      <w:r>
        <w:t xml:space="preserve">and the impact of development on coastal ecosystems </w:t>
      </w:r>
      <w:r w:rsidRPr="00C93EF3">
        <w:t xml:space="preserve">are clearly articulated in the 2012 </w:t>
      </w:r>
      <w:r w:rsidRPr="00C93EF3">
        <w:rPr>
          <w:i/>
        </w:rPr>
        <w:t>Informing the Outlook for Great Barrier Reef coastal ecosystems</w:t>
      </w:r>
      <w:r>
        <w:rPr>
          <w:i/>
        </w:rPr>
        <w:t xml:space="preserve"> </w:t>
      </w:r>
      <w:r w:rsidRPr="00C93EF3">
        <w:t>(GBRMPA 2012</w:t>
      </w:r>
      <w:r>
        <w:t>b</w:t>
      </w:r>
      <w:r w:rsidRPr="00C93EF3">
        <w:t xml:space="preserve">), </w:t>
      </w:r>
      <w:r w:rsidRPr="00D27653">
        <w:rPr>
          <w:i/>
        </w:rPr>
        <w:t>Coastal Ecosystems Assessment Framework</w:t>
      </w:r>
      <w:r w:rsidRPr="00B633F0">
        <w:t xml:space="preserve"> </w:t>
      </w:r>
      <w:r>
        <w:t xml:space="preserve">(GBRMPA 2012c), </w:t>
      </w:r>
      <w:r w:rsidRPr="00C93EF3">
        <w:t>the Great Barrier Reef Strategic Assessment</w:t>
      </w:r>
      <w:r>
        <w:t xml:space="preserve"> </w:t>
      </w:r>
      <w:r w:rsidRPr="00C93EF3">
        <w:t>and the Scientific Consensus Statement (</w:t>
      </w:r>
      <w:r>
        <w:t>Waterhouse et al.</w:t>
      </w:r>
      <w:r w:rsidRPr="00C93EF3">
        <w:t xml:space="preserve"> 2017). The Scientific Consensus Statement (</w:t>
      </w:r>
      <w:r>
        <w:t>Waterhouse et al.</w:t>
      </w:r>
      <w:r w:rsidRPr="00C93EF3">
        <w:t xml:space="preserve"> 2017) identifies coastal development as one of the activities contributing to </w:t>
      </w:r>
      <w:r>
        <w:t xml:space="preserve">the </w:t>
      </w:r>
      <w:r w:rsidRPr="00C93EF3">
        <w:t>poor condition of the Region’s ecosystems.</w:t>
      </w:r>
      <w:r w:rsidRPr="00D92131">
        <w:t xml:space="preserve"> </w:t>
      </w:r>
    </w:p>
    <w:p w14:paraId="5761D437" w14:textId="77777777" w:rsidR="00A56EE9" w:rsidRPr="003A6082" w:rsidRDefault="00A56EE9" w:rsidP="00E3690C">
      <w:pPr>
        <w:spacing w:line="276" w:lineRule="auto"/>
      </w:pPr>
      <w:r>
        <w:t>Planning systems to effectively address coastal development have continued to evolve and improve over the past five years. T</w:t>
      </w:r>
      <w:r w:rsidRPr="003A6082">
        <w:t xml:space="preserve">he </w:t>
      </w:r>
      <w:r w:rsidRPr="003A6082">
        <w:rPr>
          <w:i/>
        </w:rPr>
        <w:t>Planning Act 2016</w:t>
      </w:r>
      <w:r w:rsidRPr="003A6082">
        <w:t xml:space="preserve"> and associated legislation </w:t>
      </w:r>
      <w:r>
        <w:t>established</w:t>
      </w:r>
      <w:r w:rsidRPr="003A6082">
        <w:t xml:space="preserve"> ecological sustainability as a core principle</w:t>
      </w:r>
      <w:r>
        <w:t xml:space="preserve"> and </w:t>
      </w:r>
      <w:r w:rsidRPr="003A6082">
        <w:t xml:space="preserve">included reinstatement of coastal land surrender provisions under the </w:t>
      </w:r>
      <w:r w:rsidRPr="003A6082">
        <w:rPr>
          <w:i/>
        </w:rPr>
        <w:t>Coastal Protection and Management Act</w:t>
      </w:r>
      <w:r w:rsidRPr="003A6082">
        <w:t xml:space="preserve"> </w:t>
      </w:r>
      <w:r w:rsidRPr="003A6082">
        <w:rPr>
          <w:i/>
        </w:rPr>
        <w:t xml:space="preserve">1995 </w:t>
      </w:r>
      <w:r w:rsidRPr="003A6082">
        <w:t xml:space="preserve">to ensure areas at high risk of coastal erosion </w:t>
      </w:r>
      <w:r>
        <w:t>remain free of development</w:t>
      </w:r>
      <w:r w:rsidRPr="003A6082">
        <w:t>.</w:t>
      </w:r>
    </w:p>
    <w:p w14:paraId="5761D438" w14:textId="740A8054" w:rsidR="00A56EE9" w:rsidRPr="00B16D89" w:rsidRDefault="00A56EE9" w:rsidP="00E3690C">
      <w:pPr>
        <w:spacing w:line="276" w:lineRule="auto"/>
      </w:pPr>
      <w:r w:rsidRPr="00B16D89">
        <w:t xml:space="preserve">The </w:t>
      </w:r>
      <w:r>
        <w:t>2014</w:t>
      </w:r>
      <w:r w:rsidRPr="00B16D89">
        <w:t xml:space="preserve"> </w:t>
      </w:r>
      <w:r w:rsidRPr="00C93EF3">
        <w:rPr>
          <w:i/>
        </w:rPr>
        <w:t>State Planning Policy</w:t>
      </w:r>
      <w:r>
        <w:t xml:space="preserve"> (SPP)</w:t>
      </w:r>
      <w:r w:rsidRPr="00B16D89">
        <w:t xml:space="preserve"> introduced a coordinated approach to all State Interests as well as a suite of State development assessment provisions </w:t>
      </w:r>
      <w:r w:rsidRPr="00B16D89">
        <w:rPr>
          <w:lang w:val="en-GB"/>
        </w:rPr>
        <w:t xml:space="preserve">(SDAP) to guide the </w:t>
      </w:r>
      <w:r>
        <w:rPr>
          <w:lang w:val="en-GB"/>
        </w:rPr>
        <w:t>Queensland’s</w:t>
      </w:r>
      <w:r w:rsidRPr="00B16D89">
        <w:rPr>
          <w:lang w:val="en-GB"/>
        </w:rPr>
        <w:t xml:space="preserve"> assessment of development application</w:t>
      </w:r>
      <w:r>
        <w:rPr>
          <w:lang w:val="en-GB"/>
        </w:rPr>
        <w:t>s,</w:t>
      </w:r>
      <w:r w:rsidRPr="00B16D89">
        <w:rPr>
          <w:lang w:val="en-GB"/>
        </w:rPr>
        <w:t xml:space="preserve"> where impact on a </w:t>
      </w:r>
      <w:r>
        <w:rPr>
          <w:lang w:val="en-GB"/>
        </w:rPr>
        <w:t>S</w:t>
      </w:r>
      <w:r w:rsidRPr="00B16D89">
        <w:rPr>
          <w:lang w:val="en-GB"/>
        </w:rPr>
        <w:t>tate interest is likely.</w:t>
      </w:r>
      <w:r>
        <w:t xml:space="preserve"> </w:t>
      </w:r>
      <w:r w:rsidRPr="00B16D89">
        <w:t xml:space="preserve">The SPP and SDAP were reviewed in 2017 </w:t>
      </w:r>
      <w:r>
        <w:t xml:space="preserve">(DILGP, 2017) </w:t>
      </w:r>
      <w:r w:rsidRPr="00B16D89">
        <w:t xml:space="preserve">in association with the introduction of the </w:t>
      </w:r>
      <w:r w:rsidRPr="00B16D89">
        <w:rPr>
          <w:i/>
        </w:rPr>
        <w:t>Planning Act 2016</w:t>
      </w:r>
      <w:r w:rsidRPr="00B16D89">
        <w:t>.</w:t>
      </w:r>
      <w:r w:rsidR="00242993">
        <w:t xml:space="preserve"> </w:t>
      </w:r>
      <w:r w:rsidRPr="00B16D89">
        <w:t xml:space="preserve">In early 2018, twelve of the twenty-two coastal local governments in the </w:t>
      </w:r>
      <w:r>
        <w:t>Region</w:t>
      </w:r>
      <w:r w:rsidRPr="00B16D89">
        <w:t xml:space="preserve"> had planning schemes which integrate the coastal state interests of the SPP.</w:t>
      </w:r>
      <w:r w:rsidR="00242993">
        <w:t xml:space="preserve"> </w:t>
      </w:r>
    </w:p>
    <w:p w14:paraId="5761D439" w14:textId="51EA1D76" w:rsidR="00A56EE9" w:rsidRDefault="00A56EE9" w:rsidP="00E3690C">
      <w:pPr>
        <w:spacing w:line="276" w:lineRule="auto"/>
        <w:rPr>
          <w:lang w:val="en-GB"/>
        </w:rPr>
      </w:pPr>
      <w:r w:rsidRPr="00651250">
        <w:t>In 2015, the Queensland government introduced new</w:t>
      </w:r>
      <w:r>
        <w:t xml:space="preserve"> erosion prone areas</w:t>
      </w:r>
      <w:r w:rsidRPr="00651250">
        <w:t xml:space="preserve"> </w:t>
      </w:r>
      <w:r>
        <w:t>in Coastal Hazard maps.</w:t>
      </w:r>
      <w:r w:rsidR="00242993">
        <w:t xml:space="preserve"> </w:t>
      </w:r>
      <w:r w:rsidRPr="00651250">
        <w:t>Planning scheme reviews have rezoned privately owned land in the erosion prone area to the Limited Development Zone, a zone which identifies land affected by development constraints.</w:t>
      </w:r>
      <w:r>
        <w:t xml:space="preserve"> </w:t>
      </w:r>
      <w:r w:rsidRPr="00D34608">
        <w:rPr>
          <w:lang w:val="en-GB"/>
        </w:rPr>
        <w:t>Local government must consider how the relevant parts of the SPP apply in their local area and appropriately integrate these into local planning instruments. This includes identifying zones where development cannot occur or is limited. This means protection of values</w:t>
      </w:r>
      <w:r>
        <w:rPr>
          <w:lang w:val="en-GB"/>
        </w:rPr>
        <w:t xml:space="preserve"> associated with costal development</w:t>
      </w:r>
      <w:r w:rsidRPr="00D34608">
        <w:rPr>
          <w:lang w:val="en-GB"/>
        </w:rPr>
        <w:t xml:space="preserve"> is strengthened in undeveloped rural and natural areas</w:t>
      </w:r>
      <w:r>
        <w:rPr>
          <w:lang w:val="en-GB"/>
        </w:rPr>
        <w:t xml:space="preserve">. </w:t>
      </w:r>
      <w:r w:rsidRPr="00036E39">
        <w:rPr>
          <w:lang w:val="en-GB"/>
        </w:rPr>
        <w:t xml:space="preserve">Pressure for coastal development appears to be less than in previous years following the downturn of the mining </w:t>
      </w:r>
      <w:r>
        <w:rPr>
          <w:lang w:val="en-GB"/>
        </w:rPr>
        <w:t>sector</w:t>
      </w:r>
      <w:r w:rsidRPr="00036E39">
        <w:rPr>
          <w:lang w:val="en-GB"/>
        </w:rPr>
        <w:t xml:space="preserve">. </w:t>
      </w:r>
    </w:p>
    <w:p w14:paraId="5761D43A" w14:textId="4972555F" w:rsidR="00A56EE9" w:rsidRPr="00D34608" w:rsidRDefault="00A56EE9" w:rsidP="00E3690C">
      <w:pPr>
        <w:spacing w:line="276" w:lineRule="auto"/>
      </w:pPr>
      <w:r w:rsidRPr="00D34608">
        <w:rPr>
          <w:lang w:val="en-GB"/>
        </w:rPr>
        <w:t>Earthworks over as specified scale (including earthworks for agricultural activities) in wetlands were regulated in 2014 and there has been a reduction in the loss of these wetlands in the G</w:t>
      </w:r>
      <w:r>
        <w:rPr>
          <w:lang w:val="en-GB"/>
        </w:rPr>
        <w:t xml:space="preserve">reat </w:t>
      </w:r>
      <w:r w:rsidRPr="00D34608">
        <w:rPr>
          <w:lang w:val="en-GB"/>
        </w:rPr>
        <w:t>B</w:t>
      </w:r>
      <w:r>
        <w:rPr>
          <w:lang w:val="en-GB"/>
        </w:rPr>
        <w:t xml:space="preserve">arrier </w:t>
      </w:r>
      <w:r w:rsidRPr="00D34608">
        <w:rPr>
          <w:lang w:val="en-GB"/>
        </w:rPr>
        <w:t>R</w:t>
      </w:r>
      <w:r>
        <w:rPr>
          <w:lang w:val="en-GB"/>
        </w:rPr>
        <w:t>eef</w:t>
      </w:r>
      <w:r w:rsidRPr="00D34608">
        <w:rPr>
          <w:lang w:val="en-GB"/>
        </w:rPr>
        <w:t xml:space="preserve"> catchment since </w:t>
      </w:r>
      <w:r>
        <w:rPr>
          <w:lang w:val="en-GB"/>
        </w:rPr>
        <w:t>that time</w:t>
      </w:r>
      <w:r w:rsidRPr="00D34608">
        <w:rPr>
          <w:lang w:val="en-GB"/>
        </w:rPr>
        <w:t xml:space="preserve"> (</w:t>
      </w:r>
      <w:r w:rsidRPr="00C93EF3">
        <w:t xml:space="preserve">Schaffelke, </w:t>
      </w:r>
      <w:r>
        <w:t>et al</w:t>
      </w:r>
      <w:r w:rsidRPr="00C93EF3">
        <w:t xml:space="preserve">.; </w:t>
      </w:r>
      <w:r w:rsidRPr="00C93EF3">
        <w:rPr>
          <w:lang w:val="en-GB"/>
        </w:rPr>
        <w:t>2017)</w:t>
      </w:r>
      <w:r>
        <w:rPr>
          <w:lang w:val="en-GB"/>
        </w:rPr>
        <w:t>.</w:t>
      </w:r>
    </w:p>
    <w:p w14:paraId="5761D43B" w14:textId="77777777" w:rsidR="00A56EE9" w:rsidRPr="00036E39" w:rsidRDefault="00A56EE9" w:rsidP="00E3690C">
      <w:pPr>
        <w:spacing w:line="276" w:lineRule="auto"/>
      </w:pPr>
      <w:r>
        <w:t>D</w:t>
      </w:r>
      <w:r w:rsidRPr="00D34608">
        <w:t xml:space="preserve">evelopment regulations (largely focussed on urban areas) regarding coastal development, water quality and protection of wetlands have improved as local governments progressively </w:t>
      </w:r>
      <w:r>
        <w:t xml:space="preserve">update their planning schemes. </w:t>
      </w:r>
      <w:r w:rsidRPr="00036E39">
        <w:t xml:space="preserve">The provisions of the Commonwealth </w:t>
      </w:r>
      <w:r w:rsidRPr="00036E39">
        <w:rPr>
          <w:i/>
        </w:rPr>
        <w:t>Environment Protection and Biodiversity Conservation Act 1999</w:t>
      </w:r>
      <w:r w:rsidRPr="00036E39">
        <w:t xml:space="preserve"> and, in some cases, the </w:t>
      </w:r>
      <w:r w:rsidRPr="00036E39">
        <w:rPr>
          <w:i/>
        </w:rPr>
        <w:t>Great Barrier Reef Marine Park Act 1975</w:t>
      </w:r>
      <w:r w:rsidRPr="00036E39">
        <w:t xml:space="preserve"> also serve to address the environmental impacts of some coastal works. </w:t>
      </w:r>
      <w:r>
        <w:t>Other strategies in place to assist with coastal development include t</w:t>
      </w:r>
      <w:r w:rsidRPr="003A6082">
        <w:t xml:space="preserve">he </w:t>
      </w:r>
      <w:r w:rsidRPr="003A6082">
        <w:rPr>
          <w:i/>
        </w:rPr>
        <w:t>Wetlands in the Great Barrier Reef Catchments Management Strategy 2016-2021</w:t>
      </w:r>
      <w:r>
        <w:rPr>
          <w:i/>
        </w:rPr>
        <w:t xml:space="preserve"> </w:t>
      </w:r>
      <w:r>
        <w:t>(Wetlands Team</w:t>
      </w:r>
      <w:r w:rsidRPr="00C93EF3">
        <w:t xml:space="preserve"> 2016</w:t>
      </w:r>
      <w:r>
        <w:t xml:space="preserve">). This strategy </w:t>
      </w:r>
      <w:r w:rsidRPr="003A6082">
        <w:t xml:space="preserve">outlines an integrated approach to catchment and coastal environment management that considers the multiple values of wetlands and the role they play in ecosystem health of the </w:t>
      </w:r>
      <w:r>
        <w:t>Region</w:t>
      </w:r>
      <w:r w:rsidRPr="003A6082">
        <w:t xml:space="preserve">. </w:t>
      </w:r>
      <w:r>
        <w:t>It</w:t>
      </w:r>
      <w:r w:rsidRPr="003A6082">
        <w:t xml:space="preserve"> provides a whole-of-system framework for catchment management and the protection, maintenance and restoration of wetland systems. </w:t>
      </w:r>
      <w:r>
        <w:t xml:space="preserve">The implementation of Regional Water Quality Improvement Plans also improves ecosystem function (e.g. </w:t>
      </w:r>
      <w:r w:rsidRPr="00C93EF3">
        <w:rPr>
          <w:i/>
        </w:rPr>
        <w:t>Wet Tropics Water Quality Improvement Plan 2015-2020</w:t>
      </w:r>
      <w:r w:rsidRPr="00C93EF3">
        <w:t xml:space="preserve"> (Terrain Natural Resource Management 2015)).</w:t>
      </w:r>
      <w:r>
        <w:t xml:space="preserve"> </w:t>
      </w:r>
    </w:p>
    <w:p w14:paraId="5761D43C" w14:textId="77777777" w:rsidR="00A56EE9" w:rsidRPr="00036E39" w:rsidRDefault="00A56EE9" w:rsidP="00E3690C">
      <w:pPr>
        <w:spacing w:line="276" w:lineRule="auto"/>
      </w:pPr>
      <w:r w:rsidRPr="00036E39">
        <w:t>There are legacy issues in coastal areas</w:t>
      </w:r>
      <w:r>
        <w:t>,</w:t>
      </w:r>
      <w:r w:rsidRPr="00036E39">
        <w:t xml:space="preserve"> such as retaining dams that hold significant amounts of toxic water</w:t>
      </w:r>
      <w:r>
        <w:t>.</w:t>
      </w:r>
      <w:r w:rsidRPr="00036E39">
        <w:t xml:space="preserve"> </w:t>
      </w:r>
      <w:r>
        <w:t xml:space="preserve">The financial collapse of the operator of the Yabulu refinery in 2016 highlighted a limit to the Queensland Government’s power to enforce the Environmentally Relevant Activity conditions of operation. This issue has recently been addressed by the </w:t>
      </w:r>
      <w:r w:rsidRPr="004E0A0F">
        <w:rPr>
          <w:i/>
        </w:rPr>
        <w:t>Environmental Protection (Chain of Responsibility) Amendment Act 2016</w:t>
      </w:r>
      <w:r>
        <w:t xml:space="preserve"> that </w:t>
      </w:r>
      <w:r w:rsidRPr="00B01C27">
        <w:t>allow</w:t>
      </w:r>
      <w:r>
        <w:t>s</w:t>
      </w:r>
      <w:r w:rsidRPr="00B01C27">
        <w:t xml:space="preserve"> </w:t>
      </w:r>
      <w:r>
        <w:t xml:space="preserve">the state to enforce </w:t>
      </w:r>
      <w:r w:rsidRPr="00B01C27">
        <w:t xml:space="preserve">environmental and rehabilitation obligations </w:t>
      </w:r>
      <w:r>
        <w:t>a</w:t>
      </w:r>
      <w:r w:rsidRPr="00B01C27">
        <w:t>gainst ‘related persons’</w:t>
      </w:r>
      <w:r>
        <w:t xml:space="preserve"> </w:t>
      </w:r>
      <w:r w:rsidRPr="00B01C27">
        <w:t>of companies in financial difficulty</w:t>
      </w:r>
      <w:r>
        <w:t>.</w:t>
      </w:r>
    </w:p>
    <w:p w14:paraId="5761D43D" w14:textId="7A6CEA53" w:rsidR="00A56EE9" w:rsidRDefault="00A56EE9" w:rsidP="00E3690C">
      <w:pPr>
        <w:spacing w:line="276" w:lineRule="auto"/>
      </w:pPr>
      <w:r>
        <w:t xml:space="preserve">Under </w:t>
      </w:r>
      <w:r w:rsidRPr="00036E39">
        <w:t xml:space="preserve">the Reef 2050 Plan, </w:t>
      </w:r>
      <w:r w:rsidRPr="00500DDE">
        <w:t>poor coastal planning to manage for impacts of climate change</w:t>
      </w:r>
      <w:r w:rsidRPr="00036E39">
        <w:t xml:space="preserve"> is recognised as a threat. The Reef 2050 Plan </w:t>
      </w:r>
      <w:r>
        <w:t xml:space="preserve">also </w:t>
      </w:r>
      <w:r w:rsidRPr="00036E39">
        <w:t>contains actions associated with avoiding adverse impacts on coastal ecosystems</w:t>
      </w:r>
      <w:r>
        <w:t>, including protecting remnant and high value regrowth vegetation</w:t>
      </w:r>
      <w:r w:rsidRPr="00036E39">
        <w:t xml:space="preserve">. </w:t>
      </w:r>
      <w:r>
        <w:t>A</w:t>
      </w:r>
      <w:r w:rsidRPr="00C347AD">
        <w:t xml:space="preserve"> 45</w:t>
      </w:r>
      <w:r>
        <w:t xml:space="preserve"> per cent</w:t>
      </w:r>
      <w:r w:rsidRPr="00C347AD">
        <w:t xml:space="preserve"> increase </w:t>
      </w:r>
      <w:r>
        <w:t>in the rate of clearing</w:t>
      </w:r>
      <w:r w:rsidRPr="00C347AD">
        <w:t xml:space="preserve"> of woody vegetation </w:t>
      </w:r>
      <w:r>
        <w:t xml:space="preserve">occurred in the Reef catchments between </w:t>
      </w:r>
      <w:r w:rsidRPr="00C347AD">
        <w:t>2014–15</w:t>
      </w:r>
      <w:r>
        <w:t xml:space="preserve"> and 2015-16 </w:t>
      </w:r>
      <w:r w:rsidRPr="00C93EF3">
        <w:t>(Department of Science, Inform</w:t>
      </w:r>
      <w:r>
        <w:t>ation Technology and Innovation</w:t>
      </w:r>
      <w:r w:rsidRPr="00C93EF3">
        <w:t xml:space="preserve"> 2017).</w:t>
      </w:r>
      <w:r w:rsidRPr="00C347AD">
        <w:t xml:space="preserve"> </w:t>
      </w:r>
      <w:r>
        <w:t>Legislation to give effect to reinstating stricter tree clearing legislation was passed in 2018 and is expected to reduce the clearing rate, and thus the adverse impacts on coastal ecosystems, in the future.</w:t>
      </w:r>
      <w:r w:rsidR="00242993">
        <w:t xml:space="preserve"> </w:t>
      </w:r>
    </w:p>
    <w:p w14:paraId="5761D43E" w14:textId="3F667A4C" w:rsidR="00A56EE9" w:rsidRPr="00036E39" w:rsidRDefault="00A56EE9" w:rsidP="00E3690C">
      <w:pPr>
        <w:spacing w:line="276" w:lineRule="auto"/>
      </w:pPr>
      <w:r>
        <w:t>Inputs have improved over the past five years, with better financial resources to address coastal development.</w:t>
      </w:r>
      <w:r w:rsidR="00242993">
        <w:t xml:space="preserve"> </w:t>
      </w:r>
      <w:r w:rsidRPr="001846EA">
        <w:t xml:space="preserve">The Queensland Local Government Coastal Hazard Adaptation Program </w:t>
      </w:r>
      <w:r w:rsidRPr="00C93EF3">
        <w:t xml:space="preserve">(QCoast </w:t>
      </w:r>
      <w:r w:rsidRPr="00C93EF3">
        <w:rPr>
          <w:rFonts w:cs="Times New Roman (Body CS)"/>
          <w:vertAlign w:val="subscript"/>
        </w:rPr>
        <w:t>2100</w:t>
      </w:r>
      <w:r w:rsidRPr="00C93EF3">
        <w:t>)</w:t>
      </w:r>
      <w:r w:rsidRPr="001846EA">
        <w:t xml:space="preserve"> was launched in June 2016. This $12 million investment partnership delivered by the Local Government Association of Queensland provides funding, tools and technical support to enable coastal local governments, including Reef councils, to develop adaptation strategies to address climate change related coastal hazard risks over the long-term. </w:t>
      </w:r>
    </w:p>
    <w:p w14:paraId="5761D43F" w14:textId="77777777" w:rsidR="00A56EE9" w:rsidRPr="00036E39" w:rsidRDefault="00A56EE9" w:rsidP="00E3690C">
      <w:pPr>
        <w:spacing w:line="276" w:lineRule="auto"/>
      </w:pPr>
      <w:r w:rsidRPr="00036E39">
        <w:t xml:space="preserve">Stakeholder engagement </w:t>
      </w:r>
      <w:r>
        <w:t>relating to</w:t>
      </w:r>
      <w:r w:rsidRPr="00036E39">
        <w:t xml:space="preserve"> coastal ecosystem management </w:t>
      </w:r>
      <w:r>
        <w:t>continues to play an important role</w:t>
      </w:r>
      <w:r w:rsidRPr="00036E39">
        <w:t>. Coastal ecosystems management is a focus of coastal Ree</w:t>
      </w:r>
      <w:r>
        <w:t>f Guardian Councils and Schools</w:t>
      </w:r>
      <w:r w:rsidRPr="00036E39">
        <w:t xml:space="preserve"> and is regularly discussed at Local Marine Advisory Committees and Reef Advisory Committees. Feedback from local councils suggest</w:t>
      </w:r>
      <w:r>
        <w:t>s</w:t>
      </w:r>
      <w:r w:rsidRPr="00036E39">
        <w:t xml:space="preserve"> greater engagement about the implications of new science on costal development would be appreciated. </w:t>
      </w:r>
    </w:p>
    <w:p w14:paraId="5761D440" w14:textId="77777777" w:rsidR="00A56EE9" w:rsidRPr="00036E39" w:rsidRDefault="00A56EE9" w:rsidP="00E3690C">
      <w:pPr>
        <w:spacing w:line="276" w:lineRule="auto"/>
      </w:pPr>
      <w:r>
        <w:t>T</w:t>
      </w:r>
      <w:r w:rsidRPr="00036E39">
        <w:t xml:space="preserve">he long-term future condition and trend for coastal ecosystems is very poor if </w:t>
      </w:r>
      <w:r>
        <w:t>strong cooperative</w:t>
      </w:r>
      <w:r w:rsidRPr="00036E39">
        <w:t xml:space="preserve"> management action is not taken to halt and reverse the decline in </w:t>
      </w:r>
      <w:r>
        <w:t>inshore and coastal ecosystems</w:t>
      </w:r>
      <w:r w:rsidRPr="00C93EF3">
        <w:t>. The impact of inappropriate coastal development has been highlighted in the Reef 2050 Plan and the Scientific Consensus Statement (</w:t>
      </w:r>
      <w:r>
        <w:t>Waterhouse et al.</w:t>
      </w:r>
      <w:r w:rsidRPr="00C93EF3">
        <w:t xml:space="preserve"> 2017</w:t>
      </w:r>
      <w:r>
        <w:t>,</w:t>
      </w:r>
      <w:r w:rsidRPr="00C93EF3">
        <w:rPr>
          <w:color w:val="FF0000"/>
        </w:rPr>
        <w:t xml:space="preserve"> </w:t>
      </w:r>
      <w:r>
        <w:t>Schaffelke et al. 2017</w:t>
      </w:r>
      <w:r w:rsidRPr="00C93EF3">
        <w:t>).</w:t>
      </w:r>
      <w:r>
        <w:t xml:space="preserve"> Improvement in Planning, Inputs, Processes and Outputs to </w:t>
      </w:r>
      <w:r w:rsidRPr="00D07110">
        <w:rPr>
          <w:i/>
        </w:rPr>
        <w:t xml:space="preserve">mostly effective </w:t>
      </w:r>
      <w:r>
        <w:t xml:space="preserve">is a positive sign that the major issues are starting to be addressed. However, the impact of these improvements on the attainment of desired outcomes for coastal development has yet to be demonstrated. </w:t>
      </w:r>
    </w:p>
    <w:p w14:paraId="5761D441" w14:textId="4C4A30BF" w:rsidR="00A56EE9" w:rsidRDefault="00A56EE9" w:rsidP="00B323DC">
      <w:pPr>
        <w:pStyle w:val="Caption"/>
        <w:keepNext/>
        <w:spacing w:line="240" w:lineRule="auto"/>
        <w:jc w:val="center"/>
      </w:pPr>
      <w:bookmarkStart w:id="99" w:name="_Ref259285330"/>
      <w:bookmarkStart w:id="100" w:name="_Toc369681972"/>
      <w:bookmarkStart w:id="101" w:name="_Toc389205088"/>
      <w:bookmarkStart w:id="102" w:name="_Toc525654459"/>
      <w:r w:rsidRPr="005F616A">
        <w:t xml:space="preserve">Table </w:t>
      </w:r>
      <w:r>
        <w:fldChar w:fldCharType="begin"/>
      </w:r>
      <w:r>
        <w:instrText xml:space="preserve"> SEQ Table \* ARABIC </w:instrText>
      </w:r>
      <w:r>
        <w:fldChar w:fldCharType="separate"/>
      </w:r>
      <w:r w:rsidR="00A4170C">
        <w:rPr>
          <w:noProof/>
        </w:rPr>
        <w:t>14</w:t>
      </w:r>
      <w:r>
        <w:rPr>
          <w:noProof/>
        </w:rPr>
        <w:fldChar w:fldCharType="end"/>
      </w:r>
      <w:bookmarkEnd w:id="99"/>
      <w:r w:rsidRPr="005F616A">
        <w:t xml:space="preserve"> Assessment results for </w:t>
      </w:r>
      <w:r>
        <w:t>C</w:t>
      </w:r>
      <w:r w:rsidRPr="005F616A">
        <w:t xml:space="preserve">oastal </w:t>
      </w:r>
      <w:r>
        <w:t>d</w:t>
      </w:r>
      <w:r w:rsidRPr="005F616A">
        <w:t>evelopment</w:t>
      </w:r>
      <w:bookmarkEnd w:id="100"/>
      <w:bookmarkEnd w:id="101"/>
      <w:bookmarkEnd w:id="102"/>
    </w:p>
    <w:tbl>
      <w:tblPr>
        <w:tblStyle w:val="TableGrid"/>
        <w:tblW w:w="5000" w:type="pct"/>
        <w:jc w:val="center"/>
        <w:tblLayout w:type="fixed"/>
        <w:tblLook w:val="04A0" w:firstRow="1" w:lastRow="0" w:firstColumn="1" w:lastColumn="0" w:noHBand="0" w:noVBand="1"/>
        <w:tblCaption w:val="Table 5 Assessment results for the management effectiveness for Coastal development"/>
        <w:tblDescription w:val="Grades and trends &#10;Context:Mostly effective; stable&#10;Planning:Mostly effective; improved &#10;Inputs:Mostly effective; improved &#10;Processes: Mostly effective; improved &#10;Outputs:Mostly effective; improved&#10;Outcomes:Partially effective, impoving"/>
      </w:tblPr>
      <w:tblGrid>
        <w:gridCol w:w="4528"/>
        <w:gridCol w:w="1496"/>
        <w:gridCol w:w="1496"/>
        <w:gridCol w:w="1496"/>
      </w:tblGrid>
      <w:tr w:rsidR="00A56EE9" w:rsidRPr="003D54F2" w14:paraId="5761D446" w14:textId="77777777" w:rsidTr="00BB6AD5">
        <w:trPr>
          <w:trHeight w:val="441"/>
          <w:tblHeader/>
          <w:jc w:val="center"/>
        </w:trPr>
        <w:tc>
          <w:tcPr>
            <w:tcW w:w="2339" w:type="dxa"/>
            <w:vAlign w:val="center"/>
          </w:tcPr>
          <w:p w14:paraId="5761D442" w14:textId="77777777" w:rsidR="00A56EE9" w:rsidRPr="003D54F2" w:rsidRDefault="00A56EE9" w:rsidP="00B323DC">
            <w:pPr>
              <w:keepNext/>
              <w:jc w:val="both"/>
              <w:rPr>
                <w:b/>
              </w:rPr>
            </w:pPr>
            <w:r>
              <w:rPr>
                <w:b/>
              </w:rPr>
              <w:t>Coastal development</w:t>
            </w:r>
          </w:p>
        </w:tc>
        <w:tc>
          <w:tcPr>
            <w:tcW w:w="773" w:type="dxa"/>
            <w:vAlign w:val="center"/>
          </w:tcPr>
          <w:p w14:paraId="5761D443" w14:textId="77777777" w:rsidR="00A56EE9" w:rsidRPr="004A4864" w:rsidRDefault="00A56EE9" w:rsidP="00B323DC">
            <w:pPr>
              <w:keepNext/>
              <w:jc w:val="both"/>
              <w:rPr>
                <w:b/>
              </w:rPr>
            </w:pPr>
            <w:r w:rsidRPr="004A4864">
              <w:rPr>
                <w:b/>
              </w:rPr>
              <w:t>2009</w:t>
            </w:r>
          </w:p>
        </w:tc>
        <w:tc>
          <w:tcPr>
            <w:tcW w:w="773" w:type="dxa"/>
            <w:vAlign w:val="center"/>
          </w:tcPr>
          <w:p w14:paraId="5761D444" w14:textId="77777777" w:rsidR="00A56EE9" w:rsidRPr="004A4864" w:rsidRDefault="00A56EE9" w:rsidP="00B323DC">
            <w:pPr>
              <w:keepNext/>
              <w:jc w:val="both"/>
              <w:rPr>
                <w:b/>
              </w:rPr>
            </w:pPr>
            <w:r w:rsidRPr="004A4864">
              <w:rPr>
                <w:b/>
              </w:rPr>
              <w:t>2014</w:t>
            </w:r>
          </w:p>
        </w:tc>
        <w:tc>
          <w:tcPr>
            <w:tcW w:w="773" w:type="dxa"/>
            <w:tcBorders>
              <w:bottom w:val="single" w:sz="4" w:space="0" w:color="auto"/>
            </w:tcBorders>
            <w:vAlign w:val="center"/>
          </w:tcPr>
          <w:p w14:paraId="5761D445" w14:textId="77777777" w:rsidR="00A56EE9" w:rsidRPr="004A4864" w:rsidRDefault="00A56EE9" w:rsidP="00B323DC">
            <w:pPr>
              <w:keepNext/>
              <w:jc w:val="both"/>
              <w:rPr>
                <w:b/>
              </w:rPr>
            </w:pPr>
            <w:r w:rsidRPr="004A4864">
              <w:rPr>
                <w:b/>
              </w:rPr>
              <w:t>2019</w:t>
            </w:r>
          </w:p>
        </w:tc>
      </w:tr>
      <w:tr w:rsidR="00A56EE9" w:rsidRPr="003D54F2" w14:paraId="5761D44B" w14:textId="77777777" w:rsidTr="00BB6AD5">
        <w:trPr>
          <w:jc w:val="center"/>
        </w:trPr>
        <w:tc>
          <w:tcPr>
            <w:tcW w:w="2339" w:type="dxa"/>
            <w:vAlign w:val="center"/>
          </w:tcPr>
          <w:p w14:paraId="5761D447" w14:textId="77777777" w:rsidR="00A56EE9" w:rsidRPr="003D54F2" w:rsidRDefault="00A56EE9" w:rsidP="00B323DC">
            <w:pPr>
              <w:keepNext/>
              <w:rPr>
                <w:b/>
              </w:rPr>
            </w:pPr>
            <w:r w:rsidRPr="003D54F2">
              <w:rPr>
                <w:b/>
              </w:rPr>
              <w:t>Context</w:t>
            </w:r>
          </w:p>
        </w:tc>
        <w:tc>
          <w:tcPr>
            <w:tcW w:w="773" w:type="dxa"/>
            <w:shd w:val="clear" w:color="auto" w:fill="A8D08D" w:themeFill="accent6" w:themeFillTint="99"/>
            <w:vAlign w:val="center"/>
          </w:tcPr>
          <w:p w14:paraId="5761D448" w14:textId="77777777" w:rsidR="00A56EE9" w:rsidRPr="00E15040" w:rsidRDefault="00A56EE9" w:rsidP="00B323DC">
            <w:pPr>
              <w:keepNext/>
              <w:jc w:val="center"/>
              <w:rPr>
                <w:rFonts w:ascii="Cambria Math" w:hAnsi="Cambria Math"/>
                <w:b/>
                <w:sz w:val="24"/>
                <w:szCs w:val="24"/>
              </w:rPr>
            </w:pPr>
          </w:p>
        </w:tc>
        <w:tc>
          <w:tcPr>
            <w:tcW w:w="773" w:type="dxa"/>
            <w:shd w:val="clear" w:color="auto" w:fill="A8D08D" w:themeFill="accent6" w:themeFillTint="99"/>
            <w:vAlign w:val="center"/>
          </w:tcPr>
          <w:p w14:paraId="5761D449" w14:textId="77777777" w:rsidR="00A56EE9" w:rsidRPr="00E15040" w:rsidRDefault="00A56EE9" w:rsidP="00B323DC">
            <w:pPr>
              <w:keepNext/>
              <w:jc w:val="center"/>
              <w:rPr>
                <w:rFonts w:ascii="Cambria Math" w:hAnsi="Cambria Math"/>
                <w:b/>
                <w:sz w:val="24"/>
                <w:szCs w:val="24"/>
              </w:rPr>
            </w:pPr>
            <w:r w:rsidRPr="004F2ABF">
              <w:rPr>
                <w:rFonts w:ascii="Cambria Math" w:hAnsi="Cambria Math" w:cs="Cambria Math"/>
                <w:b/>
              </w:rPr>
              <w:t>↗</w:t>
            </w:r>
          </w:p>
        </w:tc>
        <w:tc>
          <w:tcPr>
            <w:tcW w:w="773" w:type="dxa"/>
            <w:tcBorders>
              <w:bottom w:val="single" w:sz="4" w:space="0" w:color="auto"/>
            </w:tcBorders>
            <w:shd w:val="clear" w:color="auto" w:fill="A8D08D" w:themeFill="accent6" w:themeFillTint="99"/>
            <w:vAlign w:val="center"/>
          </w:tcPr>
          <w:p w14:paraId="5761D44A" w14:textId="77777777" w:rsidR="00A56EE9" w:rsidRPr="00E15040" w:rsidRDefault="00A56EE9" w:rsidP="00B323DC">
            <w:pPr>
              <w:keepNext/>
              <w:jc w:val="center"/>
              <w:rPr>
                <w:rFonts w:ascii="Cambria Math" w:hAnsi="Cambria Math"/>
                <w:b/>
                <w:sz w:val="24"/>
                <w:szCs w:val="24"/>
              </w:rPr>
            </w:pPr>
            <w:r>
              <w:rPr>
                <w:rFonts w:ascii="Cambria Math" w:hAnsi="Cambria Math" w:cs="Cambria Math"/>
                <w:b/>
              </w:rPr>
              <w:t>↔</w:t>
            </w:r>
          </w:p>
        </w:tc>
      </w:tr>
      <w:tr w:rsidR="00A56EE9" w:rsidRPr="003D54F2" w14:paraId="5761D450" w14:textId="77777777" w:rsidTr="00BB6AD5">
        <w:trPr>
          <w:jc w:val="center"/>
        </w:trPr>
        <w:tc>
          <w:tcPr>
            <w:tcW w:w="2339" w:type="dxa"/>
            <w:vAlign w:val="center"/>
          </w:tcPr>
          <w:p w14:paraId="5761D44C" w14:textId="77777777" w:rsidR="00A56EE9" w:rsidRPr="003D54F2" w:rsidRDefault="00A56EE9" w:rsidP="00B323DC">
            <w:pPr>
              <w:keepNext/>
              <w:rPr>
                <w:b/>
              </w:rPr>
            </w:pPr>
            <w:r w:rsidRPr="003D54F2">
              <w:rPr>
                <w:b/>
              </w:rPr>
              <w:t>Planning</w:t>
            </w:r>
          </w:p>
        </w:tc>
        <w:tc>
          <w:tcPr>
            <w:tcW w:w="773" w:type="dxa"/>
            <w:shd w:val="clear" w:color="auto" w:fill="FFC000" w:themeFill="accent4"/>
            <w:vAlign w:val="center"/>
          </w:tcPr>
          <w:p w14:paraId="5761D44D" w14:textId="77777777" w:rsidR="00A56EE9" w:rsidRPr="00E15040" w:rsidRDefault="00A56EE9" w:rsidP="00B323DC">
            <w:pPr>
              <w:keepNext/>
              <w:jc w:val="center"/>
              <w:rPr>
                <w:rFonts w:ascii="Cambria Math" w:hAnsi="Cambria Math"/>
                <w:b/>
                <w:sz w:val="24"/>
                <w:szCs w:val="24"/>
              </w:rPr>
            </w:pPr>
          </w:p>
        </w:tc>
        <w:tc>
          <w:tcPr>
            <w:tcW w:w="773" w:type="dxa"/>
            <w:shd w:val="clear" w:color="auto" w:fill="FFC000" w:themeFill="accent4"/>
            <w:vAlign w:val="center"/>
          </w:tcPr>
          <w:p w14:paraId="5761D44E" w14:textId="77777777" w:rsidR="00A56EE9" w:rsidRPr="00E15040" w:rsidRDefault="00A56EE9" w:rsidP="00B323DC">
            <w:pPr>
              <w:keepNext/>
              <w:jc w:val="center"/>
              <w:rPr>
                <w:rFonts w:ascii="Cambria Math" w:hAnsi="Cambria Math"/>
                <w:b/>
                <w:sz w:val="24"/>
                <w:szCs w:val="24"/>
              </w:rPr>
            </w:pPr>
            <w:r w:rsidRPr="004F2ABF">
              <w:rPr>
                <w:rFonts w:ascii="Cambria Math" w:hAnsi="Cambria Math" w:cs="Cambria Math"/>
                <w:b/>
              </w:rPr>
              <w:t>↗</w:t>
            </w:r>
          </w:p>
        </w:tc>
        <w:tc>
          <w:tcPr>
            <w:tcW w:w="773" w:type="dxa"/>
            <w:tcBorders>
              <w:bottom w:val="single" w:sz="4" w:space="0" w:color="auto"/>
            </w:tcBorders>
            <w:shd w:val="clear" w:color="auto" w:fill="A8D08D" w:themeFill="accent6" w:themeFillTint="99"/>
            <w:vAlign w:val="center"/>
          </w:tcPr>
          <w:p w14:paraId="5761D44F" w14:textId="77777777" w:rsidR="00A56EE9" w:rsidRPr="00E15040" w:rsidRDefault="00A56EE9" w:rsidP="00B323DC">
            <w:pPr>
              <w:keepNext/>
              <w:jc w:val="center"/>
              <w:rPr>
                <w:rFonts w:ascii="Cambria Math" w:hAnsi="Cambria Math"/>
                <w:b/>
                <w:sz w:val="24"/>
                <w:szCs w:val="24"/>
              </w:rPr>
            </w:pPr>
            <w:r w:rsidRPr="004F2ABF">
              <w:rPr>
                <w:rFonts w:ascii="Cambria Math" w:hAnsi="Cambria Math" w:cs="Cambria Math"/>
              </w:rPr>
              <w:t>⬆</w:t>
            </w:r>
          </w:p>
        </w:tc>
      </w:tr>
      <w:tr w:rsidR="00A56EE9" w:rsidRPr="003D54F2" w14:paraId="5761D455" w14:textId="77777777" w:rsidTr="00BB6AD5">
        <w:trPr>
          <w:jc w:val="center"/>
        </w:trPr>
        <w:tc>
          <w:tcPr>
            <w:tcW w:w="2339" w:type="dxa"/>
            <w:vAlign w:val="center"/>
          </w:tcPr>
          <w:p w14:paraId="5761D451" w14:textId="77777777" w:rsidR="00A56EE9" w:rsidRPr="003D54F2" w:rsidRDefault="00A56EE9" w:rsidP="00B323DC">
            <w:pPr>
              <w:keepNext/>
              <w:rPr>
                <w:b/>
              </w:rPr>
            </w:pPr>
            <w:r w:rsidRPr="003D54F2">
              <w:rPr>
                <w:b/>
              </w:rPr>
              <w:t>Inputs</w:t>
            </w:r>
          </w:p>
        </w:tc>
        <w:tc>
          <w:tcPr>
            <w:tcW w:w="773" w:type="dxa"/>
            <w:shd w:val="clear" w:color="auto" w:fill="FFC000" w:themeFill="accent4"/>
            <w:vAlign w:val="center"/>
          </w:tcPr>
          <w:p w14:paraId="5761D452" w14:textId="77777777" w:rsidR="00A56EE9" w:rsidRPr="00E15040" w:rsidRDefault="00A56EE9" w:rsidP="00B323DC">
            <w:pPr>
              <w:keepNext/>
              <w:jc w:val="center"/>
              <w:rPr>
                <w:rFonts w:ascii="Cambria Math" w:hAnsi="Cambria Math"/>
                <w:b/>
                <w:sz w:val="24"/>
                <w:szCs w:val="24"/>
              </w:rPr>
            </w:pPr>
          </w:p>
        </w:tc>
        <w:tc>
          <w:tcPr>
            <w:tcW w:w="773" w:type="dxa"/>
            <w:shd w:val="clear" w:color="auto" w:fill="FFC000" w:themeFill="accent4"/>
            <w:vAlign w:val="center"/>
          </w:tcPr>
          <w:p w14:paraId="5761D453" w14:textId="77777777" w:rsidR="00A56EE9" w:rsidRPr="00E15040" w:rsidRDefault="00A56EE9" w:rsidP="00B323DC">
            <w:pPr>
              <w:keepNext/>
              <w:jc w:val="center"/>
              <w:rPr>
                <w:rFonts w:ascii="Cambria Math" w:hAnsi="Cambria Math"/>
                <w:b/>
                <w:sz w:val="24"/>
                <w:szCs w:val="24"/>
              </w:rPr>
            </w:pPr>
            <w:r>
              <w:rPr>
                <w:rFonts w:ascii="Cambria Math" w:hAnsi="Cambria Math" w:cs="Cambria Math"/>
                <w:b/>
              </w:rPr>
              <w:t>↔</w:t>
            </w:r>
          </w:p>
        </w:tc>
        <w:tc>
          <w:tcPr>
            <w:tcW w:w="773" w:type="dxa"/>
            <w:tcBorders>
              <w:bottom w:val="single" w:sz="4" w:space="0" w:color="auto"/>
            </w:tcBorders>
            <w:shd w:val="clear" w:color="auto" w:fill="A8D08D" w:themeFill="accent6" w:themeFillTint="99"/>
            <w:vAlign w:val="center"/>
          </w:tcPr>
          <w:p w14:paraId="5761D454" w14:textId="77777777" w:rsidR="00A56EE9" w:rsidRPr="00E15040" w:rsidRDefault="00A56EE9" w:rsidP="00B323DC">
            <w:pPr>
              <w:keepNext/>
              <w:jc w:val="center"/>
              <w:rPr>
                <w:rFonts w:ascii="Cambria Math" w:hAnsi="Cambria Math"/>
                <w:b/>
                <w:sz w:val="24"/>
                <w:szCs w:val="24"/>
              </w:rPr>
            </w:pPr>
            <w:r w:rsidRPr="004F2ABF">
              <w:rPr>
                <w:rFonts w:ascii="Cambria Math" w:hAnsi="Cambria Math" w:cs="Cambria Math"/>
              </w:rPr>
              <w:t>⬆</w:t>
            </w:r>
          </w:p>
        </w:tc>
      </w:tr>
      <w:tr w:rsidR="00A56EE9" w:rsidRPr="003D54F2" w14:paraId="5761D45A" w14:textId="77777777" w:rsidTr="00BB6AD5">
        <w:trPr>
          <w:jc w:val="center"/>
        </w:trPr>
        <w:tc>
          <w:tcPr>
            <w:tcW w:w="2339" w:type="dxa"/>
            <w:vAlign w:val="center"/>
          </w:tcPr>
          <w:p w14:paraId="5761D456" w14:textId="77777777" w:rsidR="00A56EE9" w:rsidRPr="003D54F2" w:rsidRDefault="00A56EE9" w:rsidP="00B323DC">
            <w:pPr>
              <w:keepNext/>
              <w:rPr>
                <w:b/>
              </w:rPr>
            </w:pPr>
            <w:r w:rsidRPr="003D54F2">
              <w:rPr>
                <w:b/>
              </w:rPr>
              <w:t>Processes</w:t>
            </w:r>
          </w:p>
        </w:tc>
        <w:tc>
          <w:tcPr>
            <w:tcW w:w="773" w:type="dxa"/>
            <w:shd w:val="clear" w:color="auto" w:fill="FFC000" w:themeFill="accent4"/>
            <w:vAlign w:val="center"/>
          </w:tcPr>
          <w:p w14:paraId="5761D457" w14:textId="77777777" w:rsidR="00A56EE9" w:rsidRPr="00E15040" w:rsidRDefault="00A56EE9" w:rsidP="00B323DC">
            <w:pPr>
              <w:keepNext/>
              <w:jc w:val="center"/>
              <w:rPr>
                <w:rFonts w:ascii="Cambria Math" w:hAnsi="Cambria Math"/>
                <w:b/>
                <w:sz w:val="24"/>
                <w:szCs w:val="24"/>
              </w:rPr>
            </w:pPr>
          </w:p>
        </w:tc>
        <w:tc>
          <w:tcPr>
            <w:tcW w:w="773" w:type="dxa"/>
            <w:shd w:val="clear" w:color="auto" w:fill="FFC000" w:themeFill="accent4"/>
            <w:vAlign w:val="center"/>
          </w:tcPr>
          <w:p w14:paraId="5761D458" w14:textId="77777777" w:rsidR="00A56EE9" w:rsidRPr="00E15040" w:rsidRDefault="00A56EE9" w:rsidP="00B323DC">
            <w:pPr>
              <w:keepNext/>
              <w:jc w:val="center"/>
              <w:rPr>
                <w:rFonts w:ascii="Cambria Math" w:hAnsi="Cambria Math"/>
                <w:b/>
                <w:sz w:val="24"/>
                <w:szCs w:val="24"/>
              </w:rPr>
            </w:pPr>
            <w:r>
              <w:rPr>
                <w:rFonts w:ascii="Cambria Math" w:hAnsi="Cambria Math" w:cs="Cambria Math"/>
                <w:b/>
              </w:rPr>
              <w:t>↔</w:t>
            </w:r>
          </w:p>
        </w:tc>
        <w:tc>
          <w:tcPr>
            <w:tcW w:w="773" w:type="dxa"/>
            <w:tcBorders>
              <w:bottom w:val="single" w:sz="4" w:space="0" w:color="auto"/>
            </w:tcBorders>
            <w:shd w:val="clear" w:color="auto" w:fill="A8D08D" w:themeFill="accent6" w:themeFillTint="99"/>
            <w:vAlign w:val="center"/>
          </w:tcPr>
          <w:p w14:paraId="5761D459" w14:textId="77777777" w:rsidR="00A56EE9" w:rsidRPr="00E15040" w:rsidRDefault="00A56EE9" w:rsidP="00B323DC">
            <w:pPr>
              <w:keepNext/>
              <w:jc w:val="center"/>
              <w:rPr>
                <w:rFonts w:ascii="Cambria Math" w:hAnsi="Cambria Math"/>
                <w:b/>
                <w:sz w:val="24"/>
                <w:szCs w:val="24"/>
              </w:rPr>
            </w:pPr>
            <w:r w:rsidRPr="004F2ABF">
              <w:rPr>
                <w:rFonts w:ascii="Cambria Math" w:hAnsi="Cambria Math" w:cs="Cambria Math"/>
              </w:rPr>
              <w:t>⬆</w:t>
            </w:r>
          </w:p>
        </w:tc>
      </w:tr>
      <w:tr w:rsidR="00A56EE9" w:rsidRPr="003D54F2" w14:paraId="5761D45F" w14:textId="77777777" w:rsidTr="00BB6AD5">
        <w:trPr>
          <w:jc w:val="center"/>
        </w:trPr>
        <w:tc>
          <w:tcPr>
            <w:tcW w:w="2339" w:type="dxa"/>
            <w:vAlign w:val="center"/>
          </w:tcPr>
          <w:p w14:paraId="5761D45B" w14:textId="77777777" w:rsidR="00A56EE9" w:rsidRPr="003D54F2" w:rsidRDefault="00A56EE9" w:rsidP="00B323DC">
            <w:pPr>
              <w:keepNext/>
              <w:rPr>
                <w:b/>
              </w:rPr>
            </w:pPr>
            <w:r w:rsidRPr="003D54F2">
              <w:rPr>
                <w:b/>
              </w:rPr>
              <w:t>Outputs</w:t>
            </w:r>
          </w:p>
        </w:tc>
        <w:tc>
          <w:tcPr>
            <w:tcW w:w="773" w:type="dxa"/>
            <w:shd w:val="clear" w:color="auto" w:fill="FFC000" w:themeFill="accent4"/>
            <w:vAlign w:val="center"/>
          </w:tcPr>
          <w:p w14:paraId="5761D45C" w14:textId="77777777" w:rsidR="00A56EE9" w:rsidRPr="00E15040" w:rsidRDefault="00A56EE9" w:rsidP="00B323DC">
            <w:pPr>
              <w:keepNext/>
              <w:jc w:val="center"/>
              <w:rPr>
                <w:rFonts w:ascii="Cambria Math" w:hAnsi="Cambria Math"/>
                <w:b/>
                <w:sz w:val="24"/>
                <w:szCs w:val="24"/>
              </w:rPr>
            </w:pPr>
          </w:p>
        </w:tc>
        <w:tc>
          <w:tcPr>
            <w:tcW w:w="773" w:type="dxa"/>
            <w:shd w:val="clear" w:color="auto" w:fill="FFC000" w:themeFill="accent4"/>
            <w:vAlign w:val="center"/>
          </w:tcPr>
          <w:p w14:paraId="5761D45D" w14:textId="77777777" w:rsidR="00A56EE9" w:rsidRPr="00E15040" w:rsidRDefault="00A56EE9" w:rsidP="00B323DC">
            <w:pPr>
              <w:keepNext/>
              <w:jc w:val="center"/>
              <w:rPr>
                <w:rFonts w:ascii="Cambria Math" w:hAnsi="Cambria Math"/>
                <w:b/>
                <w:sz w:val="24"/>
                <w:szCs w:val="24"/>
              </w:rPr>
            </w:pPr>
            <w:r>
              <w:rPr>
                <w:rFonts w:ascii="Cambria Math" w:hAnsi="Cambria Math" w:cs="Cambria Math"/>
                <w:b/>
              </w:rPr>
              <w:t>↔</w:t>
            </w:r>
          </w:p>
        </w:tc>
        <w:tc>
          <w:tcPr>
            <w:tcW w:w="773" w:type="dxa"/>
            <w:shd w:val="clear" w:color="auto" w:fill="A8D08D" w:themeFill="accent6" w:themeFillTint="99"/>
            <w:vAlign w:val="center"/>
          </w:tcPr>
          <w:p w14:paraId="5761D45E" w14:textId="77777777" w:rsidR="00A56EE9" w:rsidRPr="00E15040" w:rsidRDefault="00A56EE9" w:rsidP="00B323DC">
            <w:pPr>
              <w:keepNext/>
              <w:jc w:val="center"/>
              <w:rPr>
                <w:rFonts w:ascii="Cambria Math" w:hAnsi="Cambria Math"/>
                <w:b/>
                <w:sz w:val="24"/>
                <w:szCs w:val="24"/>
              </w:rPr>
            </w:pPr>
            <w:r w:rsidRPr="004F2ABF">
              <w:rPr>
                <w:rFonts w:ascii="Cambria Math" w:hAnsi="Cambria Math" w:cs="Cambria Math"/>
              </w:rPr>
              <w:t>⬆</w:t>
            </w:r>
          </w:p>
        </w:tc>
      </w:tr>
      <w:tr w:rsidR="00A56EE9" w:rsidRPr="003D54F2" w14:paraId="5761D464" w14:textId="77777777" w:rsidTr="00BB6AD5">
        <w:trPr>
          <w:jc w:val="center"/>
        </w:trPr>
        <w:tc>
          <w:tcPr>
            <w:tcW w:w="2339" w:type="dxa"/>
            <w:vAlign w:val="center"/>
          </w:tcPr>
          <w:p w14:paraId="5761D460" w14:textId="77777777" w:rsidR="00A56EE9" w:rsidRPr="003D54F2" w:rsidRDefault="00A56EE9" w:rsidP="00B323DC">
            <w:pPr>
              <w:keepNext/>
              <w:rPr>
                <w:b/>
              </w:rPr>
            </w:pPr>
            <w:r w:rsidRPr="003D54F2">
              <w:rPr>
                <w:b/>
              </w:rPr>
              <w:t>Outcomes</w:t>
            </w:r>
          </w:p>
        </w:tc>
        <w:tc>
          <w:tcPr>
            <w:tcW w:w="773" w:type="dxa"/>
            <w:shd w:val="clear" w:color="auto" w:fill="FFC000" w:themeFill="accent4"/>
            <w:vAlign w:val="center"/>
          </w:tcPr>
          <w:p w14:paraId="5761D461" w14:textId="77777777" w:rsidR="00A56EE9" w:rsidRPr="00E15040" w:rsidRDefault="00A56EE9" w:rsidP="00B323DC">
            <w:pPr>
              <w:keepNext/>
              <w:jc w:val="center"/>
              <w:rPr>
                <w:rFonts w:ascii="Cambria Math" w:hAnsi="Cambria Math"/>
                <w:b/>
                <w:sz w:val="24"/>
                <w:szCs w:val="24"/>
              </w:rPr>
            </w:pPr>
          </w:p>
        </w:tc>
        <w:tc>
          <w:tcPr>
            <w:tcW w:w="773" w:type="dxa"/>
            <w:shd w:val="clear" w:color="auto" w:fill="FFC000" w:themeFill="accent4"/>
            <w:vAlign w:val="center"/>
          </w:tcPr>
          <w:p w14:paraId="5761D462" w14:textId="77777777" w:rsidR="00A56EE9" w:rsidRPr="00E15040" w:rsidRDefault="00A56EE9" w:rsidP="00B323DC">
            <w:pPr>
              <w:keepNext/>
              <w:jc w:val="center"/>
              <w:rPr>
                <w:rFonts w:ascii="Cambria Math" w:hAnsi="Cambria Math"/>
                <w:b/>
                <w:sz w:val="24"/>
                <w:szCs w:val="24"/>
              </w:rPr>
            </w:pPr>
            <w:r>
              <w:rPr>
                <w:rFonts w:ascii="Cambria Math" w:hAnsi="Cambria Math" w:cs="Cambria Math"/>
                <w:b/>
              </w:rPr>
              <w:t>↔</w:t>
            </w:r>
          </w:p>
        </w:tc>
        <w:tc>
          <w:tcPr>
            <w:tcW w:w="773" w:type="dxa"/>
            <w:shd w:val="clear" w:color="auto" w:fill="FFC000" w:themeFill="accent4"/>
            <w:vAlign w:val="center"/>
          </w:tcPr>
          <w:p w14:paraId="5761D463" w14:textId="77777777" w:rsidR="00A56EE9" w:rsidRPr="00E15040" w:rsidRDefault="00A56EE9" w:rsidP="00B323DC">
            <w:pPr>
              <w:keepNext/>
              <w:jc w:val="center"/>
              <w:rPr>
                <w:rFonts w:ascii="Cambria Math" w:hAnsi="Cambria Math"/>
                <w:b/>
                <w:sz w:val="24"/>
                <w:szCs w:val="24"/>
              </w:rPr>
            </w:pPr>
            <w:r w:rsidRPr="004F2ABF">
              <w:rPr>
                <w:rFonts w:ascii="Cambria Math" w:hAnsi="Cambria Math" w:cs="Cambria Math"/>
                <w:b/>
              </w:rPr>
              <w:t>↗</w:t>
            </w:r>
          </w:p>
        </w:tc>
      </w:tr>
    </w:tbl>
    <w:p w14:paraId="5761D465" w14:textId="77777777" w:rsidR="00A56EE9" w:rsidRDefault="00A56EE9" w:rsidP="00B323DC">
      <w:pPr>
        <w:keepNext/>
        <w:spacing w:line="240" w:lineRule="auto"/>
        <w:ind w:firstLine="2268"/>
        <w:contextualSpacing/>
        <w:rPr>
          <w:sz w:val="16"/>
          <w:szCs w:val="16"/>
        </w:rPr>
      </w:pPr>
      <w:r>
        <w:rPr>
          <w:sz w:val="16"/>
          <w:szCs w:val="16"/>
        </w:rPr>
        <w:t xml:space="preserve">Management effective assessment is colour coded: </w:t>
      </w:r>
    </w:p>
    <w:tbl>
      <w:tblPr>
        <w:tblStyle w:val="TableGrid"/>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446"/>
        <w:gridCol w:w="250"/>
        <w:gridCol w:w="1927"/>
        <w:gridCol w:w="294"/>
        <w:gridCol w:w="2017"/>
        <w:gridCol w:w="294"/>
        <w:gridCol w:w="1286"/>
        <w:gridCol w:w="294"/>
      </w:tblGrid>
      <w:tr w:rsidR="00A56EE9" w14:paraId="5761D46F" w14:textId="77777777" w:rsidTr="00BB6AD5">
        <w:trPr>
          <w:tblHeader/>
        </w:trPr>
        <w:tc>
          <w:tcPr>
            <w:tcW w:w="1084" w:type="dxa"/>
          </w:tcPr>
          <w:p w14:paraId="5761D466" w14:textId="77777777" w:rsidR="00A56EE9" w:rsidRDefault="00A56EE9" w:rsidP="00B323DC">
            <w:pPr>
              <w:keepNext/>
              <w:ind w:right="-158"/>
              <w:contextualSpacing/>
              <w:rPr>
                <w:sz w:val="16"/>
                <w:szCs w:val="16"/>
              </w:rPr>
            </w:pPr>
            <w:r>
              <w:rPr>
                <w:sz w:val="16"/>
                <w:szCs w:val="16"/>
              </w:rPr>
              <w:t>Effective (E)</w:t>
            </w:r>
          </w:p>
        </w:tc>
        <w:tc>
          <w:tcPr>
            <w:tcW w:w="446" w:type="dxa"/>
          </w:tcPr>
          <w:p w14:paraId="5761D467" w14:textId="77777777" w:rsidR="00A56EE9" w:rsidRDefault="00A56EE9" w:rsidP="00B323DC">
            <w:pPr>
              <w:keepNext/>
              <w:contextualSpacing/>
              <w:rPr>
                <w:sz w:val="16"/>
                <w:szCs w:val="16"/>
              </w:rPr>
            </w:pPr>
            <w:r>
              <w:rPr>
                <w:noProof/>
                <w:sz w:val="16"/>
                <w:szCs w:val="16"/>
              </w:rPr>
              <mc:AlternateContent>
                <mc:Choice Requires="wps">
                  <w:drawing>
                    <wp:anchor distT="0" distB="0" distL="114300" distR="114300" simplePos="0" relativeHeight="251666432" behindDoc="1" locked="0" layoutInCell="1" allowOverlap="1" wp14:anchorId="57620C9E" wp14:editId="57620C9F">
                      <wp:simplePos x="0" y="0"/>
                      <wp:positionH relativeFrom="column">
                        <wp:posOffset>-50800</wp:posOffset>
                      </wp:positionH>
                      <wp:positionV relativeFrom="paragraph">
                        <wp:posOffset>26670</wp:posOffset>
                      </wp:positionV>
                      <wp:extent cx="95250" cy="104775"/>
                      <wp:effectExtent l="0" t="0" r="19050" b="28575"/>
                      <wp:wrapSquare wrapText="bothSides"/>
                      <wp:docPr id="57" name="Rectangle 57"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26"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9E" id="Rectangle 57" o:spid="_x0000_s1071" alt="Title: Rectangle - Description: Rectangle coloured dark green" style="position:absolute;margin-left:-4pt;margin-top:2.1pt;width:7.5pt;height:8.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" fillcolor="#060" strokecolor="black [3213]" strokeweight="1pt">
                      <v:textbox>
                        <w:txbxContent>
                          <w:p w14:paraId="57620D26" w14:textId="77777777" w:rsidR="008B5998" w:rsidRDefault="008B5998" w:rsidP="00BB6AD5">
                            <w:pPr>
                              <w:shd w:val="clear" w:color="auto" w:fill="006600"/>
                              <w:jc w:val="center"/>
                            </w:pPr>
                          </w:p>
                        </w:txbxContent>
                      </v:textbox>
                      <w10:wrap type="square"/>
                    </v:rect>
                  </w:pict>
                </mc:Fallback>
              </mc:AlternateContent>
            </w:r>
          </w:p>
        </w:tc>
        <w:tc>
          <w:tcPr>
            <w:tcW w:w="250" w:type="dxa"/>
          </w:tcPr>
          <w:p w14:paraId="5761D468" w14:textId="77777777" w:rsidR="00A56EE9" w:rsidRDefault="00A56EE9" w:rsidP="00B323DC">
            <w:pPr>
              <w:keepNext/>
              <w:contextualSpacing/>
              <w:rPr>
                <w:sz w:val="16"/>
                <w:szCs w:val="16"/>
              </w:rPr>
            </w:pPr>
          </w:p>
        </w:tc>
        <w:tc>
          <w:tcPr>
            <w:tcW w:w="1927" w:type="dxa"/>
          </w:tcPr>
          <w:p w14:paraId="5761D469" w14:textId="77777777" w:rsidR="00A56EE9" w:rsidRDefault="00A56EE9" w:rsidP="00B323DC">
            <w:pPr>
              <w:keepNext/>
              <w:contextualSpacing/>
              <w:rPr>
                <w:sz w:val="16"/>
                <w:szCs w:val="16"/>
              </w:rPr>
            </w:pPr>
            <w:r>
              <w:rPr>
                <w:sz w:val="16"/>
                <w:szCs w:val="16"/>
              </w:rPr>
              <w:t>Mostly effective (ME)</w:t>
            </w:r>
          </w:p>
        </w:tc>
        <w:tc>
          <w:tcPr>
            <w:tcW w:w="294" w:type="dxa"/>
          </w:tcPr>
          <w:p w14:paraId="5761D46A" w14:textId="77777777" w:rsidR="00A56EE9" w:rsidRDefault="00A56EE9" w:rsidP="00B323DC">
            <w:pPr>
              <w:keepNext/>
              <w:contextualSpacing/>
              <w:rPr>
                <w:sz w:val="16"/>
                <w:szCs w:val="16"/>
              </w:rPr>
            </w:pPr>
            <w:r>
              <w:rPr>
                <w:noProof/>
                <w:sz w:val="16"/>
                <w:szCs w:val="16"/>
              </w:rPr>
              <mc:AlternateContent>
                <mc:Choice Requires="wps">
                  <w:drawing>
                    <wp:anchor distT="0" distB="0" distL="114300" distR="114300" simplePos="0" relativeHeight="251663360" behindDoc="0" locked="0" layoutInCell="1" allowOverlap="1" wp14:anchorId="57620CA0" wp14:editId="57620CA1">
                      <wp:simplePos x="0" y="0"/>
                      <wp:positionH relativeFrom="column">
                        <wp:posOffset>-41275</wp:posOffset>
                      </wp:positionH>
                      <wp:positionV relativeFrom="paragraph">
                        <wp:posOffset>22860</wp:posOffset>
                      </wp:positionV>
                      <wp:extent cx="95250" cy="104775"/>
                      <wp:effectExtent l="0" t="0" r="19050" b="28575"/>
                      <wp:wrapNone/>
                      <wp:docPr id="58" name="Rectangle 58"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27"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A0" id="Rectangle 58" o:spid="_x0000_s1072" alt="Title: Rectangle - Description: Rectangle coloured light green" style="position:absolute;margin-left:-3.25pt;margin-top:1.8pt;width:7.5pt;height: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" fillcolor="#92d050" strokecolor="black [3213]" strokeweight="1pt">
                      <v:textbox>
                        <w:txbxContent>
                          <w:p w14:paraId="57620D27" w14:textId="77777777" w:rsidR="008B5998" w:rsidRDefault="008B5998" w:rsidP="00BB6AD5">
                            <w:pPr>
                              <w:jc w:val="center"/>
                            </w:pPr>
                          </w:p>
                        </w:txbxContent>
                      </v:textbox>
                    </v:rect>
                  </w:pict>
                </mc:Fallback>
              </mc:AlternateContent>
            </w:r>
            <w:r>
              <w:rPr>
                <w:sz w:val="16"/>
                <w:szCs w:val="16"/>
              </w:rPr>
              <w:t>;</w:t>
            </w:r>
          </w:p>
        </w:tc>
        <w:tc>
          <w:tcPr>
            <w:tcW w:w="2017" w:type="dxa"/>
          </w:tcPr>
          <w:p w14:paraId="5761D46B" w14:textId="77777777" w:rsidR="00A56EE9" w:rsidRDefault="00A56EE9" w:rsidP="00B323DC">
            <w:pPr>
              <w:keepNext/>
              <w:contextualSpacing/>
              <w:rPr>
                <w:sz w:val="16"/>
                <w:szCs w:val="16"/>
              </w:rPr>
            </w:pPr>
            <w:r>
              <w:rPr>
                <w:sz w:val="16"/>
                <w:szCs w:val="16"/>
              </w:rPr>
              <w:t>Partially effective (PE)</w:t>
            </w:r>
          </w:p>
        </w:tc>
        <w:tc>
          <w:tcPr>
            <w:tcW w:w="294" w:type="dxa"/>
          </w:tcPr>
          <w:p w14:paraId="5761D46C" w14:textId="77777777" w:rsidR="00A56EE9" w:rsidRDefault="00A56EE9" w:rsidP="00B323DC">
            <w:pPr>
              <w:keepNext/>
              <w:contextualSpacing/>
              <w:rPr>
                <w:sz w:val="16"/>
                <w:szCs w:val="16"/>
              </w:rPr>
            </w:pPr>
            <w:r>
              <w:rPr>
                <w:noProof/>
                <w:sz w:val="16"/>
                <w:szCs w:val="16"/>
              </w:rPr>
              <mc:AlternateContent>
                <mc:Choice Requires="wps">
                  <w:drawing>
                    <wp:anchor distT="0" distB="0" distL="114300" distR="114300" simplePos="0" relativeHeight="251664384" behindDoc="0" locked="0" layoutInCell="1" allowOverlap="1" wp14:anchorId="57620CA2" wp14:editId="57620CA3">
                      <wp:simplePos x="0" y="0"/>
                      <wp:positionH relativeFrom="column">
                        <wp:posOffset>-65405</wp:posOffset>
                      </wp:positionH>
                      <wp:positionV relativeFrom="paragraph">
                        <wp:posOffset>19685</wp:posOffset>
                      </wp:positionV>
                      <wp:extent cx="95250" cy="104775"/>
                      <wp:effectExtent l="0" t="0" r="19050" b="28575"/>
                      <wp:wrapNone/>
                      <wp:docPr id="59" name="Rectangle 59"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28"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A2" id="Rectangle 59" o:spid="_x0000_s1073" alt="Title: Rectangle - Description: Rectangle coloured orange" style="position:absolute;margin-left:-5.15pt;margin-top:1.55pt;width:7.5pt;height:8.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" fillcolor="#ffc000" strokecolor="black [3213]" strokeweight="1pt">
                      <v:textbox>
                        <w:txbxContent>
                          <w:p w14:paraId="57620D28" w14:textId="77777777" w:rsidR="008B5998" w:rsidRDefault="008B5998" w:rsidP="00BB6AD5">
                            <w:pPr>
                              <w:jc w:val="center"/>
                            </w:pPr>
                          </w:p>
                        </w:txbxContent>
                      </v:textbox>
                    </v:rect>
                  </w:pict>
                </mc:Fallback>
              </mc:AlternateContent>
            </w:r>
            <w:r>
              <w:rPr>
                <w:sz w:val="16"/>
                <w:szCs w:val="16"/>
              </w:rPr>
              <w:t>;</w:t>
            </w:r>
          </w:p>
        </w:tc>
        <w:tc>
          <w:tcPr>
            <w:tcW w:w="1286" w:type="dxa"/>
          </w:tcPr>
          <w:p w14:paraId="5761D46D" w14:textId="77777777" w:rsidR="00A56EE9" w:rsidRDefault="00A56EE9" w:rsidP="00B323DC">
            <w:pPr>
              <w:keepNext/>
              <w:contextualSpacing/>
              <w:rPr>
                <w:sz w:val="16"/>
                <w:szCs w:val="16"/>
              </w:rPr>
            </w:pPr>
            <w:r>
              <w:rPr>
                <w:sz w:val="16"/>
                <w:szCs w:val="16"/>
              </w:rPr>
              <w:t>Ineffective (I)</w:t>
            </w:r>
          </w:p>
        </w:tc>
        <w:tc>
          <w:tcPr>
            <w:tcW w:w="294" w:type="dxa"/>
          </w:tcPr>
          <w:p w14:paraId="5761D46E" w14:textId="77777777" w:rsidR="00A56EE9" w:rsidRDefault="00A56EE9" w:rsidP="00B323DC">
            <w:pPr>
              <w:keepNext/>
              <w:contextualSpacing/>
              <w:rPr>
                <w:sz w:val="16"/>
                <w:szCs w:val="16"/>
              </w:rPr>
            </w:pPr>
            <w:r>
              <w:rPr>
                <w:noProof/>
                <w:sz w:val="16"/>
                <w:szCs w:val="16"/>
              </w:rPr>
              <mc:AlternateContent>
                <mc:Choice Requires="wps">
                  <w:drawing>
                    <wp:anchor distT="0" distB="0" distL="114300" distR="114300" simplePos="0" relativeHeight="251665408" behindDoc="0" locked="0" layoutInCell="1" allowOverlap="1" wp14:anchorId="57620CA4" wp14:editId="57620CA5">
                      <wp:simplePos x="0" y="0"/>
                      <wp:positionH relativeFrom="column">
                        <wp:posOffset>-50165</wp:posOffset>
                      </wp:positionH>
                      <wp:positionV relativeFrom="paragraph">
                        <wp:posOffset>24130</wp:posOffset>
                      </wp:positionV>
                      <wp:extent cx="95250" cy="104775"/>
                      <wp:effectExtent l="0" t="0" r="19050" b="28575"/>
                      <wp:wrapNone/>
                      <wp:docPr id="60" name="Rectangle 60"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29"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A4" id="Rectangle 60" o:spid="_x0000_s1074" alt="Title: Rectangle - Description: Rectangle coloured red" style="position:absolute;margin-left:-3.95pt;margin-top:1.9pt;width:7.5pt;height: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" fillcolor="red" strokecolor="black [3213]" strokeweight="1pt">
                      <v:textbox>
                        <w:txbxContent>
                          <w:p w14:paraId="57620D29" w14:textId="77777777" w:rsidR="008B5998" w:rsidRDefault="008B5998" w:rsidP="00BB6AD5">
                            <w:pPr>
                              <w:jc w:val="center"/>
                            </w:pPr>
                          </w:p>
                        </w:txbxContent>
                      </v:textbox>
                    </v:rect>
                  </w:pict>
                </mc:Fallback>
              </mc:AlternateContent>
            </w:r>
            <w:r>
              <w:rPr>
                <w:sz w:val="16"/>
                <w:szCs w:val="16"/>
              </w:rPr>
              <w:t>;</w:t>
            </w:r>
          </w:p>
        </w:tc>
      </w:tr>
    </w:tbl>
    <w:p w14:paraId="5761D470" w14:textId="77777777" w:rsidR="00A56EE9" w:rsidRPr="004F2ABF" w:rsidRDefault="00A56EE9" w:rsidP="00B323DC">
      <w:pPr>
        <w:keepNext/>
        <w:spacing w:after="0" w:line="240" w:lineRule="auto"/>
        <w:ind w:left="1704"/>
        <w:contextualSpacing/>
      </w:pPr>
      <w:r w:rsidRPr="004F2ABF">
        <w:rPr>
          <w:rFonts w:ascii="Cambria Math" w:hAnsi="Cambria Math" w:cs="Cambria Math"/>
        </w:rPr>
        <w:t xml:space="preserve"> ⬆</w:t>
      </w:r>
      <w: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w:t>
      </w:r>
      <w:r w:rsidRPr="006C34EB">
        <w:rPr>
          <w:sz w:val="16"/>
          <w:szCs w:val="16"/>
        </w:rPr>
        <w:t xml:space="preserve"> has been an upwards change in grade</w:t>
      </w:r>
    </w:p>
    <w:p w14:paraId="5761D471" w14:textId="77777777" w:rsidR="00A56EE9" w:rsidRPr="004F2ABF" w:rsidRDefault="00A56EE9" w:rsidP="00B323DC">
      <w:pPr>
        <w:keepNext/>
        <w:spacing w:after="0" w:line="240" w:lineRule="auto"/>
        <w:ind w:left="1704"/>
        <w:contextualSpacing/>
        <w:rPr>
          <w:b/>
        </w:rPr>
      </w:pPr>
      <w:r w:rsidRPr="004F2ABF">
        <w:rPr>
          <w:rFonts w:ascii="Cambria Math" w:hAnsi="Cambria Math" w:cs="Cambria Math"/>
          <w:b/>
        </w:rPr>
        <w:t>↗</w:t>
      </w:r>
      <w:r w:rsidRPr="004F2ABF">
        <w:rPr>
          <w:b/>
        </w:rP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w:t>
      </w:r>
      <w:r w:rsidRPr="006C34EB">
        <w:rPr>
          <w:sz w:val="16"/>
          <w:szCs w:val="16"/>
        </w:rPr>
        <w:t xml:space="preserve"> is increasing but has not caused an upwards grade change</w:t>
      </w:r>
    </w:p>
    <w:p w14:paraId="5761D472" w14:textId="77777777" w:rsidR="00A56EE9" w:rsidRPr="004F2ABF" w:rsidRDefault="00A56EE9" w:rsidP="007F1AA6">
      <w:pPr>
        <w:keepNext/>
        <w:spacing w:line="240" w:lineRule="auto"/>
        <w:ind w:left="1704"/>
        <w:contextualSpacing/>
      </w:pPr>
      <w:r>
        <w:rPr>
          <w:rFonts w:ascii="Cambria Math" w:hAnsi="Cambria Math" w:cs="Cambria Math"/>
          <w:b/>
        </w:rPr>
        <w:t>↔</w:t>
      </w:r>
      <w:r w:rsidRPr="004F2ABF">
        <w:t xml:space="preserve"> </w:t>
      </w:r>
      <w:r w:rsidRPr="006C34EB">
        <w:rPr>
          <w:sz w:val="16"/>
          <w:szCs w:val="16"/>
        </w:rPr>
        <w:t xml:space="preserve">Grade has remained stable compared to </w:t>
      </w:r>
      <w:r>
        <w:rPr>
          <w:sz w:val="16"/>
          <w:szCs w:val="16"/>
        </w:rPr>
        <w:t xml:space="preserve">2009, </w:t>
      </w:r>
      <w:r w:rsidRPr="006C34EB">
        <w:rPr>
          <w:sz w:val="16"/>
          <w:szCs w:val="16"/>
        </w:rPr>
        <w:t>20</w:t>
      </w:r>
      <w:r>
        <w:rPr>
          <w:sz w:val="16"/>
          <w:szCs w:val="16"/>
        </w:rPr>
        <w:t>14</w:t>
      </w:r>
      <w:r w:rsidRPr="006C34EB">
        <w:rPr>
          <w:sz w:val="16"/>
          <w:szCs w:val="16"/>
        </w:rPr>
        <w:t>, with no major trends</w:t>
      </w:r>
      <w:r w:rsidRPr="004F2ABF">
        <w:t xml:space="preserve"> </w:t>
      </w:r>
    </w:p>
    <w:p w14:paraId="5761D474" w14:textId="77777777" w:rsidR="00A56EE9" w:rsidRDefault="00A56EE9" w:rsidP="00A11869">
      <w:pPr>
        <w:pStyle w:val="Heading2"/>
        <w:numPr>
          <w:ilvl w:val="1"/>
          <w:numId w:val="17"/>
        </w:numPr>
        <w:ind w:left="357" w:hanging="357"/>
      </w:pPr>
      <w:bookmarkStart w:id="103" w:name="_Toc523423790"/>
      <w:r>
        <w:t>Land-based run-off</w:t>
      </w:r>
      <w:bookmarkEnd w:id="103"/>
    </w:p>
    <w:p w14:paraId="5761D475" w14:textId="2AE29C57" w:rsidR="00A56EE9" w:rsidRPr="00597818" w:rsidRDefault="00A56EE9" w:rsidP="00E3690C">
      <w:pPr>
        <w:spacing w:line="276" w:lineRule="auto"/>
        <w:rPr>
          <w:rFonts w:eastAsia="Calibri" w:cs="Arial"/>
        </w:rPr>
      </w:pPr>
      <w:bookmarkStart w:id="104" w:name="_Toc369681978"/>
      <w:r>
        <w:t>Land-based run-off has been recognised as having a significant impact on the values of the Region (Waterhouse et al. 2017, GBRMPA 2014a</w:t>
      </w:r>
      <w:proofErr w:type="gramStart"/>
      <w:r>
        <w:t>,b</w:t>
      </w:r>
      <w:proofErr w:type="gramEnd"/>
      <w:r>
        <w:t xml:space="preserve">, Reef 2050 Plan). </w:t>
      </w:r>
      <w:r>
        <w:rPr>
          <w:rFonts w:eastAsia="Calibri" w:cs="Arial"/>
        </w:rPr>
        <w:t>Five</w:t>
      </w:r>
      <w:r w:rsidRPr="009243E3">
        <w:rPr>
          <w:rFonts w:eastAsia="Calibri" w:cs="Arial"/>
        </w:rPr>
        <w:t xml:space="preserve"> of the six assessment elements </w:t>
      </w:r>
      <w:r>
        <w:rPr>
          <w:rFonts w:eastAsia="Calibri" w:cs="Arial"/>
        </w:rPr>
        <w:t>(</w:t>
      </w:r>
      <w:r>
        <w:rPr>
          <w:rFonts w:eastAsia="Calibri" w:cs="Arial"/>
        </w:rPr>
        <w:fldChar w:fldCharType="begin"/>
      </w:r>
      <w:r>
        <w:rPr>
          <w:rFonts w:eastAsia="Calibri" w:cs="Arial"/>
        </w:rPr>
        <w:instrText xml:space="preserve"> REF _Ref259285360 \h </w:instrText>
      </w:r>
      <w:r w:rsidR="00E3690C">
        <w:rPr>
          <w:rFonts w:eastAsia="Calibri" w:cs="Arial"/>
        </w:rPr>
        <w:instrText xml:space="preserve"> \* MERGEFORMAT </w:instrText>
      </w:r>
      <w:r>
        <w:rPr>
          <w:rFonts w:eastAsia="Calibri" w:cs="Arial"/>
        </w:rPr>
      </w:r>
      <w:r>
        <w:rPr>
          <w:rFonts w:eastAsia="Calibri" w:cs="Arial"/>
        </w:rPr>
        <w:fldChar w:fldCharType="separate"/>
      </w:r>
      <w:r w:rsidR="00A4170C" w:rsidRPr="00A25F07">
        <w:t xml:space="preserve">Table </w:t>
      </w:r>
      <w:r w:rsidR="00A4170C">
        <w:rPr>
          <w:noProof/>
        </w:rPr>
        <w:t>15</w:t>
      </w:r>
      <w:r>
        <w:rPr>
          <w:rFonts w:eastAsia="Calibri" w:cs="Arial"/>
        </w:rPr>
        <w:fldChar w:fldCharType="end"/>
      </w:r>
      <w:r>
        <w:rPr>
          <w:rFonts w:eastAsia="Calibri" w:cs="Arial"/>
        </w:rPr>
        <w:t>) are</w:t>
      </w:r>
      <w:r w:rsidRPr="009243E3">
        <w:rPr>
          <w:rFonts w:eastAsia="Calibri" w:cs="Arial"/>
        </w:rPr>
        <w:t xml:space="preserve"> </w:t>
      </w:r>
      <w:r w:rsidRPr="00D07110">
        <w:rPr>
          <w:rFonts w:eastAsia="Calibri" w:cs="Arial"/>
          <w:i/>
        </w:rPr>
        <w:t>effective</w:t>
      </w:r>
      <w:r>
        <w:rPr>
          <w:rFonts w:eastAsia="Calibri" w:cs="Arial"/>
        </w:rPr>
        <w:t xml:space="preserve">, with Inputs and Outputs improving from </w:t>
      </w:r>
      <w:r w:rsidRPr="00D07110">
        <w:rPr>
          <w:rFonts w:eastAsia="Calibri" w:cs="Arial"/>
          <w:i/>
        </w:rPr>
        <w:t>mostly</w:t>
      </w:r>
      <w:r>
        <w:rPr>
          <w:rFonts w:eastAsia="Calibri" w:cs="Arial"/>
        </w:rPr>
        <w:t xml:space="preserve"> </w:t>
      </w:r>
      <w:r w:rsidRPr="00D07110">
        <w:rPr>
          <w:rFonts w:eastAsia="Calibri" w:cs="Arial"/>
          <w:i/>
        </w:rPr>
        <w:t>effective</w:t>
      </w:r>
      <w:r>
        <w:rPr>
          <w:rFonts w:eastAsia="Calibri" w:cs="Arial"/>
        </w:rPr>
        <w:t>.</w:t>
      </w:r>
      <w:r w:rsidRPr="009243E3">
        <w:rPr>
          <w:rFonts w:eastAsia="Calibri" w:cs="Arial"/>
        </w:rPr>
        <w:t xml:space="preserve"> The rating of </w:t>
      </w:r>
      <w:r>
        <w:rPr>
          <w:rFonts w:eastAsia="Calibri" w:cs="Arial"/>
        </w:rPr>
        <w:t>Outcomes</w:t>
      </w:r>
      <w:r w:rsidRPr="009243E3">
        <w:rPr>
          <w:rFonts w:eastAsia="Calibri" w:cs="Arial"/>
        </w:rPr>
        <w:t xml:space="preserve"> </w:t>
      </w:r>
      <w:r>
        <w:rPr>
          <w:rFonts w:eastAsia="Calibri" w:cs="Arial"/>
        </w:rPr>
        <w:t xml:space="preserve">remains </w:t>
      </w:r>
      <w:r>
        <w:rPr>
          <w:rFonts w:eastAsia="Calibri" w:cs="Arial"/>
          <w:i/>
        </w:rPr>
        <w:t>partially effective</w:t>
      </w:r>
      <w:r>
        <w:rPr>
          <w:rFonts w:eastAsia="Calibri" w:cs="Arial"/>
        </w:rPr>
        <w:t>. This is due to combination of factors, including the area of improved land management, the adequacy of the actions, and the time lag between actions on the ground and evidence of change in Reef values</w:t>
      </w:r>
      <w:r w:rsidRPr="009243E3">
        <w:rPr>
          <w:rFonts w:eastAsia="Calibri" w:cs="Arial"/>
        </w:rPr>
        <w:t>.</w:t>
      </w:r>
    </w:p>
    <w:p w14:paraId="5761D476" w14:textId="596E9118" w:rsidR="00A56EE9" w:rsidRPr="002964B4" w:rsidRDefault="00A56EE9" w:rsidP="00E3690C">
      <w:pPr>
        <w:spacing w:line="276" w:lineRule="auto"/>
        <w:rPr>
          <w:lang w:val="en-GB"/>
        </w:rPr>
      </w:pPr>
      <w:r>
        <w:t>Nutrients, fine sediments and pesticides</w:t>
      </w:r>
      <w:r w:rsidRPr="00373A28">
        <w:t xml:space="preserve"> </w:t>
      </w:r>
      <w:r>
        <w:t>are the primary pollutants that pose a risk to Great Barrier Reef coastal and marine ecosystems and increase</w:t>
      </w:r>
      <w:r w:rsidR="009B69A1">
        <w:t>d</w:t>
      </w:r>
      <w:r>
        <w:t xml:space="preserve"> risks to freshwater ecosystems and coastal habitat</w:t>
      </w:r>
      <w:r w:rsidR="009B69A1">
        <w:t>s</w:t>
      </w:r>
      <w:r>
        <w:t>. Increased nutrients may also exacerbate the success of crown-of-thorns starfish outbreaks once they are established. The relationship between land-based activities, such as agriculture, urban diffuse and point source discharges, and industrial discharge and the levels of nutrients, sediments and pesticides are known and understood.</w:t>
      </w:r>
      <w:r w:rsidR="00242993">
        <w:t xml:space="preserve"> </w:t>
      </w:r>
      <w:r>
        <w:t xml:space="preserve">The understanding of human dimensions in achieving improved water quality outcomes is increasing. </w:t>
      </w:r>
      <w:r w:rsidRPr="00E81900">
        <w:rPr>
          <w:lang w:val="en-GB"/>
        </w:rPr>
        <w:t xml:space="preserve">The values that underpin the matters relevant to water quality continue to be well understood by managers, with significant progress made since Outlook </w:t>
      </w:r>
      <w:r>
        <w:rPr>
          <w:lang w:val="en-GB"/>
        </w:rPr>
        <w:t xml:space="preserve">Report </w:t>
      </w:r>
      <w:r w:rsidRPr="00E81900">
        <w:rPr>
          <w:lang w:val="en-GB"/>
        </w:rPr>
        <w:t>2014 in</w:t>
      </w:r>
      <w:r w:rsidRPr="00E81900">
        <w:rPr>
          <w:i/>
          <w:lang w:val="en-GB"/>
        </w:rPr>
        <w:t xml:space="preserve"> </w:t>
      </w:r>
      <w:r w:rsidRPr="003F79DD">
        <w:rPr>
          <w:lang w:val="en-GB"/>
        </w:rPr>
        <w:t xml:space="preserve">understanding sediment, nutrient and pesticide delivery from the Great Barrier Reef catchments and their mitigation through improved land management </w:t>
      </w:r>
      <w:r w:rsidRPr="00E81900">
        <w:rPr>
          <w:lang w:val="en-GB"/>
        </w:rPr>
        <w:t>(</w:t>
      </w:r>
      <w:r>
        <w:rPr>
          <w:lang w:val="en-GB"/>
        </w:rPr>
        <w:t>Waterhouse et al.</w:t>
      </w:r>
      <w:r w:rsidRPr="00E81900">
        <w:rPr>
          <w:lang w:val="en-GB"/>
        </w:rPr>
        <w:t xml:space="preserve"> 2017). Knowledge concerning the cumulative impacts of water quality, including the combined impacts of extreme weather, climate change and historical deve</w:t>
      </w:r>
      <w:r>
        <w:rPr>
          <w:lang w:val="en-GB"/>
        </w:rPr>
        <w:t>lopments are better understood than they were in 2014.</w:t>
      </w:r>
    </w:p>
    <w:p w14:paraId="5761D477" w14:textId="01C13D9C" w:rsidR="00A56EE9" w:rsidRPr="002964B4" w:rsidRDefault="00A56EE9" w:rsidP="00E3690C">
      <w:pPr>
        <w:pStyle w:val="CommentText"/>
        <w:rPr>
          <w:rFonts w:cstheme="minorBidi"/>
          <w:sz w:val="22"/>
          <w:szCs w:val="22"/>
        </w:rPr>
      </w:pPr>
      <w:r>
        <w:rPr>
          <w:rFonts w:cstheme="minorBidi"/>
          <w:sz w:val="22"/>
          <w:szCs w:val="22"/>
        </w:rPr>
        <w:t>Planning systems to address L</w:t>
      </w:r>
      <w:r w:rsidRPr="002964B4">
        <w:rPr>
          <w:rFonts w:cstheme="minorBidi"/>
          <w:sz w:val="22"/>
          <w:szCs w:val="22"/>
        </w:rPr>
        <w:t>and-based run</w:t>
      </w:r>
      <w:r>
        <w:rPr>
          <w:rFonts w:cstheme="minorBidi"/>
          <w:sz w:val="22"/>
          <w:szCs w:val="22"/>
        </w:rPr>
        <w:t>-</w:t>
      </w:r>
      <w:r w:rsidRPr="002964B4">
        <w:rPr>
          <w:rFonts w:cstheme="minorBidi"/>
          <w:sz w:val="22"/>
          <w:szCs w:val="22"/>
        </w:rPr>
        <w:t>off ha</w:t>
      </w:r>
      <w:r>
        <w:rPr>
          <w:rFonts w:cstheme="minorBidi"/>
          <w:sz w:val="22"/>
          <w:szCs w:val="22"/>
        </w:rPr>
        <w:t>ve</w:t>
      </w:r>
      <w:r w:rsidRPr="002964B4">
        <w:rPr>
          <w:rFonts w:cstheme="minorBidi"/>
          <w:sz w:val="22"/>
          <w:szCs w:val="22"/>
        </w:rPr>
        <w:t xml:space="preserve"> continued to improve. The Reef </w:t>
      </w:r>
      <w:r w:rsidR="009B69A1">
        <w:rPr>
          <w:rFonts w:cstheme="minorBidi"/>
          <w:sz w:val="22"/>
          <w:szCs w:val="22"/>
        </w:rPr>
        <w:t xml:space="preserve">2050 </w:t>
      </w:r>
      <w:r w:rsidRPr="002964B4">
        <w:rPr>
          <w:rFonts w:cstheme="minorBidi"/>
          <w:sz w:val="22"/>
          <w:szCs w:val="22"/>
        </w:rPr>
        <w:t xml:space="preserve">Plan includes actions to protect the values, health and resilience of the Region while allowing for ecologically sustainable use. </w:t>
      </w:r>
      <w:r w:rsidRPr="00C93EF3">
        <w:rPr>
          <w:rFonts w:cstheme="minorBidi"/>
          <w:sz w:val="22"/>
          <w:szCs w:val="22"/>
        </w:rPr>
        <w:t>The</w:t>
      </w:r>
      <w:r w:rsidRPr="000378CE">
        <w:rPr>
          <w:rFonts w:cstheme="minorBidi"/>
          <w:i/>
          <w:sz w:val="22"/>
          <w:szCs w:val="22"/>
        </w:rPr>
        <w:t xml:space="preserve"> Reef 2050 Water Quality Improvement Plan 2017-2022 </w:t>
      </w:r>
      <w:r w:rsidRPr="002964B4">
        <w:rPr>
          <w:rFonts w:cstheme="minorBidi"/>
          <w:sz w:val="22"/>
          <w:szCs w:val="22"/>
        </w:rPr>
        <w:t xml:space="preserve">directly aligns with and is nested within the Reef 2050 Plan. </w:t>
      </w:r>
    </w:p>
    <w:p w14:paraId="5761D478" w14:textId="77777777" w:rsidR="00A56EE9" w:rsidRPr="009B2BC1" w:rsidRDefault="00A56EE9" w:rsidP="00E3690C">
      <w:pPr>
        <w:pStyle w:val="CommentText"/>
        <w:rPr>
          <w:rFonts w:cstheme="minorBidi"/>
          <w:sz w:val="22"/>
          <w:szCs w:val="22"/>
          <w:lang w:val="en-GB"/>
        </w:rPr>
      </w:pPr>
      <w:r w:rsidRPr="005F7104">
        <w:rPr>
          <w:rFonts w:cstheme="minorBidi"/>
          <w:sz w:val="22"/>
          <w:szCs w:val="22"/>
        </w:rPr>
        <w:t xml:space="preserve">Measurable targets, improved accountability, and coordinated monitoring, evaluation and reporting are clearly articulated in the </w:t>
      </w:r>
      <w:r>
        <w:rPr>
          <w:rFonts w:cstheme="minorBidi"/>
          <w:sz w:val="22"/>
          <w:szCs w:val="22"/>
        </w:rPr>
        <w:t xml:space="preserve">Reef 2050 </w:t>
      </w:r>
      <w:r w:rsidRPr="009B2BC1">
        <w:rPr>
          <w:rFonts w:cstheme="minorBidi"/>
          <w:sz w:val="22"/>
          <w:szCs w:val="22"/>
          <w:lang w:val="en-GB"/>
        </w:rPr>
        <w:t>Water Quality Improvement Plan</w:t>
      </w:r>
      <w:r w:rsidRPr="005F7104">
        <w:rPr>
          <w:rFonts w:cstheme="minorBidi"/>
          <w:sz w:val="22"/>
          <w:szCs w:val="22"/>
        </w:rPr>
        <w:t xml:space="preserve">. </w:t>
      </w:r>
      <w:r w:rsidRPr="009B2BC1">
        <w:rPr>
          <w:rFonts w:cstheme="minorBidi"/>
          <w:sz w:val="22"/>
          <w:szCs w:val="22"/>
          <w:lang w:val="en-GB"/>
        </w:rPr>
        <w:t xml:space="preserve">The </w:t>
      </w:r>
      <w:r>
        <w:rPr>
          <w:rFonts w:cstheme="minorBidi"/>
          <w:sz w:val="22"/>
          <w:szCs w:val="22"/>
          <w:lang w:val="en-GB"/>
        </w:rPr>
        <w:t>plan</w:t>
      </w:r>
      <w:r w:rsidRPr="009B2BC1">
        <w:rPr>
          <w:rFonts w:cstheme="minorBidi"/>
          <w:sz w:val="22"/>
          <w:szCs w:val="22"/>
          <w:lang w:val="en-GB"/>
        </w:rPr>
        <w:t xml:space="preserve"> includes a diverse set of actions and builds on almost 15 years of efforts by governments at all levels working in partnership with landholders, natural resource managers, industry, and research and conservation groups. This includes addressing all land-based sources of water pollution, including from agricultural, urban, industrial and public lands. It also recognises the importance of people in creating change and includes social, cul</w:t>
      </w:r>
      <w:r>
        <w:rPr>
          <w:rFonts w:cstheme="minorBidi"/>
          <w:sz w:val="22"/>
          <w:szCs w:val="22"/>
          <w:lang w:val="en-GB"/>
        </w:rPr>
        <w:t>tural and economic values. The p</w:t>
      </w:r>
      <w:r w:rsidRPr="009B2BC1">
        <w:rPr>
          <w:rFonts w:cstheme="minorBidi"/>
          <w:sz w:val="22"/>
          <w:szCs w:val="22"/>
          <w:lang w:val="en-GB"/>
        </w:rPr>
        <w:t xml:space="preserve">lan sets targets for improving water quality for the 35 major river basins flowing to the Reef, for the six regions and for the whole Reef. This is </w:t>
      </w:r>
      <w:r>
        <w:rPr>
          <w:rFonts w:cstheme="minorBidi"/>
          <w:sz w:val="22"/>
          <w:szCs w:val="22"/>
          <w:lang w:val="en-GB"/>
        </w:rPr>
        <w:t>an increased</w:t>
      </w:r>
      <w:r w:rsidRPr="009B2BC1">
        <w:rPr>
          <w:rFonts w:cstheme="minorBidi"/>
          <w:sz w:val="22"/>
          <w:szCs w:val="22"/>
          <w:lang w:val="en-GB"/>
        </w:rPr>
        <w:t xml:space="preserve"> level of specificity compared to previous targets</w:t>
      </w:r>
      <w:r>
        <w:rPr>
          <w:rFonts w:cstheme="minorBidi"/>
          <w:sz w:val="22"/>
          <w:szCs w:val="22"/>
          <w:lang w:val="en-GB"/>
        </w:rPr>
        <w:t>,</w:t>
      </w:r>
      <w:r w:rsidRPr="009B2BC1">
        <w:rPr>
          <w:rFonts w:cstheme="minorBidi"/>
          <w:sz w:val="22"/>
          <w:szCs w:val="22"/>
          <w:lang w:val="en-GB"/>
        </w:rPr>
        <w:t xml:space="preserve"> and the planning process used sophisticated modelling and other scientific information to ensure these targets are based on what is needed for a healthy Reef.</w:t>
      </w:r>
    </w:p>
    <w:p w14:paraId="5761D479" w14:textId="77777777" w:rsidR="00A56EE9" w:rsidRDefault="00A56EE9" w:rsidP="00E3690C">
      <w:pPr>
        <w:spacing w:line="276" w:lineRule="auto"/>
        <w:rPr>
          <w:lang w:val="en-GB"/>
        </w:rPr>
      </w:pPr>
      <w:r w:rsidRPr="00E81900">
        <w:rPr>
          <w:lang w:val="en-GB"/>
        </w:rPr>
        <w:t>The Paddock to Reef Integrated Monitoring, Mo</w:t>
      </w:r>
      <w:r>
        <w:rPr>
          <w:lang w:val="en-GB"/>
        </w:rPr>
        <w:t xml:space="preserve">delling and Reporting Program (Paddock to Reef program) </w:t>
      </w:r>
      <w:r w:rsidRPr="00E81900">
        <w:rPr>
          <w:lang w:val="en-GB"/>
        </w:rPr>
        <w:t xml:space="preserve">and </w:t>
      </w:r>
      <w:r>
        <w:rPr>
          <w:lang w:val="en-GB"/>
        </w:rPr>
        <w:t>the</w:t>
      </w:r>
      <w:r w:rsidRPr="00E81900">
        <w:rPr>
          <w:lang w:val="en-GB"/>
        </w:rPr>
        <w:t xml:space="preserve"> associated </w:t>
      </w:r>
      <w:r>
        <w:rPr>
          <w:lang w:val="en-GB"/>
        </w:rPr>
        <w:t>R</w:t>
      </w:r>
      <w:r w:rsidRPr="00E81900">
        <w:rPr>
          <w:lang w:val="en-GB"/>
        </w:rPr>
        <w:t xml:space="preserve">eport </w:t>
      </w:r>
      <w:r>
        <w:rPr>
          <w:lang w:val="en-GB"/>
        </w:rPr>
        <w:t>C</w:t>
      </w:r>
      <w:r w:rsidRPr="00E81900">
        <w:rPr>
          <w:lang w:val="en-GB"/>
        </w:rPr>
        <w:t>ards have been continually improved to provide a succinct snap</w:t>
      </w:r>
      <w:r>
        <w:rPr>
          <w:lang w:val="en-GB"/>
        </w:rPr>
        <w:t>-</w:t>
      </w:r>
      <w:r w:rsidRPr="00E81900">
        <w:rPr>
          <w:lang w:val="en-GB"/>
        </w:rPr>
        <w:t xml:space="preserve">shot of improvements and changes in </w:t>
      </w:r>
      <w:r>
        <w:rPr>
          <w:lang w:val="en-GB"/>
        </w:rPr>
        <w:t>land management and pollutant loads across the</w:t>
      </w:r>
      <w:r w:rsidRPr="00E81900">
        <w:rPr>
          <w:lang w:val="en-GB"/>
        </w:rPr>
        <w:t xml:space="preserve"> </w:t>
      </w:r>
      <w:r>
        <w:rPr>
          <w:lang w:val="en-GB"/>
        </w:rPr>
        <w:t>R</w:t>
      </w:r>
      <w:r w:rsidRPr="00E81900">
        <w:rPr>
          <w:lang w:val="en-GB"/>
        </w:rPr>
        <w:t>eef catchments. The report cards identify changes and improvements in farm management practices</w:t>
      </w:r>
      <w:r>
        <w:rPr>
          <w:lang w:val="en-GB"/>
        </w:rPr>
        <w:t>, catchment condition indicators (ground cover, riparian extent, wetland extent and condition)</w:t>
      </w:r>
      <w:r w:rsidRPr="00E81900">
        <w:rPr>
          <w:lang w:val="en-GB"/>
        </w:rPr>
        <w:t xml:space="preserve"> as well as changes in sediment</w:t>
      </w:r>
      <w:r>
        <w:rPr>
          <w:lang w:val="en-GB"/>
        </w:rPr>
        <w:t>,</w:t>
      </w:r>
      <w:r w:rsidRPr="00E81900">
        <w:rPr>
          <w:lang w:val="en-GB"/>
        </w:rPr>
        <w:t xml:space="preserve"> nutrient</w:t>
      </w:r>
      <w:r>
        <w:rPr>
          <w:lang w:val="en-GB"/>
        </w:rPr>
        <w:t>s</w:t>
      </w:r>
      <w:r w:rsidRPr="00E81900">
        <w:rPr>
          <w:lang w:val="en-GB"/>
        </w:rPr>
        <w:t xml:space="preserve"> </w:t>
      </w:r>
      <w:r>
        <w:rPr>
          <w:lang w:val="en-GB"/>
        </w:rPr>
        <w:t>and pesticides entering the Reef</w:t>
      </w:r>
      <w:r w:rsidRPr="00E81900">
        <w:rPr>
          <w:lang w:val="en-GB"/>
        </w:rPr>
        <w:t>.</w:t>
      </w:r>
      <w:r>
        <w:rPr>
          <w:lang w:val="en-GB"/>
        </w:rPr>
        <w:t xml:space="preserve"> Marine inshore condition is also reported. </w:t>
      </w:r>
    </w:p>
    <w:p w14:paraId="5761D47A" w14:textId="77777777" w:rsidR="00A56EE9" w:rsidRPr="00E81900" w:rsidRDefault="00A56EE9" w:rsidP="00E3690C">
      <w:pPr>
        <w:spacing w:line="276" w:lineRule="auto"/>
        <w:rPr>
          <w:lang w:val="en-GB"/>
        </w:rPr>
      </w:pPr>
      <w:r>
        <w:rPr>
          <w:lang w:val="en-GB"/>
        </w:rPr>
        <w:t xml:space="preserve">The annual Reef Report Cards </w:t>
      </w:r>
      <w:r w:rsidRPr="00E81900">
        <w:rPr>
          <w:lang w:val="en-GB"/>
        </w:rPr>
        <w:t xml:space="preserve">have </w:t>
      </w:r>
      <w:r>
        <w:rPr>
          <w:lang w:val="en-GB"/>
        </w:rPr>
        <w:t>reported</w:t>
      </w:r>
      <w:r w:rsidRPr="00E81900">
        <w:rPr>
          <w:lang w:val="en-GB"/>
        </w:rPr>
        <w:t xml:space="preserve"> that the estimated </w:t>
      </w:r>
      <w:r>
        <w:rPr>
          <w:lang w:val="en-GB"/>
        </w:rPr>
        <w:t>average pollutant loads in land-</w:t>
      </w:r>
      <w:r w:rsidRPr="00E81900">
        <w:rPr>
          <w:lang w:val="en-GB"/>
        </w:rPr>
        <w:t>based run</w:t>
      </w:r>
      <w:r>
        <w:rPr>
          <w:lang w:val="en-GB"/>
        </w:rPr>
        <w:t>-</w:t>
      </w:r>
      <w:r w:rsidRPr="00E81900">
        <w:rPr>
          <w:lang w:val="en-GB"/>
        </w:rPr>
        <w:t>off have declined since 2014. These reductions have been attributed to landholders improving their land management practi</w:t>
      </w:r>
      <w:r>
        <w:rPr>
          <w:lang w:val="en-GB"/>
        </w:rPr>
        <w:t>c</w:t>
      </w:r>
      <w:r w:rsidRPr="00E81900">
        <w:rPr>
          <w:lang w:val="en-GB"/>
        </w:rPr>
        <w:t>es</w:t>
      </w:r>
      <w:r>
        <w:rPr>
          <w:lang w:val="en-GB"/>
        </w:rPr>
        <w:t xml:space="preserve"> with support from significant investment through Australian and Queensland Government programs including grants, extension and education activities and industry Best Management Practice programs.</w:t>
      </w:r>
      <w:r w:rsidRPr="00E81900">
        <w:rPr>
          <w:lang w:val="en-GB"/>
        </w:rPr>
        <w:t xml:space="preserve"> </w:t>
      </w:r>
      <w:r>
        <w:rPr>
          <w:lang w:val="en-GB"/>
        </w:rPr>
        <w:t>P</w:t>
      </w:r>
      <w:r w:rsidRPr="00E81900">
        <w:rPr>
          <w:lang w:val="en-GB"/>
        </w:rPr>
        <w:t>articipati</w:t>
      </w:r>
      <w:r>
        <w:rPr>
          <w:lang w:val="en-GB"/>
        </w:rPr>
        <w:t xml:space="preserve">on </w:t>
      </w:r>
      <w:r w:rsidRPr="00E81900">
        <w:rPr>
          <w:lang w:val="en-GB"/>
        </w:rPr>
        <w:t>in on-gr</w:t>
      </w:r>
      <w:r>
        <w:rPr>
          <w:lang w:val="en-GB"/>
        </w:rPr>
        <w:t>ound monitoring activities and R</w:t>
      </w:r>
      <w:r w:rsidRPr="00E81900">
        <w:rPr>
          <w:lang w:val="en-GB"/>
        </w:rPr>
        <w:t xml:space="preserve">eef related research through </w:t>
      </w:r>
      <w:r>
        <w:rPr>
          <w:lang w:val="en-GB"/>
        </w:rPr>
        <w:t xml:space="preserve">the </w:t>
      </w:r>
      <w:r w:rsidRPr="00E81900">
        <w:rPr>
          <w:lang w:val="en-GB"/>
        </w:rPr>
        <w:t>Paddock to Reef</w:t>
      </w:r>
      <w:r>
        <w:rPr>
          <w:lang w:val="en-GB"/>
        </w:rPr>
        <w:t xml:space="preserve"> program</w:t>
      </w:r>
      <w:r w:rsidRPr="00E81900">
        <w:rPr>
          <w:lang w:val="en-GB"/>
        </w:rPr>
        <w:t>, Queensland</w:t>
      </w:r>
      <w:r>
        <w:rPr>
          <w:lang w:val="en-GB"/>
        </w:rPr>
        <w:t xml:space="preserve"> Reef Water Quality Program and Australian </w:t>
      </w:r>
      <w:r w:rsidRPr="00E81900">
        <w:rPr>
          <w:lang w:val="en-GB"/>
        </w:rPr>
        <w:t xml:space="preserve">Government, </w:t>
      </w:r>
      <w:r>
        <w:rPr>
          <w:lang w:val="en-GB"/>
        </w:rPr>
        <w:t>helps support landholders to improve practices.</w:t>
      </w:r>
      <w:r w:rsidRPr="00E81900">
        <w:rPr>
          <w:lang w:val="en-GB"/>
        </w:rPr>
        <w:t xml:space="preserve"> </w:t>
      </w:r>
      <w:r>
        <w:rPr>
          <w:lang w:val="en-GB"/>
        </w:rPr>
        <w:t>H</w:t>
      </w:r>
      <w:r w:rsidRPr="00E81900">
        <w:rPr>
          <w:lang w:val="en-GB"/>
        </w:rPr>
        <w:t>owever</w:t>
      </w:r>
      <w:r>
        <w:rPr>
          <w:lang w:val="en-GB"/>
        </w:rPr>
        <w:t>,</w:t>
      </w:r>
      <w:r w:rsidRPr="00E81900">
        <w:rPr>
          <w:lang w:val="en-GB"/>
        </w:rPr>
        <w:t xml:space="preserve"> there </w:t>
      </w:r>
      <w:r>
        <w:rPr>
          <w:lang w:val="en-GB"/>
        </w:rPr>
        <w:t xml:space="preserve">continues to be slow progress with the adoption of changed land management practices, and </w:t>
      </w:r>
      <w:r w:rsidRPr="00E81900">
        <w:rPr>
          <w:lang w:val="en-GB"/>
        </w:rPr>
        <w:t>significant time lags between change</w:t>
      </w:r>
      <w:r>
        <w:rPr>
          <w:lang w:val="en-GB"/>
        </w:rPr>
        <w:t>s to</w:t>
      </w:r>
      <w:r w:rsidRPr="00E81900">
        <w:rPr>
          <w:lang w:val="en-GB"/>
        </w:rPr>
        <w:t xml:space="preserve"> land management practice and </w:t>
      </w:r>
      <w:r>
        <w:rPr>
          <w:lang w:val="en-GB"/>
        </w:rPr>
        <w:t>improved condition of the R</w:t>
      </w:r>
      <w:r w:rsidRPr="00E81900">
        <w:rPr>
          <w:lang w:val="en-GB"/>
        </w:rPr>
        <w:t>eef.</w:t>
      </w:r>
    </w:p>
    <w:p w14:paraId="5761D47B" w14:textId="77777777" w:rsidR="00A56EE9" w:rsidRPr="00E81900" w:rsidRDefault="00A56EE9" w:rsidP="00E3690C">
      <w:pPr>
        <w:spacing w:line="276" w:lineRule="auto"/>
        <w:rPr>
          <w:lang w:val="en-GB"/>
        </w:rPr>
      </w:pPr>
      <w:r w:rsidRPr="00E81900">
        <w:rPr>
          <w:lang w:val="en-GB"/>
        </w:rPr>
        <w:t>The overall legislative mandate for the management of land-based run</w:t>
      </w:r>
      <w:r>
        <w:rPr>
          <w:lang w:val="en-GB"/>
        </w:rPr>
        <w:t>-</w:t>
      </w:r>
      <w:r w:rsidRPr="00E81900">
        <w:rPr>
          <w:lang w:val="en-GB"/>
        </w:rPr>
        <w:t>off affecting water quality in the Great Barrier Reef catchment falls to the Queensland Government, with the current gover</w:t>
      </w:r>
      <w:r>
        <w:rPr>
          <w:lang w:val="en-GB"/>
        </w:rPr>
        <w:t>nment committing to broadening R</w:t>
      </w:r>
      <w:r w:rsidRPr="00E81900">
        <w:rPr>
          <w:lang w:val="en-GB"/>
        </w:rPr>
        <w:t>eef regulations to reduce nutrients and sediment pollution</w:t>
      </w:r>
      <w:r>
        <w:rPr>
          <w:lang w:val="en-GB"/>
        </w:rPr>
        <w:t>. S</w:t>
      </w:r>
      <w:r w:rsidRPr="00E81900">
        <w:rPr>
          <w:lang w:val="en-GB"/>
        </w:rPr>
        <w:t>tricter vegetation clearing requirements i</w:t>
      </w:r>
      <w:r>
        <w:rPr>
          <w:lang w:val="en-GB"/>
        </w:rPr>
        <w:t>n R</w:t>
      </w:r>
      <w:r w:rsidRPr="00E81900">
        <w:rPr>
          <w:lang w:val="en-GB"/>
        </w:rPr>
        <w:t>eef catchments</w:t>
      </w:r>
      <w:r>
        <w:rPr>
          <w:lang w:val="en-GB"/>
        </w:rPr>
        <w:t xml:space="preserve"> were re-introduced in 2018</w:t>
      </w:r>
      <w:r w:rsidRPr="00E81900">
        <w:rPr>
          <w:lang w:val="en-GB"/>
        </w:rPr>
        <w:t xml:space="preserve">. Healthy Waters Management Plans are </w:t>
      </w:r>
      <w:r>
        <w:rPr>
          <w:lang w:val="en-GB"/>
        </w:rPr>
        <w:t>additional</w:t>
      </w:r>
      <w:r w:rsidRPr="00E81900">
        <w:rPr>
          <w:lang w:val="en-GB"/>
        </w:rPr>
        <w:t xml:space="preserve"> legislative tool</w:t>
      </w:r>
      <w:r>
        <w:rPr>
          <w:lang w:val="en-GB"/>
        </w:rPr>
        <w:t>s</w:t>
      </w:r>
      <w:r w:rsidRPr="00E81900">
        <w:rPr>
          <w:lang w:val="en-GB"/>
        </w:rPr>
        <w:t xml:space="preserve"> under the </w:t>
      </w:r>
      <w:r w:rsidRPr="00C93EF3">
        <w:rPr>
          <w:i/>
          <w:lang w:val="en-GB"/>
        </w:rPr>
        <w:t>Environmental Protection (Water) Policy 2009</w:t>
      </w:r>
      <w:r w:rsidRPr="00E81900">
        <w:rPr>
          <w:lang w:val="en-GB"/>
        </w:rPr>
        <w:t>.</w:t>
      </w:r>
      <w:r>
        <w:rPr>
          <w:lang w:val="en-GB"/>
        </w:rPr>
        <w:t xml:space="preserve"> These plans identify management goals and water quality objectives to protect identified environmental values of waterways. </w:t>
      </w:r>
    </w:p>
    <w:p w14:paraId="5761D47C" w14:textId="33635FA4" w:rsidR="00A56EE9" w:rsidRPr="008E6D4A" w:rsidRDefault="00A56EE9" w:rsidP="00E3690C">
      <w:pPr>
        <w:spacing w:line="276" w:lineRule="auto"/>
      </w:pPr>
      <w:r w:rsidRPr="00E81900">
        <w:t xml:space="preserve">The </w:t>
      </w:r>
      <w:r w:rsidRPr="00D27653">
        <w:rPr>
          <w:i/>
        </w:rPr>
        <w:t>Reef 2050 Plan Investment Framework</w:t>
      </w:r>
      <w:r w:rsidRPr="00E81900">
        <w:t xml:space="preserve"> </w:t>
      </w:r>
      <w:r>
        <w:t xml:space="preserve">(Investment Framework) </w:t>
      </w:r>
      <w:r w:rsidRPr="00E81900">
        <w:t xml:space="preserve">was developed to encourage investment </w:t>
      </w:r>
      <w:r>
        <w:t>in</w:t>
      </w:r>
      <w:r w:rsidRPr="00E81900">
        <w:t xml:space="preserve"> priorit</w:t>
      </w:r>
      <w:r>
        <w:t>y actions</w:t>
      </w:r>
      <w:r w:rsidRPr="00E81900">
        <w:t xml:space="preserve">, and to provide a baseline of funding commitments from 2015. </w:t>
      </w:r>
      <w:r>
        <w:rPr>
          <w:lang w:val="en-GB"/>
        </w:rPr>
        <w:t>F</w:t>
      </w:r>
      <w:r w:rsidRPr="00E81900">
        <w:rPr>
          <w:lang w:val="en-GB"/>
        </w:rPr>
        <w:t>unding</w:t>
      </w:r>
      <w:r>
        <w:rPr>
          <w:lang w:val="en-GB"/>
        </w:rPr>
        <w:t xml:space="preserve"> is</w:t>
      </w:r>
      <w:r w:rsidRPr="00E81900">
        <w:rPr>
          <w:lang w:val="en-GB"/>
        </w:rPr>
        <w:t xml:space="preserve"> </w:t>
      </w:r>
      <w:r>
        <w:rPr>
          <w:lang w:val="en-GB"/>
        </w:rPr>
        <w:t xml:space="preserve">now </w:t>
      </w:r>
      <w:r w:rsidRPr="00E81900">
        <w:rPr>
          <w:lang w:val="en-GB"/>
        </w:rPr>
        <w:t>in</w:t>
      </w:r>
      <w:r>
        <w:rPr>
          <w:lang w:val="en-GB"/>
        </w:rPr>
        <w:t xml:space="preserve"> place to reduce land-</w:t>
      </w:r>
      <w:r w:rsidRPr="00E81900">
        <w:rPr>
          <w:lang w:val="en-GB"/>
        </w:rPr>
        <w:t>based run</w:t>
      </w:r>
      <w:r>
        <w:rPr>
          <w:lang w:val="en-GB"/>
        </w:rPr>
        <w:t>-</w:t>
      </w:r>
      <w:r w:rsidRPr="00E81900">
        <w:rPr>
          <w:lang w:val="en-GB"/>
        </w:rPr>
        <w:t>off through improved land management practices, as well as research and monitoring programs to assess th</w:t>
      </w:r>
      <w:r>
        <w:rPr>
          <w:lang w:val="en-GB"/>
        </w:rPr>
        <w:t>e effectiveness of the programs</w:t>
      </w:r>
      <w:r w:rsidRPr="00E81900">
        <w:rPr>
          <w:lang w:val="en-GB"/>
        </w:rPr>
        <w:t xml:space="preserve"> and assist with targeting areas and actions. These on-ground activities, extension, education and community awareness, stewardship and best practice activitie</w:t>
      </w:r>
      <w:r>
        <w:rPr>
          <w:lang w:val="en-GB"/>
        </w:rPr>
        <w:t>s associated with reducing Land-</w:t>
      </w:r>
      <w:r w:rsidRPr="00E81900">
        <w:rPr>
          <w:lang w:val="en-GB"/>
        </w:rPr>
        <w:t>based run</w:t>
      </w:r>
      <w:r>
        <w:rPr>
          <w:lang w:val="en-GB"/>
        </w:rPr>
        <w:t>-</w:t>
      </w:r>
      <w:r w:rsidRPr="00E81900">
        <w:rPr>
          <w:lang w:val="en-GB"/>
        </w:rPr>
        <w:t xml:space="preserve">off are managed through partnerships between the Queensland Government, the </w:t>
      </w:r>
      <w:r>
        <w:rPr>
          <w:lang w:val="en-GB"/>
        </w:rPr>
        <w:t>Marine Park Authority</w:t>
      </w:r>
      <w:r w:rsidRPr="00E81900">
        <w:rPr>
          <w:lang w:val="en-GB"/>
        </w:rPr>
        <w:t>, the Commonwealth Department of the Environment</w:t>
      </w:r>
      <w:r>
        <w:rPr>
          <w:lang w:val="en-GB"/>
        </w:rPr>
        <w:t xml:space="preserve"> and Energy</w:t>
      </w:r>
      <w:r w:rsidRPr="00E81900">
        <w:rPr>
          <w:lang w:val="en-GB"/>
        </w:rPr>
        <w:t>, regional Natural Resource Management organisations, landholders and industry groups.</w:t>
      </w:r>
      <w:bookmarkStart w:id="105" w:name="_Toc255393256"/>
    </w:p>
    <w:bookmarkEnd w:id="104"/>
    <w:bookmarkEnd w:id="105"/>
    <w:p w14:paraId="5761D47D" w14:textId="77777777" w:rsidR="00A56EE9" w:rsidRPr="005F7104" w:rsidRDefault="00A56EE9" w:rsidP="00E3690C">
      <w:pPr>
        <w:spacing w:line="276" w:lineRule="auto"/>
        <w:rPr>
          <w:lang w:val="en-US"/>
        </w:rPr>
      </w:pPr>
      <w:r>
        <w:t xml:space="preserve">Examples of specific projects in place to assist with improvements in Land-based run-off include </w:t>
      </w:r>
      <w:r w:rsidRPr="004C2E28">
        <w:rPr>
          <w:lang w:val="en-US"/>
        </w:rPr>
        <w:t>two major integrated projects</w:t>
      </w:r>
      <w:r>
        <w:rPr>
          <w:lang w:val="en-US"/>
        </w:rPr>
        <w:t xml:space="preserve"> (MIPs). These projects are aimed at</w:t>
      </w:r>
      <w:r w:rsidRPr="004C2E28">
        <w:rPr>
          <w:lang w:val="en-US"/>
        </w:rPr>
        <w:t xml:space="preserve"> redu</w:t>
      </w:r>
      <w:r>
        <w:rPr>
          <w:lang w:val="en-US"/>
        </w:rPr>
        <w:t>cing</w:t>
      </w:r>
      <w:r w:rsidRPr="004C2E28">
        <w:rPr>
          <w:lang w:val="en-US"/>
        </w:rPr>
        <w:t xml:space="preserve"> nutrient, sediment and pesticide loads into waterways in the Wet Tropics and Burdekin</w:t>
      </w:r>
      <w:r>
        <w:rPr>
          <w:lang w:val="en-US"/>
        </w:rPr>
        <w:t xml:space="preserve"> Dry Tropics</w:t>
      </w:r>
      <w:r w:rsidRPr="004C2E28">
        <w:rPr>
          <w:lang w:val="en-US"/>
        </w:rPr>
        <w:t xml:space="preserve"> regions</w:t>
      </w:r>
      <w:r>
        <w:rPr>
          <w:lang w:val="en-US"/>
        </w:rPr>
        <w:t xml:space="preserve"> through Terrain NRM and NQ Dry Tropics respectively</w:t>
      </w:r>
      <w:r w:rsidRPr="004C2E28">
        <w:rPr>
          <w:lang w:val="en-US"/>
        </w:rPr>
        <w:t>. Both groups have been engaged on behalf of a broader consortium of partners, including industry groups, science institutions, and non-government organisations.</w:t>
      </w:r>
      <w:r>
        <w:rPr>
          <w:lang w:val="en-US"/>
        </w:rPr>
        <w:t xml:space="preserve"> </w:t>
      </w:r>
      <w:r>
        <w:t>O</w:t>
      </w:r>
      <w:r w:rsidRPr="004C2E28">
        <w:t xml:space="preserve">n-ground delivery of </w:t>
      </w:r>
      <w:r>
        <w:t>these projects</w:t>
      </w:r>
      <w:r w:rsidRPr="004C2E28">
        <w:t xml:space="preserve"> will run from mid-2017 until June 2020.</w:t>
      </w:r>
      <w:r>
        <w:t xml:space="preserve"> The MIPs will concentrate effort in areas identified as having the highest risk for sediment (Burdekin) and nutrient run-off (Wet Tropics), and will pilot a mix of actions including landscape restoration and habitat repair. They aim to work with farming communities and provide timely feedback from the monitoring to enable adaptive management to occur within the projects. The projects demonstrate strong stakeholder engagement, good understanding of impacts and use of biophysical knowledge. </w:t>
      </w:r>
    </w:p>
    <w:p w14:paraId="5761D47E" w14:textId="77777777" w:rsidR="00A56EE9" w:rsidRDefault="00A56EE9" w:rsidP="00E3690C">
      <w:pPr>
        <w:spacing w:line="276" w:lineRule="auto"/>
        <w:rPr>
          <w:lang w:val="en-GB"/>
        </w:rPr>
      </w:pPr>
      <w:r w:rsidRPr="00E81900">
        <w:rPr>
          <w:lang w:val="en-GB"/>
        </w:rPr>
        <w:t xml:space="preserve">The work being undertaken by the </w:t>
      </w:r>
      <w:r>
        <w:rPr>
          <w:lang w:val="en-GB"/>
        </w:rPr>
        <w:t>Australian</w:t>
      </w:r>
      <w:r w:rsidRPr="00E81900">
        <w:rPr>
          <w:lang w:val="en-GB"/>
        </w:rPr>
        <w:t xml:space="preserve"> and State Governments, in addition to Natural Resource Management groups, industry and stakeholders in the implementation of reducing land-based run</w:t>
      </w:r>
      <w:r>
        <w:rPr>
          <w:lang w:val="en-GB"/>
        </w:rPr>
        <w:t>-</w:t>
      </w:r>
      <w:r w:rsidRPr="00E81900">
        <w:rPr>
          <w:lang w:val="en-GB"/>
        </w:rPr>
        <w:t>off has taken a furt</w:t>
      </w:r>
      <w:r>
        <w:rPr>
          <w:lang w:val="en-GB"/>
        </w:rPr>
        <w:t xml:space="preserve">her step forward following the Great Barrier Reef Strategic Assessment and the Great Barrier Reef Coastal Zone Assessment </w:t>
      </w:r>
      <w:r w:rsidRPr="00E81900">
        <w:rPr>
          <w:lang w:val="en-GB"/>
        </w:rPr>
        <w:t xml:space="preserve">and international scrutiny </w:t>
      </w:r>
      <w:r>
        <w:rPr>
          <w:lang w:val="en-GB"/>
        </w:rPr>
        <w:t>from</w:t>
      </w:r>
      <w:r w:rsidRPr="00E81900">
        <w:rPr>
          <w:lang w:val="en-GB"/>
        </w:rPr>
        <w:t xml:space="preserve"> the World Heritage Committee. </w:t>
      </w:r>
      <w:r>
        <w:rPr>
          <w:lang w:val="en-GB"/>
        </w:rPr>
        <w:t xml:space="preserve">However, while improvement of management practices remains voluntary, change is likely to be slow, and the significant time-lag between actions on the ground and better water quality results will be exacerbated. </w:t>
      </w:r>
    </w:p>
    <w:p w14:paraId="5761D47F" w14:textId="49784E94" w:rsidR="00A56EE9" w:rsidRPr="008E6D4A" w:rsidRDefault="00A56EE9" w:rsidP="00E3690C">
      <w:pPr>
        <w:spacing w:line="276" w:lineRule="auto"/>
        <w:rPr>
          <w:lang w:val="en-GB"/>
        </w:rPr>
      </w:pPr>
      <w:r>
        <w:rPr>
          <w:lang w:val="en-GB"/>
        </w:rPr>
        <w:t xml:space="preserve">Significant increases in financial inputs have been made over the past five years. Planning has expanded and continues to be effective. </w:t>
      </w:r>
      <w:r w:rsidRPr="00E81900">
        <w:rPr>
          <w:lang w:val="en-GB"/>
        </w:rPr>
        <w:t xml:space="preserve">The processes and outputs of the </w:t>
      </w:r>
      <w:r>
        <w:rPr>
          <w:lang w:val="en-GB"/>
        </w:rPr>
        <w:t>Reef 2050 Water Quality Improvement Plan</w:t>
      </w:r>
      <w:r w:rsidRPr="00E81900">
        <w:rPr>
          <w:lang w:val="en-GB"/>
        </w:rPr>
        <w:t xml:space="preserve"> continue to improve, however </w:t>
      </w:r>
      <w:r>
        <w:rPr>
          <w:lang w:val="en-GB"/>
        </w:rPr>
        <w:t>Waterhouse et al. (2017)</w:t>
      </w:r>
      <w:r w:rsidR="00ED046A">
        <w:rPr>
          <w:lang w:val="en-GB"/>
        </w:rPr>
        <w:t xml:space="preserve"> highlight</w:t>
      </w:r>
      <w:r w:rsidR="009B69A1">
        <w:rPr>
          <w:lang w:val="en-GB"/>
        </w:rPr>
        <w:t>ed</w:t>
      </w:r>
      <w:r w:rsidRPr="00E81900">
        <w:rPr>
          <w:lang w:val="en-GB"/>
        </w:rPr>
        <w:t xml:space="preserve"> that poor water quality is continuing to have a det</w:t>
      </w:r>
      <w:r>
        <w:rPr>
          <w:lang w:val="en-GB"/>
        </w:rPr>
        <w:t>rimental effect on R</w:t>
      </w:r>
      <w:r w:rsidRPr="00E81900">
        <w:rPr>
          <w:lang w:val="en-GB"/>
        </w:rPr>
        <w:t>eef health.</w:t>
      </w:r>
      <w:r w:rsidR="00242993">
        <w:rPr>
          <w:lang w:val="en-GB"/>
        </w:rPr>
        <w:t xml:space="preserve"> </w:t>
      </w:r>
      <w:r>
        <w:rPr>
          <w:lang w:val="en-GB"/>
        </w:rPr>
        <w:t>S</w:t>
      </w:r>
      <w:r w:rsidRPr="00E81900">
        <w:rPr>
          <w:lang w:val="en-GB"/>
        </w:rPr>
        <w:t>low progress</w:t>
      </w:r>
      <w:r>
        <w:rPr>
          <w:lang w:val="en-GB"/>
        </w:rPr>
        <w:t xml:space="preserve"> is</w:t>
      </w:r>
      <w:r w:rsidRPr="00E81900">
        <w:rPr>
          <w:lang w:val="en-GB"/>
        </w:rPr>
        <w:t xml:space="preserve"> being made towards the attainment of the desired outcomes and </w:t>
      </w:r>
      <w:r>
        <w:rPr>
          <w:lang w:val="en-GB"/>
        </w:rPr>
        <w:t>in</w:t>
      </w:r>
      <w:r w:rsidRPr="00E81900">
        <w:rPr>
          <w:lang w:val="en-GB"/>
        </w:rPr>
        <w:t xml:space="preserve"> reducing the risks and threats to the Reef’s values.</w:t>
      </w:r>
    </w:p>
    <w:p w14:paraId="5761D481" w14:textId="389DE362" w:rsidR="00A56EE9" w:rsidRDefault="00A56EE9" w:rsidP="00BB6AD5">
      <w:pPr>
        <w:pStyle w:val="Caption"/>
        <w:keepNext/>
        <w:spacing w:line="240" w:lineRule="auto"/>
        <w:jc w:val="center"/>
      </w:pPr>
      <w:bookmarkStart w:id="106" w:name="_Ref259285360"/>
      <w:bookmarkStart w:id="107" w:name="_Toc389205089"/>
      <w:bookmarkStart w:id="108" w:name="_Toc525654460"/>
      <w:r w:rsidRPr="00A25F07">
        <w:t xml:space="preserve">Table </w:t>
      </w:r>
      <w:r>
        <w:fldChar w:fldCharType="begin"/>
      </w:r>
      <w:r>
        <w:instrText xml:space="preserve"> SEQ Table \* ARABIC </w:instrText>
      </w:r>
      <w:r>
        <w:fldChar w:fldCharType="separate"/>
      </w:r>
      <w:r w:rsidR="00A4170C">
        <w:rPr>
          <w:noProof/>
        </w:rPr>
        <w:t>15</w:t>
      </w:r>
      <w:r>
        <w:rPr>
          <w:noProof/>
        </w:rPr>
        <w:fldChar w:fldCharType="end"/>
      </w:r>
      <w:bookmarkEnd w:id="106"/>
      <w:r w:rsidRPr="00A25F07">
        <w:t xml:space="preserve"> Assessment results for </w:t>
      </w:r>
      <w:r>
        <w:t>L</w:t>
      </w:r>
      <w:r w:rsidRPr="00A25F07">
        <w:t xml:space="preserve">and-based </w:t>
      </w:r>
      <w:r>
        <w:t>R</w:t>
      </w:r>
      <w:r w:rsidRPr="00A25F07">
        <w:t>un-off</w:t>
      </w:r>
      <w:bookmarkEnd w:id="107"/>
      <w:bookmarkEnd w:id="108"/>
    </w:p>
    <w:tbl>
      <w:tblPr>
        <w:tblStyle w:val="TableGrid"/>
        <w:tblW w:w="5000" w:type="pct"/>
        <w:jc w:val="center"/>
        <w:tblLayout w:type="fixed"/>
        <w:tblLook w:val="04A0" w:firstRow="1" w:lastRow="0" w:firstColumn="1" w:lastColumn="0" w:noHBand="0" w:noVBand="1"/>
        <w:tblCaption w:val="Table 5 Assessment results for managment effectiveness for Land-based run-off"/>
        <w:tblDescription w:val="Grades and trends for Land-based run-off&#10;Context: Effective; stable&#10;Planning: Effective; stable&#10;Inputs: Effective; improved&#10;Processes: Effective; stable&#10;Outputs:Effective; improved&#10;Outcomes:Partially effective; stable"/>
      </w:tblPr>
      <w:tblGrid>
        <w:gridCol w:w="4339"/>
        <w:gridCol w:w="1559"/>
        <w:gridCol w:w="1559"/>
        <w:gridCol w:w="1559"/>
      </w:tblGrid>
      <w:tr w:rsidR="00A56EE9" w:rsidRPr="003D54F2" w14:paraId="5761D486" w14:textId="77777777" w:rsidTr="00BB6AD5">
        <w:trPr>
          <w:trHeight w:val="441"/>
          <w:tblHeader/>
          <w:jc w:val="center"/>
        </w:trPr>
        <w:tc>
          <w:tcPr>
            <w:tcW w:w="4339" w:type="dxa"/>
            <w:vAlign w:val="center"/>
          </w:tcPr>
          <w:p w14:paraId="5761D482" w14:textId="77777777" w:rsidR="00A56EE9" w:rsidRPr="003D54F2" w:rsidRDefault="00A56EE9" w:rsidP="00BB6AD5">
            <w:pPr>
              <w:keepNext/>
              <w:jc w:val="both"/>
              <w:rPr>
                <w:b/>
              </w:rPr>
            </w:pPr>
            <w:r>
              <w:rPr>
                <w:b/>
              </w:rPr>
              <w:t>Land-based run-off</w:t>
            </w:r>
          </w:p>
        </w:tc>
        <w:tc>
          <w:tcPr>
            <w:tcW w:w="1559" w:type="dxa"/>
            <w:vAlign w:val="center"/>
          </w:tcPr>
          <w:p w14:paraId="5761D483" w14:textId="77777777" w:rsidR="00A56EE9" w:rsidRPr="004A4864" w:rsidRDefault="00A56EE9" w:rsidP="00BB6AD5">
            <w:pPr>
              <w:keepNext/>
              <w:jc w:val="both"/>
              <w:rPr>
                <w:b/>
              </w:rPr>
            </w:pPr>
            <w:r w:rsidRPr="004A4864">
              <w:rPr>
                <w:b/>
              </w:rPr>
              <w:t>2009</w:t>
            </w:r>
          </w:p>
        </w:tc>
        <w:tc>
          <w:tcPr>
            <w:tcW w:w="1559" w:type="dxa"/>
            <w:vAlign w:val="center"/>
          </w:tcPr>
          <w:p w14:paraId="5761D484" w14:textId="77777777" w:rsidR="00A56EE9" w:rsidRPr="004A4864" w:rsidRDefault="00A56EE9" w:rsidP="00BB6AD5">
            <w:pPr>
              <w:keepNext/>
              <w:jc w:val="both"/>
              <w:rPr>
                <w:b/>
              </w:rPr>
            </w:pPr>
            <w:r w:rsidRPr="004A4864">
              <w:rPr>
                <w:b/>
              </w:rPr>
              <w:t>2014</w:t>
            </w:r>
          </w:p>
        </w:tc>
        <w:tc>
          <w:tcPr>
            <w:tcW w:w="1559" w:type="dxa"/>
            <w:vAlign w:val="center"/>
          </w:tcPr>
          <w:p w14:paraId="5761D485" w14:textId="77777777" w:rsidR="00A56EE9" w:rsidRPr="004A4864" w:rsidRDefault="00A56EE9" w:rsidP="00BB6AD5">
            <w:pPr>
              <w:keepNext/>
              <w:jc w:val="both"/>
              <w:rPr>
                <w:b/>
              </w:rPr>
            </w:pPr>
            <w:r w:rsidRPr="004A4864">
              <w:rPr>
                <w:b/>
              </w:rPr>
              <w:t>2019</w:t>
            </w:r>
          </w:p>
        </w:tc>
      </w:tr>
      <w:tr w:rsidR="00A56EE9" w:rsidRPr="003D54F2" w14:paraId="5761D48B" w14:textId="77777777" w:rsidTr="00BB6AD5">
        <w:trPr>
          <w:jc w:val="center"/>
        </w:trPr>
        <w:tc>
          <w:tcPr>
            <w:tcW w:w="4339" w:type="dxa"/>
            <w:vAlign w:val="center"/>
          </w:tcPr>
          <w:p w14:paraId="5761D487" w14:textId="77777777" w:rsidR="00A56EE9" w:rsidRPr="003D54F2" w:rsidRDefault="00A56EE9" w:rsidP="00BB6AD5">
            <w:pPr>
              <w:keepNext/>
              <w:rPr>
                <w:b/>
              </w:rPr>
            </w:pPr>
            <w:r w:rsidRPr="003D54F2">
              <w:rPr>
                <w:b/>
              </w:rPr>
              <w:t>Context</w:t>
            </w:r>
          </w:p>
        </w:tc>
        <w:tc>
          <w:tcPr>
            <w:tcW w:w="1559" w:type="dxa"/>
            <w:shd w:val="clear" w:color="auto" w:fill="538135" w:themeFill="accent6" w:themeFillShade="BF"/>
            <w:vAlign w:val="center"/>
          </w:tcPr>
          <w:p w14:paraId="5761D488" w14:textId="77777777" w:rsidR="00A56EE9" w:rsidRPr="00E15040" w:rsidRDefault="00A56EE9" w:rsidP="00BB6AD5">
            <w:pPr>
              <w:keepNext/>
              <w:jc w:val="center"/>
              <w:rPr>
                <w:rFonts w:ascii="Cambria Math" w:hAnsi="Cambria Math"/>
                <w:b/>
                <w:sz w:val="24"/>
                <w:szCs w:val="24"/>
              </w:rPr>
            </w:pPr>
          </w:p>
        </w:tc>
        <w:tc>
          <w:tcPr>
            <w:tcW w:w="1559" w:type="dxa"/>
            <w:shd w:val="clear" w:color="auto" w:fill="538135" w:themeFill="accent6" w:themeFillShade="BF"/>
            <w:vAlign w:val="center"/>
          </w:tcPr>
          <w:p w14:paraId="5761D489"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c>
          <w:tcPr>
            <w:tcW w:w="1559" w:type="dxa"/>
            <w:shd w:val="clear" w:color="auto" w:fill="538135" w:themeFill="accent6" w:themeFillShade="BF"/>
            <w:vAlign w:val="center"/>
          </w:tcPr>
          <w:p w14:paraId="5761D48A"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490" w14:textId="77777777" w:rsidTr="00BB6AD5">
        <w:trPr>
          <w:jc w:val="center"/>
        </w:trPr>
        <w:tc>
          <w:tcPr>
            <w:tcW w:w="4339" w:type="dxa"/>
            <w:vAlign w:val="center"/>
          </w:tcPr>
          <w:p w14:paraId="5761D48C" w14:textId="77777777" w:rsidR="00A56EE9" w:rsidRPr="003D54F2" w:rsidRDefault="00A56EE9" w:rsidP="00BB6AD5">
            <w:pPr>
              <w:keepNext/>
              <w:rPr>
                <w:b/>
              </w:rPr>
            </w:pPr>
            <w:r w:rsidRPr="003D54F2">
              <w:rPr>
                <w:b/>
              </w:rPr>
              <w:t>Planning</w:t>
            </w:r>
          </w:p>
        </w:tc>
        <w:tc>
          <w:tcPr>
            <w:tcW w:w="1559" w:type="dxa"/>
            <w:shd w:val="clear" w:color="auto" w:fill="A8D08D" w:themeFill="accent6" w:themeFillTint="99"/>
            <w:vAlign w:val="center"/>
          </w:tcPr>
          <w:p w14:paraId="5761D48D" w14:textId="77777777" w:rsidR="00A56EE9" w:rsidRPr="00E15040" w:rsidRDefault="00A56EE9" w:rsidP="00BB6AD5">
            <w:pPr>
              <w:keepNext/>
              <w:jc w:val="center"/>
              <w:rPr>
                <w:rFonts w:ascii="Cambria Math" w:hAnsi="Cambria Math"/>
                <w:b/>
                <w:sz w:val="24"/>
                <w:szCs w:val="24"/>
              </w:rPr>
            </w:pPr>
          </w:p>
        </w:tc>
        <w:tc>
          <w:tcPr>
            <w:tcW w:w="1559" w:type="dxa"/>
            <w:shd w:val="clear" w:color="auto" w:fill="538135" w:themeFill="accent6" w:themeFillShade="BF"/>
            <w:vAlign w:val="center"/>
          </w:tcPr>
          <w:p w14:paraId="5761D48E"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rPr>
              <w:t>⬆</w:t>
            </w:r>
          </w:p>
        </w:tc>
        <w:tc>
          <w:tcPr>
            <w:tcW w:w="1559" w:type="dxa"/>
            <w:shd w:val="clear" w:color="auto" w:fill="538135" w:themeFill="accent6" w:themeFillShade="BF"/>
            <w:vAlign w:val="center"/>
          </w:tcPr>
          <w:p w14:paraId="5761D48F"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495" w14:textId="77777777" w:rsidTr="00BB6AD5">
        <w:trPr>
          <w:jc w:val="center"/>
        </w:trPr>
        <w:tc>
          <w:tcPr>
            <w:tcW w:w="4339" w:type="dxa"/>
            <w:vAlign w:val="center"/>
          </w:tcPr>
          <w:p w14:paraId="5761D491" w14:textId="77777777" w:rsidR="00A56EE9" w:rsidRPr="003D54F2" w:rsidRDefault="00A56EE9" w:rsidP="00BB6AD5">
            <w:pPr>
              <w:keepNext/>
              <w:rPr>
                <w:b/>
              </w:rPr>
            </w:pPr>
            <w:r w:rsidRPr="003D54F2">
              <w:rPr>
                <w:b/>
              </w:rPr>
              <w:t>Inputs</w:t>
            </w:r>
          </w:p>
        </w:tc>
        <w:tc>
          <w:tcPr>
            <w:tcW w:w="1559" w:type="dxa"/>
            <w:shd w:val="clear" w:color="auto" w:fill="A8D08D" w:themeFill="accent6" w:themeFillTint="99"/>
            <w:vAlign w:val="center"/>
          </w:tcPr>
          <w:p w14:paraId="5761D492" w14:textId="77777777" w:rsidR="00A56EE9" w:rsidRPr="00E15040" w:rsidRDefault="00A56EE9" w:rsidP="00BB6AD5">
            <w:pPr>
              <w:keepNext/>
              <w:jc w:val="center"/>
              <w:rPr>
                <w:rFonts w:ascii="Cambria Math" w:hAnsi="Cambria Math"/>
                <w:b/>
                <w:sz w:val="24"/>
                <w:szCs w:val="24"/>
              </w:rPr>
            </w:pPr>
          </w:p>
        </w:tc>
        <w:tc>
          <w:tcPr>
            <w:tcW w:w="1559" w:type="dxa"/>
            <w:shd w:val="clear" w:color="auto" w:fill="A8D08D" w:themeFill="accent6" w:themeFillTint="99"/>
            <w:vAlign w:val="center"/>
          </w:tcPr>
          <w:p w14:paraId="5761D493"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b/>
              </w:rPr>
              <w:t>↗</w:t>
            </w:r>
          </w:p>
        </w:tc>
        <w:tc>
          <w:tcPr>
            <w:tcW w:w="1559" w:type="dxa"/>
            <w:shd w:val="clear" w:color="auto" w:fill="538135" w:themeFill="accent6" w:themeFillShade="BF"/>
            <w:vAlign w:val="center"/>
          </w:tcPr>
          <w:p w14:paraId="5761D494"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rPr>
              <w:t>⬆</w:t>
            </w:r>
          </w:p>
        </w:tc>
      </w:tr>
      <w:tr w:rsidR="00A56EE9" w:rsidRPr="003D54F2" w14:paraId="5761D49A" w14:textId="77777777" w:rsidTr="00BB6AD5">
        <w:trPr>
          <w:jc w:val="center"/>
        </w:trPr>
        <w:tc>
          <w:tcPr>
            <w:tcW w:w="4339" w:type="dxa"/>
            <w:vAlign w:val="center"/>
          </w:tcPr>
          <w:p w14:paraId="5761D496" w14:textId="77777777" w:rsidR="00A56EE9" w:rsidRPr="003D54F2" w:rsidRDefault="00A56EE9" w:rsidP="00BB6AD5">
            <w:pPr>
              <w:keepNext/>
              <w:rPr>
                <w:b/>
              </w:rPr>
            </w:pPr>
            <w:r w:rsidRPr="003D54F2">
              <w:rPr>
                <w:b/>
              </w:rPr>
              <w:t>Processes</w:t>
            </w:r>
          </w:p>
        </w:tc>
        <w:tc>
          <w:tcPr>
            <w:tcW w:w="1559" w:type="dxa"/>
            <w:shd w:val="clear" w:color="auto" w:fill="FFC000" w:themeFill="accent4"/>
            <w:vAlign w:val="center"/>
          </w:tcPr>
          <w:p w14:paraId="5761D497" w14:textId="77777777" w:rsidR="00A56EE9" w:rsidRPr="00E15040" w:rsidRDefault="00A56EE9" w:rsidP="00BB6AD5">
            <w:pPr>
              <w:keepNext/>
              <w:jc w:val="center"/>
              <w:rPr>
                <w:rFonts w:ascii="Cambria Math" w:hAnsi="Cambria Math"/>
                <w:b/>
                <w:sz w:val="24"/>
                <w:szCs w:val="24"/>
              </w:rPr>
            </w:pPr>
          </w:p>
        </w:tc>
        <w:tc>
          <w:tcPr>
            <w:tcW w:w="1559" w:type="dxa"/>
            <w:shd w:val="clear" w:color="auto" w:fill="538135" w:themeFill="accent6" w:themeFillShade="BF"/>
            <w:vAlign w:val="center"/>
          </w:tcPr>
          <w:p w14:paraId="5761D498"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rPr>
              <w:t>⬆</w:t>
            </w:r>
          </w:p>
        </w:tc>
        <w:tc>
          <w:tcPr>
            <w:tcW w:w="1559" w:type="dxa"/>
            <w:shd w:val="clear" w:color="auto" w:fill="538135" w:themeFill="accent6" w:themeFillShade="BF"/>
            <w:vAlign w:val="center"/>
          </w:tcPr>
          <w:p w14:paraId="5761D499" w14:textId="77777777" w:rsidR="00A56EE9" w:rsidRPr="00E15040" w:rsidRDefault="00A56EE9" w:rsidP="00BB6AD5">
            <w:pPr>
              <w:keepNext/>
              <w:jc w:val="center"/>
              <w:rPr>
                <w:rFonts w:ascii="Cambria Math" w:hAnsi="Cambria Math"/>
                <w:b/>
                <w:sz w:val="24"/>
                <w:szCs w:val="24"/>
              </w:rPr>
            </w:pPr>
            <w:r>
              <w:rPr>
                <w:rFonts w:ascii="Cambria Math" w:hAnsi="Cambria Math" w:cs="Cambria Math"/>
                <w:b/>
              </w:rPr>
              <w:t>↔</w:t>
            </w:r>
          </w:p>
        </w:tc>
      </w:tr>
      <w:tr w:rsidR="00A56EE9" w:rsidRPr="003D54F2" w14:paraId="5761D49F" w14:textId="77777777" w:rsidTr="00BB6AD5">
        <w:trPr>
          <w:jc w:val="center"/>
        </w:trPr>
        <w:tc>
          <w:tcPr>
            <w:tcW w:w="4339" w:type="dxa"/>
            <w:vAlign w:val="center"/>
          </w:tcPr>
          <w:p w14:paraId="5761D49B" w14:textId="77777777" w:rsidR="00A56EE9" w:rsidRPr="003D54F2" w:rsidRDefault="00A56EE9" w:rsidP="00BB6AD5">
            <w:pPr>
              <w:keepNext/>
              <w:rPr>
                <w:b/>
              </w:rPr>
            </w:pPr>
            <w:r w:rsidRPr="003D54F2">
              <w:rPr>
                <w:b/>
              </w:rPr>
              <w:t>Outputs</w:t>
            </w:r>
          </w:p>
        </w:tc>
        <w:tc>
          <w:tcPr>
            <w:tcW w:w="1559" w:type="dxa"/>
            <w:shd w:val="clear" w:color="auto" w:fill="FFC000" w:themeFill="accent4"/>
            <w:vAlign w:val="center"/>
          </w:tcPr>
          <w:p w14:paraId="5761D49C" w14:textId="77777777" w:rsidR="00A56EE9" w:rsidRPr="00E15040" w:rsidRDefault="00A56EE9" w:rsidP="00BB6AD5">
            <w:pPr>
              <w:keepNext/>
              <w:jc w:val="center"/>
              <w:rPr>
                <w:rFonts w:ascii="Cambria Math" w:hAnsi="Cambria Math"/>
                <w:b/>
                <w:sz w:val="24"/>
                <w:szCs w:val="24"/>
              </w:rPr>
            </w:pPr>
          </w:p>
        </w:tc>
        <w:tc>
          <w:tcPr>
            <w:tcW w:w="1559" w:type="dxa"/>
            <w:shd w:val="clear" w:color="auto" w:fill="A8D08D" w:themeFill="accent6" w:themeFillTint="99"/>
            <w:vAlign w:val="center"/>
          </w:tcPr>
          <w:p w14:paraId="5761D49D"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rPr>
              <w:t>⬆</w:t>
            </w:r>
          </w:p>
        </w:tc>
        <w:tc>
          <w:tcPr>
            <w:tcW w:w="1559" w:type="dxa"/>
            <w:shd w:val="clear" w:color="auto" w:fill="538135" w:themeFill="accent6" w:themeFillShade="BF"/>
            <w:vAlign w:val="center"/>
          </w:tcPr>
          <w:p w14:paraId="5761D49E" w14:textId="77777777" w:rsidR="00A56EE9" w:rsidRPr="00E15040" w:rsidRDefault="00A56EE9" w:rsidP="00BB6AD5">
            <w:pPr>
              <w:keepNext/>
              <w:jc w:val="center"/>
              <w:rPr>
                <w:rFonts w:ascii="Cambria Math" w:hAnsi="Cambria Math"/>
                <w:b/>
                <w:sz w:val="24"/>
                <w:szCs w:val="24"/>
              </w:rPr>
            </w:pPr>
            <w:r w:rsidRPr="004F2ABF">
              <w:rPr>
                <w:rFonts w:ascii="Cambria Math" w:hAnsi="Cambria Math" w:cs="Cambria Math"/>
              </w:rPr>
              <w:t>⬆</w:t>
            </w:r>
          </w:p>
        </w:tc>
      </w:tr>
      <w:tr w:rsidR="00A56EE9" w:rsidRPr="003D54F2" w14:paraId="5761D4A4" w14:textId="77777777" w:rsidTr="00BB6AD5">
        <w:trPr>
          <w:jc w:val="center"/>
        </w:trPr>
        <w:tc>
          <w:tcPr>
            <w:tcW w:w="4339" w:type="dxa"/>
            <w:vAlign w:val="center"/>
          </w:tcPr>
          <w:p w14:paraId="5761D4A0" w14:textId="77777777" w:rsidR="00A56EE9" w:rsidRPr="003D54F2" w:rsidRDefault="00A56EE9" w:rsidP="00BB6AD5">
            <w:pPr>
              <w:spacing w:line="240" w:lineRule="exact"/>
              <w:rPr>
                <w:b/>
              </w:rPr>
            </w:pPr>
            <w:r w:rsidRPr="003D54F2">
              <w:rPr>
                <w:b/>
              </w:rPr>
              <w:t>Outcomes</w:t>
            </w:r>
          </w:p>
        </w:tc>
        <w:tc>
          <w:tcPr>
            <w:tcW w:w="1559" w:type="dxa"/>
            <w:shd w:val="clear" w:color="auto" w:fill="FFC000" w:themeFill="accent4"/>
            <w:vAlign w:val="center"/>
          </w:tcPr>
          <w:p w14:paraId="5761D4A1" w14:textId="77777777" w:rsidR="00A56EE9" w:rsidRPr="00E15040" w:rsidRDefault="00A56EE9" w:rsidP="00BB6AD5">
            <w:pPr>
              <w:spacing w:line="240" w:lineRule="exact"/>
              <w:jc w:val="center"/>
              <w:rPr>
                <w:rFonts w:ascii="Cambria Math" w:hAnsi="Cambria Math"/>
                <w:b/>
                <w:sz w:val="24"/>
                <w:szCs w:val="24"/>
              </w:rPr>
            </w:pPr>
          </w:p>
        </w:tc>
        <w:tc>
          <w:tcPr>
            <w:tcW w:w="1559" w:type="dxa"/>
            <w:shd w:val="clear" w:color="auto" w:fill="FFC000" w:themeFill="accent4"/>
            <w:vAlign w:val="center"/>
          </w:tcPr>
          <w:p w14:paraId="5761D4A2"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c>
          <w:tcPr>
            <w:tcW w:w="1559" w:type="dxa"/>
            <w:shd w:val="clear" w:color="auto" w:fill="FFC000" w:themeFill="accent4"/>
            <w:vAlign w:val="center"/>
          </w:tcPr>
          <w:p w14:paraId="5761D4A3"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bl>
    <w:p w14:paraId="5761D4A5" w14:textId="77777777" w:rsidR="00A56EE9" w:rsidRDefault="00A56EE9" w:rsidP="00BB6AD5">
      <w:pPr>
        <w:spacing w:line="240" w:lineRule="auto"/>
        <w:ind w:firstLine="2268"/>
        <w:contextualSpacing/>
        <w:rPr>
          <w:sz w:val="16"/>
          <w:szCs w:val="16"/>
        </w:rPr>
      </w:pPr>
      <w:r>
        <w:rPr>
          <w:sz w:val="16"/>
          <w:szCs w:val="16"/>
        </w:rPr>
        <w:t xml:space="preserve">Management effective assessment is colour coded: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446"/>
        <w:gridCol w:w="250"/>
        <w:gridCol w:w="1927"/>
        <w:gridCol w:w="294"/>
        <w:gridCol w:w="2017"/>
        <w:gridCol w:w="294"/>
        <w:gridCol w:w="1286"/>
        <w:gridCol w:w="294"/>
      </w:tblGrid>
      <w:tr w:rsidR="00A56EE9" w14:paraId="5761D4AF" w14:textId="77777777" w:rsidTr="00BB6AD5">
        <w:trPr>
          <w:tblHeader/>
        </w:trPr>
        <w:tc>
          <w:tcPr>
            <w:tcW w:w="1084" w:type="dxa"/>
          </w:tcPr>
          <w:p w14:paraId="5761D4A6" w14:textId="77777777" w:rsidR="00A56EE9" w:rsidRDefault="00A56EE9" w:rsidP="00BB6AD5">
            <w:pPr>
              <w:ind w:right="-158"/>
              <w:contextualSpacing/>
              <w:rPr>
                <w:sz w:val="16"/>
                <w:szCs w:val="16"/>
              </w:rPr>
            </w:pPr>
            <w:r>
              <w:rPr>
                <w:sz w:val="16"/>
                <w:szCs w:val="16"/>
              </w:rPr>
              <w:t>Effective (E)</w:t>
            </w:r>
          </w:p>
        </w:tc>
        <w:tc>
          <w:tcPr>
            <w:tcW w:w="446" w:type="dxa"/>
          </w:tcPr>
          <w:p w14:paraId="5761D4A7"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70528" behindDoc="1" locked="0" layoutInCell="1" allowOverlap="1" wp14:anchorId="57620CA6" wp14:editId="57620CA7">
                      <wp:simplePos x="0" y="0"/>
                      <wp:positionH relativeFrom="column">
                        <wp:posOffset>-50800</wp:posOffset>
                      </wp:positionH>
                      <wp:positionV relativeFrom="paragraph">
                        <wp:posOffset>26670</wp:posOffset>
                      </wp:positionV>
                      <wp:extent cx="95250" cy="104775"/>
                      <wp:effectExtent l="0" t="0" r="19050" b="28575"/>
                      <wp:wrapSquare wrapText="bothSides"/>
                      <wp:docPr id="61" name="Rectangle 61"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2A"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A6" id="Rectangle 61" o:spid="_x0000_s1075" alt="Title: Rectangle - Description: Rectangle coloured dark green" style="position:absolute;margin-left:-4pt;margin-top:2.1pt;width:7.5pt;height:8.2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" fillcolor="#060" strokecolor="black [3213]" strokeweight="1pt">
                      <v:textbox>
                        <w:txbxContent>
                          <w:p w14:paraId="57620D2A" w14:textId="77777777" w:rsidR="008B5998" w:rsidRDefault="008B5998" w:rsidP="00BB6AD5">
                            <w:pPr>
                              <w:shd w:val="clear" w:color="auto" w:fill="006600"/>
                              <w:jc w:val="center"/>
                            </w:pPr>
                          </w:p>
                        </w:txbxContent>
                      </v:textbox>
                      <w10:wrap type="square"/>
                    </v:rect>
                  </w:pict>
                </mc:Fallback>
              </mc:AlternateContent>
            </w:r>
          </w:p>
        </w:tc>
        <w:tc>
          <w:tcPr>
            <w:tcW w:w="250" w:type="dxa"/>
          </w:tcPr>
          <w:p w14:paraId="5761D4A8" w14:textId="77777777" w:rsidR="00A56EE9" w:rsidRDefault="00A56EE9" w:rsidP="00BB6AD5">
            <w:pPr>
              <w:contextualSpacing/>
              <w:rPr>
                <w:sz w:val="16"/>
                <w:szCs w:val="16"/>
              </w:rPr>
            </w:pPr>
          </w:p>
        </w:tc>
        <w:tc>
          <w:tcPr>
            <w:tcW w:w="1927" w:type="dxa"/>
          </w:tcPr>
          <w:p w14:paraId="5761D4A9" w14:textId="77777777" w:rsidR="00A56EE9" w:rsidRDefault="00A56EE9" w:rsidP="00BB6AD5">
            <w:pPr>
              <w:contextualSpacing/>
              <w:rPr>
                <w:sz w:val="16"/>
                <w:szCs w:val="16"/>
              </w:rPr>
            </w:pPr>
            <w:r>
              <w:rPr>
                <w:sz w:val="16"/>
                <w:szCs w:val="16"/>
              </w:rPr>
              <w:t>Mostly effective (ME)</w:t>
            </w:r>
          </w:p>
        </w:tc>
        <w:tc>
          <w:tcPr>
            <w:tcW w:w="294" w:type="dxa"/>
          </w:tcPr>
          <w:p w14:paraId="5761D4AA"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67456" behindDoc="0" locked="0" layoutInCell="1" allowOverlap="1" wp14:anchorId="57620CA8" wp14:editId="57620CA9">
                      <wp:simplePos x="0" y="0"/>
                      <wp:positionH relativeFrom="column">
                        <wp:posOffset>-41275</wp:posOffset>
                      </wp:positionH>
                      <wp:positionV relativeFrom="paragraph">
                        <wp:posOffset>22860</wp:posOffset>
                      </wp:positionV>
                      <wp:extent cx="95250" cy="104775"/>
                      <wp:effectExtent l="0" t="0" r="19050" b="28575"/>
                      <wp:wrapNone/>
                      <wp:docPr id="62" name="Rectangle 62"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2B"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A8" id="Rectangle 62" o:spid="_x0000_s1076" alt="Title: Rectangle - Description: Rectangle coloured light green" style="position:absolute;margin-left:-3.25pt;margin-top:1.8pt;width:7.5pt;height:8.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" fillcolor="#92d050" strokecolor="black [3213]" strokeweight="1pt">
                      <v:textbox>
                        <w:txbxContent>
                          <w:p w14:paraId="57620D2B" w14:textId="77777777" w:rsidR="008B5998" w:rsidRDefault="008B5998" w:rsidP="00BB6AD5">
                            <w:pPr>
                              <w:jc w:val="center"/>
                            </w:pPr>
                          </w:p>
                        </w:txbxContent>
                      </v:textbox>
                    </v:rect>
                  </w:pict>
                </mc:Fallback>
              </mc:AlternateContent>
            </w:r>
            <w:r>
              <w:rPr>
                <w:sz w:val="16"/>
                <w:szCs w:val="16"/>
              </w:rPr>
              <w:t>;</w:t>
            </w:r>
          </w:p>
        </w:tc>
        <w:tc>
          <w:tcPr>
            <w:tcW w:w="2017" w:type="dxa"/>
          </w:tcPr>
          <w:p w14:paraId="5761D4AB" w14:textId="77777777" w:rsidR="00A56EE9" w:rsidRDefault="00A56EE9" w:rsidP="00BB6AD5">
            <w:pPr>
              <w:contextualSpacing/>
              <w:rPr>
                <w:sz w:val="16"/>
                <w:szCs w:val="16"/>
              </w:rPr>
            </w:pPr>
            <w:r>
              <w:rPr>
                <w:sz w:val="16"/>
                <w:szCs w:val="16"/>
              </w:rPr>
              <w:t>Partially effective (PE)</w:t>
            </w:r>
          </w:p>
        </w:tc>
        <w:tc>
          <w:tcPr>
            <w:tcW w:w="294" w:type="dxa"/>
          </w:tcPr>
          <w:p w14:paraId="5761D4AC"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68480" behindDoc="0" locked="0" layoutInCell="1" allowOverlap="1" wp14:anchorId="57620CAA" wp14:editId="57620CAB">
                      <wp:simplePos x="0" y="0"/>
                      <wp:positionH relativeFrom="column">
                        <wp:posOffset>-65405</wp:posOffset>
                      </wp:positionH>
                      <wp:positionV relativeFrom="paragraph">
                        <wp:posOffset>19685</wp:posOffset>
                      </wp:positionV>
                      <wp:extent cx="95250" cy="104775"/>
                      <wp:effectExtent l="0" t="0" r="19050" b="28575"/>
                      <wp:wrapNone/>
                      <wp:docPr id="63" name="Rectangle 63"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2C"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AA" id="Rectangle 63" o:spid="_x0000_s1077" alt="Title: Rectangle - Description: Rectangle coloured orange" style="position:absolute;margin-left:-5.15pt;margin-top:1.55pt;width:7.5pt;height:8.2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" fillcolor="#ffc000" strokecolor="black [3213]" strokeweight="1pt">
                      <v:textbox>
                        <w:txbxContent>
                          <w:p w14:paraId="57620D2C" w14:textId="77777777" w:rsidR="008B5998" w:rsidRDefault="008B5998" w:rsidP="00BB6AD5">
                            <w:pPr>
                              <w:jc w:val="center"/>
                            </w:pPr>
                          </w:p>
                        </w:txbxContent>
                      </v:textbox>
                    </v:rect>
                  </w:pict>
                </mc:Fallback>
              </mc:AlternateContent>
            </w:r>
            <w:r>
              <w:rPr>
                <w:sz w:val="16"/>
                <w:szCs w:val="16"/>
              </w:rPr>
              <w:t>;</w:t>
            </w:r>
          </w:p>
        </w:tc>
        <w:tc>
          <w:tcPr>
            <w:tcW w:w="1286" w:type="dxa"/>
          </w:tcPr>
          <w:p w14:paraId="5761D4AD" w14:textId="77777777" w:rsidR="00A56EE9" w:rsidRDefault="00A56EE9" w:rsidP="00BB6AD5">
            <w:pPr>
              <w:contextualSpacing/>
              <w:rPr>
                <w:sz w:val="16"/>
                <w:szCs w:val="16"/>
              </w:rPr>
            </w:pPr>
            <w:r>
              <w:rPr>
                <w:sz w:val="16"/>
                <w:szCs w:val="16"/>
              </w:rPr>
              <w:t>Ineffective (I)</w:t>
            </w:r>
          </w:p>
        </w:tc>
        <w:tc>
          <w:tcPr>
            <w:tcW w:w="294" w:type="dxa"/>
          </w:tcPr>
          <w:p w14:paraId="5761D4AE"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69504" behindDoc="0" locked="0" layoutInCell="1" allowOverlap="1" wp14:anchorId="57620CAC" wp14:editId="57620CAD">
                      <wp:simplePos x="0" y="0"/>
                      <wp:positionH relativeFrom="column">
                        <wp:posOffset>-50165</wp:posOffset>
                      </wp:positionH>
                      <wp:positionV relativeFrom="paragraph">
                        <wp:posOffset>24130</wp:posOffset>
                      </wp:positionV>
                      <wp:extent cx="95250" cy="104775"/>
                      <wp:effectExtent l="0" t="0" r="19050" b="28575"/>
                      <wp:wrapNone/>
                      <wp:docPr id="256" name="Rectangle 256"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2D"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AC" id="Rectangle 256" o:spid="_x0000_s1078" alt="Title: Rectangle - Description: Rectangle coloured red" style="position:absolute;margin-left:-3.95pt;margin-top:1.9pt;width:7.5pt;height:8.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" fillcolor="red" strokecolor="black [3213]" strokeweight="1pt">
                      <v:textbox>
                        <w:txbxContent>
                          <w:p w14:paraId="57620D2D" w14:textId="77777777" w:rsidR="008B5998" w:rsidRDefault="008B5998" w:rsidP="00BB6AD5">
                            <w:pPr>
                              <w:jc w:val="center"/>
                            </w:pPr>
                          </w:p>
                        </w:txbxContent>
                      </v:textbox>
                    </v:rect>
                  </w:pict>
                </mc:Fallback>
              </mc:AlternateContent>
            </w:r>
            <w:r>
              <w:rPr>
                <w:sz w:val="16"/>
                <w:szCs w:val="16"/>
              </w:rPr>
              <w:t>;</w:t>
            </w:r>
          </w:p>
        </w:tc>
      </w:tr>
    </w:tbl>
    <w:p w14:paraId="5761D4B0" w14:textId="77777777" w:rsidR="00A56EE9" w:rsidRPr="004F2ABF" w:rsidRDefault="00A56EE9" w:rsidP="00BB6AD5">
      <w:pPr>
        <w:spacing w:after="0" w:line="240" w:lineRule="auto"/>
        <w:ind w:left="1704"/>
        <w:contextualSpacing/>
      </w:pPr>
      <w:r w:rsidRPr="004F2ABF">
        <w:rPr>
          <w:rFonts w:ascii="Cambria Math" w:hAnsi="Cambria Math" w:cs="Cambria Math"/>
        </w:rPr>
        <w:t xml:space="preserve"> ⬆</w:t>
      </w:r>
      <w: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w:t>
      </w:r>
      <w:r w:rsidRPr="006C34EB">
        <w:rPr>
          <w:sz w:val="16"/>
          <w:szCs w:val="16"/>
        </w:rPr>
        <w:t xml:space="preserve"> has been an upwards change in grade</w:t>
      </w:r>
    </w:p>
    <w:p w14:paraId="5761D4B1" w14:textId="77777777" w:rsidR="00A56EE9" w:rsidRPr="004F2ABF" w:rsidRDefault="00A56EE9" w:rsidP="00BB6AD5">
      <w:pPr>
        <w:spacing w:after="0" w:line="240" w:lineRule="auto"/>
        <w:ind w:left="1704"/>
        <w:contextualSpacing/>
        <w:rPr>
          <w:b/>
        </w:rPr>
      </w:pPr>
      <w:r w:rsidRPr="004F2ABF">
        <w:rPr>
          <w:rFonts w:ascii="Cambria Math" w:hAnsi="Cambria Math" w:cs="Cambria Math"/>
          <w:b/>
        </w:rPr>
        <w:t>↗</w:t>
      </w:r>
      <w:r w:rsidRPr="004F2ABF">
        <w:rPr>
          <w:b/>
        </w:rP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w:t>
      </w:r>
      <w:r w:rsidRPr="006C34EB">
        <w:rPr>
          <w:sz w:val="16"/>
          <w:szCs w:val="16"/>
        </w:rPr>
        <w:t xml:space="preserve"> is increasing but has not caused an upwards grade change</w:t>
      </w:r>
    </w:p>
    <w:p w14:paraId="5761D4B2" w14:textId="77777777" w:rsidR="00A56EE9" w:rsidRPr="004F2ABF" w:rsidRDefault="00A56EE9" w:rsidP="00BB6AD5">
      <w:pPr>
        <w:spacing w:after="0" w:line="240" w:lineRule="auto"/>
        <w:ind w:left="1704"/>
        <w:contextualSpacing/>
      </w:pPr>
      <w:r>
        <w:rPr>
          <w:rFonts w:ascii="Cambria Math" w:hAnsi="Cambria Math" w:cs="Cambria Math"/>
          <w:b/>
        </w:rPr>
        <w:t>↔</w:t>
      </w:r>
      <w:r w:rsidRPr="004F2ABF">
        <w:t xml:space="preserve"> </w:t>
      </w:r>
      <w:r w:rsidRPr="006C34EB">
        <w:rPr>
          <w:sz w:val="16"/>
          <w:szCs w:val="16"/>
        </w:rPr>
        <w:t xml:space="preserve">Grade has remained stable compared to </w:t>
      </w:r>
      <w:r>
        <w:rPr>
          <w:sz w:val="16"/>
          <w:szCs w:val="16"/>
        </w:rPr>
        <w:t xml:space="preserve">2009, </w:t>
      </w:r>
      <w:r w:rsidRPr="006C34EB">
        <w:rPr>
          <w:sz w:val="16"/>
          <w:szCs w:val="16"/>
        </w:rPr>
        <w:t>20</w:t>
      </w:r>
      <w:r>
        <w:rPr>
          <w:sz w:val="16"/>
          <w:szCs w:val="16"/>
        </w:rPr>
        <w:t>14</w:t>
      </w:r>
      <w:r w:rsidRPr="006C34EB">
        <w:rPr>
          <w:sz w:val="16"/>
          <w:szCs w:val="16"/>
        </w:rPr>
        <w:t xml:space="preserve"> with no major trends</w:t>
      </w:r>
      <w:r w:rsidRPr="004F2ABF">
        <w:t xml:space="preserve"> </w:t>
      </w:r>
    </w:p>
    <w:p w14:paraId="5761D4B3" w14:textId="77777777" w:rsidR="00A56EE9" w:rsidRDefault="00A56EE9"/>
    <w:p w14:paraId="5761D4B4" w14:textId="77777777" w:rsidR="00A56EE9" w:rsidRDefault="00A56EE9" w:rsidP="00A11869">
      <w:pPr>
        <w:pStyle w:val="Heading1"/>
        <w:numPr>
          <w:ilvl w:val="0"/>
          <w:numId w:val="17"/>
        </w:numPr>
        <w:tabs>
          <w:tab w:val="clear" w:pos="360"/>
        </w:tabs>
      </w:pPr>
      <w:bookmarkStart w:id="109" w:name="_Toc523423791"/>
      <w:r>
        <w:t>Assessment of managing to protect the Region’s values</w:t>
      </w:r>
      <w:bookmarkEnd w:id="109"/>
    </w:p>
    <w:p w14:paraId="5761D4B5" w14:textId="77777777" w:rsidR="00A56EE9" w:rsidRDefault="00A56EE9" w:rsidP="00A11869">
      <w:pPr>
        <w:pStyle w:val="Heading2"/>
        <w:numPr>
          <w:ilvl w:val="1"/>
          <w:numId w:val="17"/>
        </w:numPr>
        <w:ind w:left="357" w:hanging="357"/>
      </w:pPr>
      <w:bookmarkStart w:id="110" w:name="_Toc523423792"/>
      <w:r>
        <w:t>Biodiversity values</w:t>
      </w:r>
      <w:bookmarkEnd w:id="110"/>
    </w:p>
    <w:p w14:paraId="5761D4B6" w14:textId="7C58F950" w:rsidR="00A56EE9" w:rsidRDefault="00A56EE9" w:rsidP="00E3690C">
      <w:pPr>
        <w:spacing w:line="276" w:lineRule="auto"/>
      </w:pPr>
      <w:bookmarkStart w:id="111" w:name="_Ref259285400"/>
      <w:bookmarkStart w:id="112" w:name="_Toc373830122"/>
      <w:bookmarkStart w:id="113" w:name="_Toc389205090"/>
      <w:r w:rsidRPr="0087147B">
        <w:t xml:space="preserve">Protection of biodiversity on the Great Barrier Reef is the primary objective for much of the management action undertaken within the </w:t>
      </w:r>
      <w:r>
        <w:t>Region</w:t>
      </w:r>
      <w:r w:rsidRPr="0087147B">
        <w:t xml:space="preserve">. The Outlook process, UNESCO World Heritage Monitoring driven by the possibility of placing the World Heritage Area on the </w:t>
      </w:r>
      <w:r>
        <w:t>List of World Heritage in Danger</w:t>
      </w:r>
      <w:r w:rsidRPr="0087147B">
        <w:t xml:space="preserve"> and the </w:t>
      </w:r>
      <w:r>
        <w:t xml:space="preserve">Great Barrier Reef </w:t>
      </w:r>
      <w:r w:rsidRPr="0087147B">
        <w:t xml:space="preserve">Strategic Assessment have focussed attention on the biodiversity values and threats </w:t>
      </w:r>
      <w:r w:rsidR="00470332">
        <w:t>o</w:t>
      </w:r>
      <w:r w:rsidRPr="0087147B">
        <w:t>n the Great Barrier Reef. This increased attention resulted in studies undertaken in collaboration with research and academic institutions</w:t>
      </w:r>
      <w:r>
        <w:t>, which</w:t>
      </w:r>
      <w:r w:rsidRPr="0087147B">
        <w:t xml:space="preserve"> have increased documentation and understanding of </w:t>
      </w:r>
      <w:r>
        <w:t>the state of biodiversity in the Region</w:t>
      </w:r>
      <w:r w:rsidRPr="0087147B">
        <w:t xml:space="preserve">. </w:t>
      </w:r>
    </w:p>
    <w:p w14:paraId="5761D4B7" w14:textId="5F64894A" w:rsidR="00A56EE9" w:rsidRPr="0087147B" w:rsidRDefault="00A56EE9" w:rsidP="00E3690C">
      <w:pPr>
        <w:spacing w:line="276" w:lineRule="auto"/>
      </w:pPr>
      <w:r w:rsidRPr="0087147B">
        <w:t xml:space="preserve">Back-to-back bleaching events in 2016 and 2017 have dramatically changed the situation in relation to management of biodiversity in </w:t>
      </w:r>
      <w:r w:rsidR="00970E4B">
        <w:t xml:space="preserve">the </w:t>
      </w:r>
      <w:r>
        <w:t>Region</w:t>
      </w:r>
      <w:r w:rsidRPr="0087147B">
        <w:t xml:space="preserve">. Monitoring and assessment work undertaken in 2017 provided some information on the extent of bleaching and </w:t>
      </w:r>
      <w:r>
        <w:t xml:space="preserve">mortality </w:t>
      </w:r>
      <w:r w:rsidRPr="0087147B">
        <w:t>estimates</w:t>
      </w:r>
      <w:r>
        <w:t xml:space="preserve">, </w:t>
      </w:r>
      <w:r w:rsidRPr="0087147B">
        <w:t xml:space="preserve">but the flow-on impacts on other elements of biodiversity are less understood. </w:t>
      </w:r>
      <w:r>
        <w:t xml:space="preserve">The combined impact of coral bleaching, the ten severe cyclones that have crossed the Region since 2005 and the impacts of crown-of-thorns starfish outbreaks </w:t>
      </w:r>
      <w:r w:rsidR="00470332">
        <w:t>are</w:t>
      </w:r>
      <w:r>
        <w:t xml:space="preserve"> also not well understood</w:t>
      </w:r>
      <w:r w:rsidR="001068CD">
        <w:t>.</w:t>
      </w:r>
    </w:p>
    <w:p w14:paraId="5761D4B8" w14:textId="77777777" w:rsidR="00A56EE9" w:rsidRPr="0087147B" w:rsidRDefault="00A56EE9" w:rsidP="00E3690C">
      <w:pPr>
        <w:spacing w:line="276" w:lineRule="auto"/>
      </w:pPr>
      <w:r w:rsidRPr="0087147B">
        <w:t>Rating of effectiveness for f</w:t>
      </w:r>
      <w:r>
        <w:t>our</w:t>
      </w:r>
      <w:r w:rsidRPr="0087147B">
        <w:t xml:space="preserve"> of the six assessment elements (Table 16) remained the same as in the</w:t>
      </w:r>
      <w:r>
        <w:t xml:space="preserve"> </w:t>
      </w:r>
      <w:r w:rsidRPr="0087147B">
        <w:t>Outlook Report</w:t>
      </w:r>
      <w:r>
        <w:t xml:space="preserve"> 2014. While the grades remained the same, t</w:t>
      </w:r>
      <w:r w:rsidRPr="0087147B">
        <w:t xml:space="preserve">he underlying scores declined </w:t>
      </w:r>
      <w:r>
        <w:t>for each element,</w:t>
      </w:r>
      <w:r w:rsidRPr="0087147B">
        <w:t xml:space="preserve"> except for Inputs which showed a small increase. The rating of</w:t>
      </w:r>
      <w:r>
        <w:t xml:space="preserve"> Outcomes dropped one grade to </w:t>
      </w:r>
      <w:r w:rsidRPr="00D07110">
        <w:rPr>
          <w:i/>
        </w:rPr>
        <w:t>partially effective</w:t>
      </w:r>
      <w:r w:rsidRPr="0087147B">
        <w:t xml:space="preserve"> although consideration of environmental outcomes alone </w:t>
      </w:r>
      <w:r>
        <w:t xml:space="preserve">(indicators OC3, OC4 and OC5) is rated as </w:t>
      </w:r>
      <w:r w:rsidRPr="00D07110">
        <w:rPr>
          <w:i/>
        </w:rPr>
        <w:t>ineffective</w:t>
      </w:r>
      <w:r w:rsidRPr="0087147B">
        <w:t>.</w:t>
      </w:r>
    </w:p>
    <w:p w14:paraId="5761D4B9" w14:textId="77777777" w:rsidR="00A56EE9" w:rsidRDefault="00A56EE9" w:rsidP="00E3690C">
      <w:pPr>
        <w:spacing w:line="276" w:lineRule="auto"/>
      </w:pPr>
      <w:r w:rsidRPr="0087147B">
        <w:t>Key stakeholders in biodiversity protection have been identified and are generally well known to managers especially through Reef Advisory Committees, Local Marine Advisory Committees and other consultative mechanisms.</w:t>
      </w:r>
    </w:p>
    <w:p w14:paraId="5761D4BA" w14:textId="7A902BC7" w:rsidR="00A56EE9" w:rsidRPr="0087147B" w:rsidRDefault="00A56EE9" w:rsidP="00E3690C">
      <w:pPr>
        <w:spacing w:line="276" w:lineRule="auto"/>
      </w:pPr>
      <w:r w:rsidRPr="0087147B">
        <w:t>Management</w:t>
      </w:r>
      <w:r>
        <w:t xml:space="preserve"> of biodiversity</w:t>
      </w:r>
      <w:r w:rsidRPr="0087147B">
        <w:t xml:space="preserve"> is undertaken using an array of measures, principally </w:t>
      </w:r>
      <w:r>
        <w:t>the Z</w:t>
      </w:r>
      <w:r w:rsidRPr="0087147B">
        <w:t xml:space="preserve">oning </w:t>
      </w:r>
      <w:r>
        <w:t>P</w:t>
      </w:r>
      <w:r w:rsidRPr="0087147B">
        <w:t>lan</w:t>
      </w:r>
      <w:r w:rsidR="00470332">
        <w:t>s</w:t>
      </w:r>
      <w:r w:rsidRPr="0087147B">
        <w:t>, but also incorporat</w:t>
      </w:r>
      <w:r>
        <w:t>es</w:t>
      </w:r>
      <w:r w:rsidRPr="0087147B">
        <w:t xml:space="preserve"> a comprehensive compliance program, management plans, permit assessments, site management, education and best practices. A potentially complex and confusing management regime has long been addressed through inter-governmental coordination, for example, </w:t>
      </w:r>
      <w:r>
        <w:t xml:space="preserve">through </w:t>
      </w:r>
      <w:r w:rsidRPr="0087147B">
        <w:t xml:space="preserve">complementary </w:t>
      </w:r>
      <w:r>
        <w:t>z</w:t>
      </w:r>
      <w:r w:rsidRPr="0087147B">
        <w:t xml:space="preserve">oning </w:t>
      </w:r>
      <w:r>
        <w:t>p</w:t>
      </w:r>
      <w:r w:rsidRPr="0087147B">
        <w:t>lans</w:t>
      </w:r>
      <w:r>
        <w:t xml:space="preserve"> that effectively reduce complexity from the perspective of Reef users</w:t>
      </w:r>
      <w:r w:rsidRPr="0087147B">
        <w:t xml:space="preserve">. </w:t>
      </w:r>
    </w:p>
    <w:p w14:paraId="5761D4BB" w14:textId="77777777" w:rsidR="00A56EE9" w:rsidRPr="0087147B" w:rsidRDefault="00A56EE9" w:rsidP="00E3690C">
      <w:pPr>
        <w:spacing w:line="276" w:lineRule="auto"/>
      </w:pPr>
      <w:r w:rsidRPr="0087147B">
        <w:t xml:space="preserve">The extensive degradation across the </w:t>
      </w:r>
      <w:r>
        <w:t>Region</w:t>
      </w:r>
      <w:r w:rsidRPr="0087147B">
        <w:t xml:space="preserve"> highlights the importance of considering cumulative and consequential impacts which are currently less well understood by managers. Work on development of an integrated monitoring framework (RIMR</w:t>
      </w:r>
      <w:r>
        <w:t>e</w:t>
      </w:r>
      <w:r w:rsidRPr="0087147B">
        <w:t>P) and cumulative impact</w:t>
      </w:r>
      <w:r>
        <w:t xml:space="preserve"> management policy (approved in July 2018)</w:t>
      </w:r>
      <w:r w:rsidRPr="0087147B">
        <w:t xml:space="preserve"> have been very slow over the past two years but offer the promise of addressing this deficiency</w:t>
      </w:r>
      <w:r>
        <w:t xml:space="preserve"> once implemented</w:t>
      </w:r>
      <w:r w:rsidRPr="0087147B">
        <w:t xml:space="preserve"> </w:t>
      </w:r>
      <w:r>
        <w:t>(Gooch et al. 2017; Collier et al.</w:t>
      </w:r>
      <w:r w:rsidRPr="0087147B">
        <w:t xml:space="preserve"> 2016). </w:t>
      </w:r>
    </w:p>
    <w:p w14:paraId="5761D4BC" w14:textId="77777777" w:rsidR="00A56EE9" w:rsidRDefault="00A56EE9" w:rsidP="00E3690C">
      <w:pPr>
        <w:spacing w:line="276" w:lineRule="auto"/>
      </w:pPr>
      <w:r>
        <w:t xml:space="preserve">A range of plans including </w:t>
      </w:r>
      <w:r w:rsidRPr="0087147B">
        <w:t xml:space="preserve">Threat </w:t>
      </w:r>
      <w:r>
        <w:t>A</w:t>
      </w:r>
      <w:r w:rsidRPr="0087147B">
        <w:t xml:space="preserve">batement </w:t>
      </w:r>
      <w:r>
        <w:t>P</w:t>
      </w:r>
      <w:r w:rsidRPr="0087147B">
        <w:t xml:space="preserve">lans, </w:t>
      </w:r>
      <w:r>
        <w:t>Annual Operational and Field Management Program plans</w:t>
      </w:r>
      <w:r w:rsidRPr="0087147B">
        <w:t xml:space="preserve"> </w:t>
      </w:r>
      <w:r>
        <w:t xml:space="preserve">as well as </w:t>
      </w:r>
      <w:r w:rsidRPr="0087147B">
        <w:t xml:space="preserve">specific </w:t>
      </w:r>
      <w:r>
        <w:t xml:space="preserve">on-ground </w:t>
      </w:r>
      <w:r w:rsidRPr="0087147B">
        <w:t xml:space="preserve">actions (for example </w:t>
      </w:r>
      <w:r>
        <w:t>r</w:t>
      </w:r>
      <w:r w:rsidRPr="0087147B">
        <w:t xml:space="preserve">eef </w:t>
      </w:r>
      <w:r>
        <w:t>p</w:t>
      </w:r>
      <w:r w:rsidRPr="0087147B">
        <w:t xml:space="preserve">rotection </w:t>
      </w:r>
      <w:r>
        <w:t>m</w:t>
      </w:r>
      <w:r w:rsidRPr="0087147B">
        <w:t xml:space="preserve">arkers, public moorings, </w:t>
      </w:r>
      <w:r>
        <w:t>crown-of-thorns starfish</w:t>
      </w:r>
      <w:r w:rsidRPr="0087147B">
        <w:t xml:space="preserve"> control</w:t>
      </w:r>
      <w:r>
        <w:t xml:space="preserve"> and</w:t>
      </w:r>
      <w:r w:rsidRPr="0087147B">
        <w:t xml:space="preserve"> Special Management Areas) are in place to </w:t>
      </w:r>
      <w:r>
        <w:t xml:space="preserve">protect habitats and species and support </w:t>
      </w:r>
      <w:r w:rsidRPr="0087147B">
        <w:t xml:space="preserve">biodiversity </w:t>
      </w:r>
      <w:r>
        <w:t>protection</w:t>
      </w:r>
      <w:r w:rsidRPr="0087147B">
        <w:t xml:space="preserve">. With regard to threatened </w:t>
      </w:r>
      <w:r>
        <w:t>and protected species</w:t>
      </w:r>
      <w:r w:rsidRPr="0087147B">
        <w:t>, such as marine turtles and dugong, these plans and actions have had some effect in stabilising populations although recovery remains weak. Status and trend assessments</w:t>
      </w:r>
      <w:r>
        <w:t xml:space="preserve"> for other species</w:t>
      </w:r>
      <w:r w:rsidRPr="0087147B">
        <w:t xml:space="preserve"> indicate that more </w:t>
      </w:r>
      <w:r>
        <w:t xml:space="preserve">populations and groups of species </w:t>
      </w:r>
      <w:r w:rsidRPr="0087147B">
        <w:t>are continuing to decline than have stabilised or are increasing</w:t>
      </w:r>
      <w:r>
        <w:t xml:space="preserve"> (for example, corals, sharks and rays, dolphins – see Chapter 2 of the Outlook Report). For some species and ecosystem processes, confidence around condition status</w:t>
      </w:r>
      <w:r w:rsidRPr="0087147B">
        <w:t xml:space="preserve"> is </w:t>
      </w:r>
      <w:r>
        <w:t>limited</w:t>
      </w:r>
      <w:r w:rsidRPr="0087147B">
        <w:t xml:space="preserve"> </w:t>
      </w:r>
      <w:r>
        <w:t>due to</w:t>
      </w:r>
      <w:r w:rsidRPr="0087147B">
        <w:t xml:space="preserve"> lack of</w:t>
      </w:r>
      <w:r>
        <w:t xml:space="preserve"> long-term</w:t>
      </w:r>
      <w:r w:rsidRPr="0087147B">
        <w:t xml:space="preserve"> data</w:t>
      </w:r>
      <w:r>
        <w:t xml:space="preserve"> over a broad area. A complete understanding of flow on effects to species, habitats and processes following the </w:t>
      </w:r>
      <w:r w:rsidRPr="0087147B">
        <w:t>back-to-back bleaching event</w:t>
      </w:r>
      <w:r>
        <w:t>,</w:t>
      </w:r>
      <w:r w:rsidRPr="0087147B">
        <w:t xml:space="preserve"> together with the cumulative impact of other stressors on the system</w:t>
      </w:r>
      <w:r>
        <w:t>, remains an issue for management</w:t>
      </w:r>
      <w:r w:rsidRPr="0087147B">
        <w:t>.</w:t>
      </w:r>
    </w:p>
    <w:p w14:paraId="5761D4BD" w14:textId="4D1A63C0" w:rsidR="00A56EE9" w:rsidRPr="0087147B" w:rsidRDefault="00A56EE9" w:rsidP="00E3690C">
      <w:pPr>
        <w:spacing w:line="276" w:lineRule="auto"/>
      </w:pPr>
      <w:r w:rsidRPr="0087147B">
        <w:t>The information base for biodiversity management continues to</w:t>
      </w:r>
      <w:r w:rsidR="005A15D4">
        <w:t xml:space="preserve"> slowly</w:t>
      </w:r>
      <w:r w:rsidRPr="0087147B">
        <w:t xml:space="preserve"> improve through both scientific research in universities and research organisations</w:t>
      </w:r>
      <w:r>
        <w:t>. This is also complemented by monitoring information from the Field Management Program and citizen science.</w:t>
      </w:r>
      <w:r w:rsidRPr="0087147B">
        <w:t xml:space="preserve"> </w:t>
      </w:r>
      <w:r>
        <w:t>A</w:t>
      </w:r>
      <w:r w:rsidRPr="0087147B">
        <w:t>t the same time</w:t>
      </w:r>
      <w:r>
        <w:t>,</w:t>
      </w:r>
      <w:r w:rsidRPr="0087147B">
        <w:t xml:space="preserve"> there is </w:t>
      </w:r>
      <w:r w:rsidR="005A2016">
        <w:t xml:space="preserve">now </w:t>
      </w:r>
      <w:r w:rsidRPr="0087147B">
        <w:t xml:space="preserve">greater uncertainty around biodiversity condition for some elements of biodiversity </w:t>
      </w:r>
      <w:r>
        <w:t>due to</w:t>
      </w:r>
      <w:r w:rsidRPr="0087147B">
        <w:t xml:space="preserve"> lack of information on the </w:t>
      </w:r>
      <w:r>
        <w:t>impacts of</w:t>
      </w:r>
      <w:r w:rsidRPr="0087147B">
        <w:t xml:space="preserve"> back-to-back bleaching. Some stakeholders consider that the lack of comprehensive habitat mapping across the Great Barrier Reef is an impediment to better planning for biodiversity management. </w:t>
      </w:r>
    </w:p>
    <w:p w14:paraId="5761D4BE" w14:textId="77777777" w:rsidR="00A56EE9" w:rsidRDefault="00A56EE9" w:rsidP="00E3690C">
      <w:pPr>
        <w:spacing w:line="276" w:lineRule="auto"/>
      </w:pPr>
      <w:r w:rsidRPr="0087147B">
        <w:t xml:space="preserve">Considerable financial resources are allocated to improving biodiversity knowledge and increasing understanding of factors impacting on biodiversity and ecosystem processes through </w:t>
      </w:r>
      <w:r>
        <w:t xml:space="preserve">research </w:t>
      </w:r>
      <w:r w:rsidRPr="0087147B">
        <w:t>institutions</w:t>
      </w:r>
      <w:r>
        <w:t>,</w:t>
      </w:r>
      <w:r w:rsidRPr="0087147B">
        <w:t xml:space="preserve"> Regional NRM bodies, </w:t>
      </w:r>
      <w:r>
        <w:t xml:space="preserve">the </w:t>
      </w:r>
      <w:r w:rsidRPr="0087147B">
        <w:t xml:space="preserve">Great Barrier Reef Foundation and other Commonwealth and Queensland Government programs. Implementation of the Reef 2050 Plan and associated programs to address </w:t>
      </w:r>
      <w:r>
        <w:t>a</w:t>
      </w:r>
      <w:r w:rsidRPr="0087147B">
        <w:t xml:space="preserve"> decline in the condition of the Great Barrier Reef ha</w:t>
      </w:r>
      <w:r>
        <w:t>s</w:t>
      </w:r>
      <w:r w:rsidRPr="0087147B">
        <w:t xml:space="preserve"> seen an increase in financial resources for biodiversity management. However, in the views of many stakeholders, staff changes and </w:t>
      </w:r>
      <w:r>
        <w:t>the Australian Government- wide staffing cap</w:t>
      </w:r>
      <w:r w:rsidRPr="0087147B">
        <w:t xml:space="preserve"> have</w:t>
      </w:r>
      <w:r>
        <w:t xml:space="preserve"> </w:t>
      </w:r>
      <w:r w:rsidRPr="0087147B">
        <w:t xml:space="preserve">diluted the capacity of </w:t>
      </w:r>
      <w:r>
        <w:t>Marine Park Authority</w:t>
      </w:r>
      <w:r w:rsidRPr="0087147B">
        <w:t xml:space="preserve"> staff to engage fully in the various processes </w:t>
      </w:r>
      <w:r>
        <w:t>relating to</w:t>
      </w:r>
      <w:r w:rsidRPr="0087147B">
        <w:t xml:space="preserve"> biodiversity management. </w:t>
      </w:r>
    </w:p>
    <w:p w14:paraId="5761D4BF" w14:textId="77777777" w:rsidR="00A56EE9" w:rsidRPr="0087147B" w:rsidRDefault="00A56EE9" w:rsidP="00E3690C">
      <w:pPr>
        <w:spacing w:line="276" w:lineRule="auto"/>
      </w:pPr>
      <w:r w:rsidRPr="0087147B">
        <w:t xml:space="preserve">Gaps in knowledge, for example for some specific plant and animal groups, habitats and ecosystems, are well recognised. Relevant Traditional Owner knowledge </w:t>
      </w:r>
      <w:r>
        <w:t>that is</w:t>
      </w:r>
      <w:r w:rsidRPr="0087147B">
        <w:t xml:space="preserve"> available or accessible to managers </w:t>
      </w:r>
      <w:r>
        <w:t>has improved considerably in recent years as a result of Indigenous Ranger programs and strengthened communications between managers and Indigenous people through the Land and Sea Country Partnership Program.</w:t>
      </w:r>
    </w:p>
    <w:p w14:paraId="5761D4C0" w14:textId="77777777" w:rsidR="00A56EE9" w:rsidRPr="0087147B" w:rsidRDefault="00A56EE9" w:rsidP="00E3690C">
      <w:pPr>
        <w:spacing w:line="276" w:lineRule="auto"/>
      </w:pPr>
      <w:r w:rsidRPr="0087147B">
        <w:t xml:space="preserve">Planning for biodiversity management was advanced through preparation of the </w:t>
      </w:r>
      <w:r w:rsidRPr="00D27653">
        <w:rPr>
          <w:i/>
          <w:color w:val="000000" w:themeColor="text1"/>
        </w:rPr>
        <w:t>Great Barrier Reef Biodiversity Conservation Strategy</w:t>
      </w:r>
      <w:r w:rsidRPr="00D27653">
        <w:rPr>
          <w:color w:val="000000" w:themeColor="text1"/>
        </w:rPr>
        <w:t xml:space="preserve"> </w:t>
      </w:r>
      <w:r>
        <w:rPr>
          <w:color w:val="000000" w:themeColor="text1"/>
        </w:rPr>
        <w:t>(GBRMPA 2013)</w:t>
      </w:r>
      <w:r w:rsidRPr="0087147B">
        <w:t xml:space="preserve">, although targets in the plan tended to be focussed </w:t>
      </w:r>
      <w:r>
        <w:t xml:space="preserve">on </w:t>
      </w:r>
      <w:r w:rsidRPr="0087147B">
        <w:t>process</w:t>
      </w:r>
      <w:r>
        <w:t>es</w:t>
      </w:r>
      <w:r w:rsidRPr="0087147B">
        <w:t xml:space="preserve"> and output</w:t>
      </w:r>
      <w:r>
        <w:t>s</w:t>
      </w:r>
      <w:r w:rsidRPr="0087147B">
        <w:t xml:space="preserve"> rather than outcome</w:t>
      </w:r>
      <w:r>
        <w:t>s. The s</w:t>
      </w:r>
      <w:r w:rsidRPr="0087147B">
        <w:t>trategy has been overtaken by the Reef 2050 Plan</w:t>
      </w:r>
      <w:r>
        <w:t>,</w:t>
      </w:r>
      <w:r w:rsidRPr="0087147B">
        <w:t xml:space="preserve"> with most of the actions being incorporated. More recently, the </w:t>
      </w:r>
      <w:r>
        <w:t xml:space="preserve">Reef Blueprint </w:t>
      </w:r>
      <w:r w:rsidRPr="0087147B">
        <w:t xml:space="preserve">represented a change in approach with greater emphasis on climate change </w:t>
      </w:r>
      <w:r>
        <w:t xml:space="preserve">adaptation </w:t>
      </w:r>
      <w:r w:rsidRPr="0087147B">
        <w:t xml:space="preserve">and promoting actions </w:t>
      </w:r>
      <w:r>
        <w:t>through</w:t>
      </w:r>
      <w:r w:rsidRPr="0087147B">
        <w:t xml:space="preserve"> a ‘resilience network’ of sites that have the best chance of supporting system-wide resilience and recovery</w:t>
      </w:r>
      <w:r>
        <w:t xml:space="preserve"> following disturbances</w:t>
      </w:r>
      <w:r w:rsidRPr="0087147B">
        <w:t>. This approach is yet to be fully tested</w:t>
      </w:r>
      <w:r>
        <w:t>. W</w:t>
      </w:r>
      <w:r w:rsidRPr="0087147B">
        <w:t>hile some scientists question its validity</w:t>
      </w:r>
      <w:r>
        <w:t xml:space="preserve"> given the widespread extent of coral bleaching across the Reef</w:t>
      </w:r>
      <w:r w:rsidRPr="0087147B">
        <w:t>, others believe it would be a mistake not to pursue this approach and related initiatives such as the Reef Restoration and Adaptation Program</w:t>
      </w:r>
      <w:r>
        <w:t>.</w:t>
      </w:r>
    </w:p>
    <w:p w14:paraId="5761D4C1" w14:textId="1BDCF618" w:rsidR="00A56EE9" w:rsidRDefault="00A56EE9" w:rsidP="00E3690C">
      <w:pPr>
        <w:spacing w:line="276" w:lineRule="auto"/>
      </w:pPr>
      <w:r w:rsidRPr="0087147B">
        <w:t xml:space="preserve">At a </w:t>
      </w:r>
      <w:r>
        <w:t>Region</w:t>
      </w:r>
      <w:r w:rsidRPr="0087147B">
        <w:t xml:space="preserve">-wide scale, </w:t>
      </w:r>
      <w:r w:rsidR="005A2016" w:rsidRPr="0087147B">
        <w:t>the</w:t>
      </w:r>
      <w:r w:rsidR="005A2016">
        <w:t xml:space="preserve"> amalgamated </w:t>
      </w:r>
      <w:r w:rsidRPr="0087147B">
        <w:t xml:space="preserve">Zoning Plan, which came into </w:t>
      </w:r>
      <w:proofErr w:type="gramStart"/>
      <w:r w:rsidRPr="0087147B">
        <w:t xml:space="preserve">effect </w:t>
      </w:r>
      <w:r w:rsidR="005A2016">
        <w:t xml:space="preserve"> </w:t>
      </w:r>
      <w:r w:rsidRPr="0087147B">
        <w:t>in</w:t>
      </w:r>
      <w:proofErr w:type="gramEnd"/>
      <w:r w:rsidRPr="0087147B">
        <w:t xml:space="preserve"> 2004, and is matched in the adjacent Great Barrier Reef Coast Marine Park, is the most significant action taken to enhance biodiversity protection. </w:t>
      </w:r>
      <w:r>
        <w:t>To be effective, zoning provisions need to be enforced. Enforcement has significantly improved over recent years with the extension of vessel monitoring across the commercial fishing fleet, better targeting of compliance actions based on risk assessment that give priority to impacts on protected species, and improved compliance monitoring technology. Zoning</w:t>
      </w:r>
      <w:r w:rsidRPr="0087147B">
        <w:t xml:space="preserve"> has provided a robust framework </w:t>
      </w:r>
      <w:r>
        <w:t xml:space="preserve">for reef-wide management </w:t>
      </w:r>
      <w:r w:rsidRPr="0087147B">
        <w:t xml:space="preserve">and is already demonstrating positive results. </w:t>
      </w:r>
    </w:p>
    <w:p w14:paraId="7ED9BCE5" w14:textId="77777777" w:rsidR="00BF07EE" w:rsidRDefault="00BF07EE" w:rsidP="00E3690C">
      <w:pPr>
        <w:spacing w:line="276" w:lineRule="auto"/>
      </w:pPr>
      <w:r w:rsidRPr="0087147B">
        <w:t>However, the zoning provisions only address biodiversity protection at a broad level</w:t>
      </w:r>
      <w:r>
        <w:t>.</w:t>
      </w:r>
      <w:r w:rsidRPr="0087147B">
        <w:t xml:space="preserve"> </w:t>
      </w:r>
      <w:r>
        <w:t>S</w:t>
      </w:r>
      <w:r w:rsidRPr="0087147B">
        <w:t xml:space="preserve">ome threats </w:t>
      </w:r>
      <w:r>
        <w:t xml:space="preserve">such as crown-of-thorns starfish outbreaks </w:t>
      </w:r>
      <w:r w:rsidRPr="0087147B">
        <w:t xml:space="preserve">are addressed by other measures, </w:t>
      </w:r>
      <w:r>
        <w:t xml:space="preserve">but </w:t>
      </w:r>
      <w:r w:rsidRPr="0087147B">
        <w:t>major threats to biodiversity, such as climate change, coastal development and catchment runoff</w:t>
      </w:r>
      <w:r>
        <w:t>,</w:t>
      </w:r>
      <w:r w:rsidRPr="0087147B">
        <w:t xml:space="preserve"> are not </w:t>
      </w:r>
      <w:r>
        <w:t xml:space="preserve">directly </w:t>
      </w:r>
      <w:r w:rsidRPr="0087147B">
        <w:t xml:space="preserve">addressed by either the zoning provisions or individual biodiversity protection measures. </w:t>
      </w:r>
      <w:r>
        <w:t xml:space="preserve">Enhanced consideration of the potential impacts of planning and management decisions on Great Barrier Reef biodiversity and ecosystem restoration across all sectors within and adjacent to the Great Barrier Reef Region will be required if these major threats are to be mitigated. </w:t>
      </w:r>
      <w:r w:rsidRPr="0087147B">
        <w:t xml:space="preserve">There is </w:t>
      </w:r>
      <w:r>
        <w:t>a gap in understanding</w:t>
      </w:r>
      <w:r w:rsidRPr="0087147B">
        <w:t xml:space="preserve"> </w:t>
      </w:r>
      <w:r>
        <w:t xml:space="preserve">what changes to </w:t>
      </w:r>
      <w:r w:rsidRPr="0087147B">
        <w:t>cross-jurisdictional mechanisms</w:t>
      </w:r>
      <w:r>
        <w:t xml:space="preserve"> </w:t>
      </w:r>
      <w:r w:rsidRPr="0087147B">
        <w:t xml:space="preserve">such as </w:t>
      </w:r>
      <w:r>
        <w:t xml:space="preserve">regional and development </w:t>
      </w:r>
      <w:r w:rsidRPr="0087147B">
        <w:t>planning, coastal development and fisheries management</w:t>
      </w:r>
      <w:r>
        <w:t>, would be</w:t>
      </w:r>
      <w:r w:rsidRPr="0087147B">
        <w:t xml:space="preserve"> required to </w:t>
      </w:r>
      <w:r>
        <w:t xml:space="preserve">better </w:t>
      </w:r>
      <w:r w:rsidRPr="0087147B">
        <w:t xml:space="preserve">address biodiversity protection measures </w:t>
      </w:r>
      <w:r>
        <w:t>and</w:t>
      </w:r>
      <w:r w:rsidRPr="0087147B">
        <w:t xml:space="preserve"> restore ecosystem health to the </w:t>
      </w:r>
      <w:r>
        <w:t xml:space="preserve">Great Barrier Reef </w:t>
      </w:r>
      <w:r w:rsidRPr="0087147B">
        <w:t>inshore zone.</w:t>
      </w:r>
      <w:r>
        <w:t xml:space="preserve">  </w:t>
      </w:r>
    </w:p>
    <w:p w14:paraId="023086EB" w14:textId="77777777" w:rsidR="00BF07EE" w:rsidRPr="0087147B" w:rsidRDefault="00BF07EE" w:rsidP="00E3690C">
      <w:pPr>
        <w:spacing w:line="276" w:lineRule="auto"/>
      </w:pPr>
      <w:bookmarkStart w:id="114" w:name="_Hlk519697414"/>
      <w:r>
        <w:t>Zoning may have a role in addressing some of these broad-scale stressors if research was to show that, for example, more highly protected zones were more resilient to impacts from climate change and/or recovered more quickly from such impacts. The current Zoning Plan has been in place for almost 15 years</w:t>
      </w:r>
      <w:r w:rsidRPr="0047472E">
        <w:t xml:space="preserve"> and was based on the best</w:t>
      </w:r>
      <w:r>
        <w:t xml:space="preserve"> </w:t>
      </w:r>
      <w:r w:rsidRPr="0047472E">
        <w:t xml:space="preserve">available knowledge </w:t>
      </w:r>
      <w:r>
        <w:t>at the time</w:t>
      </w:r>
      <w:r w:rsidRPr="0047472E">
        <w:t>. Today more is known about the dynamic state of the ecosystem,</w:t>
      </w:r>
      <w:r>
        <w:t xml:space="preserve"> so targeted research should be able to determine whether zoning contributes to resilience and Reef recovery from frequent and intense bleaching events. Findings of such research could inform future zoning revisions.</w:t>
      </w:r>
      <w:bookmarkEnd w:id="114"/>
    </w:p>
    <w:p w14:paraId="5761D4C4" w14:textId="77777777" w:rsidR="00A56EE9" w:rsidRPr="0087147B" w:rsidRDefault="00A56EE9" w:rsidP="00E3690C">
      <w:pPr>
        <w:spacing w:line="276" w:lineRule="auto"/>
      </w:pPr>
      <w:r w:rsidRPr="0087147B">
        <w:t>Major risks and threats to biodiversity protection are well documented and risk assessment and management procedures are in place for the major threats. Vulnerability assessments have been prepared for key species and habitats</w:t>
      </w:r>
      <w:r>
        <w:t>,</w:t>
      </w:r>
      <w:r w:rsidRPr="0087147B">
        <w:t xml:space="preserve"> and these provide comprehensive documentation of risks to biodiversity values and mitigation measures within the Region. A few vulnerability assessments remain to be completed. There remains little capacity to track either the resource allocations specifically targeting biodiversity objectives or the outputs and outcomes resulting from management actions in this area. The capacity of the Field Management Program to address biodiversity management and natural resource management issues in marine and island environments is likely to improve with additional staffing and vessels after a period of declining capacity over the previous Outlook reporting timeframe.</w:t>
      </w:r>
    </w:p>
    <w:p w14:paraId="5761D4C5" w14:textId="26532FF9" w:rsidR="00A56EE9" w:rsidRPr="003173ED" w:rsidRDefault="00A56EE9" w:rsidP="00BB6AD5">
      <w:pPr>
        <w:pStyle w:val="Caption"/>
        <w:keepNext/>
        <w:spacing w:line="240" w:lineRule="auto"/>
        <w:jc w:val="center"/>
      </w:pPr>
      <w:bookmarkStart w:id="115" w:name="_Toc525654461"/>
      <w:r w:rsidRPr="003173ED">
        <w:t xml:space="preserve">Table </w:t>
      </w:r>
      <w:r w:rsidRPr="003173ED">
        <w:fldChar w:fldCharType="begin"/>
      </w:r>
      <w:r w:rsidRPr="003173ED">
        <w:instrText xml:space="preserve"> SEQ Table \* ARABIC </w:instrText>
      </w:r>
      <w:r w:rsidRPr="003173ED">
        <w:fldChar w:fldCharType="separate"/>
      </w:r>
      <w:r w:rsidR="00A4170C">
        <w:rPr>
          <w:noProof/>
        </w:rPr>
        <w:t>16</w:t>
      </w:r>
      <w:r w:rsidRPr="003173ED">
        <w:fldChar w:fldCharType="end"/>
      </w:r>
      <w:bookmarkEnd w:id="111"/>
      <w:r w:rsidRPr="003173ED">
        <w:t xml:space="preserve"> Assessment results for Biodiversity</w:t>
      </w:r>
      <w:bookmarkEnd w:id="112"/>
      <w:r w:rsidRPr="003173ED">
        <w:t xml:space="preserve"> values</w:t>
      </w:r>
      <w:bookmarkEnd w:id="113"/>
      <w:bookmarkEnd w:id="115"/>
    </w:p>
    <w:tbl>
      <w:tblPr>
        <w:tblStyle w:val="TableGrid"/>
        <w:tblW w:w="5000" w:type="pct"/>
        <w:jc w:val="center"/>
        <w:tblLayout w:type="fixed"/>
        <w:tblLook w:val="04A0" w:firstRow="1" w:lastRow="0" w:firstColumn="1" w:lastColumn="0" w:noHBand="0" w:noVBand="1"/>
        <w:tblCaption w:val="Table 5 Assessment results for the management effectiveness for Biodiversity values.  "/>
        <w:tblDescription w:val="Grades and trends for Biodiversity&#10;Context:Mostly effective; declining &#10;Planning:Mostly effective; stable &#10;Inputs:Mostly effective; stable&#10;Processes:Mostly effective; stable&#10;Outputs:Mostly effective; stable&#10;Outcomes:Partially effective; declined"/>
      </w:tblPr>
      <w:tblGrid>
        <w:gridCol w:w="3320"/>
        <w:gridCol w:w="1831"/>
        <w:gridCol w:w="1828"/>
        <w:gridCol w:w="2037"/>
      </w:tblGrid>
      <w:tr w:rsidR="00A56EE9" w:rsidRPr="0087147B" w14:paraId="5761D4CA" w14:textId="77777777" w:rsidTr="00BB6AD5">
        <w:trPr>
          <w:trHeight w:val="441"/>
          <w:tblHeader/>
          <w:jc w:val="center"/>
        </w:trPr>
        <w:tc>
          <w:tcPr>
            <w:tcW w:w="1286" w:type="dxa"/>
            <w:vAlign w:val="center"/>
          </w:tcPr>
          <w:p w14:paraId="5761D4C6" w14:textId="77777777" w:rsidR="00A56EE9" w:rsidRPr="0087147B" w:rsidRDefault="00A56EE9" w:rsidP="00BB6AD5">
            <w:pPr>
              <w:keepNext/>
              <w:jc w:val="both"/>
              <w:rPr>
                <w:b/>
              </w:rPr>
            </w:pPr>
            <w:bookmarkStart w:id="116" w:name="_Hlk521233073"/>
            <w:r w:rsidRPr="0087147B">
              <w:rPr>
                <w:b/>
              </w:rPr>
              <w:t>Biodiversity</w:t>
            </w:r>
          </w:p>
        </w:tc>
        <w:tc>
          <w:tcPr>
            <w:tcW w:w="709" w:type="dxa"/>
            <w:vAlign w:val="center"/>
          </w:tcPr>
          <w:p w14:paraId="5761D4C7" w14:textId="77777777" w:rsidR="00A56EE9" w:rsidRPr="0087147B" w:rsidRDefault="00A56EE9" w:rsidP="00BB6AD5">
            <w:pPr>
              <w:keepNext/>
              <w:jc w:val="both"/>
              <w:rPr>
                <w:b/>
              </w:rPr>
            </w:pPr>
            <w:r w:rsidRPr="0087147B">
              <w:rPr>
                <w:b/>
              </w:rPr>
              <w:t>2009</w:t>
            </w:r>
          </w:p>
        </w:tc>
        <w:tc>
          <w:tcPr>
            <w:tcW w:w="708" w:type="dxa"/>
            <w:vAlign w:val="center"/>
          </w:tcPr>
          <w:p w14:paraId="5761D4C8" w14:textId="77777777" w:rsidR="00A56EE9" w:rsidRPr="0087147B" w:rsidRDefault="00A56EE9" w:rsidP="00BB6AD5">
            <w:pPr>
              <w:keepNext/>
              <w:jc w:val="both"/>
              <w:rPr>
                <w:b/>
              </w:rPr>
            </w:pPr>
            <w:r w:rsidRPr="0087147B">
              <w:rPr>
                <w:b/>
              </w:rPr>
              <w:t>2014</w:t>
            </w:r>
          </w:p>
        </w:tc>
        <w:tc>
          <w:tcPr>
            <w:tcW w:w="789" w:type="dxa"/>
            <w:tcBorders>
              <w:bottom w:val="single" w:sz="4" w:space="0" w:color="auto"/>
            </w:tcBorders>
            <w:vAlign w:val="center"/>
          </w:tcPr>
          <w:p w14:paraId="5761D4C9" w14:textId="77777777" w:rsidR="00A56EE9" w:rsidRPr="0087147B" w:rsidRDefault="00A56EE9" w:rsidP="00BB6AD5">
            <w:pPr>
              <w:keepNext/>
              <w:jc w:val="both"/>
              <w:rPr>
                <w:b/>
              </w:rPr>
            </w:pPr>
            <w:r w:rsidRPr="0087147B">
              <w:rPr>
                <w:b/>
              </w:rPr>
              <w:t>2019</w:t>
            </w:r>
          </w:p>
        </w:tc>
      </w:tr>
      <w:tr w:rsidR="00A56EE9" w:rsidRPr="0087147B" w14:paraId="5761D4CF" w14:textId="77777777" w:rsidTr="00BB6AD5">
        <w:trPr>
          <w:jc w:val="center"/>
        </w:trPr>
        <w:tc>
          <w:tcPr>
            <w:tcW w:w="1286" w:type="dxa"/>
            <w:vAlign w:val="center"/>
          </w:tcPr>
          <w:p w14:paraId="5761D4CB" w14:textId="77777777" w:rsidR="00A56EE9" w:rsidRPr="0087147B" w:rsidRDefault="00A56EE9" w:rsidP="00BB6AD5">
            <w:pPr>
              <w:keepNext/>
              <w:rPr>
                <w:b/>
              </w:rPr>
            </w:pPr>
            <w:r w:rsidRPr="0087147B">
              <w:rPr>
                <w:b/>
              </w:rPr>
              <w:t>Context</w:t>
            </w:r>
          </w:p>
        </w:tc>
        <w:tc>
          <w:tcPr>
            <w:tcW w:w="709" w:type="dxa"/>
            <w:shd w:val="clear" w:color="auto" w:fill="538135" w:themeFill="accent6" w:themeFillShade="BF"/>
            <w:vAlign w:val="center"/>
          </w:tcPr>
          <w:p w14:paraId="5761D4CC" w14:textId="77777777" w:rsidR="00A56EE9" w:rsidRPr="0087147B" w:rsidRDefault="00A56EE9" w:rsidP="00BB6AD5">
            <w:pPr>
              <w:keepNext/>
              <w:jc w:val="center"/>
              <w:rPr>
                <w:rFonts w:ascii="Cambria Math" w:hAnsi="Cambria Math"/>
                <w:b/>
                <w:sz w:val="24"/>
                <w:szCs w:val="24"/>
              </w:rPr>
            </w:pPr>
          </w:p>
        </w:tc>
        <w:tc>
          <w:tcPr>
            <w:tcW w:w="708" w:type="dxa"/>
            <w:shd w:val="clear" w:color="auto" w:fill="538135" w:themeFill="accent6" w:themeFillShade="BF"/>
            <w:vAlign w:val="center"/>
          </w:tcPr>
          <w:p w14:paraId="5761D4CD"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b/>
              </w:rPr>
              <w:t>↔</w:t>
            </w:r>
          </w:p>
        </w:tc>
        <w:tc>
          <w:tcPr>
            <w:tcW w:w="789" w:type="dxa"/>
            <w:tcBorders>
              <w:bottom w:val="single" w:sz="4" w:space="0" w:color="auto"/>
            </w:tcBorders>
            <w:shd w:val="clear" w:color="auto" w:fill="A8D08D" w:themeFill="accent6" w:themeFillTint="99"/>
            <w:vAlign w:val="center"/>
          </w:tcPr>
          <w:p w14:paraId="5761D4CE"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rPr>
              <w:t>⬇</w:t>
            </w:r>
          </w:p>
        </w:tc>
      </w:tr>
      <w:tr w:rsidR="00A56EE9" w:rsidRPr="0087147B" w14:paraId="5761D4D4" w14:textId="77777777" w:rsidTr="00BB6AD5">
        <w:trPr>
          <w:jc w:val="center"/>
        </w:trPr>
        <w:tc>
          <w:tcPr>
            <w:tcW w:w="1286" w:type="dxa"/>
            <w:vAlign w:val="center"/>
          </w:tcPr>
          <w:p w14:paraId="5761D4D0" w14:textId="77777777" w:rsidR="00A56EE9" w:rsidRPr="0087147B" w:rsidRDefault="00A56EE9" w:rsidP="00BB6AD5">
            <w:pPr>
              <w:keepNext/>
              <w:rPr>
                <w:b/>
              </w:rPr>
            </w:pPr>
            <w:r w:rsidRPr="0087147B">
              <w:rPr>
                <w:b/>
              </w:rPr>
              <w:t>Planning</w:t>
            </w:r>
          </w:p>
        </w:tc>
        <w:tc>
          <w:tcPr>
            <w:tcW w:w="709" w:type="dxa"/>
            <w:shd w:val="clear" w:color="auto" w:fill="A8D08D" w:themeFill="accent6" w:themeFillTint="99"/>
            <w:vAlign w:val="center"/>
          </w:tcPr>
          <w:p w14:paraId="5761D4D1" w14:textId="77777777" w:rsidR="00A56EE9" w:rsidRPr="0087147B" w:rsidRDefault="00A56EE9" w:rsidP="00BB6AD5">
            <w:pPr>
              <w:keepNext/>
              <w:jc w:val="center"/>
              <w:rPr>
                <w:rFonts w:ascii="Cambria Math" w:hAnsi="Cambria Math"/>
                <w:b/>
                <w:sz w:val="24"/>
                <w:szCs w:val="24"/>
              </w:rPr>
            </w:pPr>
          </w:p>
        </w:tc>
        <w:tc>
          <w:tcPr>
            <w:tcW w:w="708" w:type="dxa"/>
            <w:shd w:val="clear" w:color="auto" w:fill="A8D08D" w:themeFill="accent6" w:themeFillTint="99"/>
            <w:vAlign w:val="center"/>
          </w:tcPr>
          <w:p w14:paraId="5761D4D2"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b/>
              </w:rPr>
              <w:t>↔</w:t>
            </w:r>
          </w:p>
        </w:tc>
        <w:tc>
          <w:tcPr>
            <w:tcW w:w="789" w:type="dxa"/>
            <w:tcBorders>
              <w:bottom w:val="single" w:sz="4" w:space="0" w:color="auto"/>
            </w:tcBorders>
            <w:shd w:val="clear" w:color="auto" w:fill="A8D08D" w:themeFill="accent6" w:themeFillTint="99"/>
            <w:vAlign w:val="center"/>
          </w:tcPr>
          <w:p w14:paraId="5761D4D3"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b/>
              </w:rPr>
              <w:t>↔</w:t>
            </w:r>
          </w:p>
        </w:tc>
      </w:tr>
      <w:tr w:rsidR="00A56EE9" w:rsidRPr="0087147B" w14:paraId="5761D4D9" w14:textId="77777777" w:rsidTr="00BB6AD5">
        <w:trPr>
          <w:jc w:val="center"/>
        </w:trPr>
        <w:tc>
          <w:tcPr>
            <w:tcW w:w="1286" w:type="dxa"/>
            <w:vAlign w:val="center"/>
          </w:tcPr>
          <w:p w14:paraId="5761D4D5" w14:textId="77777777" w:rsidR="00A56EE9" w:rsidRPr="0087147B" w:rsidRDefault="00A56EE9" w:rsidP="00BB6AD5">
            <w:pPr>
              <w:keepNext/>
              <w:rPr>
                <w:b/>
              </w:rPr>
            </w:pPr>
            <w:r w:rsidRPr="0087147B">
              <w:rPr>
                <w:b/>
              </w:rPr>
              <w:t>Inputs</w:t>
            </w:r>
          </w:p>
        </w:tc>
        <w:tc>
          <w:tcPr>
            <w:tcW w:w="709" w:type="dxa"/>
            <w:shd w:val="clear" w:color="auto" w:fill="A8D08D" w:themeFill="accent6" w:themeFillTint="99"/>
            <w:vAlign w:val="center"/>
          </w:tcPr>
          <w:p w14:paraId="5761D4D6" w14:textId="77777777" w:rsidR="00A56EE9" w:rsidRPr="0087147B" w:rsidRDefault="00A56EE9" w:rsidP="00BB6AD5">
            <w:pPr>
              <w:keepNext/>
              <w:jc w:val="center"/>
              <w:rPr>
                <w:rFonts w:ascii="Cambria Math" w:hAnsi="Cambria Math"/>
                <w:b/>
                <w:sz w:val="24"/>
                <w:szCs w:val="24"/>
              </w:rPr>
            </w:pPr>
          </w:p>
        </w:tc>
        <w:tc>
          <w:tcPr>
            <w:tcW w:w="708" w:type="dxa"/>
            <w:shd w:val="clear" w:color="auto" w:fill="A8D08D" w:themeFill="accent6" w:themeFillTint="99"/>
            <w:vAlign w:val="center"/>
          </w:tcPr>
          <w:p w14:paraId="5761D4D7"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b/>
              </w:rPr>
              <w:t>↔</w:t>
            </w:r>
          </w:p>
        </w:tc>
        <w:tc>
          <w:tcPr>
            <w:tcW w:w="789" w:type="dxa"/>
            <w:tcBorders>
              <w:bottom w:val="single" w:sz="4" w:space="0" w:color="auto"/>
            </w:tcBorders>
            <w:shd w:val="clear" w:color="auto" w:fill="A8D08D" w:themeFill="accent6" w:themeFillTint="99"/>
            <w:vAlign w:val="center"/>
          </w:tcPr>
          <w:p w14:paraId="5761D4D8"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b/>
              </w:rPr>
              <w:t>↔</w:t>
            </w:r>
          </w:p>
        </w:tc>
      </w:tr>
      <w:tr w:rsidR="00A56EE9" w:rsidRPr="0087147B" w14:paraId="5761D4DE" w14:textId="77777777" w:rsidTr="00BB6AD5">
        <w:trPr>
          <w:jc w:val="center"/>
        </w:trPr>
        <w:tc>
          <w:tcPr>
            <w:tcW w:w="1286" w:type="dxa"/>
            <w:vAlign w:val="center"/>
          </w:tcPr>
          <w:p w14:paraId="5761D4DA" w14:textId="77777777" w:rsidR="00A56EE9" w:rsidRPr="0087147B" w:rsidRDefault="00A56EE9" w:rsidP="00BB6AD5">
            <w:pPr>
              <w:keepNext/>
              <w:rPr>
                <w:b/>
              </w:rPr>
            </w:pPr>
            <w:r w:rsidRPr="0087147B">
              <w:rPr>
                <w:b/>
              </w:rPr>
              <w:t>Processes</w:t>
            </w:r>
          </w:p>
        </w:tc>
        <w:tc>
          <w:tcPr>
            <w:tcW w:w="709" w:type="dxa"/>
            <w:shd w:val="clear" w:color="auto" w:fill="A8D08D" w:themeFill="accent6" w:themeFillTint="99"/>
            <w:vAlign w:val="center"/>
          </w:tcPr>
          <w:p w14:paraId="5761D4DB" w14:textId="77777777" w:rsidR="00A56EE9" w:rsidRPr="0087147B" w:rsidRDefault="00A56EE9" w:rsidP="00BB6AD5">
            <w:pPr>
              <w:keepNext/>
              <w:jc w:val="center"/>
              <w:rPr>
                <w:rFonts w:ascii="Cambria Math" w:hAnsi="Cambria Math"/>
                <w:b/>
                <w:sz w:val="24"/>
                <w:szCs w:val="24"/>
              </w:rPr>
            </w:pPr>
          </w:p>
        </w:tc>
        <w:tc>
          <w:tcPr>
            <w:tcW w:w="708" w:type="dxa"/>
            <w:shd w:val="clear" w:color="auto" w:fill="A8D08D" w:themeFill="accent6" w:themeFillTint="99"/>
            <w:vAlign w:val="center"/>
          </w:tcPr>
          <w:p w14:paraId="5761D4DC"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b/>
              </w:rPr>
              <w:t>↔</w:t>
            </w:r>
          </w:p>
        </w:tc>
        <w:tc>
          <w:tcPr>
            <w:tcW w:w="789" w:type="dxa"/>
            <w:tcBorders>
              <w:bottom w:val="single" w:sz="4" w:space="0" w:color="auto"/>
            </w:tcBorders>
            <w:shd w:val="clear" w:color="auto" w:fill="A8D08D" w:themeFill="accent6" w:themeFillTint="99"/>
            <w:vAlign w:val="center"/>
          </w:tcPr>
          <w:p w14:paraId="5761D4DD"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b/>
              </w:rPr>
              <w:t>↔</w:t>
            </w:r>
          </w:p>
        </w:tc>
      </w:tr>
      <w:tr w:rsidR="00A56EE9" w:rsidRPr="0087147B" w14:paraId="5761D4E3" w14:textId="77777777" w:rsidTr="00BB6AD5">
        <w:trPr>
          <w:jc w:val="center"/>
        </w:trPr>
        <w:tc>
          <w:tcPr>
            <w:tcW w:w="1286" w:type="dxa"/>
            <w:vAlign w:val="center"/>
          </w:tcPr>
          <w:p w14:paraId="5761D4DF" w14:textId="77777777" w:rsidR="00A56EE9" w:rsidRPr="0087147B" w:rsidRDefault="00A56EE9" w:rsidP="00BB6AD5">
            <w:pPr>
              <w:keepNext/>
              <w:rPr>
                <w:b/>
              </w:rPr>
            </w:pPr>
            <w:r w:rsidRPr="0087147B">
              <w:rPr>
                <w:b/>
              </w:rPr>
              <w:t>Outputs</w:t>
            </w:r>
          </w:p>
        </w:tc>
        <w:tc>
          <w:tcPr>
            <w:tcW w:w="709" w:type="dxa"/>
            <w:shd w:val="clear" w:color="auto" w:fill="A8D08D" w:themeFill="accent6" w:themeFillTint="99"/>
            <w:vAlign w:val="center"/>
          </w:tcPr>
          <w:p w14:paraId="5761D4E0" w14:textId="77777777" w:rsidR="00A56EE9" w:rsidRPr="0087147B" w:rsidRDefault="00A56EE9" w:rsidP="00BB6AD5">
            <w:pPr>
              <w:keepNext/>
              <w:jc w:val="center"/>
              <w:rPr>
                <w:rFonts w:ascii="Cambria Math" w:hAnsi="Cambria Math"/>
                <w:b/>
                <w:sz w:val="24"/>
                <w:szCs w:val="24"/>
              </w:rPr>
            </w:pPr>
          </w:p>
        </w:tc>
        <w:tc>
          <w:tcPr>
            <w:tcW w:w="708" w:type="dxa"/>
            <w:shd w:val="clear" w:color="auto" w:fill="A8D08D" w:themeFill="accent6" w:themeFillTint="99"/>
            <w:vAlign w:val="center"/>
          </w:tcPr>
          <w:p w14:paraId="5761D4E1"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b/>
              </w:rPr>
              <w:t>↔</w:t>
            </w:r>
          </w:p>
        </w:tc>
        <w:tc>
          <w:tcPr>
            <w:tcW w:w="789" w:type="dxa"/>
            <w:tcBorders>
              <w:bottom w:val="single" w:sz="4" w:space="0" w:color="auto"/>
            </w:tcBorders>
            <w:shd w:val="clear" w:color="auto" w:fill="A8D08D" w:themeFill="accent6" w:themeFillTint="99"/>
            <w:vAlign w:val="center"/>
          </w:tcPr>
          <w:p w14:paraId="5761D4E2"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b/>
              </w:rPr>
              <w:t>↔</w:t>
            </w:r>
          </w:p>
        </w:tc>
      </w:tr>
      <w:tr w:rsidR="00A56EE9" w:rsidRPr="0087147B" w14:paraId="5761D4E8" w14:textId="77777777" w:rsidTr="00BB6AD5">
        <w:trPr>
          <w:jc w:val="center"/>
        </w:trPr>
        <w:tc>
          <w:tcPr>
            <w:tcW w:w="1286" w:type="dxa"/>
            <w:vAlign w:val="center"/>
          </w:tcPr>
          <w:p w14:paraId="5761D4E4" w14:textId="77777777" w:rsidR="00A56EE9" w:rsidRPr="0087147B" w:rsidRDefault="00A56EE9" w:rsidP="00BB6AD5">
            <w:pPr>
              <w:keepNext/>
              <w:rPr>
                <w:b/>
              </w:rPr>
            </w:pPr>
            <w:r w:rsidRPr="0087147B">
              <w:rPr>
                <w:b/>
              </w:rPr>
              <w:t>Outcomes</w:t>
            </w:r>
          </w:p>
        </w:tc>
        <w:tc>
          <w:tcPr>
            <w:tcW w:w="709" w:type="dxa"/>
            <w:shd w:val="clear" w:color="auto" w:fill="A8D08D" w:themeFill="accent6" w:themeFillTint="99"/>
            <w:vAlign w:val="center"/>
          </w:tcPr>
          <w:p w14:paraId="5761D4E5" w14:textId="77777777" w:rsidR="00A56EE9" w:rsidRPr="0087147B" w:rsidRDefault="00A56EE9" w:rsidP="00BB6AD5">
            <w:pPr>
              <w:keepNext/>
              <w:jc w:val="center"/>
              <w:rPr>
                <w:rFonts w:ascii="Cambria Math" w:hAnsi="Cambria Math"/>
                <w:b/>
                <w:sz w:val="24"/>
                <w:szCs w:val="24"/>
              </w:rPr>
            </w:pPr>
          </w:p>
        </w:tc>
        <w:tc>
          <w:tcPr>
            <w:tcW w:w="708" w:type="dxa"/>
            <w:shd w:val="clear" w:color="auto" w:fill="A8D08D" w:themeFill="accent6" w:themeFillTint="99"/>
            <w:vAlign w:val="center"/>
          </w:tcPr>
          <w:p w14:paraId="5761D4E6"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b/>
              </w:rPr>
              <w:t>↘</w:t>
            </w:r>
          </w:p>
        </w:tc>
        <w:tc>
          <w:tcPr>
            <w:tcW w:w="789" w:type="dxa"/>
            <w:shd w:val="clear" w:color="auto" w:fill="FFC000" w:themeFill="accent4"/>
            <w:vAlign w:val="center"/>
          </w:tcPr>
          <w:p w14:paraId="5761D4E7" w14:textId="77777777" w:rsidR="00A56EE9" w:rsidRPr="0087147B" w:rsidRDefault="00A56EE9" w:rsidP="00BB6AD5">
            <w:pPr>
              <w:keepNext/>
              <w:jc w:val="center"/>
              <w:rPr>
                <w:rFonts w:ascii="Cambria Math" w:hAnsi="Cambria Math"/>
                <w:b/>
                <w:sz w:val="24"/>
                <w:szCs w:val="24"/>
              </w:rPr>
            </w:pPr>
            <w:r w:rsidRPr="008270D5">
              <w:rPr>
                <w:rFonts w:ascii="Cambria Math" w:eastAsia="Calibri" w:hAnsi="Cambria Math" w:cs="Cambria Math"/>
              </w:rPr>
              <w:t>⬇</w:t>
            </w:r>
          </w:p>
        </w:tc>
      </w:tr>
    </w:tbl>
    <w:bookmarkEnd w:id="116"/>
    <w:p w14:paraId="5761D4E9" w14:textId="77777777" w:rsidR="00A56EE9" w:rsidRPr="008270D5" w:rsidRDefault="00A56EE9" w:rsidP="00A11869">
      <w:pPr>
        <w:pStyle w:val="ListParagraph"/>
        <w:keepNext/>
        <w:numPr>
          <w:ilvl w:val="0"/>
          <w:numId w:val="1"/>
        </w:numPr>
        <w:spacing w:line="240" w:lineRule="auto"/>
        <w:rPr>
          <w:rFonts w:eastAsia="Calibri" w:cs="Times New Roman"/>
          <w:sz w:val="16"/>
          <w:szCs w:val="16"/>
        </w:rPr>
      </w:pPr>
      <w:r w:rsidRPr="008270D5">
        <w:rPr>
          <w:rFonts w:eastAsia="Calibri" w:cs="Times New Roman"/>
          <w:sz w:val="16"/>
          <w:szCs w:val="16"/>
        </w:rPr>
        <w:t xml:space="preserve">Management effective assessment is colour coded: </w:t>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261"/>
      </w:tblGrid>
      <w:tr w:rsidR="00A56EE9" w:rsidRPr="0087147B" w14:paraId="5761D4F2" w14:textId="77777777" w:rsidTr="00BB6AD5">
        <w:trPr>
          <w:tblHeader/>
        </w:trPr>
        <w:tc>
          <w:tcPr>
            <w:tcW w:w="1084" w:type="dxa"/>
          </w:tcPr>
          <w:p w14:paraId="5761D4EA" w14:textId="77777777" w:rsidR="00A56EE9" w:rsidRPr="0087147B" w:rsidRDefault="00A56EE9" w:rsidP="00BB6AD5">
            <w:pPr>
              <w:keepNext/>
              <w:ind w:right="-158"/>
              <w:contextualSpacing/>
              <w:rPr>
                <w:sz w:val="16"/>
                <w:szCs w:val="16"/>
              </w:rPr>
            </w:pPr>
            <w:r w:rsidRPr="0087147B">
              <w:rPr>
                <w:sz w:val="16"/>
                <w:szCs w:val="16"/>
              </w:rPr>
              <w:t>Effective (E)</w:t>
            </w:r>
          </w:p>
        </w:tc>
        <w:tc>
          <w:tcPr>
            <w:tcW w:w="0" w:type="auto"/>
          </w:tcPr>
          <w:p w14:paraId="5761D4EB" w14:textId="77777777" w:rsidR="00A56EE9" w:rsidRPr="0087147B" w:rsidRDefault="00A56EE9" w:rsidP="00BB6AD5">
            <w:pPr>
              <w:keepNext/>
              <w:contextualSpacing/>
              <w:rPr>
                <w:sz w:val="16"/>
                <w:szCs w:val="16"/>
              </w:rPr>
            </w:pPr>
            <w:r w:rsidRPr="0087147B">
              <w:rPr>
                <w:noProof/>
                <w:sz w:val="16"/>
                <w:szCs w:val="16"/>
              </w:rPr>
              <mc:AlternateContent>
                <mc:Choice Requires="wps">
                  <w:drawing>
                    <wp:anchor distT="0" distB="0" distL="114300" distR="114300" simplePos="0" relativeHeight="251726848" behindDoc="1" locked="0" layoutInCell="1" allowOverlap="1" wp14:anchorId="57620CAE" wp14:editId="57620CAF">
                      <wp:simplePos x="0" y="0"/>
                      <wp:positionH relativeFrom="column">
                        <wp:posOffset>-50800</wp:posOffset>
                      </wp:positionH>
                      <wp:positionV relativeFrom="paragraph">
                        <wp:posOffset>26670</wp:posOffset>
                      </wp:positionV>
                      <wp:extent cx="95250" cy="104775"/>
                      <wp:effectExtent l="0" t="0" r="19050" b="28575"/>
                      <wp:wrapSquare wrapText="bothSides"/>
                      <wp:docPr id="257" name="Rectangle 257"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cap="flat" cmpd="sng" algn="ctr">
                                <a:solidFill>
                                  <a:sysClr val="windowText" lastClr="000000"/>
                                </a:solidFill>
                                <a:prstDash val="solid"/>
                                <a:miter lim="800000"/>
                              </a:ln>
                              <a:effectLst/>
                            </wps:spPr>
                            <wps:txbx>
                              <w:txbxContent>
                                <w:p w14:paraId="57620D2E"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AE" id="Rectangle 257" o:spid="_x0000_s1079" alt="Title: Rectangle - Description: Rectangle coloured dark green" style="position:absolute;margin-left:-4pt;margin-top:2.1pt;width:7.5pt;height:8.25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" fillcolor="#060" strokecolor="windowText" strokeweight="1pt">
                      <v:textbox>
                        <w:txbxContent>
                          <w:p w14:paraId="57620D2E"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4EC" w14:textId="77777777" w:rsidR="00A56EE9" w:rsidRPr="0087147B" w:rsidRDefault="00A56EE9" w:rsidP="00BB6AD5">
            <w:pPr>
              <w:keepNext/>
              <w:contextualSpacing/>
              <w:rPr>
                <w:sz w:val="16"/>
                <w:szCs w:val="16"/>
              </w:rPr>
            </w:pPr>
            <w:r w:rsidRPr="0087147B">
              <w:rPr>
                <w:sz w:val="16"/>
                <w:szCs w:val="16"/>
              </w:rPr>
              <w:t>Mostly effective (ME)</w:t>
            </w:r>
          </w:p>
        </w:tc>
        <w:tc>
          <w:tcPr>
            <w:tcW w:w="0" w:type="auto"/>
          </w:tcPr>
          <w:p w14:paraId="5761D4ED" w14:textId="77777777" w:rsidR="00A56EE9" w:rsidRPr="0087147B" w:rsidRDefault="00A56EE9" w:rsidP="00BB6AD5">
            <w:pPr>
              <w:keepNext/>
              <w:contextualSpacing/>
              <w:rPr>
                <w:sz w:val="16"/>
                <w:szCs w:val="16"/>
              </w:rPr>
            </w:pPr>
            <w:r w:rsidRPr="0087147B">
              <w:rPr>
                <w:noProof/>
                <w:sz w:val="16"/>
                <w:szCs w:val="16"/>
              </w:rPr>
              <mc:AlternateContent>
                <mc:Choice Requires="wps">
                  <w:drawing>
                    <wp:anchor distT="0" distB="0" distL="114300" distR="114300" simplePos="0" relativeHeight="251723776" behindDoc="0" locked="0" layoutInCell="1" allowOverlap="1" wp14:anchorId="57620CB0" wp14:editId="57620CB1">
                      <wp:simplePos x="0" y="0"/>
                      <wp:positionH relativeFrom="column">
                        <wp:posOffset>-41275</wp:posOffset>
                      </wp:positionH>
                      <wp:positionV relativeFrom="paragraph">
                        <wp:posOffset>22860</wp:posOffset>
                      </wp:positionV>
                      <wp:extent cx="95250" cy="104775"/>
                      <wp:effectExtent l="0" t="0" r="19050" b="28575"/>
                      <wp:wrapNone/>
                      <wp:docPr id="258" name="Rectangle 258"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cap="flat" cmpd="sng" algn="ctr">
                                <a:solidFill>
                                  <a:sysClr val="windowText" lastClr="000000"/>
                                </a:solidFill>
                                <a:prstDash val="solid"/>
                                <a:miter lim="800000"/>
                              </a:ln>
                              <a:effectLst/>
                            </wps:spPr>
                            <wps:txbx>
                              <w:txbxContent>
                                <w:p w14:paraId="57620D2F"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B0" id="Rectangle 258" o:spid="_x0000_s1080" alt="Title: Rectangle - Description: Rectangle coloured light green" style="position:absolute;margin-left:-3.25pt;margin-top:1.8pt;width:7.5pt;height:8.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" fillcolor="#92d050" strokecolor="windowText" strokeweight="1pt">
                      <v:textbox>
                        <w:txbxContent>
                          <w:p w14:paraId="57620D2F" w14:textId="77777777" w:rsidR="008B5998" w:rsidRDefault="008B5998" w:rsidP="00BB6AD5">
                            <w:pPr>
                              <w:jc w:val="center"/>
                            </w:pPr>
                          </w:p>
                        </w:txbxContent>
                      </v:textbox>
                    </v:rect>
                  </w:pict>
                </mc:Fallback>
              </mc:AlternateContent>
            </w:r>
            <w:r w:rsidRPr="0087147B">
              <w:rPr>
                <w:sz w:val="16"/>
                <w:szCs w:val="16"/>
              </w:rPr>
              <w:t>;</w:t>
            </w:r>
          </w:p>
        </w:tc>
        <w:tc>
          <w:tcPr>
            <w:tcW w:w="0" w:type="auto"/>
          </w:tcPr>
          <w:p w14:paraId="5761D4EE" w14:textId="77777777" w:rsidR="00A56EE9" w:rsidRPr="0087147B" w:rsidRDefault="00A56EE9" w:rsidP="00BB6AD5">
            <w:pPr>
              <w:keepNext/>
              <w:contextualSpacing/>
              <w:rPr>
                <w:sz w:val="16"/>
                <w:szCs w:val="16"/>
              </w:rPr>
            </w:pPr>
            <w:r w:rsidRPr="0087147B">
              <w:rPr>
                <w:sz w:val="16"/>
                <w:szCs w:val="16"/>
              </w:rPr>
              <w:t>Partially effective (PE)</w:t>
            </w:r>
          </w:p>
        </w:tc>
        <w:tc>
          <w:tcPr>
            <w:tcW w:w="0" w:type="auto"/>
          </w:tcPr>
          <w:p w14:paraId="5761D4EF" w14:textId="77777777" w:rsidR="00A56EE9" w:rsidRPr="0087147B" w:rsidRDefault="00A56EE9" w:rsidP="00BB6AD5">
            <w:pPr>
              <w:keepNext/>
              <w:contextualSpacing/>
              <w:rPr>
                <w:sz w:val="16"/>
                <w:szCs w:val="16"/>
              </w:rPr>
            </w:pPr>
            <w:r w:rsidRPr="0087147B">
              <w:rPr>
                <w:noProof/>
                <w:sz w:val="16"/>
                <w:szCs w:val="16"/>
              </w:rPr>
              <mc:AlternateContent>
                <mc:Choice Requires="wps">
                  <w:drawing>
                    <wp:anchor distT="0" distB="0" distL="114300" distR="114300" simplePos="0" relativeHeight="251724800" behindDoc="0" locked="0" layoutInCell="1" allowOverlap="1" wp14:anchorId="57620CB2" wp14:editId="57620CB3">
                      <wp:simplePos x="0" y="0"/>
                      <wp:positionH relativeFrom="column">
                        <wp:posOffset>-65405</wp:posOffset>
                      </wp:positionH>
                      <wp:positionV relativeFrom="paragraph">
                        <wp:posOffset>19685</wp:posOffset>
                      </wp:positionV>
                      <wp:extent cx="95250" cy="104775"/>
                      <wp:effectExtent l="0" t="0" r="19050" b="28575"/>
                      <wp:wrapNone/>
                      <wp:docPr id="259" name="Rectangle 259"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cap="flat" cmpd="sng" algn="ctr">
                                <a:solidFill>
                                  <a:sysClr val="windowText" lastClr="000000"/>
                                </a:solidFill>
                                <a:prstDash val="solid"/>
                                <a:miter lim="800000"/>
                              </a:ln>
                              <a:effectLst/>
                            </wps:spPr>
                            <wps:txbx>
                              <w:txbxContent>
                                <w:p w14:paraId="57620D30"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B2" id="Rectangle 259" o:spid="_x0000_s1081" alt="Title: Rectangle - Description: Rectangle coloured orange" style="position:absolute;margin-left:-5.15pt;margin-top:1.55pt;width:7.5pt;height:8.25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" fillcolor="#ffc000" strokecolor="windowText" strokeweight="1pt">
                      <v:textbox>
                        <w:txbxContent>
                          <w:p w14:paraId="57620D30" w14:textId="77777777" w:rsidR="008B5998" w:rsidRDefault="008B5998" w:rsidP="00BB6AD5">
                            <w:pPr>
                              <w:jc w:val="center"/>
                            </w:pPr>
                          </w:p>
                        </w:txbxContent>
                      </v:textbox>
                    </v:rect>
                  </w:pict>
                </mc:Fallback>
              </mc:AlternateContent>
            </w:r>
            <w:r w:rsidRPr="0087147B">
              <w:rPr>
                <w:sz w:val="16"/>
                <w:szCs w:val="16"/>
              </w:rPr>
              <w:t>;</w:t>
            </w:r>
          </w:p>
        </w:tc>
        <w:tc>
          <w:tcPr>
            <w:tcW w:w="0" w:type="auto"/>
          </w:tcPr>
          <w:p w14:paraId="5761D4F0" w14:textId="77777777" w:rsidR="00A56EE9" w:rsidRPr="0087147B" w:rsidRDefault="00A56EE9" w:rsidP="00BB6AD5">
            <w:pPr>
              <w:keepNext/>
              <w:contextualSpacing/>
              <w:rPr>
                <w:sz w:val="16"/>
                <w:szCs w:val="16"/>
              </w:rPr>
            </w:pPr>
            <w:r w:rsidRPr="0087147B">
              <w:rPr>
                <w:sz w:val="16"/>
                <w:szCs w:val="16"/>
              </w:rPr>
              <w:t>Ineffective (I)</w:t>
            </w:r>
          </w:p>
        </w:tc>
        <w:tc>
          <w:tcPr>
            <w:tcW w:w="0" w:type="auto"/>
          </w:tcPr>
          <w:p w14:paraId="5761D4F1" w14:textId="77777777" w:rsidR="00A56EE9" w:rsidRPr="0087147B" w:rsidRDefault="00A56EE9" w:rsidP="00BB6AD5">
            <w:pPr>
              <w:keepNext/>
              <w:contextualSpacing/>
              <w:rPr>
                <w:sz w:val="16"/>
                <w:szCs w:val="16"/>
              </w:rPr>
            </w:pPr>
            <w:r w:rsidRPr="0087147B">
              <w:rPr>
                <w:noProof/>
                <w:sz w:val="16"/>
                <w:szCs w:val="16"/>
              </w:rPr>
              <mc:AlternateContent>
                <mc:Choice Requires="wps">
                  <w:drawing>
                    <wp:anchor distT="0" distB="0" distL="114300" distR="114300" simplePos="0" relativeHeight="251725824" behindDoc="0" locked="0" layoutInCell="1" allowOverlap="1" wp14:anchorId="57620CB4" wp14:editId="57620CB5">
                      <wp:simplePos x="0" y="0"/>
                      <wp:positionH relativeFrom="column">
                        <wp:posOffset>-50165</wp:posOffset>
                      </wp:positionH>
                      <wp:positionV relativeFrom="paragraph">
                        <wp:posOffset>24130</wp:posOffset>
                      </wp:positionV>
                      <wp:extent cx="95250" cy="104775"/>
                      <wp:effectExtent l="0" t="0" r="19050" b="28575"/>
                      <wp:wrapNone/>
                      <wp:docPr id="260" name="Rectangle 260"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cap="flat" cmpd="sng" algn="ctr">
                                <a:solidFill>
                                  <a:sysClr val="windowText" lastClr="000000"/>
                                </a:solidFill>
                                <a:prstDash val="solid"/>
                                <a:miter lim="800000"/>
                              </a:ln>
                              <a:effectLst/>
                            </wps:spPr>
                            <wps:txbx>
                              <w:txbxContent>
                                <w:p w14:paraId="57620D31"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B4" id="Rectangle 260" o:spid="_x0000_s1082" alt="Title: Rectangle - Description: Rectangle coloured red" style="position:absolute;margin-left:-3.95pt;margin-top:1.9pt;width:7.5pt;height:8.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" fillcolor="red" strokecolor="windowText" strokeweight="1pt">
                      <v:textbox>
                        <w:txbxContent>
                          <w:p w14:paraId="57620D31" w14:textId="77777777" w:rsidR="008B5998" w:rsidRDefault="008B5998" w:rsidP="00BB6AD5">
                            <w:pPr>
                              <w:jc w:val="center"/>
                            </w:pPr>
                          </w:p>
                        </w:txbxContent>
                      </v:textbox>
                    </v:rect>
                  </w:pict>
                </mc:Fallback>
              </mc:AlternateContent>
            </w:r>
            <w:r w:rsidRPr="0087147B">
              <w:rPr>
                <w:sz w:val="16"/>
                <w:szCs w:val="16"/>
              </w:rPr>
              <w:t>;</w:t>
            </w:r>
          </w:p>
        </w:tc>
      </w:tr>
    </w:tbl>
    <w:p w14:paraId="5761D4F3" w14:textId="77777777" w:rsidR="00A56EE9" w:rsidRPr="00796113" w:rsidRDefault="00A56EE9" w:rsidP="00BB6AD5">
      <w:pPr>
        <w:keepNext/>
        <w:spacing w:after="0" w:line="240" w:lineRule="auto"/>
        <w:ind w:left="360"/>
        <w:rPr>
          <w:rFonts w:eastAsia="Calibri" w:cs="Times New Roman"/>
        </w:rPr>
      </w:pPr>
      <w:r w:rsidRPr="00796113">
        <w:rPr>
          <w:rFonts w:ascii="Cambria Math" w:eastAsia="Calibri" w:hAnsi="Cambria Math" w:cs="Cambria Math"/>
          <w:b/>
        </w:rPr>
        <w:t>↔</w:t>
      </w:r>
      <w:r w:rsidRPr="00796113">
        <w:rPr>
          <w:rFonts w:eastAsia="Calibri" w:cs="Times New Roman"/>
        </w:rPr>
        <w:t xml:space="preserve"> </w:t>
      </w:r>
      <w:r w:rsidRPr="00796113">
        <w:rPr>
          <w:rFonts w:eastAsia="Calibri" w:cs="Times New Roman"/>
          <w:sz w:val="16"/>
          <w:szCs w:val="16"/>
        </w:rPr>
        <w:t xml:space="preserve">Grade has remained stable compared to </w:t>
      </w:r>
      <w:r>
        <w:rPr>
          <w:rFonts w:eastAsia="Calibri" w:cs="Times New Roman"/>
          <w:sz w:val="16"/>
          <w:szCs w:val="16"/>
        </w:rPr>
        <w:t xml:space="preserve">2009, </w:t>
      </w:r>
      <w:r w:rsidRPr="00796113">
        <w:rPr>
          <w:rFonts w:eastAsia="Calibri" w:cs="Times New Roman"/>
          <w:sz w:val="16"/>
          <w:szCs w:val="16"/>
        </w:rPr>
        <w:t>2014, with no major trends</w:t>
      </w:r>
      <w:r w:rsidRPr="00796113">
        <w:rPr>
          <w:rFonts w:eastAsia="Calibri" w:cs="Times New Roman"/>
        </w:rPr>
        <w:t xml:space="preserve"> </w:t>
      </w:r>
    </w:p>
    <w:p w14:paraId="5761D4F4" w14:textId="77777777" w:rsidR="00A56EE9" w:rsidRPr="00796113" w:rsidRDefault="00A56EE9" w:rsidP="00BB6AD5">
      <w:pPr>
        <w:keepNext/>
        <w:spacing w:after="0" w:line="240" w:lineRule="auto"/>
        <w:ind w:left="360"/>
        <w:rPr>
          <w:rFonts w:eastAsia="Calibri" w:cs="Times New Roman"/>
        </w:rPr>
      </w:pPr>
      <w:r w:rsidRPr="00796113">
        <w:rPr>
          <w:rFonts w:ascii="Cambria Math" w:eastAsia="Calibri" w:hAnsi="Cambria Math" w:cs="Cambria Math"/>
          <w:b/>
        </w:rPr>
        <w:t>↘</w:t>
      </w:r>
      <w:r w:rsidRPr="00796113">
        <w:rPr>
          <w:rFonts w:eastAsia="Calibri" w:cs="Times New Roman"/>
          <w:b/>
        </w:rPr>
        <w:t xml:space="preserve"> </w:t>
      </w:r>
      <w:r w:rsidRPr="00796113">
        <w:rPr>
          <w:rFonts w:eastAsia="Calibri" w:cs="Times New Roman"/>
          <w:sz w:val="16"/>
          <w:szCs w:val="16"/>
        </w:rPr>
        <w:t xml:space="preserve">Trend since </w:t>
      </w:r>
      <w:r>
        <w:rPr>
          <w:rFonts w:eastAsia="Calibri" w:cs="Times New Roman"/>
          <w:sz w:val="16"/>
          <w:szCs w:val="16"/>
        </w:rPr>
        <w:t xml:space="preserve">2009, </w:t>
      </w:r>
      <w:r w:rsidRPr="00796113">
        <w:rPr>
          <w:rFonts w:eastAsia="Calibri" w:cs="Times New Roman"/>
          <w:sz w:val="16"/>
          <w:szCs w:val="16"/>
        </w:rPr>
        <w:t>2014 is decreasing but has not caused a downwards grade change</w:t>
      </w:r>
    </w:p>
    <w:p w14:paraId="5761D4F5" w14:textId="77777777" w:rsidR="00A56EE9" w:rsidRPr="00796113" w:rsidRDefault="00A56EE9" w:rsidP="00BB6AD5">
      <w:pPr>
        <w:keepNext/>
        <w:spacing w:after="0" w:line="240" w:lineRule="auto"/>
        <w:ind w:left="360"/>
        <w:rPr>
          <w:rFonts w:eastAsia="Calibri" w:cs="Times New Roman"/>
        </w:rPr>
      </w:pPr>
      <w:r w:rsidRPr="00796113">
        <w:rPr>
          <w:rFonts w:ascii="Cambria Math" w:eastAsia="Calibri" w:hAnsi="Cambria Math" w:cs="Cambria Math"/>
        </w:rPr>
        <w:t>⬇</w:t>
      </w:r>
      <w:r w:rsidRPr="00796113">
        <w:rPr>
          <w:rFonts w:eastAsia="Calibri" w:cs="Times New Roman"/>
        </w:rPr>
        <w:t xml:space="preserve"> </w:t>
      </w:r>
      <w:r w:rsidRPr="00796113">
        <w:rPr>
          <w:rFonts w:eastAsia="Calibri" w:cs="Times New Roman"/>
          <w:sz w:val="16"/>
          <w:szCs w:val="16"/>
        </w:rPr>
        <w:t xml:space="preserve">Trend since </w:t>
      </w:r>
      <w:r>
        <w:rPr>
          <w:rFonts w:eastAsia="Calibri" w:cs="Times New Roman"/>
          <w:sz w:val="16"/>
          <w:szCs w:val="16"/>
        </w:rPr>
        <w:t xml:space="preserve">2009, </w:t>
      </w:r>
      <w:r w:rsidRPr="00796113">
        <w:rPr>
          <w:rFonts w:eastAsia="Calibri" w:cs="Times New Roman"/>
          <w:sz w:val="16"/>
          <w:szCs w:val="16"/>
        </w:rPr>
        <w:t>2014 has been a downwards change in grade</w:t>
      </w:r>
    </w:p>
    <w:p w14:paraId="5761D4F6" w14:textId="77777777" w:rsidR="00A56EE9" w:rsidRDefault="00A56EE9"/>
    <w:p w14:paraId="5761D4F7" w14:textId="77777777" w:rsidR="00A56EE9" w:rsidRDefault="00A56EE9" w:rsidP="00A11869">
      <w:pPr>
        <w:pStyle w:val="Heading2"/>
        <w:numPr>
          <w:ilvl w:val="1"/>
          <w:numId w:val="17"/>
        </w:numPr>
        <w:ind w:left="357" w:hanging="357"/>
      </w:pPr>
      <w:bookmarkStart w:id="117" w:name="_Toc523423793"/>
      <w:r>
        <w:t>Heritage values</w:t>
      </w:r>
      <w:bookmarkEnd w:id="117"/>
    </w:p>
    <w:p w14:paraId="5761D4F8" w14:textId="0F584F12" w:rsidR="00A56EE9" w:rsidRPr="007F0D8F" w:rsidRDefault="00A56EE9" w:rsidP="00E3690C">
      <w:pPr>
        <w:spacing w:line="276" w:lineRule="auto"/>
      </w:pPr>
      <w:bookmarkStart w:id="118" w:name="_Toc369681977"/>
      <w:r w:rsidRPr="007F0D8F">
        <w:t xml:space="preserve">As defined in the </w:t>
      </w:r>
      <w:r w:rsidRPr="007F0D8F">
        <w:rPr>
          <w:i/>
        </w:rPr>
        <w:t>Great Barrier Reef Marine Park Act 1975</w:t>
      </w:r>
      <w:r w:rsidRPr="007F0D8F">
        <w:t xml:space="preserve"> (the Act), for the purposes of the Outlook Report, the heritage values of the Region include: Commonwealth Heritage List values (four light stations and one island)</w:t>
      </w:r>
      <w:r>
        <w:t>;</w:t>
      </w:r>
      <w:r w:rsidRPr="007F0D8F">
        <w:t xml:space="preserve"> Indigenous heritage values</w:t>
      </w:r>
      <w:r>
        <w:t>;</w:t>
      </w:r>
      <w:r w:rsidRPr="007F0D8F">
        <w:t xml:space="preserve"> </w:t>
      </w:r>
      <w:r>
        <w:t>N</w:t>
      </w:r>
      <w:r w:rsidRPr="007F0D8F">
        <w:t xml:space="preserve">ational </w:t>
      </w:r>
      <w:r>
        <w:t>H</w:t>
      </w:r>
      <w:r w:rsidRPr="007F0D8F">
        <w:t>eritage values</w:t>
      </w:r>
      <w:r>
        <w:t>;</w:t>
      </w:r>
      <w:r w:rsidRPr="007F0D8F">
        <w:t xml:space="preserve"> </w:t>
      </w:r>
      <w:r>
        <w:t>W</w:t>
      </w:r>
      <w:r w:rsidRPr="007F0D8F">
        <w:t xml:space="preserve">orld </w:t>
      </w:r>
      <w:r>
        <w:t>H</w:t>
      </w:r>
      <w:r w:rsidRPr="007F0D8F">
        <w:t>eritage values</w:t>
      </w:r>
      <w:r>
        <w:t>;</w:t>
      </w:r>
      <w:r w:rsidRPr="007F0D8F">
        <w:t xml:space="preserve"> and ‘other heritage values’</w:t>
      </w:r>
      <w:r>
        <w:t>:</w:t>
      </w:r>
      <w:r w:rsidRPr="007F0D8F">
        <w:t xml:space="preserve"> </w:t>
      </w:r>
      <w:r w:rsidR="00A856FF">
        <w:t xml:space="preserve">which include </w:t>
      </w:r>
      <w:r w:rsidRPr="007F0D8F">
        <w:t xml:space="preserve">a place’s natural and cultural environment having aesthetic, historic, scientific or social significance, or other significance. In this assessment, the topic of </w:t>
      </w:r>
      <w:r>
        <w:t>H</w:t>
      </w:r>
      <w:r w:rsidRPr="007F0D8F">
        <w:t xml:space="preserve">eritage encompasses </w:t>
      </w:r>
      <w:r w:rsidR="00A856FF">
        <w:t>all of the above mentioned heritage values</w:t>
      </w:r>
      <w:r w:rsidRPr="007F0D8F">
        <w:t>. Natural heritage values were considered under the assessment of biodiversity protection. The areas of heritage were considered separately, and the scores then combined to reach a summarised assessment for heritage. Indigenous heritage has a higher profile for this assessment.</w:t>
      </w:r>
      <w:r w:rsidR="00242993">
        <w:t xml:space="preserve"> </w:t>
      </w:r>
      <w:r w:rsidRPr="007F0D8F">
        <w:t xml:space="preserve">Traditional </w:t>
      </w:r>
      <w:r>
        <w:t>U</w:t>
      </w:r>
      <w:r w:rsidRPr="007F0D8F">
        <w:t xml:space="preserve">se of </w:t>
      </w:r>
      <w:r>
        <w:t>M</w:t>
      </w:r>
      <w:r w:rsidRPr="007F0D8F">
        <w:t xml:space="preserve">arine </w:t>
      </w:r>
      <w:r>
        <w:t>R</w:t>
      </w:r>
      <w:r w:rsidRPr="007F0D8F">
        <w:t xml:space="preserve">esources is considered under a separate </w:t>
      </w:r>
      <w:r>
        <w:t>topic</w:t>
      </w:r>
      <w:r w:rsidRPr="007F0D8F">
        <w:t xml:space="preserve">. </w:t>
      </w:r>
    </w:p>
    <w:p w14:paraId="5761D4F9" w14:textId="49DE2C0C" w:rsidR="00A56EE9" w:rsidRDefault="00A56EE9" w:rsidP="00E3690C">
      <w:pPr>
        <w:spacing w:line="276" w:lineRule="auto"/>
      </w:pPr>
      <w:r>
        <w:t xml:space="preserve">Ratings for all elements of Heritage have remained </w:t>
      </w:r>
      <w:r w:rsidRPr="00D07110">
        <w:rPr>
          <w:i/>
        </w:rPr>
        <w:t>mostly effective</w:t>
      </w:r>
      <w:r>
        <w:t xml:space="preserve"> - the same as in the 2014 assessment (Table 17), with an increase in score for Outcomes that was not sufficiently large to increase the rating.</w:t>
      </w:r>
      <w:r w:rsidR="00242993">
        <w:t xml:space="preserve"> </w:t>
      </w:r>
    </w:p>
    <w:p w14:paraId="5761D4FA" w14:textId="77777777" w:rsidR="00A56EE9" w:rsidRPr="007F0D8F" w:rsidRDefault="00A56EE9" w:rsidP="00E3690C">
      <w:pPr>
        <w:spacing w:line="276" w:lineRule="auto"/>
      </w:pPr>
      <w:r>
        <w:t>T</w:t>
      </w:r>
      <w:r w:rsidRPr="007F0D8F">
        <w:t xml:space="preserve">he </w:t>
      </w:r>
      <w:bookmarkStart w:id="119" w:name="_Hlk508266326"/>
      <w:r w:rsidRPr="007F0D8F">
        <w:t xml:space="preserve">recognition of Indigenous heritage in </w:t>
      </w:r>
      <w:r>
        <w:t xml:space="preserve">the </w:t>
      </w:r>
      <w:r w:rsidRPr="007F0D8F">
        <w:t xml:space="preserve">management of the </w:t>
      </w:r>
      <w:r>
        <w:t>Region</w:t>
      </w:r>
      <w:r w:rsidRPr="007F0D8F">
        <w:t xml:space="preserve"> has progressively increased,</w:t>
      </w:r>
      <w:r>
        <w:t xml:space="preserve"> </w:t>
      </w:r>
      <w:r w:rsidRPr="007F0D8F">
        <w:t xml:space="preserve">and </w:t>
      </w:r>
      <w:r>
        <w:t xml:space="preserve">this recognition </w:t>
      </w:r>
      <w:r w:rsidRPr="007F0D8F">
        <w:t xml:space="preserve">is included in all documents produced by </w:t>
      </w:r>
      <w:r>
        <w:t>the Marine Park Authority</w:t>
      </w:r>
      <w:r w:rsidRPr="007F0D8F">
        <w:t xml:space="preserve"> and QPWS. The 2015 Intergovernmental agreement includes a commitment to “ensure that Indigenous traditional cultural practi</w:t>
      </w:r>
      <w:r w:rsidRPr="0025082A">
        <w:t>ces continue to be recognised in the conservation and management of the Great Barrier Reef”</w:t>
      </w:r>
      <w:bookmarkEnd w:id="119"/>
      <w:r w:rsidRPr="0025082A">
        <w:t>.</w:t>
      </w:r>
    </w:p>
    <w:bookmarkEnd w:id="118"/>
    <w:p w14:paraId="5761D4FB" w14:textId="77777777" w:rsidR="00A56EE9" w:rsidRPr="007F0D8F" w:rsidRDefault="00A56EE9" w:rsidP="00E3690C">
      <w:pPr>
        <w:spacing w:line="276" w:lineRule="auto"/>
      </w:pPr>
      <w:r w:rsidRPr="007F0D8F">
        <w:t xml:space="preserve">Knowledge of Indigenous heritage is held by the Traditional Owners, who decide what knowledge should be shared. </w:t>
      </w:r>
      <w:r>
        <w:t xml:space="preserve">In some places, initiatives such as the TUMRA agreements and Indigenous Land and Sea Ranger programs are assisting more Traditional Owners to access their sea country and to pass on knowledge from Elders to younger people. </w:t>
      </w:r>
      <w:r w:rsidRPr="007F0D8F">
        <w:t>There is concern that some places of special cultural importance as well as Indigenous structures, technology, tools and archaeology have not been systematically identified</w:t>
      </w:r>
      <w:r>
        <w:t>, and some are deteriorating</w:t>
      </w:r>
      <w:r w:rsidRPr="007F0D8F">
        <w:t xml:space="preserve">. Actions are underway to assist with documentation and decision-making: </w:t>
      </w:r>
    </w:p>
    <w:p w14:paraId="5761D4FC" w14:textId="6B4C9F46" w:rsidR="00A56EE9" w:rsidRPr="007F0D8F" w:rsidRDefault="00A56EE9" w:rsidP="00E3690C">
      <w:pPr>
        <w:pStyle w:val="ListParagraph"/>
        <w:numPr>
          <w:ilvl w:val="0"/>
          <w:numId w:val="19"/>
        </w:numPr>
        <w:spacing w:line="276" w:lineRule="auto"/>
      </w:pPr>
      <w:bookmarkStart w:id="120" w:name="_Hlk508266473"/>
      <w:r w:rsidRPr="007F0D8F">
        <w:t xml:space="preserve">The RIMReP data management project is developing a cultural protocol and a data sharing agreement template that could progress understanding of Aboriginal heritage while respecting the privacy of information. This project also </w:t>
      </w:r>
      <w:r w:rsidR="003021F5">
        <w:t xml:space="preserve">explores options for </w:t>
      </w:r>
      <w:r w:rsidRPr="007F0D8F">
        <w:t xml:space="preserve">the storage of cultural heritage information in a culturally appropriate way. </w:t>
      </w:r>
    </w:p>
    <w:p w14:paraId="5761D4FD" w14:textId="7587353D" w:rsidR="00A56EE9" w:rsidRPr="007F0D8F" w:rsidRDefault="003021F5" w:rsidP="00E3690C">
      <w:pPr>
        <w:pStyle w:val="ListParagraph"/>
        <w:numPr>
          <w:ilvl w:val="0"/>
          <w:numId w:val="19"/>
        </w:numPr>
        <w:spacing w:line="276" w:lineRule="auto"/>
      </w:pPr>
      <w:r>
        <w:t>Another</w:t>
      </w:r>
      <w:r w:rsidRPr="007F0D8F">
        <w:t xml:space="preserve"> </w:t>
      </w:r>
      <w:r w:rsidR="00A56EE9" w:rsidRPr="007F0D8F">
        <w:t>RIMReP project is also working to identify Indigenous heritage indicators and thresholds, but progress on this is limited to date.</w:t>
      </w:r>
      <w:bookmarkEnd w:id="120"/>
    </w:p>
    <w:p w14:paraId="5761D4FE" w14:textId="77777777" w:rsidR="00A56EE9" w:rsidRPr="007F0D8F" w:rsidRDefault="00A56EE9" w:rsidP="00E3690C">
      <w:pPr>
        <w:spacing w:line="276" w:lineRule="auto"/>
      </w:pPr>
      <w:r w:rsidRPr="007F0D8F">
        <w:t xml:space="preserve">A good example of </w:t>
      </w:r>
      <w:r>
        <w:t xml:space="preserve">Traditional Owner approved </w:t>
      </w:r>
      <w:r w:rsidRPr="007F0D8F">
        <w:t xml:space="preserve">knowledge gathering, storage and application is </w:t>
      </w:r>
      <w:r>
        <w:t>demonstrated by</w:t>
      </w:r>
      <w:r w:rsidRPr="007F0D8F">
        <w:t xml:space="preserve"> the </w:t>
      </w:r>
      <w:bookmarkStart w:id="121" w:name="_Hlk508266819"/>
      <w:r w:rsidRPr="007F0D8F">
        <w:t xml:space="preserve">Woppaburra Guidelines. The guidelines, adopted in July 2017, map important cultural heritage values in the Keppel Islands region. This work </w:t>
      </w:r>
      <w:r>
        <w:t>has</w:t>
      </w:r>
      <w:r w:rsidRPr="007F0D8F">
        <w:t xml:space="preserve"> help</w:t>
      </w:r>
      <w:r>
        <w:t>ed</w:t>
      </w:r>
      <w:r w:rsidRPr="007F0D8F">
        <w:t xml:space="preserve"> inform permit assessments, and Traditional Owners can also use the values mapping for other purposes as they choose. </w:t>
      </w:r>
      <w:bookmarkEnd w:id="121"/>
      <w:r w:rsidRPr="007F0D8F">
        <w:t>The intention is to develo</w:t>
      </w:r>
      <w:r>
        <w:t xml:space="preserve">p similar guidelines with other </w:t>
      </w:r>
      <w:r w:rsidRPr="007F0D8F">
        <w:t>Traditional Owner</w:t>
      </w:r>
      <w:r>
        <w:t>s as resources allow</w:t>
      </w:r>
      <w:r w:rsidRPr="007F0D8F">
        <w:t xml:space="preserve">. </w:t>
      </w:r>
    </w:p>
    <w:p w14:paraId="5761D4FF" w14:textId="77777777" w:rsidR="00A56EE9" w:rsidRDefault="00A56EE9" w:rsidP="00E3690C">
      <w:pPr>
        <w:spacing w:after="0" w:line="276" w:lineRule="auto"/>
        <w:rPr>
          <w:rFonts w:ascii="Times New Roman" w:hAnsi="Times New Roman" w:cs="Times New Roman"/>
          <w:sz w:val="24"/>
          <w:szCs w:val="24"/>
          <w:lang w:eastAsia="en-AU"/>
        </w:rPr>
      </w:pPr>
      <w:bookmarkStart w:id="122" w:name="_Hlk508267951"/>
      <w:r w:rsidRPr="007F0D8F">
        <w:t xml:space="preserve">Knowledge of historic heritage remains uneven, with thorough understanding of Commonwealth listed heritage places and priority shipwrecks, good understanding of some other sites, and </w:t>
      </w:r>
      <w:r>
        <w:t>less thorough</w:t>
      </w:r>
      <w:r w:rsidRPr="007F0D8F">
        <w:t xml:space="preserve"> knowledge of the remainder, including many shipwrecks and </w:t>
      </w:r>
      <w:r>
        <w:t>aircraft</w:t>
      </w:r>
      <w:r w:rsidRPr="007F0D8F">
        <w:t xml:space="preserve"> wrecks. It is not clear to what extent historical knowledge, such as of the history of conservation and science in the </w:t>
      </w:r>
      <w:r>
        <w:t>Region</w:t>
      </w:r>
      <w:r w:rsidRPr="007F0D8F">
        <w:t xml:space="preserve">, has been documented. </w:t>
      </w:r>
      <w:r>
        <w:t xml:space="preserve">The </w:t>
      </w:r>
      <w:r>
        <w:rPr>
          <w:rFonts w:eastAsia="Calibri"/>
        </w:rPr>
        <w:t>Marine Park Authority</w:t>
      </w:r>
      <w:r w:rsidRPr="007F0D8F">
        <w:rPr>
          <w:rFonts w:eastAsia="Calibri"/>
        </w:rPr>
        <w:t xml:space="preserve"> </w:t>
      </w:r>
      <w:r>
        <w:rPr>
          <w:rFonts w:eastAsia="Calibri"/>
        </w:rPr>
        <w:t>has developed</w:t>
      </w:r>
      <w:r w:rsidRPr="007F0D8F">
        <w:rPr>
          <w:rFonts w:eastAsia="Calibri"/>
        </w:rPr>
        <w:t xml:space="preserve"> a heritage register that will capture all values </w:t>
      </w:r>
      <w:r w:rsidRPr="00193911">
        <w:rPr>
          <w:rFonts w:eastAsia="Calibri"/>
        </w:rPr>
        <w:t>for each of the Commonwealth Heritage listed places within the Marine Park</w:t>
      </w:r>
      <w:bookmarkEnd w:id="122"/>
      <w:r>
        <w:rPr>
          <w:rFonts w:eastAsia="Calibri"/>
        </w:rPr>
        <w:t xml:space="preserve">. </w:t>
      </w:r>
      <w:r>
        <w:rPr>
          <w:rFonts w:eastAsia="Calibri" w:cs="Arial"/>
        </w:rPr>
        <w:t xml:space="preserve">The Australian National Shipwreck Database (ANSDB), established under the Australian Government’s </w:t>
      </w:r>
      <w:r>
        <w:rPr>
          <w:rFonts w:eastAsia="Calibri" w:cs="Arial"/>
          <w:i/>
        </w:rPr>
        <w:t>Historic Shipwrecks Act 1976</w:t>
      </w:r>
      <w:r>
        <w:rPr>
          <w:rFonts w:eastAsia="Calibri" w:cs="Arial"/>
        </w:rPr>
        <w:t>, documents known historic shipwrecks, aircraft and maritime heritage sites in Australian waters.</w:t>
      </w:r>
      <w:r>
        <w:rPr>
          <w:rFonts w:ascii="Times New Roman" w:hAnsi="Times New Roman" w:cs="Times New Roman"/>
          <w:sz w:val="24"/>
          <w:szCs w:val="24"/>
          <w:lang w:eastAsia="en-AU"/>
        </w:rPr>
        <w:t xml:space="preserve"> </w:t>
      </w:r>
    </w:p>
    <w:p w14:paraId="5761D500" w14:textId="77777777" w:rsidR="00A56EE9" w:rsidRPr="007F0D8F" w:rsidRDefault="00A56EE9" w:rsidP="00E3690C">
      <w:pPr>
        <w:spacing w:after="0" w:line="276" w:lineRule="auto"/>
        <w:rPr>
          <w:rFonts w:eastAsia="Calibri"/>
        </w:rPr>
      </w:pPr>
    </w:p>
    <w:p w14:paraId="5761D501" w14:textId="641B4BA0" w:rsidR="00A56EE9" w:rsidRPr="007F0D8F" w:rsidRDefault="00A56EE9" w:rsidP="00E3690C">
      <w:pPr>
        <w:spacing w:line="276" w:lineRule="auto"/>
      </w:pPr>
      <w:r w:rsidRPr="007F0D8F">
        <w:t xml:space="preserve">As part of RIMReP, social and economic monitoring is being boosted under </w:t>
      </w:r>
      <w:r>
        <w:t xml:space="preserve">the </w:t>
      </w:r>
      <w:r w:rsidRPr="007F0D8F">
        <w:t xml:space="preserve">Social and Economic Long-Term Monitoring Program </w:t>
      </w:r>
      <w:r>
        <w:t>(SELTMP) (Marshall et al. 2017</w:t>
      </w:r>
      <w:r w:rsidR="004710E2">
        <w:t>a</w:t>
      </w:r>
      <w:r>
        <w:t>).</w:t>
      </w:r>
      <w:r w:rsidRPr="007F0D8F">
        <w:t xml:space="preserve"> New questions were inserted into the </w:t>
      </w:r>
      <w:r>
        <w:t>SELTMP</w:t>
      </w:r>
      <w:r w:rsidRPr="007F0D8F">
        <w:t xml:space="preserve"> in 2017 to improve knowledge of the wider community’s perceptions and understanding of </w:t>
      </w:r>
      <w:r>
        <w:t>the Region’s</w:t>
      </w:r>
      <w:r w:rsidRPr="007F0D8F">
        <w:t xml:space="preserve"> heritage, including </w:t>
      </w:r>
      <w:r>
        <w:t xml:space="preserve">Indigenous and historic </w:t>
      </w:r>
      <w:r w:rsidRPr="007F0D8F">
        <w:t>heritage</w:t>
      </w:r>
      <w:r>
        <w:t xml:space="preserve"> (Marshall et al. 2017a)</w:t>
      </w:r>
      <w:r w:rsidRPr="007F0D8F">
        <w:t xml:space="preserve">. </w:t>
      </w:r>
      <w:r w:rsidRPr="007F0D8F">
        <w:rPr>
          <w:rFonts w:eastAsia="Calibri"/>
        </w:rPr>
        <w:t xml:space="preserve">Aesthetic values were assessed through the </w:t>
      </w:r>
      <w:r>
        <w:rPr>
          <w:rFonts w:eastAsia="Calibri"/>
        </w:rPr>
        <w:t>Great Barrier Reef Strategic Assessment</w:t>
      </w:r>
      <w:r w:rsidRPr="007F0D8F">
        <w:rPr>
          <w:rFonts w:eastAsia="Calibri"/>
        </w:rPr>
        <w:t xml:space="preserve"> and detailed report</w:t>
      </w:r>
      <w:r>
        <w:rPr>
          <w:rFonts w:eastAsia="Calibri"/>
        </w:rPr>
        <w:t>s relating to</w:t>
      </w:r>
      <w:r w:rsidRPr="007F0D8F">
        <w:rPr>
          <w:rFonts w:eastAsia="Calibri"/>
        </w:rPr>
        <w:t xml:space="preserve"> aesthetic values (Johnson and Smith, 2014). </w:t>
      </w:r>
      <w:r>
        <w:rPr>
          <w:rFonts w:eastAsia="Calibri"/>
        </w:rPr>
        <w:t>A RIMRe</w:t>
      </w:r>
      <w:r w:rsidRPr="007F0D8F">
        <w:rPr>
          <w:rFonts w:eastAsia="Calibri"/>
        </w:rPr>
        <w:t xml:space="preserve">P project </w:t>
      </w:r>
      <w:r>
        <w:rPr>
          <w:rFonts w:eastAsia="Calibri"/>
        </w:rPr>
        <w:t>has been undertaken</w:t>
      </w:r>
      <w:r w:rsidRPr="007F0D8F">
        <w:rPr>
          <w:rFonts w:eastAsia="Calibri"/>
        </w:rPr>
        <w:t xml:space="preserve"> </w:t>
      </w:r>
      <w:r>
        <w:rPr>
          <w:rFonts w:eastAsia="Calibri"/>
        </w:rPr>
        <w:t xml:space="preserve">to </w:t>
      </w:r>
      <w:r w:rsidRPr="007F0D8F">
        <w:rPr>
          <w:rFonts w:eastAsia="Calibri"/>
        </w:rPr>
        <w:t>identify and articulate aesthetic value</w:t>
      </w:r>
      <w:r>
        <w:rPr>
          <w:rFonts w:eastAsia="Calibri"/>
        </w:rPr>
        <w:t>;</w:t>
      </w:r>
      <w:r w:rsidRPr="007F0D8F">
        <w:rPr>
          <w:rFonts w:eastAsia="Calibri"/>
        </w:rPr>
        <w:t xml:space="preserve"> develop a tool to measure aesthetic indicators</w:t>
      </w:r>
      <w:r>
        <w:rPr>
          <w:rFonts w:eastAsia="Calibri"/>
        </w:rPr>
        <w:t>;</w:t>
      </w:r>
      <w:r w:rsidRPr="007F0D8F">
        <w:rPr>
          <w:rFonts w:eastAsia="Calibri"/>
        </w:rPr>
        <w:t xml:space="preserve"> prepare guidelines to benchmark, assess and monitor aesthetics</w:t>
      </w:r>
      <w:r>
        <w:rPr>
          <w:rFonts w:eastAsia="Calibri"/>
        </w:rPr>
        <w:t>;</w:t>
      </w:r>
      <w:r w:rsidRPr="007F0D8F">
        <w:rPr>
          <w:rFonts w:eastAsia="Calibri"/>
        </w:rPr>
        <w:t xml:space="preserve"> trial a monitoring program; and </w:t>
      </w:r>
      <w:r>
        <w:rPr>
          <w:rFonts w:eastAsia="Calibri"/>
        </w:rPr>
        <w:t>to develop</w:t>
      </w:r>
      <w:r w:rsidRPr="007F0D8F">
        <w:rPr>
          <w:rFonts w:eastAsia="Calibri"/>
        </w:rPr>
        <w:t xml:space="preserve"> an integrated citizen-science platform that can be used to monitor aesthetics in the Marine Park</w:t>
      </w:r>
      <w:r>
        <w:rPr>
          <w:rFonts w:eastAsia="Calibri"/>
        </w:rPr>
        <w:t xml:space="preserve"> (Marshall et al., 2017b).</w:t>
      </w:r>
    </w:p>
    <w:p w14:paraId="5761D502" w14:textId="77777777" w:rsidR="00A56EE9" w:rsidRDefault="00A56EE9" w:rsidP="00E3690C">
      <w:pPr>
        <w:shd w:val="clear" w:color="auto" w:fill="FFFFFF" w:themeFill="background1"/>
        <w:spacing w:after="200" w:line="276" w:lineRule="auto"/>
        <w:rPr>
          <w:rFonts w:eastAsia="Calibri"/>
        </w:rPr>
      </w:pPr>
      <w:r w:rsidRPr="007F0D8F">
        <w:rPr>
          <w:rFonts w:eastAsia="Calibri"/>
        </w:rPr>
        <w:t xml:space="preserve">Legislative changes have increased the ability to protect historic sites. In 2015 </w:t>
      </w:r>
      <w:bookmarkStart w:id="123" w:name="_Hlk508268221"/>
      <w:r w:rsidRPr="007F0D8F">
        <w:rPr>
          <w:rFonts w:eastAsia="Calibri"/>
        </w:rPr>
        <w:t>a specific type of Special Management Area</w:t>
      </w:r>
      <w:r>
        <w:rPr>
          <w:rFonts w:eastAsia="Calibri"/>
        </w:rPr>
        <w:t xml:space="preserve"> (SMA),</w:t>
      </w:r>
      <w:r w:rsidRPr="007F0D8F">
        <w:rPr>
          <w:rFonts w:eastAsia="Calibri"/>
        </w:rPr>
        <w:t xml:space="preserve"> the Maritime Cultural Heritage Protection SMA</w:t>
      </w:r>
      <w:r>
        <w:rPr>
          <w:rFonts w:eastAsia="Calibri"/>
        </w:rPr>
        <w:t>,</w:t>
      </w:r>
      <w:r w:rsidRPr="007F0D8F">
        <w:rPr>
          <w:rFonts w:eastAsia="Calibri"/>
        </w:rPr>
        <w:t xml:space="preserve"> was created under the </w:t>
      </w:r>
      <w:r w:rsidRPr="00BF07EE">
        <w:rPr>
          <w:rFonts w:eastAsia="Calibri"/>
          <w:i/>
        </w:rPr>
        <w:t>Great Barrier Reef Marine Park Regulations 1983</w:t>
      </w:r>
      <w:r w:rsidRPr="007F0D8F">
        <w:rPr>
          <w:rFonts w:eastAsia="Calibri"/>
        </w:rPr>
        <w:t xml:space="preserve"> to protect maritime cultural sites. </w:t>
      </w:r>
      <w:bookmarkEnd w:id="123"/>
      <w:r w:rsidRPr="007F0D8F">
        <w:rPr>
          <w:rFonts w:eastAsia="Calibri"/>
        </w:rPr>
        <w:t>Two Catalina aeroplane wrecks</w:t>
      </w:r>
      <w:r>
        <w:rPr>
          <w:rFonts w:eastAsia="Calibri"/>
        </w:rPr>
        <w:t xml:space="preserve"> dating from World War II</w:t>
      </w:r>
      <w:r w:rsidRPr="007F0D8F">
        <w:rPr>
          <w:rFonts w:eastAsia="Calibri"/>
        </w:rPr>
        <w:t xml:space="preserve"> are now protected under a Maritime Cultural Heritage Protection SMA. Twenty-five men were lost on the two Catalinas and their bodies </w:t>
      </w:r>
      <w:r>
        <w:rPr>
          <w:rFonts w:eastAsia="Calibri"/>
        </w:rPr>
        <w:t>were never recovered</w:t>
      </w:r>
      <w:r w:rsidRPr="007F0D8F">
        <w:rPr>
          <w:rFonts w:eastAsia="Calibri"/>
        </w:rPr>
        <w:t xml:space="preserve">. </w:t>
      </w:r>
      <w:r>
        <w:rPr>
          <w:rFonts w:eastAsia="Calibri"/>
        </w:rPr>
        <w:t>There are no SMAs relating to Indigenous sites.</w:t>
      </w:r>
    </w:p>
    <w:p w14:paraId="5761D503" w14:textId="77777777" w:rsidR="00A56EE9" w:rsidRPr="004D38FD" w:rsidRDefault="00A56EE9" w:rsidP="00E3690C">
      <w:pPr>
        <w:shd w:val="clear" w:color="auto" w:fill="FFFFFF" w:themeFill="background1"/>
        <w:spacing w:after="200" w:line="276" w:lineRule="auto"/>
        <w:rPr>
          <w:rFonts w:cs="Arial"/>
        </w:rPr>
      </w:pPr>
      <w:r>
        <w:rPr>
          <w:rFonts w:eastAsia="Calibri" w:cs="Arial"/>
        </w:rPr>
        <w:t xml:space="preserve">The Australian Government’s </w:t>
      </w:r>
      <w:r w:rsidRPr="003173ED">
        <w:rPr>
          <w:rFonts w:eastAsia="Calibri" w:cs="Arial"/>
          <w:i/>
        </w:rPr>
        <w:t>Underwater Cultural Heritage Act 2018</w:t>
      </w:r>
      <w:r>
        <w:rPr>
          <w:rFonts w:eastAsia="Calibri" w:cs="Arial"/>
        </w:rPr>
        <w:t xml:space="preserve"> extends protections currently conferred to historic shipwrecks in Australian waters to historic aircraft wrecks and other forms of underwater cultural heritage in Commonwealth waters. This is intended to enable Australia to ratify the </w:t>
      </w:r>
      <w:r>
        <w:rPr>
          <w:rFonts w:eastAsia="Calibri" w:cs="Arial"/>
          <w:i/>
        </w:rPr>
        <w:t>United Nations Educational, Scientific and Cultural Organisation’s (UNESCO) Convention for the Protection of the Underwater Cultural Heritage</w:t>
      </w:r>
      <w:r>
        <w:rPr>
          <w:rFonts w:eastAsia="Calibri" w:cs="Arial"/>
        </w:rPr>
        <w:t>.</w:t>
      </w:r>
    </w:p>
    <w:p w14:paraId="5761D504" w14:textId="1112D1BA" w:rsidR="00A56EE9" w:rsidRPr="007F0D8F" w:rsidRDefault="00A56EE9" w:rsidP="00E3690C">
      <w:pPr>
        <w:spacing w:line="276" w:lineRule="auto"/>
      </w:pPr>
      <w:bookmarkStart w:id="124" w:name="_Hlk508267901"/>
      <w:r w:rsidRPr="007F0D8F">
        <w:t>The Reef 2050 Plan includes a heritage theme, and this has stimulated further action in planning for heritage and in engagement with Traditional Owners</w:t>
      </w:r>
      <w:bookmarkEnd w:id="124"/>
      <w:r>
        <w:t>. In addition,</w:t>
      </w:r>
      <w:r w:rsidRPr="007A4A90">
        <w:t xml:space="preserve"> </w:t>
      </w:r>
      <w:r>
        <w:t xml:space="preserve">the Reef 2050 Traditional Owner Aspirations Project beginning in 2018 is led by Traditional Owners to better understand and reflect their aspirations for the protection and management of the Great Barrier Reef. This information will </w:t>
      </w:r>
      <w:r w:rsidR="00A856FF">
        <w:t>inform future</w:t>
      </w:r>
      <w:r>
        <w:t xml:space="preserve"> reviews of the Reef 2050 </w:t>
      </w:r>
      <w:r w:rsidR="00A856FF">
        <w:t>Plan</w:t>
      </w:r>
      <w:r>
        <w:t xml:space="preserve">. </w:t>
      </w:r>
      <w:r w:rsidRPr="007F0D8F">
        <w:t xml:space="preserve">One key action from the </w:t>
      </w:r>
      <w:r>
        <w:t>Reef 2050 P</w:t>
      </w:r>
      <w:r w:rsidRPr="007F0D8F">
        <w:t>lan was to update the 2005</w:t>
      </w:r>
      <w:r w:rsidRPr="007F0D8F">
        <w:rPr>
          <w:rFonts w:eastAsia="Calibri"/>
        </w:rPr>
        <w:t xml:space="preserve"> Heritage Strategy. </w:t>
      </w:r>
      <w:r>
        <w:rPr>
          <w:rFonts w:eastAsia="Calibri"/>
        </w:rPr>
        <w:t>A</w:t>
      </w:r>
      <w:r w:rsidRPr="007F0D8F">
        <w:rPr>
          <w:rFonts w:eastAsia="Calibri"/>
        </w:rPr>
        <w:t xml:space="preserve"> new </w:t>
      </w:r>
      <w:r>
        <w:rPr>
          <w:rFonts w:eastAsia="Calibri"/>
        </w:rPr>
        <w:t xml:space="preserve">overarching </w:t>
      </w:r>
      <w:r w:rsidRPr="007F0D8F">
        <w:rPr>
          <w:rFonts w:eastAsia="Calibri"/>
        </w:rPr>
        <w:t xml:space="preserve">strategy </w:t>
      </w:r>
      <w:bookmarkStart w:id="125" w:name="_Hlk508268306"/>
      <w:r w:rsidRPr="001C3A06">
        <w:rPr>
          <w:rFonts w:eastAsia="Calibri"/>
          <w:i/>
        </w:rPr>
        <w:t>‘Heritage in the Great Barrier Reef Marine Park’</w:t>
      </w:r>
      <w:bookmarkEnd w:id="125"/>
      <w:r w:rsidRPr="007F0D8F">
        <w:rPr>
          <w:rFonts w:eastAsia="Calibri"/>
        </w:rPr>
        <w:t xml:space="preserve"> has been drafted</w:t>
      </w:r>
      <w:r>
        <w:rPr>
          <w:rFonts w:eastAsia="Calibri"/>
        </w:rPr>
        <w:t xml:space="preserve"> and includes</w:t>
      </w:r>
      <w:r w:rsidRPr="007F0D8F">
        <w:t xml:space="preserve"> a thorough overview of the national and international context, guiding principles and some broad directions but </w:t>
      </w:r>
      <w:r>
        <w:t xml:space="preserve">there are doubts about whether this document will be completed, and it </w:t>
      </w:r>
      <w:r w:rsidRPr="007F0D8F">
        <w:t>does not yet include clear targets and actions. Two other heritage documents are nested within this</w:t>
      </w:r>
      <w:r>
        <w:t>.</w:t>
      </w:r>
      <w:r w:rsidRPr="007F0D8F">
        <w:t xml:space="preserve"> </w:t>
      </w:r>
      <w:r>
        <w:t>T</w:t>
      </w:r>
      <w:r w:rsidRPr="007F0D8F">
        <w:t xml:space="preserve">he </w:t>
      </w:r>
      <w:r w:rsidRPr="001C3A06">
        <w:rPr>
          <w:i/>
        </w:rPr>
        <w:t>Great Barrier Reef Marine Park Commonwealth Heritage Listed Places and Properties Heritage Strategy 2018-2021</w:t>
      </w:r>
      <w:r>
        <w:t xml:space="preserve"> has been completed but is much more limited in its scope. T</w:t>
      </w:r>
      <w:r w:rsidRPr="007F0D8F">
        <w:t xml:space="preserve">he </w:t>
      </w:r>
      <w:bookmarkStart w:id="126" w:name="_Hlk508268360"/>
      <w:r w:rsidR="00A856FF">
        <w:t xml:space="preserve">draft </w:t>
      </w:r>
      <w:r w:rsidRPr="001C3A06">
        <w:rPr>
          <w:i/>
        </w:rPr>
        <w:t>Aboriginal and Torres Strait Islander Heritage Strategy 2018-2022</w:t>
      </w:r>
      <w:r w:rsidRPr="007F0D8F">
        <w:t xml:space="preserve"> </w:t>
      </w:r>
      <w:bookmarkEnd w:id="126"/>
      <w:r>
        <w:t>se</w:t>
      </w:r>
      <w:r w:rsidRPr="007F0D8F">
        <w:t xml:space="preserve">ts out outcomes, objectives and actions for gaining more information </w:t>
      </w:r>
      <w:r>
        <w:t xml:space="preserve">and </w:t>
      </w:r>
      <w:r w:rsidRPr="007F0D8F">
        <w:t>protecting and managing Indigenous heritage</w:t>
      </w:r>
      <w:r>
        <w:t>. There was</w:t>
      </w:r>
      <w:r w:rsidRPr="007F0D8F">
        <w:t xml:space="preserve"> extensive involvement of </w:t>
      </w:r>
      <w:r>
        <w:t xml:space="preserve">engagement with more than 20 </w:t>
      </w:r>
      <w:r w:rsidRPr="007F0D8F">
        <w:t>Traditional Owner</w:t>
      </w:r>
      <w:r>
        <w:t xml:space="preserve"> group</w:t>
      </w:r>
      <w:r w:rsidRPr="007F0D8F">
        <w:t>s</w:t>
      </w:r>
      <w:r>
        <w:t xml:space="preserve"> during its development phase as well as a program of public consultation. </w:t>
      </w:r>
    </w:p>
    <w:p w14:paraId="5761D505" w14:textId="77777777" w:rsidR="00A56EE9" w:rsidRPr="007F0D8F" w:rsidRDefault="00A56EE9" w:rsidP="00E3690C">
      <w:pPr>
        <w:spacing w:line="276" w:lineRule="auto"/>
      </w:pPr>
      <w:r w:rsidRPr="007F0D8F">
        <w:t xml:space="preserve">Planning for Indigenous heritage matters in the </w:t>
      </w:r>
      <w:r>
        <w:t>Region</w:t>
      </w:r>
      <w:r w:rsidRPr="007F0D8F">
        <w:t xml:space="preserve"> is very complex, involving an array of agency strategic plans, zoning plans, management plans for island national parks, and more specific topic-based plans. All are improving in their recognition of the central role and rights of Indigenous people, but specific and timebound actions are less common. As with other matters, separating heritage plans for state-owned islands and coasts from the adjacent reefs makes little sense to Traditional Owners or the public, especially within the </w:t>
      </w:r>
      <w:r>
        <w:t>W</w:t>
      </w:r>
      <w:r w:rsidRPr="007F0D8F">
        <w:t xml:space="preserve">orld Heritage Area. It has been proposed that more Sea Plans or Land and Sea Plans covering traditional sea country of groups should be produced to specifically focus on Indigenous matters across tenures </w:t>
      </w:r>
      <w:r w:rsidRPr="007F0D8F">
        <w:rPr>
          <w:noProof/>
        </w:rPr>
        <w:t>(Dale et al., 2016)</w:t>
      </w:r>
      <w:r w:rsidRPr="007F0D8F">
        <w:t xml:space="preserve">. </w:t>
      </w:r>
    </w:p>
    <w:p w14:paraId="5761D506" w14:textId="5D5AE008" w:rsidR="00A56EE9" w:rsidRPr="007F0D8F" w:rsidRDefault="00A56EE9" w:rsidP="00E3690C">
      <w:pPr>
        <w:spacing w:line="276" w:lineRule="auto"/>
      </w:pPr>
      <w:r w:rsidRPr="007F0D8F">
        <w:t xml:space="preserve">Plans of </w:t>
      </w:r>
      <w:r w:rsidR="00B026A1">
        <w:t>M</w:t>
      </w:r>
      <w:r w:rsidR="00B026A1" w:rsidRPr="007F0D8F">
        <w:t xml:space="preserve">anagement </w:t>
      </w:r>
      <w:r w:rsidRPr="007F0D8F">
        <w:t>have not in the past addressed</w:t>
      </w:r>
      <w:r>
        <w:t xml:space="preserve"> Indigenous and historic</w:t>
      </w:r>
      <w:r w:rsidRPr="007F0D8F">
        <w:t xml:space="preserve"> heritage in detail. However, the Whitsundays Plan of Management was updated in 2017 and more thoroughly addresses the three types of heritage value</w:t>
      </w:r>
      <w:r w:rsidR="00B026A1">
        <w:t>s</w:t>
      </w:r>
      <w:r w:rsidRPr="007F0D8F">
        <w:t xml:space="preserve"> (natural, Indigenous and historic). The QPWS </w:t>
      </w:r>
      <w:r>
        <w:t>v</w:t>
      </w:r>
      <w:r w:rsidRPr="007F0D8F">
        <w:t>alues</w:t>
      </w:r>
      <w:r>
        <w:t>-b</w:t>
      </w:r>
      <w:r w:rsidRPr="007F0D8F">
        <w:t xml:space="preserve">ased </w:t>
      </w:r>
      <w:r>
        <w:t>p</w:t>
      </w:r>
      <w:r w:rsidRPr="007F0D8F">
        <w:t xml:space="preserve">lanning </w:t>
      </w:r>
      <w:r>
        <w:t>f</w:t>
      </w:r>
      <w:r w:rsidRPr="007F0D8F">
        <w:t>ramework also recognises indigenous cultural values as a significant focus of national park planning. For example, the 2017 Hinchinbrook Island National Park Management Plan identifies Traditional Owner connection to country as a ‘key value’ and</w:t>
      </w:r>
      <w:r>
        <w:t xml:space="preserve"> </w:t>
      </w:r>
      <w:r w:rsidRPr="007F0D8F">
        <w:t>provides desired outcomes and strategic management directions to enhance the island’s indigenous heritage values</w:t>
      </w:r>
    </w:p>
    <w:p w14:paraId="5761D507" w14:textId="77777777" w:rsidR="00A56EE9" w:rsidRPr="007F0D8F" w:rsidRDefault="00A56EE9" w:rsidP="00E3690C">
      <w:pPr>
        <w:spacing w:line="276" w:lineRule="auto"/>
      </w:pPr>
      <w:r w:rsidRPr="007F0D8F">
        <w:t xml:space="preserve">In 2016-17, several guidelines and policies were developed to improve protection of Indigenous and historic heritage values. These new policies put in place guidance and rules for internal agency assessors (assessing permit applications) and proponents who apply for permits to ensure everything is done to consider impacts on Indigenous heritage and pre-emptively avoid or mitigate those. The historic heritage guidelines consider three </w:t>
      </w:r>
      <w:r>
        <w:t xml:space="preserve">components </w:t>
      </w:r>
      <w:r w:rsidRPr="007F0D8F">
        <w:t xml:space="preserve">of the </w:t>
      </w:r>
      <w:r>
        <w:t>Region</w:t>
      </w:r>
      <w:r w:rsidRPr="007F0D8F">
        <w:t>: World War II features and sites, historic voyages and shipwrecks, and other places of historic significance. Traditional Owner heritage assessment guidelines provide a list of hazards and the potential impacts on Indigenous heritage values.</w:t>
      </w:r>
    </w:p>
    <w:p w14:paraId="5761D508" w14:textId="48B11CBD" w:rsidR="00A56EE9" w:rsidRPr="007F0D8F" w:rsidRDefault="00A56EE9" w:rsidP="00E3690C">
      <w:pPr>
        <w:spacing w:line="276" w:lineRule="auto"/>
      </w:pPr>
      <w:r w:rsidRPr="007F0D8F">
        <w:t xml:space="preserve">Advances have been made in the employment of Indigenous people across the </w:t>
      </w:r>
      <w:r>
        <w:t>Region</w:t>
      </w:r>
      <w:r w:rsidRPr="007F0D8F">
        <w:t xml:space="preserve"> in a number of ways, including as core staff with </w:t>
      </w:r>
      <w:r>
        <w:t>the Marine Park Authority</w:t>
      </w:r>
      <w:r w:rsidRPr="007F0D8F">
        <w:t xml:space="preserve"> and QPWS (Indigenous staff </w:t>
      </w:r>
      <w:r>
        <w:t>comprise</w:t>
      </w:r>
      <w:r w:rsidRPr="007F0D8F">
        <w:t xml:space="preserve"> </w:t>
      </w:r>
      <w:r>
        <w:t>7 per cent</w:t>
      </w:r>
      <w:r w:rsidRPr="007F0D8F">
        <w:t xml:space="preserve"> of the Field Management Program) and as Indigenous Rangers funded by the </w:t>
      </w:r>
      <w:r>
        <w:t>Queensland</w:t>
      </w:r>
      <w:r w:rsidRPr="007F0D8F">
        <w:t xml:space="preserve"> and </w:t>
      </w:r>
      <w:r>
        <w:t>Australian Government</w:t>
      </w:r>
      <w:r w:rsidRPr="007F0D8F">
        <w:t xml:space="preserve"> programs. </w:t>
      </w:r>
      <w:r>
        <w:t>Australian Government f</w:t>
      </w:r>
      <w:r w:rsidRPr="007F0D8F">
        <w:t>unding for the</w:t>
      </w:r>
      <w:r>
        <w:t xml:space="preserve"> </w:t>
      </w:r>
      <w:r w:rsidRPr="007F0D8F">
        <w:t>programs has been uncertain at times, making it difficult for organisations and individuals to plan for their future.</w:t>
      </w:r>
      <w:r>
        <w:t xml:space="preserve"> However, i</w:t>
      </w:r>
      <w:r w:rsidRPr="007F0D8F">
        <w:t>t appears that recent commitments by governments will allow for an increase in the number of Indigenous Rangers</w:t>
      </w:r>
      <w:r>
        <w:t xml:space="preserve"> and more sustainable funding</w:t>
      </w:r>
      <w:r w:rsidRPr="007F0D8F">
        <w:t xml:space="preserve">, delivering benefits to both environment and community </w:t>
      </w:r>
      <w:r w:rsidRPr="007F0D8F">
        <w:rPr>
          <w:noProof/>
        </w:rPr>
        <w:t>(van Bueren et al., 2015)</w:t>
      </w:r>
      <w:r w:rsidRPr="007F0D8F">
        <w:t>.</w:t>
      </w:r>
      <w:r>
        <w:t xml:space="preserve"> </w:t>
      </w:r>
    </w:p>
    <w:p w14:paraId="5761D509" w14:textId="43914963" w:rsidR="00A56EE9" w:rsidRPr="007F0D8F" w:rsidRDefault="00A56EE9" w:rsidP="00E3690C">
      <w:pPr>
        <w:spacing w:line="276" w:lineRule="auto"/>
      </w:pPr>
      <w:r w:rsidRPr="007F0D8F">
        <w:t xml:space="preserve">Traditional Owners also play a vital role in managing </w:t>
      </w:r>
      <w:r>
        <w:t>their s</w:t>
      </w:r>
      <w:r w:rsidRPr="007F0D8F">
        <w:t xml:space="preserve">ea </w:t>
      </w:r>
      <w:r>
        <w:t>c</w:t>
      </w:r>
      <w:r w:rsidRPr="007F0D8F">
        <w:t>ountry through their own organisations. There has been a</w:t>
      </w:r>
      <w:r w:rsidR="00B026A1">
        <w:t>n</w:t>
      </w:r>
      <w:r w:rsidRPr="007F0D8F">
        <w:t xml:space="preserve"> increase</w:t>
      </w:r>
      <w:r w:rsidR="00B026A1">
        <w:t>d</w:t>
      </w:r>
      <w:r w:rsidRPr="007F0D8F">
        <w:t xml:space="preserve"> presence of Traditional Owners on boats through the Field Management Program</w:t>
      </w:r>
      <w:r w:rsidR="00B026A1">
        <w:t>. For example</w:t>
      </w:r>
      <w:proofErr w:type="gramStart"/>
      <w:r w:rsidR="00B026A1">
        <w:t xml:space="preserve">, </w:t>
      </w:r>
      <w:r w:rsidRPr="007F0D8F">
        <w:t xml:space="preserve"> </w:t>
      </w:r>
      <w:bookmarkStart w:id="127" w:name="_Hlk508267123"/>
      <w:r w:rsidRPr="007F0D8F">
        <w:t>Traditional</w:t>
      </w:r>
      <w:proofErr w:type="gramEnd"/>
      <w:r w:rsidRPr="007F0D8F">
        <w:t xml:space="preserve"> Owners spent </w:t>
      </w:r>
      <w:r>
        <w:t xml:space="preserve">420 </w:t>
      </w:r>
      <w:r w:rsidRPr="007F0D8F">
        <w:t>days on field management vessels</w:t>
      </w:r>
      <w:r>
        <w:t xml:space="preserve"> in 2016-17</w:t>
      </w:r>
      <w:r w:rsidRPr="007F0D8F">
        <w:t xml:space="preserve"> </w:t>
      </w:r>
      <w:r>
        <w:t xml:space="preserve">and </w:t>
      </w:r>
      <w:r w:rsidRPr="007F0D8F">
        <w:t>574</w:t>
      </w:r>
      <w:r>
        <w:t xml:space="preserve"> </w:t>
      </w:r>
      <w:r w:rsidRPr="007F0D8F">
        <w:t>in 2015–16; a significant increase compared to 143 days in 2013–14</w:t>
      </w:r>
      <w:r>
        <w:t>.</w:t>
      </w:r>
      <w:r w:rsidRPr="007F0D8F">
        <w:t xml:space="preserve"> This has many benefits, including the informal field training of non-Indigenous staff in Indigenous culture as well as increasing management capacity of Traditional Owners and enabling them to visit country that is difficult to access without an appropriate vessel</w:t>
      </w:r>
      <w:bookmarkEnd w:id="127"/>
      <w:r w:rsidRPr="007F0D8F">
        <w:t>.</w:t>
      </w:r>
    </w:p>
    <w:p w14:paraId="5761D50A" w14:textId="493B99EA" w:rsidR="00A56EE9" w:rsidRPr="007F0D8F" w:rsidRDefault="00A56EE9" w:rsidP="00E3690C">
      <w:pPr>
        <w:spacing w:line="276" w:lineRule="auto"/>
      </w:pPr>
      <w:r w:rsidRPr="007F0D8F">
        <w:t xml:space="preserve">Staff and financial resourcing of historic heritage management could never be considered adequate if the target </w:t>
      </w:r>
      <w:r>
        <w:t>is</w:t>
      </w:r>
      <w:r w:rsidRPr="007F0D8F">
        <w:t xml:space="preserve"> to survey, assess and manage all sites of potential historic importance. </w:t>
      </w:r>
      <w:r w:rsidRPr="009A2DFA">
        <w:t>The Region is better resourced in this regard than many other places, though there is limited ability to proactively protect sites including shipwrecks and plane wrecks that have not been documented. Resourcing for Commonwealth listed places remains good.</w:t>
      </w:r>
    </w:p>
    <w:p w14:paraId="5761D50B" w14:textId="77777777" w:rsidR="00A56EE9" w:rsidRPr="007F0D8F" w:rsidRDefault="00A56EE9" w:rsidP="00E3690C">
      <w:pPr>
        <w:spacing w:line="276" w:lineRule="auto"/>
      </w:pPr>
      <w:r w:rsidRPr="007F0D8F">
        <w:t xml:space="preserve">Some training in maritime heritage conservation has been undertaken by </w:t>
      </w:r>
      <w:r>
        <w:t>staff from the Marine Park Authority</w:t>
      </w:r>
      <w:r w:rsidRPr="007F0D8F">
        <w:t xml:space="preserve"> and </w:t>
      </w:r>
      <w:r>
        <w:t>Field Management Program</w:t>
      </w:r>
      <w:r w:rsidRPr="007F0D8F">
        <w:t xml:space="preserve">. QPWS staff in the </w:t>
      </w:r>
      <w:r>
        <w:t>Field Management Program</w:t>
      </w:r>
      <w:r w:rsidRPr="007F0D8F">
        <w:t xml:space="preserve"> have undergone cultural capability training, but </w:t>
      </w:r>
      <w:r>
        <w:t>the Marine Park Authority</w:t>
      </w:r>
      <w:r w:rsidRPr="007F0D8F">
        <w:t xml:space="preserve"> </w:t>
      </w:r>
      <w:r>
        <w:t>lacks</w:t>
      </w:r>
      <w:r w:rsidRPr="007F0D8F">
        <w:t xml:space="preserve"> a comprehensive cultural competency program. </w:t>
      </w:r>
    </w:p>
    <w:p w14:paraId="5761D50C" w14:textId="57887348" w:rsidR="00A56EE9" w:rsidRPr="007F0D8F" w:rsidRDefault="00A56EE9" w:rsidP="00E3690C">
      <w:pPr>
        <w:spacing w:line="276" w:lineRule="auto"/>
        <w:rPr>
          <w:rFonts w:eastAsia="Calibri"/>
        </w:rPr>
      </w:pPr>
      <w:bookmarkStart w:id="128" w:name="_Hlk508267331"/>
      <w:r w:rsidRPr="007F0D8F">
        <w:rPr>
          <w:rFonts w:eastAsia="Calibri"/>
        </w:rPr>
        <w:t xml:space="preserve">An informal </w:t>
      </w:r>
      <w:r w:rsidR="00B026A1" w:rsidRPr="00B026A1">
        <w:rPr>
          <w:rFonts w:eastAsia="Calibri"/>
        </w:rPr>
        <w:t xml:space="preserve">interdepartmental </w:t>
      </w:r>
      <w:r w:rsidRPr="007F0D8F">
        <w:rPr>
          <w:rFonts w:eastAsia="Calibri"/>
        </w:rPr>
        <w:t xml:space="preserve">working group has been formed to increase alignment and consistency between Indigenous Ranger programs, the </w:t>
      </w:r>
      <w:r>
        <w:rPr>
          <w:rFonts w:eastAsia="Calibri"/>
        </w:rPr>
        <w:t>F</w:t>
      </w:r>
      <w:r w:rsidRPr="007F0D8F">
        <w:rPr>
          <w:rFonts w:eastAsia="Calibri"/>
        </w:rPr>
        <w:t xml:space="preserve">ield </w:t>
      </w:r>
      <w:r>
        <w:rPr>
          <w:rFonts w:eastAsia="Calibri"/>
        </w:rPr>
        <w:t>M</w:t>
      </w:r>
      <w:r w:rsidRPr="007F0D8F">
        <w:rPr>
          <w:rFonts w:eastAsia="Calibri"/>
        </w:rPr>
        <w:t xml:space="preserve">anagement </w:t>
      </w:r>
      <w:r>
        <w:rPr>
          <w:rFonts w:eastAsia="Calibri"/>
        </w:rPr>
        <w:t>P</w:t>
      </w:r>
      <w:r w:rsidRPr="007F0D8F">
        <w:rPr>
          <w:rFonts w:eastAsia="Calibri"/>
        </w:rPr>
        <w:t>rogram and the TUMRA program.</w:t>
      </w:r>
      <w:bookmarkEnd w:id="128"/>
      <w:r w:rsidRPr="007F0D8F">
        <w:rPr>
          <w:rFonts w:eastAsia="Calibri"/>
        </w:rPr>
        <w:t xml:space="preserve"> Field Management Program Annual Business Plans now recognise Indigenous engagement as a standalone high</w:t>
      </w:r>
      <w:r>
        <w:rPr>
          <w:rFonts w:eastAsia="Calibri"/>
        </w:rPr>
        <w:t>-</w:t>
      </w:r>
      <w:r w:rsidRPr="007F0D8F">
        <w:rPr>
          <w:rFonts w:eastAsia="Calibri"/>
        </w:rPr>
        <w:t xml:space="preserve">level strategy with specific targets, performance indicators and activities that promote indigenous partnerships in heritage management (see </w:t>
      </w:r>
      <w:r>
        <w:rPr>
          <w:rFonts w:eastAsia="Calibri"/>
        </w:rPr>
        <w:t>Field Management Program 5-</w:t>
      </w:r>
      <w:r w:rsidRPr="007F0D8F">
        <w:rPr>
          <w:rFonts w:eastAsia="Calibri"/>
        </w:rPr>
        <w:t xml:space="preserve">year business strategy). The </w:t>
      </w:r>
      <w:r>
        <w:rPr>
          <w:rFonts w:eastAsia="Calibri"/>
        </w:rPr>
        <w:t>p</w:t>
      </w:r>
      <w:r w:rsidRPr="007F0D8F">
        <w:rPr>
          <w:rFonts w:eastAsia="Calibri"/>
        </w:rPr>
        <w:t xml:space="preserve">rogram focuses on the implementation and field delivery of agreements, and mentoring, </w:t>
      </w:r>
      <w:r>
        <w:rPr>
          <w:rFonts w:eastAsia="Calibri"/>
        </w:rPr>
        <w:t>training</w:t>
      </w:r>
      <w:r w:rsidRPr="007F0D8F">
        <w:rPr>
          <w:rFonts w:eastAsia="Calibri"/>
        </w:rPr>
        <w:t xml:space="preserve"> and empowering of Land and Sea Rangers and Indigenous Compliance Officers. It is responsible for protecting </w:t>
      </w:r>
      <w:r>
        <w:rPr>
          <w:rFonts w:eastAsia="Calibri"/>
        </w:rPr>
        <w:t xml:space="preserve">both Indigenous and historic </w:t>
      </w:r>
      <w:r w:rsidRPr="007F0D8F">
        <w:rPr>
          <w:rFonts w:eastAsia="Calibri"/>
        </w:rPr>
        <w:t>heritage values on island national parks and Commonwealth islands, including story places and other locations of ceremonial and spiritual significance. This is typically through education or compliance with legislation. If active maintenance or restoration works are necessary</w:t>
      </w:r>
      <w:r>
        <w:rPr>
          <w:rFonts w:eastAsia="Calibri"/>
        </w:rPr>
        <w:t>,</w:t>
      </w:r>
      <w:r w:rsidRPr="007F0D8F">
        <w:rPr>
          <w:rFonts w:eastAsia="Calibri"/>
        </w:rPr>
        <w:t xml:space="preserve"> they are undertaken in partnership with Aboriginal and Torres Strait Islander people.</w:t>
      </w:r>
      <w:r w:rsidR="00242993">
        <w:rPr>
          <w:rFonts w:eastAsia="Calibri"/>
        </w:rPr>
        <w:t xml:space="preserve"> </w:t>
      </w:r>
    </w:p>
    <w:p w14:paraId="5761D50D" w14:textId="06A95F53" w:rsidR="00A56EE9" w:rsidRPr="007F0D8F" w:rsidRDefault="00A56EE9" w:rsidP="00E3690C">
      <w:pPr>
        <w:spacing w:line="276" w:lineRule="auto"/>
      </w:pPr>
      <w:r w:rsidRPr="007F0D8F">
        <w:t xml:space="preserve">Indigenous </w:t>
      </w:r>
      <w:r>
        <w:t xml:space="preserve">Reef </w:t>
      </w:r>
      <w:r w:rsidRPr="007F0D8F">
        <w:t>Advisory Committee (I</w:t>
      </w:r>
      <w:r>
        <w:t>R</w:t>
      </w:r>
      <w:r w:rsidRPr="007F0D8F">
        <w:t>AC) membership was updated in 2017 and is based on expertise in Indigenous land</w:t>
      </w:r>
      <w:r w:rsidR="00B026A1">
        <w:t xml:space="preserve"> and sea</w:t>
      </w:r>
      <w:r w:rsidRPr="007F0D8F">
        <w:t xml:space="preserve"> management, conservation and cultural heritage management. </w:t>
      </w:r>
    </w:p>
    <w:p w14:paraId="793C855D" w14:textId="77777777" w:rsidR="00B026A1" w:rsidRDefault="00A56EE9" w:rsidP="00E3690C">
      <w:pPr>
        <w:spacing w:after="200" w:line="276" w:lineRule="auto"/>
      </w:pPr>
      <w:r w:rsidRPr="007F0D8F">
        <w:t>The Raine Island Recovery project is a partnership with Traditional Owners and park managers to monitor the values and restore the Island where the values are under threat. A comprehensive Raine Island Cultural Heritage Management Plan commenced development in mid-2017 to inform collaborative management decision-making</w:t>
      </w:r>
      <w:r>
        <w:t xml:space="preserve">. </w:t>
      </w:r>
    </w:p>
    <w:p w14:paraId="5761D50E" w14:textId="6BBE0217" w:rsidR="00A56EE9" w:rsidRPr="007F0D8F" w:rsidRDefault="00B026A1" w:rsidP="00E3690C">
      <w:pPr>
        <w:spacing w:after="200" w:line="276" w:lineRule="auto"/>
      </w:pPr>
      <w:r>
        <w:t xml:space="preserve">As part of the </w:t>
      </w:r>
      <w:r w:rsidR="003021F5">
        <w:t>Land and Sea Country Partnerships</w:t>
      </w:r>
      <w:r>
        <w:t xml:space="preserve"> program, an analysis of the effectiveness of the program was conducted in partnership with Traditional Owners in 2017. Some weaknesses</w:t>
      </w:r>
      <w:r w:rsidR="00A56EE9" w:rsidRPr="007F0D8F">
        <w:t xml:space="preserve"> raised by Traditional Owners include</w:t>
      </w:r>
      <w:r>
        <w:t>d</w:t>
      </w:r>
      <w:r w:rsidR="00A56EE9" w:rsidRPr="007F0D8F">
        <w:t>:</w:t>
      </w:r>
    </w:p>
    <w:p w14:paraId="5761D50F" w14:textId="77777777" w:rsidR="00A56EE9" w:rsidRPr="007F0D8F" w:rsidRDefault="00A56EE9" w:rsidP="00E3690C">
      <w:pPr>
        <w:pStyle w:val="ListParagraph"/>
        <w:numPr>
          <w:ilvl w:val="0"/>
          <w:numId w:val="20"/>
        </w:numPr>
        <w:spacing w:line="276" w:lineRule="auto"/>
      </w:pPr>
      <w:r w:rsidRPr="007F0D8F">
        <w:t>Researchers and government agencies accessing Traditional Owner sea country without informing or engaging Traditional Owners</w:t>
      </w:r>
    </w:p>
    <w:p w14:paraId="5761D510" w14:textId="77777777" w:rsidR="00A56EE9" w:rsidRPr="007F0D8F" w:rsidRDefault="00A56EE9" w:rsidP="00E3690C">
      <w:pPr>
        <w:pStyle w:val="ListParagraph"/>
        <w:numPr>
          <w:ilvl w:val="0"/>
          <w:numId w:val="20"/>
        </w:numPr>
        <w:spacing w:line="276" w:lineRule="auto"/>
      </w:pPr>
      <w:r w:rsidRPr="007F0D8F">
        <w:t>Damage to areas from tourism, development and incremental damage</w:t>
      </w:r>
    </w:p>
    <w:p w14:paraId="5761D511" w14:textId="77777777" w:rsidR="00A56EE9" w:rsidRPr="007F0D8F" w:rsidRDefault="00A56EE9" w:rsidP="00E3690C">
      <w:pPr>
        <w:pStyle w:val="ListParagraph"/>
        <w:numPr>
          <w:ilvl w:val="0"/>
          <w:numId w:val="20"/>
        </w:numPr>
        <w:spacing w:line="276" w:lineRule="auto"/>
      </w:pPr>
      <w:r w:rsidRPr="007F0D8F">
        <w:t>Tourism infringing on native title rights (and thus cultural practices) without compensation</w:t>
      </w:r>
    </w:p>
    <w:p w14:paraId="5761D512" w14:textId="77777777" w:rsidR="00A56EE9" w:rsidRPr="007F0D8F" w:rsidRDefault="00A56EE9" w:rsidP="00E3690C">
      <w:pPr>
        <w:pStyle w:val="ListParagraph"/>
        <w:numPr>
          <w:ilvl w:val="0"/>
          <w:numId w:val="20"/>
        </w:numPr>
        <w:spacing w:line="276" w:lineRule="auto"/>
      </w:pPr>
      <w:r w:rsidRPr="007F0D8F">
        <w:t>Lack of access, resources and funding to access and care for sites</w:t>
      </w:r>
    </w:p>
    <w:p w14:paraId="5761D513" w14:textId="77777777" w:rsidR="00A56EE9" w:rsidRPr="007F0D8F" w:rsidRDefault="00A56EE9" w:rsidP="00E3690C">
      <w:pPr>
        <w:pStyle w:val="ListParagraph"/>
        <w:numPr>
          <w:ilvl w:val="0"/>
          <w:numId w:val="20"/>
        </w:numPr>
        <w:spacing w:line="276" w:lineRule="auto"/>
      </w:pPr>
      <w:r w:rsidRPr="007F0D8F">
        <w:t>Information management – passing on of knowledge, electronic storage of knowledge</w:t>
      </w:r>
    </w:p>
    <w:p w14:paraId="5761D514" w14:textId="77777777" w:rsidR="00A56EE9" w:rsidRPr="007F0D8F" w:rsidRDefault="00A56EE9" w:rsidP="00E3690C">
      <w:pPr>
        <w:pStyle w:val="ListParagraph"/>
        <w:numPr>
          <w:ilvl w:val="0"/>
          <w:numId w:val="20"/>
        </w:numPr>
        <w:spacing w:line="276" w:lineRule="auto"/>
      </w:pPr>
      <w:r w:rsidRPr="007F0D8F">
        <w:t>Lack of recognition of the interconnectedness of the environment, culture and people</w:t>
      </w:r>
    </w:p>
    <w:p w14:paraId="5761D515" w14:textId="77777777" w:rsidR="00A56EE9" w:rsidRPr="007F0D8F" w:rsidRDefault="00A56EE9" w:rsidP="00E3690C">
      <w:pPr>
        <w:pStyle w:val="ListParagraph"/>
        <w:numPr>
          <w:ilvl w:val="0"/>
          <w:numId w:val="20"/>
        </w:numPr>
        <w:spacing w:line="276" w:lineRule="auto"/>
      </w:pPr>
      <w:r w:rsidRPr="007F0D8F">
        <w:t>Difficulty in knowing how to report damage to authorities, especially with the different jurisdictions involved.</w:t>
      </w:r>
    </w:p>
    <w:p w14:paraId="5761D516" w14:textId="77777777" w:rsidR="00A56EE9" w:rsidRPr="007F0D8F" w:rsidRDefault="00A56EE9" w:rsidP="00E3690C">
      <w:pPr>
        <w:pStyle w:val="ListParagraph"/>
        <w:numPr>
          <w:ilvl w:val="0"/>
          <w:numId w:val="20"/>
        </w:numPr>
        <w:spacing w:line="276" w:lineRule="auto"/>
      </w:pPr>
      <w:r w:rsidRPr="007F0D8F">
        <w:t xml:space="preserve">Native title notification process inadequate to provide feedback into </w:t>
      </w:r>
      <w:r>
        <w:t>Marine Park Authority</w:t>
      </w:r>
      <w:r w:rsidRPr="007F0D8F">
        <w:t xml:space="preserve"> decision making.</w:t>
      </w:r>
      <w:r>
        <w:t xml:space="preserve"> </w:t>
      </w:r>
    </w:p>
    <w:p w14:paraId="5761D517" w14:textId="77777777" w:rsidR="00A56EE9" w:rsidRDefault="00A56EE9" w:rsidP="00E3690C">
      <w:pPr>
        <w:pStyle w:val="ListParagraph"/>
        <w:numPr>
          <w:ilvl w:val="0"/>
          <w:numId w:val="20"/>
        </w:numPr>
        <w:spacing w:line="276" w:lineRule="auto"/>
      </w:pPr>
      <w:bookmarkStart w:id="129" w:name="_Hlk508267555"/>
      <w:bookmarkStart w:id="130" w:name="_Ref259285440"/>
      <w:bookmarkStart w:id="131" w:name="_Toc389205091"/>
      <w:r w:rsidRPr="007F0D8F">
        <w:t xml:space="preserve">The current state of engagement with Traditional Owners in the </w:t>
      </w:r>
      <w:r>
        <w:t>Region</w:t>
      </w:r>
      <w:r w:rsidRPr="007F0D8F">
        <w:t xml:space="preserve"> still requires some improvement. </w:t>
      </w:r>
      <w:bookmarkEnd w:id="129"/>
    </w:p>
    <w:p w14:paraId="5761D518" w14:textId="77777777" w:rsidR="00A56EE9" w:rsidRDefault="00A56EE9" w:rsidP="00E3690C">
      <w:pPr>
        <w:pStyle w:val="ListParagraph"/>
        <w:spacing w:line="276" w:lineRule="auto"/>
      </w:pPr>
    </w:p>
    <w:p w14:paraId="5761D519" w14:textId="525B2244" w:rsidR="00A56EE9" w:rsidRPr="00950007" w:rsidRDefault="00A56EE9" w:rsidP="00E3690C">
      <w:pPr>
        <w:spacing w:line="276" w:lineRule="auto"/>
      </w:pPr>
      <w:r w:rsidRPr="007F0D8F">
        <w:t>Though some obvious progress</w:t>
      </w:r>
      <w:r w:rsidR="003D2E3F">
        <w:t xml:space="preserve"> has been made since Outlook 2014</w:t>
      </w:r>
      <w:r w:rsidRPr="007F0D8F">
        <w:t>, one recent study concluded that “</w:t>
      </w:r>
      <w:r w:rsidRPr="00950007">
        <w:rPr>
          <w:i/>
        </w:rPr>
        <w:t xml:space="preserve">Despite these wins, and good engagement by Commonwealth and State governments on occasions, there has been no lasting, continuously improving Region-wide approach to engaging Traditional Owners…. At this point, the mechanisms for cohesive and coordinated implementation of the Reef 2050 do not yet </w:t>
      </w:r>
      <w:bookmarkStart w:id="132" w:name="_Hlk508267612"/>
      <w:r w:rsidRPr="00950007">
        <w:rPr>
          <w:i/>
        </w:rPr>
        <w:t>fundamentally engage Traditional Owners as real partners in the long-term management of sea country</w:t>
      </w:r>
      <w:bookmarkEnd w:id="132"/>
      <w:r w:rsidRPr="00950007">
        <w:rPr>
          <w:i/>
        </w:rPr>
        <w:t>, consistent with international guidelines for their engagement in protected area management, which emphasise the requirement for prior informed consent and ongoing equity</w:t>
      </w:r>
      <w:r w:rsidRPr="007F0D8F">
        <w:t>.” (Dale et al., 2016,</w:t>
      </w:r>
      <w:r>
        <w:t xml:space="preserve"> </w:t>
      </w:r>
      <w:r w:rsidRPr="007F0D8F">
        <w:t>p.1).</w:t>
      </w:r>
      <w:r w:rsidRPr="00950007">
        <w:rPr>
          <w:rFonts w:ascii="Calibri" w:hAnsi="Calibri"/>
          <w:color w:val="000000"/>
          <w:sz w:val="18"/>
          <w:szCs w:val="18"/>
          <w:lang w:val="en-GB"/>
        </w:rPr>
        <w:t xml:space="preserve"> </w:t>
      </w:r>
      <w:r w:rsidRPr="00950007">
        <w:t xml:space="preserve">The updated Reef 2050 Plan </w:t>
      </w:r>
      <w:r>
        <w:t xml:space="preserve">(July 2018) </w:t>
      </w:r>
      <w:r w:rsidRPr="00950007">
        <w:t>specifically addresses this issue, and highlights the importance of engaging Traditional Owners. The results of this focus and of increased funding for real engagement of Traditional Owners as partners in management may be demonstrated by the next Outlook assessment.</w:t>
      </w:r>
      <w:r>
        <w:t xml:space="preserve"> However, in a May 2018 meeting, Traditional Owners still requested better recognition of their inherent rights. They recommended</w:t>
      </w:r>
      <w:r w:rsidRPr="007A4A90">
        <w:t xml:space="preserve"> the development of a representative alliance of </w:t>
      </w:r>
      <w:r>
        <w:t>R</w:t>
      </w:r>
      <w:r w:rsidRPr="007A4A90">
        <w:t xml:space="preserve">eef Traditional Owners </w:t>
      </w:r>
      <w:r>
        <w:t>to</w:t>
      </w:r>
      <w:r w:rsidRPr="007A4A90">
        <w:t xml:space="preserve"> support existing traditional decision-making structures</w:t>
      </w:r>
      <w:r>
        <w:t xml:space="preserve">, and requested control over how additional funding for Traditional Owner engagement is allocated </w:t>
      </w:r>
      <w:r>
        <w:rPr>
          <w:noProof/>
        </w:rPr>
        <w:t>(Great Barrier Reef Traditional Owner Workshop, 2018)</w:t>
      </w:r>
      <w:r>
        <w:t>.</w:t>
      </w:r>
    </w:p>
    <w:p w14:paraId="5761D51B" w14:textId="546633D6" w:rsidR="00A56EE9" w:rsidRDefault="00A56EE9" w:rsidP="00BB6AD5">
      <w:pPr>
        <w:pStyle w:val="Caption"/>
        <w:keepNext/>
        <w:keepLines/>
        <w:ind w:left="0"/>
        <w:jc w:val="center"/>
      </w:pPr>
      <w:bookmarkStart w:id="133" w:name="_Toc525654462"/>
      <w:r w:rsidRPr="00A25F07">
        <w:t xml:space="preserve">Table </w:t>
      </w:r>
      <w:r>
        <w:fldChar w:fldCharType="begin"/>
      </w:r>
      <w:r>
        <w:instrText xml:space="preserve"> SEQ Table \* ARABIC </w:instrText>
      </w:r>
      <w:r>
        <w:fldChar w:fldCharType="separate"/>
      </w:r>
      <w:r w:rsidR="00A4170C">
        <w:rPr>
          <w:noProof/>
        </w:rPr>
        <w:t>17</w:t>
      </w:r>
      <w:r>
        <w:rPr>
          <w:noProof/>
        </w:rPr>
        <w:fldChar w:fldCharType="end"/>
      </w:r>
      <w:bookmarkEnd w:id="130"/>
      <w:r>
        <w:t xml:space="preserve"> Assessment results for H</w:t>
      </w:r>
      <w:r w:rsidRPr="00A25F07">
        <w:t>eritage</w:t>
      </w:r>
      <w:bookmarkEnd w:id="131"/>
      <w:r>
        <w:t xml:space="preserve"> Values</w:t>
      </w:r>
      <w:bookmarkEnd w:id="133"/>
    </w:p>
    <w:tbl>
      <w:tblPr>
        <w:tblStyle w:val="TableGrid"/>
        <w:tblW w:w="5000" w:type="pct"/>
        <w:jc w:val="center"/>
        <w:tblLayout w:type="fixed"/>
        <w:tblLook w:val="04A0" w:firstRow="1" w:lastRow="0" w:firstColumn="1" w:lastColumn="0" w:noHBand="0" w:noVBand="1"/>
        <w:tblCaption w:val="Table 5 Assessment results for management effectiveness for Heritage values"/>
        <w:tblDescription w:val="Grades and trends for Heritage values&#10;Context: Mostly effective; stable&#10;Planning: Mostly effective; stable&#10;Inputs: Mostly effective; stable&#10;Processes: Mostly effective; stable&#10;Outputs:Mostly effective; stable&#10;Outcomes: Mostly effective; improving"/>
      </w:tblPr>
      <w:tblGrid>
        <w:gridCol w:w="3320"/>
        <w:gridCol w:w="1831"/>
        <w:gridCol w:w="1828"/>
        <w:gridCol w:w="2037"/>
      </w:tblGrid>
      <w:tr w:rsidR="00A56EE9" w:rsidRPr="003D54F2" w14:paraId="5761D520" w14:textId="77777777" w:rsidTr="00BB6AD5">
        <w:trPr>
          <w:trHeight w:val="441"/>
          <w:tblHeader/>
          <w:jc w:val="center"/>
        </w:trPr>
        <w:tc>
          <w:tcPr>
            <w:tcW w:w="1286" w:type="dxa"/>
            <w:vAlign w:val="center"/>
          </w:tcPr>
          <w:p w14:paraId="5761D51C" w14:textId="77777777" w:rsidR="00A56EE9" w:rsidRPr="003D54F2" w:rsidRDefault="00A56EE9" w:rsidP="00BB6AD5">
            <w:pPr>
              <w:keepNext/>
              <w:keepLines/>
              <w:spacing w:line="240" w:lineRule="exact"/>
              <w:jc w:val="both"/>
              <w:rPr>
                <w:b/>
              </w:rPr>
            </w:pPr>
            <w:r>
              <w:rPr>
                <w:b/>
              </w:rPr>
              <w:t>Heritage Values</w:t>
            </w:r>
          </w:p>
        </w:tc>
        <w:tc>
          <w:tcPr>
            <w:tcW w:w="709" w:type="dxa"/>
            <w:tcBorders>
              <w:bottom w:val="single" w:sz="4" w:space="0" w:color="auto"/>
            </w:tcBorders>
            <w:vAlign w:val="center"/>
          </w:tcPr>
          <w:p w14:paraId="5761D51D" w14:textId="77777777" w:rsidR="00A56EE9" w:rsidRPr="004A4864" w:rsidRDefault="00A56EE9" w:rsidP="00BB6AD5">
            <w:pPr>
              <w:keepNext/>
              <w:keepLines/>
              <w:spacing w:line="240" w:lineRule="exact"/>
              <w:jc w:val="both"/>
              <w:rPr>
                <w:b/>
              </w:rPr>
            </w:pPr>
            <w:r w:rsidRPr="004A4864">
              <w:rPr>
                <w:b/>
              </w:rPr>
              <w:t>2009</w:t>
            </w:r>
          </w:p>
        </w:tc>
        <w:tc>
          <w:tcPr>
            <w:tcW w:w="708" w:type="dxa"/>
            <w:vAlign w:val="center"/>
          </w:tcPr>
          <w:p w14:paraId="5761D51E" w14:textId="77777777" w:rsidR="00A56EE9" w:rsidRPr="004A4864" w:rsidRDefault="00A56EE9" w:rsidP="00BB6AD5">
            <w:pPr>
              <w:keepNext/>
              <w:keepLines/>
              <w:spacing w:line="240" w:lineRule="exact"/>
              <w:jc w:val="both"/>
              <w:rPr>
                <w:b/>
              </w:rPr>
            </w:pPr>
            <w:r w:rsidRPr="004A4864">
              <w:rPr>
                <w:b/>
              </w:rPr>
              <w:t>2014</w:t>
            </w:r>
          </w:p>
        </w:tc>
        <w:tc>
          <w:tcPr>
            <w:tcW w:w="789" w:type="dxa"/>
            <w:tcBorders>
              <w:bottom w:val="single" w:sz="4" w:space="0" w:color="auto"/>
            </w:tcBorders>
            <w:vAlign w:val="center"/>
          </w:tcPr>
          <w:p w14:paraId="5761D51F" w14:textId="77777777" w:rsidR="00A56EE9" w:rsidRPr="004A4864" w:rsidRDefault="00A56EE9" w:rsidP="00BB6AD5">
            <w:pPr>
              <w:keepNext/>
              <w:keepLines/>
              <w:spacing w:line="240" w:lineRule="exact"/>
              <w:jc w:val="both"/>
              <w:rPr>
                <w:b/>
              </w:rPr>
            </w:pPr>
            <w:r w:rsidRPr="004A4864">
              <w:rPr>
                <w:b/>
              </w:rPr>
              <w:t>2019</w:t>
            </w:r>
          </w:p>
        </w:tc>
      </w:tr>
      <w:tr w:rsidR="00A56EE9" w:rsidRPr="003D54F2" w14:paraId="5761D525" w14:textId="77777777" w:rsidTr="00BB6AD5">
        <w:trPr>
          <w:jc w:val="center"/>
        </w:trPr>
        <w:tc>
          <w:tcPr>
            <w:tcW w:w="1286" w:type="dxa"/>
            <w:vAlign w:val="center"/>
          </w:tcPr>
          <w:p w14:paraId="5761D521" w14:textId="77777777" w:rsidR="00A56EE9" w:rsidRPr="003D54F2" w:rsidRDefault="00A56EE9" w:rsidP="00BB6AD5">
            <w:pPr>
              <w:keepNext/>
              <w:keepLines/>
              <w:spacing w:line="240" w:lineRule="exact"/>
              <w:rPr>
                <w:b/>
              </w:rPr>
            </w:pPr>
            <w:r w:rsidRPr="003D54F2">
              <w:rPr>
                <w:b/>
              </w:rPr>
              <w:t>Context</w:t>
            </w:r>
          </w:p>
        </w:tc>
        <w:tc>
          <w:tcPr>
            <w:tcW w:w="709" w:type="dxa"/>
            <w:tcBorders>
              <w:bottom w:val="single" w:sz="4" w:space="0" w:color="auto"/>
            </w:tcBorders>
            <w:shd w:val="clear" w:color="auto" w:fill="538135" w:themeFill="accent6" w:themeFillShade="BF"/>
            <w:vAlign w:val="center"/>
          </w:tcPr>
          <w:p w14:paraId="5761D522" w14:textId="77777777" w:rsidR="00A56EE9" w:rsidRPr="00E15040" w:rsidRDefault="00A56EE9" w:rsidP="00BB6AD5">
            <w:pPr>
              <w:keepNext/>
              <w:keepLines/>
              <w:spacing w:line="240" w:lineRule="exact"/>
              <w:jc w:val="center"/>
              <w:rPr>
                <w:rFonts w:ascii="Cambria Math" w:hAnsi="Cambria Math"/>
                <w:b/>
                <w:sz w:val="24"/>
                <w:szCs w:val="24"/>
              </w:rPr>
            </w:pPr>
          </w:p>
        </w:tc>
        <w:tc>
          <w:tcPr>
            <w:tcW w:w="708" w:type="dxa"/>
            <w:shd w:val="clear" w:color="auto" w:fill="C5E0B3" w:themeFill="accent6" w:themeFillTint="66"/>
            <w:vAlign w:val="center"/>
          </w:tcPr>
          <w:p w14:paraId="5761D523" w14:textId="77777777" w:rsidR="00A56EE9" w:rsidRPr="00E15040" w:rsidRDefault="00A56EE9" w:rsidP="00BB6AD5">
            <w:pPr>
              <w:keepNext/>
              <w:keepLines/>
              <w:spacing w:line="240" w:lineRule="exact"/>
              <w:jc w:val="center"/>
              <w:rPr>
                <w:rFonts w:ascii="Cambria Math" w:hAnsi="Cambria Math"/>
                <w:b/>
                <w:sz w:val="24"/>
                <w:szCs w:val="24"/>
              </w:rPr>
            </w:pPr>
            <w:r w:rsidRPr="004F2ABF">
              <w:rPr>
                <w:rFonts w:ascii="Cambria Math" w:hAnsi="Cambria Math" w:cs="Cambria Math"/>
              </w:rPr>
              <w:t>⬇</w:t>
            </w:r>
          </w:p>
        </w:tc>
        <w:tc>
          <w:tcPr>
            <w:tcW w:w="789" w:type="dxa"/>
            <w:tcBorders>
              <w:bottom w:val="single" w:sz="4" w:space="0" w:color="auto"/>
            </w:tcBorders>
            <w:shd w:val="clear" w:color="auto" w:fill="C5E0B3" w:themeFill="accent6" w:themeFillTint="66"/>
            <w:vAlign w:val="center"/>
          </w:tcPr>
          <w:p w14:paraId="5761D524" w14:textId="77777777" w:rsidR="00A56EE9" w:rsidRPr="00E15040" w:rsidRDefault="00A56EE9" w:rsidP="00BB6AD5">
            <w:pPr>
              <w:keepNext/>
              <w:keepLines/>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52A" w14:textId="77777777" w:rsidTr="00BB6AD5">
        <w:trPr>
          <w:jc w:val="center"/>
        </w:trPr>
        <w:tc>
          <w:tcPr>
            <w:tcW w:w="1286" w:type="dxa"/>
            <w:vAlign w:val="center"/>
          </w:tcPr>
          <w:p w14:paraId="5761D526" w14:textId="77777777" w:rsidR="00A56EE9" w:rsidRPr="003D54F2" w:rsidRDefault="00A56EE9" w:rsidP="00BB6AD5">
            <w:pPr>
              <w:keepNext/>
              <w:keepLines/>
              <w:spacing w:line="240" w:lineRule="exact"/>
              <w:rPr>
                <w:b/>
              </w:rPr>
            </w:pPr>
            <w:r w:rsidRPr="003D54F2">
              <w:rPr>
                <w:b/>
              </w:rPr>
              <w:t>Planning</w:t>
            </w:r>
          </w:p>
        </w:tc>
        <w:tc>
          <w:tcPr>
            <w:tcW w:w="709" w:type="dxa"/>
            <w:shd w:val="clear" w:color="auto" w:fill="538135" w:themeFill="accent6" w:themeFillShade="BF"/>
            <w:vAlign w:val="center"/>
          </w:tcPr>
          <w:p w14:paraId="5761D527" w14:textId="77777777" w:rsidR="00A56EE9" w:rsidRPr="00E15040" w:rsidRDefault="00A56EE9" w:rsidP="00BB6AD5">
            <w:pPr>
              <w:keepNext/>
              <w:keepLines/>
              <w:spacing w:line="240" w:lineRule="exact"/>
              <w:jc w:val="center"/>
              <w:rPr>
                <w:rFonts w:ascii="Cambria Math" w:hAnsi="Cambria Math"/>
                <w:b/>
                <w:sz w:val="24"/>
                <w:szCs w:val="24"/>
              </w:rPr>
            </w:pPr>
          </w:p>
        </w:tc>
        <w:tc>
          <w:tcPr>
            <w:tcW w:w="708" w:type="dxa"/>
            <w:shd w:val="clear" w:color="auto" w:fill="C5E0B3" w:themeFill="accent6" w:themeFillTint="66"/>
            <w:vAlign w:val="center"/>
          </w:tcPr>
          <w:p w14:paraId="5761D528" w14:textId="77777777" w:rsidR="00A56EE9" w:rsidRPr="00E15040" w:rsidRDefault="00A56EE9" w:rsidP="00BB6AD5">
            <w:pPr>
              <w:keepNext/>
              <w:keepLines/>
              <w:spacing w:line="240" w:lineRule="exact"/>
              <w:jc w:val="center"/>
              <w:rPr>
                <w:rFonts w:ascii="Cambria Math" w:hAnsi="Cambria Math"/>
                <w:b/>
                <w:sz w:val="24"/>
                <w:szCs w:val="24"/>
              </w:rPr>
            </w:pPr>
            <w:r w:rsidRPr="004F2ABF">
              <w:rPr>
                <w:rFonts w:ascii="Cambria Math" w:hAnsi="Cambria Math" w:cs="Cambria Math"/>
              </w:rPr>
              <w:t>⬇</w:t>
            </w:r>
          </w:p>
        </w:tc>
        <w:tc>
          <w:tcPr>
            <w:tcW w:w="789" w:type="dxa"/>
            <w:tcBorders>
              <w:bottom w:val="single" w:sz="4" w:space="0" w:color="auto"/>
            </w:tcBorders>
            <w:shd w:val="clear" w:color="auto" w:fill="C5E0B3" w:themeFill="accent6" w:themeFillTint="66"/>
            <w:vAlign w:val="center"/>
          </w:tcPr>
          <w:p w14:paraId="5761D529" w14:textId="77777777" w:rsidR="00A56EE9" w:rsidRPr="00E15040" w:rsidRDefault="00A56EE9" w:rsidP="00BB6AD5">
            <w:pPr>
              <w:keepNext/>
              <w:keepLines/>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52F" w14:textId="77777777" w:rsidTr="00BB6AD5">
        <w:trPr>
          <w:jc w:val="center"/>
        </w:trPr>
        <w:tc>
          <w:tcPr>
            <w:tcW w:w="1286" w:type="dxa"/>
            <w:vAlign w:val="center"/>
          </w:tcPr>
          <w:p w14:paraId="5761D52B" w14:textId="77777777" w:rsidR="00A56EE9" w:rsidRPr="003D54F2" w:rsidRDefault="00A56EE9" w:rsidP="00BB6AD5">
            <w:pPr>
              <w:keepNext/>
              <w:keepLines/>
              <w:spacing w:line="240" w:lineRule="exact"/>
              <w:rPr>
                <w:b/>
              </w:rPr>
            </w:pPr>
            <w:r w:rsidRPr="003D54F2">
              <w:rPr>
                <w:b/>
              </w:rPr>
              <w:t>Inputs</w:t>
            </w:r>
          </w:p>
        </w:tc>
        <w:tc>
          <w:tcPr>
            <w:tcW w:w="709" w:type="dxa"/>
            <w:shd w:val="clear" w:color="auto" w:fill="C5E0B3" w:themeFill="accent6" w:themeFillTint="66"/>
            <w:vAlign w:val="center"/>
          </w:tcPr>
          <w:p w14:paraId="5761D52C" w14:textId="77777777" w:rsidR="00A56EE9" w:rsidRPr="00E15040" w:rsidRDefault="00A56EE9" w:rsidP="00BB6AD5">
            <w:pPr>
              <w:keepNext/>
              <w:keepLines/>
              <w:spacing w:line="240" w:lineRule="exact"/>
              <w:jc w:val="center"/>
              <w:rPr>
                <w:rFonts w:ascii="Cambria Math" w:hAnsi="Cambria Math"/>
                <w:b/>
                <w:sz w:val="24"/>
                <w:szCs w:val="24"/>
              </w:rPr>
            </w:pPr>
          </w:p>
        </w:tc>
        <w:tc>
          <w:tcPr>
            <w:tcW w:w="708" w:type="dxa"/>
            <w:shd w:val="clear" w:color="auto" w:fill="C5E0B3" w:themeFill="accent6" w:themeFillTint="66"/>
            <w:vAlign w:val="center"/>
          </w:tcPr>
          <w:p w14:paraId="5761D52D" w14:textId="77777777" w:rsidR="00A56EE9" w:rsidRPr="00E15040" w:rsidRDefault="00A56EE9" w:rsidP="00BB6AD5">
            <w:pPr>
              <w:keepNext/>
              <w:keepLines/>
              <w:spacing w:line="240" w:lineRule="exact"/>
              <w:jc w:val="center"/>
              <w:rPr>
                <w:rFonts w:ascii="Cambria Math" w:hAnsi="Cambria Math"/>
                <w:b/>
                <w:sz w:val="24"/>
                <w:szCs w:val="24"/>
              </w:rPr>
            </w:pPr>
            <w:r>
              <w:rPr>
                <w:rFonts w:ascii="Cambria Math" w:hAnsi="Cambria Math" w:cs="Cambria Math"/>
                <w:b/>
              </w:rPr>
              <w:t>↔</w:t>
            </w:r>
          </w:p>
        </w:tc>
        <w:tc>
          <w:tcPr>
            <w:tcW w:w="789" w:type="dxa"/>
            <w:tcBorders>
              <w:top w:val="single" w:sz="4" w:space="0" w:color="auto"/>
              <w:bottom w:val="single" w:sz="4" w:space="0" w:color="auto"/>
            </w:tcBorders>
            <w:shd w:val="clear" w:color="auto" w:fill="C5E0B3" w:themeFill="accent6" w:themeFillTint="66"/>
            <w:vAlign w:val="center"/>
          </w:tcPr>
          <w:p w14:paraId="5761D52E" w14:textId="77777777" w:rsidR="00A56EE9" w:rsidRPr="00E15040" w:rsidRDefault="00A56EE9" w:rsidP="00BB6AD5">
            <w:pPr>
              <w:keepNext/>
              <w:keepLines/>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534" w14:textId="77777777" w:rsidTr="00BB6AD5">
        <w:trPr>
          <w:jc w:val="center"/>
        </w:trPr>
        <w:tc>
          <w:tcPr>
            <w:tcW w:w="1286" w:type="dxa"/>
            <w:vAlign w:val="center"/>
          </w:tcPr>
          <w:p w14:paraId="5761D530" w14:textId="77777777" w:rsidR="00A56EE9" w:rsidRPr="003D54F2" w:rsidRDefault="00A56EE9" w:rsidP="00BB6AD5">
            <w:pPr>
              <w:keepNext/>
              <w:keepLines/>
              <w:spacing w:line="240" w:lineRule="exact"/>
              <w:rPr>
                <w:b/>
              </w:rPr>
            </w:pPr>
            <w:r w:rsidRPr="003D54F2">
              <w:rPr>
                <w:b/>
              </w:rPr>
              <w:t>Processes</w:t>
            </w:r>
          </w:p>
        </w:tc>
        <w:tc>
          <w:tcPr>
            <w:tcW w:w="709" w:type="dxa"/>
            <w:shd w:val="clear" w:color="auto" w:fill="C5E0B3" w:themeFill="accent6" w:themeFillTint="66"/>
            <w:vAlign w:val="center"/>
          </w:tcPr>
          <w:p w14:paraId="5761D531" w14:textId="77777777" w:rsidR="00A56EE9" w:rsidRPr="00E15040" w:rsidRDefault="00A56EE9" w:rsidP="00BB6AD5">
            <w:pPr>
              <w:keepNext/>
              <w:keepLines/>
              <w:spacing w:line="240" w:lineRule="exact"/>
              <w:jc w:val="center"/>
              <w:rPr>
                <w:rFonts w:ascii="Cambria Math" w:hAnsi="Cambria Math"/>
                <w:b/>
                <w:sz w:val="24"/>
                <w:szCs w:val="24"/>
              </w:rPr>
            </w:pPr>
          </w:p>
        </w:tc>
        <w:tc>
          <w:tcPr>
            <w:tcW w:w="708" w:type="dxa"/>
            <w:shd w:val="clear" w:color="auto" w:fill="C5E0B3" w:themeFill="accent6" w:themeFillTint="66"/>
            <w:vAlign w:val="center"/>
          </w:tcPr>
          <w:p w14:paraId="5761D532" w14:textId="77777777" w:rsidR="00A56EE9" w:rsidRPr="00E15040" w:rsidRDefault="00A56EE9" w:rsidP="00BB6AD5">
            <w:pPr>
              <w:keepNext/>
              <w:keepLines/>
              <w:spacing w:line="240" w:lineRule="exact"/>
              <w:jc w:val="center"/>
              <w:rPr>
                <w:rFonts w:ascii="Cambria Math" w:hAnsi="Cambria Math"/>
                <w:b/>
                <w:sz w:val="24"/>
                <w:szCs w:val="24"/>
              </w:rPr>
            </w:pPr>
            <w:r>
              <w:rPr>
                <w:rFonts w:ascii="Cambria Math" w:hAnsi="Cambria Math" w:cs="Cambria Math"/>
                <w:b/>
              </w:rPr>
              <w:t>↘</w:t>
            </w:r>
          </w:p>
        </w:tc>
        <w:tc>
          <w:tcPr>
            <w:tcW w:w="789" w:type="dxa"/>
            <w:tcBorders>
              <w:top w:val="single" w:sz="4" w:space="0" w:color="auto"/>
              <w:bottom w:val="single" w:sz="4" w:space="0" w:color="auto"/>
            </w:tcBorders>
            <w:shd w:val="clear" w:color="auto" w:fill="C5E0B3" w:themeFill="accent6" w:themeFillTint="66"/>
            <w:vAlign w:val="center"/>
          </w:tcPr>
          <w:p w14:paraId="5761D533" w14:textId="77777777" w:rsidR="00A56EE9" w:rsidRPr="00E15040" w:rsidRDefault="00A56EE9" w:rsidP="00BB6AD5">
            <w:pPr>
              <w:keepNext/>
              <w:keepLines/>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539" w14:textId="77777777" w:rsidTr="00BB6AD5">
        <w:trPr>
          <w:jc w:val="center"/>
        </w:trPr>
        <w:tc>
          <w:tcPr>
            <w:tcW w:w="1286" w:type="dxa"/>
            <w:vAlign w:val="center"/>
          </w:tcPr>
          <w:p w14:paraId="5761D535" w14:textId="77777777" w:rsidR="00A56EE9" w:rsidRPr="003D54F2" w:rsidRDefault="00A56EE9" w:rsidP="00BB6AD5">
            <w:pPr>
              <w:keepNext/>
              <w:keepLines/>
              <w:spacing w:line="240" w:lineRule="exact"/>
              <w:rPr>
                <w:b/>
              </w:rPr>
            </w:pPr>
            <w:r w:rsidRPr="003D54F2">
              <w:rPr>
                <w:b/>
              </w:rPr>
              <w:t>Outputs</w:t>
            </w:r>
          </w:p>
        </w:tc>
        <w:tc>
          <w:tcPr>
            <w:tcW w:w="709" w:type="dxa"/>
            <w:shd w:val="clear" w:color="auto" w:fill="C5E0B3" w:themeFill="accent6" w:themeFillTint="66"/>
            <w:vAlign w:val="center"/>
          </w:tcPr>
          <w:p w14:paraId="5761D536" w14:textId="77777777" w:rsidR="00A56EE9" w:rsidRPr="00E15040" w:rsidRDefault="00A56EE9" w:rsidP="00BB6AD5">
            <w:pPr>
              <w:keepNext/>
              <w:keepLines/>
              <w:spacing w:line="240" w:lineRule="exact"/>
              <w:jc w:val="center"/>
              <w:rPr>
                <w:rFonts w:ascii="Cambria Math" w:hAnsi="Cambria Math"/>
                <w:b/>
                <w:sz w:val="24"/>
                <w:szCs w:val="24"/>
              </w:rPr>
            </w:pPr>
          </w:p>
        </w:tc>
        <w:tc>
          <w:tcPr>
            <w:tcW w:w="708" w:type="dxa"/>
            <w:shd w:val="clear" w:color="auto" w:fill="C5E0B3" w:themeFill="accent6" w:themeFillTint="66"/>
            <w:vAlign w:val="center"/>
          </w:tcPr>
          <w:p w14:paraId="5761D537" w14:textId="77777777" w:rsidR="00A56EE9" w:rsidRPr="00E15040" w:rsidRDefault="00A56EE9" w:rsidP="00BB6AD5">
            <w:pPr>
              <w:keepNext/>
              <w:keepLines/>
              <w:spacing w:line="240" w:lineRule="exact"/>
              <w:jc w:val="center"/>
              <w:rPr>
                <w:rFonts w:ascii="Cambria Math" w:hAnsi="Cambria Math"/>
                <w:b/>
                <w:sz w:val="24"/>
                <w:szCs w:val="24"/>
              </w:rPr>
            </w:pPr>
            <w:r>
              <w:rPr>
                <w:rFonts w:ascii="Cambria Math" w:hAnsi="Cambria Math" w:cs="Cambria Math"/>
                <w:b/>
              </w:rPr>
              <w:t>↘</w:t>
            </w:r>
          </w:p>
        </w:tc>
        <w:tc>
          <w:tcPr>
            <w:tcW w:w="789" w:type="dxa"/>
            <w:tcBorders>
              <w:top w:val="single" w:sz="4" w:space="0" w:color="auto"/>
              <w:bottom w:val="single" w:sz="4" w:space="0" w:color="auto"/>
            </w:tcBorders>
            <w:shd w:val="clear" w:color="auto" w:fill="C5E0B3" w:themeFill="accent6" w:themeFillTint="66"/>
            <w:vAlign w:val="center"/>
          </w:tcPr>
          <w:p w14:paraId="5761D538" w14:textId="77777777" w:rsidR="00A56EE9" w:rsidRPr="00E15040" w:rsidRDefault="00A56EE9" w:rsidP="00BB6AD5">
            <w:pPr>
              <w:keepNext/>
              <w:keepLines/>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53E" w14:textId="77777777" w:rsidTr="00BB6AD5">
        <w:trPr>
          <w:jc w:val="center"/>
        </w:trPr>
        <w:tc>
          <w:tcPr>
            <w:tcW w:w="1286" w:type="dxa"/>
            <w:vAlign w:val="center"/>
          </w:tcPr>
          <w:p w14:paraId="5761D53A" w14:textId="77777777" w:rsidR="00A56EE9" w:rsidRPr="003D54F2" w:rsidRDefault="00A56EE9" w:rsidP="00BB6AD5">
            <w:pPr>
              <w:keepNext/>
              <w:keepLines/>
              <w:spacing w:line="240" w:lineRule="exact"/>
              <w:rPr>
                <w:b/>
              </w:rPr>
            </w:pPr>
            <w:r w:rsidRPr="003D54F2">
              <w:rPr>
                <w:b/>
              </w:rPr>
              <w:t>Outcomes</w:t>
            </w:r>
          </w:p>
        </w:tc>
        <w:tc>
          <w:tcPr>
            <w:tcW w:w="709" w:type="dxa"/>
            <w:shd w:val="clear" w:color="auto" w:fill="C5E0B3" w:themeFill="accent6" w:themeFillTint="66"/>
            <w:vAlign w:val="center"/>
          </w:tcPr>
          <w:p w14:paraId="5761D53B" w14:textId="77777777" w:rsidR="00A56EE9" w:rsidRPr="00E15040" w:rsidRDefault="00A56EE9" w:rsidP="00BB6AD5">
            <w:pPr>
              <w:keepNext/>
              <w:keepLines/>
              <w:spacing w:line="240" w:lineRule="exact"/>
              <w:jc w:val="center"/>
              <w:rPr>
                <w:rFonts w:ascii="Cambria Math" w:hAnsi="Cambria Math"/>
                <w:b/>
                <w:sz w:val="24"/>
                <w:szCs w:val="24"/>
              </w:rPr>
            </w:pPr>
          </w:p>
        </w:tc>
        <w:tc>
          <w:tcPr>
            <w:tcW w:w="708" w:type="dxa"/>
            <w:shd w:val="clear" w:color="auto" w:fill="C5E0B3" w:themeFill="accent6" w:themeFillTint="66"/>
            <w:vAlign w:val="center"/>
          </w:tcPr>
          <w:p w14:paraId="5761D53C" w14:textId="77777777" w:rsidR="00A56EE9" w:rsidRPr="00E15040" w:rsidRDefault="00A56EE9" w:rsidP="00BB6AD5">
            <w:pPr>
              <w:keepNext/>
              <w:keepLines/>
              <w:spacing w:line="240" w:lineRule="exact"/>
              <w:jc w:val="center"/>
              <w:rPr>
                <w:rFonts w:ascii="Cambria Math" w:hAnsi="Cambria Math"/>
                <w:b/>
                <w:sz w:val="24"/>
                <w:szCs w:val="24"/>
              </w:rPr>
            </w:pPr>
            <w:r>
              <w:rPr>
                <w:rFonts w:ascii="Cambria Math" w:hAnsi="Cambria Math" w:cs="Cambria Math"/>
                <w:b/>
              </w:rPr>
              <w:t>↘</w:t>
            </w:r>
          </w:p>
        </w:tc>
        <w:tc>
          <w:tcPr>
            <w:tcW w:w="789" w:type="dxa"/>
            <w:tcBorders>
              <w:top w:val="single" w:sz="4" w:space="0" w:color="auto"/>
            </w:tcBorders>
            <w:shd w:val="clear" w:color="auto" w:fill="C5E0B3" w:themeFill="accent6" w:themeFillTint="66"/>
            <w:vAlign w:val="center"/>
          </w:tcPr>
          <w:p w14:paraId="5761D53D" w14:textId="77777777" w:rsidR="00A56EE9" w:rsidRPr="00E15040" w:rsidRDefault="00A56EE9" w:rsidP="00BB6AD5">
            <w:pPr>
              <w:keepNext/>
              <w:keepLines/>
              <w:spacing w:line="240" w:lineRule="exact"/>
              <w:jc w:val="center"/>
              <w:rPr>
                <w:rFonts w:ascii="Cambria Math" w:hAnsi="Cambria Math"/>
                <w:b/>
                <w:sz w:val="24"/>
                <w:szCs w:val="24"/>
              </w:rPr>
            </w:pPr>
            <w:r w:rsidRPr="004F2ABF">
              <w:rPr>
                <w:rFonts w:ascii="Cambria Math" w:hAnsi="Cambria Math" w:cs="Cambria Math"/>
                <w:b/>
              </w:rPr>
              <w:t>↗</w:t>
            </w:r>
          </w:p>
        </w:tc>
      </w:tr>
    </w:tbl>
    <w:p w14:paraId="5761D53F" w14:textId="77777777" w:rsidR="00A56EE9" w:rsidRDefault="00A56EE9" w:rsidP="00BB6AD5">
      <w:pPr>
        <w:keepNext/>
        <w:keepLines/>
        <w:spacing w:line="240" w:lineRule="auto"/>
        <w:ind w:firstLine="2694"/>
        <w:contextualSpacing/>
        <w:rPr>
          <w:sz w:val="16"/>
          <w:szCs w:val="16"/>
        </w:rPr>
      </w:pPr>
      <w:r>
        <w:rPr>
          <w:sz w:val="16"/>
          <w:szCs w:val="16"/>
        </w:rPr>
        <w:t xml:space="preserve">Management effective assessment is colour coded: </w:t>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261"/>
      </w:tblGrid>
      <w:tr w:rsidR="00A56EE9" w14:paraId="5761D548" w14:textId="77777777" w:rsidTr="00BB6AD5">
        <w:trPr>
          <w:tblHeader/>
        </w:trPr>
        <w:tc>
          <w:tcPr>
            <w:tcW w:w="1084" w:type="dxa"/>
          </w:tcPr>
          <w:p w14:paraId="5761D540" w14:textId="77777777" w:rsidR="00A56EE9" w:rsidRDefault="00A56EE9" w:rsidP="00BB6AD5">
            <w:pPr>
              <w:keepNext/>
              <w:keepLines/>
              <w:ind w:right="-158"/>
              <w:contextualSpacing/>
              <w:rPr>
                <w:sz w:val="16"/>
                <w:szCs w:val="16"/>
              </w:rPr>
            </w:pPr>
            <w:r>
              <w:rPr>
                <w:sz w:val="16"/>
                <w:szCs w:val="16"/>
              </w:rPr>
              <w:t>Effective (E)</w:t>
            </w:r>
          </w:p>
        </w:tc>
        <w:tc>
          <w:tcPr>
            <w:tcW w:w="0" w:type="auto"/>
          </w:tcPr>
          <w:p w14:paraId="5761D541" w14:textId="77777777" w:rsidR="00A56EE9" w:rsidRDefault="00A56EE9" w:rsidP="00BB6AD5">
            <w:pPr>
              <w:keepNext/>
              <w:keepLines/>
              <w:contextualSpacing/>
              <w:rPr>
                <w:sz w:val="16"/>
                <w:szCs w:val="16"/>
              </w:rPr>
            </w:pPr>
            <w:r>
              <w:rPr>
                <w:noProof/>
                <w:sz w:val="16"/>
                <w:szCs w:val="16"/>
              </w:rPr>
              <mc:AlternateContent>
                <mc:Choice Requires="wps">
                  <w:drawing>
                    <wp:anchor distT="0" distB="0" distL="114300" distR="114300" simplePos="0" relativeHeight="251674624" behindDoc="1" locked="0" layoutInCell="1" allowOverlap="1" wp14:anchorId="57620CB6" wp14:editId="57620CB7">
                      <wp:simplePos x="0" y="0"/>
                      <wp:positionH relativeFrom="column">
                        <wp:posOffset>-50800</wp:posOffset>
                      </wp:positionH>
                      <wp:positionV relativeFrom="paragraph">
                        <wp:posOffset>26670</wp:posOffset>
                      </wp:positionV>
                      <wp:extent cx="95250" cy="104775"/>
                      <wp:effectExtent l="0" t="0" r="19050" b="28575"/>
                      <wp:wrapSquare wrapText="bothSides"/>
                      <wp:docPr id="261" name="Rectangle 261"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2"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B6" id="Rectangle 261" o:spid="_x0000_s1083" alt="Title: Rectangle - Description: Rectangle coloured dark green" style="position:absolute;margin-left:-4pt;margin-top:2.1pt;width:7.5pt;height:8.2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" fillcolor="#060" strokecolor="black [3213]" strokeweight="1pt">
                      <v:textbox>
                        <w:txbxContent>
                          <w:p w14:paraId="57620D32"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542" w14:textId="77777777" w:rsidR="00A56EE9" w:rsidRDefault="00A56EE9" w:rsidP="00BB6AD5">
            <w:pPr>
              <w:keepNext/>
              <w:keepLines/>
              <w:contextualSpacing/>
              <w:rPr>
                <w:sz w:val="16"/>
                <w:szCs w:val="16"/>
              </w:rPr>
            </w:pPr>
            <w:r>
              <w:rPr>
                <w:sz w:val="16"/>
                <w:szCs w:val="16"/>
              </w:rPr>
              <w:t>Mostly effective (ME)</w:t>
            </w:r>
          </w:p>
        </w:tc>
        <w:tc>
          <w:tcPr>
            <w:tcW w:w="0" w:type="auto"/>
          </w:tcPr>
          <w:p w14:paraId="5761D543" w14:textId="77777777" w:rsidR="00A56EE9" w:rsidRDefault="00A56EE9" w:rsidP="00BB6AD5">
            <w:pPr>
              <w:keepNext/>
              <w:keepLines/>
              <w:contextualSpacing/>
              <w:rPr>
                <w:sz w:val="16"/>
                <w:szCs w:val="16"/>
              </w:rPr>
            </w:pPr>
            <w:r>
              <w:rPr>
                <w:noProof/>
                <w:sz w:val="16"/>
                <w:szCs w:val="16"/>
              </w:rPr>
              <mc:AlternateContent>
                <mc:Choice Requires="wps">
                  <w:drawing>
                    <wp:anchor distT="0" distB="0" distL="114300" distR="114300" simplePos="0" relativeHeight="251671552" behindDoc="0" locked="0" layoutInCell="1" allowOverlap="1" wp14:anchorId="57620CB8" wp14:editId="57620CB9">
                      <wp:simplePos x="0" y="0"/>
                      <wp:positionH relativeFrom="column">
                        <wp:posOffset>-41275</wp:posOffset>
                      </wp:positionH>
                      <wp:positionV relativeFrom="paragraph">
                        <wp:posOffset>22860</wp:posOffset>
                      </wp:positionV>
                      <wp:extent cx="95250" cy="104775"/>
                      <wp:effectExtent l="0" t="0" r="19050" b="28575"/>
                      <wp:wrapNone/>
                      <wp:docPr id="262" name="Rectangle 262"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3"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B8" id="Rectangle 262" o:spid="_x0000_s1084" alt="Title: Rectangle - Description: Rectangle coloured light green" style="position:absolute;margin-left:-3.25pt;margin-top:1.8pt;width:7.5pt;height: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" fillcolor="#92d050" strokecolor="black [3213]" strokeweight="1pt">
                      <v:textbox>
                        <w:txbxContent>
                          <w:p w14:paraId="57620D33" w14:textId="77777777" w:rsidR="008B5998" w:rsidRDefault="008B5998" w:rsidP="00BB6AD5">
                            <w:pPr>
                              <w:jc w:val="center"/>
                            </w:pPr>
                          </w:p>
                        </w:txbxContent>
                      </v:textbox>
                    </v:rect>
                  </w:pict>
                </mc:Fallback>
              </mc:AlternateContent>
            </w:r>
            <w:r>
              <w:rPr>
                <w:sz w:val="16"/>
                <w:szCs w:val="16"/>
              </w:rPr>
              <w:t>;</w:t>
            </w:r>
          </w:p>
        </w:tc>
        <w:tc>
          <w:tcPr>
            <w:tcW w:w="0" w:type="auto"/>
          </w:tcPr>
          <w:p w14:paraId="5761D544" w14:textId="77777777" w:rsidR="00A56EE9" w:rsidRDefault="00A56EE9" w:rsidP="00BB6AD5">
            <w:pPr>
              <w:keepNext/>
              <w:keepLines/>
              <w:contextualSpacing/>
              <w:rPr>
                <w:sz w:val="16"/>
                <w:szCs w:val="16"/>
              </w:rPr>
            </w:pPr>
            <w:r>
              <w:rPr>
                <w:sz w:val="16"/>
                <w:szCs w:val="16"/>
              </w:rPr>
              <w:t>Partially effective (PE)</w:t>
            </w:r>
          </w:p>
        </w:tc>
        <w:tc>
          <w:tcPr>
            <w:tcW w:w="0" w:type="auto"/>
          </w:tcPr>
          <w:p w14:paraId="5761D545" w14:textId="77777777" w:rsidR="00A56EE9" w:rsidRDefault="00A56EE9" w:rsidP="00BB6AD5">
            <w:pPr>
              <w:keepNext/>
              <w:keepLines/>
              <w:contextualSpacing/>
              <w:rPr>
                <w:sz w:val="16"/>
                <w:szCs w:val="16"/>
              </w:rPr>
            </w:pPr>
            <w:r>
              <w:rPr>
                <w:noProof/>
                <w:sz w:val="16"/>
                <w:szCs w:val="16"/>
              </w:rPr>
              <mc:AlternateContent>
                <mc:Choice Requires="wps">
                  <w:drawing>
                    <wp:anchor distT="0" distB="0" distL="114300" distR="114300" simplePos="0" relativeHeight="251672576" behindDoc="0" locked="0" layoutInCell="1" allowOverlap="1" wp14:anchorId="57620CBA" wp14:editId="57620CBB">
                      <wp:simplePos x="0" y="0"/>
                      <wp:positionH relativeFrom="column">
                        <wp:posOffset>-65405</wp:posOffset>
                      </wp:positionH>
                      <wp:positionV relativeFrom="paragraph">
                        <wp:posOffset>19685</wp:posOffset>
                      </wp:positionV>
                      <wp:extent cx="95250" cy="104775"/>
                      <wp:effectExtent l="0" t="0" r="19050" b="28575"/>
                      <wp:wrapNone/>
                      <wp:docPr id="263" name="Rectangle 263"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4"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BA" id="Rectangle 263" o:spid="_x0000_s1085" alt="Title: Rectangle - Description: Rectangle coloured orange" style="position:absolute;margin-left:-5.15pt;margin-top:1.55pt;width:7.5pt;height:8.2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" fillcolor="#ffc000" strokecolor="black [3213]" strokeweight="1pt">
                      <v:textbox>
                        <w:txbxContent>
                          <w:p w14:paraId="57620D34" w14:textId="77777777" w:rsidR="008B5998" w:rsidRDefault="008B5998" w:rsidP="00BB6AD5">
                            <w:pPr>
                              <w:jc w:val="center"/>
                            </w:pPr>
                          </w:p>
                        </w:txbxContent>
                      </v:textbox>
                    </v:rect>
                  </w:pict>
                </mc:Fallback>
              </mc:AlternateContent>
            </w:r>
            <w:r>
              <w:rPr>
                <w:sz w:val="16"/>
                <w:szCs w:val="16"/>
              </w:rPr>
              <w:t>;</w:t>
            </w:r>
          </w:p>
        </w:tc>
        <w:tc>
          <w:tcPr>
            <w:tcW w:w="0" w:type="auto"/>
          </w:tcPr>
          <w:p w14:paraId="5761D546" w14:textId="77777777" w:rsidR="00A56EE9" w:rsidRDefault="00A56EE9" w:rsidP="00BB6AD5">
            <w:pPr>
              <w:keepNext/>
              <w:keepLines/>
              <w:contextualSpacing/>
              <w:rPr>
                <w:sz w:val="16"/>
                <w:szCs w:val="16"/>
              </w:rPr>
            </w:pPr>
            <w:r>
              <w:rPr>
                <w:sz w:val="16"/>
                <w:szCs w:val="16"/>
              </w:rPr>
              <w:t>Ineffective (I)</w:t>
            </w:r>
          </w:p>
        </w:tc>
        <w:tc>
          <w:tcPr>
            <w:tcW w:w="0" w:type="auto"/>
          </w:tcPr>
          <w:p w14:paraId="5761D547" w14:textId="77777777" w:rsidR="00A56EE9" w:rsidRDefault="00A56EE9" w:rsidP="00BB6AD5">
            <w:pPr>
              <w:keepNext/>
              <w:keepLines/>
              <w:contextualSpacing/>
              <w:rPr>
                <w:sz w:val="16"/>
                <w:szCs w:val="16"/>
              </w:rPr>
            </w:pPr>
            <w:r>
              <w:rPr>
                <w:noProof/>
                <w:sz w:val="16"/>
                <w:szCs w:val="16"/>
              </w:rPr>
              <mc:AlternateContent>
                <mc:Choice Requires="wps">
                  <w:drawing>
                    <wp:anchor distT="0" distB="0" distL="114300" distR="114300" simplePos="0" relativeHeight="251673600" behindDoc="0" locked="0" layoutInCell="1" allowOverlap="1" wp14:anchorId="57620CBC" wp14:editId="57620CBD">
                      <wp:simplePos x="0" y="0"/>
                      <wp:positionH relativeFrom="column">
                        <wp:posOffset>-50165</wp:posOffset>
                      </wp:positionH>
                      <wp:positionV relativeFrom="paragraph">
                        <wp:posOffset>24130</wp:posOffset>
                      </wp:positionV>
                      <wp:extent cx="95250" cy="104775"/>
                      <wp:effectExtent l="0" t="0" r="19050" b="28575"/>
                      <wp:wrapNone/>
                      <wp:docPr id="264" name="Rectangle 264"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5"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BC" id="Rectangle 264" o:spid="_x0000_s1086" alt="Title: Rectangle - Description: Rectangle coloured red" style="position:absolute;margin-left:-3.95pt;margin-top:1.9pt;width:7.5pt;height:8.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" fillcolor="red" strokecolor="black [3213]" strokeweight="1pt">
                      <v:textbox>
                        <w:txbxContent>
                          <w:p w14:paraId="57620D35" w14:textId="77777777" w:rsidR="008B5998" w:rsidRDefault="008B5998" w:rsidP="00BB6AD5">
                            <w:pPr>
                              <w:jc w:val="center"/>
                            </w:pPr>
                          </w:p>
                        </w:txbxContent>
                      </v:textbox>
                    </v:rect>
                  </w:pict>
                </mc:Fallback>
              </mc:AlternateContent>
            </w:r>
            <w:r>
              <w:rPr>
                <w:sz w:val="16"/>
                <w:szCs w:val="16"/>
              </w:rPr>
              <w:t>;</w:t>
            </w:r>
          </w:p>
        </w:tc>
      </w:tr>
    </w:tbl>
    <w:p w14:paraId="5761D549" w14:textId="77777777" w:rsidR="00A56EE9" w:rsidRDefault="00A56EE9" w:rsidP="00BB6AD5">
      <w:pPr>
        <w:keepNext/>
        <w:keepLines/>
        <w:spacing w:after="0" w:line="240" w:lineRule="auto"/>
        <w:ind w:left="1704"/>
        <w:contextualSpacing/>
        <w:rPr>
          <w:rFonts w:ascii="Cambria Math" w:hAnsi="Cambria Math" w:cs="Cambria Math"/>
          <w:b/>
        </w:rPr>
      </w:pPr>
    </w:p>
    <w:p w14:paraId="5761D54A" w14:textId="77777777" w:rsidR="00A56EE9" w:rsidRDefault="00A56EE9" w:rsidP="00BB6AD5">
      <w:pPr>
        <w:keepNext/>
        <w:keepLines/>
        <w:spacing w:after="0" w:line="240" w:lineRule="auto"/>
        <w:ind w:left="1701"/>
        <w:rPr>
          <w:rFonts w:ascii="Cambria Math" w:eastAsia="Calibri" w:hAnsi="Cambria Math" w:cs="Cambria Math"/>
          <w:b/>
        </w:rPr>
      </w:pPr>
      <w:r w:rsidRPr="004F2ABF">
        <w:rPr>
          <w:rFonts w:ascii="Cambria Math" w:hAnsi="Cambria Math" w:cs="Cambria Math"/>
          <w:b/>
        </w:rPr>
        <w:t>↗</w:t>
      </w:r>
      <w:r w:rsidRPr="004F2ABF">
        <w:rPr>
          <w:b/>
        </w:rPr>
        <w:t xml:space="preserve"> </w:t>
      </w:r>
      <w:r w:rsidRPr="006C34EB">
        <w:rPr>
          <w:sz w:val="16"/>
          <w:szCs w:val="16"/>
        </w:rPr>
        <w:t xml:space="preserve">Trend since </w:t>
      </w:r>
      <w:r>
        <w:rPr>
          <w:sz w:val="16"/>
          <w:szCs w:val="16"/>
        </w:rPr>
        <w:t xml:space="preserve">2009, </w:t>
      </w:r>
      <w:r w:rsidRPr="006C34EB">
        <w:rPr>
          <w:sz w:val="16"/>
          <w:szCs w:val="16"/>
        </w:rPr>
        <w:t>20</w:t>
      </w:r>
      <w:r>
        <w:rPr>
          <w:sz w:val="16"/>
          <w:szCs w:val="16"/>
        </w:rPr>
        <w:t>14</w:t>
      </w:r>
      <w:r w:rsidRPr="006C34EB">
        <w:rPr>
          <w:sz w:val="16"/>
          <w:szCs w:val="16"/>
        </w:rPr>
        <w:t xml:space="preserve"> is increasing but has not caused an upwards grade change</w:t>
      </w:r>
    </w:p>
    <w:p w14:paraId="5761D54B" w14:textId="77777777" w:rsidR="00A56EE9" w:rsidRPr="004F2ABF" w:rsidRDefault="00A56EE9" w:rsidP="00BB6AD5">
      <w:pPr>
        <w:keepNext/>
        <w:keepLines/>
        <w:spacing w:after="0" w:line="240" w:lineRule="auto"/>
        <w:ind w:left="1704"/>
        <w:contextualSpacing/>
      </w:pPr>
      <w:r>
        <w:rPr>
          <w:rFonts w:ascii="Cambria Math" w:hAnsi="Cambria Math" w:cs="Cambria Math"/>
          <w:b/>
        </w:rPr>
        <w:t>↔</w:t>
      </w:r>
      <w:r w:rsidRPr="004F2ABF">
        <w:t xml:space="preserve"> </w:t>
      </w:r>
      <w:r w:rsidRPr="006C34EB">
        <w:rPr>
          <w:sz w:val="16"/>
          <w:szCs w:val="16"/>
        </w:rPr>
        <w:t xml:space="preserve">Grade has </w:t>
      </w:r>
      <w:r>
        <w:rPr>
          <w:sz w:val="16"/>
          <w:szCs w:val="16"/>
        </w:rPr>
        <w:t>remained stable compared to 2009, 2014</w:t>
      </w:r>
      <w:r w:rsidRPr="006C34EB">
        <w:rPr>
          <w:sz w:val="16"/>
          <w:szCs w:val="16"/>
        </w:rPr>
        <w:t>, with no major trends</w:t>
      </w:r>
      <w:r w:rsidRPr="004F2ABF">
        <w:t xml:space="preserve"> </w:t>
      </w:r>
    </w:p>
    <w:p w14:paraId="5761D54C" w14:textId="77777777" w:rsidR="00A56EE9" w:rsidRPr="004F2ABF" w:rsidRDefault="00A56EE9" w:rsidP="00BB6AD5">
      <w:pPr>
        <w:keepNext/>
        <w:keepLines/>
        <w:spacing w:after="0" w:line="240" w:lineRule="auto"/>
        <w:ind w:left="1704"/>
        <w:contextualSpacing/>
      </w:pPr>
      <w:r>
        <w:rPr>
          <w:rFonts w:ascii="Cambria Math" w:hAnsi="Cambria Math" w:cs="Cambria Math"/>
          <w:b/>
        </w:rPr>
        <w:t>↘</w:t>
      </w:r>
      <w:r w:rsidRPr="004F2ABF">
        <w:rPr>
          <w:b/>
        </w:rPr>
        <w:t xml:space="preserve"> </w:t>
      </w:r>
      <w:r>
        <w:rPr>
          <w:sz w:val="16"/>
          <w:szCs w:val="16"/>
        </w:rPr>
        <w:t>Trend since 2009, 2014</w:t>
      </w:r>
      <w:r w:rsidRPr="006C34EB">
        <w:rPr>
          <w:sz w:val="16"/>
          <w:szCs w:val="16"/>
        </w:rPr>
        <w:t xml:space="preserve"> is decreasing but has not caused a downwards grade change</w:t>
      </w:r>
    </w:p>
    <w:p w14:paraId="5761D54D" w14:textId="77777777" w:rsidR="00A56EE9" w:rsidRPr="004F2ABF" w:rsidRDefault="00A56EE9" w:rsidP="007F1AA6">
      <w:pPr>
        <w:keepNext/>
        <w:keepLines/>
        <w:spacing w:line="240" w:lineRule="auto"/>
        <w:ind w:left="1704"/>
        <w:contextualSpacing/>
      </w:pPr>
      <w:r w:rsidRPr="004F2ABF">
        <w:rPr>
          <w:rFonts w:ascii="Cambria Math" w:hAnsi="Cambria Math" w:cs="Cambria Math"/>
        </w:rPr>
        <w:t>⬇</w:t>
      </w:r>
      <w:r>
        <w:t xml:space="preserve"> </w:t>
      </w:r>
      <w:r>
        <w:rPr>
          <w:sz w:val="16"/>
          <w:szCs w:val="16"/>
        </w:rPr>
        <w:t>Trend since 2009, 2014</w:t>
      </w:r>
      <w:r w:rsidRPr="006C34EB">
        <w:rPr>
          <w:sz w:val="16"/>
          <w:szCs w:val="16"/>
        </w:rPr>
        <w:t xml:space="preserve"> has been a downwards change in grade</w:t>
      </w:r>
    </w:p>
    <w:p w14:paraId="5761D54F" w14:textId="77777777" w:rsidR="00A56EE9" w:rsidRDefault="00A56EE9" w:rsidP="00A11869">
      <w:pPr>
        <w:pStyle w:val="Heading2"/>
        <w:numPr>
          <w:ilvl w:val="1"/>
          <w:numId w:val="17"/>
        </w:numPr>
        <w:ind w:left="357" w:hanging="357"/>
      </w:pPr>
      <w:bookmarkStart w:id="134" w:name="_Toc523423794"/>
      <w:r>
        <w:t>Community benefits of the environment</w:t>
      </w:r>
      <w:bookmarkEnd w:id="134"/>
    </w:p>
    <w:p w14:paraId="5761D550" w14:textId="62A9F69A" w:rsidR="00A56EE9" w:rsidRDefault="00A56EE9" w:rsidP="00E3690C">
      <w:pPr>
        <w:spacing w:line="276" w:lineRule="auto"/>
      </w:pPr>
      <w:r w:rsidRPr="009B066B">
        <w:t>Community benefits of the environment</w:t>
      </w:r>
      <w:r w:rsidRPr="007F0D8F">
        <w:t xml:space="preserve"> was a new topic for consideration in </w:t>
      </w:r>
      <w:r>
        <w:t xml:space="preserve">the </w:t>
      </w:r>
      <w:r w:rsidRPr="00DE60A7">
        <w:t>Outlook Report 2014</w:t>
      </w:r>
      <w:r w:rsidRPr="007F0D8F">
        <w:t xml:space="preserve"> as a result of the Great Barrier Reef Reg</w:t>
      </w:r>
      <w:r>
        <w:t>ion Strategic Assessment</w:t>
      </w:r>
      <w:r w:rsidRPr="007F0D8F">
        <w:t>. This inclusion explicitly recognises the community benefits that are derived from the environment.</w:t>
      </w:r>
      <w:r w:rsidR="00242993">
        <w:t xml:space="preserve"> </w:t>
      </w:r>
      <w:r w:rsidRPr="007F0D8F">
        <w:t xml:space="preserve">Community benefits of the </w:t>
      </w:r>
      <w:r>
        <w:t>Region</w:t>
      </w:r>
      <w:r w:rsidRPr="007F0D8F">
        <w:t xml:space="preserve"> encompass socio-economic aspects such as employment and income, in addition to less tangible attributes such as understanding, appreciation, enjoyment, personal connection, health benefits and access to the Reef. Many of these attributes are values</w:t>
      </w:r>
      <w:r>
        <w:t>-</w:t>
      </w:r>
      <w:r w:rsidRPr="007F0D8F">
        <w:t xml:space="preserve">based. </w:t>
      </w:r>
    </w:p>
    <w:p w14:paraId="5761D551" w14:textId="05FBC3A6" w:rsidR="00A56EE9" w:rsidRPr="007F0D8F" w:rsidRDefault="00A56EE9" w:rsidP="00E3690C">
      <w:pPr>
        <w:spacing w:line="276" w:lineRule="auto"/>
      </w:pPr>
      <w:bookmarkStart w:id="135" w:name="_Ref259285475"/>
      <w:bookmarkStart w:id="136" w:name="_Toc389205092"/>
      <w:r w:rsidRPr="00C80F3D">
        <w:t xml:space="preserve">Rating of effectiveness for </w:t>
      </w:r>
      <w:r>
        <w:t>two</w:t>
      </w:r>
      <w:r w:rsidRPr="00C80F3D">
        <w:t xml:space="preserve"> of the si</w:t>
      </w:r>
      <w:r>
        <w:t>x assessment elements (Inputs and Processes</w:t>
      </w:r>
      <w:r w:rsidRPr="00C80F3D">
        <w:t xml:space="preserve">) improved from </w:t>
      </w:r>
      <w:r w:rsidRPr="00D07110">
        <w:rPr>
          <w:i/>
        </w:rPr>
        <w:t>partially effective</w:t>
      </w:r>
      <w:r w:rsidRPr="00C80F3D">
        <w:t xml:space="preserve"> to </w:t>
      </w:r>
      <w:r w:rsidRPr="00D07110">
        <w:rPr>
          <w:i/>
        </w:rPr>
        <w:t>mostly effective</w:t>
      </w:r>
      <w:r>
        <w:t xml:space="preserve"> (</w:t>
      </w:r>
      <w:r>
        <w:fldChar w:fldCharType="begin"/>
      </w:r>
      <w:r>
        <w:instrText xml:space="preserve"> REF _Ref259285475 \h </w:instrText>
      </w:r>
      <w:r w:rsidR="00E3690C">
        <w:instrText xml:space="preserve"> \* MERGEFORMAT </w:instrText>
      </w:r>
      <w:r>
        <w:fldChar w:fldCharType="separate"/>
      </w:r>
      <w:r w:rsidR="00A4170C">
        <w:rPr>
          <w:b/>
          <w:bCs/>
          <w:lang w:val="en-US"/>
        </w:rPr>
        <w:t>Error! Not a valid bookmark self-reference.</w:t>
      </w:r>
      <w:r>
        <w:fldChar w:fldCharType="end"/>
      </w:r>
      <w:r>
        <w:t>). Context,</w:t>
      </w:r>
      <w:r w:rsidRPr="00C80F3D">
        <w:t xml:space="preserve"> </w:t>
      </w:r>
      <w:r>
        <w:t>Planning,</w:t>
      </w:r>
      <w:r w:rsidRPr="00C80F3D">
        <w:t xml:space="preserve"> Outputs </w:t>
      </w:r>
      <w:r>
        <w:t xml:space="preserve">and Outcomes </w:t>
      </w:r>
      <w:r w:rsidRPr="00C80F3D">
        <w:t>remaine</w:t>
      </w:r>
      <w:r>
        <w:t>d the same as in the Outloo</w:t>
      </w:r>
      <w:r w:rsidRPr="00C80F3D">
        <w:t>k Report</w:t>
      </w:r>
      <w:r>
        <w:t xml:space="preserve"> 2014, although Context and Planning improved within the </w:t>
      </w:r>
      <w:r w:rsidRPr="00D07110">
        <w:rPr>
          <w:i/>
        </w:rPr>
        <w:t>mostly effective</w:t>
      </w:r>
      <w:r>
        <w:t xml:space="preserve"> range.</w:t>
      </w:r>
      <w:r w:rsidR="00242993">
        <w:t xml:space="preserve"> </w:t>
      </w:r>
    </w:p>
    <w:p w14:paraId="5761D552" w14:textId="77777777" w:rsidR="00A56EE9" w:rsidRPr="007F0D8F" w:rsidRDefault="00A56EE9" w:rsidP="00E3690C">
      <w:pPr>
        <w:spacing w:line="276" w:lineRule="auto"/>
      </w:pPr>
      <w:r>
        <w:t>S</w:t>
      </w:r>
      <w:r w:rsidRPr="007F0D8F">
        <w:t xml:space="preserve">ignificant work has been undertaken </w:t>
      </w:r>
      <w:r>
        <w:t xml:space="preserve">over the past five years </w:t>
      </w:r>
      <w:r w:rsidRPr="007F0D8F">
        <w:t>to understand the range of community benefits, and to incorporate community benefits into policy and assessment processes. Community benefit</w:t>
      </w:r>
      <w:r>
        <w:t>s are</w:t>
      </w:r>
      <w:r w:rsidRPr="007F0D8F">
        <w:t xml:space="preserve"> now captured in the </w:t>
      </w:r>
      <w:r>
        <w:t xml:space="preserve">Marine Park </w:t>
      </w:r>
      <w:r w:rsidRPr="007F0D8F">
        <w:t>A</w:t>
      </w:r>
      <w:r>
        <w:t>uthorit</w:t>
      </w:r>
      <w:r w:rsidRPr="007F0D8F">
        <w:t>y’s</w:t>
      </w:r>
      <w:r>
        <w:t xml:space="preserve"> statement of purpose, reflecting a</w:t>
      </w:r>
      <w:r w:rsidRPr="007F0D8F">
        <w:t xml:space="preserve"> high</w:t>
      </w:r>
      <w:r>
        <w:t>-</w:t>
      </w:r>
      <w:r w:rsidRPr="007F0D8F">
        <w:t xml:space="preserve">level understanding by managers that the Reef </w:t>
      </w:r>
      <w:r>
        <w:t xml:space="preserve">provides substantial and diverse </w:t>
      </w:r>
      <w:r w:rsidRPr="007F0D8F">
        <w:t>community benefit</w:t>
      </w:r>
      <w:r>
        <w:t>.</w:t>
      </w:r>
      <w:r w:rsidRPr="007F0D8F">
        <w:t xml:space="preserve"> </w:t>
      </w:r>
    </w:p>
    <w:p w14:paraId="5761D553" w14:textId="62068070" w:rsidR="00A56EE9" w:rsidRPr="007F0D8F" w:rsidRDefault="00A56EE9" w:rsidP="00E3690C">
      <w:pPr>
        <w:spacing w:line="276" w:lineRule="auto"/>
      </w:pPr>
      <w:r w:rsidRPr="007F0D8F">
        <w:t xml:space="preserve">Recognition that the most significant threats to the long-term health of the Reef are outside the </w:t>
      </w:r>
      <w:r>
        <w:t xml:space="preserve">Marine Park </w:t>
      </w:r>
      <w:r w:rsidRPr="007F0D8F">
        <w:t xml:space="preserve">Authority’s </w:t>
      </w:r>
      <w:r>
        <w:t>jurisdiction (e.g. Climate change, Land-based run-off)</w:t>
      </w:r>
      <w:r w:rsidRPr="007F0D8F">
        <w:t xml:space="preserve"> has encouraged </w:t>
      </w:r>
      <w:r w:rsidR="008C6015">
        <w:t>managing agencies</w:t>
      </w:r>
      <w:r w:rsidRPr="007F0D8F">
        <w:t xml:space="preserve"> to increase efforts to work with and influence the broader community. </w:t>
      </w:r>
      <w:r>
        <w:t>More effective engagement with the wider community</w:t>
      </w:r>
      <w:r w:rsidRPr="007F0D8F">
        <w:t xml:space="preserve"> require</w:t>
      </w:r>
      <w:r>
        <w:t>s</w:t>
      </w:r>
      <w:r w:rsidRPr="007F0D8F">
        <w:t xml:space="preserve"> a better understand</w:t>
      </w:r>
      <w:r>
        <w:t>ing</w:t>
      </w:r>
      <w:r w:rsidRPr="007F0D8F">
        <w:t xml:space="preserve"> </w:t>
      </w:r>
      <w:r>
        <w:t xml:space="preserve">of the diverse </w:t>
      </w:r>
      <w:r w:rsidRPr="007F0D8F">
        <w:t>values</w:t>
      </w:r>
      <w:r>
        <w:t xml:space="preserve"> and</w:t>
      </w:r>
      <w:r w:rsidRPr="007F0D8F">
        <w:t xml:space="preserve"> benefits</w:t>
      </w:r>
      <w:r>
        <w:t xml:space="preserve"> of the Reef </w:t>
      </w:r>
      <w:r w:rsidRPr="007F0D8F">
        <w:t>to the community</w:t>
      </w:r>
      <w:r>
        <w:t xml:space="preserve"> and the perceptions about the Reef and its associated threats within the community</w:t>
      </w:r>
      <w:r w:rsidRPr="007F0D8F">
        <w:t xml:space="preserve">. Strategies in the </w:t>
      </w:r>
      <w:r>
        <w:t xml:space="preserve">Marine Park Authority’s </w:t>
      </w:r>
      <w:r w:rsidRPr="007F0D8F">
        <w:t xml:space="preserve">Corporate Plan reflect current understanding, recognised gaps and actions to </w:t>
      </w:r>
      <w:r>
        <w:t>improve the effectiveness and strategic value of future engagement efforts</w:t>
      </w:r>
      <w:r w:rsidRPr="007F0D8F">
        <w:t>.</w:t>
      </w:r>
    </w:p>
    <w:p w14:paraId="5761D554" w14:textId="77777777" w:rsidR="00A56EE9" w:rsidRPr="00F21CA2" w:rsidRDefault="00A56EE9" w:rsidP="00E3690C">
      <w:pPr>
        <w:spacing w:line="276" w:lineRule="auto"/>
        <w:rPr>
          <w:i/>
        </w:rPr>
      </w:pPr>
      <w:r>
        <w:t>To u</w:t>
      </w:r>
      <w:r w:rsidRPr="007F0D8F">
        <w:t>nderstand</w:t>
      </w:r>
      <w:r>
        <w:t xml:space="preserve"> </w:t>
      </w:r>
      <w:r w:rsidRPr="007F0D8F">
        <w:t>community benefits</w:t>
      </w:r>
      <w:r>
        <w:t>, it is recognised</w:t>
      </w:r>
      <w:r w:rsidRPr="007F0D8F">
        <w:t xml:space="preserve"> that the Region is a multiple-use marine protected area </w:t>
      </w:r>
      <w:r>
        <w:t>and that</w:t>
      </w:r>
      <w:r w:rsidRPr="007F0D8F">
        <w:t xml:space="preserve"> people and their environment</w:t>
      </w:r>
      <w:r>
        <w:t xml:space="preserve"> are inter-connected</w:t>
      </w:r>
      <w:r w:rsidRPr="007F0D8F">
        <w:t xml:space="preserve">, as reflected in the definition of the environment in both the </w:t>
      </w:r>
      <w:r w:rsidRPr="007F0D8F">
        <w:rPr>
          <w:i/>
        </w:rPr>
        <w:t>Great Barrier Reef Marine Park Act</w:t>
      </w:r>
      <w:r w:rsidRPr="007F0D8F">
        <w:t xml:space="preserve"> and the EPBC Act: ‘</w:t>
      </w:r>
      <w:r w:rsidRPr="007F0D8F">
        <w:rPr>
          <w:i/>
        </w:rPr>
        <w:t>Environment includes ecosystems and their constituent parts, including people and communities; natural and physical resources; the qualities and characteristics of locations, places and areas; heritage values of places; and the social, economic and cultural aspects of the above’</w:t>
      </w:r>
    </w:p>
    <w:p w14:paraId="5761D555" w14:textId="77777777" w:rsidR="00A56EE9" w:rsidRPr="007F0D8F" w:rsidRDefault="00A56EE9" w:rsidP="00E3690C">
      <w:pPr>
        <w:spacing w:line="276" w:lineRule="auto"/>
      </w:pPr>
      <w:r>
        <w:t>The Marine Park Authority</w:t>
      </w:r>
      <w:r w:rsidRPr="007F0D8F">
        <w:t xml:space="preserve">, together with the </w:t>
      </w:r>
      <w:r>
        <w:t>Australian</w:t>
      </w:r>
      <w:r w:rsidRPr="007F0D8F">
        <w:t xml:space="preserve"> and Queensland Governments, ha</w:t>
      </w:r>
      <w:r>
        <w:t>s</w:t>
      </w:r>
      <w:r w:rsidRPr="007F0D8F">
        <w:t xml:space="preserve"> worked to adopt an integrated approach to the management of social, economic and environmental aspects of the Region. This is evident through recognition of community benefits in the Reef 2050 Plan and a number of policies that have been developed or re-drafted</w:t>
      </w:r>
      <w:r>
        <w:t>,</w:t>
      </w:r>
      <w:r w:rsidRPr="007F0D8F">
        <w:t xml:space="preserve"> such as the Permissions System Policy and the draft Cumulative Impact Management Policy. The consequential and cumulative impacts on community benefits are now well recognised and are being considered in policy development. </w:t>
      </w:r>
      <w:r>
        <w:t>The Reef 2050 Plan includes a number of actions and targets relating to Community benefits.</w:t>
      </w:r>
      <w:r w:rsidRPr="007F0D8F">
        <w:t xml:space="preserve"> </w:t>
      </w:r>
      <w:r w:rsidRPr="00B501C0">
        <w:t xml:space="preserve">(e.g. CBT2 </w:t>
      </w:r>
      <w:r w:rsidRPr="00B501C0">
        <w:rPr>
          <w:i/>
        </w:rPr>
        <w:t>“Community benefit values have been identified and are considered in decision making”</w:t>
      </w:r>
      <w:r w:rsidRPr="00B501C0">
        <w:t xml:space="preserve">). </w:t>
      </w:r>
      <w:r>
        <w:t xml:space="preserve">The </w:t>
      </w:r>
      <w:r w:rsidRPr="007F0D8F">
        <w:t xml:space="preserve">Reef </w:t>
      </w:r>
      <w:r>
        <w:t xml:space="preserve">2050 </w:t>
      </w:r>
      <w:r w:rsidRPr="007F0D8F">
        <w:t xml:space="preserve">Water Quality Improvement Plan </w:t>
      </w:r>
      <w:r>
        <w:t xml:space="preserve">explicitly includes a human </w:t>
      </w:r>
      <w:r w:rsidRPr="007F0D8F">
        <w:t xml:space="preserve">dimensions target </w:t>
      </w:r>
      <w:r>
        <w:t>“</w:t>
      </w:r>
      <w:r w:rsidRPr="007F0D8F">
        <w:rPr>
          <w:i/>
        </w:rPr>
        <w:t>active engagement of communities and land managers in programs to improve water quality outcomes is increased</w:t>
      </w:r>
      <w:r>
        <w:rPr>
          <w:i/>
        </w:rPr>
        <w:t>”</w:t>
      </w:r>
      <w:r w:rsidRPr="007F0D8F">
        <w:t xml:space="preserve">. The target will be refined </w:t>
      </w:r>
      <w:r>
        <w:t>to become</w:t>
      </w:r>
      <w:r w:rsidRPr="007F0D8F">
        <w:t xml:space="preserve"> more quantitative in future plans.</w:t>
      </w:r>
    </w:p>
    <w:p w14:paraId="5761D556" w14:textId="2E7A218E" w:rsidR="00A56EE9" w:rsidRPr="007F0D8F" w:rsidRDefault="00A56EE9" w:rsidP="00E3690C">
      <w:pPr>
        <w:spacing w:line="276" w:lineRule="auto"/>
      </w:pPr>
      <w:r w:rsidRPr="007F0D8F">
        <w:t>The Social and Econom</w:t>
      </w:r>
      <w:r>
        <w:t xml:space="preserve">ic Long-Term Monitoring Program </w:t>
      </w:r>
      <w:r w:rsidRPr="007F0D8F">
        <w:t xml:space="preserve">is assisting managers </w:t>
      </w:r>
      <w:r>
        <w:t>to understand</w:t>
      </w:r>
      <w:r w:rsidRPr="007F0D8F">
        <w:t xml:space="preserve"> human dimensions </w:t>
      </w:r>
      <w:r w:rsidRPr="00B501C0">
        <w:t xml:space="preserve">of the </w:t>
      </w:r>
      <w:r>
        <w:t>Region</w:t>
      </w:r>
      <w:r w:rsidRPr="00B501C0">
        <w:t xml:space="preserve"> and </w:t>
      </w:r>
      <w:r>
        <w:t xml:space="preserve">to </w:t>
      </w:r>
      <w:r w:rsidRPr="00B501C0">
        <w:t>incorporat</w:t>
      </w:r>
      <w:r>
        <w:t>e</w:t>
      </w:r>
      <w:r w:rsidRPr="00B501C0">
        <w:t xml:space="preserve"> such considerations </w:t>
      </w:r>
      <w:r w:rsidRPr="007F0D8F">
        <w:t>into their planning and management</w:t>
      </w:r>
      <w:r>
        <w:t xml:space="preserve"> (Marshall et al 2017a).</w:t>
      </w:r>
      <w:r w:rsidR="00242993">
        <w:t xml:space="preserve"> </w:t>
      </w:r>
      <w:r w:rsidRPr="007F0D8F">
        <w:t xml:space="preserve">Projects under </w:t>
      </w:r>
      <w:r>
        <w:t xml:space="preserve">the </w:t>
      </w:r>
      <w:r w:rsidRPr="007F0D8F">
        <w:t>N</w:t>
      </w:r>
      <w:r>
        <w:t xml:space="preserve">ational </w:t>
      </w:r>
      <w:r w:rsidRPr="007F0D8F">
        <w:t>E</w:t>
      </w:r>
      <w:r>
        <w:t xml:space="preserve">nvironmental </w:t>
      </w:r>
      <w:r w:rsidRPr="007F0D8F">
        <w:t>S</w:t>
      </w:r>
      <w:r>
        <w:t xml:space="preserve">cience </w:t>
      </w:r>
      <w:r w:rsidRPr="007F0D8F">
        <w:t>P</w:t>
      </w:r>
      <w:r>
        <w:t>rogram</w:t>
      </w:r>
      <w:r w:rsidRPr="007F0D8F">
        <w:t xml:space="preserve"> are developing cost effective indicators and metrics for human dimension outcomes, objective</w:t>
      </w:r>
      <w:r>
        <w:t>s</w:t>
      </w:r>
      <w:r w:rsidRPr="007F0D8F">
        <w:t xml:space="preserve"> and targets in the Reef 2050 Plan, while other projects are investigating the aesthetic value of the Region.</w:t>
      </w:r>
      <w:r>
        <w:t xml:space="preserve"> The report </w:t>
      </w:r>
      <w:r w:rsidRPr="00F21CA2">
        <w:rPr>
          <w:i/>
        </w:rPr>
        <w:t>Management for the aesthetic values in the Great Barrier Reef</w:t>
      </w:r>
      <w:r>
        <w:t xml:space="preserve"> (Marshall et al 2017b) identified that </w:t>
      </w:r>
      <w:r w:rsidRPr="00B33046">
        <w:t xml:space="preserve">managers </w:t>
      </w:r>
      <w:r>
        <w:t xml:space="preserve">increasingly </w:t>
      </w:r>
      <w:r w:rsidRPr="00B33046">
        <w:t xml:space="preserve">need </w:t>
      </w:r>
      <w:r>
        <w:t>“</w:t>
      </w:r>
      <w:r w:rsidRPr="00A82141">
        <w:rPr>
          <w:i/>
        </w:rPr>
        <w:t>reliable and objective measures for aesthetic values above the water, and at the water line, such as for beaches, islands and cays, in order to ensure those values are adequately protected</w:t>
      </w:r>
      <w:r>
        <w:rPr>
          <w:i/>
        </w:rPr>
        <w:t>”</w:t>
      </w:r>
      <w:r>
        <w:t xml:space="preserve"> and recommends trialling methods to include aesthetics ratings as part of established monitoring programs, and developing standardised approaches to include aesthetics into policy and decision making process. </w:t>
      </w:r>
    </w:p>
    <w:p w14:paraId="5761D557" w14:textId="4B5CF34A" w:rsidR="00A56EE9" w:rsidRPr="007F0D8F" w:rsidRDefault="00A56EE9" w:rsidP="00E3690C">
      <w:pPr>
        <w:spacing w:line="276" w:lineRule="auto"/>
      </w:pPr>
      <w:r w:rsidRPr="007F0D8F">
        <w:t xml:space="preserve">Many of the </w:t>
      </w:r>
      <w:r>
        <w:t xml:space="preserve">issues </w:t>
      </w:r>
      <w:r w:rsidRPr="007F0D8F">
        <w:t xml:space="preserve">associated with community benefits, such as population change, economic growth and climate change, are recognised as global </w:t>
      </w:r>
      <w:r>
        <w:t>issues</w:t>
      </w:r>
      <w:r w:rsidRPr="007F0D8F">
        <w:t xml:space="preserve"> and are difficult for a single planning system to encompass. However, significant progress has been made in incorporating values associated with community benefits into </w:t>
      </w:r>
      <w:r>
        <w:t>policy and assessment processes, reflected by the improved scores for Inputs and Processes.</w:t>
      </w:r>
      <w:r w:rsidR="00242993">
        <w:t xml:space="preserve"> </w:t>
      </w:r>
    </w:p>
    <w:p w14:paraId="5761D558" w14:textId="77777777" w:rsidR="00A56EE9" w:rsidRPr="007F0D8F" w:rsidRDefault="00A56EE9" w:rsidP="00E3690C">
      <w:pPr>
        <w:spacing w:line="276" w:lineRule="auto"/>
      </w:pPr>
      <w:r w:rsidRPr="007F0D8F">
        <w:t>Stakeholder engagement through the Reef Advisory Committees</w:t>
      </w:r>
      <w:r>
        <w:t xml:space="preserve"> and</w:t>
      </w:r>
      <w:r w:rsidRPr="007F0D8F">
        <w:t xml:space="preserve"> Local Marine Advisory Committees better </w:t>
      </w:r>
      <w:r>
        <w:t xml:space="preserve">inform management regarding </w:t>
      </w:r>
      <w:r w:rsidRPr="007F0D8F">
        <w:t>community values and issues of concern. Volunteer progr</w:t>
      </w:r>
      <w:r>
        <w:t xml:space="preserve">ams, such as </w:t>
      </w:r>
      <w:r w:rsidRPr="003021F5">
        <w:t>components of the Marine Monitoring Program</w:t>
      </w:r>
      <w:r w:rsidRPr="007F0D8F">
        <w:t xml:space="preserve"> and Eye on the Reef</w:t>
      </w:r>
      <w:r>
        <w:t xml:space="preserve"> Program</w:t>
      </w:r>
      <w:r w:rsidRPr="007F0D8F">
        <w:t xml:space="preserve">, also provide avenues for community involvement in protecting the </w:t>
      </w:r>
      <w:r>
        <w:t>Region</w:t>
      </w:r>
      <w:r w:rsidRPr="007F0D8F">
        <w:t xml:space="preserve">. The Reef Guardian program aims to engage the community in management of the environment and </w:t>
      </w:r>
      <w:r>
        <w:t>associated community benefits.</w:t>
      </w:r>
      <w:r w:rsidRPr="007F0D8F">
        <w:t xml:space="preserve"> The</w:t>
      </w:r>
      <w:r>
        <w:t xml:space="preserve"> </w:t>
      </w:r>
      <w:r w:rsidRPr="007F0D8F">
        <w:t>Field Management Program also has a strong commitment to ensuring public access to the Reef and islands</w:t>
      </w:r>
      <w:r>
        <w:t xml:space="preserve"> which helps to maintain community benefits and connections</w:t>
      </w:r>
      <w:r w:rsidRPr="007F0D8F">
        <w:t>.</w:t>
      </w:r>
    </w:p>
    <w:p w14:paraId="5761D559" w14:textId="77777777" w:rsidR="00A56EE9" w:rsidRPr="007F0D8F" w:rsidRDefault="00A56EE9" w:rsidP="00E3690C">
      <w:pPr>
        <w:spacing w:line="276" w:lineRule="auto"/>
      </w:pPr>
      <w:r>
        <w:t xml:space="preserve">The </w:t>
      </w:r>
      <w:r w:rsidRPr="007F0D8F">
        <w:t xml:space="preserve">Outlook </w:t>
      </w:r>
      <w:r>
        <w:t xml:space="preserve">Report </w:t>
      </w:r>
      <w:r w:rsidRPr="007F0D8F">
        <w:t>2014 identified that many of the community benefit issues were considered under programs and policies developed for other purposes such as access to resources, conservation and multiple use</w:t>
      </w:r>
      <w:r>
        <w:t>,</w:t>
      </w:r>
      <w:r w:rsidRPr="007F0D8F">
        <w:t xml:space="preserve"> and there were no guidelines or benchmarks for social or economic impact assessments</w:t>
      </w:r>
      <w:r>
        <w:t xml:space="preserve"> for</w:t>
      </w:r>
      <w:r w:rsidRPr="007F0D8F">
        <w:t xml:space="preserve"> the </w:t>
      </w:r>
      <w:r>
        <w:t>Region</w:t>
      </w:r>
      <w:r w:rsidRPr="007F0D8F">
        <w:t xml:space="preserve">. </w:t>
      </w:r>
      <w:r>
        <w:t xml:space="preserve">Since then, </w:t>
      </w:r>
      <w:r w:rsidRPr="007F0D8F">
        <w:t>a significant body of work has been undertaken to provide</w:t>
      </w:r>
      <w:r>
        <w:t xml:space="preserve"> such guidelines and benchmarks. However,</w:t>
      </w:r>
      <w:r w:rsidRPr="007F0D8F">
        <w:t xml:space="preserve"> much of this work is still in development</w:t>
      </w:r>
      <w:r>
        <w:t xml:space="preserve"> and further progress will be expected in the near future</w:t>
      </w:r>
      <w:r w:rsidRPr="007F0D8F">
        <w:t xml:space="preserve">. </w:t>
      </w:r>
    </w:p>
    <w:p w14:paraId="5761D55A" w14:textId="5710C070" w:rsidR="00A56EE9" w:rsidRDefault="00A56EE9" w:rsidP="00BB6AD5">
      <w:pPr>
        <w:pStyle w:val="Caption"/>
        <w:keepNext/>
        <w:jc w:val="center"/>
      </w:pPr>
      <w:bookmarkStart w:id="137" w:name="_Toc525654463"/>
      <w:r w:rsidRPr="002B5F80">
        <w:t xml:space="preserve">Table </w:t>
      </w:r>
      <w:r>
        <w:fldChar w:fldCharType="begin"/>
      </w:r>
      <w:r>
        <w:instrText xml:space="preserve"> SEQ Table \* ARABIC </w:instrText>
      </w:r>
      <w:r>
        <w:fldChar w:fldCharType="separate"/>
      </w:r>
      <w:r w:rsidR="00A4170C">
        <w:rPr>
          <w:noProof/>
        </w:rPr>
        <w:t>18</w:t>
      </w:r>
      <w:r>
        <w:rPr>
          <w:noProof/>
        </w:rPr>
        <w:fldChar w:fldCharType="end"/>
      </w:r>
      <w:bookmarkEnd w:id="135"/>
      <w:r w:rsidRPr="002B5F80">
        <w:t xml:space="preserve"> Assessment results for </w:t>
      </w:r>
      <w:r>
        <w:t>C</w:t>
      </w:r>
      <w:r w:rsidRPr="002B5F80">
        <w:t xml:space="preserve">ommunity </w:t>
      </w:r>
      <w:r>
        <w:t>B</w:t>
      </w:r>
      <w:r w:rsidRPr="002B5F80">
        <w:t>enefits of the environment</w:t>
      </w:r>
      <w:bookmarkEnd w:id="136"/>
      <w:bookmarkEnd w:id="137"/>
    </w:p>
    <w:tbl>
      <w:tblPr>
        <w:tblStyle w:val="TableGrid"/>
        <w:tblW w:w="5000" w:type="pct"/>
        <w:jc w:val="center"/>
        <w:tblLayout w:type="fixed"/>
        <w:tblLook w:val="04A0" w:firstRow="1" w:lastRow="0" w:firstColumn="1" w:lastColumn="0" w:noHBand="0" w:noVBand="1"/>
        <w:tblCaption w:val="Table 5 Assessment results for the management effectiveness for Community benefits "/>
        <w:tblDescription w:val="Grades and trends for Community benefits&#10;Context:Mostly Effective; improving&#10;Planning:Mostly Effective; improving&#10;Inputs:Mostly Effective; improved&#10;Processes:Mostly Effective; improved&#10;Outcomes:Mostly Effective; stable&#10;Outputs:Mostly Effective; stable"/>
      </w:tblPr>
      <w:tblGrid>
        <w:gridCol w:w="4441"/>
        <w:gridCol w:w="1525"/>
        <w:gridCol w:w="1525"/>
        <w:gridCol w:w="1525"/>
      </w:tblGrid>
      <w:tr w:rsidR="00A56EE9" w:rsidRPr="003D54F2" w14:paraId="5761D55F" w14:textId="77777777" w:rsidTr="00BB6AD5">
        <w:trPr>
          <w:trHeight w:val="441"/>
          <w:tblHeader/>
          <w:jc w:val="center"/>
        </w:trPr>
        <w:tc>
          <w:tcPr>
            <w:tcW w:w="2250" w:type="dxa"/>
            <w:vAlign w:val="center"/>
          </w:tcPr>
          <w:p w14:paraId="5761D55B" w14:textId="77777777" w:rsidR="00A56EE9" w:rsidRPr="003D54F2" w:rsidRDefault="00A56EE9" w:rsidP="00BB6AD5">
            <w:pPr>
              <w:spacing w:line="240" w:lineRule="exact"/>
              <w:jc w:val="both"/>
              <w:rPr>
                <w:b/>
              </w:rPr>
            </w:pPr>
            <w:r>
              <w:rPr>
                <w:b/>
              </w:rPr>
              <w:t>Community benefits</w:t>
            </w:r>
          </w:p>
        </w:tc>
        <w:tc>
          <w:tcPr>
            <w:tcW w:w="773" w:type="dxa"/>
            <w:vAlign w:val="center"/>
          </w:tcPr>
          <w:p w14:paraId="5761D55C" w14:textId="77777777" w:rsidR="00A56EE9" w:rsidRPr="004A4864" w:rsidRDefault="00A56EE9" w:rsidP="00BB6AD5">
            <w:pPr>
              <w:spacing w:line="240" w:lineRule="exact"/>
              <w:jc w:val="both"/>
              <w:rPr>
                <w:b/>
              </w:rPr>
            </w:pPr>
            <w:r w:rsidRPr="004A4864">
              <w:rPr>
                <w:b/>
              </w:rPr>
              <w:t>2009</w:t>
            </w:r>
          </w:p>
        </w:tc>
        <w:tc>
          <w:tcPr>
            <w:tcW w:w="773" w:type="dxa"/>
            <w:tcBorders>
              <w:bottom w:val="single" w:sz="4" w:space="0" w:color="auto"/>
            </w:tcBorders>
            <w:vAlign w:val="center"/>
          </w:tcPr>
          <w:p w14:paraId="5761D55D" w14:textId="77777777" w:rsidR="00A56EE9" w:rsidRPr="004A4864" w:rsidRDefault="00A56EE9" w:rsidP="00BB6AD5">
            <w:pPr>
              <w:spacing w:line="240" w:lineRule="exact"/>
              <w:jc w:val="both"/>
              <w:rPr>
                <w:b/>
              </w:rPr>
            </w:pPr>
            <w:r w:rsidRPr="004A4864">
              <w:rPr>
                <w:b/>
              </w:rPr>
              <w:t>2014</w:t>
            </w:r>
          </w:p>
        </w:tc>
        <w:tc>
          <w:tcPr>
            <w:tcW w:w="773" w:type="dxa"/>
            <w:tcBorders>
              <w:bottom w:val="single" w:sz="4" w:space="0" w:color="auto"/>
            </w:tcBorders>
            <w:vAlign w:val="center"/>
          </w:tcPr>
          <w:p w14:paraId="5761D55E" w14:textId="77777777" w:rsidR="00A56EE9" w:rsidRPr="004A4864" w:rsidRDefault="00A56EE9" w:rsidP="00BB6AD5">
            <w:pPr>
              <w:spacing w:line="240" w:lineRule="exact"/>
              <w:jc w:val="both"/>
              <w:rPr>
                <w:b/>
              </w:rPr>
            </w:pPr>
            <w:r w:rsidRPr="004A4864">
              <w:rPr>
                <w:b/>
              </w:rPr>
              <w:t>2019</w:t>
            </w:r>
          </w:p>
        </w:tc>
      </w:tr>
      <w:tr w:rsidR="00A56EE9" w:rsidRPr="003D54F2" w14:paraId="5761D564" w14:textId="77777777" w:rsidTr="00BB6AD5">
        <w:trPr>
          <w:jc w:val="center"/>
        </w:trPr>
        <w:tc>
          <w:tcPr>
            <w:tcW w:w="2250" w:type="dxa"/>
            <w:vAlign w:val="center"/>
          </w:tcPr>
          <w:p w14:paraId="5761D560" w14:textId="77777777" w:rsidR="00A56EE9" w:rsidRPr="003D54F2" w:rsidRDefault="00A56EE9" w:rsidP="00BB6AD5">
            <w:pPr>
              <w:spacing w:line="240" w:lineRule="exact"/>
              <w:rPr>
                <w:b/>
              </w:rPr>
            </w:pPr>
            <w:r w:rsidRPr="003D54F2">
              <w:rPr>
                <w:b/>
              </w:rPr>
              <w:t>Context</w:t>
            </w:r>
          </w:p>
        </w:tc>
        <w:tc>
          <w:tcPr>
            <w:tcW w:w="773" w:type="dxa"/>
            <w:shd w:val="clear" w:color="auto" w:fill="auto"/>
            <w:vAlign w:val="center"/>
          </w:tcPr>
          <w:p w14:paraId="5761D561" w14:textId="77777777" w:rsidR="00A56EE9" w:rsidRPr="00E15040" w:rsidRDefault="00A56EE9" w:rsidP="00BB6AD5">
            <w:pPr>
              <w:spacing w:line="240" w:lineRule="exact"/>
              <w:jc w:val="center"/>
              <w:rPr>
                <w:rFonts w:ascii="Cambria Math" w:hAnsi="Cambria Math"/>
                <w:b/>
                <w:sz w:val="24"/>
                <w:szCs w:val="24"/>
              </w:rPr>
            </w:pPr>
          </w:p>
        </w:tc>
        <w:tc>
          <w:tcPr>
            <w:tcW w:w="773" w:type="dxa"/>
            <w:tcBorders>
              <w:bottom w:val="single" w:sz="4" w:space="0" w:color="auto"/>
            </w:tcBorders>
            <w:shd w:val="clear" w:color="auto" w:fill="A8D08D" w:themeFill="accent6" w:themeFillTint="99"/>
            <w:vAlign w:val="center"/>
          </w:tcPr>
          <w:p w14:paraId="5761D562" w14:textId="77777777" w:rsidR="00A56EE9" w:rsidRPr="00E15040" w:rsidRDefault="00A56EE9" w:rsidP="00BB6AD5">
            <w:pPr>
              <w:spacing w:line="240" w:lineRule="exact"/>
              <w:jc w:val="center"/>
              <w:rPr>
                <w:rFonts w:ascii="Cambria Math" w:hAnsi="Cambria Math"/>
                <w:b/>
                <w:sz w:val="24"/>
                <w:szCs w:val="24"/>
              </w:rPr>
            </w:pPr>
          </w:p>
        </w:tc>
        <w:tc>
          <w:tcPr>
            <w:tcW w:w="773" w:type="dxa"/>
            <w:tcBorders>
              <w:bottom w:val="single" w:sz="4" w:space="0" w:color="auto"/>
            </w:tcBorders>
            <w:shd w:val="clear" w:color="auto" w:fill="A8D08D" w:themeFill="accent6" w:themeFillTint="99"/>
            <w:vAlign w:val="center"/>
          </w:tcPr>
          <w:p w14:paraId="5761D563"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b/>
              </w:rPr>
              <w:t>↗</w:t>
            </w:r>
          </w:p>
        </w:tc>
      </w:tr>
      <w:tr w:rsidR="00A56EE9" w:rsidRPr="003D54F2" w14:paraId="5761D569" w14:textId="77777777" w:rsidTr="00BB6AD5">
        <w:trPr>
          <w:jc w:val="center"/>
        </w:trPr>
        <w:tc>
          <w:tcPr>
            <w:tcW w:w="2250" w:type="dxa"/>
            <w:vAlign w:val="center"/>
          </w:tcPr>
          <w:p w14:paraId="5761D565" w14:textId="77777777" w:rsidR="00A56EE9" w:rsidRPr="003D54F2" w:rsidRDefault="00A56EE9" w:rsidP="00BB6AD5">
            <w:pPr>
              <w:spacing w:line="240" w:lineRule="exact"/>
              <w:rPr>
                <w:b/>
              </w:rPr>
            </w:pPr>
            <w:r w:rsidRPr="003D54F2">
              <w:rPr>
                <w:b/>
              </w:rPr>
              <w:t>Planning</w:t>
            </w:r>
          </w:p>
        </w:tc>
        <w:tc>
          <w:tcPr>
            <w:tcW w:w="773" w:type="dxa"/>
            <w:shd w:val="clear" w:color="auto" w:fill="auto"/>
            <w:vAlign w:val="center"/>
          </w:tcPr>
          <w:p w14:paraId="5761D566" w14:textId="77777777" w:rsidR="00A56EE9" w:rsidRPr="00E15040" w:rsidRDefault="00A56EE9" w:rsidP="00BB6AD5">
            <w:pPr>
              <w:spacing w:line="240" w:lineRule="exact"/>
              <w:jc w:val="center"/>
              <w:rPr>
                <w:rFonts w:ascii="Cambria Math" w:hAnsi="Cambria Math"/>
                <w:b/>
                <w:sz w:val="24"/>
                <w:szCs w:val="24"/>
              </w:rPr>
            </w:pPr>
          </w:p>
        </w:tc>
        <w:tc>
          <w:tcPr>
            <w:tcW w:w="773" w:type="dxa"/>
            <w:shd w:val="clear" w:color="auto" w:fill="A8D08D" w:themeFill="accent6" w:themeFillTint="99"/>
            <w:vAlign w:val="center"/>
          </w:tcPr>
          <w:p w14:paraId="5761D567" w14:textId="77777777" w:rsidR="00A56EE9" w:rsidRPr="00E15040" w:rsidRDefault="00A56EE9" w:rsidP="00BB6AD5">
            <w:pPr>
              <w:spacing w:line="240" w:lineRule="exact"/>
              <w:jc w:val="center"/>
              <w:rPr>
                <w:rFonts w:ascii="Cambria Math" w:hAnsi="Cambria Math"/>
                <w:b/>
                <w:sz w:val="24"/>
                <w:szCs w:val="24"/>
              </w:rPr>
            </w:pPr>
          </w:p>
        </w:tc>
        <w:tc>
          <w:tcPr>
            <w:tcW w:w="773" w:type="dxa"/>
            <w:tcBorders>
              <w:bottom w:val="single" w:sz="4" w:space="0" w:color="auto"/>
            </w:tcBorders>
            <w:shd w:val="clear" w:color="auto" w:fill="A8D08D" w:themeFill="accent6" w:themeFillTint="99"/>
            <w:vAlign w:val="center"/>
          </w:tcPr>
          <w:p w14:paraId="5761D568"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b/>
              </w:rPr>
              <w:t>↗</w:t>
            </w:r>
          </w:p>
        </w:tc>
      </w:tr>
      <w:tr w:rsidR="00A56EE9" w:rsidRPr="003D54F2" w14:paraId="5761D56E" w14:textId="77777777" w:rsidTr="00BB6AD5">
        <w:trPr>
          <w:jc w:val="center"/>
        </w:trPr>
        <w:tc>
          <w:tcPr>
            <w:tcW w:w="2250" w:type="dxa"/>
            <w:vAlign w:val="center"/>
          </w:tcPr>
          <w:p w14:paraId="5761D56A" w14:textId="77777777" w:rsidR="00A56EE9" w:rsidRPr="003D54F2" w:rsidRDefault="00A56EE9" w:rsidP="00BB6AD5">
            <w:pPr>
              <w:spacing w:line="240" w:lineRule="exact"/>
              <w:rPr>
                <w:b/>
              </w:rPr>
            </w:pPr>
            <w:r w:rsidRPr="003D54F2">
              <w:rPr>
                <w:b/>
              </w:rPr>
              <w:t>Inputs</w:t>
            </w:r>
          </w:p>
        </w:tc>
        <w:tc>
          <w:tcPr>
            <w:tcW w:w="773" w:type="dxa"/>
            <w:shd w:val="clear" w:color="auto" w:fill="auto"/>
            <w:vAlign w:val="center"/>
          </w:tcPr>
          <w:p w14:paraId="5761D56B" w14:textId="77777777" w:rsidR="00A56EE9" w:rsidRPr="00E15040" w:rsidRDefault="00A56EE9" w:rsidP="00BB6AD5">
            <w:pPr>
              <w:spacing w:line="240" w:lineRule="exact"/>
              <w:jc w:val="center"/>
              <w:rPr>
                <w:rFonts w:ascii="Cambria Math" w:hAnsi="Cambria Math"/>
                <w:b/>
                <w:sz w:val="24"/>
                <w:szCs w:val="24"/>
              </w:rPr>
            </w:pPr>
          </w:p>
        </w:tc>
        <w:tc>
          <w:tcPr>
            <w:tcW w:w="773" w:type="dxa"/>
            <w:shd w:val="clear" w:color="auto" w:fill="FFC000" w:themeFill="accent4"/>
            <w:vAlign w:val="center"/>
          </w:tcPr>
          <w:p w14:paraId="5761D56C" w14:textId="77777777" w:rsidR="00A56EE9" w:rsidRPr="00E15040" w:rsidRDefault="00A56EE9" w:rsidP="00BB6AD5">
            <w:pPr>
              <w:spacing w:line="240" w:lineRule="exact"/>
              <w:jc w:val="center"/>
              <w:rPr>
                <w:rFonts w:ascii="Cambria Math" w:hAnsi="Cambria Math"/>
                <w:b/>
                <w:sz w:val="24"/>
                <w:szCs w:val="24"/>
              </w:rPr>
            </w:pPr>
          </w:p>
        </w:tc>
        <w:tc>
          <w:tcPr>
            <w:tcW w:w="773" w:type="dxa"/>
            <w:tcBorders>
              <w:bottom w:val="single" w:sz="4" w:space="0" w:color="auto"/>
            </w:tcBorders>
            <w:shd w:val="clear" w:color="auto" w:fill="A8D08D" w:themeFill="accent6" w:themeFillTint="99"/>
            <w:vAlign w:val="center"/>
          </w:tcPr>
          <w:p w14:paraId="5761D56D"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573" w14:textId="77777777" w:rsidTr="00BB6AD5">
        <w:trPr>
          <w:jc w:val="center"/>
        </w:trPr>
        <w:tc>
          <w:tcPr>
            <w:tcW w:w="2250" w:type="dxa"/>
            <w:vAlign w:val="center"/>
          </w:tcPr>
          <w:p w14:paraId="5761D56F" w14:textId="77777777" w:rsidR="00A56EE9" w:rsidRPr="003D54F2" w:rsidRDefault="00A56EE9" w:rsidP="00BB6AD5">
            <w:pPr>
              <w:spacing w:line="240" w:lineRule="exact"/>
              <w:rPr>
                <w:b/>
              </w:rPr>
            </w:pPr>
            <w:r w:rsidRPr="003D54F2">
              <w:rPr>
                <w:b/>
              </w:rPr>
              <w:t>Processes</w:t>
            </w:r>
          </w:p>
        </w:tc>
        <w:tc>
          <w:tcPr>
            <w:tcW w:w="773" w:type="dxa"/>
            <w:shd w:val="clear" w:color="auto" w:fill="auto"/>
            <w:vAlign w:val="center"/>
          </w:tcPr>
          <w:p w14:paraId="5761D570" w14:textId="77777777" w:rsidR="00A56EE9" w:rsidRPr="00E15040" w:rsidRDefault="00A56EE9" w:rsidP="00BB6AD5">
            <w:pPr>
              <w:spacing w:line="240" w:lineRule="exact"/>
              <w:jc w:val="center"/>
              <w:rPr>
                <w:rFonts w:ascii="Cambria Math" w:hAnsi="Cambria Math"/>
                <w:b/>
                <w:sz w:val="24"/>
                <w:szCs w:val="24"/>
              </w:rPr>
            </w:pPr>
          </w:p>
        </w:tc>
        <w:tc>
          <w:tcPr>
            <w:tcW w:w="773" w:type="dxa"/>
            <w:tcBorders>
              <w:bottom w:val="single" w:sz="4" w:space="0" w:color="auto"/>
            </w:tcBorders>
            <w:shd w:val="clear" w:color="auto" w:fill="FFC000" w:themeFill="accent4"/>
            <w:vAlign w:val="center"/>
          </w:tcPr>
          <w:p w14:paraId="5761D571" w14:textId="77777777" w:rsidR="00A56EE9" w:rsidRPr="00E15040" w:rsidRDefault="00A56EE9" w:rsidP="00BB6AD5">
            <w:pPr>
              <w:spacing w:line="240" w:lineRule="exact"/>
              <w:jc w:val="center"/>
              <w:rPr>
                <w:rFonts w:ascii="Cambria Math" w:hAnsi="Cambria Math"/>
                <w:b/>
                <w:sz w:val="24"/>
                <w:szCs w:val="24"/>
              </w:rPr>
            </w:pPr>
          </w:p>
        </w:tc>
        <w:tc>
          <w:tcPr>
            <w:tcW w:w="773" w:type="dxa"/>
            <w:tcBorders>
              <w:bottom w:val="single" w:sz="4" w:space="0" w:color="auto"/>
            </w:tcBorders>
            <w:shd w:val="clear" w:color="auto" w:fill="A8D08D" w:themeFill="accent6" w:themeFillTint="99"/>
            <w:vAlign w:val="center"/>
          </w:tcPr>
          <w:p w14:paraId="5761D572" w14:textId="77777777" w:rsidR="00A56EE9" w:rsidRPr="00E15040" w:rsidRDefault="00A56EE9" w:rsidP="00BB6AD5">
            <w:pPr>
              <w:spacing w:line="240" w:lineRule="exact"/>
              <w:jc w:val="center"/>
              <w:rPr>
                <w:rFonts w:ascii="Cambria Math" w:hAnsi="Cambria Math"/>
                <w:b/>
                <w:sz w:val="24"/>
                <w:szCs w:val="24"/>
              </w:rPr>
            </w:pPr>
            <w:r w:rsidRPr="004F2ABF">
              <w:rPr>
                <w:rFonts w:ascii="Cambria Math" w:hAnsi="Cambria Math" w:cs="Cambria Math"/>
              </w:rPr>
              <w:t>⬆</w:t>
            </w:r>
          </w:p>
        </w:tc>
      </w:tr>
      <w:tr w:rsidR="00A56EE9" w:rsidRPr="003D54F2" w14:paraId="5761D578" w14:textId="77777777" w:rsidTr="00BB6AD5">
        <w:trPr>
          <w:jc w:val="center"/>
        </w:trPr>
        <w:tc>
          <w:tcPr>
            <w:tcW w:w="2250" w:type="dxa"/>
            <w:vAlign w:val="center"/>
          </w:tcPr>
          <w:p w14:paraId="5761D574" w14:textId="77777777" w:rsidR="00A56EE9" w:rsidRPr="003D54F2" w:rsidRDefault="00A56EE9" w:rsidP="00BB6AD5">
            <w:pPr>
              <w:spacing w:line="240" w:lineRule="exact"/>
              <w:rPr>
                <w:b/>
              </w:rPr>
            </w:pPr>
            <w:r w:rsidRPr="003D54F2">
              <w:rPr>
                <w:b/>
              </w:rPr>
              <w:t>Outputs</w:t>
            </w:r>
          </w:p>
        </w:tc>
        <w:tc>
          <w:tcPr>
            <w:tcW w:w="773" w:type="dxa"/>
            <w:shd w:val="clear" w:color="auto" w:fill="auto"/>
            <w:vAlign w:val="center"/>
          </w:tcPr>
          <w:p w14:paraId="5761D575" w14:textId="77777777" w:rsidR="00A56EE9" w:rsidRPr="00E15040" w:rsidRDefault="00A56EE9" w:rsidP="00BB6AD5">
            <w:pPr>
              <w:spacing w:line="240" w:lineRule="exact"/>
              <w:jc w:val="center"/>
              <w:rPr>
                <w:rFonts w:ascii="Cambria Math" w:hAnsi="Cambria Math"/>
                <w:b/>
                <w:sz w:val="24"/>
                <w:szCs w:val="24"/>
              </w:rPr>
            </w:pPr>
          </w:p>
        </w:tc>
        <w:tc>
          <w:tcPr>
            <w:tcW w:w="773" w:type="dxa"/>
            <w:tcBorders>
              <w:bottom w:val="single" w:sz="4" w:space="0" w:color="auto"/>
            </w:tcBorders>
            <w:shd w:val="clear" w:color="auto" w:fill="A8D08D" w:themeFill="accent6" w:themeFillTint="99"/>
            <w:vAlign w:val="center"/>
          </w:tcPr>
          <w:p w14:paraId="5761D576" w14:textId="77777777" w:rsidR="00A56EE9" w:rsidRPr="00E15040" w:rsidRDefault="00A56EE9" w:rsidP="00BB6AD5">
            <w:pPr>
              <w:spacing w:line="240" w:lineRule="exact"/>
              <w:jc w:val="center"/>
              <w:rPr>
                <w:rFonts w:ascii="Cambria Math" w:hAnsi="Cambria Math"/>
                <w:b/>
                <w:sz w:val="24"/>
                <w:szCs w:val="24"/>
              </w:rPr>
            </w:pPr>
          </w:p>
        </w:tc>
        <w:tc>
          <w:tcPr>
            <w:tcW w:w="773" w:type="dxa"/>
            <w:tcBorders>
              <w:bottom w:val="single" w:sz="4" w:space="0" w:color="auto"/>
            </w:tcBorders>
            <w:shd w:val="clear" w:color="auto" w:fill="A8D08D" w:themeFill="accent6" w:themeFillTint="99"/>
            <w:vAlign w:val="center"/>
          </w:tcPr>
          <w:p w14:paraId="5761D577"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r w:rsidR="00A56EE9" w:rsidRPr="003D54F2" w14:paraId="5761D57D" w14:textId="77777777" w:rsidTr="00BB6AD5">
        <w:trPr>
          <w:jc w:val="center"/>
        </w:trPr>
        <w:tc>
          <w:tcPr>
            <w:tcW w:w="2250" w:type="dxa"/>
            <w:vAlign w:val="center"/>
          </w:tcPr>
          <w:p w14:paraId="5761D579" w14:textId="77777777" w:rsidR="00A56EE9" w:rsidRPr="003D54F2" w:rsidRDefault="00A56EE9" w:rsidP="00BB6AD5">
            <w:pPr>
              <w:spacing w:line="240" w:lineRule="exact"/>
              <w:rPr>
                <w:b/>
              </w:rPr>
            </w:pPr>
            <w:r w:rsidRPr="003D54F2">
              <w:rPr>
                <w:b/>
              </w:rPr>
              <w:t>Outcomes</w:t>
            </w:r>
          </w:p>
        </w:tc>
        <w:tc>
          <w:tcPr>
            <w:tcW w:w="773" w:type="dxa"/>
            <w:shd w:val="clear" w:color="auto" w:fill="auto"/>
            <w:vAlign w:val="center"/>
          </w:tcPr>
          <w:p w14:paraId="5761D57A" w14:textId="77777777" w:rsidR="00A56EE9" w:rsidRPr="00E15040" w:rsidRDefault="00A56EE9" w:rsidP="00BB6AD5">
            <w:pPr>
              <w:spacing w:line="240" w:lineRule="exact"/>
              <w:jc w:val="center"/>
              <w:rPr>
                <w:rFonts w:ascii="Cambria Math" w:hAnsi="Cambria Math"/>
                <w:b/>
                <w:sz w:val="24"/>
                <w:szCs w:val="24"/>
              </w:rPr>
            </w:pPr>
          </w:p>
        </w:tc>
        <w:tc>
          <w:tcPr>
            <w:tcW w:w="773" w:type="dxa"/>
            <w:shd w:val="clear" w:color="auto" w:fill="A8D08D" w:themeFill="accent6" w:themeFillTint="99"/>
            <w:vAlign w:val="center"/>
          </w:tcPr>
          <w:p w14:paraId="5761D57B" w14:textId="77777777" w:rsidR="00A56EE9" w:rsidRPr="00E15040" w:rsidRDefault="00A56EE9" w:rsidP="00BB6AD5">
            <w:pPr>
              <w:spacing w:line="240" w:lineRule="exact"/>
              <w:jc w:val="center"/>
              <w:rPr>
                <w:rFonts w:ascii="Cambria Math" w:hAnsi="Cambria Math"/>
                <w:b/>
                <w:sz w:val="24"/>
                <w:szCs w:val="24"/>
              </w:rPr>
            </w:pPr>
          </w:p>
        </w:tc>
        <w:tc>
          <w:tcPr>
            <w:tcW w:w="773" w:type="dxa"/>
            <w:shd w:val="clear" w:color="auto" w:fill="A8D08D" w:themeFill="accent6" w:themeFillTint="99"/>
            <w:vAlign w:val="center"/>
          </w:tcPr>
          <w:p w14:paraId="5761D57C" w14:textId="77777777" w:rsidR="00A56EE9" w:rsidRPr="00E15040" w:rsidRDefault="00A56EE9" w:rsidP="00BB6AD5">
            <w:pPr>
              <w:spacing w:line="240" w:lineRule="exact"/>
              <w:jc w:val="center"/>
              <w:rPr>
                <w:rFonts w:ascii="Cambria Math" w:hAnsi="Cambria Math"/>
                <w:b/>
                <w:sz w:val="24"/>
                <w:szCs w:val="24"/>
              </w:rPr>
            </w:pPr>
            <w:r>
              <w:rPr>
                <w:rFonts w:ascii="Cambria Math" w:hAnsi="Cambria Math" w:cs="Cambria Math"/>
                <w:b/>
              </w:rPr>
              <w:t>↔</w:t>
            </w:r>
          </w:p>
        </w:tc>
      </w:tr>
    </w:tbl>
    <w:p w14:paraId="5761D57E" w14:textId="77777777" w:rsidR="00A56EE9" w:rsidRDefault="00A56EE9" w:rsidP="00BB6AD5">
      <w:pPr>
        <w:spacing w:after="0" w:line="240" w:lineRule="auto"/>
        <w:ind w:firstLine="2268"/>
        <w:contextualSpacing/>
        <w:rPr>
          <w:sz w:val="16"/>
          <w:szCs w:val="16"/>
        </w:rPr>
      </w:pPr>
      <w:r>
        <w:rPr>
          <w:sz w:val="16"/>
          <w:szCs w:val="16"/>
        </w:rPr>
        <w:t xml:space="preserve">Management effective assessment is colour coded: </w:t>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1084"/>
        <w:gridCol w:w="396"/>
        <w:gridCol w:w="1710"/>
        <w:gridCol w:w="261"/>
        <w:gridCol w:w="1790"/>
        <w:gridCol w:w="261"/>
        <w:gridCol w:w="1141"/>
        <w:gridCol w:w="1012"/>
      </w:tblGrid>
      <w:tr w:rsidR="00A56EE9" w14:paraId="5761D587" w14:textId="77777777" w:rsidTr="00BB6AD5">
        <w:trPr>
          <w:tblHeader/>
        </w:trPr>
        <w:tc>
          <w:tcPr>
            <w:tcW w:w="1084" w:type="dxa"/>
          </w:tcPr>
          <w:p w14:paraId="5761D57F" w14:textId="77777777" w:rsidR="00A56EE9" w:rsidRDefault="00A56EE9" w:rsidP="00BB6AD5">
            <w:pPr>
              <w:ind w:right="-158"/>
              <w:contextualSpacing/>
              <w:rPr>
                <w:sz w:val="16"/>
                <w:szCs w:val="16"/>
              </w:rPr>
            </w:pPr>
            <w:r>
              <w:rPr>
                <w:sz w:val="16"/>
                <w:szCs w:val="16"/>
              </w:rPr>
              <w:t>Effective (E)</w:t>
            </w:r>
          </w:p>
        </w:tc>
        <w:tc>
          <w:tcPr>
            <w:tcW w:w="0" w:type="auto"/>
          </w:tcPr>
          <w:p w14:paraId="5761D580"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18656" behindDoc="1" locked="0" layoutInCell="1" allowOverlap="1" wp14:anchorId="57620CBE" wp14:editId="57620CBF">
                      <wp:simplePos x="0" y="0"/>
                      <wp:positionH relativeFrom="column">
                        <wp:posOffset>-50800</wp:posOffset>
                      </wp:positionH>
                      <wp:positionV relativeFrom="paragraph">
                        <wp:posOffset>26670</wp:posOffset>
                      </wp:positionV>
                      <wp:extent cx="95250" cy="104775"/>
                      <wp:effectExtent l="0" t="0" r="19050" b="28575"/>
                      <wp:wrapSquare wrapText="bothSides"/>
                      <wp:docPr id="265" name="Rectangle 265"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6"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BE" id="Rectangle 265" o:spid="_x0000_s1087" alt="Title: Rectangle - Description: Rectangle coloured dark green" style="position:absolute;margin-left:-4pt;margin-top:2.1pt;width:7.5pt;height:8.2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" fillcolor="#060" strokecolor="black [3213]" strokeweight="1pt">
                      <v:textbox>
                        <w:txbxContent>
                          <w:p w14:paraId="57620D36" w14:textId="77777777" w:rsidR="008B5998" w:rsidRDefault="008B5998" w:rsidP="00BB6AD5">
                            <w:pPr>
                              <w:shd w:val="clear" w:color="auto" w:fill="006600"/>
                              <w:jc w:val="center"/>
                            </w:pPr>
                          </w:p>
                        </w:txbxContent>
                      </v:textbox>
                      <w10:wrap type="square"/>
                    </v:rect>
                  </w:pict>
                </mc:Fallback>
              </mc:AlternateContent>
            </w:r>
          </w:p>
        </w:tc>
        <w:tc>
          <w:tcPr>
            <w:tcW w:w="0" w:type="auto"/>
          </w:tcPr>
          <w:p w14:paraId="5761D581" w14:textId="77777777" w:rsidR="00A56EE9" w:rsidRDefault="00A56EE9" w:rsidP="00BB6AD5">
            <w:pPr>
              <w:contextualSpacing/>
              <w:rPr>
                <w:sz w:val="16"/>
                <w:szCs w:val="16"/>
              </w:rPr>
            </w:pPr>
            <w:r>
              <w:rPr>
                <w:sz w:val="16"/>
                <w:szCs w:val="16"/>
              </w:rPr>
              <w:t>Mostly effective (ME)</w:t>
            </w:r>
          </w:p>
        </w:tc>
        <w:tc>
          <w:tcPr>
            <w:tcW w:w="0" w:type="auto"/>
          </w:tcPr>
          <w:p w14:paraId="5761D582"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75648" behindDoc="0" locked="0" layoutInCell="1" allowOverlap="1" wp14:anchorId="57620CC0" wp14:editId="57620CC1">
                      <wp:simplePos x="0" y="0"/>
                      <wp:positionH relativeFrom="column">
                        <wp:posOffset>-41275</wp:posOffset>
                      </wp:positionH>
                      <wp:positionV relativeFrom="paragraph">
                        <wp:posOffset>22860</wp:posOffset>
                      </wp:positionV>
                      <wp:extent cx="95250" cy="104775"/>
                      <wp:effectExtent l="0" t="0" r="19050" b="28575"/>
                      <wp:wrapNone/>
                      <wp:docPr id="266" name="Rectangle 266"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7"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C0" id="Rectangle 266" o:spid="_x0000_s1088" alt="Title: Rectangle - Description: Rectangle coloured light green" style="position:absolute;margin-left:-3.25pt;margin-top:1.8pt;width:7.5pt;height:8.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" fillcolor="#92d050" strokecolor="black [3213]" strokeweight="1pt">
                      <v:textbox>
                        <w:txbxContent>
                          <w:p w14:paraId="57620D37" w14:textId="77777777" w:rsidR="008B5998" w:rsidRDefault="008B5998" w:rsidP="00BB6AD5">
                            <w:pPr>
                              <w:jc w:val="center"/>
                            </w:pPr>
                          </w:p>
                        </w:txbxContent>
                      </v:textbox>
                    </v:rect>
                  </w:pict>
                </mc:Fallback>
              </mc:AlternateContent>
            </w:r>
            <w:r>
              <w:rPr>
                <w:sz w:val="16"/>
                <w:szCs w:val="16"/>
              </w:rPr>
              <w:t>;</w:t>
            </w:r>
          </w:p>
        </w:tc>
        <w:tc>
          <w:tcPr>
            <w:tcW w:w="0" w:type="auto"/>
          </w:tcPr>
          <w:p w14:paraId="5761D583" w14:textId="77777777" w:rsidR="00A56EE9" w:rsidRDefault="00A56EE9" w:rsidP="00BB6AD5">
            <w:pPr>
              <w:contextualSpacing/>
              <w:rPr>
                <w:sz w:val="16"/>
                <w:szCs w:val="16"/>
              </w:rPr>
            </w:pPr>
            <w:r>
              <w:rPr>
                <w:sz w:val="16"/>
                <w:szCs w:val="16"/>
              </w:rPr>
              <w:t>Partially effective (PE)</w:t>
            </w:r>
          </w:p>
        </w:tc>
        <w:tc>
          <w:tcPr>
            <w:tcW w:w="0" w:type="auto"/>
          </w:tcPr>
          <w:p w14:paraId="5761D584"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676672" behindDoc="0" locked="0" layoutInCell="1" allowOverlap="1" wp14:anchorId="57620CC2" wp14:editId="57620CC3">
                      <wp:simplePos x="0" y="0"/>
                      <wp:positionH relativeFrom="column">
                        <wp:posOffset>-65405</wp:posOffset>
                      </wp:positionH>
                      <wp:positionV relativeFrom="paragraph">
                        <wp:posOffset>19685</wp:posOffset>
                      </wp:positionV>
                      <wp:extent cx="95250" cy="104775"/>
                      <wp:effectExtent l="0" t="0" r="19050" b="28575"/>
                      <wp:wrapNone/>
                      <wp:docPr id="267" name="Rectangle 267"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8"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C2" id="Rectangle 267" o:spid="_x0000_s1089" alt="Title: Rectangle - Description: Rectangle coloured orange" style="position:absolute;margin-left:-5.15pt;margin-top:1.55pt;width:7.5pt;height:8.2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" fillcolor="#ffc000" strokecolor="black [3213]" strokeweight="1pt">
                      <v:textbox>
                        <w:txbxContent>
                          <w:p w14:paraId="57620D38" w14:textId="77777777" w:rsidR="008B5998" w:rsidRDefault="008B5998" w:rsidP="00BB6AD5">
                            <w:pPr>
                              <w:jc w:val="center"/>
                            </w:pPr>
                          </w:p>
                        </w:txbxContent>
                      </v:textbox>
                    </v:rect>
                  </w:pict>
                </mc:Fallback>
              </mc:AlternateContent>
            </w:r>
            <w:r>
              <w:rPr>
                <w:sz w:val="16"/>
                <w:szCs w:val="16"/>
              </w:rPr>
              <w:t>;</w:t>
            </w:r>
          </w:p>
        </w:tc>
        <w:tc>
          <w:tcPr>
            <w:tcW w:w="0" w:type="auto"/>
          </w:tcPr>
          <w:p w14:paraId="5761D585" w14:textId="77777777" w:rsidR="00A56EE9" w:rsidRDefault="00A56EE9" w:rsidP="00BB6AD5">
            <w:pPr>
              <w:contextualSpacing/>
              <w:rPr>
                <w:sz w:val="16"/>
                <w:szCs w:val="16"/>
              </w:rPr>
            </w:pPr>
            <w:r>
              <w:rPr>
                <w:sz w:val="16"/>
                <w:szCs w:val="16"/>
              </w:rPr>
              <w:t>Ineffective (I)</w:t>
            </w:r>
          </w:p>
        </w:tc>
        <w:tc>
          <w:tcPr>
            <w:tcW w:w="1012" w:type="dxa"/>
          </w:tcPr>
          <w:p w14:paraId="5761D586"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17632" behindDoc="0" locked="0" layoutInCell="1" allowOverlap="1" wp14:anchorId="57620CC4" wp14:editId="57620CC5">
                      <wp:simplePos x="0" y="0"/>
                      <wp:positionH relativeFrom="column">
                        <wp:posOffset>-50165</wp:posOffset>
                      </wp:positionH>
                      <wp:positionV relativeFrom="paragraph">
                        <wp:posOffset>24130</wp:posOffset>
                      </wp:positionV>
                      <wp:extent cx="95250" cy="104775"/>
                      <wp:effectExtent l="0" t="0" r="19050" b="28575"/>
                      <wp:wrapNone/>
                      <wp:docPr id="268" name="Rectangle 268"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9"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C4" id="Rectangle 268" o:spid="_x0000_s1090" alt="Title: Rectangle - Description: Rectangle coloured red" style="position:absolute;margin-left:-3.95pt;margin-top:1.9pt;width:7.5pt;height:8.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" fillcolor="red" strokecolor="black [3213]" strokeweight="1pt">
                      <v:textbox>
                        <w:txbxContent>
                          <w:p w14:paraId="57620D39" w14:textId="77777777" w:rsidR="008B5998" w:rsidRDefault="008B5998" w:rsidP="00BB6AD5">
                            <w:pPr>
                              <w:jc w:val="center"/>
                            </w:pPr>
                          </w:p>
                        </w:txbxContent>
                      </v:textbox>
                    </v:rect>
                  </w:pict>
                </mc:Fallback>
              </mc:AlternateContent>
            </w:r>
            <w:r>
              <w:rPr>
                <w:sz w:val="16"/>
                <w:szCs w:val="16"/>
              </w:rPr>
              <w:t>;</w:t>
            </w:r>
          </w:p>
        </w:tc>
      </w:tr>
    </w:tbl>
    <w:p w14:paraId="5761D588" w14:textId="77777777" w:rsidR="00A56EE9" w:rsidRPr="004F2ABF" w:rsidRDefault="00A56EE9" w:rsidP="00BB6AD5">
      <w:pPr>
        <w:spacing w:after="0" w:line="240" w:lineRule="auto"/>
        <w:ind w:left="1704"/>
        <w:contextualSpacing/>
      </w:pPr>
      <w:r w:rsidRPr="004F2ABF">
        <w:rPr>
          <w:rFonts w:ascii="Cambria Math" w:hAnsi="Cambria Math" w:cs="Cambria Math"/>
        </w:rPr>
        <w:t>⬆</w:t>
      </w:r>
      <w:r>
        <w:t xml:space="preserve"> </w:t>
      </w:r>
      <w:r>
        <w:rPr>
          <w:sz w:val="16"/>
          <w:szCs w:val="16"/>
        </w:rPr>
        <w:t>Trend since 2009, 2014</w:t>
      </w:r>
      <w:r w:rsidRPr="006C34EB">
        <w:rPr>
          <w:sz w:val="16"/>
          <w:szCs w:val="16"/>
        </w:rPr>
        <w:t xml:space="preserve"> has been an upwards change in grade</w:t>
      </w:r>
    </w:p>
    <w:p w14:paraId="5761D589" w14:textId="77777777" w:rsidR="00A56EE9" w:rsidRPr="004F2ABF" w:rsidRDefault="00A56EE9" w:rsidP="00BB6AD5">
      <w:pPr>
        <w:spacing w:after="0" w:line="240" w:lineRule="auto"/>
        <w:ind w:left="1704"/>
        <w:contextualSpacing/>
        <w:rPr>
          <w:b/>
        </w:rPr>
      </w:pPr>
      <w:r w:rsidRPr="004F2ABF">
        <w:rPr>
          <w:rFonts w:ascii="Cambria Math" w:hAnsi="Cambria Math" w:cs="Cambria Math"/>
          <w:b/>
        </w:rPr>
        <w:t>↗</w:t>
      </w:r>
      <w:r w:rsidRPr="004F2ABF">
        <w:rPr>
          <w:b/>
        </w:rPr>
        <w:t xml:space="preserve"> </w:t>
      </w:r>
      <w:r>
        <w:rPr>
          <w:sz w:val="16"/>
          <w:szCs w:val="16"/>
        </w:rPr>
        <w:t>Trend since 2009, 2014</w:t>
      </w:r>
      <w:r w:rsidRPr="006C34EB">
        <w:rPr>
          <w:sz w:val="16"/>
          <w:szCs w:val="16"/>
        </w:rPr>
        <w:t xml:space="preserve"> is increasing but has not caused an upwards grade change</w:t>
      </w:r>
    </w:p>
    <w:p w14:paraId="5761D58A" w14:textId="77777777" w:rsidR="00A56EE9" w:rsidRPr="004F2ABF" w:rsidRDefault="00A56EE9" w:rsidP="00BB6AD5">
      <w:pPr>
        <w:spacing w:after="0" w:line="240" w:lineRule="auto"/>
        <w:ind w:left="1704"/>
        <w:contextualSpacing/>
      </w:pPr>
      <w:r>
        <w:rPr>
          <w:rFonts w:ascii="Cambria Math" w:hAnsi="Cambria Math" w:cs="Cambria Math"/>
          <w:b/>
        </w:rPr>
        <w:t>↔</w:t>
      </w:r>
      <w:r w:rsidRPr="004F2ABF">
        <w:t xml:space="preserve"> </w:t>
      </w:r>
      <w:r w:rsidRPr="006C34EB">
        <w:rPr>
          <w:sz w:val="16"/>
          <w:szCs w:val="16"/>
        </w:rPr>
        <w:t xml:space="preserve">Grade has </w:t>
      </w:r>
      <w:r>
        <w:rPr>
          <w:sz w:val="16"/>
          <w:szCs w:val="16"/>
        </w:rPr>
        <w:t>remained stable compared to 2009, 2014</w:t>
      </w:r>
      <w:r w:rsidRPr="006C34EB">
        <w:rPr>
          <w:sz w:val="16"/>
          <w:szCs w:val="16"/>
        </w:rPr>
        <w:t>, with no major trends</w:t>
      </w:r>
      <w:r w:rsidRPr="004F2ABF">
        <w:t xml:space="preserve"> </w:t>
      </w:r>
    </w:p>
    <w:p w14:paraId="5761D58B" w14:textId="77777777" w:rsidR="00A56EE9" w:rsidRDefault="00A56EE9" w:rsidP="00BB6AD5">
      <w:pPr>
        <w:spacing w:after="0" w:line="240" w:lineRule="auto"/>
        <w:ind w:left="1701" w:firstLine="284"/>
        <w:contextualSpacing/>
        <w:rPr>
          <w:sz w:val="16"/>
          <w:szCs w:val="16"/>
        </w:rPr>
      </w:pPr>
      <w:r>
        <w:rPr>
          <w:sz w:val="16"/>
          <w:szCs w:val="16"/>
        </w:rPr>
        <w:t>The</w:t>
      </w:r>
      <w:r w:rsidRPr="008E4F3E">
        <w:rPr>
          <w:sz w:val="16"/>
          <w:szCs w:val="16"/>
        </w:rPr>
        <w:t xml:space="preserve"> topic was not assessed in 2009</w:t>
      </w:r>
    </w:p>
    <w:p w14:paraId="5761D58C" w14:textId="77777777" w:rsidR="00A56EE9" w:rsidRPr="00A64E73" w:rsidRDefault="00A56EE9" w:rsidP="00BB6AD5">
      <w:pPr>
        <w:pStyle w:val="BodyText"/>
      </w:pPr>
    </w:p>
    <w:p w14:paraId="5761D58D" w14:textId="77777777" w:rsidR="00A56EE9" w:rsidRDefault="00A56EE9" w:rsidP="00BB6AD5"/>
    <w:p w14:paraId="5761D58E" w14:textId="77777777" w:rsidR="00A56EE9" w:rsidRDefault="00A56EE9" w:rsidP="00A11869">
      <w:pPr>
        <w:pStyle w:val="Heading1"/>
        <w:numPr>
          <w:ilvl w:val="0"/>
          <w:numId w:val="17"/>
        </w:numPr>
        <w:tabs>
          <w:tab w:val="clear" w:pos="360"/>
        </w:tabs>
      </w:pPr>
      <w:r>
        <w:br w:type="page"/>
      </w:r>
      <w:bookmarkStart w:id="138" w:name="_Toc523423795"/>
      <w:r>
        <w:t>Assessment of the six elements within the management effectiveness framework</w:t>
      </w:r>
      <w:bookmarkEnd w:id="138"/>
    </w:p>
    <w:p w14:paraId="5761D58F" w14:textId="77777777" w:rsidR="00A56EE9" w:rsidRPr="000B289B" w:rsidRDefault="00A56EE9" w:rsidP="00E3690C">
      <w:pPr>
        <w:spacing w:line="276" w:lineRule="auto"/>
      </w:pPr>
      <w:r w:rsidRPr="000B289B">
        <w:t xml:space="preserve">The six elements of the IUCN management </w:t>
      </w:r>
      <w:r>
        <w:t xml:space="preserve">effectiveness </w:t>
      </w:r>
      <w:r w:rsidRPr="000B289B">
        <w:t xml:space="preserve">framework can be examined across the </w:t>
      </w:r>
      <w:r>
        <w:t>14 assessment topics</w:t>
      </w:r>
      <w:r w:rsidRPr="000B289B">
        <w:t xml:space="preserve"> to </w:t>
      </w:r>
      <w:r>
        <w:t>reveal</w:t>
      </w:r>
      <w:r w:rsidRPr="000B289B">
        <w:t xml:space="preserve"> strengths and weaknesses in management of the Region. This analysis can </w:t>
      </w:r>
      <w:r>
        <w:t>demonstrate</w:t>
      </w:r>
      <w:r w:rsidRPr="000B289B">
        <w:t xml:space="preserve"> where aspects of management are working effectively </w:t>
      </w:r>
      <w:r>
        <w:t>and</w:t>
      </w:r>
      <w:r w:rsidRPr="000B289B">
        <w:t xml:space="preserve"> where a change in management approach </w:t>
      </w:r>
      <w:r>
        <w:t>could</w:t>
      </w:r>
      <w:r w:rsidRPr="000B289B">
        <w:t xml:space="preserve"> lead to improved performance. The grade</w:t>
      </w:r>
      <w:r>
        <w:t>s</w:t>
      </w:r>
      <w:r w:rsidRPr="000B289B">
        <w:t xml:space="preserve"> for each of the six elements of the IUCN management effectiveness framew</w:t>
      </w:r>
      <w:r>
        <w:t>ork (context, planning, inputs, processes, outputs and o</w:t>
      </w:r>
      <w:r w:rsidRPr="000B289B">
        <w:t xml:space="preserve">utcomes) for each of the </w:t>
      </w:r>
      <w:r>
        <w:t>topics</w:t>
      </w:r>
      <w:r w:rsidRPr="000B289B">
        <w:t xml:space="preserve"> (Table 19) provide the basis for this analysis. These results were compared with those from </w:t>
      </w:r>
      <w:r>
        <w:t xml:space="preserve">the </w:t>
      </w:r>
      <w:r w:rsidRPr="000B289B">
        <w:t>Outlook Report 2014</w:t>
      </w:r>
      <w:r>
        <w:t>.</w:t>
      </w:r>
    </w:p>
    <w:p w14:paraId="5761D590" w14:textId="4B40CC44" w:rsidR="00A56EE9" w:rsidRDefault="00A56EE9" w:rsidP="00E3690C">
      <w:pPr>
        <w:spacing w:line="276" w:lineRule="auto"/>
      </w:pPr>
      <w:r w:rsidRPr="000B289B">
        <w:t xml:space="preserve">When the </w:t>
      </w:r>
      <w:r>
        <w:t xml:space="preserve">variations in </w:t>
      </w:r>
      <w:r w:rsidRPr="000B289B">
        <w:t xml:space="preserve">complexity of the </w:t>
      </w:r>
      <w:r>
        <w:t>topics</w:t>
      </w:r>
      <w:r w:rsidRPr="000B289B">
        <w:t xml:space="preserve"> in social, biophysical and jurisdictional terms (</w:t>
      </w:r>
      <w:r>
        <w:fldChar w:fldCharType="begin"/>
      </w:r>
      <w:r>
        <w:instrText xml:space="preserve"> REF _Ref381687131 \h </w:instrText>
      </w:r>
      <w:r w:rsidR="00E3690C">
        <w:instrText xml:space="preserve"> \* MERGEFORMAT </w:instrText>
      </w:r>
      <w:r>
        <w:fldChar w:fldCharType="separate"/>
      </w:r>
      <w:r w:rsidR="00A4170C">
        <w:t xml:space="preserve">Table </w:t>
      </w:r>
      <w:r w:rsidR="00A4170C">
        <w:rPr>
          <w:noProof/>
        </w:rPr>
        <w:t>4</w:t>
      </w:r>
      <w:r>
        <w:fldChar w:fldCharType="end"/>
      </w:r>
      <w:r w:rsidRPr="000B289B">
        <w:t xml:space="preserve">) </w:t>
      </w:r>
      <w:r>
        <w:t>are</w:t>
      </w:r>
      <w:r w:rsidRPr="000B289B">
        <w:t xml:space="preserve"> considered, it is clear that performance across the six elements tends to be better for the less complex </w:t>
      </w:r>
      <w:r>
        <w:t>topics</w:t>
      </w:r>
      <w:r w:rsidRPr="000B289B">
        <w:t xml:space="preserve">. This is not surprising as less complex </w:t>
      </w:r>
      <w:r>
        <w:t>topics</w:t>
      </w:r>
      <w:r w:rsidRPr="000B289B">
        <w:t xml:space="preserve"> are likely to be more tractable. </w:t>
      </w:r>
      <w:r>
        <w:t>However, a</w:t>
      </w:r>
      <w:r w:rsidRPr="000B289B">
        <w:t xml:space="preserve"> number of </w:t>
      </w:r>
      <w:r>
        <w:t>topics</w:t>
      </w:r>
      <w:r w:rsidRPr="000B289B">
        <w:t xml:space="preserve"> do not fall in line with this general pattern. Land-based run-off is one of the more complex </w:t>
      </w:r>
      <w:r>
        <w:t>topics</w:t>
      </w:r>
      <w:r w:rsidRPr="000B289B">
        <w:t xml:space="preserve"> and yet is generally</w:t>
      </w:r>
      <w:r>
        <w:t xml:space="preserve"> effectively managed (although O</w:t>
      </w:r>
      <w:r w:rsidRPr="000B289B">
        <w:t xml:space="preserve">utcomes remain only </w:t>
      </w:r>
      <w:r w:rsidRPr="00D07110">
        <w:rPr>
          <w:i/>
        </w:rPr>
        <w:t>partially effective</w:t>
      </w:r>
      <w:r w:rsidRPr="000B289B">
        <w:t xml:space="preserve">). This demonstrates the impact </w:t>
      </w:r>
      <w:r>
        <w:t>of</w:t>
      </w:r>
      <w:r w:rsidRPr="000B289B">
        <w:t xml:space="preserve"> extensive research to inform management responses, extensive planning and </w:t>
      </w:r>
      <w:r>
        <w:t xml:space="preserve">a </w:t>
      </w:r>
      <w:r w:rsidRPr="000B289B">
        <w:t xml:space="preserve">significant commitment of resources </w:t>
      </w:r>
      <w:r>
        <w:t>for</w:t>
      </w:r>
      <w:r w:rsidRPr="000B289B">
        <w:t xml:space="preserve"> management. The lagging response in desired outcomes is largely a result of the scale of the problem </w:t>
      </w:r>
      <w:r w:rsidR="001068CD">
        <w:t>w</w:t>
      </w:r>
      <w:r w:rsidR="009B066B">
        <w:t>ith voluntary implementation of improved management practices in place, change is likely to be slow, the limited voluntary update of BMP across a wider areas</w:t>
      </w:r>
      <w:r w:rsidR="009B066B" w:rsidRPr="000B289B">
        <w:t xml:space="preserve"> </w:t>
      </w:r>
      <w:r w:rsidRPr="000B289B">
        <w:t xml:space="preserve">and the time needed to effect change in the system. Coastal development and Ports are </w:t>
      </w:r>
      <w:r>
        <w:t xml:space="preserve">also </w:t>
      </w:r>
      <w:r w:rsidRPr="000B289B">
        <w:t xml:space="preserve">complex </w:t>
      </w:r>
      <w:r>
        <w:t>topics</w:t>
      </w:r>
      <w:r w:rsidRPr="000B289B">
        <w:t xml:space="preserve"> that have shown </w:t>
      </w:r>
      <w:r>
        <w:t>broad</w:t>
      </w:r>
      <w:r w:rsidRPr="000B289B">
        <w:t xml:space="preserve"> improvement since </w:t>
      </w:r>
      <w:r>
        <w:t xml:space="preserve">the </w:t>
      </w:r>
      <w:r w:rsidRPr="000B289B">
        <w:t xml:space="preserve">Outlook </w:t>
      </w:r>
      <w:r>
        <w:t xml:space="preserve">Report </w:t>
      </w:r>
      <w:r w:rsidRPr="000B289B">
        <w:t xml:space="preserve">2014. </w:t>
      </w:r>
    </w:p>
    <w:p w14:paraId="5761D591" w14:textId="77777777" w:rsidR="00A56EE9" w:rsidRPr="000B289B" w:rsidRDefault="00A56EE9" w:rsidP="00E3690C">
      <w:pPr>
        <w:spacing w:line="276" w:lineRule="auto"/>
      </w:pPr>
      <w:r w:rsidRPr="000B289B">
        <w:t xml:space="preserve">Where Outcomes have declined since 2014 (Biodiversity), the back-to-back bleaching in 2016 and 2017 has been </w:t>
      </w:r>
      <w:r>
        <w:t>the</w:t>
      </w:r>
      <w:r w:rsidRPr="000B289B">
        <w:t xml:space="preserve"> primary cause.</w:t>
      </w:r>
    </w:p>
    <w:p w14:paraId="5761D593" w14:textId="77777777" w:rsidR="00A56EE9" w:rsidRDefault="00A56EE9">
      <w:pPr>
        <w:rPr>
          <w:rFonts w:cs="Arial"/>
          <w:b/>
          <w:sz w:val="20"/>
          <w:szCs w:val="20"/>
        </w:rPr>
      </w:pPr>
      <w:bookmarkStart w:id="139" w:name="_Ref255311589"/>
      <w:bookmarkStart w:id="140" w:name="_Toc389205093"/>
      <w:r>
        <w:br w:type="page"/>
      </w:r>
    </w:p>
    <w:p w14:paraId="5761D594" w14:textId="6043C8FA" w:rsidR="00A56EE9" w:rsidRDefault="00A56EE9" w:rsidP="00BB6AD5">
      <w:pPr>
        <w:pStyle w:val="Caption"/>
      </w:pPr>
      <w:bookmarkStart w:id="141" w:name="_Toc525654464"/>
      <w:r>
        <w:t xml:space="preserve">Table </w:t>
      </w:r>
      <w:r>
        <w:fldChar w:fldCharType="begin"/>
      </w:r>
      <w:r>
        <w:instrText xml:space="preserve"> SEQ Table \* ARABIC </w:instrText>
      </w:r>
      <w:r>
        <w:fldChar w:fldCharType="separate"/>
      </w:r>
      <w:r w:rsidR="00A4170C">
        <w:rPr>
          <w:noProof/>
        </w:rPr>
        <w:t>19</w:t>
      </w:r>
      <w:r>
        <w:rPr>
          <w:noProof/>
        </w:rPr>
        <w:fldChar w:fldCharType="end"/>
      </w:r>
      <w:bookmarkEnd w:id="139"/>
      <w:r>
        <w:t xml:space="preserve"> Assessment results for elements of the management cycle ordered by complexity</w:t>
      </w:r>
      <w:bookmarkEnd w:id="140"/>
      <w:r>
        <w:t xml:space="preserve"> (most complex to least complex)</w:t>
      </w:r>
      <w:bookmarkEnd w:id="141"/>
    </w:p>
    <w:tbl>
      <w:tblPr>
        <w:tblStyle w:val="TableGrid"/>
        <w:tblW w:w="5000" w:type="pct"/>
        <w:tblLayout w:type="fixed"/>
        <w:tblLook w:val="04A0" w:firstRow="1" w:lastRow="0" w:firstColumn="1" w:lastColumn="0" w:noHBand="0" w:noVBand="1"/>
        <w:tblCaption w:val="Table 19 Assessment results for elements of the management cycle"/>
        <w:tblDescription w:val="This table provides an overview of the grades for each of the 14 management topics for each of the six management effectiveness ranked by complexity.  This table has eight columns and fifteen rows.&#10;&#10;The column to the very right contains an arrow that runs up the page (bottom to top) to indicate increasing complexity. &#10;Column one lists the 14 management topics, presented in order of decreasing complexity. Columns two to seven are: context, planning, inputs, processes, outputs, and outcomes.&#10;The grades for ‘Climate change’ are Context – effective (stable); Planning – partially effective (decreasing within grade); Inputs – partially effective (decreasing with grade change); Processes – partially effective (decreasing within grade); Outputs – ineffective (decreasing with grade change) ; Outcomes – ineffective (decreasing within grade). &#10;The grades for ‘Coastal development are Context – mostly effective (stable); Planning – mostly effective (increased with grade change); Inputs – mostly effective (increased with grade change); Processes – mostly effective (increased with grade change); Outputs – mostly effective (increased with grade change); Outcomes – partially effective (increased within grade). &#10;The grades for ‘Land-based run-off’ are Context –effective (stable); Planning –effective (stable); Inputs – effective (increased with grade change); Processes –effective (stable); Outputs - effective (increased within grade); Outcomes – partially effective (stable).&#10;The grades for ‘Ports’ are Context- effective (increased with grade change); Planning - effective (increased with grade change); Inputs – mostly effective (stable); Processes – mostly effective (increased within grade); Outputs – mostly effective (increased with grade change); Outcomes –effective (increased with grade change).&#10;The grades for ‘Fishing’ are Context – mostly effective (stable); Planning –effective (increased with grade change); Inputs – mostly effective (increased with grade change); Processes – mostly effective (stable); Outputs – mostly effective (stable); Outcomes – partially effective (stable). &#10;The grades for ‘Heritage values’ are Context – mostly effective (stable); Planning – mostly effective (stable); Inputs - mostly effective (stable); Processes – mostly effective (stable); Outputs – mostly effective (stable); Outcomes – mostly effective (increased within grade). &#10;The grades for ‘Commercial marine tourism’ are Context –effective (stable); Planning – mostly effective (stable); Inputs – mostly effective (increased within grade); Processes – mostly effective (stable); Outputs –effective (stable); Outcomes –effective (stable). &#10;The grades for ‘Recreation’ are Context –effective (stable); Planning – mostly effective (decreased within grade); Inputs – mostly effective (stable); Processes – mostly effective (stable); Outputs – partially effective (decreased with grade change); Outcomes – mostly effective (stable).&#10;The grades for ‘Traditional use of marine resources’ are Context – mostly effective (decreased with grade change); Planning – effective (stable); Inputs – mostly effective (stable); Processes – mostly effective (stable); Outputs - effective (increased with grade change); Outcomes –effective (stable). &#10;The grades for ‘Biodiversity values’ are Context – mostly effective (decreased with grade change); Planning – mostly effective (stable); Inputs – mostly effective (stable); Processes – mostly effective (stable); Outputs - mostly effective (stable); Outcomes - partially effective (decreased with grade change). &#10;The grades for ‘Community benefits of the environment’ are Context – mostly effective (increased within grade); Planning – mostly effective (increased within grade);  Inputs – mostly effective (increased with grade change); Processes -mostly effective (increased with grade change); Outputs – mostly effective (stable); Outcomes – mostly effective (stable).&#10;The grades for ‘Shipping’ are Context –effective (increased with grade change); Planning - effective (increased with grade change); Inputs - effective (increased with grade change);  Processes - effective (increased with grade change); Outputs – mostly effective (increased within grade); Outcomes –effective (stable).&#10;The grades for ‘Research activities’ are Context –effective (stable); Planning –effective (increased with grade change); Inputs - effective (increased with grade change); Processes - effective (increased with grade change); Outputs –effective (stable); Outcomes –effective (stable).&#10;The grades for ‘Defence activities’ are Context –effective (stable); Planning –effective (stable); Inputs –effective (increased with grade change); Processes –effective (stable); Outputs –effective (stable); Outcomes –effective (stable). &#10;"/>
      </w:tblPr>
      <w:tblGrid>
        <w:gridCol w:w="3101"/>
        <w:gridCol w:w="870"/>
        <w:gridCol w:w="870"/>
        <w:gridCol w:w="871"/>
        <w:gridCol w:w="870"/>
        <w:gridCol w:w="870"/>
        <w:gridCol w:w="871"/>
        <w:gridCol w:w="693"/>
      </w:tblGrid>
      <w:tr w:rsidR="00A56EE9" w14:paraId="5761D59D" w14:textId="77777777" w:rsidTr="00BB6AD5">
        <w:trPr>
          <w:trHeight w:val="1216"/>
          <w:tblHeader/>
        </w:trPr>
        <w:tc>
          <w:tcPr>
            <w:tcW w:w="3201" w:type="dxa"/>
            <w:tcBorders>
              <w:top w:val="single" w:sz="4" w:space="0" w:color="auto"/>
              <w:left w:val="single" w:sz="4" w:space="0" w:color="auto"/>
              <w:bottom w:val="single" w:sz="4" w:space="0" w:color="auto"/>
              <w:right w:val="single" w:sz="4" w:space="0" w:color="auto"/>
            </w:tcBorders>
            <w:vAlign w:val="center"/>
          </w:tcPr>
          <w:p w14:paraId="5761D595" w14:textId="77777777" w:rsidR="00A56EE9" w:rsidRDefault="00A56EE9">
            <w:pPr>
              <w:pStyle w:val="BodyText"/>
              <w:spacing w:after="0"/>
              <w:contextualSpacing/>
              <w:rPr>
                <w:b/>
              </w:rPr>
            </w:pPr>
          </w:p>
        </w:tc>
        <w:tc>
          <w:tcPr>
            <w:tcW w:w="892" w:type="dxa"/>
            <w:tcBorders>
              <w:top w:val="single" w:sz="4" w:space="0" w:color="auto"/>
              <w:left w:val="single" w:sz="4" w:space="0" w:color="auto"/>
              <w:bottom w:val="single" w:sz="4" w:space="0" w:color="auto"/>
              <w:right w:val="single" w:sz="4" w:space="0" w:color="auto"/>
            </w:tcBorders>
            <w:textDirection w:val="btLr"/>
            <w:vAlign w:val="center"/>
            <w:hideMark/>
          </w:tcPr>
          <w:p w14:paraId="5761D596" w14:textId="77777777" w:rsidR="00A56EE9" w:rsidRDefault="00A56EE9">
            <w:pPr>
              <w:pStyle w:val="BodyText"/>
              <w:spacing w:after="0"/>
              <w:contextualSpacing/>
              <w:rPr>
                <w:b/>
              </w:rPr>
            </w:pPr>
            <w:r>
              <w:rPr>
                <w:b/>
              </w:rPr>
              <w:t>Context</w:t>
            </w:r>
          </w:p>
        </w:tc>
        <w:tc>
          <w:tcPr>
            <w:tcW w:w="892" w:type="dxa"/>
            <w:tcBorders>
              <w:top w:val="single" w:sz="4" w:space="0" w:color="auto"/>
              <w:left w:val="single" w:sz="4" w:space="0" w:color="auto"/>
              <w:bottom w:val="single" w:sz="4" w:space="0" w:color="auto"/>
              <w:right w:val="single" w:sz="4" w:space="0" w:color="auto"/>
            </w:tcBorders>
            <w:textDirection w:val="btLr"/>
            <w:vAlign w:val="center"/>
            <w:hideMark/>
          </w:tcPr>
          <w:p w14:paraId="5761D597" w14:textId="77777777" w:rsidR="00A56EE9" w:rsidRDefault="00A56EE9">
            <w:pPr>
              <w:pStyle w:val="BodyText"/>
              <w:spacing w:after="0"/>
              <w:contextualSpacing/>
              <w:rPr>
                <w:b/>
              </w:rPr>
            </w:pPr>
            <w:r>
              <w:rPr>
                <w:b/>
              </w:rPr>
              <w:t>Planning</w:t>
            </w:r>
          </w:p>
        </w:tc>
        <w:tc>
          <w:tcPr>
            <w:tcW w:w="893" w:type="dxa"/>
            <w:tcBorders>
              <w:top w:val="single" w:sz="4" w:space="0" w:color="auto"/>
              <w:left w:val="single" w:sz="4" w:space="0" w:color="auto"/>
              <w:bottom w:val="single" w:sz="4" w:space="0" w:color="auto"/>
              <w:right w:val="single" w:sz="4" w:space="0" w:color="auto"/>
            </w:tcBorders>
            <w:textDirection w:val="btLr"/>
            <w:vAlign w:val="center"/>
            <w:hideMark/>
          </w:tcPr>
          <w:p w14:paraId="5761D598" w14:textId="77777777" w:rsidR="00A56EE9" w:rsidRDefault="00A56EE9">
            <w:pPr>
              <w:pStyle w:val="BodyText"/>
              <w:spacing w:after="0"/>
              <w:contextualSpacing/>
              <w:rPr>
                <w:b/>
              </w:rPr>
            </w:pPr>
            <w:r>
              <w:rPr>
                <w:b/>
              </w:rPr>
              <w:t>Inputs</w:t>
            </w:r>
          </w:p>
        </w:tc>
        <w:tc>
          <w:tcPr>
            <w:tcW w:w="892" w:type="dxa"/>
            <w:tcBorders>
              <w:top w:val="single" w:sz="4" w:space="0" w:color="auto"/>
              <w:left w:val="single" w:sz="4" w:space="0" w:color="auto"/>
              <w:bottom w:val="single" w:sz="4" w:space="0" w:color="auto"/>
              <w:right w:val="single" w:sz="4" w:space="0" w:color="auto"/>
            </w:tcBorders>
            <w:textDirection w:val="btLr"/>
            <w:vAlign w:val="center"/>
            <w:hideMark/>
          </w:tcPr>
          <w:p w14:paraId="5761D599" w14:textId="77777777" w:rsidR="00A56EE9" w:rsidRDefault="00A56EE9">
            <w:pPr>
              <w:pStyle w:val="BodyText"/>
              <w:spacing w:after="0"/>
              <w:contextualSpacing/>
              <w:rPr>
                <w:b/>
              </w:rPr>
            </w:pPr>
            <w:r>
              <w:rPr>
                <w:b/>
              </w:rPr>
              <w:t>Processes</w:t>
            </w:r>
          </w:p>
        </w:tc>
        <w:tc>
          <w:tcPr>
            <w:tcW w:w="892" w:type="dxa"/>
            <w:tcBorders>
              <w:top w:val="single" w:sz="4" w:space="0" w:color="auto"/>
              <w:left w:val="single" w:sz="4" w:space="0" w:color="auto"/>
              <w:bottom w:val="single" w:sz="4" w:space="0" w:color="auto"/>
              <w:right w:val="single" w:sz="4" w:space="0" w:color="auto"/>
            </w:tcBorders>
            <w:textDirection w:val="btLr"/>
            <w:vAlign w:val="center"/>
            <w:hideMark/>
          </w:tcPr>
          <w:p w14:paraId="5761D59A" w14:textId="77777777" w:rsidR="00A56EE9" w:rsidRDefault="00A56EE9">
            <w:pPr>
              <w:pStyle w:val="BodyText"/>
              <w:spacing w:after="0"/>
              <w:contextualSpacing/>
              <w:rPr>
                <w:b/>
              </w:rPr>
            </w:pPr>
            <w:r>
              <w:rPr>
                <w:b/>
              </w:rPr>
              <w:t>Outputs</w:t>
            </w:r>
          </w:p>
        </w:tc>
        <w:tc>
          <w:tcPr>
            <w:tcW w:w="893" w:type="dxa"/>
            <w:tcBorders>
              <w:top w:val="single" w:sz="4" w:space="0" w:color="auto"/>
              <w:left w:val="single" w:sz="4" w:space="0" w:color="auto"/>
              <w:bottom w:val="single" w:sz="4" w:space="0" w:color="auto"/>
              <w:right w:val="single" w:sz="4" w:space="0" w:color="auto"/>
            </w:tcBorders>
            <w:textDirection w:val="btLr"/>
            <w:vAlign w:val="center"/>
            <w:hideMark/>
          </w:tcPr>
          <w:p w14:paraId="5761D59B" w14:textId="77777777" w:rsidR="00A56EE9" w:rsidRDefault="00A56EE9">
            <w:pPr>
              <w:pStyle w:val="BodyText"/>
              <w:spacing w:after="0"/>
              <w:contextualSpacing/>
              <w:rPr>
                <w:b/>
              </w:rPr>
            </w:pPr>
            <w:r>
              <w:rPr>
                <w:b/>
              </w:rPr>
              <w:t>Outcomes</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14:paraId="5761D59C" w14:textId="77777777" w:rsidR="00A56EE9" w:rsidRDefault="00A56EE9">
            <w:pPr>
              <w:pStyle w:val="BodyText"/>
              <w:spacing w:after="0"/>
              <w:contextualSpacing/>
              <w:rPr>
                <w:b/>
              </w:rPr>
            </w:pPr>
            <w:r>
              <w:rPr>
                <w:b/>
              </w:rPr>
              <w:t>Complexity</w:t>
            </w:r>
          </w:p>
        </w:tc>
      </w:tr>
      <w:tr w:rsidR="00A56EE9" w14:paraId="5761D5A6"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59E" w14:textId="77777777" w:rsidR="00A56EE9" w:rsidRDefault="00A56EE9">
            <w:pPr>
              <w:pStyle w:val="BodyText"/>
              <w:spacing w:after="0"/>
              <w:contextualSpacing/>
              <w:rPr>
                <w:b/>
              </w:rPr>
            </w:pPr>
            <w:r>
              <w:rPr>
                <w:b/>
              </w:rPr>
              <w:t>Climate change</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9F"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D5A0"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D5A1"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D5A2"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FF0000"/>
            <w:vAlign w:val="center"/>
            <w:hideMark/>
          </w:tcPr>
          <w:p w14:paraId="5761D5A3"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3" w:type="dxa"/>
            <w:tcBorders>
              <w:top w:val="single" w:sz="4" w:space="0" w:color="auto"/>
              <w:left w:val="single" w:sz="4" w:space="0" w:color="auto"/>
              <w:bottom w:val="single" w:sz="4" w:space="0" w:color="auto"/>
              <w:right w:val="single" w:sz="4" w:space="0" w:color="auto"/>
            </w:tcBorders>
            <w:shd w:val="clear" w:color="auto" w:fill="FF0000"/>
            <w:vAlign w:val="center"/>
            <w:hideMark/>
          </w:tcPr>
          <w:p w14:paraId="5761D5A4"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709" w:type="dxa"/>
            <w:vMerge w:val="restart"/>
            <w:tcBorders>
              <w:top w:val="single" w:sz="4" w:space="0" w:color="auto"/>
              <w:left w:val="single" w:sz="4" w:space="0" w:color="auto"/>
              <w:bottom w:val="single" w:sz="4" w:space="0" w:color="auto"/>
              <w:right w:val="single" w:sz="4" w:space="0" w:color="auto"/>
            </w:tcBorders>
            <w:textDirection w:val="btLr"/>
          </w:tcPr>
          <w:p w14:paraId="5761D5A5" w14:textId="77777777" w:rsidR="00A56EE9" w:rsidRDefault="00A56EE9" w:rsidP="00BB6AD5">
            <w:pPr>
              <w:pStyle w:val="BodyText"/>
              <w:spacing w:after="0"/>
              <w:ind w:left="113" w:right="113"/>
              <w:contextualSpacing/>
              <w:jc w:val="center"/>
              <w:rPr>
                <w:rFonts w:ascii="Cambria Math" w:hAnsi="Cambria Math"/>
                <w:b/>
              </w:rPr>
            </w:pPr>
            <w:r>
              <w:rPr>
                <w:b/>
                <w:noProof/>
              </w:rPr>
              <mc:AlternateContent>
                <mc:Choice Requires="wps">
                  <w:drawing>
                    <wp:anchor distT="0" distB="0" distL="114300" distR="114300" simplePos="0" relativeHeight="251736064" behindDoc="0" locked="0" layoutInCell="1" allowOverlap="1" wp14:anchorId="57620CC6" wp14:editId="6A2C1979">
                      <wp:simplePos x="0" y="0"/>
                      <wp:positionH relativeFrom="column">
                        <wp:posOffset>46083</wp:posOffset>
                      </wp:positionH>
                      <wp:positionV relativeFrom="paragraph">
                        <wp:posOffset>-3751126</wp:posOffset>
                      </wp:positionV>
                      <wp:extent cx="0" cy="330200"/>
                      <wp:effectExtent l="76200" t="38100" r="57150" b="12700"/>
                      <wp:wrapNone/>
                      <wp:docPr id="6" name="Straight Arrow Connector 6" descr="arrow pointing upwards" title="Arrow"/>
                      <wp:cNvGraphicFramePr/>
                      <a:graphic xmlns:a="http://schemas.openxmlformats.org/drawingml/2006/main">
                        <a:graphicData uri="http://schemas.microsoft.com/office/word/2010/wordprocessingShape">
                          <wps:wsp>
                            <wps:cNvCnPr/>
                            <wps:spPr>
                              <a:xfrm flipV="1">
                                <a:off x="0" y="0"/>
                                <a:ext cx="0" cy="3302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type w14:anchorId="54EF684D" id="_x0000_t32" coordsize="21600,21600" o:spt="32" o:oned="t" path="m,l21600,21600e" filled="f">
                      <v:path arrowok="t" fillok="f" o:connecttype="none"/>
                      <o:lock v:ext="edit" shapetype="t"/>
                    </v:shapetype>
                    <v:shape id="Straight Arrow Connector 6" o:spid="_x0000_s1026" type="#_x0000_t32" alt="Title: Arrow - Description: arrow pointing upwards" style="position:absolute;margin-left:3.65pt;margin-top:-295.35pt;width:0;height:26pt;flip:y;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" strokecolor="black [3200]" strokeweight="1pt">
                      <v:stroke endarrow="block" joinstyle="miter"/>
                    </v:shape>
                  </w:pict>
                </mc:Fallback>
              </mc:AlternateContent>
            </w:r>
            <w:r w:rsidRPr="000738A8">
              <w:rPr>
                <w:b/>
              </w:rPr>
              <w:t>Increasing complexity</w:t>
            </w:r>
          </w:p>
        </w:tc>
      </w:tr>
      <w:tr w:rsidR="00A56EE9" w14:paraId="5761D5AF"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5A7" w14:textId="77777777" w:rsidR="00A56EE9" w:rsidRDefault="00A56EE9">
            <w:pPr>
              <w:pStyle w:val="BodyText"/>
              <w:spacing w:after="0"/>
              <w:contextualSpacing/>
              <w:rPr>
                <w:b/>
              </w:rPr>
            </w:pPr>
            <w:r>
              <w:rPr>
                <w:b/>
              </w:rPr>
              <w:t>Coastal development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A8"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A9"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AA"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AB"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AC"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3" w:type="dxa"/>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D5AD"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5AE" w14:textId="77777777" w:rsidR="00A56EE9" w:rsidRDefault="00A56EE9">
            <w:pPr>
              <w:rPr>
                <w:rFonts w:ascii="Cambria Math" w:hAnsi="Cambria Math"/>
                <w:b/>
                <w:sz w:val="22"/>
                <w:szCs w:val="22"/>
              </w:rPr>
            </w:pPr>
          </w:p>
        </w:tc>
      </w:tr>
      <w:tr w:rsidR="00A56EE9" w14:paraId="5761D5B8"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5B0" w14:textId="77777777" w:rsidR="00A56EE9" w:rsidRDefault="00A56EE9">
            <w:pPr>
              <w:pStyle w:val="BodyText"/>
              <w:spacing w:after="0"/>
              <w:contextualSpacing/>
              <w:rPr>
                <w:b/>
              </w:rPr>
            </w:pPr>
            <w:r>
              <w:rPr>
                <w:b/>
              </w:rPr>
              <w:t>Land-based run-off</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B1"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B2"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B3"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B4"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B5"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D5B6"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5B7" w14:textId="77777777" w:rsidR="00A56EE9" w:rsidRDefault="00A56EE9">
            <w:pPr>
              <w:rPr>
                <w:rFonts w:ascii="Cambria Math" w:hAnsi="Cambria Math"/>
                <w:b/>
                <w:sz w:val="22"/>
                <w:szCs w:val="22"/>
              </w:rPr>
            </w:pPr>
          </w:p>
        </w:tc>
      </w:tr>
      <w:tr w:rsidR="00A56EE9" w14:paraId="5761D5C1"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5B9" w14:textId="77777777" w:rsidR="00A56EE9" w:rsidRDefault="00A56EE9">
            <w:pPr>
              <w:pStyle w:val="BodyText"/>
              <w:spacing w:after="0"/>
              <w:contextualSpacing/>
              <w:rPr>
                <w:b/>
              </w:rPr>
            </w:pPr>
            <w:r>
              <w:rPr>
                <w:b/>
              </w:rPr>
              <w:t>Ports</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BA"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BB"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BC"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BD"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BE"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3"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BF"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5C0" w14:textId="77777777" w:rsidR="00A56EE9" w:rsidRDefault="00A56EE9">
            <w:pPr>
              <w:rPr>
                <w:rFonts w:ascii="Cambria Math" w:hAnsi="Cambria Math"/>
                <w:b/>
                <w:sz w:val="22"/>
                <w:szCs w:val="22"/>
              </w:rPr>
            </w:pPr>
          </w:p>
        </w:tc>
      </w:tr>
      <w:tr w:rsidR="00A56EE9" w14:paraId="5761D5CA"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5C2" w14:textId="77777777" w:rsidR="00A56EE9" w:rsidRDefault="00A56EE9">
            <w:pPr>
              <w:pStyle w:val="BodyText"/>
              <w:spacing w:after="0"/>
              <w:contextualSpacing/>
              <w:rPr>
                <w:b/>
              </w:rPr>
            </w:pPr>
            <w:r>
              <w:rPr>
                <w:b/>
              </w:rPr>
              <w:t xml:space="preserve">Fishing </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C3" w14:textId="77777777" w:rsidR="00A56EE9" w:rsidRDefault="00A56EE9">
            <w:pPr>
              <w:pStyle w:val="BodyText"/>
              <w:spacing w:after="0"/>
              <w:contextualSpacing/>
              <w:jc w:val="center"/>
              <w:rPr>
                <w:rFonts w:ascii="Cambria Math" w:hAnsi="Cambria Math"/>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C4" w14:textId="77777777" w:rsidR="00A56EE9" w:rsidRDefault="00A56EE9">
            <w:pPr>
              <w:pStyle w:val="BodyText"/>
              <w:spacing w:after="0"/>
              <w:contextualSpacing/>
              <w:jc w:val="center"/>
              <w:rPr>
                <w:rFonts w:ascii="Cambria Math" w:hAnsi="Cambria Math"/>
              </w:rPr>
            </w:pPr>
            <w:r>
              <w:rPr>
                <w:rFonts w:ascii="Cambria Math" w:hAnsi="Cambria Math" w:cs="Cambria Math"/>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C5" w14:textId="77777777" w:rsidR="00A56EE9" w:rsidRDefault="00A56EE9">
            <w:pPr>
              <w:pStyle w:val="BodyText"/>
              <w:spacing w:after="0"/>
              <w:contextualSpacing/>
              <w:jc w:val="center"/>
              <w:rPr>
                <w:rFonts w:ascii="Cambria Math" w:hAnsi="Cambria Math" w:cs="Menlo Regular"/>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C6" w14:textId="77777777" w:rsidR="00A56EE9" w:rsidRDefault="00A56EE9">
            <w:pPr>
              <w:pStyle w:val="BodyText"/>
              <w:spacing w:after="0"/>
              <w:contextualSpacing/>
              <w:jc w:val="center"/>
              <w:rPr>
                <w:rFonts w:ascii="Cambria Math" w:hAnsi="Cambria Math" w:cs="Lantinghei TC Heavy"/>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C7" w14:textId="77777777" w:rsidR="00A56EE9" w:rsidRDefault="00A56EE9">
            <w:pPr>
              <w:pStyle w:val="BodyText"/>
              <w:spacing w:after="0"/>
              <w:contextualSpacing/>
              <w:jc w:val="center"/>
              <w:rPr>
                <w:rFonts w:ascii="Cambria Math" w:hAnsi="Cambria Math" w:cs="Lantinghei TC Heavy"/>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D5C8" w14:textId="77777777" w:rsidR="00A56EE9" w:rsidRDefault="00A56EE9">
            <w:pPr>
              <w:pStyle w:val="BodyText"/>
              <w:spacing w:after="0"/>
              <w:contextualSpacing/>
              <w:jc w:val="center"/>
              <w:rPr>
                <w:rFonts w:ascii="Cambria Math" w:hAnsi="Cambria Math" w:cs="Lantinghei TC Heavy"/>
                <w:b/>
              </w:rPr>
            </w:pPr>
            <w:r>
              <w:rPr>
                <w:rFonts w:ascii="Cambria Math" w:hAnsi="Cambria Math" w:cs="Cambria Math"/>
                <w:b/>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5C9" w14:textId="77777777" w:rsidR="00A56EE9" w:rsidRDefault="00A56EE9">
            <w:pPr>
              <w:rPr>
                <w:rFonts w:ascii="Cambria Math" w:hAnsi="Cambria Math"/>
                <w:b/>
                <w:sz w:val="22"/>
                <w:szCs w:val="22"/>
              </w:rPr>
            </w:pPr>
          </w:p>
        </w:tc>
      </w:tr>
      <w:tr w:rsidR="00A56EE9" w14:paraId="5761D5D3"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5CB" w14:textId="77777777" w:rsidR="00A56EE9" w:rsidRDefault="00A56EE9">
            <w:pPr>
              <w:pStyle w:val="BodyText"/>
              <w:spacing w:after="0"/>
              <w:contextualSpacing/>
              <w:rPr>
                <w:b/>
              </w:rPr>
            </w:pPr>
            <w:r>
              <w:rPr>
                <w:b/>
              </w:rPr>
              <w:t>Heritage values</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CC"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CD"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CE"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CF"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D0"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D1"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5D2" w14:textId="77777777" w:rsidR="00A56EE9" w:rsidRDefault="00A56EE9">
            <w:pPr>
              <w:rPr>
                <w:rFonts w:ascii="Cambria Math" w:hAnsi="Cambria Math"/>
                <w:b/>
                <w:sz w:val="22"/>
                <w:szCs w:val="22"/>
              </w:rPr>
            </w:pPr>
          </w:p>
        </w:tc>
      </w:tr>
      <w:tr w:rsidR="00A56EE9" w14:paraId="5761D5DC"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5D4" w14:textId="77777777" w:rsidR="00A56EE9" w:rsidRDefault="00A56EE9">
            <w:pPr>
              <w:pStyle w:val="BodyText"/>
              <w:spacing w:after="0"/>
              <w:contextualSpacing/>
              <w:rPr>
                <w:b/>
              </w:rPr>
            </w:pPr>
            <w:r>
              <w:rPr>
                <w:b/>
              </w:rPr>
              <w:t>Commercial marine tourism</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D5"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D6"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D7"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D8"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D9"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DA"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5DB" w14:textId="77777777" w:rsidR="00A56EE9" w:rsidRDefault="00A56EE9">
            <w:pPr>
              <w:rPr>
                <w:rFonts w:ascii="Cambria Math" w:hAnsi="Cambria Math"/>
                <w:b/>
                <w:sz w:val="22"/>
                <w:szCs w:val="22"/>
              </w:rPr>
            </w:pPr>
          </w:p>
        </w:tc>
      </w:tr>
      <w:tr w:rsidR="00A56EE9" w14:paraId="5761D5E5"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5DD" w14:textId="77777777" w:rsidR="00A56EE9" w:rsidRDefault="00A56EE9">
            <w:pPr>
              <w:pStyle w:val="BodyText"/>
              <w:spacing w:after="0"/>
              <w:contextualSpacing/>
              <w:rPr>
                <w:b/>
              </w:rPr>
            </w:pPr>
            <w:r>
              <w:rPr>
                <w:b/>
              </w:rPr>
              <w:t>Recreation</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DE"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DF" w14:textId="77777777" w:rsidR="00A56EE9" w:rsidRDefault="00A56EE9">
            <w:pPr>
              <w:pStyle w:val="BodyText"/>
              <w:spacing w:after="0"/>
              <w:contextualSpacing/>
              <w:jc w:val="center"/>
              <w:rPr>
                <w:rFonts w:ascii="Cambria Math" w:hAnsi="Cambria Math"/>
                <w:b/>
              </w:rPr>
            </w:pPr>
            <w:r>
              <w:rPr>
                <w:rFonts w:ascii="Cambria Math" w:hAnsi="Cambria Math"/>
                <w:b/>
                <w:sz w:val="24"/>
                <w:szCs w:val="24"/>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E0"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E1"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D5E2"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E3"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5E4" w14:textId="77777777" w:rsidR="00A56EE9" w:rsidRDefault="00A56EE9">
            <w:pPr>
              <w:rPr>
                <w:rFonts w:ascii="Cambria Math" w:hAnsi="Cambria Math"/>
                <w:b/>
                <w:sz w:val="22"/>
                <w:szCs w:val="22"/>
              </w:rPr>
            </w:pPr>
          </w:p>
        </w:tc>
      </w:tr>
      <w:tr w:rsidR="00A56EE9" w14:paraId="5761D5EE"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5E6" w14:textId="77777777" w:rsidR="00A56EE9" w:rsidRDefault="00A56EE9">
            <w:pPr>
              <w:pStyle w:val="BodyText"/>
              <w:spacing w:after="0"/>
              <w:contextualSpacing/>
              <w:rPr>
                <w:b/>
              </w:rPr>
            </w:pPr>
            <w:r>
              <w:rPr>
                <w:b/>
              </w:rPr>
              <w:t xml:space="preserve">Traditional use of marine resources </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E7"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E8"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E9"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EA"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EB"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3"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5EC"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5ED" w14:textId="77777777" w:rsidR="00A56EE9" w:rsidRDefault="00A56EE9">
            <w:pPr>
              <w:rPr>
                <w:rFonts w:ascii="Cambria Math" w:hAnsi="Cambria Math"/>
                <w:b/>
                <w:sz w:val="22"/>
                <w:szCs w:val="22"/>
              </w:rPr>
            </w:pPr>
          </w:p>
        </w:tc>
      </w:tr>
      <w:tr w:rsidR="00A56EE9" w14:paraId="5761D5F7"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5EF" w14:textId="77777777" w:rsidR="00A56EE9" w:rsidRDefault="00A56EE9">
            <w:pPr>
              <w:pStyle w:val="BodyText"/>
              <w:spacing w:after="0"/>
              <w:contextualSpacing/>
              <w:rPr>
                <w:b/>
              </w:rPr>
            </w:pPr>
            <w:r>
              <w:rPr>
                <w:b/>
              </w:rPr>
              <w:t>Biodiversity values</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F0"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F1"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F2"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F3"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F4"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14:paraId="5761D5F5"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5F6" w14:textId="77777777" w:rsidR="00A56EE9" w:rsidRDefault="00A56EE9">
            <w:pPr>
              <w:rPr>
                <w:rFonts w:ascii="Cambria Math" w:hAnsi="Cambria Math"/>
                <w:b/>
                <w:sz w:val="22"/>
                <w:szCs w:val="22"/>
              </w:rPr>
            </w:pPr>
          </w:p>
        </w:tc>
      </w:tr>
      <w:tr w:rsidR="00A56EE9" w14:paraId="5761D600"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5F8" w14:textId="77777777" w:rsidR="00A56EE9" w:rsidRDefault="00A56EE9">
            <w:pPr>
              <w:pStyle w:val="BodyText"/>
              <w:spacing w:after="0"/>
              <w:contextualSpacing/>
              <w:rPr>
                <w:b/>
              </w:rPr>
            </w:pPr>
            <w:r>
              <w:rPr>
                <w:b/>
              </w:rPr>
              <w:t>Community benefits of the environment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F9"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FA"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FB"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FC"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FD"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5FE"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5FF" w14:textId="77777777" w:rsidR="00A56EE9" w:rsidRDefault="00A56EE9">
            <w:pPr>
              <w:rPr>
                <w:rFonts w:ascii="Cambria Math" w:hAnsi="Cambria Math"/>
                <w:b/>
                <w:sz w:val="22"/>
                <w:szCs w:val="22"/>
              </w:rPr>
            </w:pPr>
          </w:p>
        </w:tc>
      </w:tr>
      <w:tr w:rsidR="00A56EE9" w14:paraId="5761D609"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601" w14:textId="77777777" w:rsidR="00A56EE9" w:rsidRDefault="00A56EE9">
            <w:pPr>
              <w:pStyle w:val="BodyText"/>
              <w:spacing w:after="0"/>
              <w:contextualSpacing/>
              <w:rPr>
                <w:b/>
              </w:rPr>
            </w:pPr>
            <w:r>
              <w:rPr>
                <w:b/>
              </w:rPr>
              <w:t>Shipping</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02"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03"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3"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04"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05"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761D606"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07"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608" w14:textId="77777777" w:rsidR="00A56EE9" w:rsidRDefault="00A56EE9">
            <w:pPr>
              <w:rPr>
                <w:rFonts w:ascii="Cambria Math" w:hAnsi="Cambria Math"/>
                <w:b/>
                <w:sz w:val="22"/>
                <w:szCs w:val="22"/>
              </w:rPr>
            </w:pPr>
          </w:p>
        </w:tc>
      </w:tr>
      <w:tr w:rsidR="00A56EE9" w14:paraId="5761D612"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60A" w14:textId="77777777" w:rsidR="00A56EE9" w:rsidRDefault="00A56EE9">
            <w:pPr>
              <w:pStyle w:val="BodyText"/>
              <w:spacing w:after="0"/>
              <w:contextualSpacing/>
              <w:rPr>
                <w:b/>
              </w:rPr>
            </w:pPr>
            <w:r>
              <w:rPr>
                <w:b/>
              </w:rPr>
              <w:t>Research activities</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0B"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0C"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3"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0D"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0E"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0F"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10"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611" w14:textId="77777777" w:rsidR="00A56EE9" w:rsidRDefault="00A56EE9">
            <w:pPr>
              <w:rPr>
                <w:rFonts w:ascii="Cambria Math" w:hAnsi="Cambria Math"/>
                <w:b/>
                <w:sz w:val="22"/>
                <w:szCs w:val="22"/>
              </w:rPr>
            </w:pPr>
          </w:p>
        </w:tc>
      </w:tr>
      <w:tr w:rsidR="00A56EE9" w14:paraId="5761D61B" w14:textId="77777777" w:rsidTr="00BB6AD5">
        <w:trPr>
          <w:trHeight w:val="567"/>
        </w:trPr>
        <w:tc>
          <w:tcPr>
            <w:tcW w:w="3201" w:type="dxa"/>
            <w:tcBorders>
              <w:top w:val="single" w:sz="4" w:space="0" w:color="auto"/>
              <w:left w:val="single" w:sz="4" w:space="0" w:color="auto"/>
              <w:bottom w:val="single" w:sz="4" w:space="0" w:color="auto"/>
              <w:right w:val="single" w:sz="4" w:space="0" w:color="auto"/>
            </w:tcBorders>
            <w:vAlign w:val="center"/>
            <w:hideMark/>
          </w:tcPr>
          <w:p w14:paraId="5761D613" w14:textId="77777777" w:rsidR="00A56EE9" w:rsidRDefault="00A56EE9">
            <w:pPr>
              <w:pStyle w:val="BodyText"/>
              <w:spacing w:after="0"/>
              <w:contextualSpacing/>
              <w:rPr>
                <w:b/>
              </w:rPr>
            </w:pPr>
            <w:r>
              <w:rPr>
                <w:b/>
              </w:rPr>
              <w:t>Defence activities</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14"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15"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16" w14:textId="77777777" w:rsidR="00A56EE9" w:rsidRDefault="00A56EE9">
            <w:pPr>
              <w:pStyle w:val="BodyText"/>
              <w:spacing w:after="0"/>
              <w:contextualSpacing/>
              <w:jc w:val="center"/>
              <w:rPr>
                <w:rFonts w:ascii="Cambria Math" w:hAnsi="Cambria Math"/>
                <w:b/>
              </w:rPr>
            </w:pPr>
            <w:r>
              <w:rPr>
                <w:rFonts w:ascii="Cambria Math" w:hAnsi="Cambria Math" w:cs="Cambria Math"/>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17"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2"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18"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893" w:type="dxa"/>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14:paraId="5761D619" w14:textId="77777777" w:rsidR="00A56EE9" w:rsidRDefault="00A56EE9">
            <w:pPr>
              <w:pStyle w:val="BodyText"/>
              <w:spacing w:after="0"/>
              <w:contextualSpacing/>
              <w:jc w:val="center"/>
              <w:rPr>
                <w:rFonts w:ascii="Cambria Math" w:hAnsi="Cambria Math"/>
                <w:b/>
              </w:rPr>
            </w:pPr>
            <w:r>
              <w:rPr>
                <w:rFonts w:ascii="Cambria Math" w:hAnsi="Cambria Math" w:cs="Cambria Math"/>
                <w:b/>
              </w:rPr>
              <w:t>↔</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761D61A" w14:textId="77777777" w:rsidR="00A56EE9" w:rsidRDefault="00A56EE9">
            <w:pPr>
              <w:rPr>
                <w:rFonts w:ascii="Cambria Math" w:hAnsi="Cambria Math"/>
                <w:b/>
                <w:sz w:val="22"/>
                <w:szCs w:val="22"/>
              </w:rPr>
            </w:pPr>
          </w:p>
        </w:tc>
      </w:tr>
    </w:tbl>
    <w:p w14:paraId="5761D61C" w14:textId="53A52EB9" w:rsidR="00A56EE9" w:rsidRDefault="00A56EE9" w:rsidP="00BB6AD5">
      <w:pPr>
        <w:spacing w:line="240" w:lineRule="auto"/>
        <w:rPr>
          <w:sz w:val="16"/>
          <w:szCs w:val="16"/>
        </w:rPr>
      </w:pPr>
      <w:r>
        <w:rPr>
          <w:sz w:val="16"/>
          <w:szCs w:val="16"/>
        </w:rPr>
        <w:t>Management effective assessment is colour coded:</w:t>
      </w:r>
      <w:r w:rsidR="00242993">
        <w:rPr>
          <w:sz w:val="16"/>
          <w:szCs w:val="16"/>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990"/>
        <w:gridCol w:w="236"/>
        <w:gridCol w:w="1710"/>
        <w:gridCol w:w="261"/>
        <w:gridCol w:w="1790"/>
        <w:gridCol w:w="261"/>
        <w:gridCol w:w="1141"/>
        <w:gridCol w:w="261"/>
      </w:tblGrid>
      <w:tr w:rsidR="00A56EE9" w14:paraId="5761D625" w14:textId="77777777" w:rsidTr="00BB6AD5">
        <w:trPr>
          <w:tblHeader/>
        </w:trPr>
        <w:tc>
          <w:tcPr>
            <w:tcW w:w="990" w:type="dxa"/>
            <w:hideMark/>
          </w:tcPr>
          <w:p w14:paraId="5761D61D" w14:textId="77777777" w:rsidR="00A56EE9" w:rsidRDefault="00A56EE9">
            <w:pPr>
              <w:ind w:right="-111"/>
              <w:contextualSpacing/>
              <w:rPr>
                <w:sz w:val="16"/>
                <w:szCs w:val="16"/>
              </w:rPr>
            </w:pPr>
            <w:r>
              <w:rPr>
                <w:sz w:val="16"/>
                <w:szCs w:val="16"/>
              </w:rPr>
              <w:t>Effective (E)</w:t>
            </w:r>
          </w:p>
        </w:tc>
        <w:tc>
          <w:tcPr>
            <w:tcW w:w="236" w:type="dxa"/>
            <w:hideMark/>
          </w:tcPr>
          <w:p w14:paraId="5761D61E" w14:textId="77777777" w:rsidR="00A56EE9" w:rsidRDefault="00A56EE9">
            <w:pPr>
              <w:rPr>
                <w:sz w:val="16"/>
                <w:szCs w:val="16"/>
              </w:rPr>
            </w:pPr>
            <w:r>
              <w:rPr>
                <w:noProof/>
              </w:rPr>
              <mc:AlternateContent>
                <mc:Choice Requires="wps">
                  <w:drawing>
                    <wp:anchor distT="0" distB="0" distL="114300" distR="114300" simplePos="0" relativeHeight="251731968" behindDoc="1" locked="0" layoutInCell="1" allowOverlap="1" wp14:anchorId="57620CC8" wp14:editId="57620CC9">
                      <wp:simplePos x="0" y="0"/>
                      <wp:positionH relativeFrom="column">
                        <wp:posOffset>-50800</wp:posOffset>
                      </wp:positionH>
                      <wp:positionV relativeFrom="paragraph">
                        <wp:posOffset>26670</wp:posOffset>
                      </wp:positionV>
                      <wp:extent cx="95250" cy="104775"/>
                      <wp:effectExtent l="0" t="0" r="19050" b="28575"/>
                      <wp:wrapSquare wrapText="bothSides"/>
                      <wp:docPr id="289" name="Rectangle 289"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A"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C8" id="Rectangle 289" o:spid="_x0000_s1091" alt="Title: Rectangle - Description: Rectangle coloured dark green" style="position:absolute;margin-left:-4pt;margin-top:2.1pt;width:7.5pt;height:8.25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" fillcolor="#060" strokecolor="black [3213]" strokeweight="1pt">
                      <v:textbox>
                        <w:txbxContent>
                          <w:p w14:paraId="57620D3A" w14:textId="77777777" w:rsidR="008B5998" w:rsidRDefault="008B5998" w:rsidP="00BB6AD5">
                            <w:pPr>
                              <w:shd w:val="clear" w:color="auto" w:fill="006600"/>
                              <w:jc w:val="center"/>
                            </w:pPr>
                          </w:p>
                        </w:txbxContent>
                      </v:textbox>
                      <w10:wrap type="square"/>
                    </v:rect>
                  </w:pict>
                </mc:Fallback>
              </mc:AlternateContent>
            </w:r>
          </w:p>
        </w:tc>
        <w:tc>
          <w:tcPr>
            <w:tcW w:w="1710" w:type="dxa"/>
            <w:hideMark/>
          </w:tcPr>
          <w:p w14:paraId="5761D61F" w14:textId="77777777" w:rsidR="00A56EE9" w:rsidRDefault="00A56EE9">
            <w:pPr>
              <w:rPr>
                <w:sz w:val="16"/>
                <w:szCs w:val="16"/>
              </w:rPr>
            </w:pPr>
            <w:r>
              <w:rPr>
                <w:sz w:val="16"/>
                <w:szCs w:val="16"/>
              </w:rPr>
              <w:t>Mostly effective (ME)</w:t>
            </w:r>
          </w:p>
        </w:tc>
        <w:tc>
          <w:tcPr>
            <w:tcW w:w="261" w:type="dxa"/>
            <w:hideMark/>
          </w:tcPr>
          <w:p w14:paraId="5761D620" w14:textId="77777777" w:rsidR="00A56EE9" w:rsidRDefault="00A56EE9">
            <w:pPr>
              <w:rPr>
                <w:sz w:val="16"/>
                <w:szCs w:val="16"/>
              </w:rPr>
            </w:pPr>
            <w:r>
              <w:rPr>
                <w:noProof/>
              </w:rPr>
              <mc:AlternateContent>
                <mc:Choice Requires="wps">
                  <w:drawing>
                    <wp:anchor distT="0" distB="0" distL="114300" distR="114300" simplePos="0" relativeHeight="251732992" behindDoc="0" locked="0" layoutInCell="1" allowOverlap="1" wp14:anchorId="57620CCA" wp14:editId="57620CCB">
                      <wp:simplePos x="0" y="0"/>
                      <wp:positionH relativeFrom="column">
                        <wp:posOffset>-41275</wp:posOffset>
                      </wp:positionH>
                      <wp:positionV relativeFrom="paragraph">
                        <wp:posOffset>22860</wp:posOffset>
                      </wp:positionV>
                      <wp:extent cx="95250" cy="104775"/>
                      <wp:effectExtent l="0" t="0" r="19050" b="28575"/>
                      <wp:wrapNone/>
                      <wp:docPr id="288" name="Rectangle 288"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B"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CA" id="Rectangle 288" o:spid="_x0000_s1092" alt="Title: Rectangle - Description: Rectangle coloured light green" style="position:absolute;margin-left:-3.25pt;margin-top:1.8pt;width:7.5pt;height:8.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" fillcolor="#92d050" strokecolor="black [3213]" strokeweight="1pt">
                      <v:textbox>
                        <w:txbxContent>
                          <w:p w14:paraId="57620D3B" w14:textId="77777777" w:rsidR="008B5998" w:rsidRDefault="008B5998" w:rsidP="00BB6AD5">
                            <w:pPr>
                              <w:jc w:val="center"/>
                            </w:pPr>
                          </w:p>
                        </w:txbxContent>
                      </v:textbox>
                    </v:rect>
                  </w:pict>
                </mc:Fallback>
              </mc:AlternateContent>
            </w:r>
            <w:r>
              <w:rPr>
                <w:sz w:val="16"/>
                <w:szCs w:val="16"/>
              </w:rPr>
              <w:t>;</w:t>
            </w:r>
          </w:p>
        </w:tc>
        <w:tc>
          <w:tcPr>
            <w:tcW w:w="1790" w:type="dxa"/>
            <w:hideMark/>
          </w:tcPr>
          <w:p w14:paraId="5761D621" w14:textId="77777777" w:rsidR="00A56EE9" w:rsidRDefault="00A56EE9">
            <w:pPr>
              <w:rPr>
                <w:sz w:val="16"/>
                <w:szCs w:val="16"/>
              </w:rPr>
            </w:pPr>
            <w:r>
              <w:rPr>
                <w:sz w:val="16"/>
                <w:szCs w:val="16"/>
              </w:rPr>
              <w:t>Partially effective (PE)</w:t>
            </w:r>
          </w:p>
        </w:tc>
        <w:tc>
          <w:tcPr>
            <w:tcW w:w="261" w:type="dxa"/>
            <w:hideMark/>
          </w:tcPr>
          <w:p w14:paraId="5761D622" w14:textId="77777777" w:rsidR="00A56EE9" w:rsidRDefault="00A56EE9">
            <w:pPr>
              <w:rPr>
                <w:sz w:val="16"/>
                <w:szCs w:val="16"/>
              </w:rPr>
            </w:pPr>
            <w:r>
              <w:rPr>
                <w:noProof/>
              </w:rPr>
              <mc:AlternateContent>
                <mc:Choice Requires="wps">
                  <w:drawing>
                    <wp:anchor distT="0" distB="0" distL="114300" distR="114300" simplePos="0" relativeHeight="251734016" behindDoc="0" locked="0" layoutInCell="1" allowOverlap="1" wp14:anchorId="57620CCC" wp14:editId="57620CCD">
                      <wp:simplePos x="0" y="0"/>
                      <wp:positionH relativeFrom="column">
                        <wp:posOffset>-65405</wp:posOffset>
                      </wp:positionH>
                      <wp:positionV relativeFrom="paragraph">
                        <wp:posOffset>19685</wp:posOffset>
                      </wp:positionV>
                      <wp:extent cx="95250" cy="104775"/>
                      <wp:effectExtent l="0" t="0" r="19050" b="28575"/>
                      <wp:wrapNone/>
                      <wp:docPr id="287" name="Rectangle 287"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C"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CC" id="Rectangle 287" o:spid="_x0000_s1093" alt="Title: Rectangle - Description: Rectangle coloured orange" style="position:absolute;margin-left:-5.15pt;margin-top:1.55pt;width:7.5pt;height:8.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" fillcolor="#ffc000" strokecolor="black [3213]" strokeweight="1pt">
                      <v:textbox>
                        <w:txbxContent>
                          <w:p w14:paraId="57620D3C" w14:textId="77777777" w:rsidR="008B5998" w:rsidRDefault="008B5998" w:rsidP="00BB6AD5">
                            <w:pPr>
                              <w:jc w:val="center"/>
                            </w:pPr>
                          </w:p>
                        </w:txbxContent>
                      </v:textbox>
                    </v:rect>
                  </w:pict>
                </mc:Fallback>
              </mc:AlternateContent>
            </w:r>
            <w:r>
              <w:rPr>
                <w:sz w:val="16"/>
                <w:szCs w:val="16"/>
              </w:rPr>
              <w:t>;</w:t>
            </w:r>
          </w:p>
        </w:tc>
        <w:tc>
          <w:tcPr>
            <w:tcW w:w="1141" w:type="dxa"/>
            <w:hideMark/>
          </w:tcPr>
          <w:p w14:paraId="5761D623" w14:textId="77777777" w:rsidR="00A56EE9" w:rsidRDefault="00A56EE9">
            <w:pPr>
              <w:rPr>
                <w:sz w:val="16"/>
                <w:szCs w:val="16"/>
              </w:rPr>
            </w:pPr>
            <w:r>
              <w:rPr>
                <w:sz w:val="16"/>
                <w:szCs w:val="16"/>
              </w:rPr>
              <w:t>Ineffective (I)</w:t>
            </w:r>
          </w:p>
        </w:tc>
        <w:tc>
          <w:tcPr>
            <w:tcW w:w="261" w:type="dxa"/>
            <w:hideMark/>
          </w:tcPr>
          <w:p w14:paraId="5761D624" w14:textId="77777777" w:rsidR="00A56EE9" w:rsidRDefault="00A56EE9">
            <w:pPr>
              <w:rPr>
                <w:sz w:val="16"/>
                <w:szCs w:val="16"/>
              </w:rPr>
            </w:pPr>
            <w:r>
              <w:rPr>
                <w:noProof/>
              </w:rPr>
              <mc:AlternateContent>
                <mc:Choice Requires="wps">
                  <w:drawing>
                    <wp:anchor distT="0" distB="0" distL="114300" distR="114300" simplePos="0" relativeHeight="251735040" behindDoc="0" locked="0" layoutInCell="1" allowOverlap="1" wp14:anchorId="57620CCE" wp14:editId="57620CCF">
                      <wp:simplePos x="0" y="0"/>
                      <wp:positionH relativeFrom="column">
                        <wp:posOffset>-50165</wp:posOffset>
                      </wp:positionH>
                      <wp:positionV relativeFrom="paragraph">
                        <wp:posOffset>24130</wp:posOffset>
                      </wp:positionV>
                      <wp:extent cx="95250" cy="104775"/>
                      <wp:effectExtent l="0" t="0" r="19050" b="28575"/>
                      <wp:wrapNone/>
                      <wp:docPr id="286" name="Rectangle 286"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20D3D"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CE" id="Rectangle 286" o:spid="_x0000_s1094" alt="Title: Rectangle - Description: Rectangle coloured red" style="position:absolute;margin-left:-3.95pt;margin-top:1.9pt;width:7.5pt;height:8.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" fillcolor="red" strokecolor="black [3213]" strokeweight="1pt">
                      <v:textbox>
                        <w:txbxContent>
                          <w:p w14:paraId="57620D3D" w14:textId="77777777" w:rsidR="008B5998" w:rsidRDefault="008B5998" w:rsidP="00BB6AD5">
                            <w:pPr>
                              <w:jc w:val="center"/>
                            </w:pPr>
                          </w:p>
                        </w:txbxContent>
                      </v:textbox>
                    </v:rect>
                  </w:pict>
                </mc:Fallback>
              </mc:AlternateContent>
            </w:r>
            <w:r>
              <w:rPr>
                <w:sz w:val="16"/>
                <w:szCs w:val="16"/>
              </w:rPr>
              <w:t>;</w:t>
            </w:r>
          </w:p>
        </w:tc>
      </w:tr>
    </w:tbl>
    <w:p w14:paraId="5761D626" w14:textId="77777777" w:rsidR="00A56EE9" w:rsidRDefault="00A56EE9" w:rsidP="00BB6AD5">
      <w:pPr>
        <w:spacing w:after="0" w:line="240" w:lineRule="auto"/>
        <w:rPr>
          <w:sz w:val="16"/>
          <w:szCs w:val="16"/>
        </w:rPr>
      </w:pPr>
      <w:r>
        <w:rPr>
          <w:sz w:val="16"/>
          <w:szCs w:val="16"/>
        </w:rPr>
        <w:t>Trends are indicated by arrows:</w:t>
      </w:r>
    </w:p>
    <w:p w14:paraId="5761D627" w14:textId="77777777" w:rsidR="00A56EE9" w:rsidRDefault="00A56EE9" w:rsidP="00BB6AD5">
      <w:pPr>
        <w:ind w:left="852"/>
        <w:contextualSpacing/>
        <w:rPr>
          <w:sz w:val="24"/>
          <w:szCs w:val="24"/>
        </w:rPr>
      </w:pPr>
      <w:r>
        <w:rPr>
          <w:rFonts w:ascii="Cambria Math" w:hAnsi="Cambria Math" w:cs="Cambria Math"/>
        </w:rPr>
        <w:t>⬆</w:t>
      </w:r>
      <w:r>
        <w:tab/>
      </w:r>
      <w:r>
        <w:rPr>
          <w:sz w:val="16"/>
          <w:szCs w:val="16"/>
        </w:rPr>
        <w:t>Trend since 2014 has been an upwards change in grade</w:t>
      </w:r>
    </w:p>
    <w:p w14:paraId="5761D628" w14:textId="77777777" w:rsidR="00A56EE9" w:rsidRDefault="00A56EE9" w:rsidP="00BB6AD5">
      <w:pPr>
        <w:ind w:left="852"/>
        <w:contextualSpacing/>
        <w:rPr>
          <w:b/>
        </w:rPr>
      </w:pPr>
      <w:r>
        <w:rPr>
          <w:rFonts w:ascii="Cambria Math" w:hAnsi="Cambria Math" w:cs="Cambria Math"/>
          <w:b/>
        </w:rPr>
        <w:t>↗</w:t>
      </w:r>
      <w:r>
        <w:rPr>
          <w:b/>
        </w:rPr>
        <w:tab/>
      </w:r>
      <w:r>
        <w:rPr>
          <w:sz w:val="16"/>
          <w:szCs w:val="16"/>
        </w:rPr>
        <w:t>Trend since 2014 is increasing but has not caused an upwards grade change</w:t>
      </w:r>
    </w:p>
    <w:p w14:paraId="5761D629" w14:textId="77777777" w:rsidR="00A56EE9" w:rsidRDefault="00A56EE9" w:rsidP="00BB6AD5">
      <w:pPr>
        <w:ind w:left="852"/>
        <w:contextualSpacing/>
      </w:pPr>
      <w:r>
        <w:rPr>
          <w:rFonts w:ascii="Cambria Math" w:hAnsi="Cambria Math" w:cs="Cambria Math"/>
          <w:b/>
        </w:rPr>
        <w:t>↔</w:t>
      </w:r>
      <w:r>
        <w:tab/>
      </w:r>
      <w:r>
        <w:rPr>
          <w:sz w:val="16"/>
          <w:szCs w:val="16"/>
        </w:rPr>
        <w:t>Grade has remained stable compared to 2014, with no major trends</w:t>
      </w:r>
      <w:r>
        <w:t xml:space="preserve"> </w:t>
      </w:r>
    </w:p>
    <w:p w14:paraId="5761D62A" w14:textId="77777777" w:rsidR="00A56EE9" w:rsidRDefault="00A56EE9" w:rsidP="00BB6AD5">
      <w:pPr>
        <w:ind w:left="852"/>
        <w:contextualSpacing/>
      </w:pPr>
      <w:r>
        <w:rPr>
          <w:rFonts w:ascii="Cambria Math" w:hAnsi="Cambria Math" w:cs="Cambria Math"/>
          <w:b/>
        </w:rPr>
        <w:t>↘</w:t>
      </w:r>
      <w:r>
        <w:rPr>
          <w:b/>
        </w:rPr>
        <w:tab/>
      </w:r>
      <w:r>
        <w:rPr>
          <w:sz w:val="16"/>
          <w:szCs w:val="16"/>
        </w:rPr>
        <w:t xml:space="preserve">Trend since 2014 is decreasing but has not caused a downwards grade change </w:t>
      </w:r>
    </w:p>
    <w:p w14:paraId="5761D62B" w14:textId="77777777" w:rsidR="00A56EE9" w:rsidRDefault="00A56EE9" w:rsidP="00BB6AD5">
      <w:pPr>
        <w:ind w:left="852"/>
        <w:contextualSpacing/>
        <w:rPr>
          <w:sz w:val="16"/>
          <w:szCs w:val="16"/>
        </w:rPr>
      </w:pPr>
      <w:r>
        <w:rPr>
          <w:rFonts w:ascii="Cambria Math" w:hAnsi="Cambria Math" w:cs="Cambria Math"/>
        </w:rPr>
        <w:t>⬇</w:t>
      </w:r>
      <w:r>
        <w:tab/>
      </w:r>
      <w:r>
        <w:rPr>
          <w:sz w:val="16"/>
          <w:szCs w:val="16"/>
        </w:rPr>
        <w:t>Trend since 2014 has been a downwards change in grade</w:t>
      </w:r>
    </w:p>
    <w:p w14:paraId="5761D62D" w14:textId="77777777" w:rsidR="00A56EE9" w:rsidRDefault="00A56EE9">
      <w:pPr>
        <w:rPr>
          <w:rFonts w:ascii="Segoe UI" w:eastAsiaTheme="majorEastAsia" w:hAnsi="Segoe UI" w:cstheme="majorBidi"/>
          <w:b/>
          <w:color w:val="2F5496" w:themeColor="accent1" w:themeShade="BF"/>
          <w:sz w:val="26"/>
          <w:szCs w:val="26"/>
        </w:rPr>
      </w:pPr>
      <w:r>
        <w:br w:type="page"/>
      </w:r>
    </w:p>
    <w:p w14:paraId="5761D62E" w14:textId="77777777" w:rsidR="00A56EE9" w:rsidRDefault="00A56EE9" w:rsidP="00A11869">
      <w:pPr>
        <w:pStyle w:val="Heading2"/>
        <w:numPr>
          <w:ilvl w:val="1"/>
          <w:numId w:val="17"/>
        </w:numPr>
        <w:ind w:left="357" w:hanging="357"/>
      </w:pPr>
      <w:bookmarkStart w:id="142" w:name="_Toc523423796"/>
      <w:r w:rsidRPr="00317FF4">
        <w:t>Context</w:t>
      </w:r>
      <w:bookmarkEnd w:id="142"/>
    </w:p>
    <w:p w14:paraId="5761D62F" w14:textId="02FE4501" w:rsidR="00A56EE9" w:rsidRPr="00950007" w:rsidRDefault="00A56EE9" w:rsidP="00E3690C">
      <w:pPr>
        <w:spacing w:line="276" w:lineRule="auto"/>
        <w:rPr>
          <w:rFonts w:ascii="Times New Roman" w:eastAsia="Times New Roman" w:hAnsi="Times New Roman" w:cs="Times New Roman"/>
          <w:sz w:val="24"/>
          <w:szCs w:val="24"/>
        </w:rPr>
      </w:pPr>
      <w:r w:rsidRPr="009B066B">
        <w:t>Context</w:t>
      </w:r>
      <w:r w:rsidRPr="00950007">
        <w:rPr>
          <w:b/>
        </w:rPr>
        <w:t xml:space="preserve"> </w:t>
      </w:r>
      <w:r w:rsidRPr="00B633F0">
        <w:t>is the strongest management effectiveness element across the topic</w:t>
      </w:r>
      <w:r>
        <w:t xml:space="preserve">s, with all assessed as either </w:t>
      </w:r>
      <w:r w:rsidRPr="00D07110">
        <w:rPr>
          <w:i/>
        </w:rPr>
        <w:t>effective</w:t>
      </w:r>
      <w:r>
        <w:t xml:space="preserve"> (eight topics) or </w:t>
      </w:r>
      <w:r w:rsidRPr="00D07110">
        <w:rPr>
          <w:i/>
        </w:rPr>
        <w:t>mostly effective</w:t>
      </w:r>
      <w:r w:rsidRPr="00B633F0">
        <w:t xml:space="preserve"> (six topics). This element has mostly been stable since the Outlook </w:t>
      </w:r>
      <w:r>
        <w:t>R</w:t>
      </w:r>
      <w:r w:rsidRPr="00B633F0">
        <w:t xml:space="preserve">eport 2014 but has improved in relation to management of Ports and Shipping. Context has declined for Biodiversity primarily because of the increased uncertainty about condition and trend of biodiversity </w:t>
      </w:r>
      <w:r>
        <w:t xml:space="preserve">values </w:t>
      </w:r>
      <w:r w:rsidRPr="00B633F0">
        <w:t xml:space="preserve">following the back-to-back bleaching events of 2016 and 2017. </w:t>
      </w:r>
      <w:r w:rsidRPr="00950007">
        <w:t xml:space="preserve">Context </w:t>
      </w:r>
      <w:r>
        <w:t xml:space="preserve">for TUMRs </w:t>
      </w:r>
      <w:r w:rsidRPr="00950007">
        <w:t xml:space="preserve">has </w:t>
      </w:r>
      <w:r>
        <w:t xml:space="preserve">also </w:t>
      </w:r>
      <w:r w:rsidRPr="00950007">
        <w:t>declined due to the challenges of understanding threats, impacts and current status of the relevant values in times of rapid change, especially due to the impacts of coral bleaching, cyclones and climate change.</w:t>
      </w:r>
    </w:p>
    <w:p w14:paraId="5761D630" w14:textId="6FA9EA03" w:rsidR="00A56EE9" w:rsidRPr="00B633F0" w:rsidRDefault="00A56EE9" w:rsidP="00E3690C">
      <w:pPr>
        <w:spacing w:line="276" w:lineRule="auto"/>
      </w:pPr>
      <w:r w:rsidRPr="00B633F0">
        <w:t>Understanding of values, direct and indirect threats, and stakeholders is generally strong.</w:t>
      </w:r>
      <w:r w:rsidR="00242993">
        <w:t xml:space="preserve"> </w:t>
      </w:r>
      <w:r w:rsidRPr="00B633F0">
        <w:t xml:space="preserve">Understanding of cumulative and consequential impacts </w:t>
      </w:r>
      <w:r>
        <w:t>has</w:t>
      </w:r>
      <w:r w:rsidRPr="00B633F0">
        <w:t xml:space="preserve"> been affected for those aspects relating to biodiversity</w:t>
      </w:r>
      <w:r>
        <w:t>, ecosystem health</w:t>
      </w:r>
      <w:r w:rsidRPr="00B633F0">
        <w:t xml:space="preserve"> and environmental conditions. These aspects had been effectively documented through the Outlook process and the strategic assessment reports but are now less well understood as a consequence of the bleaching events</w:t>
      </w:r>
      <w:r>
        <w:t xml:space="preserve"> and other cumulative pressures such as cyclones and starfish predation.</w:t>
      </w:r>
      <w:r w:rsidRPr="00B633F0">
        <w:t xml:space="preserve"> </w:t>
      </w:r>
    </w:p>
    <w:p w14:paraId="5761D631" w14:textId="77777777" w:rsidR="00A56EE9" w:rsidRPr="00B633F0" w:rsidRDefault="00A56EE9" w:rsidP="00E3690C">
      <w:pPr>
        <w:spacing w:line="276" w:lineRule="auto"/>
      </w:pPr>
      <w:r w:rsidRPr="00B633F0">
        <w:t xml:space="preserve">Tourism, Defence activities, Shipping, Recreation, Research activities, and Land-based run-off </w:t>
      </w:r>
      <w:r>
        <w:t>are</w:t>
      </w:r>
      <w:r w:rsidRPr="00B633F0">
        <w:t xml:space="preserve"> well understood. In general, the strong scores for Context reflect a solid information and research base and a very mature understanding of the key values of the </w:t>
      </w:r>
      <w:r>
        <w:t>Region</w:t>
      </w:r>
      <w:r w:rsidRPr="00B633F0">
        <w:t xml:space="preserve"> in a national and international context, and of the direct and indirect threats to those values. Understanding of stakeholders</w:t>
      </w:r>
      <w:r>
        <w:t>, a specific element of context, was</w:t>
      </w:r>
      <w:r w:rsidRPr="00B633F0">
        <w:t xml:space="preserve"> </w:t>
      </w:r>
      <w:r>
        <w:t>consistently strong (</w:t>
      </w:r>
      <w:r w:rsidRPr="00D07110">
        <w:rPr>
          <w:i/>
        </w:rPr>
        <w:t>effective</w:t>
      </w:r>
      <w:r w:rsidRPr="00B633F0">
        <w:t>) across all 14 topics.</w:t>
      </w:r>
    </w:p>
    <w:p w14:paraId="5761D632" w14:textId="77777777" w:rsidR="00A56EE9" w:rsidRDefault="00A56EE9" w:rsidP="00A11869">
      <w:pPr>
        <w:pStyle w:val="Heading2"/>
        <w:numPr>
          <w:ilvl w:val="1"/>
          <w:numId w:val="17"/>
        </w:numPr>
        <w:ind w:left="357" w:hanging="357"/>
      </w:pPr>
      <w:bookmarkStart w:id="143" w:name="_Toc523423797"/>
      <w:r>
        <w:t>Planning</w:t>
      </w:r>
      <w:bookmarkEnd w:id="143"/>
    </w:p>
    <w:p w14:paraId="5761D633" w14:textId="5FFB06E6" w:rsidR="00A56EE9" w:rsidRPr="00D27653" w:rsidRDefault="00A56EE9" w:rsidP="00E3690C">
      <w:pPr>
        <w:spacing w:line="276" w:lineRule="auto"/>
        <w:rPr>
          <w:rFonts w:ascii="Times New Roman" w:hAnsi="Times New Roman"/>
        </w:rPr>
      </w:pPr>
      <w:r w:rsidRPr="00B633F0">
        <w:t xml:space="preserve">Significant efforts have been made in </w:t>
      </w:r>
      <w:r w:rsidRPr="009B066B">
        <w:t>planning</w:t>
      </w:r>
      <w:r w:rsidRPr="00242993">
        <w:t xml:space="preserve"> </w:t>
      </w:r>
      <w:r w:rsidRPr="00B633F0">
        <w:t xml:space="preserve">since </w:t>
      </w:r>
      <w:r>
        <w:t xml:space="preserve">the Outlook Report 2014 and 2009 </w:t>
      </w:r>
      <w:r w:rsidRPr="00B633F0">
        <w:t>for a number of topics su</w:t>
      </w:r>
      <w:r>
        <w:t>ch as Ports, Fishing, Shipping and Coastal development</w:t>
      </w:r>
      <w:r w:rsidRPr="00B633F0">
        <w:t>. The</w:t>
      </w:r>
      <w:r>
        <w:t xml:space="preserve"> </w:t>
      </w:r>
      <w:r w:rsidRPr="00D27653">
        <w:rPr>
          <w:i/>
        </w:rPr>
        <w:t>Great Barrier Reef Region Strategic Assessment: Program report</w:t>
      </w:r>
      <w:r>
        <w:t xml:space="preserve">, (GBRMPA 2014e), </w:t>
      </w:r>
      <w:r w:rsidRPr="00B633F0">
        <w:t xml:space="preserve">that accompanied the </w:t>
      </w:r>
      <w:r>
        <w:t xml:space="preserve">Great Barrier Reef </w:t>
      </w:r>
      <w:r w:rsidRPr="00B633F0">
        <w:t>Strategic Assessment</w:t>
      </w:r>
      <w:r>
        <w:t>,</w:t>
      </w:r>
      <w:r w:rsidRPr="00B633F0">
        <w:t xml:space="preserve"> and the Reef 2050 Plan provide overarching </w:t>
      </w:r>
      <w:r>
        <w:t>strategies</w:t>
      </w:r>
      <w:r w:rsidRPr="00B633F0">
        <w:t xml:space="preserve"> for management of the Region in the face of the serious challenges facing the system. The Reef 2050 Plan is a cross-jurisdictional plan endorsed at Australian and Queensland government level. It has, however been criticised for not explicitly addressing climate change </w:t>
      </w:r>
      <w:r>
        <w:t>through s</w:t>
      </w:r>
      <w:r w:rsidRPr="00B633F0">
        <w:t xml:space="preserve">etting objectives and targets for </w:t>
      </w:r>
      <w:r>
        <w:t>this pressure</w:t>
      </w:r>
      <w:r w:rsidRPr="00B633F0">
        <w:t xml:space="preserve">. This deficiency </w:t>
      </w:r>
      <w:r>
        <w:t>was</w:t>
      </w:r>
      <w:r w:rsidRPr="00B633F0">
        <w:t xml:space="preserve"> partially addressed through </w:t>
      </w:r>
      <w:r>
        <w:t>fast-tracking</w:t>
      </w:r>
      <w:r w:rsidRPr="00B633F0">
        <w:t xml:space="preserve"> the mid-term review of the Reef 2050 Plan</w:t>
      </w:r>
      <w:r>
        <w:t xml:space="preserve"> with a revised version of the Reef 2050 Plan completed in July 2018 (</w:t>
      </w:r>
      <w:r w:rsidR="00C70E92">
        <w:t>Commonwealth of Australia</w:t>
      </w:r>
      <w:r>
        <w:t xml:space="preserve"> 2018)</w:t>
      </w:r>
      <w:r w:rsidRPr="00B633F0">
        <w:t xml:space="preserve">. Planning effectiveness </w:t>
      </w:r>
      <w:r>
        <w:t xml:space="preserve">has </w:t>
      </w:r>
      <w:r w:rsidRPr="00B633F0">
        <w:t xml:space="preserve">continued to decline in relation to Climate </w:t>
      </w:r>
      <w:r>
        <w:t>c</w:t>
      </w:r>
      <w:r w:rsidRPr="00B633F0">
        <w:t>hange</w:t>
      </w:r>
      <w:r>
        <w:t>. This is</w:t>
      </w:r>
      <w:r w:rsidRPr="00B633F0">
        <w:t xml:space="preserve"> principally as a result of de-funding of the </w:t>
      </w:r>
      <w:r w:rsidRPr="00D27653">
        <w:t>Climate Change Action Plan</w:t>
      </w:r>
      <w:r w:rsidRPr="00B633F0">
        <w:t xml:space="preserve"> as well as changing policy and a lack of clarity about future directions in climate change policy</w:t>
      </w:r>
      <w:r>
        <w:t>, although recent climate change planning in Queensland and inclusion of climate change considerations in the Reef 2050 Plan will likely improve this in future</w:t>
      </w:r>
      <w:r w:rsidRPr="00B633F0">
        <w:t xml:space="preserve">. In the case of Coastal </w:t>
      </w:r>
      <w:r>
        <w:t>d</w:t>
      </w:r>
      <w:r w:rsidRPr="00B633F0">
        <w:t xml:space="preserve">evelopment, the </w:t>
      </w:r>
      <w:r w:rsidRPr="00D27653">
        <w:t>Coastal Ecosystems Assessment Framework</w:t>
      </w:r>
      <w:r w:rsidR="00242993">
        <w:t xml:space="preserve"> </w:t>
      </w:r>
      <w:r>
        <w:t xml:space="preserve">continues to be effective and useful given it continues to inform natural resource management actions on-ground. Recent </w:t>
      </w:r>
      <w:r w:rsidRPr="00B633F0">
        <w:t>refinement and developmen</w:t>
      </w:r>
      <w:r>
        <w:t>t of the State Planning Policy</w:t>
      </w:r>
      <w:r w:rsidRPr="00B633F0">
        <w:t xml:space="preserve"> and guidelines relating to coastal development has been very positive. </w:t>
      </w:r>
      <w:r>
        <w:t>Although progress has been made, the l</w:t>
      </w:r>
      <w:r w:rsidRPr="00B633F0">
        <w:t xml:space="preserve">ack of systems to ensure adequate monitoring is the weakest aspect of planning overall. </w:t>
      </w:r>
    </w:p>
    <w:p w14:paraId="5761D634" w14:textId="77777777" w:rsidR="00A56EE9" w:rsidRDefault="00A56EE9" w:rsidP="00A11869">
      <w:pPr>
        <w:pStyle w:val="Heading2"/>
        <w:numPr>
          <w:ilvl w:val="1"/>
          <w:numId w:val="17"/>
        </w:numPr>
        <w:ind w:left="357" w:hanging="357"/>
      </w:pPr>
      <w:bookmarkStart w:id="144" w:name="_Toc523423798"/>
      <w:r>
        <w:t>Inputs</w:t>
      </w:r>
      <w:bookmarkEnd w:id="144"/>
    </w:p>
    <w:p w14:paraId="5761D635" w14:textId="510869B1" w:rsidR="00A56EE9" w:rsidRPr="00B633F0" w:rsidRDefault="00A56EE9" w:rsidP="00E3690C">
      <w:pPr>
        <w:spacing w:line="276" w:lineRule="auto"/>
      </w:pPr>
      <w:r w:rsidRPr="00B633F0">
        <w:t xml:space="preserve">Adequacy of </w:t>
      </w:r>
      <w:r w:rsidRPr="009B066B">
        <w:t>inputs</w:t>
      </w:r>
      <w:r w:rsidRPr="00B633F0">
        <w:t xml:space="preserve"> is variable across management topics, being least effective for Climate Change. The adequacy </w:t>
      </w:r>
      <w:r>
        <w:t xml:space="preserve">and application </w:t>
      </w:r>
      <w:r w:rsidRPr="00B633F0">
        <w:t xml:space="preserve">of Indigenous heritage and historic heritage knowledge </w:t>
      </w:r>
      <w:r>
        <w:t xml:space="preserve">in the Region </w:t>
      </w:r>
      <w:r w:rsidRPr="00B633F0">
        <w:t xml:space="preserve">is a problem for most topics. Secure resourcing (both funding and staff resources) </w:t>
      </w:r>
      <w:r w:rsidR="00BF07EE">
        <w:t>was</w:t>
      </w:r>
      <w:r w:rsidRPr="00B633F0">
        <w:t xml:space="preserve"> a significant problem for many management topics</w:t>
      </w:r>
      <w:r w:rsidR="00BF07EE">
        <w:t xml:space="preserve"> in the early part of the </w:t>
      </w:r>
      <w:r w:rsidR="003D2E3F">
        <w:t xml:space="preserve">Outlook </w:t>
      </w:r>
      <w:r w:rsidR="00BF07EE">
        <w:t>reporting period.</w:t>
      </w:r>
      <w:r w:rsidRPr="00B633F0">
        <w:t xml:space="preserve"> </w:t>
      </w:r>
      <w:r w:rsidR="00BF07EE">
        <w:t>However significant increases in funding were provided in 2018 for the Field Management Program and the stabilisation of resources for the Marine Park Authority</w:t>
      </w:r>
      <w:r w:rsidR="00C74B5F">
        <w:t xml:space="preserve"> has occurred</w:t>
      </w:r>
      <w:r w:rsidR="00BF07EE">
        <w:t xml:space="preserve">. </w:t>
      </w:r>
      <w:r w:rsidRPr="00B633F0">
        <w:t xml:space="preserve">The adequacy of staff numbers to address topics was the third weakest indicator overall, and inputs generally (apart from availability of non-government inputs such as volunteers) were in the lower half of the distribution of indicator scores across topics. Loss of experienced staff and their corporate knowledge and expertise has been an issue both in the Marine Park Authority and the Queensland Government. Just prior to </w:t>
      </w:r>
      <w:r>
        <w:t xml:space="preserve">the </w:t>
      </w:r>
      <w:r w:rsidRPr="00B633F0">
        <w:t xml:space="preserve">Outlook </w:t>
      </w:r>
      <w:r>
        <w:t xml:space="preserve">Report </w:t>
      </w:r>
      <w:r w:rsidRPr="00B633F0">
        <w:t xml:space="preserve">2014, the Queensland Government had substantially reduced </w:t>
      </w:r>
      <w:r>
        <w:t>positions in the public service</w:t>
      </w:r>
      <w:r w:rsidRPr="00B633F0">
        <w:t xml:space="preserve">. </w:t>
      </w:r>
      <w:r w:rsidR="00C74B5F">
        <w:t xml:space="preserve">While staffing numbers in the Queensland Government have increased overall, especially in relation to the implementation of the Reef 2050 Plan, there is now a cap on staff numbers. </w:t>
      </w:r>
      <w:r>
        <w:t>S</w:t>
      </w:r>
      <w:r w:rsidRPr="00B633F0">
        <w:t xml:space="preserve">taffing caps </w:t>
      </w:r>
      <w:r>
        <w:t>within the Au</w:t>
      </w:r>
      <w:r w:rsidR="00242993">
        <w:t>s</w:t>
      </w:r>
      <w:r>
        <w:t xml:space="preserve">tralian Government </w:t>
      </w:r>
      <w:r w:rsidRPr="00B633F0">
        <w:t xml:space="preserve">have </w:t>
      </w:r>
      <w:r w:rsidR="00C74B5F">
        <w:t xml:space="preserve">also </w:t>
      </w:r>
      <w:r w:rsidRPr="00B633F0">
        <w:t xml:space="preserve">impacted on </w:t>
      </w:r>
      <w:r w:rsidR="00A076DD">
        <w:t xml:space="preserve">management of </w:t>
      </w:r>
      <w:r>
        <w:t xml:space="preserve">the </w:t>
      </w:r>
      <w:r w:rsidRPr="00B633F0">
        <w:t>Marine Park</w:t>
      </w:r>
      <w:r w:rsidR="00C74B5F">
        <w:t xml:space="preserve"> </w:t>
      </w:r>
      <w:r w:rsidRPr="00B633F0">
        <w:t>with a round of voluntary redundancies in 2014 leading to 17 staff departing; 13 at Manager and Director level (Executive Levels 1 and 2)</w:t>
      </w:r>
      <w:r w:rsidR="00C74B5F">
        <w:t xml:space="preserve"> resulting in a loss of corporate knowledge</w:t>
      </w:r>
      <w:r w:rsidRPr="00B633F0">
        <w:t xml:space="preserve">. Overall staff inputs at Marine Park Authority have </w:t>
      </w:r>
      <w:r>
        <w:t xml:space="preserve">declined </w:t>
      </w:r>
      <w:r w:rsidRPr="00B633F0">
        <w:t>most sharply for Climate change, Fishing, Coastal ecosystems, Indigenous heritage through redundancies, staff departures and redeployments within Marine Park Authority. Staff inputs have risen most strongly since 2014 for Biodive</w:t>
      </w:r>
      <w:r>
        <w:t>rsity management and Community b</w:t>
      </w:r>
      <w:r w:rsidRPr="00B633F0">
        <w:t>enefits.</w:t>
      </w:r>
    </w:p>
    <w:p w14:paraId="5761D636" w14:textId="77777777" w:rsidR="00A56EE9" w:rsidRDefault="00A56EE9" w:rsidP="00A11869">
      <w:pPr>
        <w:pStyle w:val="Heading2"/>
        <w:numPr>
          <w:ilvl w:val="1"/>
          <w:numId w:val="17"/>
        </w:numPr>
        <w:ind w:left="357" w:hanging="357"/>
      </w:pPr>
      <w:bookmarkStart w:id="145" w:name="_Toc523423799"/>
      <w:r>
        <w:t>Process</w:t>
      </w:r>
      <w:bookmarkEnd w:id="145"/>
    </w:p>
    <w:p w14:paraId="5761D637" w14:textId="07D5A248" w:rsidR="00A56EE9" w:rsidRPr="000E2260" w:rsidRDefault="00A56EE9" w:rsidP="00E3690C">
      <w:pPr>
        <w:spacing w:line="276" w:lineRule="auto"/>
      </w:pPr>
      <w:r w:rsidRPr="00B633F0">
        <w:t xml:space="preserve">Management </w:t>
      </w:r>
      <w:r w:rsidRPr="00C74B5F">
        <w:t>processes</w:t>
      </w:r>
      <w:r w:rsidRPr="00242993">
        <w:t xml:space="preserve"> </w:t>
      </w:r>
      <w:r w:rsidRPr="00B633F0">
        <w:t>are particularly strong for Defence activities, management of Land-based run-off, Shipping and Research</w:t>
      </w:r>
      <w:r>
        <w:t xml:space="preserve"> activities. They are weakest for Climate c</w:t>
      </w:r>
      <w:r w:rsidRPr="00B633F0">
        <w:t>hange. Stakeholder and community engagement and application of biophysical information are the strongest aspects of management across all topics. Governance is generall</w:t>
      </w:r>
      <w:r>
        <w:t>y strong, but weak for Climate c</w:t>
      </w:r>
      <w:r w:rsidRPr="00B633F0">
        <w:t>hange. The application of socio-economic and heritage knowledge, and setting of targets to benchmark performance are problematic for many topics</w:t>
      </w:r>
      <w:r w:rsidRPr="000E2260">
        <w:t>.</w:t>
      </w:r>
      <w:r w:rsidR="00242993">
        <w:t xml:space="preserve"> </w:t>
      </w:r>
    </w:p>
    <w:p w14:paraId="5761D638" w14:textId="77777777" w:rsidR="00A56EE9" w:rsidRDefault="00A56EE9" w:rsidP="00A11869">
      <w:pPr>
        <w:pStyle w:val="Heading2"/>
        <w:numPr>
          <w:ilvl w:val="1"/>
          <w:numId w:val="17"/>
        </w:numPr>
        <w:ind w:left="357" w:hanging="357"/>
      </w:pPr>
      <w:bookmarkStart w:id="146" w:name="_Toc523423800"/>
      <w:r>
        <w:t>Outputs</w:t>
      </w:r>
      <w:bookmarkEnd w:id="146"/>
    </w:p>
    <w:p w14:paraId="5761D639" w14:textId="77777777" w:rsidR="00A56EE9" w:rsidRPr="00B633F0" w:rsidRDefault="00A56EE9" w:rsidP="00E3690C">
      <w:pPr>
        <w:spacing w:line="276" w:lineRule="auto"/>
      </w:pPr>
      <w:r w:rsidRPr="00B633F0">
        <w:t>Delivery o</w:t>
      </w:r>
      <w:r>
        <w:t xml:space="preserve">f desired </w:t>
      </w:r>
      <w:r w:rsidRPr="00C74B5F">
        <w:t>outputs</w:t>
      </w:r>
      <w:r>
        <w:t xml:space="preserve"> was rated as </w:t>
      </w:r>
      <w:r w:rsidRPr="00D07110">
        <w:rPr>
          <w:i/>
        </w:rPr>
        <w:t>effective</w:t>
      </w:r>
      <w:r w:rsidRPr="00B633F0">
        <w:t xml:space="preserve"> or </w:t>
      </w:r>
      <w:r w:rsidRPr="00D07110">
        <w:rPr>
          <w:i/>
        </w:rPr>
        <w:t>mostly effective</w:t>
      </w:r>
      <w:r>
        <w:t xml:space="preserve"> for all topics except Climate change (</w:t>
      </w:r>
      <w:r w:rsidRPr="00D07110">
        <w:rPr>
          <w:i/>
        </w:rPr>
        <w:t>ineffective</w:t>
      </w:r>
      <w:r>
        <w:t>) and Recreation (</w:t>
      </w:r>
      <w:r w:rsidRPr="00D07110">
        <w:rPr>
          <w:i/>
        </w:rPr>
        <w:t>partially effective</w:t>
      </w:r>
      <w:r w:rsidRPr="00B633F0">
        <w:t xml:space="preserve">). They are strongest in relation to Defence, </w:t>
      </w:r>
      <w:r>
        <w:t>Commercial m</w:t>
      </w:r>
      <w:r w:rsidRPr="00B633F0">
        <w:t xml:space="preserve">arine tourism, Research activities and Traditional Use of Marine Resources. The knowledge base of the management agencies and community has consistently improved. While most management programs are progressing satisfactorily, it is not yet clear that the programs are achieving all their desired objectives. </w:t>
      </w:r>
    </w:p>
    <w:p w14:paraId="5761D63A" w14:textId="77777777" w:rsidR="00A56EE9" w:rsidRDefault="00A56EE9" w:rsidP="00A11869">
      <w:pPr>
        <w:pStyle w:val="Heading2"/>
        <w:numPr>
          <w:ilvl w:val="1"/>
          <w:numId w:val="17"/>
        </w:numPr>
        <w:ind w:left="357" w:hanging="357"/>
      </w:pPr>
      <w:bookmarkStart w:id="147" w:name="_Toc523423801"/>
      <w:r>
        <w:t>Outcomes</w:t>
      </w:r>
      <w:bookmarkEnd w:id="147"/>
    </w:p>
    <w:p w14:paraId="5761D63B" w14:textId="2BA5FE21" w:rsidR="00A56EE9" w:rsidRPr="00B633F0" w:rsidRDefault="00A56EE9" w:rsidP="00E3690C">
      <w:pPr>
        <w:spacing w:line="276" w:lineRule="auto"/>
      </w:pPr>
      <w:r w:rsidRPr="00B633F0">
        <w:t xml:space="preserve">Achievement of desired </w:t>
      </w:r>
      <w:r w:rsidRPr="00C74B5F">
        <w:t>outcomes</w:t>
      </w:r>
      <w:r w:rsidRPr="00B633F0">
        <w:t xml:space="preserve"> (values protected, threats reduced, </w:t>
      </w:r>
      <w:proofErr w:type="gramStart"/>
      <w:r w:rsidRPr="00B633F0">
        <w:t>long</w:t>
      </w:r>
      <w:proofErr w:type="gramEnd"/>
      <w:r w:rsidRPr="00B633F0">
        <w:t xml:space="preserve">-term environmental and economic sustainability) is highly variable across topics. Overall, </w:t>
      </w:r>
      <w:r w:rsidR="00706DA1">
        <w:t>o</w:t>
      </w:r>
      <w:r w:rsidR="00706DA1" w:rsidRPr="00B633F0">
        <w:t>utc</w:t>
      </w:r>
      <w:r w:rsidR="00706DA1">
        <w:t xml:space="preserve">omes </w:t>
      </w:r>
      <w:r>
        <w:t>are strong for Commercial marine t</w:t>
      </w:r>
      <w:r w:rsidRPr="00B633F0">
        <w:t xml:space="preserve">ourism, Defence, Ports, Research </w:t>
      </w:r>
      <w:r>
        <w:t>a</w:t>
      </w:r>
      <w:r w:rsidRPr="00B633F0">
        <w:t>ctivities, Shipping and Traditional Use of Marine Resources and weakest for Climate change. Biodiversity outcomes have declined</w:t>
      </w:r>
      <w:r>
        <w:t xml:space="preserve"> markedly from </w:t>
      </w:r>
      <w:r w:rsidRPr="00D07110">
        <w:rPr>
          <w:i/>
        </w:rPr>
        <w:t>mostly effective</w:t>
      </w:r>
      <w:r>
        <w:t xml:space="preserve"> to </w:t>
      </w:r>
      <w:r w:rsidRPr="00D07110">
        <w:rPr>
          <w:i/>
        </w:rPr>
        <w:t>ineffective</w:t>
      </w:r>
      <w:r w:rsidRPr="00B633F0">
        <w:t xml:space="preserve">, principally as a result of bleaching events in 2016 and 2017. Objectives in relation to community understanding of topics and development of effective partnerships are being achieved. Overall, the greatest concerns in relation to achievement of desired outcomes are for Climate change and Biodiversity, both of which are rated as </w:t>
      </w:r>
      <w:r w:rsidRPr="00D07110">
        <w:rPr>
          <w:i/>
        </w:rPr>
        <w:t>ineffective</w:t>
      </w:r>
      <w:r w:rsidRPr="00B633F0">
        <w:t xml:space="preserve"> in relation to environmental sustainability.</w:t>
      </w:r>
    </w:p>
    <w:p w14:paraId="5761D63C" w14:textId="77777777" w:rsidR="00A56EE9" w:rsidRDefault="00A56EE9">
      <w:r>
        <w:br w:type="page"/>
      </w:r>
    </w:p>
    <w:p w14:paraId="5761D63E" w14:textId="77777777" w:rsidR="00A56EE9" w:rsidRDefault="00A56EE9" w:rsidP="00A11869">
      <w:pPr>
        <w:pStyle w:val="Heading2"/>
        <w:numPr>
          <w:ilvl w:val="1"/>
          <w:numId w:val="17"/>
        </w:numPr>
        <w:ind w:left="357" w:hanging="357"/>
      </w:pPr>
      <w:bookmarkStart w:id="148" w:name="_Toc523423802"/>
      <w:r>
        <w:t>Overall Summary</w:t>
      </w:r>
      <w:bookmarkEnd w:id="148"/>
    </w:p>
    <w:p w14:paraId="5761D63F" w14:textId="77777777" w:rsidR="00A56EE9" w:rsidRPr="00C74B5F" w:rsidRDefault="00A56EE9" w:rsidP="00E3690C">
      <w:pPr>
        <w:pStyle w:val="Caption"/>
        <w:ind w:left="0"/>
        <w:rPr>
          <w:sz w:val="22"/>
        </w:rPr>
      </w:pPr>
      <w:r w:rsidRPr="00C74B5F">
        <w:rPr>
          <w:b w:val="0"/>
          <w:sz w:val="22"/>
        </w:rPr>
        <w:t xml:space="preserve">The table below (Table 20) summarises performance across the six elements of World Commission on Protected Areas management effectiveness framework, based on consideration of individual performance in each of the management topics. The grades are based on the grading statements in Appendix 2. </w:t>
      </w:r>
    </w:p>
    <w:p w14:paraId="5761D640" w14:textId="5F9EC074" w:rsidR="00A56EE9" w:rsidRDefault="00A56EE9" w:rsidP="00BB6AD5">
      <w:pPr>
        <w:pStyle w:val="Caption"/>
      </w:pPr>
      <w:bookmarkStart w:id="149" w:name="_Toc525654465"/>
      <w:r w:rsidRPr="002B5F80">
        <w:t xml:space="preserve">Table </w:t>
      </w:r>
      <w:r>
        <w:rPr>
          <w:noProof/>
        </w:rPr>
        <w:fldChar w:fldCharType="begin"/>
      </w:r>
      <w:r>
        <w:rPr>
          <w:noProof/>
        </w:rPr>
        <w:instrText xml:space="preserve"> SEQ Table \* ARABIC </w:instrText>
      </w:r>
      <w:r>
        <w:rPr>
          <w:noProof/>
        </w:rPr>
        <w:fldChar w:fldCharType="separate"/>
      </w:r>
      <w:r w:rsidR="00A4170C">
        <w:rPr>
          <w:noProof/>
        </w:rPr>
        <w:t>20</w:t>
      </w:r>
      <w:r>
        <w:rPr>
          <w:noProof/>
        </w:rPr>
        <w:fldChar w:fldCharType="end"/>
      </w:r>
      <w:r w:rsidRPr="002B5F80">
        <w:t xml:space="preserve"> </w:t>
      </w:r>
      <w:r>
        <w:t>S</w:t>
      </w:r>
      <w:r w:rsidRPr="009E036C">
        <w:t>ummary for the six elements of the management effectiveness framework, averaged over the 14 topics</w:t>
      </w:r>
      <w:bookmarkEnd w:id="149"/>
    </w:p>
    <w:tbl>
      <w:tblPr>
        <w:tblStyle w:val="TableGrid"/>
        <w:tblW w:w="5000" w:type="pct"/>
        <w:tblLook w:val="04A0" w:firstRow="1" w:lastRow="0" w:firstColumn="1" w:lastColumn="0" w:noHBand="0" w:noVBand="1"/>
        <w:tblCaption w:val="Table 20 Overall summary for the six elements of the management effectiveness framework, averaged over the 14 topics"/>
        <w:tblDescription w:val="Grades for the six management effectiveness elements&#10;Context:Mostly effective-declined&#10;Planning:Mostly effective-stable&#10;Inputs:Mostly effective-improved&#10;Processes:Mostly effective-stable&#10;Outputs:Mostly effective-stable&#10;Outcomes:Mostly effective-improved"/>
      </w:tblPr>
      <w:tblGrid>
        <w:gridCol w:w="1217"/>
        <w:gridCol w:w="1198"/>
        <w:gridCol w:w="6601"/>
      </w:tblGrid>
      <w:tr w:rsidR="00A56EE9" w14:paraId="5761D645" w14:textId="77777777" w:rsidTr="00BB6AD5">
        <w:trPr>
          <w:tblHeader/>
        </w:trPr>
        <w:tc>
          <w:tcPr>
            <w:tcW w:w="656" w:type="pct"/>
            <w:vAlign w:val="center"/>
          </w:tcPr>
          <w:p w14:paraId="5761D641" w14:textId="77777777" w:rsidR="00A56EE9" w:rsidRPr="00A8721C" w:rsidRDefault="00A56EE9" w:rsidP="00BB6AD5">
            <w:pPr>
              <w:jc w:val="center"/>
              <w:rPr>
                <w:b/>
              </w:rPr>
            </w:pPr>
            <w:r>
              <w:rPr>
                <w:b/>
              </w:rPr>
              <w:t>Element</w:t>
            </w:r>
          </w:p>
        </w:tc>
        <w:tc>
          <w:tcPr>
            <w:tcW w:w="674" w:type="pct"/>
            <w:tcBorders>
              <w:bottom w:val="single" w:sz="4" w:space="0" w:color="auto"/>
            </w:tcBorders>
            <w:vAlign w:val="center"/>
          </w:tcPr>
          <w:p w14:paraId="5761D642" w14:textId="77777777" w:rsidR="00A56EE9" w:rsidRDefault="00A56EE9" w:rsidP="00BB6AD5">
            <w:pPr>
              <w:jc w:val="center"/>
              <w:rPr>
                <w:b/>
              </w:rPr>
            </w:pPr>
            <w:r w:rsidRPr="00F514F1">
              <w:rPr>
                <w:b/>
              </w:rPr>
              <w:t>Grade and trend</w:t>
            </w:r>
          </w:p>
          <w:p w14:paraId="5761D643" w14:textId="77777777" w:rsidR="00A56EE9" w:rsidRPr="00A8721C" w:rsidRDefault="00A56EE9" w:rsidP="00BB6AD5">
            <w:pPr>
              <w:jc w:val="center"/>
              <w:rPr>
                <w:b/>
              </w:rPr>
            </w:pPr>
          </w:p>
        </w:tc>
        <w:tc>
          <w:tcPr>
            <w:tcW w:w="3670" w:type="pct"/>
            <w:vAlign w:val="center"/>
          </w:tcPr>
          <w:p w14:paraId="5761D644" w14:textId="77777777" w:rsidR="00A56EE9" w:rsidRPr="00A8721C" w:rsidRDefault="00A56EE9" w:rsidP="00BB6AD5">
            <w:pPr>
              <w:jc w:val="center"/>
              <w:rPr>
                <w:rStyle w:val="BookTitle"/>
                <w:b/>
              </w:rPr>
            </w:pPr>
            <w:r w:rsidRPr="00A8721C">
              <w:rPr>
                <w:rStyle w:val="BookTitle"/>
                <w:b/>
              </w:rPr>
              <w:t>Justification of grade</w:t>
            </w:r>
          </w:p>
        </w:tc>
      </w:tr>
      <w:tr w:rsidR="00A56EE9" w14:paraId="5761D649" w14:textId="77777777" w:rsidTr="00BB6AD5">
        <w:tc>
          <w:tcPr>
            <w:tcW w:w="656" w:type="pct"/>
            <w:vAlign w:val="center"/>
          </w:tcPr>
          <w:p w14:paraId="5761D646" w14:textId="77777777" w:rsidR="00A56EE9" w:rsidRPr="00E076D7" w:rsidRDefault="00A56EE9" w:rsidP="00BB6AD5">
            <w:pPr>
              <w:rPr>
                <w:b/>
              </w:rPr>
            </w:pPr>
            <w:r w:rsidRPr="00E076D7">
              <w:rPr>
                <w:b/>
              </w:rPr>
              <w:t>Context</w:t>
            </w:r>
          </w:p>
        </w:tc>
        <w:tc>
          <w:tcPr>
            <w:tcW w:w="674" w:type="pct"/>
            <w:tcBorders>
              <w:bottom w:val="single" w:sz="4" w:space="0" w:color="auto"/>
            </w:tcBorders>
            <w:shd w:val="clear" w:color="auto" w:fill="A8D08D"/>
            <w:vAlign w:val="center"/>
          </w:tcPr>
          <w:p w14:paraId="5761D647" w14:textId="77777777" w:rsidR="00A56EE9" w:rsidRPr="00E076D7" w:rsidRDefault="00A56EE9" w:rsidP="00BB6AD5">
            <w:pPr>
              <w:jc w:val="center"/>
              <w:rPr>
                <w:b/>
              </w:rPr>
            </w:pPr>
            <w:r w:rsidRPr="004F2ABF">
              <w:rPr>
                <w:rFonts w:ascii="Cambria Math" w:hAnsi="Cambria Math" w:cs="Cambria Math"/>
              </w:rPr>
              <w:t>⬇</w:t>
            </w:r>
          </w:p>
        </w:tc>
        <w:tc>
          <w:tcPr>
            <w:tcW w:w="3670" w:type="pct"/>
          </w:tcPr>
          <w:p w14:paraId="5761D648" w14:textId="77777777" w:rsidR="00A56EE9" w:rsidRPr="00A8721C" w:rsidRDefault="00A56EE9" w:rsidP="00BB6AD5">
            <w:pPr>
              <w:spacing w:after="60"/>
              <w:rPr>
                <w:b/>
                <w:sz w:val="18"/>
                <w:szCs w:val="18"/>
              </w:rPr>
            </w:pPr>
            <w:r w:rsidRPr="00A8721C">
              <w:rPr>
                <w:rStyle w:val="BookTitle"/>
                <w:sz w:val="18"/>
                <w:szCs w:val="18"/>
              </w:rPr>
              <w:t>Understanding of values, threats, regional/global influences and stakeholders is good for most thematic areas</w:t>
            </w:r>
            <w:r>
              <w:rPr>
                <w:rStyle w:val="BookTitle"/>
                <w:sz w:val="18"/>
                <w:szCs w:val="18"/>
              </w:rPr>
              <w:t xml:space="preserve"> but declined for Climate change and Biodiversity</w:t>
            </w:r>
          </w:p>
        </w:tc>
      </w:tr>
      <w:tr w:rsidR="00A56EE9" w14:paraId="5761D64D" w14:textId="77777777" w:rsidTr="00BB6AD5">
        <w:tc>
          <w:tcPr>
            <w:tcW w:w="656" w:type="pct"/>
            <w:vAlign w:val="center"/>
          </w:tcPr>
          <w:p w14:paraId="5761D64A" w14:textId="77777777" w:rsidR="00A56EE9" w:rsidRPr="00E076D7" w:rsidRDefault="00A56EE9" w:rsidP="00BB6AD5">
            <w:pPr>
              <w:rPr>
                <w:b/>
              </w:rPr>
            </w:pPr>
            <w:r w:rsidRPr="00462D4D">
              <w:rPr>
                <w:b/>
              </w:rPr>
              <w:t>Planning</w:t>
            </w:r>
          </w:p>
        </w:tc>
        <w:tc>
          <w:tcPr>
            <w:tcW w:w="674" w:type="pct"/>
            <w:tcBorders>
              <w:bottom w:val="single" w:sz="4" w:space="0" w:color="auto"/>
            </w:tcBorders>
            <w:shd w:val="clear" w:color="auto" w:fill="A8D08D"/>
            <w:vAlign w:val="center"/>
          </w:tcPr>
          <w:p w14:paraId="5761D64B" w14:textId="77777777" w:rsidR="00A56EE9" w:rsidRPr="00E076D7" w:rsidRDefault="00A56EE9" w:rsidP="00BB6AD5">
            <w:pPr>
              <w:jc w:val="center"/>
              <w:rPr>
                <w:b/>
              </w:rPr>
            </w:pPr>
            <w:r>
              <w:rPr>
                <w:rFonts w:ascii="Cambria Math" w:hAnsi="Cambria Math" w:cs="Cambria Math"/>
                <w:b/>
              </w:rPr>
              <w:t>↔</w:t>
            </w:r>
          </w:p>
        </w:tc>
        <w:tc>
          <w:tcPr>
            <w:tcW w:w="3670" w:type="pct"/>
          </w:tcPr>
          <w:p w14:paraId="5761D64C" w14:textId="77777777" w:rsidR="00A56EE9" w:rsidRPr="00A8721C" w:rsidRDefault="00A56EE9" w:rsidP="00BB6AD5">
            <w:pPr>
              <w:spacing w:after="60"/>
              <w:rPr>
                <w:b/>
                <w:sz w:val="18"/>
                <w:szCs w:val="18"/>
              </w:rPr>
            </w:pPr>
            <w:r w:rsidRPr="00A8721C">
              <w:rPr>
                <w:rStyle w:val="BookTitle"/>
                <w:sz w:val="18"/>
                <w:szCs w:val="18"/>
              </w:rPr>
              <w:t xml:space="preserve">Effective planning systems that engage stakeholders are in place for many significant issues. Policy and consistency across jurisdictions are generally </w:t>
            </w:r>
            <w:r>
              <w:rPr>
                <w:rStyle w:val="BookTitle"/>
                <w:sz w:val="18"/>
                <w:szCs w:val="18"/>
              </w:rPr>
              <w:t>acceptable</w:t>
            </w:r>
            <w:r w:rsidRPr="00A8721C">
              <w:rPr>
                <w:rStyle w:val="BookTitle"/>
                <w:sz w:val="18"/>
                <w:szCs w:val="18"/>
              </w:rPr>
              <w:t>.</w:t>
            </w:r>
          </w:p>
        </w:tc>
      </w:tr>
      <w:tr w:rsidR="00A56EE9" w14:paraId="5761D651" w14:textId="77777777" w:rsidTr="00BB6AD5">
        <w:trPr>
          <w:cantSplit/>
          <w:trHeight w:val="906"/>
        </w:trPr>
        <w:tc>
          <w:tcPr>
            <w:tcW w:w="656" w:type="pct"/>
            <w:vAlign w:val="center"/>
          </w:tcPr>
          <w:p w14:paraId="5761D64E" w14:textId="77777777" w:rsidR="00A56EE9" w:rsidRPr="00E076D7" w:rsidRDefault="00A56EE9" w:rsidP="00BB6AD5">
            <w:pPr>
              <w:rPr>
                <w:b/>
              </w:rPr>
            </w:pPr>
            <w:r w:rsidRPr="00462D4D">
              <w:rPr>
                <w:b/>
              </w:rPr>
              <w:t>Input</w:t>
            </w:r>
          </w:p>
        </w:tc>
        <w:tc>
          <w:tcPr>
            <w:tcW w:w="674" w:type="pct"/>
            <w:tcBorders>
              <w:bottom w:val="single" w:sz="4" w:space="0" w:color="auto"/>
            </w:tcBorders>
            <w:shd w:val="clear" w:color="auto" w:fill="A8D08D" w:themeFill="accent6" w:themeFillTint="99"/>
            <w:vAlign w:val="center"/>
          </w:tcPr>
          <w:p w14:paraId="5761D64F" w14:textId="77777777" w:rsidR="00A56EE9" w:rsidRPr="00E076D7" w:rsidRDefault="00A56EE9" w:rsidP="00BB6AD5">
            <w:pPr>
              <w:jc w:val="center"/>
              <w:rPr>
                <w:b/>
              </w:rPr>
            </w:pPr>
            <w:r>
              <w:rPr>
                <w:rFonts w:ascii="Cambria Math" w:hAnsi="Cambria Math" w:cs="Cambria Math"/>
              </w:rPr>
              <w:t>⬆</w:t>
            </w:r>
          </w:p>
        </w:tc>
        <w:tc>
          <w:tcPr>
            <w:tcW w:w="3670" w:type="pct"/>
          </w:tcPr>
          <w:p w14:paraId="5761D650" w14:textId="723CC8F9" w:rsidR="00A56EE9" w:rsidRPr="00A8721C" w:rsidRDefault="00A56EE9" w:rsidP="00706DA1">
            <w:pPr>
              <w:spacing w:after="60"/>
              <w:rPr>
                <w:b/>
                <w:sz w:val="18"/>
                <w:szCs w:val="18"/>
              </w:rPr>
            </w:pPr>
            <w:r w:rsidRPr="00A8721C">
              <w:rPr>
                <w:rStyle w:val="BookTitle"/>
                <w:sz w:val="18"/>
                <w:szCs w:val="18"/>
              </w:rPr>
              <w:t xml:space="preserve">Financial and staffing resources </w:t>
            </w:r>
            <w:r w:rsidR="00C74B5F">
              <w:rPr>
                <w:rStyle w:val="BookTitle"/>
                <w:sz w:val="18"/>
                <w:szCs w:val="18"/>
              </w:rPr>
              <w:t>were</w:t>
            </w:r>
            <w:r w:rsidRPr="00A8721C">
              <w:rPr>
                <w:rStyle w:val="BookTitle"/>
                <w:sz w:val="18"/>
                <w:szCs w:val="18"/>
              </w:rPr>
              <w:t xml:space="preserve"> unable to meet management needs in some important thematic areas</w:t>
            </w:r>
            <w:r w:rsidR="00C74B5F">
              <w:rPr>
                <w:rStyle w:val="BookTitle"/>
                <w:sz w:val="18"/>
                <w:szCs w:val="18"/>
              </w:rPr>
              <w:t>, however the stabilisation and increases in resources has occurred</w:t>
            </w:r>
            <w:r w:rsidR="003D2E3F">
              <w:rPr>
                <w:rStyle w:val="BookTitle"/>
                <w:sz w:val="18"/>
                <w:szCs w:val="18"/>
              </w:rPr>
              <w:t xml:space="preserve"> recently</w:t>
            </w:r>
            <w:r>
              <w:rPr>
                <w:rStyle w:val="BookTitle"/>
                <w:sz w:val="18"/>
                <w:szCs w:val="18"/>
              </w:rPr>
              <w:t>.</w:t>
            </w:r>
            <w:r w:rsidRPr="00A8721C">
              <w:rPr>
                <w:rStyle w:val="BookTitle"/>
                <w:sz w:val="18"/>
                <w:szCs w:val="18"/>
              </w:rPr>
              <w:t xml:space="preserve"> </w:t>
            </w:r>
            <w:r>
              <w:rPr>
                <w:rStyle w:val="BookTitle"/>
                <w:sz w:val="18"/>
                <w:szCs w:val="18"/>
              </w:rPr>
              <w:t>B</w:t>
            </w:r>
            <w:r w:rsidRPr="00A8721C">
              <w:rPr>
                <w:rStyle w:val="BookTitle"/>
                <w:sz w:val="18"/>
                <w:szCs w:val="18"/>
              </w:rPr>
              <w:t xml:space="preserve">iophysical, socio-economic </w:t>
            </w:r>
            <w:r>
              <w:rPr>
                <w:rStyle w:val="BookTitle"/>
                <w:sz w:val="18"/>
                <w:szCs w:val="18"/>
              </w:rPr>
              <w:t>and</w:t>
            </w:r>
            <w:r w:rsidRPr="00A8721C">
              <w:rPr>
                <w:rStyle w:val="BookTitle"/>
                <w:sz w:val="18"/>
                <w:szCs w:val="18"/>
              </w:rPr>
              <w:t xml:space="preserve"> traditional (Indigenous) knowledge is variably available to inform management decision</w:t>
            </w:r>
            <w:r w:rsidR="00706DA1">
              <w:rPr>
                <w:rStyle w:val="BookTitle"/>
                <w:sz w:val="18"/>
                <w:szCs w:val="18"/>
              </w:rPr>
              <w:t>s</w:t>
            </w:r>
            <w:r w:rsidRPr="00A8721C">
              <w:rPr>
                <w:rStyle w:val="BookTitle"/>
                <w:sz w:val="18"/>
                <w:szCs w:val="18"/>
              </w:rPr>
              <w:t xml:space="preserve"> and there are significant deficiencies in some areas</w:t>
            </w:r>
          </w:p>
        </w:tc>
      </w:tr>
      <w:tr w:rsidR="00A56EE9" w14:paraId="5761D655" w14:textId="77777777" w:rsidTr="00BB6AD5">
        <w:tc>
          <w:tcPr>
            <w:tcW w:w="656" w:type="pct"/>
            <w:vAlign w:val="center"/>
          </w:tcPr>
          <w:p w14:paraId="5761D652" w14:textId="77777777" w:rsidR="00A56EE9" w:rsidRPr="00E076D7" w:rsidRDefault="00A56EE9" w:rsidP="00BB6AD5">
            <w:pPr>
              <w:rPr>
                <w:b/>
              </w:rPr>
            </w:pPr>
            <w:r w:rsidRPr="00462D4D">
              <w:rPr>
                <w:b/>
              </w:rPr>
              <w:t>Processes</w:t>
            </w:r>
          </w:p>
        </w:tc>
        <w:tc>
          <w:tcPr>
            <w:tcW w:w="674" w:type="pct"/>
            <w:tcBorders>
              <w:bottom w:val="single" w:sz="4" w:space="0" w:color="auto"/>
            </w:tcBorders>
            <w:shd w:val="clear" w:color="auto" w:fill="A8D08D" w:themeFill="accent6" w:themeFillTint="99"/>
            <w:vAlign w:val="center"/>
          </w:tcPr>
          <w:p w14:paraId="5761D653" w14:textId="77777777" w:rsidR="00A56EE9" w:rsidRPr="00E076D7" w:rsidRDefault="00A56EE9" w:rsidP="00BB6AD5">
            <w:pPr>
              <w:jc w:val="center"/>
              <w:rPr>
                <w:b/>
              </w:rPr>
            </w:pPr>
            <w:r>
              <w:rPr>
                <w:rFonts w:ascii="Cambria Math" w:hAnsi="Cambria Math" w:cs="Cambria Math"/>
                <w:b/>
              </w:rPr>
              <w:t>↔</w:t>
            </w:r>
          </w:p>
        </w:tc>
        <w:tc>
          <w:tcPr>
            <w:tcW w:w="3670" w:type="pct"/>
          </w:tcPr>
          <w:p w14:paraId="5761D654" w14:textId="77777777" w:rsidR="00A56EE9" w:rsidRPr="00A8721C" w:rsidRDefault="00A56EE9" w:rsidP="00BB6AD5">
            <w:pPr>
              <w:spacing w:after="60"/>
              <w:rPr>
                <w:b/>
                <w:sz w:val="18"/>
                <w:szCs w:val="18"/>
              </w:rPr>
            </w:pPr>
            <w:r w:rsidRPr="00A8721C">
              <w:rPr>
                <w:rStyle w:val="BookTitle"/>
                <w:sz w:val="18"/>
                <w:szCs w:val="18"/>
              </w:rPr>
              <w:t xml:space="preserve">The majority of management processes are appropriate and effective in addressing management </w:t>
            </w:r>
            <w:r>
              <w:rPr>
                <w:rStyle w:val="BookTitle"/>
                <w:sz w:val="18"/>
                <w:szCs w:val="18"/>
              </w:rPr>
              <w:t>but</w:t>
            </w:r>
            <w:r w:rsidRPr="00A8721C">
              <w:rPr>
                <w:rStyle w:val="BookTitle"/>
                <w:sz w:val="18"/>
                <w:szCs w:val="18"/>
              </w:rPr>
              <w:t xml:space="preserve"> there are deficiencies in relation to a small number of thematic areas or processes</w:t>
            </w:r>
          </w:p>
        </w:tc>
      </w:tr>
      <w:tr w:rsidR="00A56EE9" w14:paraId="5761D659" w14:textId="77777777" w:rsidTr="00BB6AD5">
        <w:tc>
          <w:tcPr>
            <w:tcW w:w="656" w:type="pct"/>
            <w:vAlign w:val="center"/>
          </w:tcPr>
          <w:p w14:paraId="5761D656" w14:textId="77777777" w:rsidR="00A56EE9" w:rsidRPr="00E076D7" w:rsidRDefault="00A56EE9" w:rsidP="00BB6AD5">
            <w:pPr>
              <w:rPr>
                <w:b/>
              </w:rPr>
            </w:pPr>
            <w:r w:rsidRPr="00462D4D">
              <w:rPr>
                <w:b/>
              </w:rPr>
              <w:t>Outputs</w:t>
            </w:r>
          </w:p>
        </w:tc>
        <w:tc>
          <w:tcPr>
            <w:tcW w:w="674" w:type="pct"/>
            <w:tcBorders>
              <w:bottom w:val="single" w:sz="4" w:space="0" w:color="auto"/>
            </w:tcBorders>
            <w:shd w:val="clear" w:color="auto" w:fill="A8D08D" w:themeFill="accent6" w:themeFillTint="99"/>
            <w:vAlign w:val="center"/>
          </w:tcPr>
          <w:p w14:paraId="5761D657" w14:textId="77777777" w:rsidR="00A56EE9" w:rsidRPr="00E076D7" w:rsidRDefault="00A56EE9" w:rsidP="00BB6AD5">
            <w:pPr>
              <w:jc w:val="center"/>
              <w:rPr>
                <w:b/>
              </w:rPr>
            </w:pPr>
            <w:r>
              <w:rPr>
                <w:rFonts w:ascii="Cambria Math" w:hAnsi="Cambria Math" w:cs="Cambria Math"/>
                <w:b/>
              </w:rPr>
              <w:t>↔</w:t>
            </w:r>
          </w:p>
        </w:tc>
        <w:tc>
          <w:tcPr>
            <w:tcW w:w="3670" w:type="pct"/>
          </w:tcPr>
          <w:p w14:paraId="5761D658" w14:textId="0289CF16" w:rsidR="00A56EE9" w:rsidRPr="00A8721C" w:rsidRDefault="00A56EE9" w:rsidP="00BB6AD5">
            <w:pPr>
              <w:spacing w:after="60"/>
              <w:rPr>
                <w:b/>
                <w:sz w:val="18"/>
                <w:szCs w:val="18"/>
              </w:rPr>
            </w:pPr>
            <w:r w:rsidRPr="00A8721C">
              <w:rPr>
                <w:rStyle w:val="BookTitle"/>
                <w:sz w:val="18"/>
                <w:szCs w:val="18"/>
              </w:rPr>
              <w:t xml:space="preserve">Management programs are mostly progressing in accordance with planned programs and are achieving their desired objectives but there are problems in some </w:t>
            </w:r>
            <w:r>
              <w:rPr>
                <w:rStyle w:val="BookTitle"/>
                <w:sz w:val="18"/>
                <w:szCs w:val="18"/>
              </w:rPr>
              <w:t>topics</w:t>
            </w:r>
            <w:r w:rsidRPr="00A8721C">
              <w:rPr>
                <w:rStyle w:val="BookTitle"/>
                <w:sz w:val="18"/>
                <w:szCs w:val="18"/>
              </w:rPr>
              <w:t xml:space="preserve">. The knowledge base </w:t>
            </w:r>
            <w:r w:rsidR="00C74B5F">
              <w:rPr>
                <w:rStyle w:val="BookTitle"/>
                <w:sz w:val="18"/>
                <w:szCs w:val="18"/>
              </w:rPr>
              <w:t>is</w:t>
            </w:r>
            <w:r w:rsidRPr="00A8721C">
              <w:rPr>
                <w:rStyle w:val="BookTitle"/>
                <w:sz w:val="18"/>
                <w:szCs w:val="18"/>
              </w:rPr>
              <w:t xml:space="preserve"> generally improving.</w:t>
            </w:r>
          </w:p>
        </w:tc>
      </w:tr>
      <w:tr w:rsidR="00A56EE9" w14:paraId="5761D65D" w14:textId="77777777" w:rsidTr="00BB6AD5">
        <w:tc>
          <w:tcPr>
            <w:tcW w:w="656" w:type="pct"/>
            <w:vAlign w:val="center"/>
          </w:tcPr>
          <w:p w14:paraId="5761D65A" w14:textId="77777777" w:rsidR="00A56EE9" w:rsidRPr="00E076D7" w:rsidRDefault="00A56EE9" w:rsidP="00BB6AD5">
            <w:pPr>
              <w:rPr>
                <w:b/>
              </w:rPr>
            </w:pPr>
            <w:r w:rsidRPr="00462D4D">
              <w:rPr>
                <w:b/>
              </w:rPr>
              <w:t>Outcomes</w:t>
            </w:r>
          </w:p>
        </w:tc>
        <w:tc>
          <w:tcPr>
            <w:tcW w:w="674" w:type="pct"/>
            <w:tcBorders>
              <w:top w:val="single" w:sz="4" w:space="0" w:color="auto"/>
            </w:tcBorders>
            <w:shd w:val="clear" w:color="auto" w:fill="A8D08D" w:themeFill="accent6" w:themeFillTint="99"/>
            <w:vAlign w:val="center"/>
          </w:tcPr>
          <w:p w14:paraId="5761D65B" w14:textId="77777777" w:rsidR="00A56EE9" w:rsidRPr="00E076D7" w:rsidRDefault="00A56EE9" w:rsidP="00BB6AD5">
            <w:pPr>
              <w:jc w:val="center"/>
              <w:rPr>
                <w:b/>
              </w:rPr>
            </w:pPr>
            <w:r>
              <w:rPr>
                <w:rFonts w:ascii="Cambria Math" w:hAnsi="Cambria Math" w:cs="Cambria Math"/>
              </w:rPr>
              <w:t>⬆</w:t>
            </w:r>
          </w:p>
        </w:tc>
        <w:tc>
          <w:tcPr>
            <w:tcW w:w="3670" w:type="pct"/>
          </w:tcPr>
          <w:p w14:paraId="5761D65C" w14:textId="7BDA30D2" w:rsidR="00A56EE9" w:rsidRPr="00A8721C" w:rsidRDefault="00A56EE9" w:rsidP="00BB6AD5">
            <w:pPr>
              <w:spacing w:after="60"/>
              <w:rPr>
                <w:b/>
                <w:sz w:val="18"/>
                <w:szCs w:val="18"/>
              </w:rPr>
            </w:pPr>
            <w:r>
              <w:rPr>
                <w:rStyle w:val="BookTitle"/>
                <w:sz w:val="18"/>
                <w:szCs w:val="18"/>
              </w:rPr>
              <w:t>While outcomes in some areas have improved, d</w:t>
            </w:r>
            <w:r w:rsidRPr="00A8721C">
              <w:rPr>
                <w:rStyle w:val="BookTitle"/>
                <w:sz w:val="18"/>
                <w:szCs w:val="18"/>
              </w:rPr>
              <w:t>esired outcomes</w:t>
            </w:r>
            <w:r>
              <w:rPr>
                <w:rStyle w:val="BookTitle"/>
                <w:sz w:val="18"/>
                <w:szCs w:val="18"/>
              </w:rPr>
              <w:t xml:space="preserve"> for</w:t>
            </w:r>
            <w:r w:rsidRPr="00A8721C">
              <w:rPr>
                <w:rStyle w:val="BookTitle"/>
                <w:sz w:val="18"/>
                <w:szCs w:val="18"/>
              </w:rPr>
              <w:t xml:space="preserve"> protection of values and abatement of threats are not being achieved at desirable levels in some critical thematic areas with likely eventual flow-on effects across the Great Barrier Reef. </w:t>
            </w:r>
          </w:p>
        </w:tc>
      </w:tr>
    </w:tbl>
    <w:p w14:paraId="5761D65E" w14:textId="77777777" w:rsidR="00A56EE9" w:rsidRDefault="00A56EE9" w:rsidP="00BB6AD5">
      <w:pPr>
        <w:spacing w:line="240" w:lineRule="auto"/>
        <w:contextualSpacing/>
        <w:rPr>
          <w:sz w:val="16"/>
          <w:szCs w:val="16"/>
        </w:rPr>
      </w:pPr>
      <w:r>
        <w:rPr>
          <w:sz w:val="16"/>
          <w:szCs w:val="16"/>
        </w:rPr>
        <w:t xml:space="preserve">Grades are colour coded: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anagement effectiveness colour codes"/>
        <w:tblDescription w:val="Effective grade is coloured dark green; Mostly effective grade is colured light green; Partially effective grade is colured orange; Ineffective grade is coloured red."/>
      </w:tblPr>
      <w:tblGrid>
        <w:gridCol w:w="993"/>
        <w:gridCol w:w="396"/>
        <w:gridCol w:w="1710"/>
        <w:gridCol w:w="261"/>
        <w:gridCol w:w="1790"/>
        <w:gridCol w:w="261"/>
        <w:gridCol w:w="1141"/>
        <w:gridCol w:w="261"/>
      </w:tblGrid>
      <w:tr w:rsidR="00A56EE9" w14:paraId="5761D667" w14:textId="77777777" w:rsidTr="00BB6AD5">
        <w:trPr>
          <w:tblHeader/>
        </w:trPr>
        <w:tc>
          <w:tcPr>
            <w:tcW w:w="993" w:type="dxa"/>
          </w:tcPr>
          <w:p w14:paraId="5761D65F" w14:textId="77777777" w:rsidR="00A56EE9" w:rsidRDefault="00A56EE9" w:rsidP="00BB6AD5">
            <w:pPr>
              <w:ind w:right="-129"/>
              <w:contextualSpacing/>
              <w:rPr>
                <w:sz w:val="16"/>
                <w:szCs w:val="16"/>
              </w:rPr>
            </w:pPr>
            <w:r>
              <w:rPr>
                <w:sz w:val="16"/>
                <w:szCs w:val="16"/>
              </w:rPr>
              <w:t>Effective (E)</w:t>
            </w:r>
          </w:p>
        </w:tc>
        <w:tc>
          <w:tcPr>
            <w:tcW w:w="396" w:type="dxa"/>
          </w:tcPr>
          <w:p w14:paraId="5761D660"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30944" behindDoc="1" locked="0" layoutInCell="1" allowOverlap="1" wp14:anchorId="57620CD0" wp14:editId="57620CD1">
                      <wp:simplePos x="0" y="0"/>
                      <wp:positionH relativeFrom="column">
                        <wp:posOffset>-50800</wp:posOffset>
                      </wp:positionH>
                      <wp:positionV relativeFrom="paragraph">
                        <wp:posOffset>26670</wp:posOffset>
                      </wp:positionV>
                      <wp:extent cx="95250" cy="104775"/>
                      <wp:effectExtent l="0" t="0" r="19050" b="28575"/>
                      <wp:wrapSquare wrapText="bothSides"/>
                      <wp:docPr id="282" name="Rectangle 282" descr="Rectangle coloured dark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006600"/>
                              </a:solidFill>
                              <a:ln w="12700" cap="flat" cmpd="sng" algn="ctr">
                                <a:solidFill>
                                  <a:sysClr val="windowText" lastClr="000000"/>
                                </a:solidFill>
                                <a:prstDash val="solid"/>
                                <a:miter lim="800000"/>
                              </a:ln>
                              <a:effectLst/>
                            </wps:spPr>
                            <wps:txbx>
                              <w:txbxContent>
                                <w:p w14:paraId="57620D3E" w14:textId="77777777" w:rsidR="008B5998" w:rsidRDefault="008B5998" w:rsidP="00BB6AD5">
                                  <w:pPr>
                                    <w:shd w:val="clear" w:color="auto" w:fill="00660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620CD0" id="Rectangle 282" o:spid="_x0000_s1095" alt="Title: Rectangle - Description: Rectangle coloured dark green" style="position:absolute;margin-left:-4pt;margin-top:2.1pt;width:7.5pt;height:8.25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" fillcolor="#060" strokecolor="windowText" strokeweight="1pt">
                      <v:textbox>
                        <w:txbxContent>
                          <w:p w14:paraId="57620D3E" w14:textId="77777777" w:rsidR="008B5998" w:rsidRDefault="008B5998" w:rsidP="00BB6AD5">
                            <w:pPr>
                              <w:shd w:val="clear" w:color="auto" w:fill="006600"/>
                              <w:jc w:val="center"/>
                            </w:pPr>
                          </w:p>
                        </w:txbxContent>
                      </v:textbox>
                      <w10:wrap type="square"/>
                    </v:rect>
                  </w:pict>
                </mc:Fallback>
              </mc:AlternateContent>
            </w:r>
          </w:p>
        </w:tc>
        <w:tc>
          <w:tcPr>
            <w:tcW w:w="1710" w:type="dxa"/>
          </w:tcPr>
          <w:p w14:paraId="5761D661" w14:textId="77777777" w:rsidR="00A56EE9" w:rsidRDefault="00A56EE9" w:rsidP="00BB6AD5">
            <w:pPr>
              <w:contextualSpacing/>
              <w:rPr>
                <w:sz w:val="16"/>
                <w:szCs w:val="16"/>
              </w:rPr>
            </w:pPr>
            <w:r>
              <w:rPr>
                <w:sz w:val="16"/>
                <w:szCs w:val="16"/>
              </w:rPr>
              <w:t>Mostly effective (ME)</w:t>
            </w:r>
          </w:p>
        </w:tc>
        <w:tc>
          <w:tcPr>
            <w:tcW w:w="0" w:type="auto"/>
          </w:tcPr>
          <w:p w14:paraId="5761D662"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27872" behindDoc="0" locked="0" layoutInCell="1" allowOverlap="1" wp14:anchorId="57620CD2" wp14:editId="57620CD3">
                      <wp:simplePos x="0" y="0"/>
                      <wp:positionH relativeFrom="column">
                        <wp:posOffset>-41275</wp:posOffset>
                      </wp:positionH>
                      <wp:positionV relativeFrom="paragraph">
                        <wp:posOffset>22860</wp:posOffset>
                      </wp:positionV>
                      <wp:extent cx="95250" cy="104775"/>
                      <wp:effectExtent l="0" t="0" r="19050" b="28575"/>
                      <wp:wrapNone/>
                      <wp:docPr id="283" name="Rectangle 283" descr="Rectangle coloured light green"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2D050"/>
                              </a:solidFill>
                              <a:ln w="12700" cap="flat" cmpd="sng" algn="ctr">
                                <a:solidFill>
                                  <a:sysClr val="windowText" lastClr="000000"/>
                                </a:solidFill>
                                <a:prstDash val="solid"/>
                                <a:miter lim="800000"/>
                              </a:ln>
                              <a:effectLst/>
                            </wps:spPr>
                            <wps:txbx>
                              <w:txbxContent>
                                <w:p w14:paraId="57620D3F"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D2" id="Rectangle 283" o:spid="_x0000_s1096" alt="Title: Rectangle - Description: Rectangle coloured light green" style="position:absolute;margin-left:-3.25pt;margin-top:1.8pt;width:7.5pt;height:8.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" fillcolor="#92d050" strokecolor="windowText" strokeweight="1pt">
                      <v:textbox>
                        <w:txbxContent>
                          <w:p w14:paraId="57620D3F" w14:textId="77777777" w:rsidR="008B5998" w:rsidRDefault="008B5998" w:rsidP="00BB6AD5">
                            <w:pPr>
                              <w:jc w:val="center"/>
                            </w:pPr>
                          </w:p>
                        </w:txbxContent>
                      </v:textbox>
                    </v:rect>
                  </w:pict>
                </mc:Fallback>
              </mc:AlternateContent>
            </w:r>
            <w:r>
              <w:rPr>
                <w:sz w:val="16"/>
                <w:szCs w:val="16"/>
              </w:rPr>
              <w:t>;</w:t>
            </w:r>
          </w:p>
        </w:tc>
        <w:tc>
          <w:tcPr>
            <w:tcW w:w="0" w:type="auto"/>
          </w:tcPr>
          <w:p w14:paraId="5761D663" w14:textId="77777777" w:rsidR="00A56EE9" w:rsidRDefault="00A56EE9" w:rsidP="00BB6AD5">
            <w:pPr>
              <w:contextualSpacing/>
              <w:rPr>
                <w:sz w:val="16"/>
                <w:szCs w:val="16"/>
              </w:rPr>
            </w:pPr>
            <w:r>
              <w:rPr>
                <w:sz w:val="16"/>
                <w:szCs w:val="16"/>
              </w:rPr>
              <w:t>Partially effective (PE)</w:t>
            </w:r>
          </w:p>
        </w:tc>
        <w:tc>
          <w:tcPr>
            <w:tcW w:w="0" w:type="auto"/>
          </w:tcPr>
          <w:p w14:paraId="5761D664"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28896" behindDoc="0" locked="0" layoutInCell="1" allowOverlap="1" wp14:anchorId="57620CD4" wp14:editId="57620CD5">
                      <wp:simplePos x="0" y="0"/>
                      <wp:positionH relativeFrom="column">
                        <wp:posOffset>-65405</wp:posOffset>
                      </wp:positionH>
                      <wp:positionV relativeFrom="paragraph">
                        <wp:posOffset>19685</wp:posOffset>
                      </wp:positionV>
                      <wp:extent cx="95250" cy="104775"/>
                      <wp:effectExtent l="0" t="0" r="19050" b="28575"/>
                      <wp:wrapNone/>
                      <wp:docPr id="284" name="Rectangle 284" descr="Rectangle coloured orange"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C000"/>
                              </a:solidFill>
                              <a:ln w="12700" cap="flat" cmpd="sng" algn="ctr">
                                <a:solidFill>
                                  <a:sysClr val="windowText" lastClr="000000"/>
                                </a:solidFill>
                                <a:prstDash val="solid"/>
                                <a:miter lim="800000"/>
                              </a:ln>
                              <a:effectLst/>
                            </wps:spPr>
                            <wps:txbx>
                              <w:txbxContent>
                                <w:p w14:paraId="57620D40"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620CD4" id="Rectangle 284" o:spid="_x0000_s1097" alt="Title: Rectangle - Description: Rectangle coloured orange" style="position:absolute;margin-left:-5.15pt;margin-top:1.55pt;width:7.5pt;height:8.25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" fillcolor="#ffc000" strokecolor="windowText" strokeweight="1pt">
                      <v:textbox>
                        <w:txbxContent>
                          <w:p w14:paraId="57620D40" w14:textId="77777777" w:rsidR="008B5998" w:rsidRDefault="008B5998" w:rsidP="00BB6AD5">
                            <w:pPr>
                              <w:jc w:val="center"/>
                            </w:pPr>
                          </w:p>
                        </w:txbxContent>
                      </v:textbox>
                    </v:rect>
                  </w:pict>
                </mc:Fallback>
              </mc:AlternateContent>
            </w:r>
            <w:r>
              <w:rPr>
                <w:sz w:val="16"/>
                <w:szCs w:val="16"/>
              </w:rPr>
              <w:t>;</w:t>
            </w:r>
          </w:p>
        </w:tc>
        <w:tc>
          <w:tcPr>
            <w:tcW w:w="0" w:type="auto"/>
          </w:tcPr>
          <w:p w14:paraId="5761D665" w14:textId="77777777" w:rsidR="00A56EE9" w:rsidRDefault="00A56EE9" w:rsidP="00BB6AD5">
            <w:pPr>
              <w:contextualSpacing/>
              <w:rPr>
                <w:sz w:val="16"/>
                <w:szCs w:val="16"/>
              </w:rPr>
            </w:pPr>
            <w:r>
              <w:rPr>
                <w:sz w:val="16"/>
                <w:szCs w:val="16"/>
              </w:rPr>
              <w:t>Ineffective (I)</w:t>
            </w:r>
          </w:p>
        </w:tc>
        <w:tc>
          <w:tcPr>
            <w:tcW w:w="0" w:type="auto"/>
          </w:tcPr>
          <w:p w14:paraId="5761D666" w14:textId="77777777" w:rsidR="00A56EE9" w:rsidRDefault="00A56EE9" w:rsidP="00BB6AD5">
            <w:pPr>
              <w:contextualSpacing/>
              <w:rPr>
                <w:sz w:val="16"/>
                <w:szCs w:val="16"/>
              </w:rPr>
            </w:pPr>
            <w:r>
              <w:rPr>
                <w:noProof/>
                <w:sz w:val="16"/>
                <w:szCs w:val="16"/>
              </w:rPr>
              <mc:AlternateContent>
                <mc:Choice Requires="wps">
                  <w:drawing>
                    <wp:anchor distT="0" distB="0" distL="114300" distR="114300" simplePos="0" relativeHeight="251729920" behindDoc="0" locked="0" layoutInCell="1" allowOverlap="1" wp14:anchorId="57620CD6" wp14:editId="57620CD7">
                      <wp:simplePos x="0" y="0"/>
                      <wp:positionH relativeFrom="column">
                        <wp:posOffset>-50165</wp:posOffset>
                      </wp:positionH>
                      <wp:positionV relativeFrom="paragraph">
                        <wp:posOffset>24130</wp:posOffset>
                      </wp:positionV>
                      <wp:extent cx="95250" cy="104775"/>
                      <wp:effectExtent l="0" t="0" r="19050" b="28575"/>
                      <wp:wrapNone/>
                      <wp:docPr id="285" name="Rectangle 285" descr="Rectangle coloured red" title="Rectangle"/>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FF0000"/>
                              </a:solidFill>
                              <a:ln w="12700" cap="flat" cmpd="sng" algn="ctr">
                                <a:solidFill>
                                  <a:sysClr val="windowText" lastClr="000000"/>
                                </a:solidFill>
                                <a:prstDash val="solid"/>
                                <a:miter lim="800000"/>
                              </a:ln>
                              <a:effectLst/>
                            </wps:spPr>
                            <wps:txbx>
                              <w:txbxContent>
                                <w:p w14:paraId="57620D41" w14:textId="77777777" w:rsidR="008B5998" w:rsidRDefault="008B5998" w:rsidP="00BB6A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20CD6" id="Rectangle 285" o:spid="_x0000_s1098" alt="Title: Rectangle - Description: Rectangle coloured red" style="position:absolute;margin-left:-3.95pt;margin-top:1.9pt;width:7.5pt;height:8.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" fillcolor="red" strokecolor="windowText" strokeweight="1pt">
                      <v:textbox>
                        <w:txbxContent>
                          <w:p w14:paraId="57620D41" w14:textId="77777777" w:rsidR="008B5998" w:rsidRDefault="008B5998" w:rsidP="00BB6AD5">
                            <w:pPr>
                              <w:jc w:val="center"/>
                            </w:pPr>
                          </w:p>
                        </w:txbxContent>
                      </v:textbox>
                    </v:rect>
                  </w:pict>
                </mc:Fallback>
              </mc:AlternateContent>
            </w:r>
            <w:r>
              <w:rPr>
                <w:sz w:val="16"/>
                <w:szCs w:val="16"/>
              </w:rPr>
              <w:t>;</w:t>
            </w:r>
          </w:p>
        </w:tc>
      </w:tr>
    </w:tbl>
    <w:p w14:paraId="5761D668" w14:textId="77777777" w:rsidR="00A56EE9" w:rsidRDefault="00A56EE9" w:rsidP="00BB6AD5">
      <w:pPr>
        <w:spacing w:after="0" w:line="240" w:lineRule="auto"/>
        <w:rPr>
          <w:sz w:val="16"/>
          <w:szCs w:val="16"/>
        </w:rPr>
      </w:pPr>
      <w:r>
        <w:rPr>
          <w:sz w:val="16"/>
          <w:szCs w:val="16"/>
        </w:rPr>
        <w:t>Trends are indicated by arrows:</w:t>
      </w:r>
    </w:p>
    <w:p w14:paraId="5761D669" w14:textId="77777777" w:rsidR="00A56EE9" w:rsidRDefault="00A56EE9" w:rsidP="00BB6AD5">
      <w:pPr>
        <w:ind w:left="852"/>
        <w:contextualSpacing/>
        <w:rPr>
          <w:sz w:val="24"/>
          <w:szCs w:val="24"/>
        </w:rPr>
      </w:pPr>
      <w:r>
        <w:rPr>
          <w:rFonts w:ascii="Cambria Math" w:hAnsi="Cambria Math" w:cs="Cambria Math"/>
        </w:rPr>
        <w:t>⬆</w:t>
      </w:r>
      <w:r>
        <w:tab/>
      </w:r>
      <w:r>
        <w:rPr>
          <w:sz w:val="16"/>
          <w:szCs w:val="16"/>
        </w:rPr>
        <w:t>Trend since 2014 has been an upwards change in grade</w:t>
      </w:r>
    </w:p>
    <w:p w14:paraId="5761D66A" w14:textId="77777777" w:rsidR="00A56EE9" w:rsidRDefault="00A56EE9" w:rsidP="00BB6AD5">
      <w:pPr>
        <w:ind w:left="852"/>
        <w:contextualSpacing/>
      </w:pPr>
      <w:r>
        <w:rPr>
          <w:rFonts w:ascii="Cambria Math" w:hAnsi="Cambria Math" w:cs="Cambria Math"/>
          <w:b/>
        </w:rPr>
        <w:t>↔</w:t>
      </w:r>
      <w:r>
        <w:tab/>
      </w:r>
      <w:r>
        <w:rPr>
          <w:sz w:val="16"/>
          <w:szCs w:val="16"/>
        </w:rPr>
        <w:t>Grade has remained stable compared to 2014, with no major trends</w:t>
      </w:r>
      <w:r>
        <w:t xml:space="preserve"> </w:t>
      </w:r>
    </w:p>
    <w:p w14:paraId="5761D66F" w14:textId="28689232" w:rsidR="00A56EE9" w:rsidRPr="00762551" w:rsidRDefault="00A56EE9" w:rsidP="00762551">
      <w:pPr>
        <w:ind w:left="852"/>
        <w:contextualSpacing/>
        <w:rPr>
          <w:sz w:val="16"/>
          <w:szCs w:val="16"/>
        </w:rPr>
      </w:pPr>
      <w:r>
        <w:rPr>
          <w:rFonts w:ascii="Cambria Math" w:hAnsi="Cambria Math" w:cs="Cambria Math"/>
        </w:rPr>
        <w:t>⬇</w:t>
      </w:r>
      <w:r>
        <w:tab/>
      </w:r>
      <w:r>
        <w:rPr>
          <w:sz w:val="16"/>
          <w:szCs w:val="16"/>
        </w:rPr>
        <w:t>Trend since 2014 has been a downwards change in grade</w:t>
      </w:r>
      <w:r>
        <w:br w:type="page"/>
      </w:r>
    </w:p>
    <w:p w14:paraId="5761D670" w14:textId="77777777" w:rsidR="00A56EE9" w:rsidRDefault="00A56EE9" w:rsidP="00A11869">
      <w:pPr>
        <w:pStyle w:val="Heading1"/>
        <w:numPr>
          <w:ilvl w:val="0"/>
          <w:numId w:val="17"/>
        </w:numPr>
        <w:tabs>
          <w:tab w:val="clear" w:pos="360"/>
        </w:tabs>
      </w:pPr>
      <w:bookmarkStart w:id="150" w:name="_Toc523423803"/>
      <w:r w:rsidRPr="00317FF4">
        <w:t>Assessment</w:t>
      </w:r>
      <w:r>
        <w:t xml:space="preserve"> of management approaches</w:t>
      </w:r>
      <w:bookmarkEnd w:id="150"/>
    </w:p>
    <w:p w14:paraId="5761D671" w14:textId="77777777" w:rsidR="00A56EE9" w:rsidRPr="00B633F0" w:rsidRDefault="00A56EE9" w:rsidP="00E3690C">
      <w:pPr>
        <w:spacing w:line="276" w:lineRule="auto"/>
      </w:pPr>
      <w:r w:rsidRPr="00B633F0">
        <w:t>In protecting and managing the Region, three main management approaches are used:</w:t>
      </w:r>
    </w:p>
    <w:p w14:paraId="5761D672" w14:textId="77777777" w:rsidR="00A56EE9" w:rsidRPr="00B633F0" w:rsidRDefault="00A56EE9" w:rsidP="00E3690C">
      <w:pPr>
        <w:spacing w:line="276" w:lineRule="auto"/>
      </w:pPr>
      <w:r w:rsidRPr="00B633F0">
        <w:t xml:space="preserve">Environmental regulation — management tools such as regulations, </w:t>
      </w:r>
      <w:r>
        <w:t>Z</w:t>
      </w:r>
      <w:r w:rsidRPr="00B633F0">
        <w:t xml:space="preserve">oning </w:t>
      </w:r>
      <w:r>
        <w:t>P</w:t>
      </w:r>
      <w:r w:rsidRPr="00B633F0">
        <w:t xml:space="preserve">lan, management plans, permits and licences, and compliance are used to establish the statutory arrangements and environmental standards necessary to protect and manage the Reef </w:t>
      </w:r>
    </w:p>
    <w:p w14:paraId="5761D673" w14:textId="77777777" w:rsidR="00A56EE9" w:rsidRPr="00B633F0" w:rsidRDefault="00A56EE9" w:rsidP="00E3690C">
      <w:pPr>
        <w:spacing w:line="276" w:lineRule="auto"/>
      </w:pPr>
      <w:r w:rsidRPr="00B633F0">
        <w:t>Engagement — managing agencies work with Traditional Owners, the community, business, industry and local government to influence best practice and encourage actions that will help secure the future health of the Reef</w:t>
      </w:r>
    </w:p>
    <w:p w14:paraId="5761D674" w14:textId="77777777" w:rsidR="00A56EE9" w:rsidRPr="00B633F0" w:rsidRDefault="00A56EE9" w:rsidP="00E3690C">
      <w:pPr>
        <w:spacing w:line="276" w:lineRule="auto"/>
      </w:pPr>
      <w:r w:rsidRPr="00B633F0">
        <w:t>Knowledge, integration and innovation — management is based on the best available science as well as drawing on traditional ecological knowledge and information from the wider community and is informed by the results of ongoing monitoring.</w:t>
      </w:r>
    </w:p>
    <w:p w14:paraId="5761D675" w14:textId="77777777" w:rsidR="00A56EE9" w:rsidRPr="00B633F0" w:rsidRDefault="00A56EE9" w:rsidP="00E3690C">
      <w:pPr>
        <w:spacing w:line="276" w:lineRule="auto"/>
      </w:pPr>
      <w:r w:rsidRPr="00B633F0">
        <w:t xml:space="preserve">The assessors considered how effective these management tools were in delivering outcomes for each of the 14 topics from the data gained using the information assembled to justify for the management effectiveness ratings. </w:t>
      </w:r>
    </w:p>
    <w:p w14:paraId="5761D676" w14:textId="77777777" w:rsidR="00A56EE9" w:rsidRDefault="00A56EE9" w:rsidP="00A11869">
      <w:pPr>
        <w:pStyle w:val="Heading2"/>
        <w:numPr>
          <w:ilvl w:val="1"/>
          <w:numId w:val="17"/>
        </w:numPr>
        <w:ind w:left="357" w:hanging="357"/>
      </w:pPr>
      <w:bookmarkStart w:id="151" w:name="_Toc523423804"/>
      <w:r>
        <w:t>Environmental regulation</w:t>
      </w:r>
      <w:bookmarkEnd w:id="151"/>
    </w:p>
    <w:p w14:paraId="5761D677" w14:textId="6DC67E8E" w:rsidR="00A56EE9" w:rsidRPr="00B633F0" w:rsidRDefault="00A56EE9" w:rsidP="00E3690C">
      <w:pPr>
        <w:spacing w:line="276" w:lineRule="auto"/>
      </w:pPr>
      <w:r w:rsidRPr="00B633F0">
        <w:t xml:space="preserve">Statutory instruments </w:t>
      </w:r>
      <w:r>
        <w:t xml:space="preserve">for the Region and Marine Park </w:t>
      </w:r>
      <w:r w:rsidRPr="00B633F0">
        <w:t>include Acts</w:t>
      </w:r>
      <w:r>
        <w:t xml:space="preserve"> and regulations, Zoning P</w:t>
      </w:r>
      <w:r w:rsidRPr="00B633F0">
        <w:t>lans</w:t>
      </w:r>
      <w:r>
        <w:t xml:space="preserve"> (both State and Commonwealth), Plans of M</w:t>
      </w:r>
      <w:r w:rsidRPr="00B633F0">
        <w:t>anagement, permits, fees and charges</w:t>
      </w:r>
      <w:r>
        <w:t xml:space="preserve"> and </w:t>
      </w:r>
      <w:r w:rsidRPr="00B633F0">
        <w:t>compliance and enforcement programs. Statutory instruments used to assist the management of the R</w:t>
      </w:r>
      <w:r>
        <w:t>egion</w:t>
      </w:r>
      <w:r w:rsidRPr="00B633F0">
        <w:t xml:space="preserve"> are generally contemporary and appropriate. A 2014 Review </w:t>
      </w:r>
      <w:r w:rsidR="00ED0F5A">
        <w:t xml:space="preserve">(Jacobs 2014) </w:t>
      </w:r>
      <w:r w:rsidRPr="00B633F0">
        <w:t>of institutional and legal arrangements confirmed this view, and although finding that gaps exist in regulation of cli</w:t>
      </w:r>
      <w:r>
        <w:t>mate change and agriculture, this</w:t>
      </w:r>
      <w:r w:rsidRPr="00B633F0">
        <w:t xml:space="preserve"> review expressed caution about the practicality of additional regulation of these complex issues. Reviews of Commonwealth legislation have occurred to keep pace with emerging issues and have aligned the EPBC Act and the </w:t>
      </w:r>
      <w:r w:rsidRPr="00845CFE">
        <w:t>GBRMPA Act</w:t>
      </w:r>
      <w:r>
        <w:rPr>
          <w:i/>
        </w:rPr>
        <w:t xml:space="preserve"> </w:t>
      </w:r>
      <w:r w:rsidRPr="00B633F0">
        <w:t xml:space="preserve">as appropriate. The relevant Queensland legislation is not necessarily consistent with the </w:t>
      </w:r>
      <w:r>
        <w:t>Australian government</w:t>
      </w:r>
      <w:r w:rsidRPr="00B633F0">
        <w:t>, often due to differences in objectives</w:t>
      </w:r>
      <w:r>
        <w:t xml:space="preserve"> of the governments</w:t>
      </w:r>
      <w:r w:rsidRPr="00B633F0">
        <w:t xml:space="preserve">. </w:t>
      </w:r>
      <w:r w:rsidR="00E42EA5">
        <w:t>J</w:t>
      </w:r>
      <w:r w:rsidRPr="00B633F0">
        <w:t xml:space="preserve">oint permits between </w:t>
      </w:r>
      <w:r>
        <w:t xml:space="preserve">both </w:t>
      </w:r>
      <w:r w:rsidRPr="00B633F0">
        <w:t xml:space="preserve">governments have been undertaken for some time, </w:t>
      </w:r>
      <w:r w:rsidR="00E42EA5">
        <w:t xml:space="preserve">and </w:t>
      </w:r>
      <w:r w:rsidRPr="00B633F0">
        <w:t xml:space="preserve">policies and processes relating to assessment and issue of permits, and new target timeframes have been set for these activities. </w:t>
      </w:r>
    </w:p>
    <w:p w14:paraId="5761D678" w14:textId="1CB58E15" w:rsidR="00A56EE9" w:rsidRPr="00B633F0" w:rsidRDefault="00A56EE9" w:rsidP="00E3690C">
      <w:pPr>
        <w:spacing w:line="276" w:lineRule="auto"/>
      </w:pPr>
      <w:r w:rsidRPr="00B633F0">
        <w:t xml:space="preserve">The Zoning </w:t>
      </w:r>
      <w:r>
        <w:t>P</w:t>
      </w:r>
      <w:r w:rsidRPr="00B633F0">
        <w:t xml:space="preserve">lan has been very effective for topics such as Fishing, resulting in </w:t>
      </w:r>
      <w:r w:rsidR="00E42EA5">
        <w:t xml:space="preserve">some </w:t>
      </w:r>
      <w:r w:rsidRPr="00B633F0">
        <w:t xml:space="preserve">positive biodiversity protection outcomes. </w:t>
      </w:r>
      <w:r>
        <w:t xml:space="preserve">Plans of Management complement the Zoning Plan and address issues specific to intensively used </w:t>
      </w:r>
      <w:r w:rsidR="00E42EA5">
        <w:t xml:space="preserve">areas </w:t>
      </w:r>
      <w:r>
        <w:t xml:space="preserve">or species and ecosystems that are vulnerable. </w:t>
      </w:r>
      <w:r w:rsidRPr="00B633F0">
        <w:t xml:space="preserve">The </w:t>
      </w:r>
      <w:r w:rsidRPr="00C93EF3">
        <w:t>Whitsundays Plan of Management</w:t>
      </w:r>
      <w:r w:rsidRPr="00B633F0">
        <w:t xml:space="preserve"> was updated in 2017 but the </w:t>
      </w:r>
      <w:r w:rsidRPr="00C93EF3">
        <w:t xml:space="preserve">Cairns Area Plan of Management </w:t>
      </w:r>
      <w:r w:rsidRPr="00B633F0">
        <w:t xml:space="preserve">has not been updated since 2008 </w:t>
      </w:r>
      <w:r>
        <w:t>nor</w:t>
      </w:r>
      <w:r w:rsidRPr="00B633F0">
        <w:t xml:space="preserve"> </w:t>
      </w:r>
      <w:r w:rsidRPr="00C93EF3">
        <w:t xml:space="preserve">the Hinchinbrook Plan of Management </w:t>
      </w:r>
      <w:r w:rsidRPr="00B633F0">
        <w:t>since 2004.</w:t>
      </w:r>
      <w:r w:rsidR="00242993">
        <w:t xml:space="preserve"> </w:t>
      </w:r>
      <w:r w:rsidRPr="00B633F0">
        <w:t xml:space="preserve">Higher levels of zoning protection in Marine National Park and Preservation Zones have not offered protection against coral bleaching. Some studies have indicated that </w:t>
      </w:r>
      <w:r>
        <w:t>closing areas to fishing</w:t>
      </w:r>
      <w:r w:rsidRPr="00B633F0">
        <w:t xml:space="preserve"> does reduce the likelihood of crown-of-thorns starfish outbreaks.</w:t>
      </w:r>
    </w:p>
    <w:p w14:paraId="5761D679" w14:textId="53D7E909" w:rsidR="00A56EE9" w:rsidRPr="00B633F0" w:rsidRDefault="00A56EE9" w:rsidP="00E3690C">
      <w:pPr>
        <w:spacing w:line="276" w:lineRule="auto"/>
      </w:pPr>
      <w:r w:rsidRPr="00B633F0">
        <w:t xml:space="preserve">Compliance </w:t>
      </w:r>
      <w:r>
        <w:t xml:space="preserve">systems are very sophisticated </w:t>
      </w:r>
      <w:r w:rsidRPr="00B633F0">
        <w:t>and focus on issues of risk to the Region such as illegal fishing. Changes to V</w:t>
      </w:r>
      <w:r>
        <w:t xml:space="preserve">essel </w:t>
      </w:r>
      <w:r w:rsidRPr="00B633F0">
        <w:t>M</w:t>
      </w:r>
      <w:r>
        <w:t xml:space="preserve">onitoring </w:t>
      </w:r>
      <w:r w:rsidRPr="00B633F0">
        <w:t>S</w:t>
      </w:r>
      <w:r>
        <w:t>ystem</w:t>
      </w:r>
      <w:r w:rsidRPr="00B633F0">
        <w:t xml:space="preserve"> requirements for commercial fishing vessels are included in the Sustainable Fisheries Strategy, with a requirement that these devices be fitted to all commercial fishing vessels including dories by 2020 and a priority to install units on net, line and crab commercial fishing vessels by the end of 2018. Compliance in the recreational fishing sector remain</w:t>
      </w:r>
      <w:r>
        <w:t>s an issue and incidents of</w:t>
      </w:r>
      <w:r w:rsidRPr="00B633F0">
        <w:t xml:space="preserve"> illegal fishing have been increasing since 2010. However, it is not clear if this represents a real increase in illegal activity or more effective detection of incidents. </w:t>
      </w:r>
      <w:r>
        <w:t>Additional</w:t>
      </w:r>
      <w:r w:rsidRPr="00B633F0">
        <w:t xml:space="preserve"> funding </w:t>
      </w:r>
      <w:r w:rsidR="00E42EA5">
        <w:t xml:space="preserve">allocated to the </w:t>
      </w:r>
      <w:r w:rsidRPr="00B633F0">
        <w:t>Field Management Program</w:t>
      </w:r>
      <w:r w:rsidR="00E42EA5">
        <w:t xml:space="preserve"> in 2018,</w:t>
      </w:r>
      <w:r w:rsidRPr="00B633F0">
        <w:t xml:space="preserve"> </w:t>
      </w:r>
      <w:r>
        <w:t>will strengthen</w:t>
      </w:r>
      <w:r w:rsidRPr="00B633F0">
        <w:t xml:space="preserve"> compliance activities</w:t>
      </w:r>
      <w:r>
        <w:t>.</w:t>
      </w:r>
      <w:r w:rsidRPr="00B633F0">
        <w:t xml:space="preserve"> </w:t>
      </w:r>
    </w:p>
    <w:p w14:paraId="5761D67A" w14:textId="7E4CF4E5" w:rsidR="00A56EE9" w:rsidRPr="00B633F0" w:rsidRDefault="00A56EE9" w:rsidP="00E3690C">
      <w:pPr>
        <w:spacing w:line="276" w:lineRule="auto"/>
      </w:pPr>
      <w:r w:rsidRPr="00B633F0">
        <w:t>Non-statutory mechanisms include policies, strategies, position statements and guidelines. A number of policies and strategies were prepared or updated in the lead-up to t</w:t>
      </w:r>
      <w:r>
        <w:t>he Outlook Report 2014 (e.g. Climate change, Recreation, B</w:t>
      </w:r>
      <w:r w:rsidRPr="00B633F0">
        <w:t>iodiversity</w:t>
      </w:r>
      <w:r>
        <w:t xml:space="preserve">), </w:t>
      </w:r>
      <w:r w:rsidRPr="00B633F0">
        <w:t>but some of these</w:t>
      </w:r>
      <w:r>
        <w:t>,</w:t>
      </w:r>
      <w:r w:rsidRPr="00B633F0">
        <w:t xml:space="preserve"> such as the </w:t>
      </w:r>
      <w:r>
        <w:t>Recreation Management Strategy,</w:t>
      </w:r>
      <w:r w:rsidRPr="00B633F0">
        <w:t xml:space="preserve"> have not been actively implemented</w:t>
      </w:r>
      <w:r>
        <w:t xml:space="preserve">. More concerningly, </w:t>
      </w:r>
      <w:r w:rsidRPr="00B633F0">
        <w:t>the Climate Change</w:t>
      </w:r>
      <w:r w:rsidR="00C47E61">
        <w:t xml:space="preserve"> </w:t>
      </w:r>
      <w:r w:rsidR="0083290B">
        <w:t>Action Plan</w:t>
      </w:r>
      <w:r>
        <w:t xml:space="preserve"> ended in 2017</w:t>
      </w:r>
      <w:r w:rsidR="00242993">
        <w:t xml:space="preserve"> </w:t>
      </w:r>
      <w:r>
        <w:t xml:space="preserve">and </w:t>
      </w:r>
      <w:r w:rsidR="0063229F">
        <w:t xml:space="preserve">has not been </w:t>
      </w:r>
      <w:r>
        <w:t>re-funded or updated</w:t>
      </w:r>
      <w:r w:rsidRPr="00B633F0">
        <w:t xml:space="preserve">. Some of these policies and strategies would benefit from more outcome-oriented targets, with clear objectives, actions and milestones. To some extent the Reef 2050 Plan has overtaken some of these strategies as an overarching plan for the </w:t>
      </w:r>
      <w:r>
        <w:t>Region</w:t>
      </w:r>
      <w:r w:rsidRPr="00B633F0">
        <w:t xml:space="preserve">, although </w:t>
      </w:r>
      <w:r>
        <w:t>it lacks a focus on addressing C</w:t>
      </w:r>
      <w:r w:rsidRPr="00B633F0">
        <w:t xml:space="preserve">limate change. </w:t>
      </w:r>
      <w:r>
        <w:t xml:space="preserve">It is recognised that the Reef 2050 midterm review does take climate change into consideration. </w:t>
      </w:r>
    </w:p>
    <w:p w14:paraId="5761D67B" w14:textId="77777777" w:rsidR="00A56EE9" w:rsidRDefault="00A56EE9" w:rsidP="00A11869">
      <w:pPr>
        <w:pStyle w:val="Heading2"/>
        <w:numPr>
          <w:ilvl w:val="1"/>
          <w:numId w:val="17"/>
        </w:numPr>
        <w:ind w:left="357" w:hanging="357"/>
      </w:pPr>
      <w:bookmarkStart w:id="152" w:name="_Toc523423805"/>
      <w:r>
        <w:t>Engagement</w:t>
      </w:r>
      <w:bookmarkEnd w:id="152"/>
    </w:p>
    <w:p w14:paraId="5761D67C" w14:textId="77777777" w:rsidR="00A56EE9" w:rsidRDefault="00A56EE9" w:rsidP="00E3690C">
      <w:pPr>
        <w:spacing w:line="276" w:lineRule="auto"/>
      </w:pPr>
      <w:r w:rsidRPr="00B633F0">
        <w:t xml:space="preserve">Partnership and collaborative arrangements with Queensland and other Australian government agencies include </w:t>
      </w:r>
      <w:r>
        <w:t xml:space="preserve">joint </w:t>
      </w:r>
      <w:r w:rsidRPr="00B633F0">
        <w:t>field management and on-ground works. The Intergovernmental Agreement between the Commonwealth and Queensland Government</w:t>
      </w:r>
      <w:r>
        <w:t>s, which has been in place since 1979,</w:t>
      </w:r>
      <w:r w:rsidRPr="00B633F0">
        <w:t xml:space="preserve"> articulat</w:t>
      </w:r>
      <w:r>
        <w:t>es</w:t>
      </w:r>
      <w:r w:rsidRPr="00B633F0">
        <w:t xml:space="preserve"> the management arrangements for the Region between the two governments </w:t>
      </w:r>
      <w:r>
        <w:t xml:space="preserve">and </w:t>
      </w:r>
      <w:r w:rsidRPr="00B633F0">
        <w:t>is world leading</w:t>
      </w:r>
      <w:r>
        <w:t xml:space="preserve">. This agreement </w:t>
      </w:r>
      <w:r w:rsidRPr="00B633F0">
        <w:t>was updated in 2009 to ensure that contemporary issues and challenges were suitably addressed</w:t>
      </w:r>
      <w:r>
        <w:t>,</w:t>
      </w:r>
      <w:r w:rsidRPr="00B633F0">
        <w:t xml:space="preserve"> and again in 2015 to align with the Reef 2050 Plan. Positive collaboration with government departments within and across levels of government has been specifically encouraged and mandated through the Reef </w:t>
      </w:r>
      <w:r>
        <w:t>2050 Plan</w:t>
      </w:r>
      <w:r w:rsidRPr="00B633F0">
        <w:t xml:space="preserve">. </w:t>
      </w:r>
    </w:p>
    <w:p w14:paraId="5761D67D" w14:textId="77777777" w:rsidR="00A56EE9" w:rsidRPr="00B633F0" w:rsidRDefault="00A56EE9" w:rsidP="00E3690C">
      <w:pPr>
        <w:spacing w:line="276" w:lineRule="auto"/>
      </w:pPr>
      <w:r>
        <w:t xml:space="preserve">The </w:t>
      </w:r>
      <w:r w:rsidRPr="00B633F0">
        <w:t xml:space="preserve">Field Management Program works well for cooperative </w:t>
      </w:r>
      <w:r>
        <w:t>engagement</w:t>
      </w:r>
      <w:r w:rsidRPr="00B633F0">
        <w:t xml:space="preserve"> between two levels of government</w:t>
      </w:r>
      <w:r>
        <w:t xml:space="preserve"> (Australian and Queensland) and requires</w:t>
      </w:r>
      <w:r w:rsidRPr="00B633F0">
        <w:t xml:space="preserve"> the two governments to jointly develop priorities for activities and allocation of funding. The greatest concern with the collaborative program is resourcing to enable staff to undertake required management across all necessary activities in the </w:t>
      </w:r>
      <w:r>
        <w:t>Region</w:t>
      </w:r>
      <w:r w:rsidRPr="00B633F0">
        <w:t xml:space="preserve">. Despite record funding to address issues such as water quality and crown-of-thorns starfish outbreaks and recent increases in the Field Management Program staffing and resources, adequate resourcing remains a major concern. </w:t>
      </w:r>
      <w:r w:rsidRPr="00D27653">
        <w:rPr>
          <w:color w:val="000000" w:themeColor="text1"/>
        </w:rPr>
        <w:t xml:space="preserve">The Investment Framework </w:t>
      </w:r>
      <w:r w:rsidRPr="00B633F0">
        <w:t>developed alongside the Reef 2050 Plan recognises a substantial funding gap of between $143 and $408 million</w:t>
      </w:r>
      <w:r>
        <w:t>.</w:t>
      </w:r>
    </w:p>
    <w:p w14:paraId="5761D67E" w14:textId="77777777" w:rsidR="00A56EE9" w:rsidRPr="00011804" w:rsidRDefault="00A56EE9" w:rsidP="00E3690C">
      <w:pPr>
        <w:spacing w:line="276" w:lineRule="auto"/>
        <w:rPr>
          <w:rFonts w:ascii="Times New Roman" w:hAnsi="Times New Roman" w:cs="Times New Roman"/>
          <w:sz w:val="24"/>
          <w:szCs w:val="24"/>
        </w:rPr>
      </w:pPr>
      <w:r w:rsidRPr="00011804">
        <w:rPr>
          <w:lang w:val="en-GB"/>
        </w:rPr>
        <w:t>Engagement of</w:t>
      </w:r>
      <w:r w:rsidRPr="00011804">
        <w:rPr>
          <w:rFonts w:ascii="Helvetica" w:hAnsi="Helvetica" w:cs="Times New Roman"/>
          <w:lang w:val="en-GB"/>
        </w:rPr>
        <w:t> </w:t>
      </w:r>
      <w:r w:rsidRPr="00011804">
        <w:rPr>
          <w:lang w:val="en-GB"/>
        </w:rPr>
        <w:t xml:space="preserve">Traditional Owners as partners in management remains vital in the Region. Traditional Owners </w:t>
      </w:r>
      <w:r>
        <w:rPr>
          <w:lang w:val="en-GB"/>
        </w:rPr>
        <w:t>are involved through the TUMRA </w:t>
      </w:r>
      <w:r w:rsidRPr="00011804">
        <w:rPr>
          <w:lang w:val="en-GB"/>
        </w:rPr>
        <w:t>program</w:t>
      </w:r>
      <w:r w:rsidRPr="00011804">
        <w:rPr>
          <w:rFonts w:ascii="Helvetica" w:hAnsi="Helvetica" w:cs="Times New Roman"/>
          <w:lang w:val="en-GB"/>
        </w:rPr>
        <w:t> </w:t>
      </w:r>
      <w:r w:rsidRPr="00011804">
        <w:rPr>
          <w:lang w:val="en-GB"/>
        </w:rPr>
        <w:t>and ot</w:t>
      </w:r>
      <w:r>
        <w:rPr>
          <w:lang w:val="en-GB"/>
        </w:rPr>
        <w:t>her Reef management initiatives</w:t>
      </w:r>
      <w:r w:rsidRPr="00011804">
        <w:rPr>
          <w:rFonts w:ascii="Helvetica" w:hAnsi="Helvetica" w:cs="Times New Roman"/>
          <w:lang w:val="en-GB"/>
        </w:rPr>
        <w:t> </w:t>
      </w:r>
      <w:r w:rsidRPr="00011804">
        <w:rPr>
          <w:lang w:val="en-GB"/>
        </w:rPr>
        <w:t xml:space="preserve">and play a vital role in managing their sea country through their own organisations. </w:t>
      </w:r>
      <w:r>
        <w:rPr>
          <w:lang w:val="en-GB"/>
        </w:rPr>
        <w:t>The number of</w:t>
      </w:r>
      <w:r w:rsidRPr="00011804">
        <w:rPr>
          <w:lang w:val="en-GB"/>
        </w:rPr>
        <w:t xml:space="preserve"> Traditional Owners </w:t>
      </w:r>
      <w:r>
        <w:rPr>
          <w:lang w:val="en-GB"/>
        </w:rPr>
        <w:t xml:space="preserve">gaining access to their sea country on </w:t>
      </w:r>
      <w:r w:rsidRPr="00011804">
        <w:rPr>
          <w:lang w:val="en-GB"/>
        </w:rPr>
        <w:t>Field Management Program</w:t>
      </w:r>
      <w:bookmarkStart w:id="153" w:name=""/>
      <w:r w:rsidRPr="00011804">
        <w:rPr>
          <w:lang w:val="en-GB"/>
        </w:rPr>
        <w:t> </w:t>
      </w:r>
      <w:r>
        <w:rPr>
          <w:lang w:val="en-GB"/>
        </w:rPr>
        <w:t xml:space="preserve">vessels has increased </w:t>
      </w:r>
      <w:r w:rsidRPr="00011804">
        <w:rPr>
          <w:lang w:val="en-GB"/>
        </w:rPr>
        <w:t>since 2014.</w:t>
      </w:r>
      <w:bookmarkEnd w:id="153"/>
      <w:r w:rsidRPr="00011804">
        <w:rPr>
          <w:rFonts w:ascii="Helvetica" w:hAnsi="Helvetica" w:cs="Times New Roman"/>
          <w:lang w:val="en-GB"/>
        </w:rPr>
        <w:t> </w:t>
      </w:r>
      <w:r w:rsidRPr="00011804">
        <w:rPr>
          <w:lang w:val="en-GB"/>
        </w:rPr>
        <w:t>This has many benefits, including the informal field training of non-Indigenous staff in Indigenous culture as well as increasing management capacity of Traditional Owners and enabling them to visit country</w:t>
      </w:r>
      <w:r w:rsidRPr="00011804">
        <w:rPr>
          <w:rFonts w:ascii="Helvetica" w:hAnsi="Helvetica" w:cs="Times New Roman"/>
          <w:lang w:val="en-GB"/>
        </w:rPr>
        <w:t> </w:t>
      </w:r>
      <w:r w:rsidRPr="00011804">
        <w:rPr>
          <w:lang w:val="en-GB"/>
        </w:rPr>
        <w:t>more often.</w:t>
      </w:r>
    </w:p>
    <w:p w14:paraId="5761D67F" w14:textId="77777777" w:rsidR="00A56EE9" w:rsidRPr="00B633F0" w:rsidRDefault="00A56EE9" w:rsidP="00E3690C">
      <w:pPr>
        <w:spacing w:line="276" w:lineRule="auto"/>
      </w:pPr>
      <w:r w:rsidRPr="00B633F0">
        <w:t>Research collaboration</w:t>
      </w:r>
      <w:r>
        <w:t>s</w:t>
      </w:r>
      <w:r w:rsidRPr="00B633F0">
        <w:t xml:space="preserve"> between </w:t>
      </w:r>
      <w:r>
        <w:t>managing agencies and</w:t>
      </w:r>
      <w:r w:rsidRPr="00B633F0">
        <w:t xml:space="preserve"> research bodies is generally positive, although some researchers report that engagement of Marine Park Authority staff in planning relating to research and monitoring has declined in recent times. This has been, in part attributed to loss of senior staff from the Marine Park Authority in recent years as well as a perceived withdrawal of the Marin</w:t>
      </w:r>
      <w:r>
        <w:t>e Park Authority from this work. However,</w:t>
      </w:r>
      <w:r w:rsidRPr="00B633F0">
        <w:t xml:space="preserve"> the Commonwealth Department of Environment and Energy has become more prominent in funding and policy matters relating to the Great Barrier Reef in general and </w:t>
      </w:r>
      <w:r>
        <w:t xml:space="preserve">through </w:t>
      </w:r>
      <w:r w:rsidRPr="00B633F0">
        <w:t>research funding programs such as N</w:t>
      </w:r>
      <w:r>
        <w:t xml:space="preserve">ational </w:t>
      </w:r>
      <w:r w:rsidRPr="00B633F0">
        <w:t>E</w:t>
      </w:r>
      <w:r>
        <w:t xml:space="preserve">nvironmental </w:t>
      </w:r>
      <w:r w:rsidRPr="00B633F0">
        <w:t>R</w:t>
      </w:r>
      <w:r>
        <w:t xml:space="preserve">esearch </w:t>
      </w:r>
      <w:r w:rsidRPr="00B633F0">
        <w:t>P</w:t>
      </w:r>
      <w:r>
        <w:t>rogram</w:t>
      </w:r>
      <w:r w:rsidRPr="00B633F0">
        <w:t xml:space="preserve"> and N</w:t>
      </w:r>
      <w:r>
        <w:t xml:space="preserve">ational </w:t>
      </w:r>
      <w:r w:rsidRPr="00B633F0">
        <w:t>E</w:t>
      </w:r>
      <w:r>
        <w:t xml:space="preserve">nvironmental </w:t>
      </w:r>
      <w:r w:rsidRPr="00B633F0">
        <w:t>S</w:t>
      </w:r>
      <w:r>
        <w:t xml:space="preserve">cience </w:t>
      </w:r>
      <w:r w:rsidRPr="00B633F0">
        <w:t>P</w:t>
      </w:r>
      <w:r>
        <w:t>rogram</w:t>
      </w:r>
      <w:r w:rsidRPr="00B633F0">
        <w:t xml:space="preserve">. </w:t>
      </w:r>
    </w:p>
    <w:p w14:paraId="5761D680" w14:textId="146AF120" w:rsidR="00A56EE9" w:rsidRDefault="00A56EE9" w:rsidP="00E3690C">
      <w:pPr>
        <w:spacing w:line="276" w:lineRule="auto"/>
      </w:pPr>
      <w:r>
        <w:t>Although the issues are outside its area of responsibility, t</w:t>
      </w:r>
      <w:r w:rsidRPr="00B633F0">
        <w:t xml:space="preserve">he Marine Park Authority is perceived by many stakeholders to </w:t>
      </w:r>
      <w:r>
        <w:t>have become</w:t>
      </w:r>
      <w:r w:rsidRPr="00B633F0">
        <w:t xml:space="preserve"> less engaged in d</w:t>
      </w:r>
      <w:r>
        <w:t>iscussions about management of Land-based run-off and C</w:t>
      </w:r>
      <w:r w:rsidRPr="00B633F0">
        <w:t xml:space="preserve">oastal development. Governance arrangements for the Great Barrier Reef World Heritage Area have become much more complex and Dale </w:t>
      </w:r>
      <w:r>
        <w:t xml:space="preserve">et al. </w:t>
      </w:r>
      <w:r w:rsidRPr="00B633F0">
        <w:t xml:space="preserve">(2016) identified 11 high-risk sub-domains of governance requiring transformational change to address declining outcomes in the Region. They identified that a number of these sub-domains </w:t>
      </w:r>
      <w:r>
        <w:t>(</w:t>
      </w:r>
      <w:r w:rsidRPr="00B633F0">
        <w:t>which relate to areas outside the Region but nevertheless present significant risks to the Reef</w:t>
      </w:r>
      <w:r>
        <w:t>)</w:t>
      </w:r>
      <w:r w:rsidRPr="00B633F0">
        <w:t xml:space="preserve"> were routinely ignored in G</w:t>
      </w:r>
      <w:r>
        <w:t xml:space="preserve">reat </w:t>
      </w:r>
      <w:r w:rsidRPr="00B633F0">
        <w:t>B</w:t>
      </w:r>
      <w:r>
        <w:t xml:space="preserve">arrier </w:t>
      </w:r>
      <w:r w:rsidRPr="00B633F0">
        <w:t>R</w:t>
      </w:r>
      <w:r>
        <w:t>eef</w:t>
      </w:r>
      <w:r w:rsidRPr="00B633F0">
        <w:t xml:space="preserve">-specific governance. Any disengagement by </w:t>
      </w:r>
      <w:r>
        <w:t xml:space="preserve">the </w:t>
      </w:r>
      <w:r w:rsidRPr="00B633F0">
        <w:t xml:space="preserve">Marine Park Authority and </w:t>
      </w:r>
      <w:r w:rsidR="0063229F">
        <w:t xml:space="preserve">other </w:t>
      </w:r>
      <w:r w:rsidRPr="00B633F0">
        <w:t>management agencies in these areas that fall outside of the formal mandates for management of the Region</w:t>
      </w:r>
      <w:r>
        <w:t>,</w:t>
      </w:r>
      <w:r w:rsidRPr="00B633F0">
        <w:t xml:space="preserve"> but that are already impacting on outcomes in the Region</w:t>
      </w:r>
      <w:r>
        <w:t>,</w:t>
      </w:r>
      <w:r w:rsidRPr="00B633F0">
        <w:t xml:space="preserve"> </w:t>
      </w:r>
      <w:r>
        <w:t>are</w:t>
      </w:r>
      <w:r w:rsidRPr="00B633F0">
        <w:t xml:space="preserve"> likely to heighten risks for the Reef. This impression that the </w:t>
      </w:r>
      <w:r>
        <w:t xml:space="preserve">voice of </w:t>
      </w:r>
      <w:r w:rsidRPr="00B633F0">
        <w:t xml:space="preserve">management agencies, and especially </w:t>
      </w:r>
      <w:r>
        <w:t xml:space="preserve">the </w:t>
      </w:r>
      <w:r w:rsidRPr="00B633F0">
        <w:t>Marine Park Authority</w:t>
      </w:r>
      <w:r>
        <w:t>,</w:t>
      </w:r>
      <w:r w:rsidRPr="00B633F0">
        <w:t xml:space="preserve"> has been diminished was a common message in discussions held during the preparation of this assessment. </w:t>
      </w:r>
    </w:p>
    <w:p w14:paraId="5761D681" w14:textId="3858AAF0" w:rsidR="00A56EE9" w:rsidRPr="00B633F0" w:rsidRDefault="00A56EE9" w:rsidP="00E3690C">
      <w:pPr>
        <w:spacing w:line="276" w:lineRule="auto"/>
      </w:pPr>
      <w:r>
        <w:t>O</w:t>
      </w:r>
      <w:r w:rsidRPr="00B633F0">
        <w:t>ne of the strongest aspects of management of the</w:t>
      </w:r>
      <w:r>
        <w:t xml:space="preserve"> Great Barrier Reef Marine Park has been the partnership and stewardship arrangements. An example is t</w:t>
      </w:r>
      <w:r w:rsidRPr="00B633F0">
        <w:t>he Reef Guardians programs for schools and local government</w:t>
      </w:r>
      <w:r>
        <w:t>s</w:t>
      </w:r>
      <w:r w:rsidRPr="00B633F0">
        <w:t xml:space="preserve"> </w:t>
      </w:r>
      <w:r>
        <w:t xml:space="preserve">which </w:t>
      </w:r>
      <w:r w:rsidRPr="00B633F0">
        <w:t xml:space="preserve">have been particularly successful. </w:t>
      </w:r>
      <w:r>
        <w:t xml:space="preserve">Another example is the </w:t>
      </w:r>
      <w:r w:rsidRPr="00B633F0">
        <w:t>Reef</w:t>
      </w:r>
      <w:r>
        <w:t xml:space="preserve"> 2050 WQIP</w:t>
      </w:r>
      <w:r w:rsidRPr="00B633F0">
        <w:t xml:space="preserve"> </w:t>
      </w:r>
      <w:r>
        <w:t xml:space="preserve">that </w:t>
      </w:r>
      <w:r w:rsidRPr="00B633F0">
        <w:t>depends on forming partnerships with Natural Resource Management bodies and th</w:t>
      </w:r>
      <w:r w:rsidR="00426101">
        <w:t>r</w:t>
      </w:r>
      <w:r w:rsidRPr="00B633F0">
        <w:t>ough them</w:t>
      </w:r>
      <w:r>
        <w:t>,</w:t>
      </w:r>
      <w:r w:rsidRPr="00B633F0">
        <w:t xml:space="preserve"> with land managers within the </w:t>
      </w:r>
      <w:r>
        <w:t>Region’s</w:t>
      </w:r>
      <w:r w:rsidRPr="00B633F0">
        <w:t xml:space="preserve"> catchment</w:t>
      </w:r>
      <w:r>
        <w:t>s</w:t>
      </w:r>
      <w:r w:rsidRPr="00B633F0">
        <w:t>.</w:t>
      </w:r>
      <w:r>
        <w:t xml:space="preserve"> </w:t>
      </w:r>
      <w:r w:rsidRPr="00B633F0">
        <w:t>Partnerships and stewardship programs are also key elements of management with the tourism and fishing industries</w:t>
      </w:r>
      <w:r>
        <w:t>,</w:t>
      </w:r>
      <w:r w:rsidRPr="00B633F0">
        <w:t xml:space="preserve"> </w:t>
      </w:r>
      <w:r>
        <w:t>with prominent aspects including</w:t>
      </w:r>
      <w:r w:rsidRPr="00B633F0">
        <w:t xml:space="preserve"> climate change planning and </w:t>
      </w:r>
      <w:r>
        <w:t>R</w:t>
      </w:r>
      <w:r w:rsidRPr="00B633F0">
        <w:t xml:space="preserve">eef </w:t>
      </w:r>
      <w:r>
        <w:t>H</w:t>
      </w:r>
      <w:r w:rsidRPr="00B633F0">
        <w:t xml:space="preserve">ealth </w:t>
      </w:r>
      <w:r>
        <w:t>M</w:t>
      </w:r>
      <w:r w:rsidRPr="00B633F0">
        <w:t xml:space="preserve">onitoring via the Eye on the Reef program. </w:t>
      </w:r>
    </w:p>
    <w:p w14:paraId="5761D682" w14:textId="77777777" w:rsidR="00A56EE9" w:rsidRPr="00B633F0" w:rsidRDefault="00A56EE9" w:rsidP="00E3690C">
      <w:pPr>
        <w:spacing w:line="276" w:lineRule="auto"/>
      </w:pPr>
      <w:r w:rsidRPr="00B633F0">
        <w:t>The partnership and stewardship programs are underpinned by long-standing consultation arrangements with key sectors and regions via the Reef Advisory Committees and Local Marine Advisory Committee structure</w:t>
      </w:r>
      <w:r>
        <w:t>. A</w:t>
      </w:r>
      <w:r w:rsidRPr="00B633F0">
        <w:t>dvisory bodies</w:t>
      </w:r>
      <w:r>
        <w:t xml:space="preserve"> have also been established </w:t>
      </w:r>
      <w:r w:rsidRPr="00B633F0">
        <w:t xml:space="preserve">under the Reef 2050 Plan </w:t>
      </w:r>
      <w:r>
        <w:t>to provide independent expert advice and stakeholder views</w:t>
      </w:r>
      <w:r w:rsidRPr="00B633F0">
        <w:t xml:space="preserve"> in relation to the </w:t>
      </w:r>
      <w:r>
        <w:t>implementation of the Reef 2050 Plan</w:t>
      </w:r>
      <w:r w:rsidRPr="00B633F0">
        <w:t>.</w:t>
      </w:r>
    </w:p>
    <w:p w14:paraId="5761D683" w14:textId="77777777" w:rsidR="00A56EE9" w:rsidRDefault="00A56EE9" w:rsidP="00A11869">
      <w:pPr>
        <w:pStyle w:val="Heading2"/>
        <w:numPr>
          <w:ilvl w:val="1"/>
          <w:numId w:val="17"/>
        </w:numPr>
        <w:ind w:left="357" w:hanging="357"/>
      </w:pPr>
      <w:bookmarkStart w:id="154" w:name="_Toc523423806"/>
      <w:r>
        <w:t>Knowledge, innovation and integration</w:t>
      </w:r>
      <w:bookmarkEnd w:id="154"/>
    </w:p>
    <w:p w14:paraId="5761D684" w14:textId="77777777" w:rsidR="00A56EE9" w:rsidRDefault="00A56EE9" w:rsidP="00A11869">
      <w:pPr>
        <w:pStyle w:val="Heading3"/>
        <w:numPr>
          <w:ilvl w:val="2"/>
          <w:numId w:val="17"/>
        </w:numPr>
        <w:tabs>
          <w:tab w:val="clear" w:pos="360"/>
        </w:tabs>
        <w:ind w:left="357" w:hanging="357"/>
      </w:pPr>
      <w:bookmarkStart w:id="155" w:name="_Toc523423807"/>
      <w:r>
        <w:t>Research and monitoring</w:t>
      </w:r>
      <w:bookmarkEnd w:id="155"/>
    </w:p>
    <w:p w14:paraId="5761D685" w14:textId="503B7DDC" w:rsidR="00A56EE9" w:rsidRPr="00B633F0" w:rsidRDefault="00A56EE9" w:rsidP="00E3690C">
      <w:pPr>
        <w:spacing w:line="276" w:lineRule="auto"/>
      </w:pPr>
      <w:r>
        <w:t xml:space="preserve">The Outlook </w:t>
      </w:r>
      <w:r w:rsidR="0063229F">
        <w:t xml:space="preserve">Report </w:t>
      </w:r>
      <w:r>
        <w:t xml:space="preserve">process, the Great Barrier Reef Strategic Assessment, the Great Barrier Reef Coastal Zone Assessment and the Scientific Consensus Statements (Waterhouse et al. 2017) </w:t>
      </w:r>
      <w:r w:rsidRPr="00B633F0">
        <w:t xml:space="preserve">have consolidated </w:t>
      </w:r>
      <w:r>
        <w:t xml:space="preserve">extensive </w:t>
      </w:r>
      <w:r w:rsidRPr="00B633F0">
        <w:t xml:space="preserve">knowledge relevant to the management of the </w:t>
      </w:r>
      <w:r>
        <w:t xml:space="preserve">Region. In most cases, this information has been made </w:t>
      </w:r>
      <w:r w:rsidRPr="00B633F0">
        <w:t xml:space="preserve">available to managers, stakeholders and the general public. In addition, these processes </w:t>
      </w:r>
      <w:r>
        <w:t xml:space="preserve">have identified </w:t>
      </w:r>
      <w:r w:rsidR="001A7B0E">
        <w:t>k</w:t>
      </w:r>
      <w:r w:rsidR="001A7B0E" w:rsidRPr="00B633F0">
        <w:t xml:space="preserve">ey </w:t>
      </w:r>
      <w:r w:rsidRPr="00B633F0">
        <w:t>knowledge gaps</w:t>
      </w:r>
      <w:r>
        <w:t xml:space="preserve">, and </w:t>
      </w:r>
      <w:r w:rsidRPr="00B633F0">
        <w:t>programs and projects to fill these knowledge gaps</w:t>
      </w:r>
      <w:r>
        <w:t xml:space="preserve"> have been developed.</w:t>
      </w:r>
      <w:r w:rsidR="00242993">
        <w:t xml:space="preserve"> </w:t>
      </w:r>
      <w:r w:rsidRPr="00B633F0">
        <w:t>However, the coral bleaching events in 2016 and 2017 have meant that knowledge of condition and trend for many species and ecosystems has declined and it will take some time to update this knowledge</w:t>
      </w:r>
      <w:r>
        <w:t>.</w:t>
      </w:r>
    </w:p>
    <w:p w14:paraId="5761D686" w14:textId="77777777" w:rsidR="00A56EE9" w:rsidRPr="00B633F0" w:rsidRDefault="00A56EE9" w:rsidP="00E3690C">
      <w:pPr>
        <w:spacing w:line="276" w:lineRule="auto"/>
      </w:pPr>
      <w:r>
        <w:t>Strong p</w:t>
      </w:r>
      <w:r w:rsidRPr="00B633F0">
        <w:t xml:space="preserve">artnerships with research providers such as CSIRO, </w:t>
      </w:r>
      <w:r>
        <w:t>AIMS</w:t>
      </w:r>
      <w:r w:rsidRPr="00B633F0">
        <w:t xml:space="preserve"> and universities have become more targeted as key knowledge gaps have been identified through processes such as the Outlook Report</w:t>
      </w:r>
      <w:r>
        <w:t xml:space="preserve"> 2009, the </w:t>
      </w:r>
      <w:r w:rsidRPr="00B633F0">
        <w:t>Outlook Report</w:t>
      </w:r>
      <w:r>
        <w:t xml:space="preserve"> 2014 and</w:t>
      </w:r>
      <w:r w:rsidRPr="00B633F0">
        <w:t xml:space="preserve"> the Science </w:t>
      </w:r>
      <w:r>
        <w:t>Strategy and Information Needs R</w:t>
      </w:r>
      <w:r w:rsidRPr="00B633F0">
        <w:t>eport</w:t>
      </w:r>
      <w:r>
        <w:t>,</w:t>
      </w:r>
      <w:r w:rsidRPr="00B633F0">
        <w:t xml:space="preserve"> and in response to key environmental and socio-economic challenges.</w:t>
      </w:r>
    </w:p>
    <w:p w14:paraId="5761D687" w14:textId="45B58A65" w:rsidR="00A56EE9" w:rsidRPr="00B633F0" w:rsidRDefault="00A56EE9" w:rsidP="00E3690C">
      <w:pPr>
        <w:spacing w:line="276" w:lineRule="auto"/>
      </w:pPr>
      <w:r>
        <w:t>The AIMS long term monitoring program represents the longest continuous record of change in Reef communities and has</w:t>
      </w:r>
      <w:r w:rsidRPr="00B633F0">
        <w:t xml:space="preserve"> provided critical data in understanding the extent of degradation of the Reef</w:t>
      </w:r>
      <w:r>
        <w:t>.</w:t>
      </w:r>
      <w:r w:rsidR="00242993">
        <w:t xml:space="preserve"> </w:t>
      </w:r>
      <w:r>
        <w:t>The Social and Economic Long-</w:t>
      </w:r>
      <w:r w:rsidRPr="00B633F0">
        <w:t xml:space="preserve">Term Monitoring program </w:t>
      </w:r>
      <w:r w:rsidR="001A7B0E">
        <w:t>recognises</w:t>
      </w:r>
      <w:r>
        <w:t xml:space="preserve"> the inter-dependencies of people with</w:t>
      </w:r>
      <w:r w:rsidR="001E0DD7">
        <w:t>in</w:t>
      </w:r>
      <w:r>
        <w:t xml:space="preserve"> the Region and assists with long-term planning and evaluation of </w:t>
      </w:r>
      <w:r w:rsidR="001A7B0E">
        <w:t>management</w:t>
      </w:r>
      <w:r>
        <w:t xml:space="preserve"> </w:t>
      </w:r>
      <w:r w:rsidR="001A7B0E">
        <w:t>decisions</w:t>
      </w:r>
      <w:r>
        <w:t>. These programs</w:t>
      </w:r>
      <w:r w:rsidRPr="00B633F0">
        <w:t xml:space="preserve"> </w:t>
      </w:r>
      <w:r>
        <w:t>have</w:t>
      </w:r>
      <w:r w:rsidRPr="00B633F0">
        <w:t xml:space="preserve"> demonstrated the value of maintaining consistent monitoring over an extended time perio</w:t>
      </w:r>
      <w:r>
        <w:t xml:space="preserve">d. </w:t>
      </w:r>
    </w:p>
    <w:p w14:paraId="5761D688" w14:textId="77777777" w:rsidR="00A56EE9" w:rsidRPr="00B633F0" w:rsidRDefault="00A56EE9" w:rsidP="00E3690C">
      <w:pPr>
        <w:spacing w:line="276" w:lineRule="auto"/>
      </w:pPr>
      <w:r w:rsidRPr="00B633F0">
        <w:t xml:space="preserve">Much hope has been placed in the development of the </w:t>
      </w:r>
      <w:r>
        <w:t>RIMReP</w:t>
      </w:r>
      <w:r w:rsidRPr="00B633F0">
        <w:t xml:space="preserve"> as a positive initiative that will help to address some of the deficiencies in past monitoring efforts, especially in relation to cumulative impacts and overall ecosystem health that will inform assessment of the Re</w:t>
      </w:r>
      <w:r>
        <w:t>e</w:t>
      </w:r>
      <w:r w:rsidRPr="00B633F0">
        <w:t>f 2050 Plan. However, RIMReP has been very slow to develop with only very modest progress made over the past two years.</w:t>
      </w:r>
    </w:p>
    <w:p w14:paraId="5761D689" w14:textId="77777777" w:rsidR="00A56EE9" w:rsidRDefault="00A56EE9" w:rsidP="00A11869">
      <w:pPr>
        <w:pStyle w:val="Heading3"/>
        <w:numPr>
          <w:ilvl w:val="2"/>
          <w:numId w:val="17"/>
        </w:numPr>
        <w:tabs>
          <w:tab w:val="clear" w:pos="360"/>
        </w:tabs>
        <w:ind w:left="357" w:hanging="357"/>
      </w:pPr>
      <w:bookmarkStart w:id="156" w:name="_Toc523423808"/>
      <w:r>
        <w:t>Reporting and evaluation</w:t>
      </w:r>
      <w:bookmarkEnd w:id="156"/>
    </w:p>
    <w:p w14:paraId="5761D68A" w14:textId="4FF371EF" w:rsidR="00A56EE9" w:rsidRPr="00B633F0" w:rsidRDefault="00A56EE9" w:rsidP="00E3690C">
      <w:pPr>
        <w:spacing w:line="276" w:lineRule="auto"/>
      </w:pPr>
      <w:r w:rsidRPr="00B633F0">
        <w:t>The five-yearly Great Barrier Reef Outlook Report process provides a comprehensive, regular basis for evaluation and reporting on management of the Great Barrier Reef.</w:t>
      </w:r>
      <w:r w:rsidR="00242993">
        <w:t xml:space="preserve"> </w:t>
      </w:r>
      <w:r w:rsidRPr="00B633F0">
        <w:t xml:space="preserve">The Reef 2050 Plan provides an overarching strategy for the management of the </w:t>
      </w:r>
      <w:r>
        <w:t>Region</w:t>
      </w:r>
      <w:r w:rsidRPr="00B633F0">
        <w:t xml:space="preserve"> includes clear monitoring and reporting requirements. </w:t>
      </w:r>
      <w:r w:rsidR="00A759A5">
        <w:rPr>
          <w:lang w:val="en-GB"/>
        </w:rPr>
        <w:t>T</w:t>
      </w:r>
      <w:r w:rsidRPr="00B633F0">
        <w:rPr>
          <w:lang w:val="en-GB"/>
        </w:rPr>
        <w:t xml:space="preserve">he Reef 2050 Plan </w:t>
      </w:r>
      <w:r w:rsidR="00A759A5">
        <w:rPr>
          <w:lang w:val="en-GB"/>
        </w:rPr>
        <w:t>was updated</w:t>
      </w:r>
      <w:r>
        <w:rPr>
          <w:lang w:val="en-GB"/>
        </w:rPr>
        <w:t xml:space="preserve"> in July 2018, with a full review due in 2020, after the release of the Outlook Report 2019.</w:t>
      </w:r>
      <w:r>
        <w:t xml:space="preserve"> </w:t>
      </w:r>
      <w:r w:rsidRPr="00B633F0">
        <w:t xml:space="preserve">While the development of the RIMReP has been delayed, </w:t>
      </w:r>
      <w:r>
        <w:t xml:space="preserve">a full prototype is expected to be delivered in June 2019. </w:t>
      </w:r>
    </w:p>
    <w:p w14:paraId="5761D68B" w14:textId="6E4CA898" w:rsidR="00A56EE9" w:rsidRPr="00B633F0" w:rsidRDefault="00A56EE9" w:rsidP="00E3690C">
      <w:pPr>
        <w:spacing w:line="276" w:lineRule="auto"/>
        <w:rPr>
          <w:lang w:val="en-GB"/>
        </w:rPr>
      </w:pPr>
      <w:r w:rsidRPr="00B633F0">
        <w:rPr>
          <w:lang w:val="en-GB"/>
        </w:rPr>
        <w:t xml:space="preserve">The Paddock to Reef Program and its associated annual report cards have been continually improved to provide a succinct snap shot of improvements and changes in </w:t>
      </w:r>
      <w:r>
        <w:rPr>
          <w:rFonts w:cstheme="minorHAnsi"/>
        </w:rPr>
        <w:t xml:space="preserve">land management practices, catchment indicators (ground cover, riparian extent, wetland extend and condition), catchment water quality (sediment, nutrients and pesticides) and the health of the inshore </w:t>
      </w:r>
      <w:r w:rsidR="00172686">
        <w:rPr>
          <w:rFonts w:cstheme="minorHAnsi"/>
        </w:rPr>
        <w:t>ecosystems</w:t>
      </w:r>
      <w:r>
        <w:rPr>
          <w:rFonts w:cstheme="minorHAnsi"/>
        </w:rPr>
        <w:t>.</w:t>
      </w:r>
    </w:p>
    <w:p w14:paraId="5761D68C" w14:textId="77777777" w:rsidR="00A56EE9" w:rsidRPr="00B633F0" w:rsidRDefault="00A56EE9" w:rsidP="00E3690C">
      <w:pPr>
        <w:spacing w:line="276" w:lineRule="auto"/>
        <w:rPr>
          <w:color w:val="FF0000"/>
        </w:rPr>
      </w:pPr>
      <w:r w:rsidRPr="00B633F0">
        <w:rPr>
          <w:lang w:val="en-GB"/>
        </w:rPr>
        <w:t xml:space="preserve">With the exception of RIMReP, the reporting and evaluation frameworks for the management of the region are generally on track. </w:t>
      </w:r>
    </w:p>
    <w:p w14:paraId="5761D68D" w14:textId="77777777" w:rsidR="00A56EE9" w:rsidRDefault="00A56EE9" w:rsidP="00A11869">
      <w:pPr>
        <w:pStyle w:val="Heading2"/>
        <w:numPr>
          <w:ilvl w:val="1"/>
          <w:numId w:val="17"/>
        </w:numPr>
        <w:ind w:left="357" w:hanging="357"/>
      </w:pPr>
      <w:bookmarkStart w:id="157" w:name="_Toc523423809"/>
      <w:r>
        <w:t>Resourcing of management arrangements</w:t>
      </w:r>
      <w:bookmarkEnd w:id="157"/>
    </w:p>
    <w:p w14:paraId="5761D68E" w14:textId="0ABC554E" w:rsidR="00A56EE9" w:rsidRPr="00B633F0" w:rsidRDefault="00A56EE9" w:rsidP="00E3690C">
      <w:pPr>
        <w:spacing w:line="276" w:lineRule="auto"/>
      </w:pPr>
      <w:r>
        <w:t xml:space="preserve">There has been a </w:t>
      </w:r>
      <w:r w:rsidRPr="00B633F0">
        <w:t>significant increase in funding with the development of the Reef 2050 Plan, with additional resources in the Commonwealth and Queensland Governments targeting particular actions and governance.</w:t>
      </w:r>
      <w:r>
        <w:t xml:space="preserve"> In addition, there has been a stabilisation of funds received by the Marine Park Authority to undertake its core business, and a significant increase in funding for the </w:t>
      </w:r>
      <w:r w:rsidRPr="00B633F0">
        <w:t>Field Management Program</w:t>
      </w:r>
      <w:r>
        <w:t xml:space="preserve"> that had been static since 2008. R</w:t>
      </w:r>
      <w:r w:rsidRPr="00B633F0">
        <w:t xml:space="preserve">equirements for management of high priority topics </w:t>
      </w:r>
      <w:r>
        <w:t>has resulted in a decline in staffing and resourcing in some</w:t>
      </w:r>
      <w:r w:rsidR="00A759A5">
        <w:t xml:space="preserve"> </w:t>
      </w:r>
      <w:r>
        <w:t>areas.</w:t>
      </w:r>
    </w:p>
    <w:p w14:paraId="5761D68F" w14:textId="77777777" w:rsidR="00A56EE9" w:rsidRDefault="00A56EE9" w:rsidP="00BB6AD5">
      <w:r>
        <w:br w:type="page"/>
      </w:r>
    </w:p>
    <w:p w14:paraId="5761D690" w14:textId="77777777" w:rsidR="00A56EE9" w:rsidRDefault="00A56EE9" w:rsidP="00A11869">
      <w:pPr>
        <w:pStyle w:val="Heading1"/>
        <w:numPr>
          <w:ilvl w:val="0"/>
          <w:numId w:val="17"/>
        </w:numPr>
        <w:tabs>
          <w:tab w:val="clear" w:pos="360"/>
        </w:tabs>
      </w:pPr>
      <w:bookmarkStart w:id="158" w:name="_Toc523423810"/>
      <w:r>
        <w:t>Conclusion</w:t>
      </w:r>
      <w:bookmarkEnd w:id="158"/>
    </w:p>
    <w:p w14:paraId="5761D691" w14:textId="767C70C4" w:rsidR="00A56EE9" w:rsidRPr="00B633F0" w:rsidRDefault="00A56EE9" w:rsidP="00E3690C">
      <w:pPr>
        <w:spacing w:line="276" w:lineRule="auto"/>
      </w:pPr>
      <w:r w:rsidRPr="00B633F0">
        <w:t xml:space="preserve">The Region continues to be managed effectively in most areas of activity. There are improvements in many of the topics since the </w:t>
      </w:r>
      <w:r w:rsidRPr="000B63AE">
        <w:t>Outlook Report 2014</w:t>
      </w:r>
      <w:r>
        <w:rPr>
          <w:i/>
        </w:rPr>
        <w:t xml:space="preserve">. </w:t>
      </w:r>
      <w:r w:rsidRPr="00B633F0">
        <w:t xml:space="preserve">Many of the improvements are a result of the </w:t>
      </w:r>
      <w:r w:rsidRPr="001C3A06">
        <w:rPr>
          <w:i/>
        </w:rPr>
        <w:t>Reef 2050 Plan</w:t>
      </w:r>
      <w:r w:rsidRPr="00B633F0">
        <w:t xml:space="preserve">, which was developed as a result of 2011 World Heritage Committee request for a coordinated and long-term plan to address issues concerning the risks to the Outstanding Universal Value of the Great Barrier Reef World Heritage Area. The Reef 2050 Plan documents a range of actions, targets and objectives to address the key threats to the Region, identified through the </w:t>
      </w:r>
      <w:r w:rsidRPr="00DE60A7">
        <w:t>Great Barrier Reef Strategic Assessment</w:t>
      </w:r>
      <w:r w:rsidRPr="001C3A06">
        <w:rPr>
          <w:i/>
        </w:rPr>
        <w:t xml:space="preserve"> </w:t>
      </w:r>
      <w:r w:rsidRPr="00B633F0">
        <w:t xml:space="preserve">and the </w:t>
      </w:r>
      <w:r w:rsidRPr="00DE60A7">
        <w:t>Great Barrier Reef Coastal Zone Strategic Assessment</w:t>
      </w:r>
      <w:r w:rsidR="00A759A5">
        <w:t xml:space="preserve"> (refer Reef 2050 Insights Report)</w:t>
      </w:r>
      <w:r>
        <w:rPr>
          <w:i/>
        </w:rPr>
        <w:t>.</w:t>
      </w:r>
      <w:r w:rsidRPr="00B633F0">
        <w:t xml:space="preserve"> The impact of this work has resulted in significant improvement in knowledge and planning in a number of areas, espe</w:t>
      </w:r>
      <w:r>
        <w:t>cially in the sphere of Community benefits, Land-based run-off and P</w:t>
      </w:r>
      <w:r w:rsidRPr="00B633F0">
        <w:t>ort development. The overall assessment results are shown in Table 1.</w:t>
      </w:r>
    </w:p>
    <w:p w14:paraId="5761D692" w14:textId="77777777" w:rsidR="00A56EE9" w:rsidRPr="00B633F0" w:rsidRDefault="00A56EE9" w:rsidP="00E3690C">
      <w:pPr>
        <w:spacing w:line="276" w:lineRule="auto"/>
      </w:pPr>
      <w:r>
        <w:t>An u</w:t>
      </w:r>
      <w:r w:rsidRPr="00B633F0">
        <w:t>nderstanding of cumulative impacts and the consideration of these impacts has been incorporated into a number of assessment process</w:t>
      </w:r>
      <w:r>
        <w:t>es, policies</w:t>
      </w:r>
      <w:r w:rsidRPr="00B633F0">
        <w:t xml:space="preserve"> and guideli</w:t>
      </w:r>
      <w:r>
        <w:t>nes. This is also the case for C</w:t>
      </w:r>
      <w:r w:rsidRPr="00B633F0">
        <w:t xml:space="preserve">ommunity benefits. The international focus of the World Heritage Committee and work undertaken for the strategic assessments have contributed to a better articulation of the threats to the Region, and prioritisation of actions to reduce the threats. </w:t>
      </w:r>
    </w:p>
    <w:p w14:paraId="5761D693" w14:textId="77777777" w:rsidR="00A56EE9" w:rsidRPr="00B633F0" w:rsidRDefault="00A56EE9" w:rsidP="00E3690C">
      <w:pPr>
        <w:spacing w:line="276" w:lineRule="auto"/>
      </w:pPr>
      <w:r w:rsidRPr="00B633F0">
        <w:t xml:space="preserve">There continue to be difficulties in achieving outcomes on the ground, due to spatial and temporal scales of the threats to the Region. For example, while targeted actions have been achieved to reduce sediment and nutrient loads entering the Reef lagoon, it is recognised that the targets outlined in the Reef 2050 Plan are unlikely to be achieved in the stated timeframes. Of considerable concern is the impact of climate change on the Region’s ecosystems. The extensive coral bleaching episodes in 2016 and again in 2017 are evidence of the fragility of the system, and the need to actively address climate change. </w:t>
      </w:r>
    </w:p>
    <w:p w14:paraId="5761D694" w14:textId="0B71449A" w:rsidR="00A56EE9" w:rsidRPr="00B633F0" w:rsidRDefault="00A56EE9" w:rsidP="00E3690C">
      <w:pPr>
        <w:spacing w:line="276" w:lineRule="auto"/>
      </w:pPr>
      <w:r w:rsidRPr="00B633F0">
        <w:t xml:space="preserve">Management effectiveness remains strongest for topics that are limited in scale or complexity. For example, Defence is managed effectively cross all indicators. </w:t>
      </w:r>
      <w:r>
        <w:t>P</w:t>
      </w:r>
      <w:r w:rsidRPr="00B633F0">
        <w:t>riorit</w:t>
      </w:r>
      <w:r>
        <w:t>y has been given to complex issues such as L</w:t>
      </w:r>
      <w:r w:rsidRPr="00B633F0">
        <w:t>and-based run-off. Significant work has also been achieved in</w:t>
      </w:r>
      <w:r>
        <w:t xml:space="preserve"> recognising the less tangible C</w:t>
      </w:r>
      <w:r w:rsidRPr="00B633F0">
        <w:t>ommunity benefits</w:t>
      </w:r>
      <w:r>
        <w:t xml:space="preserve"> and Heritage values</w:t>
      </w:r>
      <w:r w:rsidRPr="00B633F0">
        <w:t xml:space="preserve"> of the </w:t>
      </w:r>
      <w:r>
        <w:t>Region</w:t>
      </w:r>
      <w:r w:rsidRPr="00B633F0">
        <w:t>.</w:t>
      </w:r>
      <w:r w:rsidR="00242993">
        <w:t xml:space="preserve"> </w:t>
      </w:r>
    </w:p>
    <w:p w14:paraId="5761D695" w14:textId="5DCA86DB" w:rsidR="00A56EE9" w:rsidRPr="002774F8" w:rsidRDefault="00A56EE9" w:rsidP="00E3690C">
      <w:pPr>
        <w:spacing w:line="276" w:lineRule="auto"/>
        <w:rPr>
          <w:rFonts w:ascii="Segoe UI" w:eastAsiaTheme="majorEastAsia" w:hAnsi="Segoe UI" w:cstheme="majorBidi"/>
          <w:b/>
          <w:color w:val="2F5496" w:themeColor="accent1" w:themeShade="BF"/>
        </w:rPr>
      </w:pPr>
      <w:bookmarkStart w:id="159" w:name="_Toc492295582"/>
      <w:r w:rsidRPr="00B633F0">
        <w:t xml:space="preserve">Management effectiveness challenges remain evident for broad scale, complex topics such as Biodiversity, Climate </w:t>
      </w:r>
      <w:r>
        <w:t>c</w:t>
      </w:r>
      <w:r w:rsidRPr="00B633F0">
        <w:t>hange, Land-based run</w:t>
      </w:r>
      <w:r>
        <w:t>-</w:t>
      </w:r>
      <w:r w:rsidRPr="00B633F0">
        <w:t xml:space="preserve">off, </w:t>
      </w:r>
      <w:proofErr w:type="gramStart"/>
      <w:r w:rsidRPr="00B633F0">
        <w:t>Fishing</w:t>
      </w:r>
      <w:proofErr w:type="gramEnd"/>
      <w:r w:rsidRPr="00B633F0">
        <w:t xml:space="preserve"> and Coastal </w:t>
      </w:r>
      <w:r>
        <w:t>d</w:t>
      </w:r>
      <w:r w:rsidRPr="00B633F0">
        <w:t xml:space="preserve">evelopment. While policy and legislation changes have improved for Coastal development </w:t>
      </w:r>
      <w:r w:rsidR="00A759A5">
        <w:t xml:space="preserve">and Ports </w:t>
      </w:r>
      <w:r w:rsidRPr="00B633F0">
        <w:t xml:space="preserve">since </w:t>
      </w:r>
      <w:r>
        <w:t xml:space="preserve">the </w:t>
      </w:r>
      <w:r w:rsidRPr="00B633F0">
        <w:t xml:space="preserve">Outlook </w:t>
      </w:r>
      <w:r>
        <w:t xml:space="preserve">Report </w:t>
      </w:r>
      <w:r w:rsidRPr="00B633F0">
        <w:t xml:space="preserve">2014, </w:t>
      </w:r>
      <w:r>
        <w:t>concerns remain</w:t>
      </w:r>
      <w:r w:rsidRPr="00B633F0">
        <w:t xml:space="preserve"> about developments that are incompatible with improv</w:t>
      </w:r>
      <w:r>
        <w:t>ing</w:t>
      </w:r>
      <w:r w:rsidRPr="00B633F0">
        <w:t xml:space="preserve"> </w:t>
      </w:r>
      <w:r>
        <w:t xml:space="preserve">the </w:t>
      </w:r>
      <w:r w:rsidRPr="00B633F0">
        <w:t>condition of the Reef, such as coal mining and legacy issues associated with industries such as tailings dams.</w:t>
      </w:r>
      <w:r w:rsidR="00242993">
        <w:t xml:space="preserve"> </w:t>
      </w:r>
      <w:r w:rsidRPr="00B633F0">
        <w:t xml:space="preserve">A sound planning system has been in place since 2017 for Fishing, but the results </w:t>
      </w:r>
      <w:r>
        <w:t>from</w:t>
      </w:r>
      <w:r w:rsidRPr="00B633F0">
        <w:t xml:space="preserve"> implementation of this plan are yet to seen.</w:t>
      </w:r>
      <w:r w:rsidR="00242993">
        <w:t xml:space="preserve"> </w:t>
      </w:r>
    </w:p>
    <w:p w14:paraId="5761D696" w14:textId="77777777" w:rsidR="00A56EE9" w:rsidRDefault="00A56EE9" w:rsidP="00A11869">
      <w:pPr>
        <w:pStyle w:val="Heading2"/>
        <w:numPr>
          <w:ilvl w:val="1"/>
          <w:numId w:val="17"/>
        </w:numPr>
        <w:ind w:left="357" w:hanging="357"/>
      </w:pPr>
      <w:bookmarkStart w:id="160" w:name="_Toc523423811"/>
      <w:r w:rsidRPr="00293960">
        <w:t>Overall</w:t>
      </w:r>
      <w:r>
        <w:t xml:space="preserve"> strengths and weakness in management effectiveness</w:t>
      </w:r>
      <w:bookmarkEnd w:id="159"/>
      <w:bookmarkEnd w:id="160"/>
    </w:p>
    <w:p w14:paraId="5761D697" w14:textId="77777777" w:rsidR="00A56EE9" w:rsidRPr="00B633F0" w:rsidRDefault="00A56EE9" w:rsidP="00E3690C">
      <w:pPr>
        <w:spacing w:line="276" w:lineRule="auto"/>
      </w:pPr>
      <w:r w:rsidRPr="00B633F0">
        <w:t xml:space="preserve">Detailed information on the grading, justification for grading and evidence used for each </w:t>
      </w:r>
      <w:r>
        <w:t>indicator is given in Appendix 5</w:t>
      </w:r>
      <w:r w:rsidRPr="00B633F0">
        <w:t>.</w:t>
      </w:r>
    </w:p>
    <w:p w14:paraId="5761D698" w14:textId="77777777" w:rsidR="00A56EE9" w:rsidRPr="00B633F0" w:rsidRDefault="00A56EE9" w:rsidP="00E3690C">
      <w:pPr>
        <w:spacing w:line="276" w:lineRule="auto"/>
      </w:pPr>
      <w:r w:rsidRPr="00B633F0">
        <w:t>The strongest performance was evident for indictors relating to aspects of Context (CO5 knowledge and understanding of stakeholders, CO4 understanding of national and international influences, and CO1</w:t>
      </w:r>
      <w:r>
        <w:t xml:space="preserve"> </w:t>
      </w:r>
      <w:r w:rsidRPr="00B633F0">
        <w:t>(knowledge and understanding of values), and stakeholder engagement (PR1 stakeholders engaged in management, PL6, stakeholder engaged in planning IN8, volunteer inputs and OC7, effective partnerships). Other indicators where performance was generally strong across the management topics were the social sustainability of management (OC6), the planning systems (PL1), local community engagement (PR2) sound governance (PR3) and the use of biophysical information in management (PR9).</w:t>
      </w:r>
    </w:p>
    <w:p w14:paraId="5761D699" w14:textId="77777777" w:rsidR="00A56EE9" w:rsidRPr="00B633F0" w:rsidRDefault="00A56EE9" w:rsidP="00E3690C">
      <w:pPr>
        <w:spacing w:line="276" w:lineRule="auto"/>
      </w:pPr>
      <w:r w:rsidRPr="00B633F0">
        <w:t xml:space="preserve">The weakest aspect of performance across the assessment related to the adequacy of inputs (IN2 adequacy of human resources to meet management objectives, IN7 availability of heritage information, IN6, availability of indigenous information), as well as the use of indigenous information in management (PR11). Targets for benchmarking (PR14) and training of management staff (PR5) were also consistently weak. Results for social sustainability were much higher than those for environmental or economic sustainability. </w:t>
      </w:r>
    </w:p>
    <w:p w14:paraId="5761D69B" w14:textId="77777777" w:rsidR="00A56EE9" w:rsidRDefault="00A56EE9">
      <w:r>
        <w:br w:type="page"/>
      </w:r>
    </w:p>
    <w:bookmarkStart w:id="161" w:name="_Toc523423812" w:displacedByCustomXml="next"/>
    <w:sdt>
      <w:sdtPr>
        <w:rPr>
          <w:rFonts w:ascii="Arial" w:eastAsiaTheme="minorHAnsi" w:hAnsi="Arial" w:cstheme="minorBidi"/>
          <w:b w:val="0"/>
          <w:color w:val="auto"/>
          <w:sz w:val="22"/>
          <w:szCs w:val="22"/>
        </w:rPr>
        <w:id w:val="-1899124600"/>
        <w:docPartObj>
          <w:docPartGallery w:val="Bibliographies"/>
          <w:docPartUnique/>
        </w:docPartObj>
      </w:sdtPr>
      <w:sdtEndPr>
        <w:rPr>
          <w:rFonts w:ascii="Segoe UI" w:eastAsiaTheme="majorEastAsia" w:hAnsi="Segoe UI" w:cstheme="majorBidi"/>
          <w:b/>
          <w:color w:val="2F5496" w:themeColor="accent1" w:themeShade="BF"/>
          <w:sz w:val="32"/>
          <w:szCs w:val="32"/>
        </w:rPr>
      </w:sdtEndPr>
      <w:sdtContent>
        <w:p w14:paraId="5761D69D" w14:textId="641E71D4" w:rsidR="00A56EE9" w:rsidRPr="00405486" w:rsidRDefault="00A56EE9" w:rsidP="00BB6AD5">
          <w:pPr>
            <w:pStyle w:val="Heading1"/>
            <w:numPr>
              <w:ilvl w:val="0"/>
              <w:numId w:val="17"/>
            </w:numPr>
            <w:tabs>
              <w:tab w:val="clear" w:pos="360"/>
            </w:tabs>
          </w:pPr>
          <w:r w:rsidRPr="00293960">
            <w:t>Bibliography</w:t>
          </w:r>
        </w:p>
        <w:bookmarkEnd w:id="161" w:displacedByCustomXml="next"/>
      </w:sdtContent>
    </w:sdt>
    <w:p w14:paraId="5761D6A0" w14:textId="77777777" w:rsidR="00A56EE9" w:rsidRDefault="00A56EE9" w:rsidP="00BB6AD5">
      <w:r>
        <w:t xml:space="preserve">Bergseth, B.J. and Roscher, M. 2018, </w:t>
      </w:r>
      <w:proofErr w:type="gramStart"/>
      <w:r>
        <w:t>Discerning</w:t>
      </w:r>
      <w:proofErr w:type="gramEnd"/>
      <w:r>
        <w:t xml:space="preserve"> the culture of compliance through recreational fisher’s perceptions of poaching. </w:t>
      </w:r>
      <w:r w:rsidRPr="00BB5489">
        <w:rPr>
          <w:i/>
        </w:rPr>
        <w:t>Marine Policy</w:t>
      </w:r>
      <w:r>
        <w:t>, 89:132-141</w:t>
      </w:r>
    </w:p>
    <w:p w14:paraId="5761D6A1" w14:textId="4A0BB3A1" w:rsidR="00A56EE9" w:rsidRDefault="00A56EE9" w:rsidP="00BB6AD5">
      <w:r>
        <w:t>Bergseth, B.J.; Williamson, D.H.; Russ, G.R.; Suton, G.R. and Cinner, J.E.</w:t>
      </w:r>
      <w:r w:rsidR="00242993">
        <w:t xml:space="preserve"> </w:t>
      </w:r>
      <w:r>
        <w:t xml:space="preserve">2017, A social-ecological approach to assessing and managing poaching by recreational fishers. </w:t>
      </w:r>
      <w:r w:rsidRPr="00BB5489">
        <w:rPr>
          <w:i/>
        </w:rPr>
        <w:t>Frontiers in Ecology and the Environment.</w:t>
      </w:r>
      <w:r>
        <w:t xml:space="preserve"> 15:67-73</w:t>
      </w:r>
    </w:p>
    <w:p w14:paraId="44B13B5A" w14:textId="77777777" w:rsidR="0052554C" w:rsidRPr="00C93EF3" w:rsidRDefault="0052554C" w:rsidP="0052554C">
      <w:pPr>
        <w:rPr>
          <w:rFonts w:cs="Arial"/>
          <w:bCs/>
          <w:i/>
        </w:rPr>
      </w:pPr>
      <w:r w:rsidRPr="00640E74">
        <w:rPr>
          <w:rFonts w:cs="Arial"/>
          <w:bCs/>
        </w:rPr>
        <w:t>Buckley, S., Thurstan, R.H., Tobin, A., Pandolfi, J.M.</w:t>
      </w:r>
      <w:r w:rsidRPr="00640E74">
        <w:rPr>
          <w:rFonts w:cs="Arial"/>
          <w:bCs/>
          <w:i/>
        </w:rPr>
        <w:t xml:space="preserve"> </w:t>
      </w:r>
      <w:r w:rsidRPr="00C93EF3">
        <w:rPr>
          <w:rFonts w:cs="Arial"/>
          <w:bCs/>
        </w:rPr>
        <w:t>2017</w:t>
      </w:r>
      <w:r>
        <w:rPr>
          <w:rFonts w:cs="Arial"/>
          <w:bCs/>
        </w:rPr>
        <w:t>,</w:t>
      </w:r>
      <w:r w:rsidRPr="00640E74">
        <w:rPr>
          <w:rFonts w:cs="Arial"/>
          <w:bCs/>
          <w:i/>
        </w:rPr>
        <w:t xml:space="preserve"> </w:t>
      </w:r>
      <w:r w:rsidRPr="00640E74">
        <w:rPr>
          <w:rFonts w:cs="Arial"/>
          <w:bCs/>
        </w:rPr>
        <w:t>Historical spatial reconstruction of a spawning</w:t>
      </w:r>
      <w:r w:rsidRPr="00640E74">
        <w:rPr>
          <w:rFonts w:ascii="Cambria Math" w:hAnsi="Cambria Math" w:cs="Cambria Math"/>
          <w:bCs/>
        </w:rPr>
        <w:t>‐</w:t>
      </w:r>
      <w:r w:rsidRPr="00640E74">
        <w:rPr>
          <w:rFonts w:cs="Arial"/>
          <w:bCs/>
        </w:rPr>
        <w:t>aggregation fishery.</w:t>
      </w:r>
      <w:r w:rsidRPr="00640E74">
        <w:rPr>
          <w:rFonts w:cs="Arial"/>
          <w:bCs/>
          <w:i/>
        </w:rPr>
        <w:t xml:space="preserve"> Conservation Biology. 31:6 1322-1332.</w:t>
      </w:r>
    </w:p>
    <w:p w14:paraId="5761D6A2" w14:textId="459680BC" w:rsidR="00A56EE9" w:rsidRDefault="00A56EE9" w:rsidP="00BB6AD5">
      <w:pPr>
        <w:rPr>
          <w:lang w:val="en-US"/>
        </w:rPr>
      </w:pPr>
      <w:r w:rsidRPr="00B54046">
        <w:t xml:space="preserve">Collier, C.J., Langlois, L. Zemoi, </w:t>
      </w:r>
      <w:r>
        <w:t>R.</w:t>
      </w:r>
      <w:proofErr w:type="gramStart"/>
      <w:r>
        <w:t>,Martin</w:t>
      </w:r>
      <w:proofErr w:type="gramEnd"/>
      <w:r>
        <w:t>, K. and McKenzie, L. 2016,</w:t>
      </w:r>
      <w:r w:rsidRPr="00B54046">
        <w:t xml:space="preserve"> Developing and refining biological indicators for condition assessments in an integrated monitoring program. Report to the National Environmental Science Programme. Reef and Rainforest </w:t>
      </w:r>
      <w:proofErr w:type="gramStart"/>
      <w:r w:rsidRPr="00B54046">
        <w:t>Research</w:t>
      </w:r>
      <w:r w:rsidR="00242993">
        <w:t xml:space="preserve"> </w:t>
      </w:r>
      <w:r>
        <w:rPr>
          <w:lang w:val="en-US"/>
        </w:rPr>
        <w:t xml:space="preserve"> </w:t>
      </w:r>
      <w:r w:rsidRPr="00B54046">
        <w:t>Centre</w:t>
      </w:r>
      <w:proofErr w:type="gramEnd"/>
      <w:r w:rsidRPr="00B54046">
        <w:t xml:space="preserve"> Limited, Cairns, 31pp</w:t>
      </w:r>
    </w:p>
    <w:p w14:paraId="5761D6A3" w14:textId="39D5811E" w:rsidR="00A56EE9" w:rsidRDefault="00A56EE9" w:rsidP="00BB6AD5">
      <w:r>
        <w:rPr>
          <w:lang w:val="en-US"/>
        </w:rPr>
        <w:t>Commonwealth of Australia 1999, Policy on the Management of Land Affected by Unexploded Ordnance</w:t>
      </w:r>
      <w:r w:rsidR="00C11915">
        <w:rPr>
          <w:lang w:val="en-US"/>
        </w:rPr>
        <w:t>,</w:t>
      </w:r>
      <w:r w:rsidRPr="00AB024A">
        <w:t xml:space="preserve"> </w:t>
      </w:r>
      <w:r w:rsidR="00C11915">
        <w:rPr>
          <w:lang w:val="en-US"/>
        </w:rPr>
        <w:t xml:space="preserve">Commonwealth of Australia, </w:t>
      </w:r>
      <w:hyperlink r:id="rId30" w:tooltip="document" w:history="1">
        <w:r w:rsidRPr="00AB024A">
          <w:rPr>
            <w:rStyle w:val="Hyperlink"/>
            <w:lang w:val="en-US"/>
          </w:rPr>
          <w:t>http://www.defence.gov.au/UXO/What/_Master/Docs/CommonwealthPolicyOnTheManagementOfLandAffectedByUnexplodedOrdnance-19May99.pdf</w:t>
        </w:r>
      </w:hyperlink>
      <w:r w:rsidR="00C11915" w:rsidRPr="00B54046" w:rsidDel="00403B1C">
        <w:t xml:space="preserve"> </w:t>
      </w:r>
    </w:p>
    <w:p w14:paraId="78B6487F" w14:textId="65851765" w:rsidR="00C70E92" w:rsidRDefault="00C70E92" w:rsidP="00BB6AD5">
      <w:r>
        <w:t>Commonwealth of Australia 2015, Reef 2050 Long-Term Sustainability Plan, Commonwealth of Australia, Canberra</w:t>
      </w:r>
    </w:p>
    <w:p w14:paraId="77101EDD" w14:textId="77777777" w:rsidR="00403B1C" w:rsidRPr="00C93EF3" w:rsidRDefault="00403B1C" w:rsidP="00403B1C">
      <w:pPr>
        <w:rPr>
          <w:rFonts w:eastAsia="Times New Roman" w:cs="Arial"/>
        </w:rPr>
      </w:pPr>
      <w:r>
        <w:rPr>
          <w:rFonts w:eastAsia="Times New Roman" w:cs="Arial"/>
        </w:rPr>
        <w:t>Commonwealth of Australia</w:t>
      </w:r>
      <w:r w:rsidRPr="00C93EF3">
        <w:rPr>
          <w:rFonts w:eastAsia="Times New Roman" w:cs="Arial"/>
        </w:rPr>
        <w:t xml:space="preserve"> 2016, </w:t>
      </w:r>
      <w:r w:rsidRPr="00D27653">
        <w:rPr>
          <w:rFonts w:eastAsia="Times New Roman" w:cs="Arial"/>
          <w:i/>
        </w:rPr>
        <w:t>Reef 2050 Plan Investment Framework</w:t>
      </w:r>
      <w:r w:rsidRPr="00C93EF3">
        <w:rPr>
          <w:rFonts w:eastAsia="Times New Roman" w:cs="Arial"/>
        </w:rPr>
        <w:t>. http://www.environment.gov.au/ marine/gbr/publications/reef-2050-investment-framework</w:t>
      </w:r>
      <w:r>
        <w:rPr>
          <w:rFonts w:eastAsia="Times New Roman" w:cs="Arial"/>
        </w:rPr>
        <w:t>, Commonwealth of Australia, Canberra</w:t>
      </w:r>
    </w:p>
    <w:p w14:paraId="5761D6A4" w14:textId="4B116B7E" w:rsidR="00A56EE9" w:rsidRDefault="00A56EE9" w:rsidP="00403B1C">
      <w:r w:rsidRPr="00B54046">
        <w:t>Commonwealth of Aust</w:t>
      </w:r>
      <w:r>
        <w:t xml:space="preserve">ralia. 2017, </w:t>
      </w:r>
      <w:r w:rsidRPr="000378CE">
        <w:rPr>
          <w:i/>
        </w:rPr>
        <w:t>Recovery Plan for Marine Turtles in Australia 2017-2027</w:t>
      </w:r>
      <w:r w:rsidRPr="00B54046">
        <w:t>. Commonwealth of Australia, Canberra.</w:t>
      </w:r>
    </w:p>
    <w:p w14:paraId="20A5D7AA" w14:textId="77777777" w:rsidR="0052554C" w:rsidRDefault="0052554C" w:rsidP="0052554C">
      <w:pPr>
        <w:rPr>
          <w:rFonts w:ascii="Times New Roman" w:eastAsia="Times New Roman" w:hAnsi="Times New Roman"/>
        </w:rPr>
      </w:pPr>
      <w:r>
        <w:rPr>
          <w:rFonts w:eastAsia="Times New Roman"/>
        </w:rPr>
        <w:t>Commonwealth of Australia. 2017. In hot water: the impacts of climate change on marine fisheries and biodiversity. Environment and Communications References Committee. Canberra December 2017. </w:t>
      </w:r>
      <w:hyperlink r:id="rId31" w:history="1">
        <w:r>
          <w:rPr>
            <w:rStyle w:val="Hyperlink"/>
            <w:rFonts w:eastAsia="Times New Roman"/>
          </w:rPr>
          <w:t>https://www.aph.gov.au/Parliamentary_Business/Committees/Senate/Environment_and_Communications/ClimateChangeOceans/Report</w:t>
        </w:r>
      </w:hyperlink>
    </w:p>
    <w:p w14:paraId="3E1B8E87" w14:textId="4B31977B" w:rsidR="00403B1C" w:rsidRDefault="00403B1C" w:rsidP="00403B1C">
      <w:pPr>
        <w:rPr>
          <w:rFonts w:eastAsia="Times New Roman" w:cs="Arial"/>
        </w:rPr>
      </w:pPr>
      <w:r>
        <w:rPr>
          <w:rFonts w:eastAsia="Times New Roman" w:cs="Arial"/>
        </w:rPr>
        <w:t>Commonwealth of Australia. 2018,</w:t>
      </w:r>
      <w:r w:rsidRPr="00640E74">
        <w:rPr>
          <w:rFonts w:eastAsia="Times New Roman" w:cs="Arial"/>
        </w:rPr>
        <w:t xml:space="preserve"> </w:t>
      </w:r>
      <w:r w:rsidRPr="00640E74">
        <w:rPr>
          <w:rFonts w:eastAsia="Times New Roman" w:cs="Arial"/>
          <w:i/>
        </w:rPr>
        <w:t>Reef 2050 Water Quality Improvement Plan 2017–2022</w:t>
      </w:r>
      <w:r w:rsidRPr="00640E74">
        <w:rPr>
          <w:rFonts w:eastAsia="Times New Roman" w:cs="Arial"/>
        </w:rPr>
        <w:t xml:space="preserve">. </w:t>
      </w:r>
      <w:r>
        <w:rPr>
          <w:rFonts w:eastAsia="Times New Roman" w:cs="Arial"/>
        </w:rPr>
        <w:t>Commonwealth of Australia, Canberra</w:t>
      </w:r>
    </w:p>
    <w:p w14:paraId="5761D6A5" w14:textId="6599B6D8" w:rsidR="00A56EE9" w:rsidRDefault="00A56EE9" w:rsidP="00BB6AD5">
      <w:r>
        <w:t xml:space="preserve">Comstock, M. and Hackmann, B. 2018, </w:t>
      </w:r>
      <w:r w:rsidRPr="008B51EF">
        <w:t>Achieving Long-term Ambition on Climate Change</w:t>
      </w:r>
      <w:r>
        <w:t xml:space="preserve">. </w:t>
      </w:r>
      <w:hyperlink r:id="rId32" w:history="1">
        <w:r w:rsidR="002B2533" w:rsidRPr="00C84F2D">
          <w:rPr>
            <w:rStyle w:val="Hyperlink"/>
          </w:rPr>
          <w:t>https://unfccc.int/news/achieving-long-term-ambition-on-climate-change Accessed 17/7/2018</w:t>
        </w:r>
      </w:hyperlink>
      <w:r>
        <w:t>.</w:t>
      </w:r>
    </w:p>
    <w:p w14:paraId="04779217" w14:textId="38EAF2D6" w:rsidR="002B2533" w:rsidRDefault="002B2533" w:rsidP="00BB6AD5">
      <w:r>
        <w:rPr>
          <w:lang w:val="en"/>
        </w:rPr>
        <w:t xml:space="preserve">Dale, A.P., Vella, K., Pressey, R.L., Brodie, J., Gooch, M., Potts, R. and Eberhard, R. 2016, Risk analysis of the governance system affecting outcomes in the Great Barrier Reef, </w:t>
      </w:r>
      <w:r>
        <w:rPr>
          <w:i/>
          <w:iCs/>
          <w:lang w:val="en"/>
        </w:rPr>
        <w:t xml:space="preserve">Journal of environmental management </w:t>
      </w:r>
      <w:r>
        <w:rPr>
          <w:lang w:val="en"/>
        </w:rPr>
        <w:t>183: 712-721.</w:t>
      </w:r>
    </w:p>
    <w:p w14:paraId="5761D6A6" w14:textId="77777777" w:rsidR="00A56EE9" w:rsidRDefault="00A56EE9" w:rsidP="00BB6AD5">
      <w:r w:rsidRPr="00B54046">
        <w:t>Dale, A., M. Georg</w:t>
      </w:r>
      <w:r>
        <w:t>e, R. Hill, and D. Fraser. 2016,</w:t>
      </w:r>
      <w:r w:rsidRPr="00B54046">
        <w:t xml:space="preserve"> Traditional Owners and Sea Country in the Southern Great Barrier Reef – Which Way Forward? Report to the National Environmental Science Programme, Cairns.</w:t>
      </w:r>
    </w:p>
    <w:p w14:paraId="1226A582" w14:textId="42D48E14" w:rsidR="002D6DD6" w:rsidRDefault="002D6DD6" w:rsidP="00BB6AD5">
      <w:r>
        <w:rPr>
          <w:lang w:val="en"/>
        </w:rPr>
        <w:t xml:space="preserve">Deloitte Access Economics 2017, </w:t>
      </w:r>
      <w:proofErr w:type="gramStart"/>
      <w:r>
        <w:rPr>
          <w:i/>
          <w:iCs/>
          <w:lang w:val="en"/>
        </w:rPr>
        <w:t>At</w:t>
      </w:r>
      <w:proofErr w:type="gramEnd"/>
      <w:r>
        <w:rPr>
          <w:i/>
          <w:iCs/>
          <w:lang w:val="en"/>
        </w:rPr>
        <w:t xml:space="preserve"> what price? The economic, social and icon value of the Great Barrier Reef, </w:t>
      </w:r>
      <w:r>
        <w:rPr>
          <w:lang w:val="en"/>
        </w:rPr>
        <w:t>Deloitte Access Economics, Brisbane, &lt;</w:t>
      </w:r>
      <w:hyperlink r:id="rId33" w:tgtFrame="_blank" w:history="1">
        <w:r>
          <w:rPr>
            <w:rStyle w:val="Hyperlink"/>
            <w:lang w:val="en"/>
          </w:rPr>
          <w:t>https://www2.deloitte.com/content/dam/Deloitte/au/Documents/Economics/deloitte-au-economics-great-barrier-reef-230617.pdf</w:t>
        </w:r>
      </w:hyperlink>
      <w:r>
        <w:rPr>
          <w:lang w:val="en"/>
        </w:rPr>
        <w:t>&gt;</w:t>
      </w:r>
    </w:p>
    <w:p w14:paraId="5761D6A7" w14:textId="4931FEAE" w:rsidR="00A56EE9" w:rsidRPr="00640E74" w:rsidRDefault="00A56EE9" w:rsidP="00BB6AD5">
      <w:pPr>
        <w:rPr>
          <w:rFonts w:eastAsia="Times New Roman" w:cs="Arial"/>
        </w:rPr>
      </w:pPr>
      <w:r w:rsidRPr="00640E74">
        <w:rPr>
          <w:rFonts w:eastAsia="Times New Roman" w:cs="Arial"/>
        </w:rPr>
        <w:t>Department of Infrastructure, Local Government and Planning. 2017</w:t>
      </w:r>
      <w:r>
        <w:rPr>
          <w:rFonts w:eastAsia="Times New Roman" w:cs="Arial"/>
        </w:rPr>
        <w:t>,</w:t>
      </w:r>
      <w:r w:rsidRPr="00640E74">
        <w:rPr>
          <w:rFonts w:eastAsia="Times New Roman" w:cs="Arial"/>
        </w:rPr>
        <w:t xml:space="preserve"> </w:t>
      </w:r>
      <w:r w:rsidRPr="00640E74">
        <w:rPr>
          <w:rFonts w:eastAsia="Times New Roman" w:cs="Arial"/>
          <w:i/>
        </w:rPr>
        <w:t>State Planning Policy</w:t>
      </w:r>
      <w:r w:rsidR="00242993">
        <w:rPr>
          <w:rFonts w:eastAsia="Times New Roman" w:cs="Arial"/>
          <w:i/>
        </w:rPr>
        <w:t xml:space="preserve"> </w:t>
      </w:r>
      <w:r w:rsidRPr="00640E74">
        <w:rPr>
          <w:rFonts w:eastAsia="Times New Roman" w:cs="Arial"/>
        </w:rPr>
        <w:t xml:space="preserve">The State of Queensland. </w:t>
      </w:r>
      <w:hyperlink r:id="rId34" w:tooltip="document" w:history="1">
        <w:r w:rsidRPr="00640E74">
          <w:rPr>
            <w:rStyle w:val="Hyperlink"/>
            <w:rFonts w:eastAsia="Times New Roman" w:cs="Arial"/>
          </w:rPr>
          <w:t>https://dilgpprd.blob.core.windows.net/general/spp-july-2017.pdf</w:t>
        </w:r>
      </w:hyperlink>
      <w:r>
        <w:rPr>
          <w:rFonts w:eastAsia="Times New Roman" w:cs="Arial"/>
        </w:rPr>
        <w:t>.</w:t>
      </w:r>
    </w:p>
    <w:p w14:paraId="5761D6A8" w14:textId="77777777" w:rsidR="00A56EE9" w:rsidRPr="00C93EF3" w:rsidRDefault="00A56EE9" w:rsidP="00BB6AD5">
      <w:r w:rsidRPr="00C93EF3">
        <w:t>Department of State Development, Infrastructure and Planning. 2014a</w:t>
      </w:r>
      <w:r>
        <w:t>,</w:t>
      </w:r>
      <w:r w:rsidRPr="00C93EF3">
        <w:t xml:space="preserve"> </w:t>
      </w:r>
      <w:r w:rsidRPr="00C93EF3">
        <w:rPr>
          <w:i/>
        </w:rPr>
        <w:t>Great Barrier Reef Coastal Zone Strategic Assessment Report.</w:t>
      </w:r>
      <w:r w:rsidRPr="00C93EF3">
        <w:t xml:space="preserve"> Queensland Government Brisbane. </w:t>
      </w:r>
    </w:p>
    <w:p w14:paraId="5761D6A9" w14:textId="2266888D" w:rsidR="00A56EE9" w:rsidRPr="00640E74" w:rsidRDefault="00A56EE9" w:rsidP="00BB6AD5">
      <w:pPr>
        <w:rPr>
          <w:rFonts w:cs="Arial"/>
        </w:rPr>
      </w:pPr>
      <w:r w:rsidRPr="00640E74">
        <w:rPr>
          <w:rFonts w:cs="Arial"/>
        </w:rPr>
        <w:t>Department of State Development, Infrastructure and Planning</w:t>
      </w:r>
      <w:r w:rsidRPr="00C93EF3">
        <w:rPr>
          <w:rFonts w:cs="Arial"/>
        </w:rPr>
        <w:t xml:space="preserve"> 2014b</w:t>
      </w:r>
      <w:r>
        <w:rPr>
          <w:rFonts w:cs="Arial"/>
        </w:rPr>
        <w:t>,</w:t>
      </w:r>
      <w:r w:rsidR="00242993">
        <w:rPr>
          <w:rFonts w:cs="Arial"/>
        </w:rPr>
        <w:t xml:space="preserve"> </w:t>
      </w:r>
      <w:r w:rsidRPr="00C93EF3">
        <w:rPr>
          <w:rFonts w:cs="Arial"/>
          <w:i/>
        </w:rPr>
        <w:t>Queensland Ports Strategy</w:t>
      </w:r>
      <w:r w:rsidRPr="00C93EF3">
        <w:rPr>
          <w:rFonts w:cs="Arial"/>
        </w:rPr>
        <w:t>. The State of Queensland.</w:t>
      </w:r>
      <w:r w:rsidR="00242993">
        <w:rPr>
          <w:rFonts w:cs="Arial"/>
        </w:rPr>
        <w:t xml:space="preserve"> </w:t>
      </w:r>
    </w:p>
    <w:p w14:paraId="5761D6AA" w14:textId="75A6BDF4" w:rsidR="00A56EE9" w:rsidRPr="00640E74" w:rsidRDefault="00A56EE9" w:rsidP="00BB6AD5">
      <w:pPr>
        <w:rPr>
          <w:rFonts w:cs="Arial"/>
          <w:i/>
        </w:rPr>
      </w:pPr>
      <w:r w:rsidRPr="00640E74">
        <w:rPr>
          <w:rFonts w:cs="Arial"/>
        </w:rPr>
        <w:t>Department of State Development 2016</w:t>
      </w:r>
      <w:r>
        <w:rPr>
          <w:rFonts w:cs="Arial"/>
        </w:rPr>
        <w:t>,</w:t>
      </w:r>
      <w:r w:rsidRPr="00640E74">
        <w:rPr>
          <w:rFonts w:cs="Arial"/>
        </w:rPr>
        <w:t xml:space="preserve"> </w:t>
      </w:r>
      <w:r w:rsidRPr="00640E74">
        <w:rPr>
          <w:rFonts w:cs="Arial"/>
          <w:i/>
        </w:rPr>
        <w:t xml:space="preserve">Guideline: master planning process for priority ports. </w:t>
      </w:r>
      <w:r w:rsidRPr="00640E74">
        <w:rPr>
          <w:rFonts w:cs="Arial"/>
        </w:rPr>
        <w:t>State of Queensland.</w:t>
      </w:r>
      <w:r w:rsidRPr="00640E74">
        <w:rPr>
          <w:rFonts w:cs="Arial"/>
          <w:i/>
        </w:rPr>
        <w:t xml:space="preserve"> </w:t>
      </w:r>
      <w:hyperlink r:id="rId35" w:tooltip="document" w:history="1">
        <w:r w:rsidRPr="00640E74">
          <w:rPr>
            <w:rStyle w:val="Hyperlink"/>
            <w:rFonts w:cs="Arial"/>
            <w:i/>
          </w:rPr>
          <w:t>http://statedevelopment.qld.gov.au/industry-development/port-master-planning-for-priority-ports.html</w:t>
        </w:r>
      </w:hyperlink>
    </w:p>
    <w:p w14:paraId="5761D6AB" w14:textId="77777777" w:rsidR="00A56EE9" w:rsidRPr="00B54046" w:rsidRDefault="00A56EE9" w:rsidP="00BB6AD5">
      <w:r w:rsidRPr="00B54046">
        <w:t>Gooch, M., Curnock, M., Dale, A., Gibson, J., Hill, R., Marshall</w:t>
      </w:r>
      <w:r>
        <w:t>, N., Molloy, F. and Vella, K. 2017,</w:t>
      </w:r>
      <w:r w:rsidRPr="00B54046">
        <w:t xml:space="preserve"> Assessment and Promotion of the Great Barrier Reef's Human Dimensions </w:t>
      </w:r>
      <w:proofErr w:type="gramStart"/>
      <w:r w:rsidRPr="00B54046">
        <w:t>Through</w:t>
      </w:r>
      <w:proofErr w:type="gramEnd"/>
      <w:r w:rsidRPr="00B54046">
        <w:t xml:space="preserve"> Collaboration. Coastal Management 45(6): 519-537.</w:t>
      </w:r>
    </w:p>
    <w:p w14:paraId="5761D6AC" w14:textId="77777777" w:rsidR="00A56EE9" w:rsidRDefault="00A56EE9" w:rsidP="00BB6AD5">
      <w:r>
        <w:t xml:space="preserve">Great Barrier Reef Marine Park Authority 2009, </w:t>
      </w:r>
      <w:r>
        <w:rPr>
          <w:i/>
        </w:rPr>
        <w:t>Great Barrier R</w:t>
      </w:r>
      <w:r w:rsidRPr="00D93690">
        <w:rPr>
          <w:i/>
        </w:rPr>
        <w:t>eef Outlook Report</w:t>
      </w:r>
      <w:r>
        <w:rPr>
          <w:i/>
        </w:rPr>
        <w:t xml:space="preserve">. </w:t>
      </w:r>
      <w:r>
        <w:t>Great Barrier Reef Marine Park Authority.</w:t>
      </w:r>
      <w:r>
        <w:rPr>
          <w:i/>
        </w:rPr>
        <w:t xml:space="preserve"> </w:t>
      </w:r>
      <w:r w:rsidRPr="00D93690">
        <w:t>Townsvill</w:t>
      </w:r>
      <w:r>
        <w:t>e.</w:t>
      </w:r>
    </w:p>
    <w:p w14:paraId="5761D6AD" w14:textId="35D631D9" w:rsidR="00A56EE9" w:rsidRPr="00DE60A7" w:rsidRDefault="00A56EE9" w:rsidP="00BB6AD5">
      <w:pPr>
        <w:rPr>
          <w:rFonts w:eastAsia="Times New Roman" w:cs="Arial"/>
        </w:rPr>
      </w:pPr>
      <w:r w:rsidRPr="00DE60A7">
        <w:rPr>
          <w:rFonts w:cs="Arial"/>
        </w:rPr>
        <w:t>Great Barrier Reef Marine Park Authority</w:t>
      </w:r>
      <w:r w:rsidRPr="00DE60A7">
        <w:rPr>
          <w:rFonts w:eastAsia="Times New Roman" w:cs="Arial"/>
        </w:rPr>
        <w:t xml:space="preserve"> 2012a</w:t>
      </w:r>
      <w:r>
        <w:rPr>
          <w:rFonts w:eastAsia="Times New Roman" w:cs="Arial"/>
        </w:rPr>
        <w:t xml:space="preserve">, </w:t>
      </w:r>
      <w:r w:rsidRPr="00640E74">
        <w:rPr>
          <w:rFonts w:eastAsia="Times New Roman" w:cs="Arial"/>
          <w:i/>
        </w:rPr>
        <w:t>Recreation management strategy for the Great Barrier Reef Marine Park</w:t>
      </w:r>
      <w:r w:rsidR="00C11915">
        <w:rPr>
          <w:rFonts w:eastAsia="Times New Roman" w:cs="Arial"/>
          <w:i/>
        </w:rPr>
        <w:t>,</w:t>
      </w:r>
      <w:r w:rsidRPr="00DE60A7">
        <w:rPr>
          <w:rFonts w:cs="Arial"/>
        </w:rPr>
        <w:t xml:space="preserve"> </w:t>
      </w:r>
      <w:r w:rsidR="00C11915" w:rsidRPr="00DE60A7">
        <w:rPr>
          <w:rFonts w:cs="Arial"/>
        </w:rPr>
        <w:t>Great Barrier Reef Marine Park Authority</w:t>
      </w:r>
      <w:r w:rsidR="00C11915">
        <w:rPr>
          <w:rFonts w:cs="Arial"/>
        </w:rPr>
        <w:t>, Townsville</w:t>
      </w:r>
      <w:r w:rsidR="00C11915">
        <w:rPr>
          <w:rStyle w:val="Hyperlink"/>
          <w:rFonts w:eastAsia="Times New Roman" w:cs="Arial"/>
        </w:rPr>
        <w:t xml:space="preserve"> </w:t>
      </w:r>
      <w:hyperlink r:id="rId36" w:tooltip="document" w:history="1">
        <w:r w:rsidRPr="00DE60A7">
          <w:rPr>
            <w:rStyle w:val="Hyperlink"/>
            <w:rFonts w:eastAsia="Times New Roman" w:cs="Arial"/>
          </w:rPr>
          <w:t>http://dspace-prod.gbrmpa.gov.au/jspui/bitstream/11017/3108/1/GBRMPA-Recreation-Management-Strategy-2012.pdf</w:t>
        </w:r>
      </w:hyperlink>
      <w:r w:rsidR="00436A76">
        <w:rPr>
          <w:rStyle w:val="Hyperlink"/>
          <w:rFonts w:eastAsia="Times New Roman" w:cs="Arial"/>
        </w:rPr>
        <w:t xml:space="preserve"> </w:t>
      </w:r>
    </w:p>
    <w:p w14:paraId="5761D6AE" w14:textId="77777777" w:rsidR="00A56EE9" w:rsidRDefault="00A56EE9" w:rsidP="00BB6AD5">
      <w:pPr>
        <w:rPr>
          <w:rFonts w:eastAsia="Times New Roman" w:cs="Arial"/>
        </w:rPr>
      </w:pPr>
      <w:r w:rsidRPr="00640E74">
        <w:rPr>
          <w:rFonts w:eastAsia="Times New Roman" w:cs="Arial"/>
        </w:rPr>
        <w:t>Great Barrier Reef Marine Park Authority</w:t>
      </w:r>
      <w:r w:rsidRPr="00DE60A7">
        <w:rPr>
          <w:rFonts w:eastAsia="Times New Roman" w:cs="Arial"/>
        </w:rPr>
        <w:t xml:space="preserve"> 2012b</w:t>
      </w:r>
      <w:r>
        <w:rPr>
          <w:rFonts w:eastAsia="Times New Roman" w:cs="Arial"/>
        </w:rPr>
        <w:t>,</w:t>
      </w:r>
      <w:r w:rsidRPr="00640E74">
        <w:rPr>
          <w:rFonts w:eastAsia="Times New Roman" w:cs="Arial"/>
        </w:rPr>
        <w:t xml:space="preserve"> </w:t>
      </w:r>
      <w:r>
        <w:rPr>
          <w:rFonts w:eastAsia="Times New Roman" w:cs="Arial"/>
          <w:i/>
        </w:rPr>
        <w:t>Informing the O</w:t>
      </w:r>
      <w:r w:rsidRPr="00640E74">
        <w:rPr>
          <w:rFonts w:eastAsia="Times New Roman" w:cs="Arial"/>
          <w:i/>
        </w:rPr>
        <w:t>utlook for Great Barrier Reef coastal ecosystems</w:t>
      </w:r>
      <w:r w:rsidRPr="00640E74">
        <w:rPr>
          <w:rFonts w:eastAsia="Times New Roman" w:cs="Arial"/>
        </w:rPr>
        <w:t>, Great Barrier Reef Marine Park Authority, Townsville.</w:t>
      </w:r>
    </w:p>
    <w:p w14:paraId="5761D6AF" w14:textId="37F4DEB0" w:rsidR="00A56EE9" w:rsidRDefault="00A56EE9" w:rsidP="00BB6AD5">
      <w:pPr>
        <w:spacing w:after="0" w:line="240" w:lineRule="auto"/>
        <w:rPr>
          <w:i/>
        </w:rPr>
      </w:pPr>
      <w:r w:rsidRPr="00D27653">
        <w:t>Great Barrier Reef Marine Park Authority 2012c</w:t>
      </w:r>
      <w:r w:rsidRPr="00D27653">
        <w:rPr>
          <w:i/>
        </w:rPr>
        <w:t xml:space="preserve">, Coastal Ecosystems Assessment Framework 2012, GBRMPA, </w:t>
      </w:r>
      <w:r w:rsidRPr="00C11915">
        <w:rPr>
          <w:i/>
        </w:rPr>
        <w:t>Townsville</w:t>
      </w:r>
      <w:r w:rsidRPr="009B066B">
        <w:t>.</w:t>
      </w:r>
    </w:p>
    <w:p w14:paraId="5761D6B0" w14:textId="77777777" w:rsidR="00A56EE9" w:rsidRDefault="00A56EE9" w:rsidP="00BB6AD5">
      <w:pPr>
        <w:spacing w:after="0" w:line="240" w:lineRule="auto"/>
        <w:rPr>
          <w:rFonts w:ascii="Times New Roman" w:eastAsia="Times New Roman" w:hAnsi="Times New Roman" w:cs="Times New Roman"/>
          <w:sz w:val="24"/>
          <w:szCs w:val="24"/>
        </w:rPr>
      </w:pPr>
    </w:p>
    <w:p w14:paraId="5761D6B1" w14:textId="77777777" w:rsidR="00A56EE9" w:rsidRPr="00D27653" w:rsidRDefault="00A56EE9" w:rsidP="00BB6AD5">
      <w:pPr>
        <w:spacing w:after="0" w:line="240" w:lineRule="auto"/>
        <w:rPr>
          <w:rFonts w:eastAsia="Times New Roman" w:cs="Arial"/>
        </w:rPr>
      </w:pPr>
      <w:r w:rsidRPr="00D27653">
        <w:rPr>
          <w:rFonts w:eastAsia="Times New Roman" w:cs="Arial"/>
        </w:rPr>
        <w:t>Great Barrier Reef Marine Park Authority 2012</w:t>
      </w:r>
      <w:r>
        <w:rPr>
          <w:rFonts w:eastAsia="Times New Roman" w:cs="Arial"/>
        </w:rPr>
        <w:t>d</w:t>
      </w:r>
      <w:r w:rsidRPr="00D27653">
        <w:rPr>
          <w:rFonts w:eastAsia="Times New Roman" w:cs="Arial"/>
        </w:rPr>
        <w:t xml:space="preserve">, </w:t>
      </w:r>
      <w:r w:rsidRPr="00D27653">
        <w:rPr>
          <w:rFonts w:eastAsia="Times New Roman" w:cs="Arial"/>
          <w:i/>
        </w:rPr>
        <w:t>Great Barrier Reef Climate Change Adaptation Strategy and Action Plan 2012-2017</w:t>
      </w:r>
      <w:r w:rsidRPr="00D27653">
        <w:rPr>
          <w:rFonts w:eastAsia="Times New Roman" w:cs="Arial"/>
        </w:rPr>
        <w:t>, Great Barrier Reef Marine Park Authority, Townsville</w:t>
      </w:r>
      <w:r>
        <w:rPr>
          <w:rFonts w:eastAsia="Times New Roman" w:cs="Arial"/>
        </w:rPr>
        <w:t>.</w:t>
      </w:r>
    </w:p>
    <w:p w14:paraId="5761D6B2" w14:textId="77777777" w:rsidR="00A56EE9" w:rsidRDefault="00A56EE9" w:rsidP="00BB6AD5">
      <w:pPr>
        <w:spacing w:after="0" w:line="240" w:lineRule="auto"/>
        <w:rPr>
          <w:i/>
          <w:color w:val="FF0000"/>
        </w:rPr>
      </w:pPr>
    </w:p>
    <w:p w14:paraId="5761D6B3" w14:textId="77777777" w:rsidR="00A56EE9" w:rsidRPr="00D27653" w:rsidRDefault="00A56EE9" w:rsidP="00BB6AD5">
      <w:pPr>
        <w:spacing w:after="0" w:line="240" w:lineRule="auto"/>
        <w:rPr>
          <w:i/>
          <w:color w:val="000000" w:themeColor="text1"/>
        </w:rPr>
      </w:pPr>
      <w:r w:rsidRPr="00D27653">
        <w:rPr>
          <w:color w:val="000000" w:themeColor="text1"/>
        </w:rPr>
        <w:t>Great Barrier Reef Marine Park Authority 2013</w:t>
      </w:r>
      <w:r w:rsidRPr="00D27653">
        <w:rPr>
          <w:i/>
          <w:color w:val="000000" w:themeColor="text1"/>
        </w:rPr>
        <w:t xml:space="preserve">, Great Barrier Reef Biodiversity Conservation Strategy. </w:t>
      </w:r>
      <w:r w:rsidRPr="00D27653">
        <w:rPr>
          <w:color w:val="000000" w:themeColor="text1"/>
        </w:rPr>
        <w:t>GBRMPA Townsville.</w:t>
      </w:r>
      <w:r w:rsidRPr="00D27653">
        <w:rPr>
          <w:i/>
          <w:color w:val="000000" w:themeColor="text1"/>
        </w:rPr>
        <w:t xml:space="preserve"> </w:t>
      </w:r>
    </w:p>
    <w:p w14:paraId="5761D6B4" w14:textId="77777777" w:rsidR="00A56EE9" w:rsidRPr="00D27653" w:rsidRDefault="00A56EE9" w:rsidP="00BB6AD5">
      <w:pPr>
        <w:spacing w:after="0" w:line="240" w:lineRule="auto"/>
        <w:rPr>
          <w:i/>
        </w:rPr>
      </w:pPr>
    </w:p>
    <w:p w14:paraId="5761D6B5" w14:textId="77777777" w:rsidR="00A56EE9" w:rsidRPr="00DE60A7" w:rsidRDefault="00A56EE9" w:rsidP="00BB6AD5">
      <w:r w:rsidRPr="00D27653">
        <w:t>Great Barrier Reef Marine Park Authority. 2014a.</w:t>
      </w:r>
      <w:r w:rsidRPr="00D27653">
        <w:rPr>
          <w:i/>
        </w:rPr>
        <w:t xml:space="preserve"> Great Barrier Reef Outlook Report 2014. </w:t>
      </w:r>
      <w:r w:rsidRPr="00D27653">
        <w:t>Great Barrier Reef Marine Park Authority. Townsville.</w:t>
      </w:r>
    </w:p>
    <w:p w14:paraId="5761D6B6" w14:textId="77777777" w:rsidR="00A56EE9" w:rsidRPr="00DE60A7" w:rsidRDefault="00A56EE9" w:rsidP="00BB6AD5">
      <w:r w:rsidRPr="00DE60A7">
        <w:t xml:space="preserve">Great Barrier Reef Marine Park Authority. 2014b, </w:t>
      </w:r>
      <w:r w:rsidRPr="00DE60A7">
        <w:rPr>
          <w:i/>
        </w:rPr>
        <w:t>Great Barrier Reef Region Strategic Assessment: Strategic assessment report</w:t>
      </w:r>
      <w:r w:rsidRPr="00DE60A7">
        <w:t>, Great Barrier Reef Marine Park Authority, Townsville.</w:t>
      </w:r>
    </w:p>
    <w:p w14:paraId="5761D6B7" w14:textId="15EF1B28" w:rsidR="00A56EE9" w:rsidRDefault="00A56EE9" w:rsidP="00BB6AD5">
      <w:r w:rsidRPr="00D27653">
        <w:t xml:space="preserve">Great Barrier Reef Marine Park Authority. 2014c. Marine Tourism Contingency Plan </w:t>
      </w:r>
      <w:r w:rsidR="00436A76" w:rsidRPr="00D27653">
        <w:t>Great Barrier Reef Marine Park Authority</w:t>
      </w:r>
      <w:r w:rsidR="00436A76">
        <w:t>, Townsville</w:t>
      </w:r>
    </w:p>
    <w:p w14:paraId="5761D6B8" w14:textId="0951B151" w:rsidR="00A56EE9" w:rsidRPr="00D27653" w:rsidRDefault="00A56EE9" w:rsidP="00BB6AD5">
      <w:r w:rsidRPr="00D27653">
        <w:t>Great Barrier Reef Marine Park Authority 2014</w:t>
      </w:r>
      <w:r>
        <w:t>d</w:t>
      </w:r>
      <w:r w:rsidRPr="00D27653">
        <w:t xml:space="preserve">, </w:t>
      </w:r>
      <w:r w:rsidRPr="00D27653">
        <w:rPr>
          <w:i/>
        </w:rPr>
        <w:t>Great Barrier Reef Marine Park Authority Science Strategy and Information Needs 2014-2019</w:t>
      </w:r>
      <w:r w:rsidRPr="00D27653">
        <w:t>, GBRMPA, Townsville</w:t>
      </w:r>
    </w:p>
    <w:p w14:paraId="5761D6B9" w14:textId="2D15CA0B" w:rsidR="00A56EE9" w:rsidRDefault="00A56EE9" w:rsidP="00BB6AD5">
      <w:pPr>
        <w:spacing w:after="0" w:line="240" w:lineRule="auto"/>
      </w:pPr>
      <w:r w:rsidRPr="00D27653">
        <w:t>Great Barrier Reef Marine Park Authority 2014</w:t>
      </w:r>
      <w:r>
        <w:t>e</w:t>
      </w:r>
      <w:r w:rsidRPr="00D27653">
        <w:t xml:space="preserve">, </w:t>
      </w:r>
      <w:r w:rsidRPr="00D27653">
        <w:rPr>
          <w:i/>
        </w:rPr>
        <w:t>Great Barrier Reef Region Strategic Assessment: Program report</w:t>
      </w:r>
      <w:r w:rsidRPr="00D27653">
        <w:t>, GBRMPA, Townsville</w:t>
      </w:r>
    </w:p>
    <w:p w14:paraId="5761D6BA" w14:textId="77777777" w:rsidR="00A56EE9" w:rsidRPr="00D27653" w:rsidRDefault="00A56EE9" w:rsidP="00BB6AD5">
      <w:pPr>
        <w:spacing w:after="0" w:line="240" w:lineRule="auto"/>
      </w:pPr>
    </w:p>
    <w:p w14:paraId="5761D6BB" w14:textId="77777777" w:rsidR="00A56EE9" w:rsidRPr="00DE60A7" w:rsidRDefault="00A56EE9" w:rsidP="00BB6AD5">
      <w:r w:rsidRPr="00DE60A7">
        <w:t xml:space="preserve">Great Barrier Reef Marine Park Authority. 2017a, </w:t>
      </w:r>
      <w:r w:rsidRPr="00DE60A7">
        <w:rPr>
          <w:i/>
        </w:rPr>
        <w:t>Great Barrier Reef blueprint for resilience</w:t>
      </w:r>
      <w:r w:rsidRPr="00DE60A7">
        <w:t>, Great Barrier Reef Marine Park Authority, Townsville.</w:t>
      </w:r>
    </w:p>
    <w:p w14:paraId="5761D6BC" w14:textId="4126EE41" w:rsidR="00A56EE9" w:rsidRPr="00DE60A7" w:rsidRDefault="00A56EE9" w:rsidP="00BB6AD5">
      <w:pPr>
        <w:rPr>
          <w:rFonts w:cs="Arial"/>
        </w:rPr>
      </w:pPr>
      <w:r w:rsidRPr="00DE60A7">
        <w:rPr>
          <w:rFonts w:cs="Arial"/>
        </w:rPr>
        <w:t>Great Barrier Reef Marine Park Authority. 2017b.</w:t>
      </w:r>
      <w:r w:rsidRPr="00DE60A7">
        <w:rPr>
          <w:rFonts w:cs="Arial"/>
          <w:i/>
        </w:rPr>
        <w:t xml:space="preserve"> Guidelines on Managing Scientific Research</w:t>
      </w:r>
      <w:r w:rsidR="00C11915">
        <w:rPr>
          <w:rFonts w:cs="Arial"/>
        </w:rPr>
        <w:t xml:space="preserve">, </w:t>
      </w:r>
      <w:r w:rsidR="00C11915" w:rsidRPr="00D27653">
        <w:t>Great Barrier Reef Marine Park Authority</w:t>
      </w:r>
      <w:r w:rsidR="00C11915">
        <w:t>, Townsville</w:t>
      </w:r>
      <w:r w:rsidRPr="00DE60A7">
        <w:rPr>
          <w:rFonts w:cs="Arial"/>
        </w:rPr>
        <w:t xml:space="preserve"> </w:t>
      </w:r>
      <w:hyperlink r:id="rId37" w:tooltip="document" w:history="1">
        <w:r w:rsidRPr="00DE60A7">
          <w:rPr>
            <w:rStyle w:val="Hyperlink"/>
            <w:rFonts w:cs="Arial"/>
          </w:rPr>
          <w:t>http://elibrary.gbrmpa.gov.au/jspui/bitstream/11017/3227/1/Managing-Research-in-the-GBRMP.pdf</w:t>
        </w:r>
      </w:hyperlink>
    </w:p>
    <w:p w14:paraId="5761D6BD" w14:textId="5EB06E3F" w:rsidR="00A56EE9" w:rsidRPr="00DE60A7" w:rsidRDefault="00A56EE9" w:rsidP="00BB6AD5">
      <w:pPr>
        <w:rPr>
          <w:rFonts w:cs="Arial"/>
          <w:i/>
        </w:rPr>
      </w:pPr>
      <w:r w:rsidRPr="00DE60A7">
        <w:rPr>
          <w:rFonts w:cs="Arial"/>
        </w:rPr>
        <w:t>Great Barrier Reef Marine Park Authority. 2017c.</w:t>
      </w:r>
      <w:r w:rsidRPr="00DE60A7">
        <w:rPr>
          <w:rFonts w:cs="Arial"/>
          <w:i/>
        </w:rPr>
        <w:t xml:space="preserve"> Great Barrier Reef Marine Park Commonwealth Heritage Listed Places and Properties Heritage Strategy 2018-202. </w:t>
      </w:r>
      <w:r w:rsidR="00C11915" w:rsidRPr="00DE60A7">
        <w:rPr>
          <w:rFonts w:cs="Arial"/>
        </w:rPr>
        <w:t xml:space="preserve">Great Barrier Reef Marine Park Authority </w:t>
      </w:r>
      <w:r w:rsidRPr="00DE60A7">
        <w:rPr>
          <w:rFonts w:cs="Arial"/>
        </w:rPr>
        <w:t>1http://elibrary.gbrmpa.gov.au/jspui/bitstream/11017/3369/2/GBRMP-Commonwealth-Heritage-Strategy-2018-2021.pdf</w:t>
      </w:r>
    </w:p>
    <w:p w14:paraId="5761D6BE" w14:textId="72992891" w:rsidR="00A56EE9" w:rsidRDefault="00A56EE9" w:rsidP="00BB6AD5">
      <w:pPr>
        <w:rPr>
          <w:i/>
        </w:rPr>
      </w:pPr>
      <w:r w:rsidRPr="00B67E89">
        <w:t>Great Barrier Reef Marine Park Authority</w:t>
      </w:r>
      <w:r w:rsidR="00C70E92">
        <w:t>. 2014</w:t>
      </w:r>
      <w:r>
        <w:t>.</w:t>
      </w:r>
      <w:r w:rsidRPr="00154F03">
        <w:rPr>
          <w:i/>
        </w:rPr>
        <w:t xml:space="preserve"> Science Strategy and Information Needs 2014-19</w:t>
      </w:r>
      <w:r w:rsidR="00C11915">
        <w:rPr>
          <w:i/>
        </w:rPr>
        <w:t xml:space="preserve">, </w:t>
      </w:r>
      <w:r w:rsidR="00C11915">
        <w:t>GBRMPA, Townsville</w:t>
      </w:r>
    </w:p>
    <w:p w14:paraId="5761D6BF" w14:textId="529154AD" w:rsidR="000C499E" w:rsidRDefault="000C499E" w:rsidP="00BB6AD5">
      <w:pPr>
        <w:rPr>
          <w:rFonts w:eastAsia="Times New Roman" w:cs="Arial"/>
        </w:rPr>
      </w:pPr>
      <w:r w:rsidRPr="000C499E">
        <w:rPr>
          <w:rFonts w:eastAsia="Times New Roman" w:cs="Arial"/>
        </w:rPr>
        <w:t>Great Barrier Reef Traditional Owner Workshop (2018) Great Barrier Reef Traditional Owner Workshop 1st-3rd May, 2018.</w:t>
      </w:r>
      <w:r w:rsidR="00242993">
        <w:rPr>
          <w:rFonts w:eastAsia="Times New Roman" w:cs="Arial"/>
        </w:rPr>
        <w:t xml:space="preserve"> </w:t>
      </w:r>
      <w:r w:rsidRPr="000C499E">
        <w:rPr>
          <w:rFonts w:eastAsia="Times New Roman" w:cs="Arial"/>
        </w:rPr>
        <w:t>Draft Report, Reef and Rainforest Research Centre (RRRC) and CSIRO</w:t>
      </w:r>
    </w:p>
    <w:p w14:paraId="5761D6C0" w14:textId="043EB96F" w:rsidR="00A56EE9" w:rsidRPr="00C93EF3" w:rsidRDefault="00A56EE9" w:rsidP="00BB6AD5">
      <w:pPr>
        <w:rPr>
          <w:rFonts w:eastAsia="Times New Roman" w:cs="Arial"/>
        </w:rPr>
      </w:pPr>
      <w:r>
        <w:rPr>
          <w:rFonts w:eastAsia="Times New Roman" w:cs="Arial"/>
        </w:rPr>
        <w:t xml:space="preserve">IUCN 2017 IUCN </w:t>
      </w:r>
      <w:r w:rsidRPr="00C93EF3">
        <w:rPr>
          <w:rFonts w:eastAsia="Times New Roman" w:cs="Arial"/>
          <w:i/>
        </w:rPr>
        <w:t>World Heritage Outlook Great Barrier Reef - 2017 Conservation Outlook Assessment</w:t>
      </w:r>
      <w:r w:rsidR="00242993">
        <w:rPr>
          <w:rFonts w:eastAsia="Times New Roman" w:cs="Arial"/>
          <w:i/>
        </w:rPr>
        <w:t xml:space="preserve"> </w:t>
      </w:r>
      <w:r w:rsidRPr="00C93EF3">
        <w:rPr>
          <w:rFonts w:eastAsia="Times New Roman" w:cs="Arial"/>
        </w:rPr>
        <w:t>https://www.worldheritageoutlook.iucn.org/explore-sites/wdpaid/2571</w:t>
      </w:r>
    </w:p>
    <w:p w14:paraId="5761D6C1" w14:textId="77777777" w:rsidR="00A56EE9" w:rsidRDefault="00A56EE9" w:rsidP="00BB6AD5">
      <w:pPr>
        <w:pStyle w:val="EndNoteBibliography"/>
        <w:spacing w:after="0"/>
      </w:pPr>
      <w:r w:rsidRPr="00405486">
        <w:t xml:space="preserve">Hockings, </w:t>
      </w:r>
      <w:r>
        <w:t>M., Leverington, F. &amp; Cook, C. 2015,</w:t>
      </w:r>
      <w:r w:rsidRPr="00405486">
        <w:t xml:space="preserve"> Protected area management effectiveness. In: </w:t>
      </w:r>
      <w:r w:rsidRPr="00405486">
        <w:rPr>
          <w:i/>
        </w:rPr>
        <w:t xml:space="preserve">Protected area governance and management </w:t>
      </w:r>
      <w:r w:rsidRPr="00405486">
        <w:t>(Eds. Graeme L. Worboys, Michael Lockwood, Ashish Kothari, Sue Feary &amp; Ian Pulsford). ANU Press, Canberra.</w:t>
      </w:r>
    </w:p>
    <w:p w14:paraId="5761D6C2" w14:textId="23804E61" w:rsidR="00A56EE9" w:rsidRPr="00640E74" w:rsidRDefault="008B5998" w:rsidP="00BB6AD5">
      <w:pPr>
        <w:rPr>
          <w:rFonts w:cs="Arial"/>
          <w:i/>
        </w:rPr>
      </w:pPr>
      <w:hyperlink r:id="rId38" w:tooltip="document" w:history="1">
        <w:r w:rsidR="00A56EE9" w:rsidRPr="00640E74">
          <w:rPr>
            <w:rStyle w:val="Hyperlink"/>
            <w:rFonts w:cs="Arial"/>
            <w:i/>
          </w:rPr>
          <w:t>http://elibrary.gbrmpa.gov.au/jspui/bitstream/11017/3316/1/Marine-Tourism-Contingency-Plan.pdf</w:t>
        </w:r>
      </w:hyperlink>
    </w:p>
    <w:p w14:paraId="0C2E3FD9" w14:textId="662D4A42" w:rsidR="002D6DD6" w:rsidRDefault="00A56EE9" w:rsidP="002D6DD6">
      <w:r>
        <w:t xml:space="preserve">Jacobs 2014, </w:t>
      </w:r>
      <w:r w:rsidRPr="00D2653E">
        <w:rPr>
          <w:i/>
        </w:rPr>
        <w:t>Institutional and legal mechanisms that provide coordinated planning, protection and management of the Great Barrier Reef World Heritage Area</w:t>
      </w:r>
      <w:r w:rsidRPr="00D2653E">
        <w:t xml:space="preserve"> </w:t>
      </w:r>
      <w:r w:rsidRPr="00D2653E">
        <w:rPr>
          <w:rFonts w:cs="Arial"/>
          <w:i/>
          <w:noProof/>
          <w:lang w:val="en-US"/>
        </w:rPr>
        <w:t xml:space="preserve">Independent Review </w:t>
      </w:r>
      <w:r w:rsidRPr="00D2653E">
        <w:rPr>
          <w:rFonts w:cs="Arial"/>
          <w:noProof/>
          <w:lang w:val="en-US"/>
        </w:rPr>
        <w:t>Department Of The Environment</w:t>
      </w:r>
      <w:r w:rsidR="00ED0F5A">
        <w:rPr>
          <w:rFonts w:cs="Arial"/>
          <w:noProof/>
          <w:lang w:val="en-US"/>
        </w:rPr>
        <w:t xml:space="preserve">. </w:t>
      </w:r>
      <w:hyperlink r:id="rId39" w:history="1">
        <w:r w:rsidR="002D6DD6" w:rsidRPr="00392871">
          <w:rPr>
            <w:rStyle w:val="Hyperlink"/>
          </w:rPr>
          <w:t>http://www.environment.gov.au/system/files/resources/8b9fd5af-99ce-4a18-9ca5-6bb1829fd9e1/files/gbr-independent-review.pdf</w:t>
        </w:r>
      </w:hyperlink>
    </w:p>
    <w:p w14:paraId="166B9FC2" w14:textId="5EF44DFD" w:rsidR="0002000E" w:rsidRPr="0002000E" w:rsidRDefault="002D6DD6" w:rsidP="0002000E">
      <w:pPr>
        <w:spacing w:after="0" w:line="240" w:lineRule="auto"/>
        <w:jc w:val="both"/>
        <w:rPr>
          <w:rFonts w:ascii="Arial Narrow" w:hAnsi="Arial Narrow"/>
          <w:sz w:val="18"/>
          <w:szCs w:val="18"/>
        </w:rPr>
      </w:pPr>
      <w:r>
        <w:t>Johnston</w:t>
      </w:r>
      <w:r w:rsidR="0002000E">
        <w:t>, C.</w:t>
      </w:r>
      <w:r>
        <w:t xml:space="preserve"> and Smith</w:t>
      </w:r>
      <w:proofErr w:type="gramStart"/>
      <w:r>
        <w:t>,</w:t>
      </w:r>
      <w:r w:rsidR="0002000E">
        <w:t>A</w:t>
      </w:r>
      <w:proofErr w:type="gramEnd"/>
      <w:r w:rsidR="0002000E">
        <w:t xml:space="preserve">. </w:t>
      </w:r>
      <w:r>
        <w:t xml:space="preserve"> 2014</w:t>
      </w:r>
      <w:r w:rsidR="0002000E" w:rsidRPr="0002000E">
        <w:rPr>
          <w:rFonts w:ascii="Arial Narrow" w:hAnsi="Arial Narrow"/>
          <w:sz w:val="18"/>
          <w:szCs w:val="18"/>
          <w:lang w:val="en"/>
        </w:rPr>
        <w:t xml:space="preserve">. </w:t>
      </w:r>
      <w:hyperlink r:id="rId40" w:history="1">
        <w:r w:rsidR="0002000E" w:rsidRPr="0002000E">
          <w:rPr>
            <w:rStyle w:val="Hyperlink"/>
            <w:rFonts w:ascii="Arial Narrow" w:hAnsi="Arial Narrow"/>
            <w:lang w:val="en"/>
          </w:rPr>
          <w:t>Beautiful one day: Assessing the world heritage aesthetic values of the Great Barrier Reef</w:t>
        </w:r>
      </w:hyperlink>
      <w:r w:rsidR="0002000E">
        <w:rPr>
          <w:rStyle w:val="Hyperlink"/>
          <w:rFonts w:ascii="Arial Narrow" w:hAnsi="Arial Narrow"/>
          <w:lang w:val="en"/>
        </w:rPr>
        <w:t xml:space="preserve">. </w:t>
      </w:r>
      <w:r w:rsidR="0002000E" w:rsidRPr="0002000E">
        <w:rPr>
          <w:rFonts w:ascii="Arial Narrow" w:hAnsi="Arial Narrow"/>
          <w:lang w:val="en"/>
        </w:rPr>
        <w:t xml:space="preserve"> </w:t>
      </w:r>
      <w:r w:rsidR="0002000E" w:rsidRPr="0002000E">
        <w:rPr>
          <w:rFonts w:ascii="Arial Narrow" w:hAnsi="Arial Narrow"/>
          <w:i/>
          <w:u w:val="single"/>
          <w:lang w:val="en"/>
        </w:rPr>
        <w:t>Historic Environment</w:t>
      </w:r>
      <w:r w:rsidR="0002000E" w:rsidRPr="0002000E">
        <w:rPr>
          <w:rFonts w:ascii="Arial Narrow" w:hAnsi="Arial Narrow"/>
          <w:lang w:val="en"/>
        </w:rPr>
        <w:t>, Vol. 26, No. 2, 2014: 54-71.</w:t>
      </w:r>
      <w:r w:rsidR="0002000E" w:rsidRPr="0002000E">
        <w:rPr>
          <w:rFonts w:ascii="Arial Narrow" w:hAnsi="Arial Narrow"/>
          <w:sz w:val="18"/>
          <w:szCs w:val="18"/>
          <w:lang w:val="en"/>
        </w:rPr>
        <w:t xml:space="preserve"> </w:t>
      </w:r>
    </w:p>
    <w:p w14:paraId="5761D6C4" w14:textId="5D60CE81" w:rsidR="00A56EE9" w:rsidRDefault="00A56EE9" w:rsidP="00F97658">
      <w:pPr>
        <w:spacing w:before="240"/>
        <w:rPr>
          <w:lang w:val="en-US"/>
        </w:rPr>
      </w:pPr>
      <w:r w:rsidRPr="008E38DF">
        <w:rPr>
          <w:lang w:val="en-US"/>
        </w:rPr>
        <w:t>Johnsto</w:t>
      </w:r>
      <w:r>
        <w:rPr>
          <w:lang w:val="en-US"/>
        </w:rPr>
        <w:t xml:space="preserve">ne, C.; Smith, </w:t>
      </w:r>
      <w:proofErr w:type="gramStart"/>
      <w:r>
        <w:rPr>
          <w:lang w:val="en-US"/>
        </w:rPr>
        <w:t>A and</w:t>
      </w:r>
      <w:proofErr w:type="gramEnd"/>
      <w:r>
        <w:rPr>
          <w:lang w:val="en-US"/>
        </w:rPr>
        <w:t xml:space="preserve"> Dyke, J.</w:t>
      </w:r>
      <w:r w:rsidR="00242993">
        <w:rPr>
          <w:lang w:val="en-US"/>
        </w:rPr>
        <w:t xml:space="preserve"> </w:t>
      </w:r>
      <w:r>
        <w:rPr>
          <w:lang w:val="en-US"/>
        </w:rPr>
        <w:t>2013,</w:t>
      </w:r>
      <w:r w:rsidR="00242993">
        <w:rPr>
          <w:lang w:val="en-US"/>
        </w:rPr>
        <w:t xml:space="preserve"> </w:t>
      </w:r>
      <w:r w:rsidRPr="008E38DF">
        <w:rPr>
          <w:i/>
          <w:lang w:val="en-US"/>
        </w:rPr>
        <w:t>Defining the aesthetic values of the Great Barrier Reef.</w:t>
      </w:r>
      <w:r w:rsidRPr="008E38DF">
        <w:rPr>
          <w:lang w:val="en-US"/>
        </w:rPr>
        <w:t xml:space="preserve"> Final Report for DSEWPaC.</w:t>
      </w:r>
      <w:r w:rsidR="00242993">
        <w:rPr>
          <w:lang w:val="en-US"/>
        </w:rPr>
        <w:t xml:space="preserve"> </w:t>
      </w:r>
    </w:p>
    <w:p w14:paraId="4AE8471C" w14:textId="2D5A3C40" w:rsidR="0002000E" w:rsidRDefault="002D6DD6" w:rsidP="00BB6AD5">
      <w:pPr>
        <w:rPr>
          <w:lang w:val="en-US"/>
        </w:rPr>
      </w:pPr>
      <w:r>
        <w:t xml:space="preserve">Leverington, A.,  </w:t>
      </w:r>
      <w:r w:rsidRPr="007A2E5A">
        <w:t xml:space="preserve"> Leverington</w:t>
      </w:r>
      <w:r>
        <w:t xml:space="preserve">, F.  </w:t>
      </w:r>
      <w:proofErr w:type="gramStart"/>
      <w:r>
        <w:t>and</w:t>
      </w:r>
      <w:proofErr w:type="gramEnd"/>
      <w:r w:rsidRPr="007A2E5A">
        <w:t xml:space="preserve"> Hockings,</w:t>
      </w:r>
      <w:r>
        <w:t xml:space="preserve"> M. </w:t>
      </w:r>
      <w:r w:rsidRPr="007A2E5A">
        <w:t xml:space="preserve"> </w:t>
      </w:r>
      <w:r>
        <w:t>(2018) Reef 2050 Insights Report. Report to the Great Barrier Reef Marine Park Authority, Brisbane</w:t>
      </w:r>
      <w:r w:rsidDel="002D6DD6">
        <w:rPr>
          <w:lang w:val="en-US"/>
        </w:rPr>
        <w:t xml:space="preserve"> </w:t>
      </w:r>
    </w:p>
    <w:p w14:paraId="5761D6C5" w14:textId="44457719" w:rsidR="00A56EE9" w:rsidRDefault="00A56EE9" w:rsidP="00BB6AD5">
      <w:r>
        <w:t xml:space="preserve">Marsh, H., and M. </w:t>
      </w:r>
      <w:r w:rsidR="00991FFA">
        <w:t xml:space="preserve">Hamman </w:t>
      </w:r>
      <w:r>
        <w:t>2016,</w:t>
      </w:r>
      <w:r w:rsidRPr="00B54046">
        <w:t xml:space="preserve"> </w:t>
      </w:r>
      <w:r w:rsidRPr="00C93EF3">
        <w:rPr>
          <w:i/>
        </w:rPr>
        <w:t>Traditional hunting gets headlines, but is not the big threat to turtles and dugongs.</w:t>
      </w:r>
      <w:r w:rsidRPr="00B54046">
        <w:t xml:space="preserve"> The Conversation </w:t>
      </w:r>
      <w:r w:rsidRPr="00722896">
        <w:rPr>
          <w:color w:val="1F4E79" w:themeColor="accent5" w:themeShade="80"/>
          <w:u w:val="single"/>
        </w:rPr>
        <w:t>https://theconversation.com/traditional-hunting-gets-headlines-but-is-not-the-big-threat-to-turtles-and-dugongs-69038</w:t>
      </w:r>
      <w:r w:rsidRPr="00722896">
        <w:rPr>
          <w:color w:val="1F4E79" w:themeColor="accent5" w:themeShade="80"/>
        </w:rPr>
        <w:t xml:space="preserve"> </w:t>
      </w:r>
      <w:r w:rsidRPr="00B54046">
        <w:t>December 6, 2016.</w:t>
      </w:r>
    </w:p>
    <w:p w14:paraId="5761D6C6" w14:textId="1385F266" w:rsidR="00A56EE9" w:rsidRPr="001C3A06" w:rsidRDefault="00A56EE9" w:rsidP="00BB6AD5">
      <w:pPr>
        <w:rPr>
          <w:i/>
        </w:rPr>
      </w:pPr>
      <w:r w:rsidRPr="001C3A06">
        <w:t>Marshall, N.A. Curnock</w:t>
      </w:r>
      <w:r>
        <w:t xml:space="preserve">, M., Pert, P.L., Williams, G. </w:t>
      </w:r>
      <w:r w:rsidRPr="001C3A06">
        <w:t>2017</w:t>
      </w:r>
      <w:r>
        <w:t>a,</w:t>
      </w:r>
      <w:r w:rsidRPr="001C3A06">
        <w:t xml:space="preserve"> </w:t>
      </w:r>
      <w:r w:rsidRPr="001C3A06">
        <w:rPr>
          <w:i/>
        </w:rPr>
        <w:t xml:space="preserve">The Social and Economic Long-Term Monitoring Program (SELTMP) for the Great Barrier </w:t>
      </w:r>
      <w:proofErr w:type="gramStart"/>
      <w:r w:rsidRPr="001C3A06">
        <w:rPr>
          <w:i/>
        </w:rPr>
        <w:t>Reef .</w:t>
      </w:r>
      <w:proofErr w:type="gramEnd"/>
      <w:r w:rsidRPr="001C3A06">
        <w:rPr>
          <w:i/>
        </w:rPr>
        <w:t xml:space="preserve"> Final Report. </w:t>
      </w:r>
      <w:r w:rsidRPr="001C3A06">
        <w:t>Report to the Great Barrier Reef Marine Park Authority.</w:t>
      </w:r>
      <w:r w:rsidR="00242993">
        <w:t xml:space="preserve"> </w:t>
      </w:r>
      <w:r w:rsidRPr="001C3A06">
        <w:t>Townsville, Australia (220pp.).</w:t>
      </w:r>
    </w:p>
    <w:p w14:paraId="5761D6C7" w14:textId="14B0FFC9" w:rsidR="00A56EE9" w:rsidRDefault="00A56EE9" w:rsidP="00BB6AD5">
      <w:r>
        <w:t>Marshall, N.A., Marshall, P. and</w:t>
      </w:r>
      <w:r w:rsidR="00242993">
        <w:t xml:space="preserve"> </w:t>
      </w:r>
      <w:r>
        <w:t xml:space="preserve">Smith, A.K. 2017b, </w:t>
      </w:r>
      <w:r w:rsidRPr="001C3A06">
        <w:rPr>
          <w:i/>
        </w:rPr>
        <w:t>Managing for aesthetic values in the Great Barrier Reef-Identifying indicators and linking reef aesthetics to reef health</w:t>
      </w:r>
      <w:r>
        <w:t xml:space="preserve">. </w:t>
      </w:r>
      <w:r w:rsidRPr="00A82141">
        <w:t>Report to the National Environmental Science Programme. Reef and Rainforest Research Centre Limited, Cairns</w:t>
      </w:r>
      <w:r>
        <w:t>.</w:t>
      </w:r>
      <w:r w:rsidRPr="00A82141">
        <w:t xml:space="preserve"> </w:t>
      </w:r>
    </w:p>
    <w:p w14:paraId="5761D6C8" w14:textId="6551757E" w:rsidR="00A56EE9" w:rsidRPr="000B63AE" w:rsidRDefault="00A56EE9" w:rsidP="00BB6AD5">
      <w:pPr>
        <w:rPr>
          <w:rFonts w:eastAsia="Times New Roman" w:cs="Arial"/>
          <w:color w:val="0000FF"/>
          <w:u w:val="single"/>
        </w:rPr>
      </w:pPr>
      <w:r w:rsidRPr="00C93EF3">
        <w:rPr>
          <w:rFonts w:cs="Arial"/>
        </w:rPr>
        <w:t>North East Shipping Management Group. 2014.</w:t>
      </w:r>
      <w:r w:rsidRPr="00640E74">
        <w:rPr>
          <w:rFonts w:cs="Arial"/>
        </w:rPr>
        <w:t xml:space="preserve"> </w:t>
      </w:r>
      <w:r w:rsidRPr="00640E74">
        <w:rPr>
          <w:rFonts w:cs="Arial"/>
          <w:i/>
        </w:rPr>
        <w:t xml:space="preserve">North East Shipping Management Plan </w:t>
      </w:r>
      <w:hyperlink r:id="rId41" w:tooltip="document" w:history="1">
        <w:r w:rsidRPr="00640E74">
          <w:rPr>
            <w:rStyle w:val="Hyperlink"/>
            <w:rFonts w:eastAsia="Times New Roman" w:cs="Arial"/>
          </w:rPr>
          <w:t>https://www.amsa.gov.au/sites/default/files/amsa439-north-east-shipping-management-plan.pdf</w:t>
        </w:r>
      </w:hyperlink>
      <w:r>
        <w:rPr>
          <w:rStyle w:val="Hyperlink"/>
          <w:rFonts w:eastAsia="Times New Roman" w:cs="Arial"/>
        </w:rPr>
        <w:t>.</w:t>
      </w:r>
    </w:p>
    <w:p w14:paraId="5761D6C9" w14:textId="01155AD0" w:rsidR="00A56EE9" w:rsidRDefault="00A56EE9" w:rsidP="00BB6AD5">
      <w:r>
        <w:t>Pra</w:t>
      </w:r>
      <w:r w:rsidR="00A759A5">
        <w:t>t</w:t>
      </w:r>
      <w:r>
        <w:t>chett, V., Messmer, A. Reynolds, J. Martin, T.D. Clark, P.L. Munday, A.J. Tobin, A.</w:t>
      </w:r>
      <w:r w:rsidR="00242993">
        <w:t xml:space="preserve"> </w:t>
      </w:r>
      <w:r>
        <w:t xml:space="preserve">and Hoey, A.S. 2013, </w:t>
      </w:r>
      <w:r w:rsidRPr="000B63AE">
        <w:rPr>
          <w:i/>
        </w:rPr>
        <w:t>Effects of climate change on reproduction, larval development and adult health of coral trout (Plectropomus spp.).</w:t>
      </w:r>
      <w:r>
        <w:t xml:space="preserve"> Fisheries Research and Development Corporation and James Cook University. </w:t>
      </w:r>
    </w:p>
    <w:p w14:paraId="5761D6CA" w14:textId="77777777" w:rsidR="00A56EE9" w:rsidRPr="001C3A06" w:rsidRDefault="00A56EE9" w:rsidP="00BB6AD5">
      <w:r w:rsidRPr="001C3A06">
        <w:t>Pratchett, M., Caballes, C., Wilmes, J., Matthews, S., Mellin, C., Sweatman, H., Nadler, L., Brodie, J., Thompson, C., Hoey, J., Bos, A., Byrne, M., Messmer, V., Fortunato, S., Chen, C., Buck, A., Babcock, R. and Uthicke, S. (2017). Thirty Years of Research on Crown-of-Thorns Starfish (1986–2016): Scientific Advances and Emerging Opportunities. Diversity 9(4): 41.</w:t>
      </w:r>
    </w:p>
    <w:p w14:paraId="5761D6CB" w14:textId="77777777" w:rsidR="00A56EE9" w:rsidRPr="00DE60A7" w:rsidRDefault="00A56EE9" w:rsidP="00BB6AD5">
      <w:r w:rsidRPr="000378CE">
        <w:t xml:space="preserve">Queensland Department of Science, Information Technology and Innovation. 2017. </w:t>
      </w:r>
      <w:r w:rsidRPr="00DE60A7">
        <w:rPr>
          <w:i/>
        </w:rPr>
        <w:t>Land cover change in Queensland 2015–16: A Statewide Landcover and Trees Study (SLATS) report.</w:t>
      </w:r>
      <w:r w:rsidRPr="000378CE">
        <w:t xml:space="preserve"> DSITI, Brisbane</w:t>
      </w:r>
    </w:p>
    <w:p w14:paraId="5761D6CC" w14:textId="77777777" w:rsidR="00A56EE9" w:rsidRDefault="00A56EE9" w:rsidP="00BB6AD5">
      <w:pPr>
        <w:rPr>
          <w:i/>
        </w:rPr>
      </w:pPr>
      <w:r w:rsidRPr="00C93EF3">
        <w:t>Queensland Parks and Wildlife Service 2016</w:t>
      </w:r>
      <w:r>
        <w:t>,</w:t>
      </w:r>
      <w:r>
        <w:rPr>
          <w:i/>
        </w:rPr>
        <w:t xml:space="preserve"> Queensland Ecotourism Plan 2016-2020. </w:t>
      </w:r>
      <w:r w:rsidRPr="00C93EF3">
        <w:t>Queensland Department of National Parks, Sport and Racing.</w:t>
      </w:r>
      <w:r>
        <w:rPr>
          <w:i/>
        </w:rPr>
        <w:t xml:space="preserve"> </w:t>
      </w:r>
    </w:p>
    <w:p w14:paraId="5761D6CD" w14:textId="77777777" w:rsidR="00A56EE9" w:rsidRDefault="00A56EE9" w:rsidP="00BB6AD5">
      <w:r>
        <w:t>Queensland Department of Agriculture and Fisheries</w:t>
      </w:r>
      <w:r w:rsidRPr="00722896">
        <w:rPr>
          <w:i/>
        </w:rPr>
        <w:t xml:space="preserve"> </w:t>
      </w:r>
      <w:r w:rsidRPr="00DE60A7">
        <w:t>2017</w:t>
      </w:r>
      <w:r>
        <w:rPr>
          <w:i/>
        </w:rPr>
        <w:t xml:space="preserve"> </w:t>
      </w:r>
      <w:r w:rsidRPr="00722896">
        <w:rPr>
          <w:i/>
        </w:rPr>
        <w:t>Queensland Sustainable Fisheries Strategy 2017-2027</w:t>
      </w:r>
      <w:r>
        <w:t xml:space="preserve">. Queensland Department of Agriculture and Fisheries. Queensland Government. </w:t>
      </w:r>
    </w:p>
    <w:p w14:paraId="57AD75E4" w14:textId="7F084177" w:rsidR="0052554C" w:rsidRDefault="0052554C" w:rsidP="0052554C">
      <w:pPr>
        <w:rPr>
          <w:rFonts w:ascii="Times New Roman" w:eastAsia="Times New Roman" w:hAnsi="Times New Roman"/>
        </w:rPr>
      </w:pPr>
      <w:r>
        <w:t>Terrain</w:t>
      </w:r>
      <w:r>
        <w:rPr>
          <w:rFonts w:eastAsia="Times New Roman"/>
        </w:rPr>
        <w:t> NRM 2015 Wet Tropics Water Quality Improvement Plan: 2015-2020 </w:t>
      </w:r>
      <w:hyperlink r:id="rId42" w:history="1">
        <w:r>
          <w:rPr>
            <w:rStyle w:val="Hyperlink"/>
            <w:rFonts w:eastAsia="Times New Roman"/>
          </w:rPr>
          <w:t>https://terrain.org.au/wp-content/uploads/2018/06/Terrain-WQIP-combined.pdf</w:t>
        </w:r>
      </w:hyperlink>
    </w:p>
    <w:p w14:paraId="16476779" w14:textId="77777777" w:rsidR="0052554C" w:rsidRPr="00640E74" w:rsidRDefault="0052554C" w:rsidP="0052554C">
      <w:pPr>
        <w:rPr>
          <w:rFonts w:eastAsia="Times New Roman" w:cs="Arial"/>
        </w:rPr>
      </w:pPr>
      <w:r w:rsidRPr="00640E74">
        <w:rPr>
          <w:rFonts w:eastAsia="Times New Roman" w:cs="Arial"/>
        </w:rPr>
        <w:t>Thurstan, R.H.,</w:t>
      </w:r>
      <w:r>
        <w:rPr>
          <w:rFonts w:eastAsia="Times New Roman" w:cs="Arial"/>
        </w:rPr>
        <w:t xml:space="preserve"> </w:t>
      </w:r>
      <w:r w:rsidRPr="00640E74">
        <w:rPr>
          <w:rFonts w:eastAsia="Times New Roman" w:cs="Arial"/>
        </w:rPr>
        <w:t>Campbell, A.B. and J.M. Pandolfi</w:t>
      </w:r>
      <w:r>
        <w:rPr>
          <w:rFonts w:eastAsia="Times New Roman" w:cs="Arial"/>
        </w:rPr>
        <w:t xml:space="preserve"> </w:t>
      </w:r>
      <w:r w:rsidRPr="00640E74">
        <w:rPr>
          <w:rFonts w:eastAsia="Times New Roman" w:cs="Arial"/>
        </w:rPr>
        <w:t>2016</w:t>
      </w:r>
      <w:r>
        <w:rPr>
          <w:rFonts w:eastAsia="Times New Roman" w:cs="Arial"/>
        </w:rPr>
        <w:t>,</w:t>
      </w:r>
      <w:r w:rsidRPr="00640E74">
        <w:rPr>
          <w:rFonts w:eastAsia="Times New Roman" w:cs="Arial"/>
        </w:rPr>
        <w:t xml:space="preserve"> Nineteenth century narratives reveal historic catch rates for Australian snapper (</w:t>
      </w:r>
      <w:r w:rsidRPr="00640E74">
        <w:rPr>
          <w:rFonts w:eastAsia="Times New Roman" w:cs="Arial"/>
          <w:i/>
        </w:rPr>
        <w:t>Pagrus auratus</w:t>
      </w:r>
      <w:r w:rsidRPr="00640E74">
        <w:rPr>
          <w:rFonts w:eastAsia="Times New Roman" w:cs="Arial"/>
        </w:rPr>
        <w:t>),</w:t>
      </w:r>
      <w:r>
        <w:rPr>
          <w:rFonts w:eastAsia="Times New Roman" w:cs="Arial"/>
        </w:rPr>
        <w:t xml:space="preserve"> </w:t>
      </w:r>
      <w:r w:rsidRPr="00640E74">
        <w:rPr>
          <w:rFonts w:eastAsia="Times New Roman" w:cs="Arial"/>
          <w:i/>
        </w:rPr>
        <w:t>Fish and Fisheries</w:t>
      </w:r>
      <w:r>
        <w:rPr>
          <w:rFonts w:eastAsia="Times New Roman" w:cs="Arial"/>
        </w:rPr>
        <w:t xml:space="preserve"> </w:t>
      </w:r>
      <w:r w:rsidRPr="00640E74">
        <w:rPr>
          <w:rFonts w:eastAsia="Times New Roman" w:cs="Arial"/>
        </w:rPr>
        <w:t>17, 210–225</w:t>
      </w:r>
    </w:p>
    <w:p w14:paraId="6780A103" w14:textId="77777777" w:rsidR="0052554C" w:rsidRDefault="0052554C" w:rsidP="0052554C">
      <w:pPr>
        <w:rPr>
          <w:rFonts w:eastAsia="Times New Roman" w:cs="Arial"/>
        </w:rPr>
      </w:pPr>
      <w:r w:rsidRPr="00640E74">
        <w:rPr>
          <w:rFonts w:eastAsia="Times New Roman" w:cs="Arial"/>
        </w:rPr>
        <w:t>Tobin, A., Heupel, M., Simpfendorfer, C.,</w:t>
      </w:r>
      <w:r>
        <w:rPr>
          <w:rFonts w:eastAsia="Times New Roman" w:cs="Arial"/>
        </w:rPr>
        <w:t xml:space="preserve"> </w:t>
      </w:r>
      <w:r w:rsidRPr="00640E74">
        <w:rPr>
          <w:rFonts w:eastAsia="Times New Roman" w:cs="Arial"/>
        </w:rPr>
        <w:t>Buckley, S.,</w:t>
      </w:r>
      <w:r>
        <w:rPr>
          <w:rFonts w:eastAsia="Times New Roman" w:cs="Arial"/>
        </w:rPr>
        <w:t xml:space="preserve"> </w:t>
      </w:r>
      <w:r w:rsidRPr="00640E74">
        <w:rPr>
          <w:rFonts w:eastAsia="Times New Roman" w:cs="Arial"/>
        </w:rPr>
        <w:t>Thurstan,R and</w:t>
      </w:r>
      <w:r>
        <w:rPr>
          <w:rFonts w:eastAsia="Times New Roman" w:cs="Arial"/>
        </w:rPr>
        <w:t xml:space="preserve"> J. Pandolfi 2014,</w:t>
      </w:r>
      <w:r w:rsidRPr="00640E74">
        <w:rPr>
          <w:rFonts w:eastAsia="Times New Roman" w:cs="Arial"/>
        </w:rPr>
        <w:t xml:space="preserve"> </w:t>
      </w:r>
      <w:r w:rsidRPr="00640E74">
        <w:rPr>
          <w:rFonts w:eastAsia="Times New Roman" w:cs="Arial"/>
          <w:i/>
        </w:rPr>
        <w:t>Utilising innovative technology to better understand Spanish mackerel spawning aggregations and the protection offered by Marine Protected Areas.</w:t>
      </w:r>
      <w:r w:rsidRPr="00640E74">
        <w:rPr>
          <w:rFonts w:eastAsia="Times New Roman" w:cs="Arial"/>
        </w:rPr>
        <w:t xml:space="preserve"> Centre for Sustainable Tropical Fisheries and Aquaculture, James Cook University, Townsville, pp 70.</w:t>
      </w:r>
    </w:p>
    <w:p w14:paraId="5761D6CE" w14:textId="77777777" w:rsidR="00A56EE9" w:rsidRDefault="00A56EE9" w:rsidP="00BB6AD5">
      <w:r w:rsidRPr="00C93EF3">
        <w:t>Schaffelke, B., Collier, C., Kroon, F., Lough, J., McKenzie, L., Ronan, M., Uthicke, S., Brodie, J., 2017. Scientific Consensus Statement 2017. Scientific Consensus Statement 2017: A synthesis of the science of land-based water quality impacts on the Great Barrier Reef, Chapter 1: The condition of coastal and marine ecosystems of the Great Barrier Reef and their responses to water quality and disturbances. State of Queensland, 2017.</w:t>
      </w:r>
    </w:p>
    <w:p w14:paraId="5761D6CF" w14:textId="77777777" w:rsidR="00A56EE9" w:rsidRPr="00405486" w:rsidRDefault="00A56EE9" w:rsidP="00BB6AD5">
      <w:pPr>
        <w:pStyle w:val="EndNoteBibliography"/>
      </w:pPr>
      <w:r w:rsidRPr="00405486">
        <w:t xml:space="preserve">Van Bueren, M., Worland, T., Svanberg, A. &amp; Lassen, J. </w:t>
      </w:r>
      <w:r>
        <w:t>2015,</w:t>
      </w:r>
      <w:r w:rsidRPr="00405486">
        <w:t xml:space="preserve"> </w:t>
      </w:r>
      <w:r w:rsidRPr="00405486">
        <w:rPr>
          <w:i/>
        </w:rPr>
        <w:t xml:space="preserve">Working for our country: a review of the economic and social benefits of Indigenous land and sea management, </w:t>
      </w:r>
      <w:r w:rsidRPr="00405486">
        <w:t>Pew Charitable Trusts</w:t>
      </w:r>
      <w:r>
        <w:t>, Synergies Economic Consulting.</w:t>
      </w:r>
      <w:r w:rsidRPr="00405486">
        <w:t xml:space="preserve"> </w:t>
      </w:r>
    </w:p>
    <w:p w14:paraId="5761D6D0" w14:textId="77777777" w:rsidR="00A56EE9" w:rsidRPr="00C93EF3" w:rsidRDefault="00A56EE9" w:rsidP="00BB6AD5">
      <w:pPr>
        <w:rPr>
          <w:rFonts w:cs="Arial"/>
          <w:noProof/>
          <w:lang w:val="en-US"/>
        </w:rPr>
      </w:pPr>
      <w:r w:rsidRPr="00DE60A7">
        <w:rPr>
          <w:rFonts w:cs="Arial"/>
          <w:noProof/>
          <w:lang w:val="en-US"/>
        </w:rPr>
        <w:t>Waterhouse, J., B., Schaffelke, R., Bartley, R., Eberhard, J., Brodie, M. Star, P. Thorburn, 2017</w:t>
      </w:r>
      <w:r>
        <w:rPr>
          <w:rFonts w:cs="Arial"/>
          <w:noProof/>
          <w:lang w:val="en-US"/>
        </w:rPr>
        <w:t>,</w:t>
      </w:r>
      <w:r w:rsidRPr="00DE60A7">
        <w:rPr>
          <w:rFonts w:cs="Arial"/>
          <w:noProof/>
          <w:lang w:val="en-US"/>
        </w:rPr>
        <w:t xml:space="preserve"> </w:t>
      </w:r>
      <w:r w:rsidRPr="00DE60A7">
        <w:rPr>
          <w:rFonts w:cs="Arial"/>
          <w:i/>
          <w:noProof/>
          <w:lang w:val="en-US"/>
        </w:rPr>
        <w:t>2017 Scientific Consensus Statement. Land use Impacts on Great Barrier Reef Water Quality and Ecosystem Condition</w:t>
      </w:r>
      <w:r w:rsidRPr="00DE60A7">
        <w:rPr>
          <w:rFonts w:cs="Arial"/>
          <w:noProof/>
          <w:lang w:val="en-US"/>
        </w:rPr>
        <w:t>. Brisbane: The State of Queensland.</w:t>
      </w:r>
    </w:p>
    <w:p w14:paraId="5761D6D1" w14:textId="403CBF15" w:rsidR="00A56EE9" w:rsidRDefault="00A56EE9" w:rsidP="00BB6AD5">
      <w:r>
        <w:t>Wetlands Team 2016,</w:t>
      </w:r>
      <w:r w:rsidR="00242993">
        <w:t xml:space="preserve"> </w:t>
      </w:r>
      <w:r w:rsidRPr="003A6082">
        <w:rPr>
          <w:i/>
        </w:rPr>
        <w:t>Wetlands in the Great Barrier Reef Catchments Management Strategy 2016-2021</w:t>
      </w:r>
      <w:r>
        <w:t>.Department of Environment and Heritage Protection.</w:t>
      </w:r>
      <w:r w:rsidR="00242993">
        <w:t xml:space="preserve"> </w:t>
      </w:r>
    </w:p>
    <w:p w14:paraId="5761D6D5" w14:textId="77777777" w:rsidR="00A56EE9" w:rsidRDefault="00A56EE9" w:rsidP="00BB6AD5">
      <w:pPr>
        <w:sectPr w:rsidR="00A56EE9">
          <w:headerReference w:type="even" r:id="rId43"/>
          <w:headerReference w:type="default" r:id="rId44"/>
          <w:headerReference w:type="first" r:id="rId45"/>
          <w:footerReference w:type="first" r:id="rId46"/>
          <w:pgSz w:w="11906" w:h="16838"/>
          <w:pgMar w:top="1440" w:right="1440" w:bottom="1440" w:left="1440" w:header="708" w:footer="708" w:gutter="0"/>
          <w:cols w:space="708"/>
          <w:docGrid w:linePitch="360"/>
        </w:sectPr>
      </w:pPr>
    </w:p>
    <w:p w14:paraId="5761D6D6" w14:textId="77777777" w:rsidR="00A56EE9" w:rsidRPr="00D158C1" w:rsidRDefault="00A56EE9" w:rsidP="00A11869">
      <w:pPr>
        <w:pStyle w:val="Heading1"/>
        <w:numPr>
          <w:ilvl w:val="0"/>
          <w:numId w:val="17"/>
        </w:numPr>
        <w:tabs>
          <w:tab w:val="clear" w:pos="360"/>
        </w:tabs>
      </w:pPr>
      <w:bookmarkStart w:id="162" w:name="_Toc523423813"/>
      <w:r>
        <w:t>Appendices</w:t>
      </w:r>
      <w:bookmarkEnd w:id="162"/>
    </w:p>
    <w:p w14:paraId="5761D6D7" w14:textId="77777777" w:rsidR="00A56EE9" w:rsidRPr="00B8244C" w:rsidRDefault="00A56EE9" w:rsidP="00A11869">
      <w:pPr>
        <w:pStyle w:val="Heading2"/>
        <w:numPr>
          <w:ilvl w:val="1"/>
          <w:numId w:val="17"/>
        </w:numPr>
        <w:ind w:left="567" w:hanging="567"/>
        <w:rPr>
          <w:sz w:val="24"/>
          <w:szCs w:val="24"/>
        </w:rPr>
      </w:pPr>
      <w:bookmarkStart w:id="163" w:name="_Toc523423814"/>
      <w:r w:rsidRPr="00B8244C">
        <w:rPr>
          <w:sz w:val="24"/>
          <w:szCs w:val="24"/>
        </w:rPr>
        <w:t>Appendix</w:t>
      </w:r>
      <w:r>
        <w:rPr>
          <w:sz w:val="24"/>
          <w:szCs w:val="24"/>
        </w:rPr>
        <w:t xml:space="preserve"> 1</w:t>
      </w:r>
      <w:r w:rsidRPr="00B8244C">
        <w:rPr>
          <w:sz w:val="24"/>
          <w:szCs w:val="24"/>
        </w:rPr>
        <w:t xml:space="preserve"> Grading statements for elements in the management cycle</w:t>
      </w:r>
      <w:bookmarkEnd w:id="16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ppendix 1 Grading statements for elements in the management cycle"/>
        <w:tblDescription w:val="Table listing the six elements of the assessment framework, the four potential grades, and the grading statements used to assign grades in the assessment."/>
      </w:tblPr>
      <w:tblGrid>
        <w:gridCol w:w="1217"/>
        <w:gridCol w:w="889"/>
        <w:gridCol w:w="6910"/>
      </w:tblGrid>
      <w:tr w:rsidR="00A56EE9" w:rsidRPr="00A85D06" w14:paraId="5761D6DB" w14:textId="77777777" w:rsidTr="00BB6AD5">
        <w:tc>
          <w:tcPr>
            <w:tcW w:w="619" w:type="pct"/>
          </w:tcPr>
          <w:p w14:paraId="5761D6D8" w14:textId="77777777" w:rsidR="00A56EE9" w:rsidRPr="00A85D06" w:rsidRDefault="00A56EE9" w:rsidP="00BB6AD5">
            <w:pPr>
              <w:pStyle w:val="Tablebulletlist"/>
              <w:rPr>
                <w:rStyle w:val="BookTitle"/>
                <w:b/>
              </w:rPr>
            </w:pPr>
            <w:r w:rsidRPr="00A85D06">
              <w:rPr>
                <w:rStyle w:val="BookTitle"/>
                <w:b/>
              </w:rPr>
              <w:t>Assessment criteria</w:t>
            </w:r>
          </w:p>
        </w:tc>
        <w:tc>
          <w:tcPr>
            <w:tcW w:w="443" w:type="pct"/>
            <w:shd w:val="clear" w:color="auto" w:fill="auto"/>
          </w:tcPr>
          <w:p w14:paraId="5761D6D9" w14:textId="77777777" w:rsidR="00A56EE9" w:rsidRPr="00A85D06" w:rsidRDefault="00A56EE9" w:rsidP="00BB6AD5">
            <w:pPr>
              <w:pStyle w:val="Tablebulletlist"/>
              <w:rPr>
                <w:rStyle w:val="BookTitle"/>
                <w:b/>
              </w:rPr>
            </w:pPr>
            <w:r w:rsidRPr="00A85D06">
              <w:rPr>
                <w:rStyle w:val="BookTitle"/>
                <w:b/>
              </w:rPr>
              <w:t>Grade</w:t>
            </w:r>
          </w:p>
        </w:tc>
        <w:tc>
          <w:tcPr>
            <w:tcW w:w="3938" w:type="pct"/>
          </w:tcPr>
          <w:p w14:paraId="5761D6DA" w14:textId="77777777" w:rsidR="00A56EE9" w:rsidRPr="00A85D06" w:rsidRDefault="00A56EE9" w:rsidP="00BB6AD5">
            <w:pPr>
              <w:pStyle w:val="Tablebulletlist"/>
              <w:rPr>
                <w:rStyle w:val="BookTitle"/>
                <w:b/>
              </w:rPr>
            </w:pPr>
            <w:r w:rsidRPr="00A85D06">
              <w:rPr>
                <w:rStyle w:val="BookTitle"/>
                <w:b/>
              </w:rPr>
              <w:t>Grading statements</w:t>
            </w:r>
          </w:p>
        </w:tc>
      </w:tr>
      <w:tr w:rsidR="00A56EE9" w:rsidRPr="00A85D06" w14:paraId="5761D6E0" w14:textId="77777777" w:rsidTr="00BB6AD5">
        <w:tc>
          <w:tcPr>
            <w:tcW w:w="619" w:type="pct"/>
            <w:vMerge w:val="restart"/>
          </w:tcPr>
          <w:p w14:paraId="5761D6DC" w14:textId="77777777" w:rsidR="00A56EE9" w:rsidRPr="009C0439" w:rsidRDefault="00A56EE9" w:rsidP="00BB6AD5">
            <w:pPr>
              <w:pStyle w:val="Tablebulletlist"/>
              <w:rPr>
                <w:rStyle w:val="BookTitle"/>
              </w:rPr>
            </w:pPr>
            <w:r w:rsidRPr="009C0439">
              <w:rPr>
                <w:rStyle w:val="BookTitle"/>
              </w:rPr>
              <w:t>Context – understanding of values, threats, regional/global influences and stakeholders</w:t>
            </w:r>
          </w:p>
        </w:tc>
        <w:tc>
          <w:tcPr>
            <w:tcW w:w="443" w:type="pct"/>
            <w:shd w:val="clear" w:color="auto" w:fill="008000"/>
          </w:tcPr>
          <w:p w14:paraId="5761D6DD" w14:textId="77777777" w:rsidR="00A56EE9" w:rsidRPr="009C0439" w:rsidRDefault="00A56EE9" w:rsidP="00BB6AD5">
            <w:pPr>
              <w:pStyle w:val="Tablebulletlist"/>
              <w:rPr>
                <w:rStyle w:val="BookTitle"/>
              </w:rPr>
            </w:pPr>
            <w:r w:rsidRPr="009C0439">
              <w:rPr>
                <w:rStyle w:val="BookTitle"/>
              </w:rPr>
              <w:t>Effective</w:t>
            </w:r>
          </w:p>
        </w:tc>
        <w:tc>
          <w:tcPr>
            <w:tcW w:w="3938" w:type="pct"/>
          </w:tcPr>
          <w:p w14:paraId="5761D6DF" w14:textId="2D252071" w:rsidR="00A56EE9" w:rsidRPr="009C0439" w:rsidRDefault="00A56EE9" w:rsidP="00BB6AD5">
            <w:pPr>
              <w:pStyle w:val="Tablebulletlist"/>
              <w:rPr>
                <w:rStyle w:val="BookTitle"/>
              </w:rPr>
            </w:pPr>
            <w:r w:rsidRPr="009C0439">
              <w:rPr>
                <w:rStyle w:val="BookTitle"/>
              </w:rPr>
              <w:t>Understanding of values, threats, regional/global influences and stakeholders is good for most thematic areas</w:t>
            </w:r>
          </w:p>
        </w:tc>
      </w:tr>
      <w:tr w:rsidR="00A56EE9" w:rsidRPr="00A85D06" w14:paraId="5761D6E4" w14:textId="77777777" w:rsidTr="00BB6AD5">
        <w:tc>
          <w:tcPr>
            <w:tcW w:w="619" w:type="pct"/>
            <w:vMerge/>
          </w:tcPr>
          <w:p w14:paraId="5761D6E1" w14:textId="77777777" w:rsidR="00A56EE9" w:rsidRPr="009C0439" w:rsidRDefault="00A56EE9" w:rsidP="00BB6AD5">
            <w:pPr>
              <w:pStyle w:val="Tablebulletlist"/>
              <w:rPr>
                <w:rStyle w:val="BookTitle"/>
              </w:rPr>
            </w:pPr>
          </w:p>
        </w:tc>
        <w:tc>
          <w:tcPr>
            <w:tcW w:w="443" w:type="pct"/>
            <w:shd w:val="clear" w:color="auto" w:fill="92D050"/>
          </w:tcPr>
          <w:p w14:paraId="5761D6E2" w14:textId="77777777" w:rsidR="00A56EE9" w:rsidRPr="009C0439" w:rsidRDefault="00A56EE9" w:rsidP="00BB6AD5">
            <w:pPr>
              <w:pStyle w:val="Tablebulletlist"/>
              <w:rPr>
                <w:rStyle w:val="BookTitle"/>
              </w:rPr>
            </w:pPr>
            <w:r w:rsidRPr="009C0439">
              <w:rPr>
                <w:rStyle w:val="BookTitle"/>
              </w:rPr>
              <w:t>Mostly effective</w:t>
            </w:r>
          </w:p>
        </w:tc>
        <w:tc>
          <w:tcPr>
            <w:tcW w:w="3938" w:type="pct"/>
          </w:tcPr>
          <w:p w14:paraId="5761D6E3" w14:textId="77777777" w:rsidR="00A56EE9" w:rsidRPr="009C0439" w:rsidRDefault="00A56EE9" w:rsidP="00BB6AD5">
            <w:pPr>
              <w:pStyle w:val="Tablebulletlist"/>
              <w:rPr>
                <w:rStyle w:val="BookTitle"/>
              </w:rPr>
            </w:pPr>
            <w:r w:rsidRPr="009C0439">
              <w:rPr>
                <w:rStyle w:val="BookTitle"/>
              </w:rPr>
              <w:t xml:space="preserve">Understanding is generally good but there is some variability across themes or components of the assessment criteria </w:t>
            </w:r>
          </w:p>
        </w:tc>
      </w:tr>
      <w:tr w:rsidR="00A56EE9" w:rsidRPr="00A85D06" w14:paraId="5761D6E8" w14:textId="77777777" w:rsidTr="00BB6AD5">
        <w:tc>
          <w:tcPr>
            <w:tcW w:w="619" w:type="pct"/>
            <w:vMerge/>
          </w:tcPr>
          <w:p w14:paraId="5761D6E5" w14:textId="77777777" w:rsidR="00A56EE9" w:rsidRPr="009C0439" w:rsidRDefault="00A56EE9" w:rsidP="00BB6AD5">
            <w:pPr>
              <w:pStyle w:val="Tablebulletlist"/>
              <w:rPr>
                <w:rStyle w:val="BookTitle"/>
              </w:rPr>
            </w:pPr>
          </w:p>
        </w:tc>
        <w:tc>
          <w:tcPr>
            <w:tcW w:w="443" w:type="pct"/>
            <w:shd w:val="clear" w:color="auto" w:fill="FFC000"/>
          </w:tcPr>
          <w:p w14:paraId="5761D6E6" w14:textId="77777777" w:rsidR="00A56EE9" w:rsidRPr="009C0439" w:rsidRDefault="00A56EE9" w:rsidP="00BB6AD5">
            <w:pPr>
              <w:pStyle w:val="Tablebulletlist"/>
              <w:rPr>
                <w:rStyle w:val="BookTitle"/>
              </w:rPr>
            </w:pPr>
            <w:r w:rsidRPr="009C0439">
              <w:rPr>
                <w:rStyle w:val="BookTitle"/>
              </w:rPr>
              <w:t>Partially effective</w:t>
            </w:r>
          </w:p>
        </w:tc>
        <w:tc>
          <w:tcPr>
            <w:tcW w:w="3938" w:type="pct"/>
          </w:tcPr>
          <w:p w14:paraId="5761D6E7" w14:textId="77777777" w:rsidR="00A56EE9" w:rsidRPr="009C0439" w:rsidRDefault="00A56EE9" w:rsidP="00BB6AD5">
            <w:pPr>
              <w:pStyle w:val="Tablebulletlist"/>
              <w:rPr>
                <w:rStyle w:val="BookTitle"/>
              </w:rPr>
            </w:pPr>
            <w:r w:rsidRPr="009C0439">
              <w:rPr>
                <w:rStyle w:val="BookTitle"/>
              </w:rPr>
              <w:t>Understanding of values, threats, regional and global influences and relevant stakeholders is only fair for most thematic areas</w:t>
            </w:r>
          </w:p>
        </w:tc>
      </w:tr>
      <w:tr w:rsidR="00A56EE9" w:rsidRPr="00A85D06" w14:paraId="5761D6ED" w14:textId="77777777" w:rsidTr="00BB6AD5">
        <w:tc>
          <w:tcPr>
            <w:tcW w:w="619" w:type="pct"/>
            <w:vMerge/>
          </w:tcPr>
          <w:p w14:paraId="5761D6E9" w14:textId="77777777" w:rsidR="00A56EE9" w:rsidRPr="009C0439" w:rsidRDefault="00A56EE9" w:rsidP="00BB6AD5">
            <w:pPr>
              <w:pStyle w:val="Tablebulletlist"/>
              <w:rPr>
                <w:rStyle w:val="BookTitle"/>
              </w:rPr>
            </w:pPr>
          </w:p>
        </w:tc>
        <w:tc>
          <w:tcPr>
            <w:tcW w:w="443" w:type="pct"/>
            <w:shd w:val="clear" w:color="auto" w:fill="FF0000"/>
          </w:tcPr>
          <w:p w14:paraId="5761D6EA" w14:textId="77777777" w:rsidR="00A56EE9" w:rsidRPr="009C0439" w:rsidRDefault="00A56EE9" w:rsidP="00BB6AD5">
            <w:pPr>
              <w:pStyle w:val="Tablebulletlist"/>
              <w:rPr>
                <w:rStyle w:val="BookTitle"/>
              </w:rPr>
            </w:pPr>
            <w:r w:rsidRPr="009C0439">
              <w:rPr>
                <w:rStyle w:val="BookTitle"/>
              </w:rPr>
              <w:t>Ineffective</w:t>
            </w:r>
          </w:p>
          <w:p w14:paraId="5761D6EB" w14:textId="77777777" w:rsidR="00A56EE9" w:rsidRPr="009C0439" w:rsidRDefault="00A56EE9" w:rsidP="00BB6AD5">
            <w:pPr>
              <w:pStyle w:val="Tablebulletlist"/>
              <w:rPr>
                <w:rStyle w:val="BookTitle"/>
              </w:rPr>
            </w:pPr>
          </w:p>
        </w:tc>
        <w:tc>
          <w:tcPr>
            <w:tcW w:w="3938" w:type="pct"/>
          </w:tcPr>
          <w:p w14:paraId="5761D6EC" w14:textId="77777777" w:rsidR="00A56EE9" w:rsidRPr="009C0439" w:rsidRDefault="00A56EE9" w:rsidP="00BB6AD5">
            <w:pPr>
              <w:pStyle w:val="Tablebulletlist"/>
              <w:rPr>
                <w:rStyle w:val="BookTitle"/>
              </w:rPr>
            </w:pPr>
            <w:r w:rsidRPr="009C0439">
              <w:rPr>
                <w:rStyle w:val="BookTitle"/>
              </w:rPr>
              <w:t>Understanding of values, threats, regional and global influences and relevant stakeholders is poor for most thematic areas</w:t>
            </w:r>
          </w:p>
        </w:tc>
      </w:tr>
      <w:tr w:rsidR="00A56EE9" w:rsidRPr="00A85D06" w14:paraId="5761D6F2" w14:textId="77777777" w:rsidTr="00BB6AD5">
        <w:tc>
          <w:tcPr>
            <w:tcW w:w="619" w:type="pct"/>
            <w:vMerge w:val="restart"/>
          </w:tcPr>
          <w:p w14:paraId="5761D6EE" w14:textId="77777777" w:rsidR="00A56EE9" w:rsidRPr="009C0439" w:rsidRDefault="00A56EE9" w:rsidP="00BB6AD5">
            <w:pPr>
              <w:pStyle w:val="Tablebulletlist"/>
              <w:rPr>
                <w:rStyle w:val="BookTitle"/>
              </w:rPr>
            </w:pPr>
            <w:r w:rsidRPr="009C0439">
              <w:rPr>
                <w:rStyle w:val="BookTitle"/>
              </w:rPr>
              <w:t>Planning – adequacy of planning systems and practices</w:t>
            </w:r>
          </w:p>
        </w:tc>
        <w:tc>
          <w:tcPr>
            <w:tcW w:w="443" w:type="pct"/>
            <w:shd w:val="clear" w:color="auto" w:fill="008000"/>
          </w:tcPr>
          <w:p w14:paraId="5761D6EF" w14:textId="77777777" w:rsidR="00A56EE9" w:rsidRPr="009C0439" w:rsidRDefault="00A56EE9" w:rsidP="00BB6AD5">
            <w:pPr>
              <w:pStyle w:val="Tablebulletlist"/>
              <w:rPr>
                <w:rStyle w:val="BookTitle"/>
              </w:rPr>
            </w:pPr>
            <w:r w:rsidRPr="009C0439">
              <w:rPr>
                <w:rStyle w:val="BookTitle"/>
              </w:rPr>
              <w:t>Effective</w:t>
            </w:r>
          </w:p>
          <w:p w14:paraId="5761D6F0" w14:textId="77777777" w:rsidR="00A56EE9" w:rsidRPr="009C0439" w:rsidRDefault="00A56EE9" w:rsidP="00BB6AD5">
            <w:pPr>
              <w:pStyle w:val="Tablebulletlist"/>
              <w:rPr>
                <w:rStyle w:val="BookTitle"/>
              </w:rPr>
            </w:pPr>
          </w:p>
        </w:tc>
        <w:tc>
          <w:tcPr>
            <w:tcW w:w="3938" w:type="pct"/>
          </w:tcPr>
          <w:p w14:paraId="5761D6F1" w14:textId="77777777" w:rsidR="00A56EE9" w:rsidRPr="009C0439" w:rsidRDefault="00A56EE9" w:rsidP="00BB6AD5">
            <w:pPr>
              <w:pStyle w:val="Tablebulletlist"/>
              <w:rPr>
                <w:rStyle w:val="BookTitle"/>
              </w:rPr>
            </w:pPr>
            <w:bookmarkStart w:id="164" w:name="OLE_LINK3"/>
            <w:bookmarkStart w:id="165" w:name="OLE_LINK4"/>
            <w:r w:rsidRPr="009C0439">
              <w:rPr>
                <w:rStyle w:val="BookTitle"/>
              </w:rPr>
              <w:t>Effective planning systems that engage stakeholders are in place for all/most significant issues. There is adequate policy to manage issues that is consistent across jurisdictions.</w:t>
            </w:r>
            <w:bookmarkEnd w:id="164"/>
            <w:bookmarkEnd w:id="165"/>
          </w:p>
        </w:tc>
      </w:tr>
      <w:tr w:rsidR="00A56EE9" w:rsidRPr="00A85D06" w14:paraId="5761D6F6" w14:textId="77777777" w:rsidTr="00BB6AD5">
        <w:tc>
          <w:tcPr>
            <w:tcW w:w="619" w:type="pct"/>
            <w:vMerge/>
          </w:tcPr>
          <w:p w14:paraId="5761D6F3" w14:textId="77777777" w:rsidR="00A56EE9" w:rsidRPr="009C0439" w:rsidRDefault="00A56EE9" w:rsidP="00BB6AD5">
            <w:pPr>
              <w:pStyle w:val="Tablebulletlist"/>
              <w:rPr>
                <w:rStyle w:val="BookTitle"/>
              </w:rPr>
            </w:pPr>
          </w:p>
        </w:tc>
        <w:tc>
          <w:tcPr>
            <w:tcW w:w="443" w:type="pct"/>
            <w:shd w:val="clear" w:color="auto" w:fill="92D050"/>
          </w:tcPr>
          <w:p w14:paraId="5761D6F4" w14:textId="77777777" w:rsidR="00A56EE9" w:rsidRPr="009C0439" w:rsidRDefault="00A56EE9" w:rsidP="00BB6AD5">
            <w:pPr>
              <w:pStyle w:val="Tablebulletlist"/>
              <w:rPr>
                <w:rStyle w:val="BookTitle"/>
              </w:rPr>
            </w:pPr>
            <w:r w:rsidRPr="009C0439">
              <w:rPr>
                <w:rStyle w:val="BookTitle"/>
              </w:rPr>
              <w:t>Mostly effective</w:t>
            </w:r>
          </w:p>
        </w:tc>
        <w:tc>
          <w:tcPr>
            <w:tcW w:w="3938" w:type="pct"/>
          </w:tcPr>
          <w:p w14:paraId="5761D6F5" w14:textId="77777777" w:rsidR="00A56EE9" w:rsidRPr="009C0439" w:rsidRDefault="00A56EE9" w:rsidP="00BB6AD5">
            <w:pPr>
              <w:pStyle w:val="Tablebulletlist"/>
              <w:rPr>
                <w:rStyle w:val="BookTitle"/>
              </w:rPr>
            </w:pPr>
            <w:r w:rsidRPr="009C0439">
              <w:rPr>
                <w:rStyle w:val="BookTitle"/>
              </w:rPr>
              <w:t xml:space="preserve">Effective planning systems that engage stakeholders are in place for many significant issues. Policy and consistency across jurisdictions are generally ok. </w:t>
            </w:r>
          </w:p>
        </w:tc>
      </w:tr>
      <w:tr w:rsidR="00A56EE9" w:rsidRPr="00A85D06" w14:paraId="5761D6FA" w14:textId="77777777" w:rsidTr="00BB6AD5">
        <w:tc>
          <w:tcPr>
            <w:tcW w:w="619" w:type="pct"/>
            <w:vMerge/>
          </w:tcPr>
          <w:p w14:paraId="5761D6F7" w14:textId="77777777" w:rsidR="00A56EE9" w:rsidRPr="009C0439" w:rsidRDefault="00A56EE9" w:rsidP="00BB6AD5">
            <w:pPr>
              <w:pStyle w:val="Tablebulletlist"/>
              <w:rPr>
                <w:rStyle w:val="BookTitle"/>
              </w:rPr>
            </w:pPr>
          </w:p>
        </w:tc>
        <w:tc>
          <w:tcPr>
            <w:tcW w:w="443" w:type="pct"/>
            <w:shd w:val="clear" w:color="auto" w:fill="FFC000"/>
          </w:tcPr>
          <w:p w14:paraId="5761D6F8" w14:textId="77777777" w:rsidR="00A56EE9" w:rsidRPr="009C0439" w:rsidRDefault="00A56EE9" w:rsidP="00BB6AD5">
            <w:pPr>
              <w:pStyle w:val="Tablebulletlist"/>
              <w:rPr>
                <w:rStyle w:val="BookTitle"/>
              </w:rPr>
            </w:pPr>
            <w:r w:rsidRPr="009C0439">
              <w:rPr>
                <w:rStyle w:val="BookTitle"/>
              </w:rPr>
              <w:t>Partially effective</w:t>
            </w:r>
          </w:p>
        </w:tc>
        <w:tc>
          <w:tcPr>
            <w:tcW w:w="3938" w:type="pct"/>
          </w:tcPr>
          <w:p w14:paraId="5761D6F9" w14:textId="77777777" w:rsidR="00A56EE9" w:rsidRPr="009C0439" w:rsidRDefault="00A56EE9" w:rsidP="00BB6AD5">
            <w:pPr>
              <w:pStyle w:val="Tablebulletlist"/>
              <w:rPr>
                <w:rStyle w:val="BookTitle"/>
              </w:rPr>
            </w:pPr>
            <w:r w:rsidRPr="009C0439">
              <w:rPr>
                <w:rStyle w:val="BookTitle"/>
              </w:rPr>
              <w:t>Planning systems that engage stakeholders are deficient for a number of significant issues. Policy and consistency across jurisdictions are a problem for some issues</w:t>
            </w:r>
          </w:p>
        </w:tc>
      </w:tr>
      <w:tr w:rsidR="00A56EE9" w:rsidRPr="00A85D06" w14:paraId="5761D6FF" w14:textId="77777777" w:rsidTr="00BB6AD5">
        <w:tc>
          <w:tcPr>
            <w:tcW w:w="619" w:type="pct"/>
            <w:vMerge/>
          </w:tcPr>
          <w:p w14:paraId="5761D6FB" w14:textId="77777777" w:rsidR="00A56EE9" w:rsidRPr="009C0439" w:rsidRDefault="00A56EE9" w:rsidP="00BB6AD5">
            <w:pPr>
              <w:pStyle w:val="Tablebulletlist"/>
              <w:rPr>
                <w:rStyle w:val="BookTitle"/>
              </w:rPr>
            </w:pPr>
          </w:p>
        </w:tc>
        <w:tc>
          <w:tcPr>
            <w:tcW w:w="443" w:type="pct"/>
            <w:shd w:val="clear" w:color="auto" w:fill="FF0000"/>
          </w:tcPr>
          <w:p w14:paraId="5761D6FC" w14:textId="77777777" w:rsidR="00A56EE9" w:rsidRPr="009C0439" w:rsidRDefault="00A56EE9" w:rsidP="00BB6AD5">
            <w:pPr>
              <w:pStyle w:val="Tablebulletlist"/>
              <w:rPr>
                <w:rStyle w:val="BookTitle"/>
              </w:rPr>
            </w:pPr>
            <w:r w:rsidRPr="009C0439">
              <w:rPr>
                <w:rStyle w:val="BookTitle"/>
              </w:rPr>
              <w:t>Ineffective</w:t>
            </w:r>
          </w:p>
          <w:p w14:paraId="5761D6FD" w14:textId="77777777" w:rsidR="00A56EE9" w:rsidRPr="009C0439" w:rsidRDefault="00A56EE9" w:rsidP="00BB6AD5">
            <w:pPr>
              <w:pStyle w:val="Tablebulletlist"/>
              <w:rPr>
                <w:rStyle w:val="BookTitle"/>
              </w:rPr>
            </w:pPr>
          </w:p>
        </w:tc>
        <w:tc>
          <w:tcPr>
            <w:tcW w:w="3938" w:type="pct"/>
          </w:tcPr>
          <w:p w14:paraId="5761D6FE" w14:textId="77777777" w:rsidR="00A56EE9" w:rsidRPr="009C0439" w:rsidRDefault="00A56EE9" w:rsidP="00BB6AD5">
            <w:pPr>
              <w:pStyle w:val="Tablebulletlist"/>
              <w:rPr>
                <w:rStyle w:val="BookTitle"/>
              </w:rPr>
            </w:pPr>
            <w:r w:rsidRPr="009C0439">
              <w:rPr>
                <w:rStyle w:val="BookTitle"/>
              </w:rPr>
              <w:t xml:space="preserve">Planning systems that engage stakeholders are deficient for many significant issues. Policy and consistency across jurisdictions are a problem for some issues. </w:t>
            </w:r>
          </w:p>
        </w:tc>
      </w:tr>
      <w:tr w:rsidR="00A56EE9" w:rsidRPr="00A85D06" w14:paraId="5761D703" w14:textId="77777777" w:rsidTr="00BB6AD5">
        <w:tc>
          <w:tcPr>
            <w:tcW w:w="619" w:type="pct"/>
            <w:vMerge w:val="restart"/>
          </w:tcPr>
          <w:p w14:paraId="5761D700" w14:textId="77777777" w:rsidR="00A56EE9" w:rsidRPr="009C0439" w:rsidRDefault="00A56EE9" w:rsidP="00BB6AD5">
            <w:pPr>
              <w:pStyle w:val="Tablebulletlist"/>
              <w:rPr>
                <w:rStyle w:val="BookTitle"/>
              </w:rPr>
            </w:pPr>
            <w:r w:rsidRPr="009C0439">
              <w:rPr>
                <w:rStyle w:val="BookTitle"/>
              </w:rPr>
              <w:t>Inputs – adequacy of financial, staffing and information resources</w:t>
            </w:r>
          </w:p>
        </w:tc>
        <w:tc>
          <w:tcPr>
            <w:tcW w:w="443" w:type="pct"/>
            <w:shd w:val="clear" w:color="auto" w:fill="008000"/>
          </w:tcPr>
          <w:p w14:paraId="5761D701" w14:textId="77777777" w:rsidR="00A56EE9" w:rsidRPr="009C0439" w:rsidRDefault="00A56EE9" w:rsidP="00BB6AD5">
            <w:pPr>
              <w:pStyle w:val="Tablebulletlist"/>
              <w:rPr>
                <w:rStyle w:val="BookTitle"/>
              </w:rPr>
            </w:pPr>
            <w:r w:rsidRPr="009C0439">
              <w:rPr>
                <w:rStyle w:val="BookTitle"/>
              </w:rPr>
              <w:t>Effective</w:t>
            </w:r>
          </w:p>
        </w:tc>
        <w:tc>
          <w:tcPr>
            <w:tcW w:w="3938" w:type="pct"/>
          </w:tcPr>
          <w:p w14:paraId="5761D702" w14:textId="77777777" w:rsidR="00A56EE9" w:rsidRPr="009C0439" w:rsidRDefault="00A56EE9" w:rsidP="00BB6AD5">
            <w:pPr>
              <w:pStyle w:val="Tablebulletlist"/>
              <w:rPr>
                <w:rStyle w:val="BookTitle"/>
              </w:rPr>
            </w:pPr>
            <w:r w:rsidRPr="009C0439">
              <w:rPr>
                <w:rStyle w:val="BookTitle"/>
              </w:rPr>
              <w:t>Financial and staffing resources are largely adequate to meet management needs, biophysical, socio-economic and traditional (Indigenous) knowledge is available to inform management decision making</w:t>
            </w:r>
          </w:p>
        </w:tc>
      </w:tr>
      <w:tr w:rsidR="00A56EE9" w:rsidRPr="00A85D06" w14:paraId="5761D707" w14:textId="77777777" w:rsidTr="00BB6AD5">
        <w:tc>
          <w:tcPr>
            <w:tcW w:w="619" w:type="pct"/>
            <w:vMerge/>
          </w:tcPr>
          <w:p w14:paraId="5761D704" w14:textId="77777777" w:rsidR="00A56EE9" w:rsidRPr="009C0439" w:rsidRDefault="00A56EE9" w:rsidP="00BB6AD5">
            <w:pPr>
              <w:pStyle w:val="Tablebulletlist"/>
              <w:rPr>
                <w:rStyle w:val="BookTitle"/>
              </w:rPr>
            </w:pPr>
          </w:p>
        </w:tc>
        <w:tc>
          <w:tcPr>
            <w:tcW w:w="443" w:type="pct"/>
            <w:shd w:val="clear" w:color="auto" w:fill="92D050"/>
          </w:tcPr>
          <w:p w14:paraId="5761D705" w14:textId="77777777" w:rsidR="00A56EE9" w:rsidRPr="009C0439" w:rsidRDefault="00A56EE9" w:rsidP="00BB6AD5">
            <w:pPr>
              <w:pStyle w:val="Tablebulletlist"/>
              <w:rPr>
                <w:rStyle w:val="BookTitle"/>
              </w:rPr>
            </w:pPr>
            <w:r w:rsidRPr="009C0439">
              <w:rPr>
                <w:rStyle w:val="BookTitle"/>
              </w:rPr>
              <w:t>Mostly effective</w:t>
            </w:r>
          </w:p>
        </w:tc>
        <w:tc>
          <w:tcPr>
            <w:tcW w:w="3938" w:type="pct"/>
          </w:tcPr>
          <w:p w14:paraId="5761D706" w14:textId="77777777" w:rsidR="00A56EE9" w:rsidRPr="009C0439" w:rsidRDefault="00A56EE9" w:rsidP="00BB6AD5">
            <w:pPr>
              <w:pStyle w:val="Tablebulletlist"/>
              <w:rPr>
                <w:rStyle w:val="BookTitle"/>
              </w:rPr>
            </w:pPr>
            <w:r w:rsidRPr="009C0439">
              <w:rPr>
                <w:rStyle w:val="BookTitle"/>
              </w:rPr>
              <w:t>Financial and staffing resources are mostly adequate to meet management needs, biophysical, socio-economic and traditional (Indigenous) knowledge is mostly available to inform management decision making although there may be deficiencies in some areas</w:t>
            </w:r>
          </w:p>
        </w:tc>
      </w:tr>
      <w:tr w:rsidR="00A56EE9" w:rsidRPr="00A85D06" w14:paraId="5761D70B" w14:textId="77777777" w:rsidTr="00BB6AD5">
        <w:tc>
          <w:tcPr>
            <w:tcW w:w="619" w:type="pct"/>
            <w:vMerge/>
          </w:tcPr>
          <w:p w14:paraId="5761D708" w14:textId="77777777" w:rsidR="00A56EE9" w:rsidRPr="009C0439" w:rsidRDefault="00A56EE9" w:rsidP="00BB6AD5">
            <w:pPr>
              <w:pStyle w:val="Tablebulletlist"/>
              <w:rPr>
                <w:rStyle w:val="BookTitle"/>
              </w:rPr>
            </w:pPr>
          </w:p>
        </w:tc>
        <w:tc>
          <w:tcPr>
            <w:tcW w:w="443" w:type="pct"/>
            <w:shd w:val="clear" w:color="auto" w:fill="FFC000"/>
          </w:tcPr>
          <w:p w14:paraId="5761D709" w14:textId="77777777" w:rsidR="00A56EE9" w:rsidRPr="009C0439" w:rsidRDefault="00A56EE9" w:rsidP="00BB6AD5">
            <w:pPr>
              <w:pStyle w:val="Tablebulletlist"/>
              <w:rPr>
                <w:rStyle w:val="BookTitle"/>
              </w:rPr>
            </w:pPr>
            <w:r w:rsidRPr="009C0439">
              <w:rPr>
                <w:rStyle w:val="BookTitle"/>
              </w:rPr>
              <w:t>Partially effective</w:t>
            </w:r>
          </w:p>
        </w:tc>
        <w:tc>
          <w:tcPr>
            <w:tcW w:w="3938" w:type="pct"/>
          </w:tcPr>
          <w:p w14:paraId="5761D70A" w14:textId="77777777" w:rsidR="00A56EE9" w:rsidRPr="009C0439" w:rsidRDefault="00A56EE9" w:rsidP="00BB6AD5">
            <w:pPr>
              <w:pStyle w:val="Tablebulletlist"/>
              <w:rPr>
                <w:rStyle w:val="BookTitle"/>
              </w:rPr>
            </w:pPr>
            <w:r w:rsidRPr="009C0439">
              <w:rPr>
                <w:rStyle w:val="BookTitle"/>
              </w:rPr>
              <w:t>Financial and staffing resources are unable to meet management needs in some important thematic areas, biophysical, socio-economic and traditional (Indigenous) knowledge is variably available to inform management decision making and there are significant deficiencies in some areas</w:t>
            </w:r>
          </w:p>
        </w:tc>
      </w:tr>
      <w:tr w:rsidR="00A56EE9" w:rsidRPr="00A85D06" w14:paraId="5761D70F" w14:textId="77777777" w:rsidTr="00BB6AD5">
        <w:tc>
          <w:tcPr>
            <w:tcW w:w="619" w:type="pct"/>
            <w:vMerge/>
          </w:tcPr>
          <w:p w14:paraId="5761D70C" w14:textId="77777777" w:rsidR="00A56EE9" w:rsidRPr="009C0439" w:rsidRDefault="00A56EE9" w:rsidP="00BB6AD5">
            <w:pPr>
              <w:pStyle w:val="Tablebulletlist"/>
              <w:rPr>
                <w:rStyle w:val="BookTitle"/>
              </w:rPr>
            </w:pPr>
          </w:p>
        </w:tc>
        <w:tc>
          <w:tcPr>
            <w:tcW w:w="443" w:type="pct"/>
            <w:shd w:val="clear" w:color="auto" w:fill="FF0000"/>
          </w:tcPr>
          <w:p w14:paraId="5761D70D" w14:textId="77777777" w:rsidR="00A56EE9" w:rsidRPr="009C0439" w:rsidRDefault="00A56EE9" w:rsidP="00BB6AD5">
            <w:pPr>
              <w:pStyle w:val="Tablebulletlist"/>
              <w:rPr>
                <w:rStyle w:val="BookTitle"/>
              </w:rPr>
            </w:pPr>
            <w:r w:rsidRPr="009C0439">
              <w:rPr>
                <w:rStyle w:val="BookTitle"/>
              </w:rPr>
              <w:t>Ineffective</w:t>
            </w:r>
          </w:p>
        </w:tc>
        <w:tc>
          <w:tcPr>
            <w:tcW w:w="3938" w:type="pct"/>
          </w:tcPr>
          <w:p w14:paraId="5761D70E" w14:textId="77777777" w:rsidR="00A56EE9" w:rsidRPr="009C0439" w:rsidRDefault="00A56EE9" w:rsidP="00BB6AD5">
            <w:pPr>
              <w:pStyle w:val="Tablebulletlist"/>
              <w:rPr>
                <w:rStyle w:val="BookTitle"/>
              </w:rPr>
            </w:pPr>
            <w:r w:rsidRPr="009C0439">
              <w:rPr>
                <w:rStyle w:val="BookTitle"/>
              </w:rPr>
              <w:t>Financial and staffing resources are unable to meet management needs in many thematic areas, biophysical, socio-economic and traditional (Indigenous) knowledge to support decision making is frequently deficiencies in some areas</w:t>
            </w:r>
          </w:p>
        </w:tc>
      </w:tr>
      <w:tr w:rsidR="00A56EE9" w:rsidRPr="00A85D06" w14:paraId="5761D714" w14:textId="77777777" w:rsidTr="00BB6AD5">
        <w:tc>
          <w:tcPr>
            <w:tcW w:w="619" w:type="pct"/>
            <w:vMerge w:val="restart"/>
          </w:tcPr>
          <w:p w14:paraId="5761D710" w14:textId="77777777" w:rsidR="00A56EE9" w:rsidRPr="009C0439" w:rsidRDefault="00A56EE9" w:rsidP="00BB6AD5">
            <w:pPr>
              <w:pStyle w:val="Tablebulletlist"/>
              <w:rPr>
                <w:rStyle w:val="BookTitle"/>
              </w:rPr>
            </w:pPr>
            <w:r w:rsidRPr="009C0439">
              <w:rPr>
                <w:rStyle w:val="BookTitle"/>
              </w:rPr>
              <w:t>Processes – adequacy of management systems and processes</w:t>
            </w:r>
          </w:p>
        </w:tc>
        <w:tc>
          <w:tcPr>
            <w:tcW w:w="443" w:type="pct"/>
            <w:shd w:val="clear" w:color="auto" w:fill="008000"/>
          </w:tcPr>
          <w:p w14:paraId="5761D711" w14:textId="77777777" w:rsidR="00A56EE9" w:rsidRPr="009C0439" w:rsidRDefault="00A56EE9" w:rsidP="00BB6AD5">
            <w:pPr>
              <w:pStyle w:val="Tablebulletlist"/>
              <w:rPr>
                <w:rStyle w:val="BookTitle"/>
              </w:rPr>
            </w:pPr>
            <w:r w:rsidRPr="009C0439">
              <w:rPr>
                <w:rStyle w:val="BookTitle"/>
              </w:rPr>
              <w:t>Effective</w:t>
            </w:r>
          </w:p>
          <w:p w14:paraId="5761D712" w14:textId="77777777" w:rsidR="00A56EE9" w:rsidRPr="009C0439" w:rsidRDefault="00A56EE9" w:rsidP="00BB6AD5">
            <w:pPr>
              <w:pStyle w:val="Tablebulletlist"/>
              <w:rPr>
                <w:rStyle w:val="BookTitle"/>
              </w:rPr>
            </w:pPr>
          </w:p>
        </w:tc>
        <w:tc>
          <w:tcPr>
            <w:tcW w:w="3938" w:type="pct"/>
          </w:tcPr>
          <w:p w14:paraId="5761D713" w14:textId="77777777" w:rsidR="00A56EE9" w:rsidRPr="009C0439" w:rsidRDefault="00A56EE9" w:rsidP="00BB6AD5">
            <w:pPr>
              <w:pStyle w:val="Tablebulletlist"/>
              <w:rPr>
                <w:rStyle w:val="BookTitle"/>
              </w:rPr>
            </w:pPr>
            <w:r w:rsidRPr="009C0439">
              <w:rPr>
                <w:rStyle w:val="BookTitle"/>
              </w:rPr>
              <w:t>The majority of management processes are appropriate and effective in addressing the management of the various thematic areas</w:t>
            </w:r>
          </w:p>
        </w:tc>
      </w:tr>
      <w:tr w:rsidR="00A56EE9" w:rsidRPr="00A85D06" w14:paraId="5761D718" w14:textId="77777777" w:rsidTr="00BB6AD5">
        <w:tc>
          <w:tcPr>
            <w:tcW w:w="619" w:type="pct"/>
            <w:vMerge/>
          </w:tcPr>
          <w:p w14:paraId="5761D715" w14:textId="77777777" w:rsidR="00A56EE9" w:rsidRPr="009C0439" w:rsidRDefault="00A56EE9" w:rsidP="00BB6AD5">
            <w:pPr>
              <w:pStyle w:val="Tablebulletlist"/>
              <w:rPr>
                <w:rStyle w:val="BookTitle"/>
              </w:rPr>
            </w:pPr>
          </w:p>
        </w:tc>
        <w:tc>
          <w:tcPr>
            <w:tcW w:w="443" w:type="pct"/>
            <w:shd w:val="clear" w:color="auto" w:fill="92D050"/>
          </w:tcPr>
          <w:p w14:paraId="5761D716" w14:textId="77777777" w:rsidR="00A56EE9" w:rsidRPr="009C0439" w:rsidRDefault="00A56EE9" w:rsidP="00BB6AD5">
            <w:pPr>
              <w:pStyle w:val="Tablebulletlist"/>
              <w:rPr>
                <w:rStyle w:val="BookTitle"/>
              </w:rPr>
            </w:pPr>
            <w:r w:rsidRPr="009C0439">
              <w:rPr>
                <w:rStyle w:val="BookTitle"/>
              </w:rPr>
              <w:t>Mostly effective</w:t>
            </w:r>
          </w:p>
        </w:tc>
        <w:tc>
          <w:tcPr>
            <w:tcW w:w="3938" w:type="pct"/>
          </w:tcPr>
          <w:p w14:paraId="5761D717" w14:textId="77777777" w:rsidR="00A56EE9" w:rsidRPr="009C0439" w:rsidRDefault="00A56EE9" w:rsidP="00BB6AD5">
            <w:pPr>
              <w:pStyle w:val="Tablebulletlist"/>
              <w:rPr>
                <w:rStyle w:val="BookTitle"/>
              </w:rPr>
            </w:pPr>
            <w:r w:rsidRPr="009C0439">
              <w:rPr>
                <w:rStyle w:val="BookTitle"/>
              </w:rPr>
              <w:t>The majority of management processes are appropriate and effective in addressing management although there are deficiencies in relation to a small number of thematic areas or processes</w:t>
            </w:r>
          </w:p>
        </w:tc>
      </w:tr>
      <w:tr w:rsidR="00A56EE9" w:rsidRPr="00A85D06" w14:paraId="5761D71C" w14:textId="77777777" w:rsidTr="00BB6AD5">
        <w:tc>
          <w:tcPr>
            <w:tcW w:w="619" w:type="pct"/>
            <w:vMerge/>
          </w:tcPr>
          <w:p w14:paraId="5761D719" w14:textId="77777777" w:rsidR="00A56EE9" w:rsidRPr="009C0439" w:rsidRDefault="00A56EE9" w:rsidP="00BB6AD5">
            <w:pPr>
              <w:pStyle w:val="Tablebulletlist"/>
              <w:rPr>
                <w:rStyle w:val="BookTitle"/>
              </w:rPr>
            </w:pPr>
          </w:p>
        </w:tc>
        <w:tc>
          <w:tcPr>
            <w:tcW w:w="443" w:type="pct"/>
            <w:shd w:val="clear" w:color="auto" w:fill="FFC000"/>
          </w:tcPr>
          <w:p w14:paraId="5761D71A" w14:textId="77777777" w:rsidR="00A56EE9" w:rsidRPr="009C0439" w:rsidRDefault="00A56EE9" w:rsidP="00BB6AD5">
            <w:pPr>
              <w:pStyle w:val="Tablebulletlist"/>
              <w:rPr>
                <w:rStyle w:val="BookTitle"/>
              </w:rPr>
            </w:pPr>
            <w:r w:rsidRPr="009C0439">
              <w:rPr>
                <w:rStyle w:val="BookTitle"/>
              </w:rPr>
              <w:t>Partially effective</w:t>
            </w:r>
          </w:p>
        </w:tc>
        <w:tc>
          <w:tcPr>
            <w:tcW w:w="3938" w:type="pct"/>
          </w:tcPr>
          <w:p w14:paraId="5761D71B" w14:textId="77777777" w:rsidR="00A56EE9" w:rsidRPr="009C0439" w:rsidRDefault="00A56EE9" w:rsidP="00BB6AD5">
            <w:pPr>
              <w:pStyle w:val="Tablebulletlist"/>
              <w:rPr>
                <w:rStyle w:val="BookTitle"/>
              </w:rPr>
            </w:pPr>
            <w:r w:rsidRPr="009C0439">
              <w:rPr>
                <w:rStyle w:val="BookTitle"/>
              </w:rPr>
              <w:t>A minority of critical management processes show significant deficiencies across most thematic areas</w:t>
            </w:r>
          </w:p>
        </w:tc>
      </w:tr>
      <w:tr w:rsidR="00A56EE9" w:rsidRPr="00A85D06" w14:paraId="5761D721" w14:textId="77777777" w:rsidTr="00BB6AD5">
        <w:tc>
          <w:tcPr>
            <w:tcW w:w="619" w:type="pct"/>
            <w:vMerge/>
          </w:tcPr>
          <w:p w14:paraId="5761D71D" w14:textId="77777777" w:rsidR="00A56EE9" w:rsidRPr="009C0439" w:rsidRDefault="00A56EE9" w:rsidP="00BB6AD5">
            <w:pPr>
              <w:pStyle w:val="Tablebulletlist"/>
              <w:rPr>
                <w:rStyle w:val="BookTitle"/>
              </w:rPr>
            </w:pPr>
          </w:p>
        </w:tc>
        <w:tc>
          <w:tcPr>
            <w:tcW w:w="443" w:type="pct"/>
            <w:shd w:val="clear" w:color="auto" w:fill="FF0000"/>
          </w:tcPr>
          <w:p w14:paraId="5761D71F" w14:textId="13F6B237" w:rsidR="00A56EE9" w:rsidRPr="009C0439" w:rsidRDefault="00A56EE9" w:rsidP="00BB6AD5">
            <w:pPr>
              <w:pStyle w:val="Tablebulletlist"/>
              <w:rPr>
                <w:rStyle w:val="BookTitle"/>
              </w:rPr>
            </w:pPr>
            <w:r w:rsidRPr="009C0439">
              <w:rPr>
                <w:rStyle w:val="BookTitle"/>
              </w:rPr>
              <w:t>Ineffective</w:t>
            </w:r>
          </w:p>
        </w:tc>
        <w:tc>
          <w:tcPr>
            <w:tcW w:w="3938" w:type="pct"/>
          </w:tcPr>
          <w:p w14:paraId="5761D720" w14:textId="77777777" w:rsidR="00A56EE9" w:rsidRPr="009C0439" w:rsidRDefault="00A56EE9" w:rsidP="00BB6AD5">
            <w:pPr>
              <w:pStyle w:val="Tablebulletlist"/>
              <w:rPr>
                <w:rStyle w:val="BookTitle"/>
              </w:rPr>
            </w:pPr>
            <w:r w:rsidRPr="009C0439">
              <w:rPr>
                <w:rStyle w:val="BookTitle"/>
              </w:rPr>
              <w:t>A majority of management processes show significant deficiencies across most thematic areas</w:t>
            </w:r>
          </w:p>
        </w:tc>
      </w:tr>
      <w:tr w:rsidR="00A56EE9" w:rsidRPr="00A85D06" w14:paraId="5761D726" w14:textId="77777777" w:rsidTr="00BB6AD5">
        <w:tc>
          <w:tcPr>
            <w:tcW w:w="619" w:type="pct"/>
            <w:vMerge w:val="restart"/>
          </w:tcPr>
          <w:p w14:paraId="5761D722" w14:textId="77777777" w:rsidR="00A56EE9" w:rsidRPr="009C0439" w:rsidRDefault="00A56EE9" w:rsidP="00BB6AD5">
            <w:pPr>
              <w:pStyle w:val="Tablebulletlist"/>
              <w:rPr>
                <w:rStyle w:val="BookTitle"/>
              </w:rPr>
            </w:pPr>
            <w:r w:rsidRPr="009C0439">
              <w:rPr>
                <w:rStyle w:val="BookTitle"/>
              </w:rPr>
              <w:t>Outputs – delivery of products and services and implementation of plans</w:t>
            </w:r>
          </w:p>
        </w:tc>
        <w:tc>
          <w:tcPr>
            <w:tcW w:w="443" w:type="pct"/>
            <w:shd w:val="clear" w:color="auto" w:fill="008000"/>
          </w:tcPr>
          <w:p w14:paraId="5761D723" w14:textId="77777777" w:rsidR="00A56EE9" w:rsidRPr="009C0439" w:rsidRDefault="00A56EE9" w:rsidP="00BB6AD5">
            <w:pPr>
              <w:pStyle w:val="Tablebulletlist"/>
              <w:rPr>
                <w:rStyle w:val="BookTitle"/>
              </w:rPr>
            </w:pPr>
            <w:r w:rsidRPr="009C0439">
              <w:rPr>
                <w:rStyle w:val="BookTitle"/>
              </w:rPr>
              <w:t>Effective</w:t>
            </w:r>
          </w:p>
          <w:p w14:paraId="5761D724" w14:textId="77777777" w:rsidR="00A56EE9" w:rsidRPr="009C0439" w:rsidRDefault="00A56EE9" w:rsidP="00BB6AD5">
            <w:pPr>
              <w:pStyle w:val="Tablebulletlist"/>
              <w:rPr>
                <w:rStyle w:val="BookTitle"/>
              </w:rPr>
            </w:pPr>
          </w:p>
        </w:tc>
        <w:tc>
          <w:tcPr>
            <w:tcW w:w="3938" w:type="pct"/>
          </w:tcPr>
          <w:p w14:paraId="5761D725" w14:textId="77777777" w:rsidR="00A56EE9" w:rsidRPr="009C0439" w:rsidRDefault="00A56EE9" w:rsidP="00BB6AD5">
            <w:pPr>
              <w:pStyle w:val="Tablebulletlist"/>
              <w:rPr>
                <w:rStyle w:val="BookTitle"/>
              </w:rPr>
            </w:pPr>
            <w:r w:rsidRPr="009C0439">
              <w:rPr>
                <w:rStyle w:val="BookTitle"/>
              </w:rPr>
              <w:t>Management programs are mostly progressing in accordance with planned programs and are achieving their desired objectives. The agency and community knowledge base is improving.</w:t>
            </w:r>
          </w:p>
        </w:tc>
      </w:tr>
      <w:tr w:rsidR="00A56EE9" w:rsidRPr="00A85D06" w14:paraId="5761D72A" w14:textId="77777777" w:rsidTr="00BB6AD5">
        <w:tc>
          <w:tcPr>
            <w:tcW w:w="619" w:type="pct"/>
            <w:vMerge/>
          </w:tcPr>
          <w:p w14:paraId="5761D727" w14:textId="77777777" w:rsidR="00A56EE9" w:rsidRPr="009C0439" w:rsidRDefault="00A56EE9" w:rsidP="00BB6AD5">
            <w:pPr>
              <w:pStyle w:val="Tablebulletlist"/>
              <w:rPr>
                <w:rStyle w:val="BookTitle"/>
              </w:rPr>
            </w:pPr>
          </w:p>
        </w:tc>
        <w:tc>
          <w:tcPr>
            <w:tcW w:w="443" w:type="pct"/>
            <w:shd w:val="clear" w:color="auto" w:fill="92D050"/>
          </w:tcPr>
          <w:p w14:paraId="5761D728" w14:textId="77777777" w:rsidR="00A56EE9" w:rsidRPr="009C0439" w:rsidRDefault="00A56EE9" w:rsidP="00BB6AD5">
            <w:pPr>
              <w:pStyle w:val="Tablebulletlist"/>
              <w:rPr>
                <w:rStyle w:val="BookTitle"/>
              </w:rPr>
            </w:pPr>
            <w:r w:rsidRPr="009C0439">
              <w:rPr>
                <w:rStyle w:val="BookTitle"/>
              </w:rPr>
              <w:t>Mostly effective</w:t>
            </w:r>
          </w:p>
        </w:tc>
        <w:tc>
          <w:tcPr>
            <w:tcW w:w="3938" w:type="pct"/>
          </w:tcPr>
          <w:p w14:paraId="5761D729" w14:textId="77777777" w:rsidR="00A56EE9" w:rsidRPr="009C0439" w:rsidRDefault="00A56EE9" w:rsidP="00BB6AD5">
            <w:pPr>
              <w:pStyle w:val="Tablebulletlist"/>
              <w:rPr>
                <w:rStyle w:val="BookTitle"/>
              </w:rPr>
            </w:pPr>
            <w:r w:rsidRPr="009C0439">
              <w:rPr>
                <w:rStyle w:val="BookTitle"/>
              </w:rPr>
              <w:t>Management programs are mostly progressing in accordance with planned programs and are achieving their desired objectives but there are problems in some thematic areas. The agency and community knowledge base is generally improving.</w:t>
            </w:r>
          </w:p>
        </w:tc>
      </w:tr>
      <w:tr w:rsidR="00A56EE9" w:rsidRPr="00A85D06" w14:paraId="5761D72E" w14:textId="77777777" w:rsidTr="00BB6AD5">
        <w:tc>
          <w:tcPr>
            <w:tcW w:w="619" w:type="pct"/>
            <w:vMerge/>
          </w:tcPr>
          <w:p w14:paraId="5761D72B" w14:textId="77777777" w:rsidR="00A56EE9" w:rsidRPr="009C0439" w:rsidRDefault="00A56EE9" w:rsidP="00BB6AD5">
            <w:pPr>
              <w:pStyle w:val="Tablebulletlist"/>
              <w:rPr>
                <w:rStyle w:val="BookTitle"/>
              </w:rPr>
            </w:pPr>
          </w:p>
        </w:tc>
        <w:tc>
          <w:tcPr>
            <w:tcW w:w="443" w:type="pct"/>
            <w:shd w:val="clear" w:color="auto" w:fill="FFC000"/>
          </w:tcPr>
          <w:p w14:paraId="5761D72C" w14:textId="77777777" w:rsidR="00A56EE9" w:rsidRPr="009C0439" w:rsidRDefault="00A56EE9" w:rsidP="00BB6AD5">
            <w:pPr>
              <w:pStyle w:val="Tablebulletlist"/>
              <w:rPr>
                <w:rStyle w:val="BookTitle"/>
              </w:rPr>
            </w:pPr>
            <w:r w:rsidRPr="009C0439">
              <w:rPr>
                <w:rStyle w:val="BookTitle"/>
              </w:rPr>
              <w:t>Partially effective</w:t>
            </w:r>
          </w:p>
        </w:tc>
        <w:tc>
          <w:tcPr>
            <w:tcW w:w="3938" w:type="pct"/>
          </w:tcPr>
          <w:p w14:paraId="5761D72D" w14:textId="77777777" w:rsidR="00A56EE9" w:rsidRPr="009C0439" w:rsidRDefault="00A56EE9" w:rsidP="00BB6AD5">
            <w:pPr>
              <w:pStyle w:val="Tablebulletlist"/>
              <w:rPr>
                <w:rStyle w:val="BookTitle"/>
              </w:rPr>
            </w:pPr>
            <w:r w:rsidRPr="009C0439">
              <w:rPr>
                <w:rStyle w:val="BookTitle"/>
              </w:rPr>
              <w:t>Many management programs are not progressing in accordance with planned programs (significant delays or incomplete actions) or actions undertaken are not achieving objectives. The knowledge base is only growing slowly.</w:t>
            </w:r>
          </w:p>
        </w:tc>
      </w:tr>
      <w:tr w:rsidR="00A56EE9" w:rsidRPr="00A85D06" w14:paraId="5761D733" w14:textId="77777777" w:rsidTr="00BB6AD5">
        <w:tc>
          <w:tcPr>
            <w:tcW w:w="619" w:type="pct"/>
            <w:vMerge/>
          </w:tcPr>
          <w:p w14:paraId="5761D72F" w14:textId="77777777" w:rsidR="00A56EE9" w:rsidRPr="009C0439" w:rsidRDefault="00A56EE9" w:rsidP="00BB6AD5">
            <w:pPr>
              <w:pStyle w:val="Tablebulletlist"/>
              <w:rPr>
                <w:rStyle w:val="BookTitle"/>
              </w:rPr>
            </w:pPr>
          </w:p>
        </w:tc>
        <w:tc>
          <w:tcPr>
            <w:tcW w:w="443" w:type="pct"/>
            <w:shd w:val="clear" w:color="auto" w:fill="FF0000"/>
          </w:tcPr>
          <w:p w14:paraId="5761D730" w14:textId="77777777" w:rsidR="00A56EE9" w:rsidRPr="009C0439" w:rsidRDefault="00A56EE9" w:rsidP="00BB6AD5">
            <w:pPr>
              <w:pStyle w:val="Tablebulletlist"/>
              <w:rPr>
                <w:rStyle w:val="BookTitle"/>
              </w:rPr>
            </w:pPr>
            <w:r w:rsidRPr="009C0439">
              <w:rPr>
                <w:rStyle w:val="BookTitle"/>
              </w:rPr>
              <w:t>Ineffective</w:t>
            </w:r>
          </w:p>
          <w:p w14:paraId="5761D731" w14:textId="77777777" w:rsidR="00A56EE9" w:rsidRPr="009C0439" w:rsidRDefault="00A56EE9" w:rsidP="00BB6AD5">
            <w:pPr>
              <w:pStyle w:val="Tablebulletlist"/>
              <w:rPr>
                <w:rStyle w:val="BookTitle"/>
              </w:rPr>
            </w:pPr>
          </w:p>
        </w:tc>
        <w:tc>
          <w:tcPr>
            <w:tcW w:w="3938" w:type="pct"/>
          </w:tcPr>
          <w:p w14:paraId="5761D732" w14:textId="77777777" w:rsidR="00A56EE9" w:rsidRPr="009C0439" w:rsidRDefault="00A56EE9" w:rsidP="00BB6AD5">
            <w:pPr>
              <w:pStyle w:val="Tablebulletlist"/>
              <w:rPr>
                <w:rStyle w:val="BookTitle"/>
              </w:rPr>
            </w:pPr>
            <w:r w:rsidRPr="009C0439">
              <w:rPr>
                <w:rStyle w:val="BookTitle"/>
              </w:rPr>
              <w:t>Most management programs are not progressing in accordance with planned programs (significant delays or incomplete actions) or actions undertaken are not achieving objectives. The knowledge base is only growing slowly.</w:t>
            </w:r>
          </w:p>
        </w:tc>
      </w:tr>
      <w:tr w:rsidR="00A56EE9" w:rsidRPr="00A85D06" w14:paraId="5761D738" w14:textId="77777777" w:rsidTr="00BB6AD5">
        <w:tc>
          <w:tcPr>
            <w:tcW w:w="619" w:type="pct"/>
            <w:vMerge w:val="restart"/>
          </w:tcPr>
          <w:p w14:paraId="5761D734" w14:textId="77777777" w:rsidR="00A56EE9" w:rsidRPr="009C0439" w:rsidRDefault="00A56EE9" w:rsidP="00BB6AD5">
            <w:pPr>
              <w:pStyle w:val="Tablebulletlist"/>
              <w:rPr>
                <w:rStyle w:val="BookTitle"/>
              </w:rPr>
            </w:pPr>
            <w:r w:rsidRPr="009C0439">
              <w:rPr>
                <w:rStyle w:val="BookTitle"/>
              </w:rPr>
              <w:t>Outcomes – results of management actions in achieving goals, maintaining values</w:t>
            </w:r>
          </w:p>
        </w:tc>
        <w:tc>
          <w:tcPr>
            <w:tcW w:w="443" w:type="pct"/>
            <w:shd w:val="clear" w:color="auto" w:fill="008000"/>
          </w:tcPr>
          <w:p w14:paraId="5761D735" w14:textId="77777777" w:rsidR="00A56EE9" w:rsidRPr="009C0439" w:rsidRDefault="00A56EE9" w:rsidP="00BB6AD5">
            <w:pPr>
              <w:pStyle w:val="Tablebulletlist"/>
              <w:rPr>
                <w:rStyle w:val="BookTitle"/>
              </w:rPr>
            </w:pPr>
            <w:r w:rsidRPr="009C0439">
              <w:rPr>
                <w:rStyle w:val="BookTitle"/>
              </w:rPr>
              <w:t>Effective</w:t>
            </w:r>
          </w:p>
          <w:p w14:paraId="5761D736" w14:textId="77777777" w:rsidR="00A56EE9" w:rsidRPr="009C0439" w:rsidRDefault="00A56EE9" w:rsidP="00BB6AD5">
            <w:pPr>
              <w:pStyle w:val="Tablebulletlist"/>
              <w:rPr>
                <w:rStyle w:val="BookTitle"/>
              </w:rPr>
            </w:pPr>
          </w:p>
        </w:tc>
        <w:tc>
          <w:tcPr>
            <w:tcW w:w="3938" w:type="pct"/>
          </w:tcPr>
          <w:p w14:paraId="5761D737" w14:textId="77777777" w:rsidR="00A56EE9" w:rsidRPr="009C0439" w:rsidRDefault="00A56EE9" w:rsidP="00BB6AD5">
            <w:pPr>
              <w:pStyle w:val="Tablebulletlist"/>
              <w:rPr>
                <w:rStyle w:val="BookTitle"/>
              </w:rPr>
            </w:pPr>
            <w:r w:rsidRPr="009C0439">
              <w:rPr>
                <w:rStyle w:val="BookTitle"/>
              </w:rPr>
              <w:t>Desired outcomes are mostly being achieved, values protected and threats abated for most thematic areas, use of the Great Barrier Reef is largely environmentally and economically sustainable with good community engagement, understanding and enjoyment.</w:t>
            </w:r>
          </w:p>
        </w:tc>
      </w:tr>
      <w:tr w:rsidR="00A56EE9" w:rsidRPr="00A85D06" w14:paraId="5761D73C" w14:textId="77777777" w:rsidTr="00BB6AD5">
        <w:tc>
          <w:tcPr>
            <w:tcW w:w="619" w:type="pct"/>
            <w:vMerge/>
          </w:tcPr>
          <w:p w14:paraId="5761D739" w14:textId="77777777" w:rsidR="00A56EE9" w:rsidRPr="009C0439" w:rsidRDefault="00A56EE9" w:rsidP="00BB6AD5">
            <w:pPr>
              <w:pStyle w:val="Tablebulletlist"/>
              <w:rPr>
                <w:rStyle w:val="BookTitle"/>
              </w:rPr>
            </w:pPr>
          </w:p>
        </w:tc>
        <w:tc>
          <w:tcPr>
            <w:tcW w:w="443" w:type="pct"/>
            <w:shd w:val="clear" w:color="auto" w:fill="92D050"/>
          </w:tcPr>
          <w:p w14:paraId="5761D73A" w14:textId="77777777" w:rsidR="00A56EE9" w:rsidRPr="009C0439" w:rsidRDefault="00A56EE9" w:rsidP="00BB6AD5">
            <w:pPr>
              <w:pStyle w:val="Tablebulletlist"/>
              <w:rPr>
                <w:rStyle w:val="BookTitle"/>
              </w:rPr>
            </w:pPr>
            <w:r w:rsidRPr="009C0439">
              <w:rPr>
                <w:rStyle w:val="BookTitle"/>
              </w:rPr>
              <w:t>Mostly effective</w:t>
            </w:r>
          </w:p>
        </w:tc>
        <w:tc>
          <w:tcPr>
            <w:tcW w:w="3938" w:type="pct"/>
          </w:tcPr>
          <w:p w14:paraId="5761D73B" w14:textId="77777777" w:rsidR="00A56EE9" w:rsidRPr="009C0439" w:rsidRDefault="00A56EE9" w:rsidP="00BB6AD5">
            <w:pPr>
              <w:pStyle w:val="Tablebulletlist"/>
              <w:rPr>
                <w:rStyle w:val="BookTitle"/>
              </w:rPr>
            </w:pPr>
            <w:r w:rsidRPr="009C0439">
              <w:rPr>
                <w:rStyle w:val="BookTitle"/>
              </w:rPr>
              <w:t>Desired outcomes are being achieved in many thematic areas, values protected and threats abated for many thematic areas, use of the Great Barrier Reef is largely environmentally and economically sustainable with good community engagement, understanding and enjoyment.</w:t>
            </w:r>
          </w:p>
        </w:tc>
      </w:tr>
      <w:tr w:rsidR="00A56EE9" w:rsidRPr="00A85D06" w14:paraId="5761D740" w14:textId="77777777" w:rsidTr="00BB6AD5">
        <w:tc>
          <w:tcPr>
            <w:tcW w:w="619" w:type="pct"/>
            <w:vMerge/>
          </w:tcPr>
          <w:p w14:paraId="5761D73D" w14:textId="77777777" w:rsidR="00A56EE9" w:rsidRPr="009C0439" w:rsidRDefault="00A56EE9" w:rsidP="00BB6AD5">
            <w:pPr>
              <w:pStyle w:val="Tablebulletlist"/>
              <w:rPr>
                <w:rStyle w:val="BookTitle"/>
              </w:rPr>
            </w:pPr>
          </w:p>
        </w:tc>
        <w:tc>
          <w:tcPr>
            <w:tcW w:w="443" w:type="pct"/>
            <w:shd w:val="clear" w:color="auto" w:fill="FFC000"/>
          </w:tcPr>
          <w:p w14:paraId="5761D73E" w14:textId="77777777" w:rsidR="00A56EE9" w:rsidRPr="009C0439" w:rsidRDefault="00A56EE9" w:rsidP="00BB6AD5">
            <w:pPr>
              <w:pStyle w:val="Tablebulletlist"/>
              <w:rPr>
                <w:rStyle w:val="BookTitle"/>
              </w:rPr>
            </w:pPr>
            <w:r w:rsidRPr="009C0439">
              <w:rPr>
                <w:rStyle w:val="BookTitle"/>
              </w:rPr>
              <w:t>Partially effective</w:t>
            </w:r>
          </w:p>
        </w:tc>
        <w:tc>
          <w:tcPr>
            <w:tcW w:w="3938" w:type="pct"/>
          </w:tcPr>
          <w:p w14:paraId="5761D73F" w14:textId="77777777" w:rsidR="00A56EE9" w:rsidRPr="009C0439" w:rsidRDefault="00A56EE9" w:rsidP="00BB6AD5">
            <w:pPr>
              <w:pStyle w:val="Tablebulletlist"/>
              <w:rPr>
                <w:rStyle w:val="BookTitle"/>
              </w:rPr>
            </w:pPr>
            <w:r w:rsidRPr="009C0439">
              <w:rPr>
                <w:rStyle w:val="BookTitle"/>
              </w:rPr>
              <w:t>Desired outcomes, protection of values and abatement of threats are not being achieved at desirable levels in some critical thematic areas with likely eventual flow-on effects across the Great Barrier Reef. Critical aspects of the use of the Great Barrier Reef are not environmentally or economically sustainable.</w:t>
            </w:r>
          </w:p>
        </w:tc>
      </w:tr>
      <w:tr w:rsidR="00A56EE9" w:rsidRPr="00A85D06" w14:paraId="5761D745" w14:textId="77777777" w:rsidTr="00BB6AD5">
        <w:tc>
          <w:tcPr>
            <w:tcW w:w="619" w:type="pct"/>
            <w:vMerge/>
          </w:tcPr>
          <w:p w14:paraId="5761D741" w14:textId="77777777" w:rsidR="00A56EE9" w:rsidRPr="009C0439" w:rsidRDefault="00A56EE9" w:rsidP="00BB6AD5">
            <w:pPr>
              <w:pStyle w:val="Tablebulletlist"/>
              <w:rPr>
                <w:rStyle w:val="BookTitle"/>
              </w:rPr>
            </w:pPr>
          </w:p>
        </w:tc>
        <w:tc>
          <w:tcPr>
            <w:tcW w:w="443" w:type="pct"/>
            <w:shd w:val="clear" w:color="auto" w:fill="FF0000"/>
          </w:tcPr>
          <w:p w14:paraId="5761D742" w14:textId="77777777" w:rsidR="00A56EE9" w:rsidRPr="009C0439" w:rsidRDefault="00A56EE9" w:rsidP="00BB6AD5">
            <w:pPr>
              <w:pStyle w:val="Tablebulletlist"/>
              <w:rPr>
                <w:rStyle w:val="BookTitle"/>
              </w:rPr>
            </w:pPr>
            <w:r w:rsidRPr="009C0439">
              <w:rPr>
                <w:rStyle w:val="BookTitle"/>
              </w:rPr>
              <w:t>Ineffective</w:t>
            </w:r>
          </w:p>
          <w:p w14:paraId="5761D743" w14:textId="77777777" w:rsidR="00A56EE9" w:rsidRPr="009C0439" w:rsidRDefault="00A56EE9" w:rsidP="00BB6AD5">
            <w:pPr>
              <w:pStyle w:val="Tablebulletlist"/>
              <w:rPr>
                <w:rStyle w:val="BookTitle"/>
              </w:rPr>
            </w:pPr>
          </w:p>
        </w:tc>
        <w:tc>
          <w:tcPr>
            <w:tcW w:w="3938" w:type="pct"/>
          </w:tcPr>
          <w:p w14:paraId="5761D744" w14:textId="77777777" w:rsidR="00A56EE9" w:rsidRPr="009C0439" w:rsidRDefault="00A56EE9" w:rsidP="00BB6AD5">
            <w:pPr>
              <w:pStyle w:val="Tablebulletlist"/>
              <w:rPr>
                <w:rStyle w:val="BookTitle"/>
              </w:rPr>
            </w:pPr>
            <w:r w:rsidRPr="009C0439">
              <w:rPr>
                <w:rStyle w:val="BookTitle"/>
              </w:rPr>
              <w:t>Desired outcomes, protection of values and abatement of threats are not being achieved at desirable levels in most thematic areas including critical areas with likely eventual flow-on effects across the Great Barrier Reef. Critical aspects of the use of the Great Barrier Reef are not environmentally or economically sustainable.</w:t>
            </w:r>
          </w:p>
        </w:tc>
      </w:tr>
    </w:tbl>
    <w:p w14:paraId="7C2D3ED1" w14:textId="42FDB757" w:rsidR="00C11915" w:rsidRDefault="00C11915" w:rsidP="00C11915">
      <w:pPr>
        <w:rPr>
          <w:rFonts w:ascii="Segoe UI" w:eastAsiaTheme="majorEastAsia" w:hAnsi="Segoe UI" w:cstheme="majorBidi"/>
          <w:color w:val="2F5496" w:themeColor="accent1" w:themeShade="BF"/>
          <w:sz w:val="26"/>
          <w:szCs w:val="26"/>
        </w:rPr>
      </w:pPr>
      <w:bookmarkStart w:id="166" w:name="_Toc523423815"/>
    </w:p>
    <w:p w14:paraId="5761D746" w14:textId="77777777" w:rsidR="00A56EE9" w:rsidRDefault="00A56EE9" w:rsidP="00A11869">
      <w:pPr>
        <w:pStyle w:val="Heading2"/>
        <w:numPr>
          <w:ilvl w:val="1"/>
          <w:numId w:val="17"/>
        </w:numPr>
        <w:ind w:left="357" w:hanging="357"/>
      </w:pPr>
      <w:r>
        <w:t>Appendix 2 Matrix of grades for each topic</w:t>
      </w:r>
      <w:bookmarkEnd w:id="166"/>
    </w:p>
    <w:tbl>
      <w:tblPr>
        <w:tblW w:w="4850" w:type="pct"/>
        <w:tblBorders>
          <w:top w:val="single" w:sz="12"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tblCellMar>
        <w:tblLook w:val="04A0" w:firstRow="1" w:lastRow="0" w:firstColumn="1" w:lastColumn="0" w:noHBand="0" w:noVBand="1"/>
        <w:tblCaption w:val="Appendix 3 Matrix of grades for each topic"/>
        <w:tblDescription w:val="Table providing the scores for each of the criertia for the six managment effctiveness elements for each of the 14 topics."/>
      </w:tblPr>
      <w:tblGrid>
        <w:gridCol w:w="562"/>
        <w:gridCol w:w="1884"/>
        <w:gridCol w:w="385"/>
        <w:gridCol w:w="385"/>
        <w:gridCol w:w="383"/>
        <w:gridCol w:w="383"/>
        <w:gridCol w:w="383"/>
        <w:gridCol w:w="383"/>
        <w:gridCol w:w="383"/>
        <w:gridCol w:w="383"/>
        <w:gridCol w:w="383"/>
        <w:gridCol w:w="383"/>
        <w:gridCol w:w="383"/>
        <w:gridCol w:w="383"/>
        <w:gridCol w:w="383"/>
        <w:gridCol w:w="383"/>
        <w:gridCol w:w="460"/>
        <w:gridCol w:w="474"/>
      </w:tblGrid>
      <w:tr w:rsidR="00A56EE9" w:rsidRPr="00D96915" w14:paraId="5761D75A" w14:textId="77777777" w:rsidTr="00BB6AD5">
        <w:trPr>
          <w:cantSplit/>
          <w:trHeight w:val="1694"/>
          <w:tblHeader/>
        </w:trPr>
        <w:tc>
          <w:tcPr>
            <w:tcW w:w="321" w:type="pct"/>
            <w:shd w:val="clear" w:color="auto" w:fill="auto"/>
            <w:noWrap/>
            <w:vAlign w:val="center"/>
          </w:tcPr>
          <w:p w14:paraId="5761D748" w14:textId="77777777" w:rsidR="00A56EE9" w:rsidRPr="00D96915" w:rsidRDefault="00A56EE9" w:rsidP="00BB6AD5">
            <w:pPr>
              <w:pStyle w:val="Tablebulletlist"/>
              <w:rPr>
                <w:rStyle w:val="BookTitle"/>
                <w:rFonts w:ascii="Arial" w:hAnsi="Arial"/>
                <w:sz w:val="16"/>
                <w:szCs w:val="16"/>
              </w:rPr>
            </w:pPr>
          </w:p>
        </w:tc>
        <w:tc>
          <w:tcPr>
            <w:tcW w:w="1077" w:type="pct"/>
            <w:shd w:val="clear" w:color="auto" w:fill="auto"/>
            <w:noWrap/>
            <w:textDirection w:val="btLr"/>
          </w:tcPr>
          <w:p w14:paraId="5761D749" w14:textId="77777777" w:rsidR="00A56EE9" w:rsidRPr="00D96915" w:rsidRDefault="00A56EE9" w:rsidP="00BB6AD5">
            <w:pPr>
              <w:pStyle w:val="Tablebulletlist"/>
              <w:rPr>
                <w:rStyle w:val="BookTitle"/>
                <w:rFonts w:ascii="Arial" w:hAnsi="Arial"/>
                <w:sz w:val="16"/>
                <w:szCs w:val="16"/>
              </w:rPr>
            </w:pPr>
            <w:r>
              <w:rPr>
                <w:rStyle w:val="BookTitle"/>
                <w:rFonts w:ascii="Arial" w:hAnsi="Arial"/>
                <w:sz w:val="16"/>
                <w:szCs w:val="16"/>
              </w:rPr>
              <w:t>Topics</w:t>
            </w:r>
          </w:p>
        </w:tc>
        <w:tc>
          <w:tcPr>
            <w:tcW w:w="220" w:type="pct"/>
            <w:shd w:val="clear" w:color="auto" w:fill="auto"/>
            <w:noWrap/>
            <w:textDirection w:val="btLr"/>
            <w:vAlign w:val="center"/>
          </w:tcPr>
          <w:p w14:paraId="5761D74A"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Biodiversity</w:t>
            </w:r>
          </w:p>
        </w:tc>
        <w:tc>
          <w:tcPr>
            <w:tcW w:w="220" w:type="pct"/>
            <w:textDirection w:val="btLr"/>
            <w:vAlign w:val="center"/>
          </w:tcPr>
          <w:p w14:paraId="5761D74B"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Climate Change</w:t>
            </w:r>
          </w:p>
        </w:tc>
        <w:tc>
          <w:tcPr>
            <w:tcW w:w="219" w:type="pct"/>
            <w:shd w:val="clear" w:color="auto" w:fill="auto"/>
            <w:noWrap/>
            <w:textDirection w:val="btLr"/>
            <w:vAlign w:val="center"/>
          </w:tcPr>
          <w:p w14:paraId="5761D74C"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Coastal Development</w:t>
            </w:r>
          </w:p>
        </w:tc>
        <w:tc>
          <w:tcPr>
            <w:tcW w:w="219" w:type="pct"/>
            <w:textDirection w:val="btLr"/>
            <w:vAlign w:val="center"/>
          </w:tcPr>
          <w:p w14:paraId="5761D74D"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Commercial marine tourism</w:t>
            </w:r>
          </w:p>
        </w:tc>
        <w:tc>
          <w:tcPr>
            <w:tcW w:w="219" w:type="pct"/>
            <w:shd w:val="clear" w:color="auto" w:fill="auto"/>
            <w:noWrap/>
            <w:textDirection w:val="btLr"/>
            <w:vAlign w:val="center"/>
          </w:tcPr>
          <w:p w14:paraId="5761D74E"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Community benefits</w:t>
            </w:r>
          </w:p>
        </w:tc>
        <w:tc>
          <w:tcPr>
            <w:tcW w:w="219" w:type="pct"/>
            <w:shd w:val="clear" w:color="auto" w:fill="auto"/>
            <w:noWrap/>
            <w:textDirection w:val="btLr"/>
            <w:vAlign w:val="center"/>
          </w:tcPr>
          <w:p w14:paraId="5761D74F"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Defence</w:t>
            </w:r>
          </w:p>
        </w:tc>
        <w:tc>
          <w:tcPr>
            <w:tcW w:w="219" w:type="pct"/>
            <w:shd w:val="clear" w:color="auto" w:fill="auto"/>
            <w:noWrap/>
            <w:textDirection w:val="btLr"/>
            <w:vAlign w:val="center"/>
          </w:tcPr>
          <w:p w14:paraId="5761D750"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Fishing</w:t>
            </w:r>
          </w:p>
        </w:tc>
        <w:tc>
          <w:tcPr>
            <w:tcW w:w="219" w:type="pct"/>
            <w:shd w:val="clear" w:color="auto" w:fill="auto"/>
            <w:noWrap/>
            <w:textDirection w:val="btLr"/>
            <w:vAlign w:val="center"/>
          </w:tcPr>
          <w:p w14:paraId="5761D751" w14:textId="77777777" w:rsidR="00A56EE9" w:rsidRPr="00015E98" w:rsidRDefault="00A56EE9" w:rsidP="00BB6AD5">
            <w:pPr>
              <w:pStyle w:val="Tablebulletlist"/>
              <w:rPr>
                <w:rStyle w:val="BookTitle"/>
                <w:rFonts w:ascii="Arial" w:hAnsi="Arial"/>
                <w:sz w:val="16"/>
                <w:szCs w:val="16"/>
              </w:rPr>
            </w:pPr>
            <w:r w:rsidRPr="00015E98">
              <w:rPr>
                <w:rStyle w:val="BookTitle"/>
                <w:rFonts w:ascii="Arial" w:hAnsi="Arial"/>
                <w:sz w:val="16"/>
                <w:szCs w:val="16"/>
              </w:rPr>
              <w:t>Heritage</w:t>
            </w:r>
          </w:p>
        </w:tc>
        <w:tc>
          <w:tcPr>
            <w:tcW w:w="219" w:type="pct"/>
            <w:shd w:val="clear" w:color="auto" w:fill="auto"/>
            <w:noWrap/>
            <w:textDirection w:val="btLr"/>
            <w:vAlign w:val="center"/>
          </w:tcPr>
          <w:p w14:paraId="5761D752" w14:textId="77777777" w:rsidR="00A56EE9" w:rsidRPr="00A01FB6" w:rsidRDefault="00A56EE9" w:rsidP="00BB6AD5">
            <w:pPr>
              <w:pStyle w:val="Tablebulletlist"/>
              <w:rPr>
                <w:rStyle w:val="BookTitle"/>
                <w:rFonts w:ascii="Arial" w:hAnsi="Arial"/>
                <w:sz w:val="16"/>
                <w:szCs w:val="16"/>
              </w:rPr>
            </w:pPr>
            <w:r w:rsidRPr="00A01FB6">
              <w:rPr>
                <w:rStyle w:val="BookTitle"/>
                <w:rFonts w:ascii="Arial" w:hAnsi="Arial"/>
                <w:sz w:val="16"/>
                <w:szCs w:val="16"/>
              </w:rPr>
              <w:t>Land-based run-off</w:t>
            </w:r>
          </w:p>
        </w:tc>
        <w:tc>
          <w:tcPr>
            <w:tcW w:w="219" w:type="pct"/>
            <w:textDirection w:val="btLr"/>
            <w:vAlign w:val="center"/>
          </w:tcPr>
          <w:p w14:paraId="5761D753" w14:textId="77777777" w:rsidR="00A56EE9" w:rsidRPr="00FF6384" w:rsidRDefault="00A56EE9" w:rsidP="00BB6AD5">
            <w:pPr>
              <w:pStyle w:val="Tablebulletlist"/>
              <w:rPr>
                <w:rStyle w:val="BookTitle"/>
                <w:rFonts w:ascii="Arial" w:hAnsi="Arial"/>
                <w:sz w:val="16"/>
                <w:szCs w:val="16"/>
              </w:rPr>
            </w:pPr>
            <w:r w:rsidRPr="00FF6384">
              <w:rPr>
                <w:rStyle w:val="BookTitle"/>
                <w:rFonts w:ascii="Arial" w:hAnsi="Arial"/>
                <w:sz w:val="16"/>
                <w:szCs w:val="16"/>
              </w:rPr>
              <w:t>Ports</w:t>
            </w:r>
          </w:p>
        </w:tc>
        <w:tc>
          <w:tcPr>
            <w:tcW w:w="219" w:type="pct"/>
            <w:textDirection w:val="btLr"/>
            <w:vAlign w:val="center"/>
          </w:tcPr>
          <w:p w14:paraId="5761D754" w14:textId="77777777" w:rsidR="00A56EE9" w:rsidRPr="00B050B3" w:rsidRDefault="00A56EE9" w:rsidP="00BB6AD5">
            <w:pPr>
              <w:pStyle w:val="Tablebulletlist"/>
              <w:rPr>
                <w:rStyle w:val="BookTitle"/>
                <w:rFonts w:ascii="Arial" w:hAnsi="Arial"/>
                <w:sz w:val="16"/>
                <w:szCs w:val="16"/>
              </w:rPr>
            </w:pPr>
            <w:r w:rsidRPr="00B050B3">
              <w:rPr>
                <w:rStyle w:val="BookTitle"/>
                <w:rFonts w:ascii="Arial" w:hAnsi="Arial"/>
                <w:sz w:val="16"/>
                <w:szCs w:val="16"/>
              </w:rPr>
              <w:t xml:space="preserve">Recreation </w:t>
            </w:r>
          </w:p>
        </w:tc>
        <w:tc>
          <w:tcPr>
            <w:tcW w:w="219" w:type="pct"/>
            <w:textDirection w:val="btLr"/>
            <w:vAlign w:val="center"/>
          </w:tcPr>
          <w:p w14:paraId="5761D755" w14:textId="77777777" w:rsidR="00A56EE9" w:rsidRPr="00923180" w:rsidRDefault="00A56EE9" w:rsidP="00BB6AD5">
            <w:pPr>
              <w:pStyle w:val="Tablebulletlist"/>
              <w:rPr>
                <w:rStyle w:val="BookTitle"/>
                <w:rFonts w:ascii="Arial" w:hAnsi="Arial"/>
                <w:sz w:val="16"/>
                <w:szCs w:val="16"/>
              </w:rPr>
            </w:pPr>
            <w:r w:rsidRPr="00923180">
              <w:rPr>
                <w:rStyle w:val="BookTitle"/>
                <w:rFonts w:ascii="Arial" w:hAnsi="Arial"/>
                <w:sz w:val="16"/>
                <w:szCs w:val="16"/>
              </w:rPr>
              <w:t xml:space="preserve">Research </w:t>
            </w:r>
          </w:p>
        </w:tc>
        <w:tc>
          <w:tcPr>
            <w:tcW w:w="219" w:type="pct"/>
            <w:shd w:val="clear" w:color="auto" w:fill="auto"/>
            <w:noWrap/>
            <w:textDirection w:val="btLr"/>
            <w:vAlign w:val="center"/>
          </w:tcPr>
          <w:p w14:paraId="5761D756" w14:textId="77777777" w:rsidR="00A56EE9" w:rsidRPr="00923180" w:rsidRDefault="00A56EE9" w:rsidP="00BB6AD5">
            <w:pPr>
              <w:pStyle w:val="Tablebulletlist"/>
              <w:rPr>
                <w:rStyle w:val="BookTitle"/>
                <w:rFonts w:ascii="Arial" w:hAnsi="Arial"/>
                <w:sz w:val="16"/>
                <w:szCs w:val="16"/>
              </w:rPr>
            </w:pPr>
            <w:r w:rsidRPr="00923180">
              <w:rPr>
                <w:rStyle w:val="BookTitle"/>
                <w:rFonts w:ascii="Arial" w:hAnsi="Arial"/>
                <w:sz w:val="16"/>
                <w:szCs w:val="16"/>
              </w:rPr>
              <w:t>Shipping</w:t>
            </w:r>
          </w:p>
        </w:tc>
        <w:tc>
          <w:tcPr>
            <w:tcW w:w="219" w:type="pct"/>
            <w:shd w:val="clear" w:color="auto" w:fill="auto"/>
            <w:noWrap/>
            <w:textDirection w:val="btLr"/>
            <w:vAlign w:val="center"/>
          </w:tcPr>
          <w:p w14:paraId="5761D757" w14:textId="77777777" w:rsidR="00A56EE9" w:rsidRPr="00923180" w:rsidRDefault="00A56EE9" w:rsidP="00BB6AD5">
            <w:pPr>
              <w:pStyle w:val="Tablebulletlist"/>
              <w:rPr>
                <w:rStyle w:val="BookTitle"/>
                <w:rFonts w:ascii="Arial" w:hAnsi="Arial"/>
                <w:sz w:val="16"/>
                <w:szCs w:val="16"/>
              </w:rPr>
            </w:pPr>
            <w:r w:rsidRPr="00923180">
              <w:rPr>
                <w:rStyle w:val="BookTitle"/>
                <w:rFonts w:ascii="Arial" w:hAnsi="Arial"/>
                <w:sz w:val="16"/>
                <w:szCs w:val="16"/>
              </w:rPr>
              <w:t>Traditional Use</w:t>
            </w:r>
          </w:p>
        </w:tc>
        <w:tc>
          <w:tcPr>
            <w:tcW w:w="263" w:type="pct"/>
            <w:shd w:val="clear" w:color="auto" w:fill="auto"/>
            <w:noWrap/>
            <w:textDirection w:val="btLr"/>
            <w:vAlign w:val="center"/>
          </w:tcPr>
          <w:p w14:paraId="5761D758" w14:textId="77777777" w:rsidR="00A56EE9" w:rsidRPr="00BD7840" w:rsidRDefault="00A56EE9" w:rsidP="00BB6AD5">
            <w:pPr>
              <w:pStyle w:val="Tablebulletlist"/>
              <w:rPr>
                <w:rStyle w:val="BookTitle"/>
                <w:rFonts w:ascii="Arial" w:hAnsi="Arial"/>
                <w:sz w:val="16"/>
                <w:szCs w:val="16"/>
              </w:rPr>
            </w:pPr>
            <w:r w:rsidRPr="00BD7840">
              <w:rPr>
                <w:rStyle w:val="BookTitle"/>
                <w:rFonts w:ascii="Arial" w:hAnsi="Arial"/>
                <w:sz w:val="16"/>
                <w:szCs w:val="16"/>
              </w:rPr>
              <w:t>Mean</w:t>
            </w:r>
          </w:p>
        </w:tc>
        <w:tc>
          <w:tcPr>
            <w:tcW w:w="271" w:type="pct"/>
            <w:shd w:val="clear" w:color="auto" w:fill="auto"/>
            <w:noWrap/>
            <w:textDirection w:val="btLr"/>
            <w:vAlign w:val="center"/>
          </w:tcPr>
          <w:p w14:paraId="5761D759" w14:textId="77777777" w:rsidR="00A56EE9" w:rsidRPr="00BD7840" w:rsidRDefault="00A56EE9" w:rsidP="00BB6AD5">
            <w:pPr>
              <w:pStyle w:val="Tablebulletlist"/>
              <w:rPr>
                <w:rStyle w:val="BookTitle"/>
                <w:rFonts w:ascii="Arial" w:hAnsi="Arial"/>
                <w:sz w:val="16"/>
                <w:szCs w:val="16"/>
              </w:rPr>
            </w:pPr>
            <w:r w:rsidRPr="00BD7840">
              <w:rPr>
                <w:rStyle w:val="BookTitle"/>
                <w:rFonts w:ascii="Arial" w:hAnsi="Arial"/>
                <w:sz w:val="16"/>
                <w:szCs w:val="16"/>
              </w:rPr>
              <w:t>Standard Deviation</w:t>
            </w:r>
          </w:p>
        </w:tc>
      </w:tr>
      <w:tr w:rsidR="00A56EE9" w:rsidRPr="00D96915" w14:paraId="5761D76D" w14:textId="77777777" w:rsidTr="00BB6AD5">
        <w:trPr>
          <w:trHeight w:val="283"/>
        </w:trPr>
        <w:tc>
          <w:tcPr>
            <w:tcW w:w="321" w:type="pct"/>
            <w:shd w:val="clear" w:color="auto" w:fill="auto"/>
            <w:noWrap/>
            <w:vAlign w:val="center"/>
          </w:tcPr>
          <w:p w14:paraId="5761D75B"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CO1</w:t>
            </w:r>
          </w:p>
        </w:tc>
        <w:tc>
          <w:tcPr>
            <w:tcW w:w="1077" w:type="pct"/>
            <w:shd w:val="clear" w:color="auto" w:fill="auto"/>
            <w:noWrap/>
            <w:vAlign w:val="center"/>
          </w:tcPr>
          <w:p w14:paraId="5761D75C"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Values</w:t>
            </w:r>
          </w:p>
        </w:tc>
        <w:tc>
          <w:tcPr>
            <w:tcW w:w="220" w:type="pct"/>
            <w:shd w:val="clear" w:color="auto" w:fill="auto"/>
            <w:noWrap/>
          </w:tcPr>
          <w:p w14:paraId="5761D75D"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20" w:type="pct"/>
          </w:tcPr>
          <w:p w14:paraId="5761D75E"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shd w:val="clear" w:color="auto" w:fill="auto"/>
            <w:noWrap/>
          </w:tcPr>
          <w:p w14:paraId="5761D75F"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tcPr>
          <w:p w14:paraId="5761D760"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shd w:val="clear" w:color="auto" w:fill="auto"/>
            <w:noWrap/>
          </w:tcPr>
          <w:p w14:paraId="5761D761"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shd w:val="clear" w:color="auto" w:fill="auto"/>
            <w:noWrap/>
          </w:tcPr>
          <w:p w14:paraId="5761D762"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shd w:val="clear" w:color="auto" w:fill="auto"/>
            <w:noWrap/>
          </w:tcPr>
          <w:p w14:paraId="5761D763"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shd w:val="clear" w:color="auto" w:fill="auto"/>
            <w:noWrap/>
          </w:tcPr>
          <w:p w14:paraId="5761D764" w14:textId="77777777" w:rsidR="00A56EE9" w:rsidRPr="00015E98" w:rsidRDefault="00A56EE9" w:rsidP="00BB6AD5">
            <w:pPr>
              <w:pStyle w:val="Tablebulletlist"/>
              <w:jc w:val="center"/>
              <w:rPr>
                <w:color w:val="000000"/>
              </w:rPr>
            </w:pPr>
            <w:r w:rsidRPr="00015E98">
              <w:rPr>
                <w:rFonts w:ascii="Arial" w:hAnsi="Arial" w:cs="Arial"/>
                <w:color w:val="000000"/>
                <w:sz w:val="16"/>
                <w:szCs w:val="16"/>
              </w:rPr>
              <w:t>3</w:t>
            </w:r>
          </w:p>
        </w:tc>
        <w:tc>
          <w:tcPr>
            <w:tcW w:w="219" w:type="pct"/>
            <w:shd w:val="clear" w:color="auto" w:fill="auto"/>
            <w:noWrap/>
          </w:tcPr>
          <w:p w14:paraId="5761D765" w14:textId="77777777" w:rsidR="00A56EE9" w:rsidRPr="00A01FB6" w:rsidRDefault="00A56EE9" w:rsidP="00BB6AD5">
            <w:pPr>
              <w:pStyle w:val="Tablebulletlist"/>
              <w:jc w:val="center"/>
              <w:rPr>
                <w:color w:val="000000"/>
              </w:rPr>
            </w:pPr>
            <w:r w:rsidRPr="00A01FB6">
              <w:rPr>
                <w:rFonts w:ascii="Arial" w:hAnsi="Arial" w:cs="Arial"/>
                <w:color w:val="000000"/>
                <w:sz w:val="16"/>
                <w:szCs w:val="16"/>
              </w:rPr>
              <w:t>4</w:t>
            </w:r>
          </w:p>
        </w:tc>
        <w:tc>
          <w:tcPr>
            <w:tcW w:w="219" w:type="pct"/>
          </w:tcPr>
          <w:p w14:paraId="5761D766" w14:textId="77777777" w:rsidR="00A56EE9" w:rsidRPr="00FF6384" w:rsidRDefault="00A56EE9" w:rsidP="00BB6AD5">
            <w:pPr>
              <w:pStyle w:val="Tablebulletlist"/>
              <w:jc w:val="center"/>
              <w:rPr>
                <w:color w:val="000000"/>
              </w:rPr>
            </w:pPr>
            <w:r w:rsidRPr="00FF6384">
              <w:rPr>
                <w:rFonts w:ascii="Arial" w:hAnsi="Arial" w:cs="Arial"/>
                <w:color w:val="000000"/>
                <w:sz w:val="16"/>
                <w:szCs w:val="16"/>
              </w:rPr>
              <w:t>3</w:t>
            </w:r>
          </w:p>
        </w:tc>
        <w:tc>
          <w:tcPr>
            <w:tcW w:w="219" w:type="pct"/>
          </w:tcPr>
          <w:p w14:paraId="5761D767" w14:textId="77777777" w:rsidR="00A56EE9" w:rsidRPr="00B050B3" w:rsidRDefault="00A56EE9" w:rsidP="00BB6AD5">
            <w:pPr>
              <w:pStyle w:val="Tablebulletlist"/>
              <w:jc w:val="center"/>
              <w:rPr>
                <w:color w:val="000000"/>
              </w:rPr>
            </w:pPr>
            <w:r w:rsidRPr="00B050B3">
              <w:rPr>
                <w:rFonts w:ascii="Arial" w:hAnsi="Arial" w:cs="Arial"/>
                <w:color w:val="000000"/>
                <w:sz w:val="16"/>
                <w:szCs w:val="16"/>
              </w:rPr>
              <w:t>4</w:t>
            </w:r>
          </w:p>
        </w:tc>
        <w:tc>
          <w:tcPr>
            <w:tcW w:w="219" w:type="pct"/>
          </w:tcPr>
          <w:p w14:paraId="5761D768"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4</w:t>
            </w:r>
          </w:p>
        </w:tc>
        <w:tc>
          <w:tcPr>
            <w:tcW w:w="219" w:type="pct"/>
            <w:shd w:val="clear" w:color="auto" w:fill="auto"/>
            <w:noWrap/>
          </w:tcPr>
          <w:p w14:paraId="5761D769"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4</w:t>
            </w:r>
          </w:p>
        </w:tc>
        <w:tc>
          <w:tcPr>
            <w:tcW w:w="219" w:type="pct"/>
            <w:shd w:val="clear" w:color="auto" w:fill="auto"/>
            <w:noWrap/>
          </w:tcPr>
          <w:p w14:paraId="5761D76A"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3</w:t>
            </w:r>
          </w:p>
        </w:tc>
        <w:tc>
          <w:tcPr>
            <w:tcW w:w="263" w:type="pct"/>
            <w:shd w:val="clear" w:color="auto" w:fill="auto"/>
            <w:noWrap/>
            <w:vAlign w:val="bottom"/>
          </w:tcPr>
          <w:p w14:paraId="5761D76B"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3.43</w:t>
            </w:r>
          </w:p>
        </w:tc>
        <w:tc>
          <w:tcPr>
            <w:tcW w:w="271" w:type="pct"/>
            <w:shd w:val="clear" w:color="auto" w:fill="auto"/>
            <w:noWrap/>
            <w:vAlign w:val="bottom"/>
          </w:tcPr>
          <w:p w14:paraId="5761D76C"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0.60</w:t>
            </w:r>
          </w:p>
        </w:tc>
      </w:tr>
      <w:tr w:rsidR="00A56EE9" w:rsidRPr="00D96915" w14:paraId="5761D780" w14:textId="77777777" w:rsidTr="00BB6AD5">
        <w:trPr>
          <w:trHeight w:val="283"/>
        </w:trPr>
        <w:tc>
          <w:tcPr>
            <w:tcW w:w="321" w:type="pct"/>
            <w:shd w:val="clear" w:color="auto" w:fill="auto"/>
            <w:noWrap/>
            <w:vAlign w:val="center"/>
          </w:tcPr>
          <w:p w14:paraId="5761D76E"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CO2</w:t>
            </w:r>
          </w:p>
        </w:tc>
        <w:tc>
          <w:tcPr>
            <w:tcW w:w="1077" w:type="pct"/>
            <w:shd w:val="clear" w:color="auto" w:fill="auto"/>
            <w:noWrap/>
            <w:vAlign w:val="center"/>
          </w:tcPr>
          <w:p w14:paraId="5761D76F"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Condition and trend</w:t>
            </w:r>
          </w:p>
        </w:tc>
        <w:tc>
          <w:tcPr>
            <w:tcW w:w="220" w:type="pct"/>
            <w:shd w:val="clear" w:color="auto" w:fill="auto"/>
            <w:noWrap/>
          </w:tcPr>
          <w:p w14:paraId="5761D770"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2</w:t>
            </w:r>
          </w:p>
        </w:tc>
        <w:tc>
          <w:tcPr>
            <w:tcW w:w="220" w:type="pct"/>
          </w:tcPr>
          <w:p w14:paraId="5761D771"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2</w:t>
            </w:r>
          </w:p>
        </w:tc>
        <w:tc>
          <w:tcPr>
            <w:tcW w:w="219" w:type="pct"/>
            <w:shd w:val="clear" w:color="auto" w:fill="auto"/>
            <w:noWrap/>
          </w:tcPr>
          <w:p w14:paraId="5761D772"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tcPr>
          <w:p w14:paraId="5761D773"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shd w:val="clear" w:color="auto" w:fill="auto"/>
            <w:noWrap/>
          </w:tcPr>
          <w:p w14:paraId="5761D774"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shd w:val="clear" w:color="auto" w:fill="auto"/>
            <w:noWrap/>
          </w:tcPr>
          <w:p w14:paraId="5761D775"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shd w:val="clear" w:color="auto" w:fill="auto"/>
            <w:noWrap/>
          </w:tcPr>
          <w:p w14:paraId="5761D776"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shd w:val="clear" w:color="auto" w:fill="auto"/>
            <w:noWrap/>
          </w:tcPr>
          <w:p w14:paraId="5761D777" w14:textId="77777777" w:rsidR="00A56EE9" w:rsidRPr="00015E98" w:rsidRDefault="00A56EE9" w:rsidP="00BB6AD5">
            <w:pPr>
              <w:pStyle w:val="Tablebulletlist"/>
              <w:jc w:val="center"/>
              <w:rPr>
                <w:color w:val="000000"/>
              </w:rPr>
            </w:pPr>
            <w:r w:rsidRPr="00015E98">
              <w:rPr>
                <w:rFonts w:ascii="Arial" w:hAnsi="Arial" w:cs="Arial"/>
                <w:color w:val="000000"/>
                <w:sz w:val="16"/>
                <w:szCs w:val="16"/>
              </w:rPr>
              <w:t>2.5</w:t>
            </w:r>
          </w:p>
        </w:tc>
        <w:tc>
          <w:tcPr>
            <w:tcW w:w="219" w:type="pct"/>
            <w:shd w:val="clear" w:color="auto" w:fill="auto"/>
            <w:noWrap/>
          </w:tcPr>
          <w:p w14:paraId="5761D778" w14:textId="77777777" w:rsidR="00A56EE9" w:rsidRPr="00A01FB6" w:rsidRDefault="00A56EE9" w:rsidP="00BB6AD5">
            <w:pPr>
              <w:pStyle w:val="Tablebulletlist"/>
              <w:jc w:val="center"/>
              <w:rPr>
                <w:color w:val="000000"/>
              </w:rPr>
            </w:pPr>
            <w:r w:rsidRPr="00A01FB6">
              <w:rPr>
                <w:rFonts w:ascii="Arial" w:hAnsi="Arial" w:cs="Arial"/>
                <w:color w:val="000000"/>
                <w:sz w:val="16"/>
                <w:szCs w:val="16"/>
              </w:rPr>
              <w:t>4</w:t>
            </w:r>
          </w:p>
        </w:tc>
        <w:tc>
          <w:tcPr>
            <w:tcW w:w="219" w:type="pct"/>
          </w:tcPr>
          <w:p w14:paraId="5761D779" w14:textId="77777777" w:rsidR="00A56EE9" w:rsidRPr="00FF6384" w:rsidRDefault="00A56EE9" w:rsidP="00BB6AD5">
            <w:pPr>
              <w:pStyle w:val="Tablebulletlist"/>
              <w:jc w:val="center"/>
              <w:rPr>
                <w:color w:val="000000"/>
              </w:rPr>
            </w:pPr>
            <w:r w:rsidRPr="00FF6384">
              <w:rPr>
                <w:rFonts w:ascii="Arial" w:hAnsi="Arial" w:cs="Arial"/>
                <w:color w:val="000000"/>
                <w:sz w:val="16"/>
                <w:szCs w:val="16"/>
              </w:rPr>
              <w:t>3</w:t>
            </w:r>
          </w:p>
        </w:tc>
        <w:tc>
          <w:tcPr>
            <w:tcW w:w="219" w:type="pct"/>
          </w:tcPr>
          <w:p w14:paraId="5761D77A" w14:textId="77777777" w:rsidR="00A56EE9" w:rsidRPr="00B050B3" w:rsidRDefault="00A56EE9" w:rsidP="00BB6AD5">
            <w:pPr>
              <w:pStyle w:val="Tablebulletlist"/>
              <w:jc w:val="center"/>
              <w:rPr>
                <w:color w:val="000000"/>
              </w:rPr>
            </w:pPr>
            <w:r w:rsidRPr="00B050B3">
              <w:rPr>
                <w:rFonts w:ascii="Arial" w:hAnsi="Arial" w:cs="Arial"/>
                <w:color w:val="000000"/>
                <w:sz w:val="16"/>
                <w:szCs w:val="16"/>
              </w:rPr>
              <w:t>3</w:t>
            </w:r>
          </w:p>
        </w:tc>
        <w:tc>
          <w:tcPr>
            <w:tcW w:w="219" w:type="pct"/>
          </w:tcPr>
          <w:p w14:paraId="5761D77B"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4</w:t>
            </w:r>
          </w:p>
        </w:tc>
        <w:tc>
          <w:tcPr>
            <w:tcW w:w="219" w:type="pct"/>
            <w:shd w:val="clear" w:color="auto" w:fill="auto"/>
            <w:noWrap/>
          </w:tcPr>
          <w:p w14:paraId="5761D77C"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4</w:t>
            </w:r>
          </w:p>
        </w:tc>
        <w:tc>
          <w:tcPr>
            <w:tcW w:w="219" w:type="pct"/>
            <w:shd w:val="clear" w:color="auto" w:fill="auto"/>
            <w:noWrap/>
          </w:tcPr>
          <w:p w14:paraId="5761D77D"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4</w:t>
            </w:r>
          </w:p>
        </w:tc>
        <w:tc>
          <w:tcPr>
            <w:tcW w:w="263" w:type="pct"/>
            <w:shd w:val="clear" w:color="auto" w:fill="auto"/>
            <w:noWrap/>
            <w:vAlign w:val="bottom"/>
          </w:tcPr>
          <w:p w14:paraId="5761D77E"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3.25</w:t>
            </w:r>
          </w:p>
        </w:tc>
        <w:tc>
          <w:tcPr>
            <w:tcW w:w="271" w:type="pct"/>
            <w:shd w:val="clear" w:color="auto" w:fill="auto"/>
            <w:noWrap/>
            <w:vAlign w:val="bottom"/>
          </w:tcPr>
          <w:p w14:paraId="5761D77F"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0.60</w:t>
            </w:r>
          </w:p>
        </w:tc>
      </w:tr>
      <w:tr w:rsidR="00A56EE9" w:rsidRPr="00D96915" w14:paraId="5761D793" w14:textId="77777777" w:rsidTr="00BB6AD5">
        <w:trPr>
          <w:trHeight w:val="283"/>
        </w:trPr>
        <w:tc>
          <w:tcPr>
            <w:tcW w:w="321" w:type="pct"/>
            <w:shd w:val="clear" w:color="auto" w:fill="auto"/>
            <w:noWrap/>
            <w:vAlign w:val="center"/>
          </w:tcPr>
          <w:p w14:paraId="5761D781"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CO3</w:t>
            </w:r>
          </w:p>
        </w:tc>
        <w:tc>
          <w:tcPr>
            <w:tcW w:w="1077" w:type="pct"/>
            <w:shd w:val="clear" w:color="auto" w:fill="auto"/>
            <w:noWrap/>
            <w:vAlign w:val="center"/>
          </w:tcPr>
          <w:p w14:paraId="5761D782"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Impacts</w:t>
            </w:r>
          </w:p>
        </w:tc>
        <w:tc>
          <w:tcPr>
            <w:tcW w:w="220" w:type="pct"/>
            <w:shd w:val="clear" w:color="auto" w:fill="auto"/>
            <w:noWrap/>
          </w:tcPr>
          <w:p w14:paraId="5761D783"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20" w:type="pct"/>
          </w:tcPr>
          <w:p w14:paraId="5761D784"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shd w:val="clear" w:color="auto" w:fill="auto"/>
            <w:noWrap/>
          </w:tcPr>
          <w:p w14:paraId="5761D785"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tcPr>
          <w:p w14:paraId="5761D786"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shd w:val="clear" w:color="auto" w:fill="auto"/>
            <w:noWrap/>
          </w:tcPr>
          <w:p w14:paraId="5761D787"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shd w:val="clear" w:color="auto" w:fill="auto"/>
            <w:noWrap/>
          </w:tcPr>
          <w:p w14:paraId="5761D788"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shd w:val="clear" w:color="auto" w:fill="auto"/>
            <w:noWrap/>
          </w:tcPr>
          <w:p w14:paraId="5761D789" w14:textId="77777777" w:rsidR="00A56EE9" w:rsidRPr="00D26B0C" w:rsidRDefault="00A56EE9" w:rsidP="00BB6AD5">
            <w:pPr>
              <w:pStyle w:val="Tablebulletlist"/>
              <w:jc w:val="center"/>
              <w:rPr>
                <w:color w:val="000000"/>
              </w:rPr>
            </w:pPr>
            <w:r>
              <w:rPr>
                <w:rFonts w:ascii="Arial" w:hAnsi="Arial" w:cs="Arial"/>
                <w:color w:val="000000"/>
                <w:sz w:val="16"/>
                <w:szCs w:val="16"/>
              </w:rPr>
              <w:t>3</w:t>
            </w:r>
          </w:p>
        </w:tc>
        <w:tc>
          <w:tcPr>
            <w:tcW w:w="219" w:type="pct"/>
            <w:shd w:val="clear" w:color="auto" w:fill="auto"/>
            <w:noWrap/>
          </w:tcPr>
          <w:p w14:paraId="5761D78A" w14:textId="77777777" w:rsidR="00A56EE9" w:rsidRPr="00015E98" w:rsidRDefault="00A56EE9" w:rsidP="00BB6AD5">
            <w:pPr>
              <w:pStyle w:val="Tablebulletlist"/>
              <w:jc w:val="center"/>
              <w:rPr>
                <w:color w:val="000000"/>
              </w:rPr>
            </w:pPr>
            <w:r w:rsidRPr="00015E98">
              <w:rPr>
                <w:rFonts w:ascii="Arial" w:hAnsi="Arial" w:cs="Arial"/>
                <w:color w:val="000000"/>
                <w:sz w:val="16"/>
                <w:szCs w:val="16"/>
              </w:rPr>
              <w:t>3</w:t>
            </w:r>
          </w:p>
        </w:tc>
        <w:tc>
          <w:tcPr>
            <w:tcW w:w="219" w:type="pct"/>
            <w:shd w:val="clear" w:color="auto" w:fill="auto"/>
            <w:noWrap/>
          </w:tcPr>
          <w:p w14:paraId="5761D78B" w14:textId="77777777" w:rsidR="00A56EE9" w:rsidRPr="00A01FB6" w:rsidRDefault="00A56EE9" w:rsidP="00BB6AD5">
            <w:pPr>
              <w:pStyle w:val="Tablebulletlist"/>
              <w:jc w:val="center"/>
              <w:rPr>
                <w:color w:val="000000"/>
              </w:rPr>
            </w:pPr>
            <w:r w:rsidRPr="00A01FB6">
              <w:rPr>
                <w:rFonts w:ascii="Arial" w:hAnsi="Arial" w:cs="Arial"/>
                <w:color w:val="000000"/>
                <w:sz w:val="16"/>
                <w:szCs w:val="16"/>
              </w:rPr>
              <w:t>4</w:t>
            </w:r>
          </w:p>
        </w:tc>
        <w:tc>
          <w:tcPr>
            <w:tcW w:w="219" w:type="pct"/>
          </w:tcPr>
          <w:p w14:paraId="5761D78C" w14:textId="77777777" w:rsidR="00A56EE9" w:rsidRPr="00FF6384" w:rsidRDefault="00A56EE9" w:rsidP="00BB6AD5">
            <w:pPr>
              <w:pStyle w:val="Tablebulletlist"/>
              <w:jc w:val="center"/>
              <w:rPr>
                <w:color w:val="000000"/>
              </w:rPr>
            </w:pPr>
            <w:r w:rsidRPr="00FF6384">
              <w:rPr>
                <w:rFonts w:ascii="Arial" w:hAnsi="Arial" w:cs="Arial"/>
                <w:color w:val="000000"/>
                <w:sz w:val="16"/>
                <w:szCs w:val="16"/>
              </w:rPr>
              <w:t>4</w:t>
            </w:r>
          </w:p>
        </w:tc>
        <w:tc>
          <w:tcPr>
            <w:tcW w:w="219" w:type="pct"/>
          </w:tcPr>
          <w:p w14:paraId="5761D78D" w14:textId="77777777" w:rsidR="00A56EE9" w:rsidRPr="00B050B3" w:rsidRDefault="00A56EE9" w:rsidP="00BB6AD5">
            <w:pPr>
              <w:pStyle w:val="Tablebulletlist"/>
              <w:jc w:val="center"/>
              <w:rPr>
                <w:color w:val="000000"/>
              </w:rPr>
            </w:pPr>
            <w:r w:rsidRPr="00B050B3">
              <w:rPr>
                <w:rFonts w:ascii="Arial" w:hAnsi="Arial" w:cs="Arial"/>
                <w:color w:val="000000"/>
                <w:sz w:val="16"/>
                <w:szCs w:val="16"/>
              </w:rPr>
              <w:t>4</w:t>
            </w:r>
          </w:p>
        </w:tc>
        <w:tc>
          <w:tcPr>
            <w:tcW w:w="219" w:type="pct"/>
          </w:tcPr>
          <w:p w14:paraId="5761D78E"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3</w:t>
            </w:r>
          </w:p>
        </w:tc>
        <w:tc>
          <w:tcPr>
            <w:tcW w:w="219" w:type="pct"/>
            <w:shd w:val="clear" w:color="auto" w:fill="auto"/>
            <w:noWrap/>
          </w:tcPr>
          <w:p w14:paraId="5761D78F"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3</w:t>
            </w:r>
          </w:p>
        </w:tc>
        <w:tc>
          <w:tcPr>
            <w:tcW w:w="219" w:type="pct"/>
            <w:shd w:val="clear" w:color="auto" w:fill="auto"/>
            <w:noWrap/>
          </w:tcPr>
          <w:p w14:paraId="5761D790"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3</w:t>
            </w:r>
          </w:p>
        </w:tc>
        <w:tc>
          <w:tcPr>
            <w:tcW w:w="263" w:type="pct"/>
            <w:shd w:val="clear" w:color="auto" w:fill="auto"/>
            <w:noWrap/>
            <w:vAlign w:val="bottom"/>
          </w:tcPr>
          <w:p w14:paraId="5761D791"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3.36</w:t>
            </w:r>
          </w:p>
        </w:tc>
        <w:tc>
          <w:tcPr>
            <w:tcW w:w="271" w:type="pct"/>
            <w:shd w:val="clear" w:color="auto" w:fill="auto"/>
            <w:noWrap/>
            <w:vAlign w:val="bottom"/>
          </w:tcPr>
          <w:p w14:paraId="5761D792"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0.46</w:t>
            </w:r>
          </w:p>
        </w:tc>
      </w:tr>
      <w:tr w:rsidR="00A56EE9" w:rsidRPr="00D96915" w14:paraId="5761D7A6" w14:textId="77777777" w:rsidTr="00BB6AD5">
        <w:trPr>
          <w:trHeight w:val="283"/>
        </w:trPr>
        <w:tc>
          <w:tcPr>
            <w:tcW w:w="321" w:type="pct"/>
            <w:shd w:val="clear" w:color="auto" w:fill="auto"/>
            <w:noWrap/>
            <w:vAlign w:val="center"/>
          </w:tcPr>
          <w:p w14:paraId="5761D794"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CO4</w:t>
            </w:r>
          </w:p>
        </w:tc>
        <w:tc>
          <w:tcPr>
            <w:tcW w:w="1077" w:type="pct"/>
            <w:shd w:val="clear" w:color="auto" w:fill="auto"/>
            <w:noWrap/>
            <w:vAlign w:val="center"/>
          </w:tcPr>
          <w:p w14:paraId="5761D795"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National and international influences</w:t>
            </w:r>
          </w:p>
        </w:tc>
        <w:tc>
          <w:tcPr>
            <w:tcW w:w="220" w:type="pct"/>
            <w:shd w:val="clear" w:color="auto" w:fill="auto"/>
            <w:noWrap/>
          </w:tcPr>
          <w:p w14:paraId="5761D796"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20" w:type="pct"/>
          </w:tcPr>
          <w:p w14:paraId="5761D797"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3</w:t>
            </w:r>
          </w:p>
        </w:tc>
        <w:tc>
          <w:tcPr>
            <w:tcW w:w="219" w:type="pct"/>
            <w:shd w:val="clear" w:color="auto" w:fill="auto"/>
            <w:noWrap/>
          </w:tcPr>
          <w:p w14:paraId="5761D798"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tcPr>
          <w:p w14:paraId="5761D799"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shd w:val="clear" w:color="auto" w:fill="auto"/>
            <w:noWrap/>
          </w:tcPr>
          <w:p w14:paraId="5761D79A"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shd w:val="clear" w:color="auto" w:fill="auto"/>
            <w:noWrap/>
          </w:tcPr>
          <w:p w14:paraId="5761D79B"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shd w:val="clear" w:color="auto" w:fill="auto"/>
            <w:noWrap/>
          </w:tcPr>
          <w:p w14:paraId="5761D79C"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shd w:val="clear" w:color="auto" w:fill="auto"/>
            <w:noWrap/>
          </w:tcPr>
          <w:p w14:paraId="5761D79D" w14:textId="77777777" w:rsidR="00A56EE9" w:rsidRPr="00015E98" w:rsidRDefault="00A56EE9" w:rsidP="00BB6AD5">
            <w:pPr>
              <w:pStyle w:val="Tablebulletlist"/>
              <w:jc w:val="center"/>
              <w:rPr>
                <w:color w:val="000000"/>
              </w:rPr>
            </w:pPr>
            <w:r w:rsidRPr="00015E98">
              <w:rPr>
                <w:rFonts w:ascii="Arial" w:hAnsi="Arial" w:cs="Arial"/>
                <w:color w:val="000000"/>
                <w:sz w:val="16"/>
                <w:szCs w:val="16"/>
              </w:rPr>
              <w:t>4</w:t>
            </w:r>
          </w:p>
        </w:tc>
        <w:tc>
          <w:tcPr>
            <w:tcW w:w="219" w:type="pct"/>
            <w:shd w:val="clear" w:color="auto" w:fill="auto"/>
            <w:noWrap/>
          </w:tcPr>
          <w:p w14:paraId="5761D79E" w14:textId="77777777" w:rsidR="00A56EE9" w:rsidRPr="00A01FB6" w:rsidRDefault="00A56EE9" w:rsidP="00BB6AD5">
            <w:pPr>
              <w:pStyle w:val="Tablebulletlist"/>
              <w:jc w:val="center"/>
              <w:rPr>
                <w:color w:val="000000"/>
              </w:rPr>
            </w:pPr>
            <w:r w:rsidRPr="00A01FB6">
              <w:rPr>
                <w:rFonts w:ascii="Arial" w:hAnsi="Arial" w:cs="Arial"/>
                <w:color w:val="000000"/>
                <w:sz w:val="16"/>
                <w:szCs w:val="16"/>
              </w:rPr>
              <w:t>4</w:t>
            </w:r>
          </w:p>
        </w:tc>
        <w:tc>
          <w:tcPr>
            <w:tcW w:w="219" w:type="pct"/>
          </w:tcPr>
          <w:p w14:paraId="5761D79F" w14:textId="77777777" w:rsidR="00A56EE9" w:rsidRPr="00FF6384" w:rsidRDefault="00A56EE9" w:rsidP="00BB6AD5">
            <w:pPr>
              <w:pStyle w:val="Tablebulletlist"/>
              <w:jc w:val="center"/>
              <w:rPr>
                <w:color w:val="000000"/>
              </w:rPr>
            </w:pPr>
            <w:r w:rsidRPr="00FF6384">
              <w:rPr>
                <w:rFonts w:ascii="Arial" w:hAnsi="Arial" w:cs="Arial"/>
                <w:color w:val="000000"/>
                <w:sz w:val="16"/>
                <w:szCs w:val="16"/>
              </w:rPr>
              <w:t>4</w:t>
            </w:r>
          </w:p>
        </w:tc>
        <w:tc>
          <w:tcPr>
            <w:tcW w:w="219" w:type="pct"/>
          </w:tcPr>
          <w:p w14:paraId="5761D7A0" w14:textId="77777777" w:rsidR="00A56EE9" w:rsidRPr="00B050B3" w:rsidRDefault="00A56EE9" w:rsidP="00BB6AD5">
            <w:pPr>
              <w:pStyle w:val="Tablebulletlist"/>
              <w:jc w:val="center"/>
              <w:rPr>
                <w:color w:val="000000"/>
              </w:rPr>
            </w:pPr>
            <w:r w:rsidRPr="00B050B3">
              <w:rPr>
                <w:rFonts w:ascii="Arial" w:hAnsi="Arial" w:cs="Arial"/>
                <w:color w:val="000000"/>
                <w:sz w:val="16"/>
                <w:szCs w:val="16"/>
              </w:rPr>
              <w:t>4</w:t>
            </w:r>
          </w:p>
        </w:tc>
        <w:tc>
          <w:tcPr>
            <w:tcW w:w="219" w:type="pct"/>
          </w:tcPr>
          <w:p w14:paraId="5761D7A1"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4</w:t>
            </w:r>
          </w:p>
        </w:tc>
        <w:tc>
          <w:tcPr>
            <w:tcW w:w="219" w:type="pct"/>
            <w:shd w:val="clear" w:color="auto" w:fill="auto"/>
            <w:noWrap/>
          </w:tcPr>
          <w:p w14:paraId="5761D7A2"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3</w:t>
            </w:r>
          </w:p>
        </w:tc>
        <w:tc>
          <w:tcPr>
            <w:tcW w:w="219" w:type="pct"/>
            <w:shd w:val="clear" w:color="auto" w:fill="auto"/>
            <w:noWrap/>
          </w:tcPr>
          <w:p w14:paraId="5761D7A3"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4</w:t>
            </w:r>
          </w:p>
        </w:tc>
        <w:tc>
          <w:tcPr>
            <w:tcW w:w="263" w:type="pct"/>
            <w:shd w:val="clear" w:color="auto" w:fill="auto"/>
            <w:noWrap/>
            <w:vAlign w:val="bottom"/>
          </w:tcPr>
          <w:p w14:paraId="5761D7A4"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3.86</w:t>
            </w:r>
          </w:p>
        </w:tc>
        <w:tc>
          <w:tcPr>
            <w:tcW w:w="271" w:type="pct"/>
            <w:shd w:val="clear" w:color="auto" w:fill="auto"/>
            <w:noWrap/>
            <w:vAlign w:val="bottom"/>
          </w:tcPr>
          <w:p w14:paraId="5761D7A5"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0.34</w:t>
            </w:r>
          </w:p>
        </w:tc>
      </w:tr>
      <w:tr w:rsidR="00A56EE9" w:rsidRPr="00D96915" w14:paraId="5761D7B9" w14:textId="77777777" w:rsidTr="00BB6AD5">
        <w:trPr>
          <w:trHeight w:val="283"/>
        </w:trPr>
        <w:tc>
          <w:tcPr>
            <w:tcW w:w="321" w:type="pct"/>
            <w:shd w:val="clear" w:color="auto" w:fill="auto"/>
            <w:noWrap/>
            <w:vAlign w:val="center"/>
          </w:tcPr>
          <w:p w14:paraId="5761D7A7"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CO5</w:t>
            </w:r>
          </w:p>
        </w:tc>
        <w:tc>
          <w:tcPr>
            <w:tcW w:w="1077" w:type="pct"/>
            <w:shd w:val="clear" w:color="auto" w:fill="auto"/>
            <w:noWrap/>
            <w:vAlign w:val="center"/>
          </w:tcPr>
          <w:p w14:paraId="5761D7A8"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Stakeholders</w:t>
            </w:r>
          </w:p>
        </w:tc>
        <w:tc>
          <w:tcPr>
            <w:tcW w:w="220" w:type="pct"/>
            <w:tcBorders>
              <w:bottom w:val="single" w:sz="4" w:space="0" w:color="auto"/>
            </w:tcBorders>
            <w:shd w:val="clear" w:color="auto" w:fill="auto"/>
            <w:noWrap/>
          </w:tcPr>
          <w:p w14:paraId="5761D7A9"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20" w:type="pct"/>
            <w:tcBorders>
              <w:bottom w:val="single" w:sz="4" w:space="0" w:color="auto"/>
            </w:tcBorders>
          </w:tcPr>
          <w:p w14:paraId="5761D7AA"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tcBorders>
              <w:bottom w:val="single" w:sz="4" w:space="0" w:color="auto"/>
            </w:tcBorders>
            <w:shd w:val="clear" w:color="auto" w:fill="auto"/>
            <w:noWrap/>
          </w:tcPr>
          <w:p w14:paraId="5761D7AB"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tcBorders>
              <w:bottom w:val="single" w:sz="4" w:space="0" w:color="auto"/>
            </w:tcBorders>
          </w:tcPr>
          <w:p w14:paraId="5761D7AC"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tcBorders>
              <w:bottom w:val="single" w:sz="4" w:space="0" w:color="auto"/>
            </w:tcBorders>
            <w:shd w:val="clear" w:color="auto" w:fill="auto"/>
            <w:noWrap/>
          </w:tcPr>
          <w:p w14:paraId="5761D7AD"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tcBorders>
              <w:bottom w:val="single" w:sz="4" w:space="0" w:color="auto"/>
            </w:tcBorders>
            <w:shd w:val="clear" w:color="auto" w:fill="auto"/>
            <w:noWrap/>
          </w:tcPr>
          <w:p w14:paraId="5761D7AE"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tcBorders>
              <w:bottom w:val="single" w:sz="4" w:space="0" w:color="auto"/>
            </w:tcBorders>
            <w:shd w:val="clear" w:color="auto" w:fill="auto"/>
            <w:noWrap/>
          </w:tcPr>
          <w:p w14:paraId="5761D7AF" w14:textId="77777777" w:rsidR="00A56EE9" w:rsidRPr="00D26B0C" w:rsidRDefault="00A56EE9" w:rsidP="00BB6AD5">
            <w:pPr>
              <w:pStyle w:val="Tablebulletlist"/>
              <w:jc w:val="center"/>
              <w:rPr>
                <w:color w:val="000000"/>
              </w:rPr>
            </w:pPr>
            <w:r w:rsidRPr="00D26B0C">
              <w:rPr>
                <w:rFonts w:ascii="Arial" w:hAnsi="Arial" w:cs="Arial"/>
                <w:color w:val="000000"/>
                <w:sz w:val="16"/>
                <w:szCs w:val="16"/>
              </w:rPr>
              <w:t>4</w:t>
            </w:r>
          </w:p>
        </w:tc>
        <w:tc>
          <w:tcPr>
            <w:tcW w:w="219" w:type="pct"/>
            <w:tcBorders>
              <w:bottom w:val="single" w:sz="4" w:space="0" w:color="auto"/>
            </w:tcBorders>
            <w:shd w:val="clear" w:color="auto" w:fill="auto"/>
            <w:noWrap/>
          </w:tcPr>
          <w:p w14:paraId="5761D7B0" w14:textId="77777777" w:rsidR="00A56EE9" w:rsidRPr="00015E98" w:rsidRDefault="00A56EE9" w:rsidP="00BB6AD5">
            <w:pPr>
              <w:pStyle w:val="Tablebulletlist"/>
              <w:jc w:val="center"/>
              <w:rPr>
                <w:color w:val="000000"/>
              </w:rPr>
            </w:pPr>
            <w:r w:rsidRPr="00015E98">
              <w:rPr>
                <w:rFonts w:ascii="Arial" w:hAnsi="Arial" w:cs="Arial"/>
                <w:color w:val="000000"/>
                <w:sz w:val="16"/>
                <w:szCs w:val="16"/>
              </w:rPr>
              <w:t>4</w:t>
            </w:r>
          </w:p>
        </w:tc>
        <w:tc>
          <w:tcPr>
            <w:tcW w:w="219" w:type="pct"/>
            <w:tcBorders>
              <w:bottom w:val="single" w:sz="4" w:space="0" w:color="auto"/>
            </w:tcBorders>
            <w:shd w:val="clear" w:color="auto" w:fill="auto"/>
            <w:noWrap/>
          </w:tcPr>
          <w:p w14:paraId="5761D7B1" w14:textId="77777777" w:rsidR="00A56EE9" w:rsidRPr="00A01FB6" w:rsidRDefault="00A56EE9" w:rsidP="00BB6AD5">
            <w:pPr>
              <w:pStyle w:val="Tablebulletlist"/>
              <w:jc w:val="center"/>
              <w:rPr>
                <w:color w:val="000000"/>
              </w:rPr>
            </w:pPr>
            <w:r w:rsidRPr="00A01FB6">
              <w:rPr>
                <w:rFonts w:ascii="Arial" w:hAnsi="Arial" w:cs="Arial"/>
                <w:color w:val="000000"/>
                <w:sz w:val="16"/>
                <w:szCs w:val="16"/>
              </w:rPr>
              <w:t>4</w:t>
            </w:r>
          </w:p>
        </w:tc>
        <w:tc>
          <w:tcPr>
            <w:tcW w:w="219" w:type="pct"/>
            <w:tcBorders>
              <w:bottom w:val="single" w:sz="4" w:space="0" w:color="auto"/>
            </w:tcBorders>
          </w:tcPr>
          <w:p w14:paraId="5761D7B2" w14:textId="77777777" w:rsidR="00A56EE9" w:rsidRPr="00FF6384" w:rsidRDefault="00A56EE9" w:rsidP="00BB6AD5">
            <w:pPr>
              <w:pStyle w:val="Tablebulletlist"/>
              <w:jc w:val="center"/>
              <w:rPr>
                <w:color w:val="000000"/>
              </w:rPr>
            </w:pPr>
            <w:r w:rsidRPr="00FF6384">
              <w:rPr>
                <w:rFonts w:ascii="Arial" w:hAnsi="Arial" w:cs="Arial"/>
                <w:color w:val="000000"/>
                <w:sz w:val="16"/>
                <w:szCs w:val="16"/>
              </w:rPr>
              <w:t>4</w:t>
            </w:r>
          </w:p>
        </w:tc>
        <w:tc>
          <w:tcPr>
            <w:tcW w:w="219" w:type="pct"/>
            <w:tcBorders>
              <w:bottom w:val="single" w:sz="4" w:space="0" w:color="auto"/>
            </w:tcBorders>
          </w:tcPr>
          <w:p w14:paraId="5761D7B3" w14:textId="77777777" w:rsidR="00A56EE9" w:rsidRPr="00B050B3" w:rsidRDefault="00A56EE9" w:rsidP="00BB6AD5">
            <w:pPr>
              <w:pStyle w:val="Tablebulletlist"/>
              <w:jc w:val="center"/>
              <w:rPr>
                <w:color w:val="000000"/>
              </w:rPr>
            </w:pPr>
            <w:r w:rsidRPr="00B050B3">
              <w:rPr>
                <w:rFonts w:ascii="Arial" w:hAnsi="Arial" w:cs="Arial"/>
                <w:color w:val="000000"/>
                <w:sz w:val="16"/>
                <w:szCs w:val="16"/>
              </w:rPr>
              <w:t>4</w:t>
            </w:r>
          </w:p>
        </w:tc>
        <w:tc>
          <w:tcPr>
            <w:tcW w:w="219" w:type="pct"/>
            <w:tcBorders>
              <w:bottom w:val="single" w:sz="4" w:space="0" w:color="auto"/>
            </w:tcBorders>
          </w:tcPr>
          <w:p w14:paraId="5761D7B4"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4</w:t>
            </w:r>
          </w:p>
        </w:tc>
        <w:tc>
          <w:tcPr>
            <w:tcW w:w="219" w:type="pct"/>
            <w:tcBorders>
              <w:bottom w:val="single" w:sz="4" w:space="0" w:color="auto"/>
            </w:tcBorders>
            <w:shd w:val="clear" w:color="auto" w:fill="auto"/>
            <w:noWrap/>
          </w:tcPr>
          <w:p w14:paraId="5761D7B5"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4</w:t>
            </w:r>
          </w:p>
        </w:tc>
        <w:tc>
          <w:tcPr>
            <w:tcW w:w="219" w:type="pct"/>
            <w:tcBorders>
              <w:bottom w:val="single" w:sz="4" w:space="0" w:color="auto"/>
            </w:tcBorders>
            <w:shd w:val="clear" w:color="auto" w:fill="auto"/>
            <w:noWrap/>
          </w:tcPr>
          <w:p w14:paraId="5761D7B6" w14:textId="77777777" w:rsidR="00A56EE9" w:rsidRPr="00923180" w:rsidRDefault="00A56EE9" w:rsidP="00BB6AD5">
            <w:pPr>
              <w:pStyle w:val="Tablebulletlist"/>
              <w:jc w:val="center"/>
              <w:rPr>
                <w:color w:val="000000"/>
              </w:rPr>
            </w:pPr>
            <w:r w:rsidRPr="00923180">
              <w:rPr>
                <w:rFonts w:ascii="Arial" w:hAnsi="Arial" w:cs="Arial"/>
                <w:color w:val="000000"/>
                <w:sz w:val="16"/>
                <w:szCs w:val="16"/>
              </w:rPr>
              <w:t>4</w:t>
            </w:r>
          </w:p>
        </w:tc>
        <w:tc>
          <w:tcPr>
            <w:tcW w:w="263" w:type="pct"/>
            <w:tcBorders>
              <w:bottom w:val="single" w:sz="4" w:space="0" w:color="auto"/>
            </w:tcBorders>
            <w:shd w:val="clear" w:color="auto" w:fill="auto"/>
            <w:noWrap/>
            <w:vAlign w:val="bottom"/>
          </w:tcPr>
          <w:p w14:paraId="5761D7B7"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3.96</w:t>
            </w:r>
          </w:p>
        </w:tc>
        <w:tc>
          <w:tcPr>
            <w:tcW w:w="271" w:type="pct"/>
            <w:tcBorders>
              <w:bottom w:val="single" w:sz="4" w:space="0" w:color="auto"/>
            </w:tcBorders>
            <w:shd w:val="clear" w:color="auto" w:fill="auto"/>
            <w:noWrap/>
            <w:vAlign w:val="bottom"/>
          </w:tcPr>
          <w:p w14:paraId="5761D7B8"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0.15</w:t>
            </w:r>
          </w:p>
        </w:tc>
      </w:tr>
      <w:tr w:rsidR="00A56EE9" w:rsidRPr="00D96915" w14:paraId="5761D7CD" w14:textId="77777777" w:rsidTr="00BB6AD5">
        <w:trPr>
          <w:trHeight w:val="283"/>
        </w:trPr>
        <w:tc>
          <w:tcPr>
            <w:tcW w:w="321" w:type="pct"/>
            <w:shd w:val="clear" w:color="auto" w:fill="BFBFBF" w:themeFill="background1" w:themeFillShade="BF"/>
            <w:noWrap/>
            <w:vAlign w:val="bottom"/>
          </w:tcPr>
          <w:p w14:paraId="5761D7BA" w14:textId="77777777" w:rsidR="00A56EE9" w:rsidRPr="00D96915" w:rsidRDefault="00A56EE9" w:rsidP="00BB6AD5">
            <w:pPr>
              <w:pStyle w:val="Tablebulletlist"/>
              <w:rPr>
                <w:rStyle w:val="BookTitle"/>
                <w:rFonts w:ascii="Arial" w:hAnsi="Arial"/>
                <w:sz w:val="16"/>
                <w:szCs w:val="16"/>
              </w:rPr>
            </w:pPr>
            <w:r>
              <w:rPr>
                <w:rStyle w:val="BookTitle"/>
                <w:rFonts w:ascii="Arial" w:hAnsi="Arial"/>
                <w:sz w:val="16"/>
                <w:szCs w:val="16"/>
              </w:rPr>
              <w:t>CO</w:t>
            </w:r>
          </w:p>
        </w:tc>
        <w:tc>
          <w:tcPr>
            <w:tcW w:w="1077" w:type="pct"/>
            <w:shd w:val="clear" w:color="auto" w:fill="BFBFBF" w:themeFill="background1" w:themeFillShade="BF"/>
            <w:noWrap/>
            <w:vAlign w:val="bottom"/>
          </w:tcPr>
          <w:p w14:paraId="5761D7BB"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 xml:space="preserve">Overall grade </w:t>
            </w:r>
          </w:p>
          <w:p w14:paraId="5761D7BC" w14:textId="77777777" w:rsidR="00A56EE9" w:rsidRPr="00D96915" w:rsidRDefault="00A56EE9" w:rsidP="00BB6AD5">
            <w:pPr>
              <w:pStyle w:val="Tablebulletlist"/>
              <w:rPr>
                <w:rStyle w:val="BookTitle"/>
                <w:rFonts w:ascii="Arial" w:hAnsi="Arial"/>
                <w:sz w:val="16"/>
                <w:szCs w:val="16"/>
              </w:rPr>
            </w:pPr>
          </w:p>
        </w:tc>
        <w:tc>
          <w:tcPr>
            <w:tcW w:w="220" w:type="pct"/>
            <w:tcBorders>
              <w:top w:val="single" w:sz="4" w:space="0" w:color="auto"/>
            </w:tcBorders>
            <w:shd w:val="clear" w:color="auto" w:fill="C5E0B3" w:themeFill="accent6" w:themeFillTint="66"/>
            <w:noWrap/>
            <w:vAlign w:val="center"/>
          </w:tcPr>
          <w:p w14:paraId="5761D7BD" w14:textId="77777777" w:rsidR="00A56EE9" w:rsidRPr="00A61ACA" w:rsidRDefault="00A56EE9" w:rsidP="00BB6AD5">
            <w:pPr>
              <w:pStyle w:val="Symbols"/>
              <w:framePr w:wrap="around"/>
              <w:spacing w:before="120" w:after="120"/>
              <w:jc w:val="center"/>
              <w:rPr>
                <w:rFonts w:ascii="Arial" w:hAnsi="Arial"/>
                <w:sz w:val="16"/>
                <w:szCs w:val="16"/>
              </w:rPr>
            </w:pPr>
          </w:p>
        </w:tc>
        <w:tc>
          <w:tcPr>
            <w:tcW w:w="220" w:type="pct"/>
            <w:tcBorders>
              <w:top w:val="single" w:sz="4" w:space="0" w:color="auto"/>
            </w:tcBorders>
            <w:shd w:val="clear" w:color="auto" w:fill="C5E0B3" w:themeFill="accent6" w:themeFillTint="66"/>
            <w:vAlign w:val="center"/>
          </w:tcPr>
          <w:p w14:paraId="5761D7BE" w14:textId="77777777" w:rsidR="00A56EE9" w:rsidRPr="00A61ACA"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C5E0B3" w:themeFill="accent6" w:themeFillTint="66"/>
            <w:noWrap/>
            <w:vAlign w:val="center"/>
          </w:tcPr>
          <w:p w14:paraId="5761D7BF" w14:textId="77777777" w:rsidR="00A56EE9" w:rsidRPr="00A61ACA"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538135" w:themeFill="accent6" w:themeFillShade="BF"/>
            <w:vAlign w:val="bottom"/>
          </w:tcPr>
          <w:p w14:paraId="5761D7C0" w14:textId="77777777" w:rsidR="00A56EE9" w:rsidRPr="00A61ACA"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C5E0B3" w:themeFill="accent6" w:themeFillTint="66"/>
            <w:noWrap/>
            <w:vAlign w:val="center"/>
          </w:tcPr>
          <w:p w14:paraId="5761D7C1" w14:textId="77777777" w:rsidR="00A56EE9" w:rsidRPr="00A61ACA"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center"/>
          </w:tcPr>
          <w:p w14:paraId="5761D7C2" w14:textId="77777777" w:rsidR="00A56EE9" w:rsidRPr="00A61ACA"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noWrap/>
            <w:vAlign w:val="bottom"/>
          </w:tcPr>
          <w:p w14:paraId="5761D7C3" w14:textId="77777777" w:rsidR="00A56EE9" w:rsidRPr="00A61ACA"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noWrap/>
            <w:vAlign w:val="bottom"/>
          </w:tcPr>
          <w:p w14:paraId="5761D7C4" w14:textId="77777777" w:rsidR="00A56EE9" w:rsidRPr="00015E98"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7C5" w14:textId="77777777" w:rsidR="00A56EE9" w:rsidRPr="00A01FB6"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vAlign w:val="bottom"/>
          </w:tcPr>
          <w:p w14:paraId="5761D7C6" w14:textId="77777777" w:rsidR="00A56EE9" w:rsidRPr="00FF6384"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vAlign w:val="bottom"/>
          </w:tcPr>
          <w:p w14:paraId="5761D7C7" w14:textId="77777777" w:rsidR="00A56EE9" w:rsidRPr="00B050B3"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vAlign w:val="bottom"/>
          </w:tcPr>
          <w:p w14:paraId="5761D7C8"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7C9"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7CA"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63" w:type="pct"/>
            <w:tcBorders>
              <w:top w:val="single" w:sz="4" w:space="0" w:color="auto"/>
            </w:tcBorders>
            <w:shd w:val="clear" w:color="auto" w:fill="BFBFBF" w:themeFill="background1" w:themeFillShade="BF"/>
            <w:noWrap/>
            <w:vAlign w:val="center"/>
          </w:tcPr>
          <w:p w14:paraId="5761D7CB" w14:textId="77777777" w:rsidR="00A56EE9" w:rsidRPr="00BD7840" w:rsidRDefault="00A56EE9" w:rsidP="00BB6AD5">
            <w:pPr>
              <w:jc w:val="center"/>
              <w:rPr>
                <w:color w:val="000000"/>
                <w:sz w:val="16"/>
                <w:szCs w:val="16"/>
              </w:rPr>
            </w:pPr>
          </w:p>
        </w:tc>
        <w:tc>
          <w:tcPr>
            <w:tcW w:w="271" w:type="pct"/>
            <w:tcBorders>
              <w:top w:val="single" w:sz="4" w:space="0" w:color="auto"/>
            </w:tcBorders>
            <w:shd w:val="clear" w:color="auto" w:fill="BFBFBF" w:themeFill="background1" w:themeFillShade="BF"/>
            <w:noWrap/>
            <w:vAlign w:val="center"/>
          </w:tcPr>
          <w:p w14:paraId="5761D7CC" w14:textId="77777777" w:rsidR="00A56EE9" w:rsidRPr="00BD7840" w:rsidRDefault="00A56EE9" w:rsidP="00BB6AD5">
            <w:pPr>
              <w:jc w:val="center"/>
              <w:rPr>
                <w:color w:val="000000"/>
                <w:sz w:val="16"/>
                <w:szCs w:val="16"/>
              </w:rPr>
            </w:pPr>
          </w:p>
        </w:tc>
      </w:tr>
      <w:tr w:rsidR="00A56EE9" w:rsidRPr="00D96915" w14:paraId="5761D7E0" w14:textId="77777777" w:rsidTr="00BB6AD5">
        <w:trPr>
          <w:trHeight w:val="283"/>
        </w:trPr>
        <w:tc>
          <w:tcPr>
            <w:tcW w:w="321" w:type="pct"/>
            <w:shd w:val="clear" w:color="auto" w:fill="auto"/>
            <w:noWrap/>
            <w:vAlign w:val="bottom"/>
          </w:tcPr>
          <w:p w14:paraId="5761D7CE"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PL1</w:t>
            </w:r>
          </w:p>
        </w:tc>
        <w:tc>
          <w:tcPr>
            <w:tcW w:w="1077" w:type="pct"/>
            <w:shd w:val="clear" w:color="auto" w:fill="auto"/>
            <w:noWrap/>
            <w:vAlign w:val="bottom"/>
          </w:tcPr>
          <w:p w14:paraId="5761D7CF"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Planning system</w:t>
            </w:r>
          </w:p>
        </w:tc>
        <w:tc>
          <w:tcPr>
            <w:tcW w:w="220" w:type="pct"/>
            <w:shd w:val="clear" w:color="auto" w:fill="auto"/>
            <w:noWrap/>
          </w:tcPr>
          <w:p w14:paraId="5761D7D0"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20" w:type="pct"/>
          </w:tcPr>
          <w:p w14:paraId="5761D7D1" w14:textId="77777777" w:rsidR="00A56EE9" w:rsidRPr="00D26B0C" w:rsidRDefault="00A56EE9" w:rsidP="00BB6AD5">
            <w:pPr>
              <w:pStyle w:val="Tablebulletlist"/>
              <w:jc w:val="center"/>
              <w:rPr>
                <w:rFonts w:ascii="Arial" w:hAnsi="Arial" w:cs="Arial"/>
                <w:color w:val="000000"/>
                <w:sz w:val="16"/>
                <w:szCs w:val="16"/>
              </w:rPr>
            </w:pPr>
            <w:r>
              <w:rPr>
                <w:rFonts w:ascii="Arial" w:hAnsi="Arial" w:cs="Arial"/>
                <w:color w:val="000000"/>
                <w:sz w:val="16"/>
                <w:szCs w:val="16"/>
              </w:rPr>
              <w:t>2</w:t>
            </w:r>
          </w:p>
        </w:tc>
        <w:tc>
          <w:tcPr>
            <w:tcW w:w="219" w:type="pct"/>
            <w:shd w:val="clear" w:color="auto" w:fill="auto"/>
            <w:noWrap/>
          </w:tcPr>
          <w:p w14:paraId="5761D7D2"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tcPr>
          <w:p w14:paraId="5761D7D3"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7D4"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7D5"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7D6" w14:textId="77777777" w:rsidR="00A56EE9" w:rsidRPr="00D26B0C" w:rsidRDefault="00A56EE9" w:rsidP="00BB6AD5">
            <w:pPr>
              <w:pStyle w:val="Tablebulletlist"/>
              <w:jc w:val="center"/>
              <w:rPr>
                <w:rFonts w:ascii="Arial" w:hAnsi="Arial" w:cs="Arial"/>
                <w:color w:val="000000"/>
                <w:sz w:val="16"/>
                <w:szCs w:val="16"/>
              </w:rPr>
            </w:pPr>
            <w:r>
              <w:rPr>
                <w:rFonts w:ascii="Arial" w:hAnsi="Arial" w:cs="Arial"/>
                <w:color w:val="000000"/>
                <w:sz w:val="16"/>
                <w:szCs w:val="16"/>
              </w:rPr>
              <w:t>4</w:t>
            </w:r>
          </w:p>
        </w:tc>
        <w:tc>
          <w:tcPr>
            <w:tcW w:w="219" w:type="pct"/>
            <w:shd w:val="clear" w:color="auto" w:fill="auto"/>
            <w:noWrap/>
          </w:tcPr>
          <w:p w14:paraId="5761D7D7" w14:textId="77777777" w:rsidR="00A56EE9" w:rsidRPr="00015E98" w:rsidRDefault="00A56EE9" w:rsidP="00BB6AD5">
            <w:pPr>
              <w:pStyle w:val="Tablebulletlist"/>
              <w:jc w:val="center"/>
              <w:rPr>
                <w:rFonts w:ascii="Arial" w:hAnsi="Arial" w:cs="Arial"/>
                <w:color w:val="000000"/>
                <w:sz w:val="16"/>
                <w:szCs w:val="16"/>
              </w:rPr>
            </w:pPr>
            <w:r w:rsidRPr="00015E98">
              <w:rPr>
                <w:rFonts w:ascii="Arial" w:hAnsi="Arial" w:cs="Arial"/>
                <w:color w:val="000000"/>
                <w:sz w:val="16"/>
                <w:szCs w:val="16"/>
              </w:rPr>
              <w:t>3.5</w:t>
            </w:r>
          </w:p>
        </w:tc>
        <w:tc>
          <w:tcPr>
            <w:tcW w:w="219" w:type="pct"/>
            <w:shd w:val="clear" w:color="auto" w:fill="auto"/>
            <w:noWrap/>
          </w:tcPr>
          <w:p w14:paraId="5761D7D8" w14:textId="77777777" w:rsidR="00A56EE9" w:rsidRPr="00A01FB6" w:rsidRDefault="00A56EE9" w:rsidP="00BB6AD5">
            <w:pPr>
              <w:pStyle w:val="Tablebulletlist"/>
              <w:jc w:val="center"/>
              <w:rPr>
                <w:rFonts w:ascii="Arial" w:hAnsi="Arial" w:cs="Arial"/>
                <w:color w:val="000000"/>
                <w:sz w:val="16"/>
                <w:szCs w:val="16"/>
              </w:rPr>
            </w:pPr>
            <w:r w:rsidRPr="00A01FB6">
              <w:rPr>
                <w:rFonts w:ascii="Arial" w:hAnsi="Arial" w:cs="Arial"/>
                <w:color w:val="000000"/>
                <w:sz w:val="16"/>
                <w:szCs w:val="16"/>
              </w:rPr>
              <w:t>4</w:t>
            </w:r>
          </w:p>
        </w:tc>
        <w:tc>
          <w:tcPr>
            <w:tcW w:w="219" w:type="pct"/>
          </w:tcPr>
          <w:p w14:paraId="5761D7D9" w14:textId="77777777" w:rsidR="00A56EE9" w:rsidRPr="00FF6384" w:rsidRDefault="00A56EE9" w:rsidP="00BB6AD5">
            <w:pPr>
              <w:pStyle w:val="Tablebulletlist"/>
              <w:jc w:val="center"/>
              <w:rPr>
                <w:rFonts w:ascii="Arial" w:hAnsi="Arial" w:cs="Arial"/>
                <w:color w:val="000000"/>
                <w:sz w:val="16"/>
                <w:szCs w:val="16"/>
              </w:rPr>
            </w:pPr>
            <w:r w:rsidRPr="00FF6384">
              <w:rPr>
                <w:rFonts w:ascii="Arial" w:hAnsi="Arial" w:cs="Arial"/>
                <w:color w:val="000000"/>
                <w:sz w:val="16"/>
                <w:szCs w:val="16"/>
              </w:rPr>
              <w:t>4</w:t>
            </w:r>
          </w:p>
        </w:tc>
        <w:tc>
          <w:tcPr>
            <w:tcW w:w="219" w:type="pct"/>
          </w:tcPr>
          <w:p w14:paraId="5761D7DA" w14:textId="77777777" w:rsidR="00A56EE9" w:rsidRPr="00B050B3" w:rsidRDefault="00A56EE9" w:rsidP="00BB6AD5">
            <w:pPr>
              <w:pStyle w:val="Tablebulletlist"/>
              <w:jc w:val="center"/>
              <w:rPr>
                <w:rFonts w:ascii="Arial" w:hAnsi="Arial" w:cs="Arial"/>
                <w:color w:val="000000"/>
                <w:sz w:val="16"/>
                <w:szCs w:val="16"/>
              </w:rPr>
            </w:pPr>
            <w:r w:rsidRPr="00B050B3">
              <w:rPr>
                <w:rFonts w:ascii="Arial" w:hAnsi="Arial" w:cs="Arial"/>
                <w:color w:val="000000"/>
                <w:sz w:val="16"/>
                <w:szCs w:val="16"/>
              </w:rPr>
              <w:t>3</w:t>
            </w:r>
          </w:p>
        </w:tc>
        <w:tc>
          <w:tcPr>
            <w:tcW w:w="219" w:type="pct"/>
          </w:tcPr>
          <w:p w14:paraId="5761D7DB"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3</w:t>
            </w:r>
          </w:p>
        </w:tc>
        <w:tc>
          <w:tcPr>
            <w:tcW w:w="219" w:type="pct"/>
            <w:shd w:val="clear" w:color="auto" w:fill="auto"/>
            <w:noWrap/>
          </w:tcPr>
          <w:p w14:paraId="5761D7DC"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7DD"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63" w:type="pct"/>
            <w:shd w:val="clear" w:color="auto" w:fill="auto"/>
            <w:noWrap/>
            <w:vAlign w:val="bottom"/>
          </w:tcPr>
          <w:p w14:paraId="5761D7DE"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3.39</w:t>
            </w:r>
          </w:p>
        </w:tc>
        <w:tc>
          <w:tcPr>
            <w:tcW w:w="271" w:type="pct"/>
            <w:shd w:val="clear" w:color="auto" w:fill="auto"/>
            <w:noWrap/>
            <w:vAlign w:val="bottom"/>
          </w:tcPr>
          <w:p w14:paraId="5761D7DF"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0.58</w:t>
            </w:r>
          </w:p>
        </w:tc>
      </w:tr>
      <w:tr w:rsidR="00A56EE9" w:rsidRPr="00D96915" w14:paraId="5761D7F3" w14:textId="77777777" w:rsidTr="00BB6AD5">
        <w:trPr>
          <w:trHeight w:val="283"/>
        </w:trPr>
        <w:tc>
          <w:tcPr>
            <w:tcW w:w="321" w:type="pct"/>
            <w:shd w:val="clear" w:color="auto" w:fill="auto"/>
            <w:noWrap/>
            <w:vAlign w:val="bottom"/>
          </w:tcPr>
          <w:p w14:paraId="5761D7E1"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PL2</w:t>
            </w:r>
          </w:p>
        </w:tc>
        <w:tc>
          <w:tcPr>
            <w:tcW w:w="1077" w:type="pct"/>
            <w:shd w:val="clear" w:color="auto" w:fill="auto"/>
            <w:noWrap/>
            <w:vAlign w:val="bottom"/>
          </w:tcPr>
          <w:p w14:paraId="5761D7E2"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PS addresses factors influencing</w:t>
            </w:r>
          </w:p>
        </w:tc>
        <w:tc>
          <w:tcPr>
            <w:tcW w:w="220" w:type="pct"/>
            <w:shd w:val="clear" w:color="auto" w:fill="auto"/>
            <w:noWrap/>
          </w:tcPr>
          <w:p w14:paraId="5761D7E3"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20" w:type="pct"/>
          </w:tcPr>
          <w:p w14:paraId="5761D7E4"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2</w:t>
            </w:r>
          </w:p>
        </w:tc>
        <w:tc>
          <w:tcPr>
            <w:tcW w:w="219" w:type="pct"/>
            <w:shd w:val="clear" w:color="auto" w:fill="auto"/>
            <w:noWrap/>
          </w:tcPr>
          <w:p w14:paraId="5761D7E5"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tcPr>
          <w:p w14:paraId="5761D7E6"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7E7"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7E8"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7E9" w14:textId="77777777" w:rsidR="00A56EE9" w:rsidRPr="00D26B0C" w:rsidRDefault="00A56EE9" w:rsidP="00BB6AD5">
            <w:pPr>
              <w:pStyle w:val="Tablebulletlist"/>
              <w:jc w:val="center"/>
              <w:rPr>
                <w:rFonts w:ascii="Arial" w:hAnsi="Arial" w:cs="Arial"/>
                <w:color w:val="000000"/>
                <w:sz w:val="16"/>
                <w:szCs w:val="16"/>
              </w:rPr>
            </w:pPr>
            <w:r>
              <w:rPr>
                <w:rFonts w:ascii="Arial" w:hAnsi="Arial" w:cs="Arial"/>
                <w:color w:val="000000"/>
                <w:sz w:val="16"/>
                <w:szCs w:val="16"/>
              </w:rPr>
              <w:t>4</w:t>
            </w:r>
          </w:p>
        </w:tc>
        <w:tc>
          <w:tcPr>
            <w:tcW w:w="219" w:type="pct"/>
            <w:shd w:val="clear" w:color="auto" w:fill="auto"/>
            <w:noWrap/>
          </w:tcPr>
          <w:p w14:paraId="5761D7EA" w14:textId="77777777" w:rsidR="00A56EE9" w:rsidRPr="00015E98" w:rsidRDefault="00A56EE9" w:rsidP="00BB6AD5">
            <w:pPr>
              <w:pStyle w:val="Tablebulletlist"/>
              <w:jc w:val="center"/>
              <w:rPr>
                <w:rFonts w:ascii="Arial" w:hAnsi="Arial" w:cs="Arial"/>
                <w:color w:val="000000"/>
                <w:sz w:val="16"/>
                <w:szCs w:val="16"/>
              </w:rPr>
            </w:pPr>
            <w:r w:rsidRPr="00015E98">
              <w:rPr>
                <w:rFonts w:ascii="Arial" w:hAnsi="Arial" w:cs="Arial"/>
                <w:color w:val="000000"/>
                <w:sz w:val="16"/>
                <w:szCs w:val="16"/>
              </w:rPr>
              <w:t>2.5</w:t>
            </w:r>
          </w:p>
        </w:tc>
        <w:tc>
          <w:tcPr>
            <w:tcW w:w="219" w:type="pct"/>
            <w:shd w:val="clear" w:color="auto" w:fill="auto"/>
            <w:noWrap/>
          </w:tcPr>
          <w:p w14:paraId="5761D7EB" w14:textId="77777777" w:rsidR="00A56EE9" w:rsidRPr="00A01FB6" w:rsidRDefault="00A56EE9" w:rsidP="00BB6AD5">
            <w:pPr>
              <w:pStyle w:val="Tablebulletlist"/>
              <w:jc w:val="center"/>
              <w:rPr>
                <w:rFonts w:ascii="Arial" w:hAnsi="Arial" w:cs="Arial"/>
                <w:color w:val="000000"/>
                <w:sz w:val="16"/>
                <w:szCs w:val="16"/>
              </w:rPr>
            </w:pPr>
            <w:r w:rsidRPr="00A01FB6">
              <w:rPr>
                <w:rFonts w:ascii="Arial" w:hAnsi="Arial" w:cs="Arial"/>
                <w:color w:val="000000"/>
                <w:sz w:val="16"/>
                <w:szCs w:val="16"/>
              </w:rPr>
              <w:t>4</w:t>
            </w:r>
          </w:p>
        </w:tc>
        <w:tc>
          <w:tcPr>
            <w:tcW w:w="219" w:type="pct"/>
          </w:tcPr>
          <w:p w14:paraId="5761D7EC" w14:textId="77777777" w:rsidR="00A56EE9" w:rsidRPr="00FF6384" w:rsidRDefault="00A56EE9" w:rsidP="00BB6AD5">
            <w:pPr>
              <w:pStyle w:val="Tablebulletlist"/>
              <w:jc w:val="center"/>
              <w:rPr>
                <w:rFonts w:ascii="Arial" w:hAnsi="Arial" w:cs="Arial"/>
                <w:color w:val="000000"/>
                <w:sz w:val="16"/>
                <w:szCs w:val="16"/>
              </w:rPr>
            </w:pPr>
            <w:r w:rsidRPr="00FF6384">
              <w:rPr>
                <w:rFonts w:ascii="Arial" w:hAnsi="Arial" w:cs="Arial"/>
                <w:color w:val="000000"/>
                <w:sz w:val="16"/>
                <w:szCs w:val="16"/>
              </w:rPr>
              <w:t>4</w:t>
            </w:r>
          </w:p>
        </w:tc>
        <w:tc>
          <w:tcPr>
            <w:tcW w:w="219" w:type="pct"/>
          </w:tcPr>
          <w:p w14:paraId="5761D7ED" w14:textId="77777777" w:rsidR="00A56EE9" w:rsidRPr="00B050B3" w:rsidRDefault="00A56EE9" w:rsidP="00BB6AD5">
            <w:pPr>
              <w:pStyle w:val="Tablebulletlist"/>
              <w:jc w:val="center"/>
              <w:rPr>
                <w:rFonts w:ascii="Arial" w:hAnsi="Arial" w:cs="Arial"/>
                <w:color w:val="000000"/>
                <w:sz w:val="16"/>
                <w:szCs w:val="16"/>
              </w:rPr>
            </w:pPr>
            <w:r w:rsidRPr="00B050B3">
              <w:rPr>
                <w:rFonts w:ascii="Arial" w:hAnsi="Arial" w:cs="Arial"/>
                <w:color w:val="000000"/>
                <w:sz w:val="16"/>
                <w:szCs w:val="16"/>
              </w:rPr>
              <w:t>4</w:t>
            </w:r>
          </w:p>
        </w:tc>
        <w:tc>
          <w:tcPr>
            <w:tcW w:w="219" w:type="pct"/>
          </w:tcPr>
          <w:p w14:paraId="5761D7EE"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7EF"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7F0"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3</w:t>
            </w:r>
          </w:p>
        </w:tc>
        <w:tc>
          <w:tcPr>
            <w:tcW w:w="263" w:type="pct"/>
            <w:shd w:val="clear" w:color="auto" w:fill="auto"/>
            <w:noWrap/>
            <w:vAlign w:val="bottom"/>
          </w:tcPr>
          <w:p w14:paraId="5761D7F1"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3.39</w:t>
            </w:r>
          </w:p>
        </w:tc>
        <w:tc>
          <w:tcPr>
            <w:tcW w:w="271" w:type="pct"/>
            <w:shd w:val="clear" w:color="auto" w:fill="auto"/>
            <w:noWrap/>
            <w:vAlign w:val="bottom"/>
          </w:tcPr>
          <w:p w14:paraId="5761D7F2"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0.64</w:t>
            </w:r>
          </w:p>
        </w:tc>
      </w:tr>
      <w:tr w:rsidR="00A56EE9" w:rsidRPr="00D96915" w14:paraId="5761D806" w14:textId="77777777" w:rsidTr="00BB6AD5">
        <w:trPr>
          <w:trHeight w:val="283"/>
        </w:trPr>
        <w:tc>
          <w:tcPr>
            <w:tcW w:w="321" w:type="pct"/>
            <w:shd w:val="clear" w:color="auto" w:fill="auto"/>
            <w:noWrap/>
            <w:vAlign w:val="bottom"/>
          </w:tcPr>
          <w:p w14:paraId="5761D7F4"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PL3</w:t>
            </w:r>
          </w:p>
        </w:tc>
        <w:tc>
          <w:tcPr>
            <w:tcW w:w="1077" w:type="pct"/>
            <w:shd w:val="clear" w:color="auto" w:fill="auto"/>
            <w:noWrap/>
            <w:vAlign w:val="bottom"/>
          </w:tcPr>
          <w:p w14:paraId="5761D7F5"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 xml:space="preserve">Actions clear </w:t>
            </w:r>
          </w:p>
        </w:tc>
        <w:tc>
          <w:tcPr>
            <w:tcW w:w="220" w:type="pct"/>
            <w:shd w:val="clear" w:color="auto" w:fill="auto"/>
            <w:noWrap/>
          </w:tcPr>
          <w:p w14:paraId="5761D7F6"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20" w:type="pct"/>
          </w:tcPr>
          <w:p w14:paraId="5761D7F7" w14:textId="77777777" w:rsidR="00A56EE9" w:rsidRPr="00D26B0C" w:rsidRDefault="00A56EE9" w:rsidP="00BB6AD5">
            <w:pPr>
              <w:pStyle w:val="Tablebulletlist"/>
              <w:jc w:val="center"/>
              <w:rPr>
                <w:rFonts w:ascii="Arial" w:hAnsi="Arial" w:cs="Arial"/>
                <w:color w:val="000000"/>
                <w:sz w:val="16"/>
                <w:szCs w:val="16"/>
              </w:rPr>
            </w:pPr>
            <w:r>
              <w:rPr>
                <w:rFonts w:ascii="Arial" w:hAnsi="Arial" w:cs="Arial"/>
                <w:color w:val="000000"/>
                <w:sz w:val="16"/>
                <w:szCs w:val="16"/>
              </w:rPr>
              <w:t>2</w:t>
            </w:r>
          </w:p>
        </w:tc>
        <w:tc>
          <w:tcPr>
            <w:tcW w:w="219" w:type="pct"/>
            <w:shd w:val="clear" w:color="auto" w:fill="auto"/>
            <w:noWrap/>
          </w:tcPr>
          <w:p w14:paraId="5761D7F8"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tcPr>
          <w:p w14:paraId="5761D7F9"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7FA"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7FB"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7FC" w14:textId="77777777" w:rsidR="00A56EE9" w:rsidRPr="00D26B0C" w:rsidRDefault="00A56EE9" w:rsidP="00BB6AD5">
            <w:pPr>
              <w:pStyle w:val="Tablebulletlist"/>
              <w:jc w:val="center"/>
              <w:rPr>
                <w:rFonts w:ascii="Arial" w:hAnsi="Arial" w:cs="Arial"/>
                <w:color w:val="000000"/>
                <w:sz w:val="16"/>
                <w:szCs w:val="16"/>
              </w:rPr>
            </w:pPr>
            <w:r>
              <w:rPr>
                <w:rFonts w:ascii="Arial" w:hAnsi="Arial" w:cs="Arial"/>
                <w:color w:val="000000"/>
                <w:sz w:val="16"/>
                <w:szCs w:val="16"/>
              </w:rPr>
              <w:t>4</w:t>
            </w:r>
          </w:p>
        </w:tc>
        <w:tc>
          <w:tcPr>
            <w:tcW w:w="219" w:type="pct"/>
            <w:shd w:val="clear" w:color="auto" w:fill="auto"/>
            <w:noWrap/>
          </w:tcPr>
          <w:p w14:paraId="5761D7FD" w14:textId="77777777" w:rsidR="00A56EE9" w:rsidRPr="00015E98" w:rsidRDefault="00A56EE9" w:rsidP="00BB6AD5">
            <w:pPr>
              <w:pStyle w:val="Tablebulletlist"/>
              <w:jc w:val="center"/>
              <w:rPr>
                <w:rFonts w:ascii="Arial" w:hAnsi="Arial" w:cs="Arial"/>
                <w:color w:val="000000"/>
                <w:sz w:val="16"/>
                <w:szCs w:val="16"/>
              </w:rPr>
            </w:pPr>
            <w:r w:rsidRPr="00015E98">
              <w:rPr>
                <w:rFonts w:ascii="Arial" w:hAnsi="Arial" w:cs="Arial"/>
                <w:color w:val="000000"/>
                <w:sz w:val="16"/>
                <w:szCs w:val="16"/>
              </w:rPr>
              <w:t>2.5</w:t>
            </w:r>
          </w:p>
        </w:tc>
        <w:tc>
          <w:tcPr>
            <w:tcW w:w="219" w:type="pct"/>
            <w:shd w:val="clear" w:color="auto" w:fill="auto"/>
            <w:noWrap/>
          </w:tcPr>
          <w:p w14:paraId="5761D7FE" w14:textId="77777777" w:rsidR="00A56EE9" w:rsidRPr="00A01FB6" w:rsidRDefault="00A56EE9" w:rsidP="00BB6AD5">
            <w:pPr>
              <w:pStyle w:val="Tablebulletlist"/>
              <w:jc w:val="center"/>
              <w:rPr>
                <w:rFonts w:ascii="Arial" w:hAnsi="Arial" w:cs="Arial"/>
                <w:color w:val="000000"/>
                <w:sz w:val="16"/>
                <w:szCs w:val="16"/>
              </w:rPr>
            </w:pPr>
            <w:r w:rsidRPr="00A01FB6">
              <w:rPr>
                <w:rFonts w:ascii="Arial" w:hAnsi="Arial" w:cs="Arial"/>
                <w:color w:val="000000"/>
                <w:sz w:val="16"/>
                <w:szCs w:val="16"/>
              </w:rPr>
              <w:t>4</w:t>
            </w:r>
          </w:p>
        </w:tc>
        <w:tc>
          <w:tcPr>
            <w:tcW w:w="219" w:type="pct"/>
          </w:tcPr>
          <w:p w14:paraId="5761D7FF" w14:textId="77777777" w:rsidR="00A56EE9" w:rsidRPr="00FF6384" w:rsidRDefault="00A56EE9" w:rsidP="00BB6AD5">
            <w:pPr>
              <w:pStyle w:val="Tablebulletlist"/>
              <w:jc w:val="center"/>
              <w:rPr>
                <w:rFonts w:ascii="Arial" w:hAnsi="Arial" w:cs="Arial"/>
                <w:color w:val="000000"/>
                <w:sz w:val="16"/>
                <w:szCs w:val="16"/>
              </w:rPr>
            </w:pPr>
            <w:r w:rsidRPr="00FF6384">
              <w:rPr>
                <w:rFonts w:ascii="Arial" w:hAnsi="Arial" w:cs="Arial"/>
                <w:color w:val="000000"/>
                <w:sz w:val="16"/>
                <w:szCs w:val="16"/>
              </w:rPr>
              <w:t>4</w:t>
            </w:r>
          </w:p>
        </w:tc>
        <w:tc>
          <w:tcPr>
            <w:tcW w:w="219" w:type="pct"/>
          </w:tcPr>
          <w:p w14:paraId="5761D800" w14:textId="77777777" w:rsidR="00A56EE9" w:rsidRPr="00B050B3" w:rsidRDefault="00A56EE9" w:rsidP="00BB6AD5">
            <w:pPr>
              <w:pStyle w:val="Tablebulletlist"/>
              <w:jc w:val="center"/>
              <w:rPr>
                <w:rFonts w:ascii="Arial" w:hAnsi="Arial" w:cs="Arial"/>
                <w:color w:val="000000"/>
                <w:sz w:val="16"/>
                <w:szCs w:val="16"/>
              </w:rPr>
            </w:pPr>
            <w:r w:rsidRPr="00B050B3">
              <w:rPr>
                <w:rFonts w:ascii="Arial" w:hAnsi="Arial" w:cs="Arial"/>
                <w:color w:val="000000"/>
                <w:sz w:val="16"/>
                <w:szCs w:val="16"/>
              </w:rPr>
              <w:t>3</w:t>
            </w:r>
          </w:p>
        </w:tc>
        <w:tc>
          <w:tcPr>
            <w:tcW w:w="219" w:type="pct"/>
          </w:tcPr>
          <w:p w14:paraId="5761D801"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802"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803"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63" w:type="pct"/>
            <w:shd w:val="clear" w:color="auto" w:fill="auto"/>
            <w:noWrap/>
            <w:vAlign w:val="bottom"/>
          </w:tcPr>
          <w:p w14:paraId="5761D804"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3.46</w:t>
            </w:r>
          </w:p>
        </w:tc>
        <w:tc>
          <w:tcPr>
            <w:tcW w:w="271" w:type="pct"/>
            <w:shd w:val="clear" w:color="auto" w:fill="auto"/>
            <w:noWrap/>
            <w:vAlign w:val="bottom"/>
          </w:tcPr>
          <w:p w14:paraId="5761D805"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0.64</w:t>
            </w:r>
          </w:p>
        </w:tc>
      </w:tr>
      <w:tr w:rsidR="00A56EE9" w:rsidRPr="00D96915" w14:paraId="5761D819" w14:textId="77777777" w:rsidTr="00BB6AD5">
        <w:trPr>
          <w:trHeight w:val="283"/>
        </w:trPr>
        <w:tc>
          <w:tcPr>
            <w:tcW w:w="321" w:type="pct"/>
            <w:shd w:val="clear" w:color="auto" w:fill="auto"/>
            <w:noWrap/>
            <w:vAlign w:val="bottom"/>
          </w:tcPr>
          <w:p w14:paraId="5761D807"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PL4</w:t>
            </w:r>
          </w:p>
        </w:tc>
        <w:tc>
          <w:tcPr>
            <w:tcW w:w="1077" w:type="pct"/>
            <w:shd w:val="clear" w:color="auto" w:fill="auto"/>
            <w:noWrap/>
            <w:vAlign w:val="bottom"/>
          </w:tcPr>
          <w:p w14:paraId="5761D808"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Objectives measurable</w:t>
            </w:r>
          </w:p>
        </w:tc>
        <w:tc>
          <w:tcPr>
            <w:tcW w:w="220" w:type="pct"/>
            <w:shd w:val="clear" w:color="auto" w:fill="auto"/>
            <w:noWrap/>
          </w:tcPr>
          <w:p w14:paraId="5761D809"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20" w:type="pct"/>
          </w:tcPr>
          <w:p w14:paraId="5761D80A" w14:textId="77777777" w:rsidR="00A56EE9" w:rsidRPr="00D26B0C" w:rsidRDefault="00A56EE9" w:rsidP="00BB6AD5">
            <w:pPr>
              <w:pStyle w:val="Tablebulletlist"/>
              <w:jc w:val="center"/>
              <w:rPr>
                <w:rFonts w:ascii="Arial" w:hAnsi="Arial" w:cs="Arial"/>
                <w:color w:val="000000"/>
                <w:sz w:val="16"/>
                <w:szCs w:val="16"/>
              </w:rPr>
            </w:pPr>
            <w:r>
              <w:rPr>
                <w:rFonts w:ascii="Arial" w:hAnsi="Arial" w:cs="Arial"/>
                <w:color w:val="000000"/>
                <w:sz w:val="16"/>
                <w:szCs w:val="16"/>
              </w:rPr>
              <w:t>2</w:t>
            </w:r>
          </w:p>
        </w:tc>
        <w:tc>
          <w:tcPr>
            <w:tcW w:w="219" w:type="pct"/>
            <w:shd w:val="clear" w:color="auto" w:fill="auto"/>
            <w:noWrap/>
          </w:tcPr>
          <w:p w14:paraId="5761D80B"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tcPr>
          <w:p w14:paraId="5761D80C"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0D"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0E"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80F" w14:textId="77777777" w:rsidR="00A56EE9" w:rsidRPr="00D26B0C" w:rsidRDefault="00A56EE9" w:rsidP="00BB6AD5">
            <w:pPr>
              <w:pStyle w:val="Tablebulletlist"/>
              <w:jc w:val="center"/>
              <w:rPr>
                <w:rFonts w:ascii="Arial" w:hAnsi="Arial" w:cs="Arial"/>
                <w:color w:val="000000"/>
                <w:sz w:val="16"/>
                <w:szCs w:val="16"/>
              </w:rPr>
            </w:pPr>
            <w:r>
              <w:rPr>
                <w:rFonts w:ascii="Arial" w:hAnsi="Arial" w:cs="Arial"/>
                <w:color w:val="000000"/>
                <w:sz w:val="16"/>
                <w:szCs w:val="16"/>
              </w:rPr>
              <w:t>4</w:t>
            </w:r>
          </w:p>
        </w:tc>
        <w:tc>
          <w:tcPr>
            <w:tcW w:w="219" w:type="pct"/>
            <w:shd w:val="clear" w:color="auto" w:fill="auto"/>
            <w:noWrap/>
          </w:tcPr>
          <w:p w14:paraId="5761D810" w14:textId="77777777" w:rsidR="00A56EE9" w:rsidRPr="00015E98" w:rsidRDefault="00A56EE9" w:rsidP="00BB6AD5">
            <w:pPr>
              <w:pStyle w:val="Tablebulletlist"/>
              <w:jc w:val="center"/>
              <w:rPr>
                <w:rFonts w:ascii="Arial" w:hAnsi="Arial" w:cs="Arial"/>
                <w:color w:val="000000"/>
                <w:sz w:val="16"/>
                <w:szCs w:val="16"/>
              </w:rPr>
            </w:pPr>
            <w:r w:rsidRPr="00015E98">
              <w:rPr>
                <w:rFonts w:ascii="Arial" w:hAnsi="Arial" w:cs="Arial"/>
                <w:color w:val="000000"/>
                <w:sz w:val="16"/>
                <w:szCs w:val="16"/>
              </w:rPr>
              <w:t>3</w:t>
            </w:r>
          </w:p>
        </w:tc>
        <w:tc>
          <w:tcPr>
            <w:tcW w:w="219" w:type="pct"/>
            <w:shd w:val="clear" w:color="auto" w:fill="auto"/>
            <w:noWrap/>
          </w:tcPr>
          <w:p w14:paraId="5761D811" w14:textId="77777777" w:rsidR="00A56EE9" w:rsidRPr="00A01FB6" w:rsidRDefault="00A56EE9" w:rsidP="00BB6AD5">
            <w:pPr>
              <w:pStyle w:val="Tablebulletlist"/>
              <w:jc w:val="center"/>
              <w:rPr>
                <w:rFonts w:ascii="Arial" w:hAnsi="Arial" w:cs="Arial"/>
                <w:color w:val="000000"/>
                <w:sz w:val="16"/>
                <w:szCs w:val="16"/>
              </w:rPr>
            </w:pPr>
            <w:r w:rsidRPr="00A01FB6">
              <w:rPr>
                <w:rFonts w:ascii="Arial" w:hAnsi="Arial" w:cs="Arial"/>
                <w:color w:val="000000"/>
                <w:sz w:val="16"/>
                <w:szCs w:val="16"/>
              </w:rPr>
              <w:t>4</w:t>
            </w:r>
          </w:p>
        </w:tc>
        <w:tc>
          <w:tcPr>
            <w:tcW w:w="219" w:type="pct"/>
          </w:tcPr>
          <w:p w14:paraId="5761D812" w14:textId="77777777" w:rsidR="00A56EE9" w:rsidRPr="00FF6384" w:rsidRDefault="00A56EE9" w:rsidP="00BB6AD5">
            <w:pPr>
              <w:pStyle w:val="Tablebulletlist"/>
              <w:jc w:val="center"/>
              <w:rPr>
                <w:rFonts w:ascii="Arial" w:hAnsi="Arial" w:cs="Arial"/>
                <w:color w:val="000000"/>
                <w:sz w:val="16"/>
                <w:szCs w:val="16"/>
              </w:rPr>
            </w:pPr>
            <w:r w:rsidRPr="00FF6384">
              <w:rPr>
                <w:rFonts w:ascii="Arial" w:hAnsi="Arial" w:cs="Arial"/>
                <w:color w:val="000000"/>
                <w:sz w:val="16"/>
                <w:szCs w:val="16"/>
              </w:rPr>
              <w:t>3</w:t>
            </w:r>
          </w:p>
        </w:tc>
        <w:tc>
          <w:tcPr>
            <w:tcW w:w="219" w:type="pct"/>
          </w:tcPr>
          <w:p w14:paraId="5761D813" w14:textId="77777777" w:rsidR="00A56EE9" w:rsidRPr="00B050B3" w:rsidRDefault="00A56EE9" w:rsidP="00BB6AD5">
            <w:pPr>
              <w:pStyle w:val="Tablebulletlist"/>
              <w:jc w:val="center"/>
              <w:rPr>
                <w:rFonts w:ascii="Arial" w:hAnsi="Arial" w:cs="Arial"/>
                <w:color w:val="000000"/>
                <w:sz w:val="16"/>
                <w:szCs w:val="16"/>
              </w:rPr>
            </w:pPr>
            <w:r w:rsidRPr="00B050B3">
              <w:rPr>
                <w:rFonts w:ascii="Arial" w:hAnsi="Arial" w:cs="Arial"/>
                <w:color w:val="000000"/>
                <w:sz w:val="16"/>
                <w:szCs w:val="16"/>
              </w:rPr>
              <w:t>3</w:t>
            </w:r>
          </w:p>
        </w:tc>
        <w:tc>
          <w:tcPr>
            <w:tcW w:w="219" w:type="pct"/>
          </w:tcPr>
          <w:p w14:paraId="5761D814"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815"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3</w:t>
            </w:r>
          </w:p>
        </w:tc>
        <w:tc>
          <w:tcPr>
            <w:tcW w:w="219" w:type="pct"/>
            <w:shd w:val="clear" w:color="auto" w:fill="auto"/>
            <w:noWrap/>
          </w:tcPr>
          <w:p w14:paraId="5761D816"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63" w:type="pct"/>
            <w:shd w:val="clear" w:color="auto" w:fill="auto"/>
            <w:noWrap/>
            <w:vAlign w:val="bottom"/>
          </w:tcPr>
          <w:p w14:paraId="5761D817"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3.29</w:t>
            </w:r>
          </w:p>
        </w:tc>
        <w:tc>
          <w:tcPr>
            <w:tcW w:w="271" w:type="pct"/>
            <w:shd w:val="clear" w:color="auto" w:fill="auto"/>
            <w:noWrap/>
            <w:vAlign w:val="bottom"/>
          </w:tcPr>
          <w:p w14:paraId="5761D818"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0.57</w:t>
            </w:r>
          </w:p>
        </w:tc>
      </w:tr>
      <w:tr w:rsidR="00A56EE9" w:rsidRPr="00D96915" w14:paraId="5761D82C" w14:textId="77777777" w:rsidTr="00BB6AD5">
        <w:trPr>
          <w:trHeight w:val="283"/>
        </w:trPr>
        <w:tc>
          <w:tcPr>
            <w:tcW w:w="321" w:type="pct"/>
            <w:shd w:val="clear" w:color="auto" w:fill="auto"/>
            <w:noWrap/>
            <w:vAlign w:val="bottom"/>
          </w:tcPr>
          <w:p w14:paraId="5761D81A"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PL5</w:t>
            </w:r>
          </w:p>
        </w:tc>
        <w:tc>
          <w:tcPr>
            <w:tcW w:w="1077" w:type="pct"/>
            <w:shd w:val="clear" w:color="auto" w:fill="auto"/>
            <w:noWrap/>
            <w:vAlign w:val="bottom"/>
          </w:tcPr>
          <w:p w14:paraId="5761D81B"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Monitoring</w:t>
            </w:r>
          </w:p>
        </w:tc>
        <w:tc>
          <w:tcPr>
            <w:tcW w:w="220" w:type="pct"/>
            <w:shd w:val="clear" w:color="auto" w:fill="auto"/>
            <w:noWrap/>
          </w:tcPr>
          <w:p w14:paraId="5761D81C"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20" w:type="pct"/>
          </w:tcPr>
          <w:p w14:paraId="5761D81D"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1E"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tcPr>
          <w:p w14:paraId="5761D81F"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20"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21"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22" w14:textId="77777777" w:rsidR="00A56EE9" w:rsidRPr="00D26B0C" w:rsidRDefault="00A56EE9" w:rsidP="00BB6AD5">
            <w:pPr>
              <w:pStyle w:val="Tablebulletlist"/>
              <w:jc w:val="center"/>
              <w:rPr>
                <w:rFonts w:ascii="Arial" w:hAnsi="Arial" w:cs="Arial"/>
                <w:color w:val="000000"/>
                <w:sz w:val="16"/>
                <w:szCs w:val="16"/>
              </w:rPr>
            </w:pPr>
            <w:r>
              <w:rPr>
                <w:rFonts w:ascii="Arial" w:hAnsi="Arial" w:cs="Arial"/>
                <w:color w:val="000000"/>
                <w:sz w:val="16"/>
                <w:szCs w:val="16"/>
              </w:rPr>
              <w:t>4</w:t>
            </w:r>
          </w:p>
        </w:tc>
        <w:tc>
          <w:tcPr>
            <w:tcW w:w="219" w:type="pct"/>
            <w:shd w:val="clear" w:color="auto" w:fill="auto"/>
            <w:noWrap/>
          </w:tcPr>
          <w:p w14:paraId="5761D823" w14:textId="77777777" w:rsidR="00A56EE9" w:rsidRPr="00015E98" w:rsidRDefault="00A56EE9" w:rsidP="00BB6AD5">
            <w:pPr>
              <w:pStyle w:val="Tablebulletlist"/>
              <w:jc w:val="center"/>
              <w:rPr>
                <w:rFonts w:ascii="Arial" w:hAnsi="Arial" w:cs="Arial"/>
                <w:color w:val="000000"/>
                <w:sz w:val="16"/>
                <w:szCs w:val="16"/>
              </w:rPr>
            </w:pPr>
            <w:r w:rsidRPr="00015E98">
              <w:rPr>
                <w:rFonts w:ascii="Arial" w:hAnsi="Arial" w:cs="Arial"/>
                <w:color w:val="000000"/>
                <w:sz w:val="16"/>
                <w:szCs w:val="16"/>
              </w:rPr>
              <w:t>3</w:t>
            </w:r>
          </w:p>
        </w:tc>
        <w:tc>
          <w:tcPr>
            <w:tcW w:w="219" w:type="pct"/>
            <w:shd w:val="clear" w:color="auto" w:fill="auto"/>
            <w:noWrap/>
          </w:tcPr>
          <w:p w14:paraId="5761D824" w14:textId="77777777" w:rsidR="00A56EE9" w:rsidRPr="00A01FB6" w:rsidRDefault="00A56EE9" w:rsidP="00BB6AD5">
            <w:pPr>
              <w:pStyle w:val="Tablebulletlist"/>
              <w:jc w:val="center"/>
              <w:rPr>
                <w:rFonts w:ascii="Arial" w:hAnsi="Arial" w:cs="Arial"/>
                <w:color w:val="000000"/>
                <w:sz w:val="16"/>
                <w:szCs w:val="16"/>
              </w:rPr>
            </w:pPr>
            <w:r w:rsidRPr="00A01FB6">
              <w:rPr>
                <w:rFonts w:ascii="Arial" w:hAnsi="Arial" w:cs="Arial"/>
                <w:color w:val="000000"/>
                <w:sz w:val="16"/>
                <w:szCs w:val="16"/>
              </w:rPr>
              <w:t>4</w:t>
            </w:r>
          </w:p>
        </w:tc>
        <w:tc>
          <w:tcPr>
            <w:tcW w:w="219" w:type="pct"/>
          </w:tcPr>
          <w:p w14:paraId="5761D825" w14:textId="77777777" w:rsidR="00A56EE9" w:rsidRPr="00FF6384" w:rsidRDefault="00A56EE9" w:rsidP="00BB6AD5">
            <w:pPr>
              <w:pStyle w:val="Tablebulletlist"/>
              <w:jc w:val="center"/>
              <w:rPr>
                <w:rFonts w:ascii="Arial" w:hAnsi="Arial" w:cs="Arial"/>
                <w:color w:val="000000"/>
                <w:sz w:val="16"/>
                <w:szCs w:val="16"/>
              </w:rPr>
            </w:pPr>
            <w:r w:rsidRPr="00FF6384">
              <w:rPr>
                <w:rFonts w:ascii="Arial" w:hAnsi="Arial" w:cs="Arial"/>
                <w:color w:val="000000"/>
                <w:sz w:val="16"/>
                <w:szCs w:val="16"/>
              </w:rPr>
              <w:t>3</w:t>
            </w:r>
          </w:p>
        </w:tc>
        <w:tc>
          <w:tcPr>
            <w:tcW w:w="219" w:type="pct"/>
          </w:tcPr>
          <w:p w14:paraId="5761D826" w14:textId="77777777" w:rsidR="00A56EE9" w:rsidRPr="00B050B3" w:rsidRDefault="00A56EE9" w:rsidP="00BB6AD5">
            <w:pPr>
              <w:pStyle w:val="Tablebulletlist"/>
              <w:jc w:val="center"/>
              <w:rPr>
                <w:rFonts w:ascii="Arial" w:hAnsi="Arial" w:cs="Arial"/>
                <w:color w:val="000000"/>
                <w:sz w:val="16"/>
                <w:szCs w:val="16"/>
              </w:rPr>
            </w:pPr>
            <w:r w:rsidRPr="00B050B3">
              <w:rPr>
                <w:rFonts w:ascii="Arial" w:hAnsi="Arial" w:cs="Arial"/>
                <w:color w:val="000000"/>
                <w:sz w:val="16"/>
                <w:szCs w:val="16"/>
              </w:rPr>
              <w:t>2</w:t>
            </w:r>
          </w:p>
        </w:tc>
        <w:tc>
          <w:tcPr>
            <w:tcW w:w="219" w:type="pct"/>
          </w:tcPr>
          <w:p w14:paraId="5761D827"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3</w:t>
            </w:r>
          </w:p>
        </w:tc>
        <w:tc>
          <w:tcPr>
            <w:tcW w:w="219" w:type="pct"/>
            <w:shd w:val="clear" w:color="auto" w:fill="auto"/>
            <w:noWrap/>
          </w:tcPr>
          <w:p w14:paraId="5761D828"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3</w:t>
            </w:r>
          </w:p>
        </w:tc>
        <w:tc>
          <w:tcPr>
            <w:tcW w:w="219" w:type="pct"/>
            <w:shd w:val="clear" w:color="auto" w:fill="auto"/>
            <w:noWrap/>
          </w:tcPr>
          <w:p w14:paraId="5761D829"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3</w:t>
            </w:r>
          </w:p>
        </w:tc>
        <w:tc>
          <w:tcPr>
            <w:tcW w:w="263" w:type="pct"/>
            <w:shd w:val="clear" w:color="auto" w:fill="auto"/>
            <w:noWrap/>
            <w:vAlign w:val="bottom"/>
          </w:tcPr>
          <w:p w14:paraId="5761D82A"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3.14</w:t>
            </w:r>
          </w:p>
        </w:tc>
        <w:tc>
          <w:tcPr>
            <w:tcW w:w="271" w:type="pct"/>
            <w:shd w:val="clear" w:color="auto" w:fill="auto"/>
            <w:noWrap/>
            <w:vAlign w:val="bottom"/>
          </w:tcPr>
          <w:p w14:paraId="5761D82B"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0.50</w:t>
            </w:r>
          </w:p>
        </w:tc>
      </w:tr>
      <w:tr w:rsidR="00A56EE9" w:rsidRPr="00D96915" w14:paraId="5761D83F" w14:textId="77777777" w:rsidTr="00BB6AD5">
        <w:trPr>
          <w:trHeight w:val="283"/>
        </w:trPr>
        <w:tc>
          <w:tcPr>
            <w:tcW w:w="321" w:type="pct"/>
            <w:shd w:val="clear" w:color="auto" w:fill="auto"/>
            <w:noWrap/>
            <w:vAlign w:val="bottom"/>
          </w:tcPr>
          <w:p w14:paraId="5761D82D"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PL6</w:t>
            </w:r>
          </w:p>
        </w:tc>
        <w:tc>
          <w:tcPr>
            <w:tcW w:w="1077" w:type="pct"/>
            <w:shd w:val="clear" w:color="auto" w:fill="auto"/>
            <w:noWrap/>
            <w:vAlign w:val="bottom"/>
          </w:tcPr>
          <w:p w14:paraId="5761D82E"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Stakeholders engaged</w:t>
            </w:r>
          </w:p>
        </w:tc>
        <w:tc>
          <w:tcPr>
            <w:tcW w:w="220" w:type="pct"/>
            <w:shd w:val="clear" w:color="auto" w:fill="auto"/>
            <w:noWrap/>
          </w:tcPr>
          <w:p w14:paraId="5761D82F"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20" w:type="pct"/>
          </w:tcPr>
          <w:p w14:paraId="5761D830"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2</w:t>
            </w:r>
          </w:p>
        </w:tc>
        <w:tc>
          <w:tcPr>
            <w:tcW w:w="219" w:type="pct"/>
            <w:shd w:val="clear" w:color="auto" w:fill="auto"/>
            <w:noWrap/>
          </w:tcPr>
          <w:p w14:paraId="5761D831"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tcPr>
          <w:p w14:paraId="5761D832"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833"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834"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835"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36" w14:textId="77777777" w:rsidR="00A56EE9" w:rsidRPr="00015E98" w:rsidRDefault="00A56EE9" w:rsidP="00BB6AD5">
            <w:pPr>
              <w:pStyle w:val="Tablebulletlist"/>
              <w:jc w:val="center"/>
              <w:rPr>
                <w:rFonts w:ascii="Arial" w:hAnsi="Arial" w:cs="Arial"/>
                <w:color w:val="000000"/>
                <w:sz w:val="16"/>
                <w:szCs w:val="16"/>
              </w:rPr>
            </w:pPr>
            <w:r w:rsidRPr="00015E98">
              <w:rPr>
                <w:rFonts w:ascii="Arial" w:hAnsi="Arial" w:cs="Arial"/>
                <w:color w:val="000000"/>
                <w:sz w:val="16"/>
                <w:szCs w:val="16"/>
              </w:rPr>
              <w:t>3</w:t>
            </w:r>
          </w:p>
        </w:tc>
        <w:tc>
          <w:tcPr>
            <w:tcW w:w="219" w:type="pct"/>
            <w:shd w:val="clear" w:color="auto" w:fill="auto"/>
            <w:noWrap/>
          </w:tcPr>
          <w:p w14:paraId="5761D837" w14:textId="77777777" w:rsidR="00A56EE9" w:rsidRPr="00A01FB6" w:rsidRDefault="00A56EE9" w:rsidP="00BB6AD5">
            <w:pPr>
              <w:pStyle w:val="Tablebulletlist"/>
              <w:jc w:val="center"/>
              <w:rPr>
                <w:rFonts w:ascii="Arial" w:hAnsi="Arial" w:cs="Arial"/>
                <w:color w:val="000000"/>
                <w:sz w:val="16"/>
                <w:szCs w:val="16"/>
              </w:rPr>
            </w:pPr>
            <w:r w:rsidRPr="00A01FB6">
              <w:rPr>
                <w:rFonts w:ascii="Arial" w:hAnsi="Arial" w:cs="Arial"/>
                <w:color w:val="000000"/>
                <w:sz w:val="16"/>
                <w:szCs w:val="16"/>
              </w:rPr>
              <w:t>4</w:t>
            </w:r>
          </w:p>
        </w:tc>
        <w:tc>
          <w:tcPr>
            <w:tcW w:w="219" w:type="pct"/>
          </w:tcPr>
          <w:p w14:paraId="5761D838" w14:textId="77777777" w:rsidR="00A56EE9" w:rsidRPr="00FF6384" w:rsidRDefault="00A56EE9" w:rsidP="00BB6AD5">
            <w:pPr>
              <w:pStyle w:val="Tablebulletlist"/>
              <w:jc w:val="center"/>
              <w:rPr>
                <w:rFonts w:ascii="Arial" w:hAnsi="Arial" w:cs="Arial"/>
                <w:color w:val="000000"/>
                <w:sz w:val="16"/>
                <w:szCs w:val="16"/>
              </w:rPr>
            </w:pPr>
            <w:r w:rsidRPr="00FF6384">
              <w:rPr>
                <w:rFonts w:ascii="Arial" w:hAnsi="Arial" w:cs="Arial"/>
                <w:color w:val="000000"/>
                <w:sz w:val="16"/>
                <w:szCs w:val="16"/>
              </w:rPr>
              <w:t>3</w:t>
            </w:r>
          </w:p>
        </w:tc>
        <w:tc>
          <w:tcPr>
            <w:tcW w:w="219" w:type="pct"/>
          </w:tcPr>
          <w:p w14:paraId="5761D839" w14:textId="77777777" w:rsidR="00A56EE9" w:rsidRPr="00B050B3" w:rsidRDefault="00A56EE9" w:rsidP="00BB6AD5">
            <w:pPr>
              <w:pStyle w:val="Tablebulletlist"/>
              <w:jc w:val="center"/>
              <w:rPr>
                <w:rFonts w:ascii="Arial" w:hAnsi="Arial" w:cs="Arial"/>
                <w:color w:val="000000"/>
                <w:sz w:val="16"/>
                <w:szCs w:val="16"/>
              </w:rPr>
            </w:pPr>
            <w:r w:rsidRPr="00B050B3">
              <w:rPr>
                <w:rFonts w:ascii="Arial" w:hAnsi="Arial" w:cs="Arial"/>
                <w:color w:val="000000"/>
                <w:sz w:val="16"/>
                <w:szCs w:val="16"/>
              </w:rPr>
              <w:t>4</w:t>
            </w:r>
          </w:p>
        </w:tc>
        <w:tc>
          <w:tcPr>
            <w:tcW w:w="219" w:type="pct"/>
          </w:tcPr>
          <w:p w14:paraId="5761D83A"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3</w:t>
            </w:r>
          </w:p>
        </w:tc>
        <w:tc>
          <w:tcPr>
            <w:tcW w:w="219" w:type="pct"/>
            <w:shd w:val="clear" w:color="auto" w:fill="auto"/>
            <w:noWrap/>
          </w:tcPr>
          <w:p w14:paraId="5761D83B"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83C"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63" w:type="pct"/>
            <w:shd w:val="clear" w:color="auto" w:fill="auto"/>
            <w:noWrap/>
            <w:vAlign w:val="bottom"/>
          </w:tcPr>
          <w:p w14:paraId="5761D83D"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3.50</w:t>
            </w:r>
          </w:p>
        </w:tc>
        <w:tc>
          <w:tcPr>
            <w:tcW w:w="271" w:type="pct"/>
            <w:shd w:val="clear" w:color="auto" w:fill="auto"/>
            <w:noWrap/>
            <w:vAlign w:val="bottom"/>
          </w:tcPr>
          <w:p w14:paraId="5761D83E"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0.61</w:t>
            </w:r>
          </w:p>
        </w:tc>
      </w:tr>
      <w:tr w:rsidR="00A56EE9" w:rsidRPr="00D96915" w14:paraId="5761D852" w14:textId="77777777" w:rsidTr="00BB6AD5">
        <w:trPr>
          <w:trHeight w:val="283"/>
        </w:trPr>
        <w:tc>
          <w:tcPr>
            <w:tcW w:w="321" w:type="pct"/>
            <w:shd w:val="clear" w:color="auto" w:fill="auto"/>
            <w:noWrap/>
            <w:vAlign w:val="bottom"/>
          </w:tcPr>
          <w:p w14:paraId="5761D840"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PL7</w:t>
            </w:r>
          </w:p>
        </w:tc>
        <w:tc>
          <w:tcPr>
            <w:tcW w:w="1077" w:type="pct"/>
            <w:shd w:val="clear" w:color="auto" w:fill="auto"/>
            <w:noWrap/>
            <w:vAlign w:val="bottom"/>
          </w:tcPr>
          <w:p w14:paraId="5761D841"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Sufficient policy</w:t>
            </w:r>
          </w:p>
        </w:tc>
        <w:tc>
          <w:tcPr>
            <w:tcW w:w="220" w:type="pct"/>
            <w:shd w:val="clear" w:color="auto" w:fill="auto"/>
            <w:noWrap/>
          </w:tcPr>
          <w:p w14:paraId="5761D842"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20" w:type="pct"/>
          </w:tcPr>
          <w:p w14:paraId="5761D843"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1</w:t>
            </w:r>
          </w:p>
        </w:tc>
        <w:tc>
          <w:tcPr>
            <w:tcW w:w="219" w:type="pct"/>
            <w:shd w:val="clear" w:color="auto" w:fill="auto"/>
            <w:noWrap/>
          </w:tcPr>
          <w:p w14:paraId="5761D844"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tcPr>
          <w:p w14:paraId="5761D845"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46"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47"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48"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49" w14:textId="77777777" w:rsidR="00A56EE9" w:rsidRPr="00015E98" w:rsidRDefault="00A56EE9" w:rsidP="00BB6AD5">
            <w:pPr>
              <w:pStyle w:val="Tablebulletlist"/>
              <w:jc w:val="center"/>
              <w:rPr>
                <w:rFonts w:ascii="Arial" w:hAnsi="Arial" w:cs="Arial"/>
                <w:color w:val="000000"/>
                <w:sz w:val="16"/>
                <w:szCs w:val="16"/>
              </w:rPr>
            </w:pPr>
            <w:r w:rsidRPr="00015E98">
              <w:rPr>
                <w:rFonts w:ascii="Arial" w:hAnsi="Arial" w:cs="Arial"/>
                <w:color w:val="000000"/>
                <w:sz w:val="16"/>
                <w:szCs w:val="16"/>
              </w:rPr>
              <w:t>3</w:t>
            </w:r>
          </w:p>
        </w:tc>
        <w:tc>
          <w:tcPr>
            <w:tcW w:w="219" w:type="pct"/>
            <w:shd w:val="clear" w:color="auto" w:fill="auto"/>
            <w:noWrap/>
          </w:tcPr>
          <w:p w14:paraId="5761D84A" w14:textId="77777777" w:rsidR="00A56EE9" w:rsidRPr="00A01FB6" w:rsidRDefault="00A56EE9" w:rsidP="00BB6AD5">
            <w:pPr>
              <w:pStyle w:val="Tablebulletlist"/>
              <w:jc w:val="center"/>
              <w:rPr>
                <w:rFonts w:ascii="Arial" w:hAnsi="Arial" w:cs="Arial"/>
                <w:color w:val="000000"/>
                <w:sz w:val="16"/>
                <w:szCs w:val="16"/>
              </w:rPr>
            </w:pPr>
            <w:r w:rsidRPr="00A01FB6">
              <w:rPr>
                <w:rFonts w:ascii="Arial" w:hAnsi="Arial" w:cs="Arial"/>
                <w:color w:val="000000"/>
                <w:sz w:val="16"/>
                <w:szCs w:val="16"/>
              </w:rPr>
              <w:t>4</w:t>
            </w:r>
          </w:p>
        </w:tc>
        <w:tc>
          <w:tcPr>
            <w:tcW w:w="219" w:type="pct"/>
          </w:tcPr>
          <w:p w14:paraId="5761D84B" w14:textId="77777777" w:rsidR="00A56EE9" w:rsidRPr="00FF6384" w:rsidRDefault="00A56EE9" w:rsidP="00BB6AD5">
            <w:pPr>
              <w:pStyle w:val="Tablebulletlist"/>
              <w:jc w:val="center"/>
              <w:rPr>
                <w:rFonts w:ascii="Arial" w:hAnsi="Arial" w:cs="Arial"/>
                <w:color w:val="000000"/>
                <w:sz w:val="16"/>
                <w:szCs w:val="16"/>
              </w:rPr>
            </w:pPr>
            <w:r w:rsidRPr="00FF6384">
              <w:rPr>
                <w:rFonts w:ascii="Arial" w:hAnsi="Arial" w:cs="Arial"/>
                <w:color w:val="000000"/>
                <w:sz w:val="16"/>
                <w:szCs w:val="16"/>
              </w:rPr>
              <w:t>4</w:t>
            </w:r>
          </w:p>
        </w:tc>
        <w:tc>
          <w:tcPr>
            <w:tcW w:w="219" w:type="pct"/>
          </w:tcPr>
          <w:p w14:paraId="5761D84C" w14:textId="77777777" w:rsidR="00A56EE9" w:rsidRPr="00B050B3" w:rsidRDefault="00A56EE9" w:rsidP="00BB6AD5">
            <w:pPr>
              <w:pStyle w:val="Tablebulletlist"/>
              <w:jc w:val="center"/>
              <w:rPr>
                <w:rFonts w:ascii="Arial" w:hAnsi="Arial" w:cs="Arial"/>
                <w:color w:val="000000"/>
                <w:sz w:val="16"/>
                <w:szCs w:val="16"/>
              </w:rPr>
            </w:pPr>
            <w:r w:rsidRPr="00B050B3">
              <w:rPr>
                <w:rFonts w:ascii="Arial" w:hAnsi="Arial" w:cs="Arial"/>
                <w:color w:val="000000"/>
                <w:sz w:val="16"/>
                <w:szCs w:val="16"/>
              </w:rPr>
              <w:t>3</w:t>
            </w:r>
          </w:p>
        </w:tc>
        <w:tc>
          <w:tcPr>
            <w:tcW w:w="219" w:type="pct"/>
          </w:tcPr>
          <w:p w14:paraId="5761D84D"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84E"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84F"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3</w:t>
            </w:r>
          </w:p>
        </w:tc>
        <w:tc>
          <w:tcPr>
            <w:tcW w:w="263" w:type="pct"/>
            <w:shd w:val="clear" w:color="auto" w:fill="auto"/>
            <w:noWrap/>
            <w:vAlign w:val="bottom"/>
          </w:tcPr>
          <w:p w14:paraId="5761D850"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3.21</w:t>
            </w:r>
          </w:p>
        </w:tc>
        <w:tc>
          <w:tcPr>
            <w:tcW w:w="271" w:type="pct"/>
            <w:shd w:val="clear" w:color="auto" w:fill="auto"/>
            <w:noWrap/>
            <w:vAlign w:val="bottom"/>
          </w:tcPr>
          <w:p w14:paraId="5761D851"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0.75</w:t>
            </w:r>
          </w:p>
        </w:tc>
      </w:tr>
      <w:tr w:rsidR="00A56EE9" w:rsidRPr="00D96915" w14:paraId="5761D865" w14:textId="77777777" w:rsidTr="00BB6AD5">
        <w:trPr>
          <w:trHeight w:val="283"/>
        </w:trPr>
        <w:tc>
          <w:tcPr>
            <w:tcW w:w="321" w:type="pct"/>
            <w:shd w:val="clear" w:color="auto" w:fill="auto"/>
            <w:noWrap/>
            <w:vAlign w:val="bottom"/>
          </w:tcPr>
          <w:p w14:paraId="5761D853"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PL8</w:t>
            </w:r>
          </w:p>
        </w:tc>
        <w:tc>
          <w:tcPr>
            <w:tcW w:w="1077" w:type="pct"/>
            <w:shd w:val="clear" w:color="auto" w:fill="auto"/>
            <w:noWrap/>
            <w:vAlign w:val="bottom"/>
          </w:tcPr>
          <w:p w14:paraId="5761D854"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Consistency jurisdictions</w:t>
            </w:r>
          </w:p>
        </w:tc>
        <w:tc>
          <w:tcPr>
            <w:tcW w:w="220" w:type="pct"/>
            <w:shd w:val="clear" w:color="auto" w:fill="auto"/>
            <w:noWrap/>
          </w:tcPr>
          <w:p w14:paraId="5761D855"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20" w:type="pct"/>
          </w:tcPr>
          <w:p w14:paraId="5761D856"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1</w:t>
            </w:r>
          </w:p>
        </w:tc>
        <w:tc>
          <w:tcPr>
            <w:tcW w:w="219" w:type="pct"/>
            <w:shd w:val="clear" w:color="auto" w:fill="auto"/>
            <w:noWrap/>
          </w:tcPr>
          <w:p w14:paraId="5761D857"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tcPr>
          <w:p w14:paraId="5761D858"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859"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5A"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85B" w14:textId="77777777" w:rsidR="00A56EE9" w:rsidRPr="00D26B0C" w:rsidRDefault="00A56EE9" w:rsidP="00BB6AD5">
            <w:pPr>
              <w:pStyle w:val="Tablebulletlist"/>
              <w:jc w:val="center"/>
              <w:rPr>
                <w:rFonts w:ascii="Arial" w:hAnsi="Arial" w:cs="Arial"/>
                <w:color w:val="000000"/>
                <w:sz w:val="16"/>
                <w:szCs w:val="16"/>
              </w:rPr>
            </w:pPr>
            <w:r>
              <w:rPr>
                <w:rFonts w:ascii="Arial" w:hAnsi="Arial" w:cs="Arial"/>
                <w:color w:val="000000"/>
                <w:sz w:val="16"/>
                <w:szCs w:val="16"/>
              </w:rPr>
              <w:t>3</w:t>
            </w:r>
          </w:p>
        </w:tc>
        <w:tc>
          <w:tcPr>
            <w:tcW w:w="219" w:type="pct"/>
            <w:shd w:val="clear" w:color="auto" w:fill="auto"/>
            <w:noWrap/>
          </w:tcPr>
          <w:p w14:paraId="5761D85C" w14:textId="77777777" w:rsidR="00A56EE9" w:rsidRPr="00015E98" w:rsidRDefault="00A56EE9" w:rsidP="00BB6AD5">
            <w:pPr>
              <w:pStyle w:val="Tablebulletlist"/>
              <w:jc w:val="center"/>
              <w:rPr>
                <w:rFonts w:ascii="Arial" w:hAnsi="Arial" w:cs="Arial"/>
                <w:color w:val="000000"/>
                <w:sz w:val="16"/>
                <w:szCs w:val="16"/>
              </w:rPr>
            </w:pPr>
            <w:r w:rsidRPr="00015E98">
              <w:rPr>
                <w:rFonts w:ascii="Arial" w:hAnsi="Arial" w:cs="Arial"/>
                <w:color w:val="000000"/>
                <w:sz w:val="16"/>
                <w:szCs w:val="16"/>
              </w:rPr>
              <w:t>3</w:t>
            </w:r>
          </w:p>
        </w:tc>
        <w:tc>
          <w:tcPr>
            <w:tcW w:w="219" w:type="pct"/>
            <w:shd w:val="clear" w:color="auto" w:fill="auto"/>
            <w:noWrap/>
          </w:tcPr>
          <w:p w14:paraId="5761D85D" w14:textId="77777777" w:rsidR="00A56EE9" w:rsidRPr="00A01FB6" w:rsidRDefault="00A56EE9" w:rsidP="00BB6AD5">
            <w:pPr>
              <w:pStyle w:val="Tablebulletlist"/>
              <w:jc w:val="center"/>
              <w:rPr>
                <w:rFonts w:ascii="Arial" w:hAnsi="Arial" w:cs="Arial"/>
                <w:color w:val="000000"/>
                <w:sz w:val="16"/>
                <w:szCs w:val="16"/>
              </w:rPr>
            </w:pPr>
            <w:r w:rsidRPr="00A01FB6">
              <w:rPr>
                <w:rFonts w:ascii="Arial" w:hAnsi="Arial" w:cs="Arial"/>
                <w:color w:val="000000"/>
                <w:sz w:val="16"/>
                <w:szCs w:val="16"/>
              </w:rPr>
              <w:t>4</w:t>
            </w:r>
          </w:p>
        </w:tc>
        <w:tc>
          <w:tcPr>
            <w:tcW w:w="219" w:type="pct"/>
          </w:tcPr>
          <w:p w14:paraId="5761D85E" w14:textId="77777777" w:rsidR="00A56EE9" w:rsidRPr="00FF6384" w:rsidRDefault="00A56EE9" w:rsidP="00BB6AD5">
            <w:pPr>
              <w:pStyle w:val="Tablebulletlist"/>
              <w:jc w:val="center"/>
              <w:rPr>
                <w:rFonts w:ascii="Arial" w:hAnsi="Arial" w:cs="Arial"/>
                <w:color w:val="000000"/>
                <w:sz w:val="16"/>
                <w:szCs w:val="16"/>
              </w:rPr>
            </w:pPr>
            <w:r w:rsidRPr="00FF6384">
              <w:rPr>
                <w:rFonts w:ascii="Arial" w:hAnsi="Arial" w:cs="Arial"/>
                <w:color w:val="000000"/>
                <w:sz w:val="16"/>
                <w:szCs w:val="16"/>
              </w:rPr>
              <w:t>3</w:t>
            </w:r>
          </w:p>
        </w:tc>
        <w:tc>
          <w:tcPr>
            <w:tcW w:w="219" w:type="pct"/>
          </w:tcPr>
          <w:p w14:paraId="5761D85F" w14:textId="77777777" w:rsidR="00A56EE9" w:rsidRPr="00B050B3" w:rsidRDefault="00A56EE9" w:rsidP="00BB6AD5">
            <w:pPr>
              <w:pStyle w:val="Tablebulletlist"/>
              <w:jc w:val="center"/>
              <w:rPr>
                <w:rFonts w:ascii="Arial" w:hAnsi="Arial" w:cs="Arial"/>
                <w:color w:val="000000"/>
                <w:sz w:val="16"/>
                <w:szCs w:val="16"/>
              </w:rPr>
            </w:pPr>
            <w:r w:rsidRPr="00B050B3">
              <w:rPr>
                <w:rFonts w:ascii="Arial" w:hAnsi="Arial" w:cs="Arial"/>
                <w:color w:val="000000"/>
                <w:sz w:val="16"/>
                <w:szCs w:val="16"/>
              </w:rPr>
              <w:t>3</w:t>
            </w:r>
          </w:p>
        </w:tc>
        <w:tc>
          <w:tcPr>
            <w:tcW w:w="219" w:type="pct"/>
          </w:tcPr>
          <w:p w14:paraId="5761D860"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861"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862"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63" w:type="pct"/>
            <w:shd w:val="clear" w:color="auto" w:fill="auto"/>
            <w:noWrap/>
            <w:vAlign w:val="bottom"/>
          </w:tcPr>
          <w:p w14:paraId="5761D863"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3.29</w:t>
            </w:r>
          </w:p>
        </w:tc>
        <w:tc>
          <w:tcPr>
            <w:tcW w:w="271" w:type="pct"/>
            <w:shd w:val="clear" w:color="auto" w:fill="auto"/>
            <w:noWrap/>
            <w:vAlign w:val="bottom"/>
          </w:tcPr>
          <w:p w14:paraId="5761D864"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0.77</w:t>
            </w:r>
          </w:p>
        </w:tc>
      </w:tr>
      <w:tr w:rsidR="00A56EE9" w:rsidRPr="00D96915" w14:paraId="5761D878" w14:textId="77777777" w:rsidTr="00BB6AD5">
        <w:trPr>
          <w:trHeight w:val="283"/>
        </w:trPr>
        <w:tc>
          <w:tcPr>
            <w:tcW w:w="321" w:type="pct"/>
            <w:shd w:val="clear" w:color="auto" w:fill="auto"/>
            <w:noWrap/>
            <w:vAlign w:val="bottom"/>
          </w:tcPr>
          <w:p w14:paraId="5761D866"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PL9</w:t>
            </w:r>
          </w:p>
        </w:tc>
        <w:tc>
          <w:tcPr>
            <w:tcW w:w="1077" w:type="pct"/>
            <w:shd w:val="clear" w:color="auto" w:fill="auto"/>
            <w:noWrap/>
            <w:vAlign w:val="bottom"/>
          </w:tcPr>
          <w:p w14:paraId="5761D867"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Certainty</w:t>
            </w:r>
          </w:p>
        </w:tc>
        <w:tc>
          <w:tcPr>
            <w:tcW w:w="220" w:type="pct"/>
            <w:shd w:val="clear" w:color="auto" w:fill="auto"/>
            <w:noWrap/>
          </w:tcPr>
          <w:p w14:paraId="5761D868"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20" w:type="pct"/>
          </w:tcPr>
          <w:p w14:paraId="5761D869"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2</w:t>
            </w:r>
          </w:p>
        </w:tc>
        <w:tc>
          <w:tcPr>
            <w:tcW w:w="219" w:type="pct"/>
            <w:shd w:val="clear" w:color="auto" w:fill="auto"/>
            <w:noWrap/>
          </w:tcPr>
          <w:p w14:paraId="5761D86A"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tcPr>
          <w:p w14:paraId="5761D86B"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6C"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3</w:t>
            </w:r>
          </w:p>
        </w:tc>
        <w:tc>
          <w:tcPr>
            <w:tcW w:w="219" w:type="pct"/>
            <w:shd w:val="clear" w:color="auto" w:fill="auto"/>
            <w:noWrap/>
          </w:tcPr>
          <w:p w14:paraId="5761D86D"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86E" w14:textId="77777777" w:rsidR="00A56EE9" w:rsidRPr="00D26B0C" w:rsidRDefault="00A56EE9" w:rsidP="00BB6AD5">
            <w:pPr>
              <w:pStyle w:val="Tablebulletlist"/>
              <w:jc w:val="center"/>
              <w:rPr>
                <w:rFonts w:ascii="Arial" w:hAnsi="Arial" w:cs="Arial"/>
                <w:color w:val="000000"/>
                <w:sz w:val="16"/>
                <w:szCs w:val="16"/>
              </w:rPr>
            </w:pPr>
            <w:r w:rsidRPr="00D26B0C">
              <w:rPr>
                <w:rFonts w:ascii="Arial" w:hAnsi="Arial" w:cs="Arial"/>
                <w:color w:val="000000"/>
                <w:sz w:val="16"/>
                <w:szCs w:val="16"/>
              </w:rPr>
              <w:t>4</w:t>
            </w:r>
          </w:p>
        </w:tc>
        <w:tc>
          <w:tcPr>
            <w:tcW w:w="219" w:type="pct"/>
            <w:shd w:val="clear" w:color="auto" w:fill="auto"/>
            <w:noWrap/>
          </w:tcPr>
          <w:p w14:paraId="5761D86F" w14:textId="77777777" w:rsidR="00A56EE9" w:rsidRPr="00015E98" w:rsidRDefault="00A56EE9" w:rsidP="00BB6AD5">
            <w:pPr>
              <w:pStyle w:val="Tablebulletlist"/>
              <w:jc w:val="center"/>
              <w:rPr>
                <w:rFonts w:ascii="Arial" w:hAnsi="Arial" w:cs="Arial"/>
                <w:color w:val="000000"/>
                <w:sz w:val="16"/>
                <w:szCs w:val="16"/>
              </w:rPr>
            </w:pPr>
            <w:r w:rsidRPr="00015E98">
              <w:rPr>
                <w:rFonts w:ascii="Arial" w:hAnsi="Arial" w:cs="Arial"/>
                <w:color w:val="000000"/>
                <w:sz w:val="16"/>
                <w:szCs w:val="16"/>
              </w:rPr>
              <w:t>2.5</w:t>
            </w:r>
          </w:p>
        </w:tc>
        <w:tc>
          <w:tcPr>
            <w:tcW w:w="219" w:type="pct"/>
            <w:shd w:val="clear" w:color="auto" w:fill="auto"/>
            <w:noWrap/>
          </w:tcPr>
          <w:p w14:paraId="5761D870" w14:textId="77777777" w:rsidR="00A56EE9" w:rsidRPr="00A01FB6" w:rsidRDefault="00A56EE9" w:rsidP="00BB6AD5">
            <w:pPr>
              <w:pStyle w:val="Tablebulletlist"/>
              <w:jc w:val="center"/>
              <w:rPr>
                <w:rFonts w:ascii="Arial" w:hAnsi="Arial" w:cs="Arial"/>
                <w:color w:val="000000"/>
                <w:sz w:val="16"/>
                <w:szCs w:val="16"/>
              </w:rPr>
            </w:pPr>
            <w:r w:rsidRPr="00A01FB6">
              <w:rPr>
                <w:rFonts w:ascii="Arial" w:hAnsi="Arial" w:cs="Arial"/>
                <w:color w:val="000000"/>
                <w:sz w:val="16"/>
                <w:szCs w:val="16"/>
              </w:rPr>
              <w:t>3</w:t>
            </w:r>
          </w:p>
        </w:tc>
        <w:tc>
          <w:tcPr>
            <w:tcW w:w="219" w:type="pct"/>
          </w:tcPr>
          <w:p w14:paraId="5761D871" w14:textId="77777777" w:rsidR="00A56EE9" w:rsidRPr="00FF6384" w:rsidRDefault="00A56EE9" w:rsidP="00BB6AD5">
            <w:pPr>
              <w:pStyle w:val="Tablebulletlist"/>
              <w:jc w:val="center"/>
              <w:rPr>
                <w:rFonts w:ascii="Arial" w:hAnsi="Arial" w:cs="Arial"/>
                <w:color w:val="000000"/>
                <w:sz w:val="16"/>
                <w:szCs w:val="16"/>
              </w:rPr>
            </w:pPr>
            <w:r w:rsidRPr="00FF6384">
              <w:rPr>
                <w:rFonts w:ascii="Arial" w:hAnsi="Arial" w:cs="Arial"/>
                <w:color w:val="000000"/>
                <w:sz w:val="16"/>
                <w:szCs w:val="16"/>
              </w:rPr>
              <w:t>4</w:t>
            </w:r>
          </w:p>
        </w:tc>
        <w:tc>
          <w:tcPr>
            <w:tcW w:w="219" w:type="pct"/>
          </w:tcPr>
          <w:p w14:paraId="5761D872" w14:textId="77777777" w:rsidR="00A56EE9" w:rsidRPr="00B050B3" w:rsidRDefault="00A56EE9" w:rsidP="00BB6AD5">
            <w:pPr>
              <w:pStyle w:val="Tablebulletlist"/>
              <w:jc w:val="center"/>
              <w:rPr>
                <w:rFonts w:ascii="Arial" w:hAnsi="Arial" w:cs="Arial"/>
                <w:color w:val="000000"/>
                <w:sz w:val="16"/>
                <w:szCs w:val="16"/>
              </w:rPr>
            </w:pPr>
            <w:r w:rsidRPr="00B050B3">
              <w:rPr>
                <w:rFonts w:ascii="Arial" w:hAnsi="Arial" w:cs="Arial"/>
                <w:color w:val="000000"/>
                <w:sz w:val="16"/>
                <w:szCs w:val="16"/>
              </w:rPr>
              <w:t>2</w:t>
            </w:r>
          </w:p>
        </w:tc>
        <w:tc>
          <w:tcPr>
            <w:tcW w:w="219" w:type="pct"/>
          </w:tcPr>
          <w:p w14:paraId="5761D873"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874"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19" w:type="pct"/>
            <w:shd w:val="clear" w:color="auto" w:fill="auto"/>
            <w:noWrap/>
          </w:tcPr>
          <w:p w14:paraId="5761D875"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color w:val="000000"/>
                <w:sz w:val="16"/>
                <w:szCs w:val="16"/>
              </w:rPr>
              <w:t>4</w:t>
            </w:r>
          </w:p>
        </w:tc>
        <w:tc>
          <w:tcPr>
            <w:tcW w:w="263" w:type="pct"/>
            <w:tcBorders>
              <w:top w:val="single" w:sz="4" w:space="0" w:color="auto"/>
            </w:tcBorders>
            <w:shd w:val="clear" w:color="auto" w:fill="auto"/>
            <w:noWrap/>
            <w:vAlign w:val="bottom"/>
          </w:tcPr>
          <w:p w14:paraId="5761D876"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3.27</w:t>
            </w:r>
          </w:p>
        </w:tc>
        <w:tc>
          <w:tcPr>
            <w:tcW w:w="271" w:type="pct"/>
            <w:tcBorders>
              <w:top w:val="single" w:sz="4" w:space="0" w:color="auto"/>
            </w:tcBorders>
            <w:shd w:val="clear" w:color="auto" w:fill="auto"/>
            <w:noWrap/>
            <w:vAlign w:val="bottom"/>
          </w:tcPr>
          <w:p w14:paraId="5761D877"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0.70</w:t>
            </w:r>
          </w:p>
        </w:tc>
      </w:tr>
      <w:tr w:rsidR="00A56EE9" w:rsidRPr="00D96915" w14:paraId="5761D88B" w14:textId="77777777" w:rsidTr="00BB6AD5">
        <w:trPr>
          <w:trHeight w:val="283"/>
        </w:trPr>
        <w:tc>
          <w:tcPr>
            <w:tcW w:w="321" w:type="pct"/>
            <w:shd w:val="clear" w:color="auto" w:fill="BFBFBF" w:themeFill="background1" w:themeFillShade="BF"/>
            <w:noWrap/>
            <w:vAlign w:val="bottom"/>
          </w:tcPr>
          <w:p w14:paraId="5761D879" w14:textId="77777777" w:rsidR="00A56EE9" w:rsidRPr="00D96915" w:rsidRDefault="00A56EE9" w:rsidP="00BB6AD5">
            <w:pPr>
              <w:pStyle w:val="Tablebulletlist"/>
              <w:rPr>
                <w:rStyle w:val="BookTitle"/>
                <w:rFonts w:ascii="Arial" w:hAnsi="Arial"/>
                <w:sz w:val="16"/>
                <w:szCs w:val="16"/>
              </w:rPr>
            </w:pPr>
            <w:r>
              <w:rPr>
                <w:rStyle w:val="BookTitle"/>
                <w:rFonts w:ascii="Arial" w:hAnsi="Arial"/>
                <w:sz w:val="16"/>
                <w:szCs w:val="16"/>
              </w:rPr>
              <w:t>PL</w:t>
            </w:r>
          </w:p>
        </w:tc>
        <w:tc>
          <w:tcPr>
            <w:tcW w:w="1077" w:type="pct"/>
            <w:shd w:val="clear" w:color="auto" w:fill="BFBFBF" w:themeFill="background1" w:themeFillShade="BF"/>
            <w:noWrap/>
            <w:vAlign w:val="bottom"/>
          </w:tcPr>
          <w:p w14:paraId="5761D87A"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Overall grade</w:t>
            </w:r>
          </w:p>
        </w:tc>
        <w:tc>
          <w:tcPr>
            <w:tcW w:w="220" w:type="pct"/>
            <w:tcBorders>
              <w:top w:val="single" w:sz="4" w:space="0" w:color="auto"/>
            </w:tcBorders>
            <w:shd w:val="clear" w:color="auto" w:fill="C5E0B3" w:themeFill="accent6" w:themeFillTint="66"/>
            <w:noWrap/>
            <w:vAlign w:val="center"/>
          </w:tcPr>
          <w:p w14:paraId="5761D87B" w14:textId="77777777" w:rsidR="00A56EE9" w:rsidRPr="00D96915" w:rsidRDefault="00A56EE9" w:rsidP="00BB6AD5">
            <w:pPr>
              <w:pStyle w:val="Symbols"/>
              <w:framePr w:wrap="around"/>
              <w:spacing w:before="120" w:after="120"/>
              <w:jc w:val="center"/>
              <w:rPr>
                <w:rFonts w:ascii="Arial" w:hAnsi="Arial"/>
                <w:sz w:val="16"/>
                <w:szCs w:val="16"/>
              </w:rPr>
            </w:pPr>
          </w:p>
        </w:tc>
        <w:tc>
          <w:tcPr>
            <w:tcW w:w="220" w:type="pct"/>
            <w:tcBorders>
              <w:top w:val="single" w:sz="4" w:space="0" w:color="auto"/>
            </w:tcBorders>
            <w:shd w:val="clear" w:color="auto" w:fill="FFC000" w:themeFill="accent4"/>
            <w:vAlign w:val="center"/>
          </w:tcPr>
          <w:p w14:paraId="5761D87C"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C5E0B3" w:themeFill="accent6" w:themeFillTint="66"/>
            <w:noWrap/>
            <w:vAlign w:val="center"/>
          </w:tcPr>
          <w:p w14:paraId="5761D87D"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C5E0B3" w:themeFill="accent6" w:themeFillTint="66"/>
            <w:vAlign w:val="bottom"/>
          </w:tcPr>
          <w:p w14:paraId="5761D87E"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C5E0B3" w:themeFill="accent6" w:themeFillTint="66"/>
            <w:noWrap/>
            <w:vAlign w:val="center"/>
          </w:tcPr>
          <w:p w14:paraId="5761D87F"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880"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881"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noWrap/>
            <w:vAlign w:val="bottom"/>
          </w:tcPr>
          <w:p w14:paraId="5761D882" w14:textId="77777777" w:rsidR="00A56EE9" w:rsidRPr="00015E98"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883" w14:textId="77777777" w:rsidR="00A56EE9" w:rsidRPr="00A01FB6"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vAlign w:val="bottom"/>
          </w:tcPr>
          <w:p w14:paraId="5761D884" w14:textId="77777777" w:rsidR="00A56EE9" w:rsidRPr="00FF6384"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vAlign w:val="bottom"/>
          </w:tcPr>
          <w:p w14:paraId="5761D885" w14:textId="77777777" w:rsidR="00A56EE9" w:rsidRPr="00B050B3"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vAlign w:val="bottom"/>
          </w:tcPr>
          <w:p w14:paraId="5761D886"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887"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888"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63" w:type="pct"/>
            <w:shd w:val="clear" w:color="auto" w:fill="BFBFBF" w:themeFill="background1" w:themeFillShade="BF"/>
            <w:noWrap/>
            <w:vAlign w:val="center"/>
          </w:tcPr>
          <w:p w14:paraId="5761D889" w14:textId="77777777" w:rsidR="00A56EE9" w:rsidRPr="00BD7840" w:rsidRDefault="00A56EE9" w:rsidP="00BB6AD5">
            <w:pPr>
              <w:jc w:val="center"/>
              <w:rPr>
                <w:color w:val="000000"/>
                <w:sz w:val="16"/>
                <w:szCs w:val="16"/>
              </w:rPr>
            </w:pPr>
          </w:p>
        </w:tc>
        <w:tc>
          <w:tcPr>
            <w:tcW w:w="271" w:type="pct"/>
            <w:shd w:val="clear" w:color="auto" w:fill="BFBFBF" w:themeFill="background1" w:themeFillShade="BF"/>
            <w:noWrap/>
            <w:vAlign w:val="center"/>
          </w:tcPr>
          <w:p w14:paraId="5761D88A" w14:textId="77777777" w:rsidR="00A56EE9" w:rsidRPr="00BD7840" w:rsidRDefault="00A56EE9" w:rsidP="00BB6AD5">
            <w:pPr>
              <w:jc w:val="center"/>
              <w:rPr>
                <w:color w:val="000000"/>
                <w:sz w:val="16"/>
                <w:szCs w:val="16"/>
              </w:rPr>
            </w:pPr>
          </w:p>
        </w:tc>
      </w:tr>
      <w:tr w:rsidR="00A56EE9" w:rsidRPr="00D96915" w14:paraId="5761D89E" w14:textId="77777777" w:rsidTr="00BB6AD5">
        <w:trPr>
          <w:trHeight w:val="283"/>
        </w:trPr>
        <w:tc>
          <w:tcPr>
            <w:tcW w:w="321" w:type="pct"/>
            <w:shd w:val="clear" w:color="auto" w:fill="auto"/>
            <w:noWrap/>
            <w:vAlign w:val="bottom"/>
          </w:tcPr>
          <w:p w14:paraId="5761D88C"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IN1</w:t>
            </w:r>
          </w:p>
        </w:tc>
        <w:tc>
          <w:tcPr>
            <w:tcW w:w="1077" w:type="pct"/>
            <w:shd w:val="clear" w:color="auto" w:fill="auto"/>
            <w:noWrap/>
            <w:vAlign w:val="bottom"/>
          </w:tcPr>
          <w:p w14:paraId="5761D88D"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Adequate finances</w:t>
            </w:r>
          </w:p>
        </w:tc>
        <w:tc>
          <w:tcPr>
            <w:tcW w:w="220" w:type="pct"/>
            <w:shd w:val="clear" w:color="auto" w:fill="auto"/>
            <w:noWrap/>
          </w:tcPr>
          <w:p w14:paraId="5761D88E"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20" w:type="pct"/>
          </w:tcPr>
          <w:p w14:paraId="5761D88F"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2</w:t>
            </w:r>
          </w:p>
        </w:tc>
        <w:tc>
          <w:tcPr>
            <w:tcW w:w="219" w:type="pct"/>
            <w:shd w:val="clear" w:color="auto" w:fill="auto"/>
            <w:noWrap/>
          </w:tcPr>
          <w:p w14:paraId="5761D890"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2</w:t>
            </w:r>
          </w:p>
        </w:tc>
        <w:tc>
          <w:tcPr>
            <w:tcW w:w="219" w:type="pct"/>
          </w:tcPr>
          <w:p w14:paraId="5761D891"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4</w:t>
            </w:r>
          </w:p>
        </w:tc>
        <w:tc>
          <w:tcPr>
            <w:tcW w:w="219" w:type="pct"/>
            <w:shd w:val="clear" w:color="auto" w:fill="auto"/>
            <w:noWrap/>
          </w:tcPr>
          <w:p w14:paraId="5761D892"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93"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94" w14:textId="77777777" w:rsidR="00A56EE9" w:rsidRPr="00D26B0C"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895" w14:textId="77777777" w:rsidR="00A56EE9" w:rsidRPr="00015E98" w:rsidRDefault="00A56EE9" w:rsidP="00BB6AD5">
            <w:pPr>
              <w:pStyle w:val="Tablebulletlist"/>
              <w:jc w:val="center"/>
              <w:rPr>
                <w:rStyle w:val="BookTitle"/>
                <w:rFonts w:ascii="Arial" w:hAnsi="Arial"/>
                <w:sz w:val="16"/>
                <w:szCs w:val="16"/>
              </w:rPr>
            </w:pPr>
            <w:r w:rsidRPr="00015E98">
              <w:t>2.5</w:t>
            </w:r>
          </w:p>
        </w:tc>
        <w:tc>
          <w:tcPr>
            <w:tcW w:w="219" w:type="pct"/>
            <w:shd w:val="clear" w:color="auto" w:fill="auto"/>
            <w:noWrap/>
          </w:tcPr>
          <w:p w14:paraId="5761D896"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4</w:t>
            </w:r>
          </w:p>
        </w:tc>
        <w:tc>
          <w:tcPr>
            <w:tcW w:w="219" w:type="pct"/>
          </w:tcPr>
          <w:p w14:paraId="5761D897" w14:textId="77777777" w:rsidR="00A56EE9" w:rsidRPr="00FF6384" w:rsidRDefault="00A56EE9" w:rsidP="00BB6AD5">
            <w:pPr>
              <w:pStyle w:val="Tablebulletlist"/>
              <w:jc w:val="center"/>
              <w:rPr>
                <w:rStyle w:val="BookTitle"/>
                <w:rFonts w:ascii="Arial" w:hAnsi="Arial"/>
                <w:sz w:val="16"/>
                <w:szCs w:val="16"/>
              </w:rPr>
            </w:pPr>
            <w:r w:rsidRPr="00FF6384">
              <w:t>3</w:t>
            </w:r>
          </w:p>
        </w:tc>
        <w:tc>
          <w:tcPr>
            <w:tcW w:w="219" w:type="pct"/>
          </w:tcPr>
          <w:p w14:paraId="5761D898" w14:textId="77777777" w:rsidR="00A56EE9" w:rsidRPr="00B050B3" w:rsidRDefault="00A56EE9" w:rsidP="00BB6AD5">
            <w:pPr>
              <w:pStyle w:val="Tablebulletlist"/>
              <w:jc w:val="center"/>
              <w:rPr>
                <w:rStyle w:val="BookTitle"/>
                <w:rFonts w:ascii="Arial" w:hAnsi="Arial"/>
                <w:sz w:val="16"/>
                <w:szCs w:val="16"/>
              </w:rPr>
            </w:pPr>
            <w:r w:rsidRPr="00B050B3">
              <w:t>3</w:t>
            </w:r>
          </w:p>
        </w:tc>
        <w:tc>
          <w:tcPr>
            <w:tcW w:w="219" w:type="pct"/>
          </w:tcPr>
          <w:p w14:paraId="5761D899"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89A"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89B" w14:textId="77777777" w:rsidR="00A56EE9" w:rsidRPr="00923180" w:rsidRDefault="00A56EE9" w:rsidP="00BB6AD5">
            <w:pPr>
              <w:pStyle w:val="Tablebulletlist"/>
              <w:jc w:val="center"/>
              <w:rPr>
                <w:rStyle w:val="BookTitle"/>
                <w:rFonts w:ascii="Arial" w:hAnsi="Arial"/>
                <w:sz w:val="16"/>
                <w:szCs w:val="16"/>
              </w:rPr>
            </w:pPr>
            <w:r w:rsidRPr="00923180">
              <w:t>3</w:t>
            </w:r>
          </w:p>
        </w:tc>
        <w:tc>
          <w:tcPr>
            <w:tcW w:w="263" w:type="pct"/>
            <w:shd w:val="clear" w:color="auto" w:fill="auto"/>
            <w:noWrap/>
            <w:vAlign w:val="bottom"/>
          </w:tcPr>
          <w:p w14:paraId="5761D89C"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3.04</w:t>
            </w:r>
          </w:p>
        </w:tc>
        <w:tc>
          <w:tcPr>
            <w:tcW w:w="271" w:type="pct"/>
            <w:shd w:val="clear" w:color="auto" w:fill="auto"/>
            <w:noWrap/>
            <w:vAlign w:val="bottom"/>
          </w:tcPr>
          <w:p w14:paraId="5761D89D"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0.59</w:t>
            </w:r>
          </w:p>
        </w:tc>
      </w:tr>
      <w:tr w:rsidR="00A56EE9" w:rsidRPr="00D96915" w14:paraId="5761D8B1" w14:textId="77777777" w:rsidTr="00BB6AD5">
        <w:trPr>
          <w:trHeight w:val="283"/>
        </w:trPr>
        <w:tc>
          <w:tcPr>
            <w:tcW w:w="321" w:type="pct"/>
            <w:shd w:val="clear" w:color="auto" w:fill="auto"/>
            <w:noWrap/>
            <w:vAlign w:val="bottom"/>
          </w:tcPr>
          <w:p w14:paraId="5761D89F"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IN2</w:t>
            </w:r>
          </w:p>
        </w:tc>
        <w:tc>
          <w:tcPr>
            <w:tcW w:w="1077" w:type="pct"/>
            <w:shd w:val="clear" w:color="auto" w:fill="auto"/>
            <w:noWrap/>
            <w:vAlign w:val="bottom"/>
          </w:tcPr>
          <w:p w14:paraId="5761D8A0"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Adequate staff</w:t>
            </w:r>
          </w:p>
        </w:tc>
        <w:tc>
          <w:tcPr>
            <w:tcW w:w="220" w:type="pct"/>
            <w:shd w:val="clear" w:color="auto" w:fill="auto"/>
            <w:noWrap/>
          </w:tcPr>
          <w:p w14:paraId="5761D8A1"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20" w:type="pct"/>
          </w:tcPr>
          <w:p w14:paraId="5761D8A2"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1</w:t>
            </w:r>
          </w:p>
        </w:tc>
        <w:tc>
          <w:tcPr>
            <w:tcW w:w="219" w:type="pct"/>
            <w:shd w:val="clear" w:color="auto" w:fill="auto"/>
            <w:noWrap/>
          </w:tcPr>
          <w:p w14:paraId="5761D8A3"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2</w:t>
            </w:r>
          </w:p>
        </w:tc>
        <w:tc>
          <w:tcPr>
            <w:tcW w:w="219" w:type="pct"/>
          </w:tcPr>
          <w:p w14:paraId="5761D8A4"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A5" w14:textId="77777777" w:rsidR="00A56EE9" w:rsidRPr="00D26B0C"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8A6"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A7" w14:textId="77777777" w:rsidR="00A56EE9" w:rsidRPr="00D26B0C"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8A8"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2.5</w:t>
            </w:r>
          </w:p>
        </w:tc>
        <w:tc>
          <w:tcPr>
            <w:tcW w:w="219" w:type="pct"/>
            <w:shd w:val="clear" w:color="auto" w:fill="auto"/>
            <w:noWrap/>
          </w:tcPr>
          <w:p w14:paraId="5761D8A9" w14:textId="77777777" w:rsidR="00A56EE9" w:rsidRPr="00A01FB6" w:rsidRDefault="00A56EE9" w:rsidP="00BB6AD5">
            <w:pPr>
              <w:pStyle w:val="Tablebulletlist"/>
              <w:jc w:val="center"/>
              <w:rPr>
                <w:rStyle w:val="BookTitle"/>
                <w:rFonts w:ascii="Arial" w:hAnsi="Arial"/>
                <w:sz w:val="16"/>
                <w:szCs w:val="16"/>
              </w:rPr>
            </w:pPr>
            <w:r w:rsidRPr="00A01FB6">
              <w:t>4</w:t>
            </w:r>
          </w:p>
        </w:tc>
        <w:tc>
          <w:tcPr>
            <w:tcW w:w="219" w:type="pct"/>
          </w:tcPr>
          <w:p w14:paraId="5761D8AA" w14:textId="77777777" w:rsidR="00A56EE9" w:rsidRPr="00FF6384" w:rsidRDefault="00A56EE9" w:rsidP="00BB6AD5">
            <w:pPr>
              <w:pStyle w:val="Tablebulletlist"/>
              <w:jc w:val="center"/>
              <w:rPr>
                <w:rStyle w:val="BookTitle"/>
                <w:rFonts w:ascii="Arial" w:hAnsi="Arial"/>
                <w:sz w:val="16"/>
                <w:szCs w:val="16"/>
              </w:rPr>
            </w:pPr>
            <w:r w:rsidRPr="00FF6384">
              <w:t>3</w:t>
            </w:r>
          </w:p>
        </w:tc>
        <w:tc>
          <w:tcPr>
            <w:tcW w:w="219" w:type="pct"/>
          </w:tcPr>
          <w:p w14:paraId="5761D8AB"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2</w:t>
            </w:r>
          </w:p>
        </w:tc>
        <w:tc>
          <w:tcPr>
            <w:tcW w:w="219" w:type="pct"/>
          </w:tcPr>
          <w:p w14:paraId="5761D8AC"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8AD"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8AE"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8AF"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2.75</w:t>
            </w:r>
          </w:p>
        </w:tc>
        <w:tc>
          <w:tcPr>
            <w:tcW w:w="271" w:type="pct"/>
            <w:shd w:val="clear" w:color="auto" w:fill="auto"/>
            <w:noWrap/>
            <w:vAlign w:val="bottom"/>
          </w:tcPr>
          <w:p w14:paraId="5761D8B0"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0.65</w:t>
            </w:r>
          </w:p>
        </w:tc>
      </w:tr>
      <w:tr w:rsidR="00A56EE9" w:rsidRPr="00D96915" w14:paraId="5761D8C4" w14:textId="77777777" w:rsidTr="00BB6AD5">
        <w:trPr>
          <w:trHeight w:val="283"/>
        </w:trPr>
        <w:tc>
          <w:tcPr>
            <w:tcW w:w="321" w:type="pct"/>
            <w:shd w:val="clear" w:color="auto" w:fill="auto"/>
            <w:noWrap/>
            <w:vAlign w:val="bottom"/>
          </w:tcPr>
          <w:p w14:paraId="5761D8B2"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IN3</w:t>
            </w:r>
          </w:p>
        </w:tc>
        <w:tc>
          <w:tcPr>
            <w:tcW w:w="1077" w:type="pct"/>
            <w:shd w:val="clear" w:color="auto" w:fill="auto"/>
            <w:noWrap/>
            <w:vAlign w:val="bottom"/>
          </w:tcPr>
          <w:p w14:paraId="5761D8B3"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Right skills</w:t>
            </w:r>
          </w:p>
        </w:tc>
        <w:tc>
          <w:tcPr>
            <w:tcW w:w="220" w:type="pct"/>
            <w:shd w:val="clear" w:color="auto" w:fill="auto"/>
            <w:noWrap/>
          </w:tcPr>
          <w:p w14:paraId="5761D8B4"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20" w:type="pct"/>
          </w:tcPr>
          <w:p w14:paraId="5761D8B5"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2</w:t>
            </w:r>
          </w:p>
        </w:tc>
        <w:tc>
          <w:tcPr>
            <w:tcW w:w="219" w:type="pct"/>
            <w:shd w:val="clear" w:color="auto" w:fill="auto"/>
            <w:noWrap/>
          </w:tcPr>
          <w:p w14:paraId="5761D8B6"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2</w:t>
            </w:r>
          </w:p>
        </w:tc>
        <w:tc>
          <w:tcPr>
            <w:tcW w:w="219" w:type="pct"/>
          </w:tcPr>
          <w:p w14:paraId="5761D8B7"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B8" w14:textId="77777777" w:rsidR="00A56EE9" w:rsidRPr="00D26B0C"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8B9"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BA"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BB"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8BC" w14:textId="77777777" w:rsidR="00A56EE9" w:rsidRPr="00A01FB6" w:rsidRDefault="00A56EE9" w:rsidP="00BB6AD5">
            <w:pPr>
              <w:pStyle w:val="Tablebulletlist"/>
              <w:jc w:val="center"/>
              <w:rPr>
                <w:rStyle w:val="BookTitle"/>
                <w:rFonts w:ascii="Arial" w:hAnsi="Arial"/>
                <w:sz w:val="16"/>
                <w:szCs w:val="16"/>
              </w:rPr>
            </w:pPr>
            <w:r w:rsidRPr="00A01FB6">
              <w:t>4</w:t>
            </w:r>
          </w:p>
        </w:tc>
        <w:tc>
          <w:tcPr>
            <w:tcW w:w="219" w:type="pct"/>
          </w:tcPr>
          <w:p w14:paraId="5761D8BD"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8BE"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8BF" w14:textId="77777777" w:rsidR="00A56EE9" w:rsidRPr="00923180" w:rsidRDefault="00A56EE9" w:rsidP="00BB6AD5">
            <w:pPr>
              <w:pStyle w:val="Tablebulletlist"/>
              <w:jc w:val="center"/>
              <w:rPr>
                <w:rStyle w:val="BookTitle"/>
                <w:rFonts w:ascii="Arial" w:hAnsi="Arial"/>
                <w:sz w:val="16"/>
                <w:szCs w:val="16"/>
              </w:rPr>
            </w:pPr>
            <w:r w:rsidRPr="00923180">
              <w:t>4</w:t>
            </w:r>
          </w:p>
        </w:tc>
        <w:tc>
          <w:tcPr>
            <w:tcW w:w="219" w:type="pct"/>
            <w:shd w:val="clear" w:color="auto" w:fill="auto"/>
            <w:noWrap/>
          </w:tcPr>
          <w:p w14:paraId="5761D8C0"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8C1"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8C2"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3.00</w:t>
            </w:r>
          </w:p>
        </w:tc>
        <w:tc>
          <w:tcPr>
            <w:tcW w:w="271" w:type="pct"/>
            <w:shd w:val="clear" w:color="auto" w:fill="auto"/>
            <w:noWrap/>
            <w:vAlign w:val="bottom"/>
          </w:tcPr>
          <w:p w14:paraId="5761D8C3"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0.52</w:t>
            </w:r>
          </w:p>
        </w:tc>
      </w:tr>
      <w:tr w:rsidR="00A56EE9" w:rsidRPr="00D96915" w14:paraId="5761D8D7" w14:textId="77777777" w:rsidTr="00BB6AD5">
        <w:trPr>
          <w:trHeight w:val="283"/>
        </w:trPr>
        <w:tc>
          <w:tcPr>
            <w:tcW w:w="321" w:type="pct"/>
            <w:shd w:val="clear" w:color="auto" w:fill="auto"/>
            <w:noWrap/>
            <w:vAlign w:val="bottom"/>
          </w:tcPr>
          <w:p w14:paraId="5761D8C5"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IN4</w:t>
            </w:r>
          </w:p>
        </w:tc>
        <w:tc>
          <w:tcPr>
            <w:tcW w:w="1077" w:type="pct"/>
            <w:shd w:val="clear" w:color="auto" w:fill="auto"/>
            <w:noWrap/>
            <w:vAlign w:val="bottom"/>
          </w:tcPr>
          <w:p w14:paraId="5761D8C6"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Biophysical information</w:t>
            </w:r>
          </w:p>
        </w:tc>
        <w:tc>
          <w:tcPr>
            <w:tcW w:w="220" w:type="pct"/>
            <w:shd w:val="clear" w:color="auto" w:fill="auto"/>
            <w:noWrap/>
          </w:tcPr>
          <w:p w14:paraId="5761D8C7"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20" w:type="pct"/>
          </w:tcPr>
          <w:p w14:paraId="5761D8C8"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C9"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tcPr>
          <w:p w14:paraId="5761D8CA"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4</w:t>
            </w:r>
          </w:p>
        </w:tc>
        <w:tc>
          <w:tcPr>
            <w:tcW w:w="219" w:type="pct"/>
            <w:shd w:val="clear" w:color="auto" w:fill="auto"/>
            <w:noWrap/>
          </w:tcPr>
          <w:p w14:paraId="5761D8CB"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CC"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CD" w14:textId="77777777" w:rsidR="00A56EE9" w:rsidRPr="00D26B0C"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8CE"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8CF" w14:textId="77777777" w:rsidR="00A56EE9" w:rsidRPr="00A01FB6" w:rsidRDefault="00A56EE9" w:rsidP="00BB6AD5">
            <w:pPr>
              <w:pStyle w:val="Tablebulletlist"/>
              <w:jc w:val="center"/>
              <w:rPr>
                <w:rStyle w:val="BookTitle"/>
                <w:rFonts w:ascii="Arial" w:hAnsi="Arial"/>
                <w:sz w:val="16"/>
                <w:szCs w:val="16"/>
              </w:rPr>
            </w:pPr>
            <w:r w:rsidRPr="00A01FB6">
              <w:t>4</w:t>
            </w:r>
          </w:p>
        </w:tc>
        <w:tc>
          <w:tcPr>
            <w:tcW w:w="219" w:type="pct"/>
          </w:tcPr>
          <w:p w14:paraId="5761D8D0" w14:textId="77777777" w:rsidR="00A56EE9" w:rsidRPr="00FF6384" w:rsidRDefault="00A56EE9" w:rsidP="00BB6AD5">
            <w:pPr>
              <w:pStyle w:val="Tablebulletlist"/>
              <w:jc w:val="center"/>
              <w:rPr>
                <w:rStyle w:val="BookTitle"/>
                <w:rFonts w:ascii="Arial" w:hAnsi="Arial"/>
                <w:sz w:val="16"/>
                <w:szCs w:val="16"/>
              </w:rPr>
            </w:pPr>
            <w:r w:rsidRPr="00FF6384">
              <w:t>3</w:t>
            </w:r>
          </w:p>
        </w:tc>
        <w:tc>
          <w:tcPr>
            <w:tcW w:w="219" w:type="pct"/>
          </w:tcPr>
          <w:p w14:paraId="5761D8D1"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8D2"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8D3"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8D4"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8D5"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3.29</w:t>
            </w:r>
          </w:p>
        </w:tc>
        <w:tc>
          <w:tcPr>
            <w:tcW w:w="271" w:type="pct"/>
            <w:shd w:val="clear" w:color="auto" w:fill="auto"/>
            <w:noWrap/>
            <w:vAlign w:val="bottom"/>
          </w:tcPr>
          <w:p w14:paraId="5761D8D6"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0.44</w:t>
            </w:r>
          </w:p>
        </w:tc>
      </w:tr>
      <w:tr w:rsidR="00A56EE9" w:rsidRPr="00D96915" w14:paraId="5761D8EA" w14:textId="77777777" w:rsidTr="00BB6AD5">
        <w:trPr>
          <w:trHeight w:val="283"/>
        </w:trPr>
        <w:tc>
          <w:tcPr>
            <w:tcW w:w="321" w:type="pct"/>
            <w:shd w:val="clear" w:color="auto" w:fill="auto"/>
            <w:noWrap/>
            <w:vAlign w:val="bottom"/>
          </w:tcPr>
          <w:p w14:paraId="5761D8D8"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IN5</w:t>
            </w:r>
          </w:p>
        </w:tc>
        <w:tc>
          <w:tcPr>
            <w:tcW w:w="1077" w:type="pct"/>
            <w:shd w:val="clear" w:color="auto" w:fill="auto"/>
            <w:noWrap/>
            <w:vAlign w:val="bottom"/>
          </w:tcPr>
          <w:p w14:paraId="5761D8D9"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Socioeconomic information</w:t>
            </w:r>
          </w:p>
        </w:tc>
        <w:tc>
          <w:tcPr>
            <w:tcW w:w="220" w:type="pct"/>
            <w:shd w:val="clear" w:color="auto" w:fill="auto"/>
            <w:noWrap/>
          </w:tcPr>
          <w:p w14:paraId="5761D8DA"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20" w:type="pct"/>
          </w:tcPr>
          <w:p w14:paraId="5761D8DB"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DC"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tcPr>
          <w:p w14:paraId="5761D8DD"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DE"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DF"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E0"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E1"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2</w:t>
            </w:r>
          </w:p>
        </w:tc>
        <w:tc>
          <w:tcPr>
            <w:tcW w:w="219" w:type="pct"/>
            <w:shd w:val="clear" w:color="auto" w:fill="auto"/>
            <w:noWrap/>
          </w:tcPr>
          <w:p w14:paraId="5761D8E2" w14:textId="77777777" w:rsidR="00A56EE9" w:rsidRPr="00A01FB6" w:rsidRDefault="00A56EE9" w:rsidP="00BB6AD5">
            <w:pPr>
              <w:pStyle w:val="Tablebulletlist"/>
              <w:jc w:val="center"/>
              <w:rPr>
                <w:rStyle w:val="BookTitle"/>
                <w:rFonts w:ascii="Arial" w:hAnsi="Arial"/>
                <w:sz w:val="16"/>
                <w:szCs w:val="16"/>
              </w:rPr>
            </w:pPr>
            <w:r w:rsidRPr="00A01FB6">
              <w:t>3</w:t>
            </w:r>
          </w:p>
        </w:tc>
        <w:tc>
          <w:tcPr>
            <w:tcW w:w="219" w:type="pct"/>
          </w:tcPr>
          <w:p w14:paraId="5761D8E3"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4</w:t>
            </w:r>
          </w:p>
        </w:tc>
        <w:tc>
          <w:tcPr>
            <w:tcW w:w="219" w:type="pct"/>
          </w:tcPr>
          <w:p w14:paraId="5761D8E4"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8E5"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8E6"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8E7"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2</w:t>
            </w:r>
          </w:p>
        </w:tc>
        <w:tc>
          <w:tcPr>
            <w:tcW w:w="263" w:type="pct"/>
            <w:shd w:val="clear" w:color="auto" w:fill="auto"/>
            <w:noWrap/>
            <w:vAlign w:val="bottom"/>
          </w:tcPr>
          <w:p w14:paraId="5761D8E8"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3.00</w:t>
            </w:r>
          </w:p>
        </w:tc>
        <w:tc>
          <w:tcPr>
            <w:tcW w:w="271" w:type="pct"/>
            <w:shd w:val="clear" w:color="auto" w:fill="auto"/>
            <w:noWrap/>
            <w:vAlign w:val="bottom"/>
          </w:tcPr>
          <w:p w14:paraId="5761D8E9"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0.52</w:t>
            </w:r>
          </w:p>
        </w:tc>
      </w:tr>
      <w:tr w:rsidR="00A56EE9" w:rsidRPr="00D96915" w14:paraId="5761D8FD" w14:textId="77777777" w:rsidTr="00BB6AD5">
        <w:trPr>
          <w:trHeight w:val="283"/>
        </w:trPr>
        <w:tc>
          <w:tcPr>
            <w:tcW w:w="321" w:type="pct"/>
            <w:shd w:val="clear" w:color="auto" w:fill="auto"/>
            <w:noWrap/>
            <w:vAlign w:val="bottom"/>
          </w:tcPr>
          <w:p w14:paraId="5761D8EB"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IN6</w:t>
            </w:r>
          </w:p>
        </w:tc>
        <w:tc>
          <w:tcPr>
            <w:tcW w:w="1077" w:type="pct"/>
            <w:shd w:val="clear" w:color="auto" w:fill="auto"/>
            <w:noWrap/>
            <w:vAlign w:val="bottom"/>
          </w:tcPr>
          <w:p w14:paraId="5761D8EC"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Indigenous information</w:t>
            </w:r>
          </w:p>
        </w:tc>
        <w:tc>
          <w:tcPr>
            <w:tcW w:w="220" w:type="pct"/>
            <w:shd w:val="clear" w:color="auto" w:fill="auto"/>
            <w:noWrap/>
          </w:tcPr>
          <w:p w14:paraId="5761D8ED"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20" w:type="pct"/>
          </w:tcPr>
          <w:p w14:paraId="5761D8EE"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2</w:t>
            </w:r>
          </w:p>
        </w:tc>
        <w:tc>
          <w:tcPr>
            <w:tcW w:w="219" w:type="pct"/>
            <w:shd w:val="clear" w:color="auto" w:fill="auto"/>
            <w:noWrap/>
          </w:tcPr>
          <w:p w14:paraId="5761D8EF"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2</w:t>
            </w:r>
          </w:p>
        </w:tc>
        <w:tc>
          <w:tcPr>
            <w:tcW w:w="219" w:type="pct"/>
          </w:tcPr>
          <w:p w14:paraId="5761D8F0"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shd w:val="clear" w:color="auto" w:fill="auto"/>
            <w:noWrap/>
          </w:tcPr>
          <w:p w14:paraId="5761D8F1"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2</w:t>
            </w:r>
          </w:p>
        </w:tc>
        <w:tc>
          <w:tcPr>
            <w:tcW w:w="219" w:type="pct"/>
            <w:shd w:val="clear" w:color="auto" w:fill="auto"/>
            <w:noWrap/>
          </w:tcPr>
          <w:p w14:paraId="5761D8F2"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4</w:t>
            </w:r>
          </w:p>
        </w:tc>
        <w:tc>
          <w:tcPr>
            <w:tcW w:w="219" w:type="pct"/>
            <w:shd w:val="clear" w:color="auto" w:fill="auto"/>
            <w:noWrap/>
          </w:tcPr>
          <w:p w14:paraId="5761D8F3"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2</w:t>
            </w:r>
          </w:p>
        </w:tc>
        <w:tc>
          <w:tcPr>
            <w:tcW w:w="219" w:type="pct"/>
            <w:shd w:val="clear" w:color="auto" w:fill="auto"/>
            <w:noWrap/>
          </w:tcPr>
          <w:p w14:paraId="5761D8F4"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2.5</w:t>
            </w:r>
          </w:p>
        </w:tc>
        <w:tc>
          <w:tcPr>
            <w:tcW w:w="219" w:type="pct"/>
            <w:shd w:val="clear" w:color="auto" w:fill="auto"/>
            <w:noWrap/>
          </w:tcPr>
          <w:p w14:paraId="5761D8F5" w14:textId="77777777" w:rsidR="00A56EE9" w:rsidRPr="00A01FB6" w:rsidRDefault="00A56EE9" w:rsidP="00BB6AD5">
            <w:pPr>
              <w:pStyle w:val="Tablebulletlist"/>
              <w:jc w:val="center"/>
              <w:rPr>
                <w:rStyle w:val="BookTitle"/>
                <w:rFonts w:ascii="Arial" w:hAnsi="Arial"/>
                <w:sz w:val="16"/>
                <w:szCs w:val="16"/>
              </w:rPr>
            </w:pPr>
            <w:r w:rsidRPr="00A01FB6">
              <w:rPr>
                <w:rStyle w:val="BookTitle"/>
                <w:rFonts w:ascii="Arial" w:hAnsi="Arial"/>
                <w:sz w:val="16"/>
                <w:szCs w:val="16"/>
              </w:rPr>
              <w:t>3</w:t>
            </w:r>
          </w:p>
        </w:tc>
        <w:tc>
          <w:tcPr>
            <w:tcW w:w="219" w:type="pct"/>
          </w:tcPr>
          <w:p w14:paraId="5761D8F6"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8F7"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2</w:t>
            </w:r>
          </w:p>
        </w:tc>
        <w:tc>
          <w:tcPr>
            <w:tcW w:w="219" w:type="pct"/>
          </w:tcPr>
          <w:p w14:paraId="5761D8F8"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8F9"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8FA"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8FB"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2.65</w:t>
            </w:r>
          </w:p>
        </w:tc>
        <w:tc>
          <w:tcPr>
            <w:tcW w:w="271" w:type="pct"/>
            <w:shd w:val="clear" w:color="auto" w:fill="auto"/>
            <w:noWrap/>
            <w:vAlign w:val="bottom"/>
          </w:tcPr>
          <w:p w14:paraId="5761D8FC"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0.58</w:t>
            </w:r>
          </w:p>
        </w:tc>
      </w:tr>
      <w:tr w:rsidR="00A56EE9" w:rsidRPr="00D96915" w14:paraId="5761D910" w14:textId="77777777" w:rsidTr="00BB6AD5">
        <w:trPr>
          <w:trHeight w:val="283"/>
        </w:trPr>
        <w:tc>
          <w:tcPr>
            <w:tcW w:w="321" w:type="pct"/>
            <w:shd w:val="clear" w:color="auto" w:fill="auto"/>
            <w:noWrap/>
            <w:vAlign w:val="bottom"/>
          </w:tcPr>
          <w:p w14:paraId="5761D8FE"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IN7</w:t>
            </w:r>
          </w:p>
        </w:tc>
        <w:tc>
          <w:tcPr>
            <w:tcW w:w="1077" w:type="pct"/>
            <w:shd w:val="clear" w:color="auto" w:fill="auto"/>
            <w:noWrap/>
            <w:vAlign w:val="bottom"/>
          </w:tcPr>
          <w:p w14:paraId="5761D8FF"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Heritage information</w:t>
            </w:r>
          </w:p>
        </w:tc>
        <w:tc>
          <w:tcPr>
            <w:tcW w:w="220" w:type="pct"/>
            <w:shd w:val="clear" w:color="auto" w:fill="auto"/>
            <w:noWrap/>
          </w:tcPr>
          <w:p w14:paraId="5761D900" w14:textId="77777777" w:rsidR="00A56EE9" w:rsidRPr="00D26B0C" w:rsidRDefault="00A56EE9" w:rsidP="00BB6AD5">
            <w:pPr>
              <w:pStyle w:val="Tablebulletlist"/>
              <w:jc w:val="center"/>
              <w:rPr>
                <w:rStyle w:val="BookTitle"/>
                <w:rFonts w:ascii="Arial" w:hAnsi="Arial"/>
                <w:sz w:val="16"/>
                <w:szCs w:val="16"/>
              </w:rPr>
            </w:pPr>
          </w:p>
        </w:tc>
        <w:tc>
          <w:tcPr>
            <w:tcW w:w="220" w:type="pct"/>
          </w:tcPr>
          <w:p w14:paraId="5761D901"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1</w:t>
            </w:r>
          </w:p>
        </w:tc>
        <w:tc>
          <w:tcPr>
            <w:tcW w:w="219" w:type="pct"/>
            <w:shd w:val="clear" w:color="auto" w:fill="auto"/>
            <w:noWrap/>
          </w:tcPr>
          <w:p w14:paraId="5761D902"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tcPr>
          <w:p w14:paraId="5761D903" w14:textId="77777777" w:rsidR="00A56EE9" w:rsidRPr="00D26B0C"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904"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2</w:t>
            </w:r>
          </w:p>
        </w:tc>
        <w:tc>
          <w:tcPr>
            <w:tcW w:w="219" w:type="pct"/>
            <w:shd w:val="clear" w:color="auto" w:fill="auto"/>
            <w:noWrap/>
          </w:tcPr>
          <w:p w14:paraId="5761D905"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4</w:t>
            </w:r>
          </w:p>
        </w:tc>
        <w:tc>
          <w:tcPr>
            <w:tcW w:w="219" w:type="pct"/>
            <w:shd w:val="clear" w:color="auto" w:fill="auto"/>
            <w:noWrap/>
          </w:tcPr>
          <w:p w14:paraId="5761D906" w14:textId="77777777" w:rsidR="00A56EE9" w:rsidRPr="00D26B0C" w:rsidRDefault="00A56EE9" w:rsidP="00BB6AD5">
            <w:pPr>
              <w:pStyle w:val="Tablebulletlist"/>
              <w:jc w:val="center"/>
              <w:rPr>
                <w:rStyle w:val="BookTitle"/>
                <w:rFonts w:ascii="Arial" w:hAnsi="Arial"/>
                <w:sz w:val="16"/>
                <w:szCs w:val="16"/>
              </w:rPr>
            </w:pPr>
          </w:p>
        </w:tc>
        <w:tc>
          <w:tcPr>
            <w:tcW w:w="219" w:type="pct"/>
            <w:shd w:val="clear" w:color="auto" w:fill="auto"/>
            <w:noWrap/>
          </w:tcPr>
          <w:p w14:paraId="5761D907"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908" w14:textId="77777777" w:rsidR="00A56EE9" w:rsidRPr="00A01FB6" w:rsidRDefault="00A56EE9" w:rsidP="00BB6AD5">
            <w:pPr>
              <w:pStyle w:val="Tablebulletlist"/>
              <w:jc w:val="center"/>
              <w:rPr>
                <w:rStyle w:val="BookTitle"/>
                <w:rFonts w:ascii="Arial" w:hAnsi="Arial"/>
                <w:sz w:val="16"/>
                <w:szCs w:val="16"/>
              </w:rPr>
            </w:pPr>
          </w:p>
        </w:tc>
        <w:tc>
          <w:tcPr>
            <w:tcW w:w="219" w:type="pct"/>
          </w:tcPr>
          <w:p w14:paraId="5761D909"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90A"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2</w:t>
            </w:r>
          </w:p>
        </w:tc>
        <w:tc>
          <w:tcPr>
            <w:tcW w:w="219" w:type="pct"/>
          </w:tcPr>
          <w:p w14:paraId="5761D90B"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90C"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90D" w14:textId="77777777" w:rsidR="00A56EE9" w:rsidRPr="00923180" w:rsidRDefault="00A56EE9" w:rsidP="00BB6AD5">
            <w:pPr>
              <w:pStyle w:val="Tablebulletlist"/>
              <w:jc w:val="center"/>
              <w:rPr>
                <w:rStyle w:val="BookTitle"/>
                <w:rFonts w:ascii="Arial" w:hAnsi="Arial"/>
                <w:sz w:val="16"/>
                <w:szCs w:val="16"/>
              </w:rPr>
            </w:pPr>
          </w:p>
        </w:tc>
        <w:tc>
          <w:tcPr>
            <w:tcW w:w="263" w:type="pct"/>
            <w:tcBorders>
              <w:bottom w:val="single" w:sz="4" w:space="0" w:color="auto"/>
            </w:tcBorders>
            <w:shd w:val="clear" w:color="auto" w:fill="auto"/>
            <w:noWrap/>
            <w:vAlign w:val="bottom"/>
          </w:tcPr>
          <w:p w14:paraId="5761D90E"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2.82</w:t>
            </w:r>
          </w:p>
        </w:tc>
        <w:tc>
          <w:tcPr>
            <w:tcW w:w="271" w:type="pct"/>
            <w:tcBorders>
              <w:bottom w:val="single" w:sz="4" w:space="0" w:color="auto"/>
            </w:tcBorders>
            <w:shd w:val="clear" w:color="auto" w:fill="auto"/>
            <w:noWrap/>
            <w:vAlign w:val="bottom"/>
          </w:tcPr>
          <w:p w14:paraId="5761D90F"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0.80</w:t>
            </w:r>
          </w:p>
        </w:tc>
      </w:tr>
      <w:tr w:rsidR="00A56EE9" w:rsidRPr="00D96915" w14:paraId="5761D923" w14:textId="77777777" w:rsidTr="00BB6AD5">
        <w:trPr>
          <w:trHeight w:val="283"/>
        </w:trPr>
        <w:tc>
          <w:tcPr>
            <w:tcW w:w="321" w:type="pct"/>
            <w:tcBorders>
              <w:bottom w:val="single" w:sz="4" w:space="0" w:color="auto"/>
            </w:tcBorders>
            <w:shd w:val="clear" w:color="auto" w:fill="auto"/>
            <w:noWrap/>
            <w:vAlign w:val="bottom"/>
          </w:tcPr>
          <w:p w14:paraId="5761D911"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IN8</w:t>
            </w:r>
          </w:p>
        </w:tc>
        <w:tc>
          <w:tcPr>
            <w:tcW w:w="1077" w:type="pct"/>
            <w:tcBorders>
              <w:bottom w:val="single" w:sz="4" w:space="0" w:color="auto"/>
            </w:tcBorders>
            <w:shd w:val="clear" w:color="auto" w:fill="auto"/>
            <w:noWrap/>
            <w:vAlign w:val="bottom"/>
          </w:tcPr>
          <w:p w14:paraId="5761D912"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Volunteer inputs</w:t>
            </w:r>
          </w:p>
        </w:tc>
        <w:tc>
          <w:tcPr>
            <w:tcW w:w="220" w:type="pct"/>
            <w:tcBorders>
              <w:bottom w:val="single" w:sz="4" w:space="0" w:color="auto"/>
            </w:tcBorders>
            <w:shd w:val="clear" w:color="auto" w:fill="auto"/>
            <w:noWrap/>
          </w:tcPr>
          <w:p w14:paraId="5761D913"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4</w:t>
            </w:r>
          </w:p>
        </w:tc>
        <w:tc>
          <w:tcPr>
            <w:tcW w:w="220" w:type="pct"/>
            <w:tcBorders>
              <w:bottom w:val="single" w:sz="4" w:space="0" w:color="auto"/>
            </w:tcBorders>
          </w:tcPr>
          <w:p w14:paraId="5761D914"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4</w:t>
            </w:r>
          </w:p>
        </w:tc>
        <w:tc>
          <w:tcPr>
            <w:tcW w:w="219" w:type="pct"/>
            <w:tcBorders>
              <w:bottom w:val="single" w:sz="4" w:space="0" w:color="auto"/>
            </w:tcBorders>
            <w:shd w:val="clear" w:color="auto" w:fill="auto"/>
            <w:noWrap/>
          </w:tcPr>
          <w:p w14:paraId="5761D915"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tcBorders>
              <w:bottom w:val="single" w:sz="4" w:space="0" w:color="auto"/>
            </w:tcBorders>
          </w:tcPr>
          <w:p w14:paraId="5761D916"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4</w:t>
            </w:r>
          </w:p>
        </w:tc>
        <w:tc>
          <w:tcPr>
            <w:tcW w:w="219" w:type="pct"/>
            <w:tcBorders>
              <w:bottom w:val="single" w:sz="4" w:space="0" w:color="auto"/>
            </w:tcBorders>
            <w:shd w:val="clear" w:color="auto" w:fill="auto"/>
            <w:noWrap/>
          </w:tcPr>
          <w:p w14:paraId="5761D917"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tcBorders>
              <w:bottom w:val="single" w:sz="4" w:space="0" w:color="auto"/>
            </w:tcBorders>
            <w:shd w:val="clear" w:color="auto" w:fill="auto"/>
            <w:noWrap/>
          </w:tcPr>
          <w:p w14:paraId="5761D918"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4</w:t>
            </w:r>
          </w:p>
        </w:tc>
        <w:tc>
          <w:tcPr>
            <w:tcW w:w="219" w:type="pct"/>
            <w:tcBorders>
              <w:bottom w:val="single" w:sz="4" w:space="0" w:color="auto"/>
            </w:tcBorders>
            <w:shd w:val="clear" w:color="auto" w:fill="auto"/>
            <w:noWrap/>
          </w:tcPr>
          <w:p w14:paraId="5761D919" w14:textId="77777777" w:rsidR="00A56EE9" w:rsidRPr="00D26B0C" w:rsidRDefault="00A56EE9" w:rsidP="00BB6AD5">
            <w:pPr>
              <w:pStyle w:val="Tablebulletlist"/>
              <w:jc w:val="center"/>
              <w:rPr>
                <w:rStyle w:val="BookTitle"/>
                <w:rFonts w:ascii="Arial" w:hAnsi="Arial"/>
                <w:sz w:val="16"/>
                <w:szCs w:val="16"/>
              </w:rPr>
            </w:pPr>
            <w:r w:rsidRPr="00D26B0C">
              <w:rPr>
                <w:rFonts w:ascii="Arial" w:hAnsi="Arial" w:cs="Arial"/>
                <w:sz w:val="16"/>
                <w:szCs w:val="16"/>
              </w:rPr>
              <w:t>3</w:t>
            </w:r>
          </w:p>
        </w:tc>
        <w:tc>
          <w:tcPr>
            <w:tcW w:w="219" w:type="pct"/>
            <w:tcBorders>
              <w:bottom w:val="single" w:sz="4" w:space="0" w:color="auto"/>
            </w:tcBorders>
            <w:shd w:val="clear" w:color="auto" w:fill="auto"/>
            <w:noWrap/>
          </w:tcPr>
          <w:p w14:paraId="5761D91A"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2.5</w:t>
            </w:r>
          </w:p>
        </w:tc>
        <w:tc>
          <w:tcPr>
            <w:tcW w:w="219" w:type="pct"/>
            <w:tcBorders>
              <w:bottom w:val="single" w:sz="4" w:space="0" w:color="auto"/>
            </w:tcBorders>
            <w:shd w:val="clear" w:color="auto" w:fill="auto"/>
            <w:noWrap/>
          </w:tcPr>
          <w:p w14:paraId="5761D91B"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4</w:t>
            </w:r>
          </w:p>
        </w:tc>
        <w:tc>
          <w:tcPr>
            <w:tcW w:w="219" w:type="pct"/>
            <w:tcBorders>
              <w:bottom w:val="single" w:sz="4" w:space="0" w:color="auto"/>
            </w:tcBorders>
          </w:tcPr>
          <w:p w14:paraId="5761D91C"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Borders>
              <w:bottom w:val="single" w:sz="4" w:space="0" w:color="auto"/>
            </w:tcBorders>
          </w:tcPr>
          <w:p w14:paraId="5761D91D"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4</w:t>
            </w:r>
          </w:p>
        </w:tc>
        <w:tc>
          <w:tcPr>
            <w:tcW w:w="219" w:type="pct"/>
            <w:tcBorders>
              <w:bottom w:val="single" w:sz="4" w:space="0" w:color="auto"/>
            </w:tcBorders>
          </w:tcPr>
          <w:p w14:paraId="5761D91E"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tcBorders>
              <w:bottom w:val="single" w:sz="4" w:space="0" w:color="auto"/>
            </w:tcBorders>
            <w:shd w:val="clear" w:color="auto" w:fill="auto"/>
            <w:noWrap/>
          </w:tcPr>
          <w:p w14:paraId="5761D91F"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tcBorders>
              <w:bottom w:val="single" w:sz="4" w:space="0" w:color="auto"/>
            </w:tcBorders>
            <w:shd w:val="clear" w:color="auto" w:fill="auto"/>
            <w:noWrap/>
          </w:tcPr>
          <w:p w14:paraId="5761D920"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tcBorders>
              <w:top w:val="single" w:sz="4" w:space="0" w:color="auto"/>
              <w:bottom w:val="single" w:sz="4" w:space="0" w:color="auto"/>
            </w:tcBorders>
            <w:shd w:val="clear" w:color="auto" w:fill="auto"/>
            <w:noWrap/>
            <w:vAlign w:val="bottom"/>
          </w:tcPr>
          <w:p w14:paraId="5761D921"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3.47</w:t>
            </w:r>
          </w:p>
        </w:tc>
        <w:tc>
          <w:tcPr>
            <w:tcW w:w="271" w:type="pct"/>
            <w:tcBorders>
              <w:top w:val="single" w:sz="4" w:space="0" w:color="auto"/>
              <w:bottom w:val="single" w:sz="4" w:space="0" w:color="auto"/>
            </w:tcBorders>
            <w:shd w:val="clear" w:color="auto" w:fill="auto"/>
            <w:noWrap/>
            <w:vAlign w:val="bottom"/>
          </w:tcPr>
          <w:p w14:paraId="5761D922"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0.52</w:t>
            </w:r>
          </w:p>
        </w:tc>
      </w:tr>
      <w:tr w:rsidR="00A56EE9" w:rsidRPr="00D96915" w14:paraId="5761D936" w14:textId="77777777" w:rsidTr="00BB6AD5">
        <w:trPr>
          <w:trHeight w:val="283"/>
        </w:trPr>
        <w:tc>
          <w:tcPr>
            <w:tcW w:w="321" w:type="pct"/>
            <w:tcBorders>
              <w:top w:val="single" w:sz="4" w:space="0" w:color="auto"/>
              <w:bottom w:val="single" w:sz="4" w:space="0" w:color="auto"/>
            </w:tcBorders>
            <w:shd w:val="clear" w:color="auto" w:fill="BFBFBF" w:themeFill="background1" w:themeFillShade="BF"/>
            <w:noWrap/>
            <w:vAlign w:val="bottom"/>
          </w:tcPr>
          <w:p w14:paraId="5761D924" w14:textId="77777777" w:rsidR="00A56EE9" w:rsidRPr="00D96915" w:rsidRDefault="00A56EE9" w:rsidP="00BB6AD5">
            <w:pPr>
              <w:pStyle w:val="Tablebulletlist"/>
              <w:rPr>
                <w:rStyle w:val="BookTitle"/>
                <w:rFonts w:ascii="Arial" w:hAnsi="Arial"/>
                <w:sz w:val="16"/>
                <w:szCs w:val="16"/>
              </w:rPr>
            </w:pPr>
            <w:r w:rsidRPr="00D26B0C">
              <w:rPr>
                <w:rStyle w:val="BookTitle"/>
                <w:rFonts w:ascii="Arial" w:hAnsi="Arial"/>
                <w:sz w:val="16"/>
                <w:szCs w:val="16"/>
              </w:rPr>
              <w:t>IN</w:t>
            </w:r>
          </w:p>
        </w:tc>
        <w:tc>
          <w:tcPr>
            <w:tcW w:w="1077" w:type="pct"/>
            <w:tcBorders>
              <w:top w:val="single" w:sz="4" w:space="0" w:color="auto"/>
              <w:bottom w:val="single" w:sz="4" w:space="0" w:color="auto"/>
            </w:tcBorders>
            <w:shd w:val="clear" w:color="auto" w:fill="BFBFBF" w:themeFill="background1" w:themeFillShade="BF"/>
            <w:noWrap/>
            <w:vAlign w:val="bottom"/>
          </w:tcPr>
          <w:p w14:paraId="5761D925"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Overall grade</w:t>
            </w:r>
          </w:p>
        </w:tc>
        <w:tc>
          <w:tcPr>
            <w:tcW w:w="220" w:type="pct"/>
            <w:tcBorders>
              <w:top w:val="single" w:sz="4" w:space="0" w:color="auto"/>
              <w:bottom w:val="single" w:sz="4" w:space="0" w:color="auto"/>
            </w:tcBorders>
            <w:shd w:val="clear" w:color="auto" w:fill="C5E0B3" w:themeFill="accent6" w:themeFillTint="66"/>
            <w:noWrap/>
            <w:vAlign w:val="center"/>
          </w:tcPr>
          <w:p w14:paraId="5761D926" w14:textId="77777777" w:rsidR="00A56EE9" w:rsidRPr="00D96915" w:rsidRDefault="00A56EE9" w:rsidP="00BB6AD5">
            <w:pPr>
              <w:pStyle w:val="Symbols"/>
              <w:framePr w:wrap="around"/>
              <w:spacing w:before="120" w:after="120"/>
              <w:jc w:val="center"/>
              <w:rPr>
                <w:rFonts w:ascii="Arial" w:hAnsi="Arial"/>
                <w:sz w:val="16"/>
                <w:szCs w:val="16"/>
              </w:rPr>
            </w:pPr>
          </w:p>
        </w:tc>
        <w:tc>
          <w:tcPr>
            <w:tcW w:w="220" w:type="pct"/>
            <w:tcBorders>
              <w:top w:val="single" w:sz="4" w:space="0" w:color="auto"/>
              <w:bottom w:val="single" w:sz="4" w:space="0" w:color="auto"/>
            </w:tcBorders>
            <w:shd w:val="clear" w:color="auto" w:fill="FFC000" w:themeFill="accent4"/>
            <w:vAlign w:val="center"/>
          </w:tcPr>
          <w:p w14:paraId="5761D927"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noWrap/>
            <w:vAlign w:val="center"/>
          </w:tcPr>
          <w:p w14:paraId="5761D928"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vAlign w:val="bottom"/>
          </w:tcPr>
          <w:p w14:paraId="5761D929"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noWrap/>
            <w:vAlign w:val="center"/>
          </w:tcPr>
          <w:p w14:paraId="5761D92A"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538135" w:themeFill="accent6" w:themeFillShade="BF"/>
            <w:noWrap/>
            <w:vAlign w:val="center"/>
          </w:tcPr>
          <w:p w14:paraId="5761D92B"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noWrap/>
            <w:vAlign w:val="bottom"/>
          </w:tcPr>
          <w:p w14:paraId="5761D92C"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noWrap/>
            <w:vAlign w:val="bottom"/>
          </w:tcPr>
          <w:p w14:paraId="5761D92D" w14:textId="77777777" w:rsidR="00A56EE9" w:rsidRPr="00015E98"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538135" w:themeFill="accent6" w:themeFillShade="BF"/>
            <w:noWrap/>
            <w:vAlign w:val="bottom"/>
          </w:tcPr>
          <w:p w14:paraId="5761D92E" w14:textId="77777777" w:rsidR="00A56EE9" w:rsidRPr="00A01FB6"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vAlign w:val="bottom"/>
          </w:tcPr>
          <w:p w14:paraId="5761D92F" w14:textId="77777777" w:rsidR="00A56EE9" w:rsidRPr="00FF6384"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vAlign w:val="bottom"/>
          </w:tcPr>
          <w:p w14:paraId="5761D930" w14:textId="77777777" w:rsidR="00A56EE9" w:rsidRPr="00B050B3"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538135" w:themeFill="accent6" w:themeFillShade="BF"/>
            <w:vAlign w:val="bottom"/>
          </w:tcPr>
          <w:p w14:paraId="5761D931"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538135" w:themeFill="accent6" w:themeFillShade="BF"/>
            <w:noWrap/>
            <w:vAlign w:val="bottom"/>
          </w:tcPr>
          <w:p w14:paraId="5761D932"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noWrap/>
            <w:vAlign w:val="bottom"/>
          </w:tcPr>
          <w:p w14:paraId="5761D933"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63" w:type="pct"/>
            <w:tcBorders>
              <w:top w:val="single" w:sz="4" w:space="0" w:color="auto"/>
              <w:bottom w:val="single" w:sz="4" w:space="0" w:color="auto"/>
            </w:tcBorders>
            <w:shd w:val="clear" w:color="auto" w:fill="BFBFBF" w:themeFill="background1" w:themeFillShade="BF"/>
            <w:noWrap/>
            <w:vAlign w:val="center"/>
          </w:tcPr>
          <w:p w14:paraId="5761D934" w14:textId="77777777" w:rsidR="00A56EE9" w:rsidRPr="00BD7840" w:rsidRDefault="00A56EE9" w:rsidP="00BB6AD5">
            <w:pPr>
              <w:jc w:val="center"/>
              <w:rPr>
                <w:color w:val="000000"/>
                <w:sz w:val="16"/>
                <w:szCs w:val="16"/>
              </w:rPr>
            </w:pPr>
          </w:p>
        </w:tc>
        <w:tc>
          <w:tcPr>
            <w:tcW w:w="271" w:type="pct"/>
            <w:tcBorders>
              <w:top w:val="single" w:sz="4" w:space="0" w:color="auto"/>
              <w:bottom w:val="single" w:sz="4" w:space="0" w:color="auto"/>
            </w:tcBorders>
            <w:shd w:val="clear" w:color="auto" w:fill="BFBFBF" w:themeFill="background1" w:themeFillShade="BF"/>
            <w:noWrap/>
            <w:vAlign w:val="center"/>
          </w:tcPr>
          <w:p w14:paraId="5761D935" w14:textId="77777777" w:rsidR="00A56EE9" w:rsidRPr="00BD7840" w:rsidRDefault="00A56EE9" w:rsidP="00BB6AD5">
            <w:pPr>
              <w:jc w:val="center"/>
              <w:rPr>
                <w:color w:val="000000"/>
                <w:sz w:val="16"/>
                <w:szCs w:val="16"/>
              </w:rPr>
            </w:pPr>
          </w:p>
        </w:tc>
      </w:tr>
      <w:tr w:rsidR="00A56EE9" w:rsidRPr="00D96915" w14:paraId="5761D949" w14:textId="77777777" w:rsidTr="00BB6AD5">
        <w:trPr>
          <w:trHeight w:val="283"/>
        </w:trPr>
        <w:tc>
          <w:tcPr>
            <w:tcW w:w="321" w:type="pct"/>
            <w:tcBorders>
              <w:top w:val="nil"/>
            </w:tcBorders>
            <w:shd w:val="clear" w:color="auto" w:fill="auto"/>
            <w:noWrap/>
            <w:vAlign w:val="bottom"/>
          </w:tcPr>
          <w:p w14:paraId="5761D937"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PR1</w:t>
            </w:r>
          </w:p>
        </w:tc>
        <w:tc>
          <w:tcPr>
            <w:tcW w:w="1077" w:type="pct"/>
            <w:tcBorders>
              <w:top w:val="nil"/>
            </w:tcBorders>
            <w:shd w:val="clear" w:color="auto" w:fill="auto"/>
            <w:noWrap/>
            <w:vAlign w:val="bottom"/>
          </w:tcPr>
          <w:p w14:paraId="5761D938"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Stakeholders engaged</w:t>
            </w:r>
          </w:p>
        </w:tc>
        <w:tc>
          <w:tcPr>
            <w:tcW w:w="220" w:type="pct"/>
            <w:tcBorders>
              <w:top w:val="nil"/>
            </w:tcBorders>
            <w:shd w:val="clear" w:color="auto" w:fill="auto"/>
            <w:noWrap/>
          </w:tcPr>
          <w:p w14:paraId="5761D939"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20" w:type="pct"/>
            <w:tcBorders>
              <w:top w:val="nil"/>
            </w:tcBorders>
          </w:tcPr>
          <w:p w14:paraId="5761D93A"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top w:val="nil"/>
            </w:tcBorders>
            <w:shd w:val="clear" w:color="auto" w:fill="auto"/>
            <w:noWrap/>
          </w:tcPr>
          <w:p w14:paraId="5761D93B"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top w:val="nil"/>
            </w:tcBorders>
          </w:tcPr>
          <w:p w14:paraId="5761D93C"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tcBorders>
              <w:top w:val="nil"/>
            </w:tcBorders>
            <w:shd w:val="clear" w:color="auto" w:fill="auto"/>
            <w:noWrap/>
          </w:tcPr>
          <w:p w14:paraId="5761D93D"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tcBorders>
              <w:top w:val="nil"/>
            </w:tcBorders>
            <w:shd w:val="clear" w:color="auto" w:fill="auto"/>
            <w:noWrap/>
          </w:tcPr>
          <w:p w14:paraId="5761D93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tcBorders>
              <w:top w:val="nil"/>
            </w:tcBorders>
            <w:shd w:val="clear" w:color="auto" w:fill="auto"/>
            <w:noWrap/>
          </w:tcPr>
          <w:p w14:paraId="5761D93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top w:val="nil"/>
            </w:tcBorders>
            <w:shd w:val="clear" w:color="auto" w:fill="auto"/>
            <w:noWrap/>
          </w:tcPr>
          <w:p w14:paraId="5761D940"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tcBorders>
              <w:top w:val="nil"/>
            </w:tcBorders>
            <w:shd w:val="clear" w:color="auto" w:fill="auto"/>
            <w:noWrap/>
          </w:tcPr>
          <w:p w14:paraId="5761D941"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4</w:t>
            </w:r>
          </w:p>
        </w:tc>
        <w:tc>
          <w:tcPr>
            <w:tcW w:w="219" w:type="pct"/>
            <w:tcBorders>
              <w:top w:val="nil"/>
            </w:tcBorders>
          </w:tcPr>
          <w:p w14:paraId="5761D942" w14:textId="77777777" w:rsidR="00A56EE9" w:rsidRPr="00FF6384" w:rsidRDefault="00A56EE9" w:rsidP="00BB6AD5">
            <w:pPr>
              <w:pStyle w:val="Tablebulletlist"/>
              <w:jc w:val="center"/>
              <w:rPr>
                <w:rStyle w:val="BookTitle"/>
                <w:rFonts w:ascii="Arial" w:hAnsi="Arial"/>
                <w:sz w:val="16"/>
                <w:szCs w:val="16"/>
              </w:rPr>
            </w:pPr>
            <w:r w:rsidRPr="00FF6384">
              <w:t>4</w:t>
            </w:r>
          </w:p>
        </w:tc>
        <w:tc>
          <w:tcPr>
            <w:tcW w:w="219" w:type="pct"/>
            <w:tcBorders>
              <w:top w:val="nil"/>
            </w:tcBorders>
          </w:tcPr>
          <w:p w14:paraId="5761D943"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Borders>
              <w:top w:val="nil"/>
            </w:tcBorders>
          </w:tcPr>
          <w:p w14:paraId="5761D944"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tcBorders>
              <w:top w:val="nil"/>
            </w:tcBorders>
            <w:shd w:val="clear" w:color="auto" w:fill="auto"/>
            <w:noWrap/>
          </w:tcPr>
          <w:p w14:paraId="5761D945"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tcBorders>
              <w:top w:val="nil"/>
            </w:tcBorders>
            <w:shd w:val="clear" w:color="auto" w:fill="auto"/>
            <w:noWrap/>
          </w:tcPr>
          <w:p w14:paraId="5761D946"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tcBorders>
              <w:top w:val="nil"/>
            </w:tcBorders>
            <w:shd w:val="clear" w:color="auto" w:fill="auto"/>
            <w:noWrap/>
            <w:vAlign w:val="bottom"/>
          </w:tcPr>
          <w:p w14:paraId="5761D947"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3.64</w:t>
            </w:r>
          </w:p>
        </w:tc>
        <w:tc>
          <w:tcPr>
            <w:tcW w:w="271" w:type="pct"/>
            <w:tcBorders>
              <w:top w:val="nil"/>
            </w:tcBorders>
            <w:shd w:val="clear" w:color="auto" w:fill="auto"/>
            <w:noWrap/>
            <w:vAlign w:val="bottom"/>
          </w:tcPr>
          <w:p w14:paraId="5761D948" w14:textId="77777777" w:rsidR="00A56EE9" w:rsidRPr="00BD7840" w:rsidRDefault="00A56EE9" w:rsidP="00BB6AD5">
            <w:pPr>
              <w:jc w:val="center"/>
              <w:rPr>
                <w:color w:val="000000"/>
                <w:sz w:val="16"/>
                <w:szCs w:val="16"/>
              </w:rPr>
            </w:pPr>
            <w:r w:rsidRPr="00BD7840">
              <w:rPr>
                <w:rFonts w:ascii="Calibri" w:hAnsi="Calibri" w:cs="Calibri"/>
                <w:color w:val="000000"/>
                <w:sz w:val="16"/>
                <w:szCs w:val="16"/>
              </w:rPr>
              <w:t>0.46</w:t>
            </w:r>
          </w:p>
        </w:tc>
      </w:tr>
      <w:tr w:rsidR="00A56EE9" w:rsidRPr="00D96915" w14:paraId="5761D95C" w14:textId="77777777" w:rsidTr="00BB6AD5">
        <w:trPr>
          <w:trHeight w:val="283"/>
        </w:trPr>
        <w:tc>
          <w:tcPr>
            <w:tcW w:w="321" w:type="pct"/>
            <w:shd w:val="clear" w:color="auto" w:fill="auto"/>
            <w:noWrap/>
            <w:vAlign w:val="bottom"/>
          </w:tcPr>
          <w:p w14:paraId="5761D94A"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PR2</w:t>
            </w:r>
          </w:p>
        </w:tc>
        <w:tc>
          <w:tcPr>
            <w:tcW w:w="1077" w:type="pct"/>
            <w:shd w:val="clear" w:color="auto" w:fill="auto"/>
            <w:noWrap/>
            <w:vAlign w:val="bottom"/>
          </w:tcPr>
          <w:p w14:paraId="5761D94B"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Local community engaged</w:t>
            </w:r>
          </w:p>
        </w:tc>
        <w:tc>
          <w:tcPr>
            <w:tcW w:w="220" w:type="pct"/>
            <w:shd w:val="clear" w:color="auto" w:fill="auto"/>
            <w:noWrap/>
          </w:tcPr>
          <w:p w14:paraId="5761D94C"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20" w:type="pct"/>
          </w:tcPr>
          <w:p w14:paraId="5761D94D"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94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94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5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5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52" w14:textId="77777777" w:rsidR="00A56EE9" w:rsidRPr="00A61ACA"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953"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2.5</w:t>
            </w:r>
          </w:p>
        </w:tc>
        <w:tc>
          <w:tcPr>
            <w:tcW w:w="219" w:type="pct"/>
            <w:shd w:val="clear" w:color="auto" w:fill="auto"/>
            <w:noWrap/>
          </w:tcPr>
          <w:p w14:paraId="5761D954"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4</w:t>
            </w:r>
          </w:p>
        </w:tc>
        <w:tc>
          <w:tcPr>
            <w:tcW w:w="219" w:type="pct"/>
          </w:tcPr>
          <w:p w14:paraId="5761D955" w14:textId="77777777" w:rsidR="00A56EE9" w:rsidRPr="00FF6384" w:rsidRDefault="00A56EE9" w:rsidP="00BB6AD5">
            <w:pPr>
              <w:pStyle w:val="Tablebulletlist"/>
              <w:jc w:val="center"/>
              <w:rPr>
                <w:rStyle w:val="BookTitle"/>
                <w:rFonts w:ascii="Arial" w:hAnsi="Arial"/>
                <w:sz w:val="16"/>
                <w:szCs w:val="16"/>
              </w:rPr>
            </w:pPr>
            <w:r w:rsidRPr="00FF6384">
              <w:t>4</w:t>
            </w:r>
          </w:p>
        </w:tc>
        <w:tc>
          <w:tcPr>
            <w:tcW w:w="219" w:type="pct"/>
          </w:tcPr>
          <w:p w14:paraId="5761D956"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957"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958"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959"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shd w:val="clear" w:color="auto" w:fill="auto"/>
            <w:noWrap/>
            <w:vAlign w:val="bottom"/>
          </w:tcPr>
          <w:p w14:paraId="5761D95A"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3.39</w:t>
            </w:r>
          </w:p>
        </w:tc>
        <w:tc>
          <w:tcPr>
            <w:tcW w:w="271" w:type="pct"/>
            <w:shd w:val="clear" w:color="auto" w:fill="auto"/>
            <w:noWrap/>
            <w:vAlign w:val="bottom"/>
          </w:tcPr>
          <w:p w14:paraId="5761D95B"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0.64</w:t>
            </w:r>
          </w:p>
        </w:tc>
      </w:tr>
      <w:tr w:rsidR="00A56EE9" w:rsidRPr="00D96915" w14:paraId="5761D96F" w14:textId="77777777" w:rsidTr="00BB6AD5">
        <w:trPr>
          <w:trHeight w:val="283"/>
        </w:trPr>
        <w:tc>
          <w:tcPr>
            <w:tcW w:w="321" w:type="pct"/>
            <w:shd w:val="clear" w:color="auto" w:fill="auto"/>
            <w:noWrap/>
            <w:vAlign w:val="bottom"/>
          </w:tcPr>
          <w:p w14:paraId="5761D95D"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PR3</w:t>
            </w:r>
          </w:p>
        </w:tc>
        <w:tc>
          <w:tcPr>
            <w:tcW w:w="1077" w:type="pct"/>
            <w:shd w:val="clear" w:color="auto" w:fill="auto"/>
            <w:noWrap/>
            <w:vAlign w:val="bottom"/>
          </w:tcPr>
          <w:p w14:paraId="5761D95E"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Sound governance</w:t>
            </w:r>
          </w:p>
        </w:tc>
        <w:tc>
          <w:tcPr>
            <w:tcW w:w="220" w:type="pct"/>
            <w:shd w:val="clear" w:color="auto" w:fill="auto"/>
            <w:noWrap/>
          </w:tcPr>
          <w:p w14:paraId="5761D95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Pr>
          <w:p w14:paraId="5761D960" w14:textId="77777777" w:rsidR="00A56EE9" w:rsidRPr="00A61ACA" w:rsidRDefault="00A56EE9" w:rsidP="00BB6AD5">
            <w:pPr>
              <w:pStyle w:val="Tablebulletlist"/>
              <w:jc w:val="center"/>
              <w:rPr>
                <w:rStyle w:val="BookTitle"/>
                <w:rFonts w:ascii="Arial" w:hAnsi="Arial"/>
                <w:sz w:val="16"/>
                <w:szCs w:val="16"/>
              </w:rPr>
            </w:pPr>
            <w:r>
              <w:t>2</w:t>
            </w:r>
          </w:p>
        </w:tc>
        <w:tc>
          <w:tcPr>
            <w:tcW w:w="219" w:type="pct"/>
            <w:shd w:val="clear" w:color="auto" w:fill="auto"/>
            <w:noWrap/>
          </w:tcPr>
          <w:p w14:paraId="5761D96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96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63"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64"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65" w14:textId="77777777" w:rsidR="00A56EE9" w:rsidRPr="00A61ACA" w:rsidRDefault="00A56EE9" w:rsidP="00BB6AD5">
            <w:pPr>
              <w:pStyle w:val="Tablebulletlist"/>
              <w:jc w:val="center"/>
              <w:rPr>
                <w:rStyle w:val="BookTitle"/>
                <w:rFonts w:ascii="Arial" w:hAnsi="Arial"/>
                <w:sz w:val="16"/>
                <w:szCs w:val="16"/>
              </w:rPr>
            </w:pPr>
            <w:r>
              <w:t>4</w:t>
            </w:r>
          </w:p>
        </w:tc>
        <w:tc>
          <w:tcPr>
            <w:tcW w:w="219" w:type="pct"/>
            <w:shd w:val="clear" w:color="auto" w:fill="auto"/>
            <w:noWrap/>
          </w:tcPr>
          <w:p w14:paraId="5761D966"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967"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4</w:t>
            </w:r>
          </w:p>
        </w:tc>
        <w:tc>
          <w:tcPr>
            <w:tcW w:w="219" w:type="pct"/>
          </w:tcPr>
          <w:p w14:paraId="5761D968" w14:textId="77777777" w:rsidR="00A56EE9" w:rsidRPr="00FF6384" w:rsidRDefault="00A56EE9" w:rsidP="00BB6AD5">
            <w:pPr>
              <w:pStyle w:val="Tablebulletlist"/>
              <w:jc w:val="center"/>
              <w:rPr>
                <w:rStyle w:val="BookTitle"/>
                <w:rFonts w:ascii="Arial" w:hAnsi="Arial"/>
                <w:sz w:val="16"/>
                <w:szCs w:val="16"/>
              </w:rPr>
            </w:pPr>
            <w:r w:rsidRPr="00FF6384">
              <w:t>4</w:t>
            </w:r>
          </w:p>
        </w:tc>
        <w:tc>
          <w:tcPr>
            <w:tcW w:w="219" w:type="pct"/>
          </w:tcPr>
          <w:p w14:paraId="5761D969"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4</w:t>
            </w:r>
          </w:p>
        </w:tc>
        <w:tc>
          <w:tcPr>
            <w:tcW w:w="219" w:type="pct"/>
          </w:tcPr>
          <w:p w14:paraId="5761D96A"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96B"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96C"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96D"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3.64</w:t>
            </w:r>
          </w:p>
        </w:tc>
        <w:tc>
          <w:tcPr>
            <w:tcW w:w="271" w:type="pct"/>
            <w:shd w:val="clear" w:color="auto" w:fill="auto"/>
            <w:noWrap/>
            <w:vAlign w:val="bottom"/>
          </w:tcPr>
          <w:p w14:paraId="5761D96E"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0.59</w:t>
            </w:r>
          </w:p>
        </w:tc>
      </w:tr>
      <w:tr w:rsidR="00A56EE9" w:rsidRPr="00D96915" w14:paraId="5761D982" w14:textId="77777777" w:rsidTr="00BB6AD5">
        <w:trPr>
          <w:trHeight w:val="283"/>
        </w:trPr>
        <w:tc>
          <w:tcPr>
            <w:tcW w:w="321" w:type="pct"/>
            <w:shd w:val="clear" w:color="auto" w:fill="auto"/>
            <w:noWrap/>
            <w:vAlign w:val="bottom"/>
          </w:tcPr>
          <w:p w14:paraId="5761D970"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PR4</w:t>
            </w:r>
          </w:p>
        </w:tc>
        <w:tc>
          <w:tcPr>
            <w:tcW w:w="1077" w:type="pct"/>
            <w:shd w:val="clear" w:color="auto" w:fill="auto"/>
            <w:noWrap/>
            <w:vAlign w:val="bottom"/>
          </w:tcPr>
          <w:p w14:paraId="5761D971"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Performance monitoring</w:t>
            </w:r>
          </w:p>
        </w:tc>
        <w:tc>
          <w:tcPr>
            <w:tcW w:w="220" w:type="pct"/>
            <w:shd w:val="clear" w:color="auto" w:fill="auto"/>
            <w:noWrap/>
          </w:tcPr>
          <w:p w14:paraId="5761D97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20" w:type="pct"/>
          </w:tcPr>
          <w:p w14:paraId="5761D973"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974"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975"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76"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77"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78" w14:textId="77777777" w:rsidR="00A56EE9" w:rsidRPr="00A61ACA" w:rsidRDefault="00A56EE9" w:rsidP="00BB6AD5">
            <w:pPr>
              <w:pStyle w:val="Tablebulletlist"/>
              <w:jc w:val="center"/>
              <w:rPr>
                <w:rStyle w:val="BookTitle"/>
                <w:rFonts w:ascii="Arial" w:hAnsi="Arial"/>
                <w:sz w:val="16"/>
                <w:szCs w:val="16"/>
              </w:rPr>
            </w:pPr>
            <w:r>
              <w:t>4</w:t>
            </w:r>
          </w:p>
        </w:tc>
        <w:tc>
          <w:tcPr>
            <w:tcW w:w="219" w:type="pct"/>
            <w:shd w:val="clear" w:color="auto" w:fill="auto"/>
            <w:noWrap/>
          </w:tcPr>
          <w:p w14:paraId="5761D979" w14:textId="77777777" w:rsidR="00A56EE9" w:rsidRPr="00015E98" w:rsidRDefault="00A56EE9" w:rsidP="00BB6AD5">
            <w:pPr>
              <w:pStyle w:val="Tablebulletlist"/>
              <w:jc w:val="center"/>
              <w:rPr>
                <w:rStyle w:val="BookTitle"/>
                <w:rFonts w:ascii="Arial" w:hAnsi="Arial"/>
                <w:sz w:val="16"/>
                <w:szCs w:val="16"/>
              </w:rPr>
            </w:pPr>
            <w:r w:rsidRPr="00015E98">
              <w:t>3</w:t>
            </w:r>
          </w:p>
        </w:tc>
        <w:tc>
          <w:tcPr>
            <w:tcW w:w="219" w:type="pct"/>
            <w:shd w:val="clear" w:color="auto" w:fill="auto"/>
            <w:noWrap/>
          </w:tcPr>
          <w:p w14:paraId="5761D97A" w14:textId="77777777" w:rsidR="00A56EE9" w:rsidRPr="00A01FB6" w:rsidRDefault="00A56EE9" w:rsidP="00BB6AD5">
            <w:pPr>
              <w:pStyle w:val="Tablebulletlist"/>
              <w:jc w:val="center"/>
              <w:rPr>
                <w:rStyle w:val="BookTitle"/>
                <w:rFonts w:ascii="Arial" w:hAnsi="Arial"/>
                <w:sz w:val="16"/>
                <w:szCs w:val="16"/>
              </w:rPr>
            </w:pPr>
            <w:r w:rsidRPr="00A01FB6">
              <w:t>4</w:t>
            </w:r>
          </w:p>
        </w:tc>
        <w:tc>
          <w:tcPr>
            <w:tcW w:w="219" w:type="pct"/>
          </w:tcPr>
          <w:p w14:paraId="5761D97B" w14:textId="77777777" w:rsidR="00A56EE9" w:rsidRPr="00FF6384" w:rsidRDefault="00A56EE9" w:rsidP="00BB6AD5">
            <w:pPr>
              <w:pStyle w:val="Tablebulletlist"/>
              <w:jc w:val="center"/>
              <w:rPr>
                <w:rStyle w:val="BookTitle"/>
                <w:rFonts w:ascii="Arial" w:hAnsi="Arial"/>
                <w:sz w:val="16"/>
                <w:szCs w:val="16"/>
              </w:rPr>
            </w:pPr>
            <w:r w:rsidRPr="00FF6384">
              <w:t>3</w:t>
            </w:r>
          </w:p>
        </w:tc>
        <w:tc>
          <w:tcPr>
            <w:tcW w:w="219" w:type="pct"/>
          </w:tcPr>
          <w:p w14:paraId="5761D97C"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2</w:t>
            </w:r>
          </w:p>
        </w:tc>
        <w:tc>
          <w:tcPr>
            <w:tcW w:w="219" w:type="pct"/>
          </w:tcPr>
          <w:p w14:paraId="5761D97D"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97E"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97F"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980"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3.00</w:t>
            </w:r>
          </w:p>
        </w:tc>
        <w:tc>
          <w:tcPr>
            <w:tcW w:w="271" w:type="pct"/>
            <w:shd w:val="clear" w:color="auto" w:fill="auto"/>
            <w:noWrap/>
            <w:vAlign w:val="bottom"/>
          </w:tcPr>
          <w:p w14:paraId="5761D981"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0.52</w:t>
            </w:r>
          </w:p>
        </w:tc>
      </w:tr>
      <w:tr w:rsidR="00A56EE9" w:rsidRPr="00D96915" w14:paraId="5761D995" w14:textId="77777777" w:rsidTr="00BB6AD5">
        <w:trPr>
          <w:trHeight w:val="283"/>
        </w:trPr>
        <w:tc>
          <w:tcPr>
            <w:tcW w:w="321" w:type="pct"/>
            <w:shd w:val="clear" w:color="auto" w:fill="auto"/>
            <w:noWrap/>
            <w:vAlign w:val="bottom"/>
          </w:tcPr>
          <w:p w14:paraId="5761D983"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PR5</w:t>
            </w:r>
          </w:p>
        </w:tc>
        <w:tc>
          <w:tcPr>
            <w:tcW w:w="1077" w:type="pct"/>
            <w:shd w:val="clear" w:color="auto" w:fill="auto"/>
            <w:noWrap/>
            <w:vAlign w:val="bottom"/>
          </w:tcPr>
          <w:p w14:paraId="5761D984"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Training</w:t>
            </w:r>
          </w:p>
        </w:tc>
        <w:tc>
          <w:tcPr>
            <w:tcW w:w="220" w:type="pct"/>
            <w:shd w:val="clear" w:color="auto" w:fill="auto"/>
            <w:noWrap/>
          </w:tcPr>
          <w:p w14:paraId="5761D985"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Pr>
          <w:p w14:paraId="5761D986"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987" w14:textId="77777777" w:rsidR="00A56EE9" w:rsidRPr="00A61ACA" w:rsidRDefault="00A56EE9" w:rsidP="00BB6AD5">
            <w:pPr>
              <w:pStyle w:val="Tablebulletlist"/>
              <w:jc w:val="center"/>
              <w:rPr>
                <w:rStyle w:val="BookTitle"/>
                <w:rFonts w:ascii="Arial" w:hAnsi="Arial"/>
                <w:sz w:val="16"/>
                <w:szCs w:val="16"/>
              </w:rPr>
            </w:pPr>
            <w:r>
              <w:t>3</w:t>
            </w:r>
          </w:p>
        </w:tc>
        <w:tc>
          <w:tcPr>
            <w:tcW w:w="219" w:type="pct"/>
          </w:tcPr>
          <w:p w14:paraId="5761D988"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89"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8A"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8B" w14:textId="77777777" w:rsidR="00A56EE9" w:rsidRPr="00A61ACA"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98C"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2.5</w:t>
            </w:r>
          </w:p>
        </w:tc>
        <w:tc>
          <w:tcPr>
            <w:tcW w:w="219" w:type="pct"/>
            <w:shd w:val="clear" w:color="auto" w:fill="auto"/>
            <w:noWrap/>
          </w:tcPr>
          <w:p w14:paraId="5761D98D" w14:textId="77777777" w:rsidR="00A56EE9" w:rsidRPr="00A01FB6" w:rsidRDefault="00A56EE9" w:rsidP="00BB6AD5">
            <w:pPr>
              <w:pStyle w:val="Tablebulletlist"/>
              <w:jc w:val="center"/>
              <w:rPr>
                <w:rStyle w:val="BookTitle"/>
                <w:rFonts w:ascii="Arial" w:hAnsi="Arial"/>
                <w:sz w:val="16"/>
                <w:szCs w:val="16"/>
              </w:rPr>
            </w:pPr>
            <w:r w:rsidRPr="00A01FB6">
              <w:t>4</w:t>
            </w:r>
          </w:p>
        </w:tc>
        <w:tc>
          <w:tcPr>
            <w:tcW w:w="219" w:type="pct"/>
          </w:tcPr>
          <w:p w14:paraId="5761D98E"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98F" w14:textId="77777777" w:rsidR="00A56EE9" w:rsidRPr="00B050B3" w:rsidRDefault="00A56EE9" w:rsidP="00BB6AD5">
            <w:pPr>
              <w:pStyle w:val="Tablebulletlist"/>
              <w:jc w:val="center"/>
              <w:rPr>
                <w:rStyle w:val="BookTitle"/>
                <w:rFonts w:ascii="Arial" w:hAnsi="Arial"/>
                <w:sz w:val="16"/>
                <w:szCs w:val="16"/>
              </w:rPr>
            </w:pPr>
            <w:r w:rsidRPr="00B050B3">
              <w:t>2</w:t>
            </w:r>
          </w:p>
        </w:tc>
        <w:tc>
          <w:tcPr>
            <w:tcW w:w="219" w:type="pct"/>
          </w:tcPr>
          <w:p w14:paraId="5761D990"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991"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992"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993"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2.96</w:t>
            </w:r>
          </w:p>
        </w:tc>
        <w:tc>
          <w:tcPr>
            <w:tcW w:w="271" w:type="pct"/>
            <w:shd w:val="clear" w:color="auto" w:fill="auto"/>
            <w:noWrap/>
            <w:vAlign w:val="bottom"/>
          </w:tcPr>
          <w:p w14:paraId="5761D994"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0.53</w:t>
            </w:r>
          </w:p>
        </w:tc>
      </w:tr>
      <w:tr w:rsidR="00A56EE9" w:rsidRPr="00D96915" w14:paraId="5761D9A8" w14:textId="77777777" w:rsidTr="00BB6AD5">
        <w:trPr>
          <w:trHeight w:val="283"/>
        </w:trPr>
        <w:tc>
          <w:tcPr>
            <w:tcW w:w="321" w:type="pct"/>
            <w:shd w:val="clear" w:color="auto" w:fill="auto"/>
            <w:noWrap/>
            <w:vAlign w:val="bottom"/>
          </w:tcPr>
          <w:p w14:paraId="5761D996"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PR6</w:t>
            </w:r>
          </w:p>
        </w:tc>
        <w:tc>
          <w:tcPr>
            <w:tcW w:w="1077" w:type="pct"/>
            <w:shd w:val="clear" w:color="auto" w:fill="auto"/>
            <w:noWrap/>
            <w:vAlign w:val="bottom"/>
          </w:tcPr>
          <w:p w14:paraId="5761D997"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Consistent implementation</w:t>
            </w:r>
          </w:p>
        </w:tc>
        <w:tc>
          <w:tcPr>
            <w:tcW w:w="220" w:type="pct"/>
            <w:shd w:val="clear" w:color="auto" w:fill="auto"/>
            <w:noWrap/>
          </w:tcPr>
          <w:p w14:paraId="5761D998"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Pr>
          <w:p w14:paraId="5761D999"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99A"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99B"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9C"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9D"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9E" w14:textId="77777777" w:rsidR="00A56EE9" w:rsidRPr="00A61ACA"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99F"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9A0"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4</w:t>
            </w:r>
          </w:p>
        </w:tc>
        <w:tc>
          <w:tcPr>
            <w:tcW w:w="219" w:type="pct"/>
          </w:tcPr>
          <w:p w14:paraId="5761D9A1"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9A2"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4</w:t>
            </w:r>
          </w:p>
        </w:tc>
        <w:tc>
          <w:tcPr>
            <w:tcW w:w="219" w:type="pct"/>
          </w:tcPr>
          <w:p w14:paraId="5761D9A3"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9A4"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9A5"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shd w:val="clear" w:color="auto" w:fill="auto"/>
            <w:noWrap/>
            <w:vAlign w:val="bottom"/>
          </w:tcPr>
          <w:p w14:paraId="5761D9A6"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3.36</w:t>
            </w:r>
          </w:p>
        </w:tc>
        <w:tc>
          <w:tcPr>
            <w:tcW w:w="271" w:type="pct"/>
            <w:shd w:val="clear" w:color="auto" w:fill="auto"/>
            <w:noWrap/>
            <w:vAlign w:val="bottom"/>
          </w:tcPr>
          <w:p w14:paraId="5761D9A7"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0.59</w:t>
            </w:r>
          </w:p>
        </w:tc>
      </w:tr>
      <w:tr w:rsidR="00A56EE9" w:rsidRPr="00D96915" w14:paraId="5761D9BB" w14:textId="77777777" w:rsidTr="00BB6AD5">
        <w:trPr>
          <w:trHeight w:val="283"/>
        </w:trPr>
        <w:tc>
          <w:tcPr>
            <w:tcW w:w="321" w:type="pct"/>
            <w:shd w:val="clear" w:color="auto" w:fill="auto"/>
            <w:noWrap/>
            <w:vAlign w:val="bottom"/>
          </w:tcPr>
          <w:p w14:paraId="5761D9A9"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PR7</w:t>
            </w:r>
          </w:p>
        </w:tc>
        <w:tc>
          <w:tcPr>
            <w:tcW w:w="1077" w:type="pct"/>
            <w:shd w:val="clear" w:color="auto" w:fill="auto"/>
            <w:noWrap/>
            <w:vAlign w:val="bottom"/>
          </w:tcPr>
          <w:p w14:paraId="5761D9AA"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Conflict resolution</w:t>
            </w:r>
          </w:p>
        </w:tc>
        <w:tc>
          <w:tcPr>
            <w:tcW w:w="220" w:type="pct"/>
            <w:shd w:val="clear" w:color="auto" w:fill="auto"/>
            <w:noWrap/>
          </w:tcPr>
          <w:p w14:paraId="5761D9AB"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Pr>
          <w:p w14:paraId="5761D9AC"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9AD"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9A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A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B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B1" w14:textId="77777777" w:rsidR="00A56EE9" w:rsidRPr="00A61ACA"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9B2"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2</w:t>
            </w:r>
          </w:p>
        </w:tc>
        <w:tc>
          <w:tcPr>
            <w:tcW w:w="219" w:type="pct"/>
            <w:shd w:val="clear" w:color="auto" w:fill="auto"/>
            <w:noWrap/>
          </w:tcPr>
          <w:p w14:paraId="5761D9B3" w14:textId="77777777" w:rsidR="00A56EE9" w:rsidRPr="00A01FB6" w:rsidRDefault="00A56EE9" w:rsidP="00BB6AD5">
            <w:pPr>
              <w:pStyle w:val="Tablebulletlist"/>
              <w:jc w:val="center"/>
              <w:rPr>
                <w:rStyle w:val="BookTitle"/>
                <w:rFonts w:ascii="Arial" w:hAnsi="Arial"/>
                <w:sz w:val="16"/>
                <w:szCs w:val="16"/>
              </w:rPr>
            </w:pPr>
            <w:r w:rsidRPr="00A01FB6">
              <w:t>4</w:t>
            </w:r>
          </w:p>
        </w:tc>
        <w:tc>
          <w:tcPr>
            <w:tcW w:w="219" w:type="pct"/>
          </w:tcPr>
          <w:p w14:paraId="5761D9B4" w14:textId="77777777" w:rsidR="00A56EE9" w:rsidRPr="00FF6384" w:rsidRDefault="00A56EE9" w:rsidP="00BB6AD5">
            <w:pPr>
              <w:pStyle w:val="Tablebulletlist"/>
              <w:jc w:val="center"/>
              <w:rPr>
                <w:rStyle w:val="BookTitle"/>
                <w:rFonts w:ascii="Arial" w:hAnsi="Arial"/>
                <w:sz w:val="16"/>
                <w:szCs w:val="16"/>
              </w:rPr>
            </w:pPr>
            <w:r w:rsidRPr="00FF6384">
              <w:t>2</w:t>
            </w:r>
          </w:p>
        </w:tc>
        <w:tc>
          <w:tcPr>
            <w:tcW w:w="219" w:type="pct"/>
          </w:tcPr>
          <w:p w14:paraId="5761D9B5"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9B6"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9B7"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9B8"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9B9"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3.14</w:t>
            </w:r>
          </w:p>
        </w:tc>
        <w:tc>
          <w:tcPr>
            <w:tcW w:w="271" w:type="pct"/>
            <w:shd w:val="clear" w:color="auto" w:fill="auto"/>
            <w:noWrap/>
            <w:vAlign w:val="bottom"/>
          </w:tcPr>
          <w:p w14:paraId="5761D9BA"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0.72</w:t>
            </w:r>
          </w:p>
        </w:tc>
      </w:tr>
      <w:tr w:rsidR="00A56EE9" w:rsidRPr="00D96915" w14:paraId="5761D9CE" w14:textId="77777777" w:rsidTr="00BB6AD5">
        <w:trPr>
          <w:trHeight w:val="283"/>
        </w:trPr>
        <w:tc>
          <w:tcPr>
            <w:tcW w:w="321" w:type="pct"/>
            <w:shd w:val="clear" w:color="auto" w:fill="auto"/>
            <w:noWrap/>
            <w:vAlign w:val="bottom"/>
          </w:tcPr>
          <w:p w14:paraId="5761D9BC"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PR8</w:t>
            </w:r>
          </w:p>
        </w:tc>
        <w:tc>
          <w:tcPr>
            <w:tcW w:w="1077" w:type="pct"/>
            <w:shd w:val="clear" w:color="auto" w:fill="auto"/>
            <w:noWrap/>
            <w:vAlign w:val="bottom"/>
          </w:tcPr>
          <w:p w14:paraId="5761D9BD"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Impacts considered</w:t>
            </w:r>
          </w:p>
        </w:tc>
        <w:tc>
          <w:tcPr>
            <w:tcW w:w="220" w:type="pct"/>
            <w:shd w:val="clear" w:color="auto" w:fill="auto"/>
            <w:noWrap/>
          </w:tcPr>
          <w:p w14:paraId="5761D9B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Pr>
          <w:p w14:paraId="5761D9B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9C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9C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C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C3"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C4" w14:textId="77777777" w:rsidR="00A56EE9" w:rsidRPr="00A61ACA"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9C5"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9C6"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3</w:t>
            </w:r>
          </w:p>
        </w:tc>
        <w:tc>
          <w:tcPr>
            <w:tcW w:w="219" w:type="pct"/>
          </w:tcPr>
          <w:p w14:paraId="5761D9C7"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9C8"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9C9"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9CA"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9CB"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9CC"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3.14</w:t>
            </w:r>
          </w:p>
        </w:tc>
        <w:tc>
          <w:tcPr>
            <w:tcW w:w="271" w:type="pct"/>
            <w:shd w:val="clear" w:color="auto" w:fill="auto"/>
            <w:noWrap/>
            <w:vAlign w:val="bottom"/>
          </w:tcPr>
          <w:p w14:paraId="5761D9CD"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0.50</w:t>
            </w:r>
          </w:p>
        </w:tc>
      </w:tr>
      <w:tr w:rsidR="00A56EE9" w:rsidRPr="00D96915" w14:paraId="5761D9E1" w14:textId="77777777" w:rsidTr="00BB6AD5">
        <w:trPr>
          <w:trHeight w:val="283"/>
        </w:trPr>
        <w:tc>
          <w:tcPr>
            <w:tcW w:w="321" w:type="pct"/>
            <w:shd w:val="clear" w:color="auto" w:fill="auto"/>
            <w:noWrap/>
            <w:vAlign w:val="bottom"/>
          </w:tcPr>
          <w:p w14:paraId="5761D9CF"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PR9</w:t>
            </w:r>
          </w:p>
        </w:tc>
        <w:tc>
          <w:tcPr>
            <w:tcW w:w="1077" w:type="pct"/>
            <w:shd w:val="clear" w:color="auto" w:fill="auto"/>
            <w:noWrap/>
            <w:vAlign w:val="bottom"/>
          </w:tcPr>
          <w:p w14:paraId="5761D9D0"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Biophysical info applied</w:t>
            </w:r>
          </w:p>
        </w:tc>
        <w:tc>
          <w:tcPr>
            <w:tcW w:w="220" w:type="pct"/>
            <w:shd w:val="clear" w:color="auto" w:fill="auto"/>
            <w:noWrap/>
          </w:tcPr>
          <w:p w14:paraId="5761D9D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20" w:type="pct"/>
          </w:tcPr>
          <w:p w14:paraId="5761D9D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D3"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9D4"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D5"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D6"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D7"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D8"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9D9"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4</w:t>
            </w:r>
          </w:p>
        </w:tc>
        <w:tc>
          <w:tcPr>
            <w:tcW w:w="219" w:type="pct"/>
          </w:tcPr>
          <w:p w14:paraId="5761D9DA"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2</w:t>
            </w:r>
          </w:p>
        </w:tc>
        <w:tc>
          <w:tcPr>
            <w:tcW w:w="219" w:type="pct"/>
          </w:tcPr>
          <w:p w14:paraId="5761D9DB"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9DC"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9DD"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9DE"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shd w:val="clear" w:color="auto" w:fill="auto"/>
            <w:noWrap/>
            <w:vAlign w:val="bottom"/>
          </w:tcPr>
          <w:p w14:paraId="5761D9DF"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3.29</w:t>
            </w:r>
          </w:p>
        </w:tc>
        <w:tc>
          <w:tcPr>
            <w:tcW w:w="271" w:type="pct"/>
            <w:shd w:val="clear" w:color="auto" w:fill="auto"/>
            <w:noWrap/>
            <w:vAlign w:val="bottom"/>
          </w:tcPr>
          <w:p w14:paraId="5761D9E0"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0.57</w:t>
            </w:r>
          </w:p>
        </w:tc>
      </w:tr>
      <w:tr w:rsidR="00A56EE9" w:rsidRPr="00D96915" w14:paraId="5761D9F4" w14:textId="77777777" w:rsidTr="00BB6AD5">
        <w:trPr>
          <w:trHeight w:val="283"/>
        </w:trPr>
        <w:tc>
          <w:tcPr>
            <w:tcW w:w="321" w:type="pct"/>
            <w:shd w:val="clear" w:color="auto" w:fill="auto"/>
            <w:noWrap/>
            <w:vAlign w:val="bottom"/>
          </w:tcPr>
          <w:p w14:paraId="5761D9E2"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PR10</w:t>
            </w:r>
          </w:p>
        </w:tc>
        <w:tc>
          <w:tcPr>
            <w:tcW w:w="1077" w:type="pct"/>
            <w:shd w:val="clear" w:color="auto" w:fill="auto"/>
            <w:noWrap/>
            <w:vAlign w:val="bottom"/>
          </w:tcPr>
          <w:p w14:paraId="5761D9E3"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Socioeconomic info applied</w:t>
            </w:r>
          </w:p>
        </w:tc>
        <w:tc>
          <w:tcPr>
            <w:tcW w:w="220" w:type="pct"/>
            <w:shd w:val="clear" w:color="auto" w:fill="auto"/>
            <w:noWrap/>
          </w:tcPr>
          <w:p w14:paraId="5761D9E4"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Pr>
          <w:p w14:paraId="5761D9E5"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9E6"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9E7"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E8"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E9"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EA" w14:textId="77777777" w:rsidR="00A56EE9" w:rsidRPr="00A61ACA"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9EB" w14:textId="77777777" w:rsidR="00A56EE9" w:rsidRPr="00015E98" w:rsidRDefault="00A56EE9" w:rsidP="00BB6AD5">
            <w:pPr>
              <w:pStyle w:val="Tablebulletlist"/>
              <w:jc w:val="center"/>
              <w:rPr>
                <w:rStyle w:val="BookTitle"/>
                <w:rFonts w:ascii="Arial" w:hAnsi="Arial"/>
                <w:sz w:val="16"/>
                <w:szCs w:val="16"/>
              </w:rPr>
            </w:pPr>
            <w:r w:rsidRPr="00015E98">
              <w:t>2.5</w:t>
            </w:r>
          </w:p>
        </w:tc>
        <w:tc>
          <w:tcPr>
            <w:tcW w:w="219" w:type="pct"/>
            <w:shd w:val="clear" w:color="auto" w:fill="auto"/>
            <w:noWrap/>
          </w:tcPr>
          <w:p w14:paraId="5761D9EC"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3</w:t>
            </w:r>
          </w:p>
        </w:tc>
        <w:tc>
          <w:tcPr>
            <w:tcW w:w="219" w:type="pct"/>
          </w:tcPr>
          <w:p w14:paraId="5761D9ED"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9EE"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2</w:t>
            </w:r>
          </w:p>
        </w:tc>
        <w:tc>
          <w:tcPr>
            <w:tcW w:w="219" w:type="pct"/>
          </w:tcPr>
          <w:p w14:paraId="5761D9EF"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9F0"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9F1" w14:textId="77777777" w:rsidR="00A56EE9" w:rsidRPr="00923180" w:rsidRDefault="00A56EE9" w:rsidP="00BB6AD5">
            <w:pPr>
              <w:pStyle w:val="Tablebulletlist"/>
              <w:jc w:val="center"/>
              <w:rPr>
                <w:rStyle w:val="BookTitle"/>
                <w:rFonts w:ascii="Arial" w:hAnsi="Arial"/>
                <w:sz w:val="16"/>
                <w:szCs w:val="16"/>
              </w:rPr>
            </w:pPr>
          </w:p>
        </w:tc>
        <w:tc>
          <w:tcPr>
            <w:tcW w:w="263" w:type="pct"/>
            <w:shd w:val="clear" w:color="auto" w:fill="auto"/>
            <w:noWrap/>
            <w:vAlign w:val="bottom"/>
          </w:tcPr>
          <w:p w14:paraId="5761D9F2"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2.88</w:t>
            </w:r>
          </w:p>
        </w:tc>
        <w:tc>
          <w:tcPr>
            <w:tcW w:w="271" w:type="pct"/>
            <w:shd w:val="clear" w:color="auto" w:fill="auto"/>
            <w:noWrap/>
            <w:vAlign w:val="bottom"/>
          </w:tcPr>
          <w:p w14:paraId="5761D9F3"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0.60</w:t>
            </w:r>
          </w:p>
        </w:tc>
      </w:tr>
      <w:tr w:rsidR="00A56EE9" w:rsidRPr="00D96915" w14:paraId="5761DA07" w14:textId="77777777" w:rsidTr="00BB6AD5">
        <w:trPr>
          <w:trHeight w:val="283"/>
        </w:trPr>
        <w:tc>
          <w:tcPr>
            <w:tcW w:w="321" w:type="pct"/>
            <w:shd w:val="clear" w:color="auto" w:fill="auto"/>
            <w:noWrap/>
            <w:vAlign w:val="bottom"/>
          </w:tcPr>
          <w:p w14:paraId="5761D9F5"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PR11</w:t>
            </w:r>
          </w:p>
        </w:tc>
        <w:tc>
          <w:tcPr>
            <w:tcW w:w="1077" w:type="pct"/>
            <w:shd w:val="clear" w:color="auto" w:fill="auto"/>
            <w:noWrap/>
            <w:vAlign w:val="bottom"/>
          </w:tcPr>
          <w:p w14:paraId="5761D9F6"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Indigenous info applied</w:t>
            </w:r>
          </w:p>
        </w:tc>
        <w:tc>
          <w:tcPr>
            <w:tcW w:w="220" w:type="pct"/>
            <w:shd w:val="clear" w:color="auto" w:fill="auto"/>
            <w:noWrap/>
          </w:tcPr>
          <w:p w14:paraId="5761D9F7"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20" w:type="pct"/>
          </w:tcPr>
          <w:p w14:paraId="5761D9F8"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9F9"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tcPr>
          <w:p w14:paraId="5761D9FA"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9FB"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9FC"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9FD" w14:textId="77777777" w:rsidR="00A56EE9" w:rsidRPr="00A61ACA" w:rsidRDefault="00A56EE9" w:rsidP="00BB6AD5">
            <w:pPr>
              <w:pStyle w:val="Tablebulletlist"/>
              <w:jc w:val="center"/>
              <w:rPr>
                <w:rStyle w:val="BookTitle"/>
                <w:rFonts w:ascii="Arial" w:hAnsi="Arial"/>
                <w:sz w:val="16"/>
                <w:szCs w:val="16"/>
              </w:rPr>
            </w:pPr>
            <w:r>
              <w:t>2</w:t>
            </w:r>
          </w:p>
        </w:tc>
        <w:tc>
          <w:tcPr>
            <w:tcW w:w="219" w:type="pct"/>
            <w:shd w:val="clear" w:color="auto" w:fill="auto"/>
            <w:noWrap/>
          </w:tcPr>
          <w:p w14:paraId="5761D9FE" w14:textId="77777777" w:rsidR="00A56EE9" w:rsidRPr="00015E98" w:rsidRDefault="00A56EE9" w:rsidP="00BB6AD5">
            <w:pPr>
              <w:pStyle w:val="Tablebulletlist"/>
              <w:jc w:val="center"/>
              <w:rPr>
                <w:rStyle w:val="BookTitle"/>
                <w:rFonts w:ascii="Arial" w:hAnsi="Arial"/>
                <w:sz w:val="16"/>
                <w:szCs w:val="16"/>
              </w:rPr>
            </w:pPr>
            <w:r w:rsidRPr="00015E98">
              <w:rPr>
                <w:rStyle w:val="BookTitle"/>
                <w:rFonts w:ascii="Arial" w:hAnsi="Arial"/>
                <w:sz w:val="16"/>
                <w:szCs w:val="16"/>
              </w:rPr>
              <w:t>3</w:t>
            </w:r>
          </w:p>
        </w:tc>
        <w:tc>
          <w:tcPr>
            <w:tcW w:w="219" w:type="pct"/>
            <w:shd w:val="clear" w:color="auto" w:fill="auto"/>
            <w:noWrap/>
          </w:tcPr>
          <w:p w14:paraId="5761D9FF" w14:textId="77777777" w:rsidR="00A56EE9" w:rsidRPr="00A01FB6" w:rsidRDefault="00A56EE9" w:rsidP="00BB6AD5">
            <w:pPr>
              <w:pStyle w:val="Tablebulletlist"/>
              <w:jc w:val="center"/>
              <w:rPr>
                <w:rStyle w:val="BookTitle"/>
                <w:rFonts w:ascii="Arial" w:hAnsi="Arial"/>
                <w:sz w:val="16"/>
                <w:szCs w:val="16"/>
              </w:rPr>
            </w:pPr>
            <w:r w:rsidRPr="00A01FB6">
              <w:rPr>
                <w:rStyle w:val="BookTitle"/>
                <w:rFonts w:ascii="Arial" w:hAnsi="Arial"/>
                <w:sz w:val="16"/>
                <w:szCs w:val="16"/>
              </w:rPr>
              <w:t>3</w:t>
            </w:r>
          </w:p>
        </w:tc>
        <w:tc>
          <w:tcPr>
            <w:tcW w:w="219" w:type="pct"/>
          </w:tcPr>
          <w:p w14:paraId="5761DA00"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A01"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A02"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A03"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A04"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2</w:t>
            </w:r>
          </w:p>
        </w:tc>
        <w:tc>
          <w:tcPr>
            <w:tcW w:w="263" w:type="pct"/>
            <w:shd w:val="clear" w:color="auto" w:fill="auto"/>
            <w:noWrap/>
            <w:vAlign w:val="bottom"/>
          </w:tcPr>
          <w:p w14:paraId="5761DA05"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2.69</w:t>
            </w:r>
          </w:p>
        </w:tc>
        <w:tc>
          <w:tcPr>
            <w:tcW w:w="271" w:type="pct"/>
            <w:shd w:val="clear" w:color="auto" w:fill="auto"/>
            <w:noWrap/>
            <w:vAlign w:val="bottom"/>
          </w:tcPr>
          <w:p w14:paraId="5761DA06"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0.58</w:t>
            </w:r>
          </w:p>
        </w:tc>
      </w:tr>
      <w:tr w:rsidR="00A56EE9" w:rsidRPr="00D96915" w14:paraId="5761DA1A" w14:textId="77777777" w:rsidTr="00BB6AD5">
        <w:trPr>
          <w:trHeight w:val="283"/>
        </w:trPr>
        <w:tc>
          <w:tcPr>
            <w:tcW w:w="321" w:type="pct"/>
            <w:shd w:val="clear" w:color="auto" w:fill="auto"/>
            <w:noWrap/>
            <w:vAlign w:val="bottom"/>
          </w:tcPr>
          <w:p w14:paraId="5761DA08"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PR12</w:t>
            </w:r>
          </w:p>
        </w:tc>
        <w:tc>
          <w:tcPr>
            <w:tcW w:w="1077" w:type="pct"/>
            <w:shd w:val="clear" w:color="auto" w:fill="auto"/>
            <w:noWrap/>
            <w:vAlign w:val="bottom"/>
          </w:tcPr>
          <w:p w14:paraId="5761DA09"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Heritage info applied</w:t>
            </w:r>
          </w:p>
        </w:tc>
        <w:tc>
          <w:tcPr>
            <w:tcW w:w="220" w:type="pct"/>
            <w:shd w:val="clear" w:color="auto" w:fill="auto"/>
            <w:noWrap/>
          </w:tcPr>
          <w:p w14:paraId="5761DA0A" w14:textId="77777777" w:rsidR="00A56EE9" w:rsidRPr="00A61ACA" w:rsidRDefault="00A56EE9" w:rsidP="00BB6AD5">
            <w:pPr>
              <w:pStyle w:val="Tablebulletlist"/>
              <w:jc w:val="center"/>
              <w:rPr>
                <w:rStyle w:val="BookTitle"/>
                <w:rFonts w:ascii="Arial" w:hAnsi="Arial"/>
                <w:sz w:val="16"/>
                <w:szCs w:val="16"/>
              </w:rPr>
            </w:pPr>
          </w:p>
        </w:tc>
        <w:tc>
          <w:tcPr>
            <w:tcW w:w="220" w:type="pct"/>
          </w:tcPr>
          <w:p w14:paraId="5761DA0B"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A0C"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tcPr>
          <w:p w14:paraId="5761DA0D"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0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A0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10" w14:textId="77777777" w:rsidR="00A56EE9" w:rsidRPr="00A61ACA" w:rsidRDefault="00A56EE9" w:rsidP="00BB6AD5">
            <w:pPr>
              <w:pStyle w:val="Tablebulletlist"/>
              <w:jc w:val="center"/>
              <w:rPr>
                <w:rStyle w:val="BookTitle"/>
                <w:rFonts w:ascii="Arial" w:hAnsi="Arial"/>
                <w:sz w:val="16"/>
                <w:szCs w:val="16"/>
              </w:rPr>
            </w:pPr>
          </w:p>
        </w:tc>
        <w:tc>
          <w:tcPr>
            <w:tcW w:w="219" w:type="pct"/>
            <w:shd w:val="clear" w:color="auto" w:fill="auto"/>
            <w:noWrap/>
          </w:tcPr>
          <w:p w14:paraId="5761DA11"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A12" w14:textId="77777777" w:rsidR="00A56EE9" w:rsidRPr="00A01FB6" w:rsidRDefault="00A56EE9" w:rsidP="00BB6AD5">
            <w:pPr>
              <w:pStyle w:val="Tablebulletlist"/>
              <w:jc w:val="center"/>
              <w:rPr>
                <w:rStyle w:val="BookTitle"/>
                <w:rFonts w:ascii="Arial" w:hAnsi="Arial"/>
                <w:sz w:val="16"/>
                <w:szCs w:val="16"/>
              </w:rPr>
            </w:pPr>
          </w:p>
        </w:tc>
        <w:tc>
          <w:tcPr>
            <w:tcW w:w="219" w:type="pct"/>
          </w:tcPr>
          <w:p w14:paraId="5761DA13"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A14"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A15"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A16"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A17" w14:textId="77777777" w:rsidR="00A56EE9" w:rsidRPr="00923180" w:rsidRDefault="00A56EE9" w:rsidP="00BB6AD5">
            <w:pPr>
              <w:pStyle w:val="Tablebulletlist"/>
              <w:jc w:val="center"/>
              <w:rPr>
                <w:rStyle w:val="BookTitle"/>
                <w:rFonts w:ascii="Arial" w:hAnsi="Arial"/>
                <w:sz w:val="16"/>
                <w:szCs w:val="16"/>
              </w:rPr>
            </w:pPr>
          </w:p>
        </w:tc>
        <w:tc>
          <w:tcPr>
            <w:tcW w:w="263" w:type="pct"/>
            <w:shd w:val="clear" w:color="auto" w:fill="auto"/>
            <w:noWrap/>
            <w:vAlign w:val="bottom"/>
          </w:tcPr>
          <w:p w14:paraId="5761DA18"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2.82</w:t>
            </w:r>
          </w:p>
        </w:tc>
        <w:tc>
          <w:tcPr>
            <w:tcW w:w="271" w:type="pct"/>
            <w:shd w:val="clear" w:color="auto" w:fill="auto"/>
            <w:noWrap/>
            <w:vAlign w:val="bottom"/>
          </w:tcPr>
          <w:p w14:paraId="5761DA19"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0.55</w:t>
            </w:r>
          </w:p>
        </w:tc>
      </w:tr>
      <w:tr w:rsidR="00A56EE9" w:rsidRPr="00D96915" w14:paraId="5761DA2D" w14:textId="77777777" w:rsidTr="00BB6AD5">
        <w:trPr>
          <w:trHeight w:val="283"/>
        </w:trPr>
        <w:tc>
          <w:tcPr>
            <w:tcW w:w="321" w:type="pct"/>
            <w:shd w:val="clear" w:color="auto" w:fill="auto"/>
            <w:noWrap/>
            <w:vAlign w:val="bottom"/>
          </w:tcPr>
          <w:p w14:paraId="5761DA1B"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PR13</w:t>
            </w:r>
          </w:p>
        </w:tc>
        <w:tc>
          <w:tcPr>
            <w:tcW w:w="1077" w:type="pct"/>
            <w:shd w:val="clear" w:color="auto" w:fill="auto"/>
            <w:noWrap/>
            <w:vAlign w:val="bottom"/>
          </w:tcPr>
          <w:p w14:paraId="5761DA1C"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Standards</w:t>
            </w:r>
          </w:p>
        </w:tc>
        <w:tc>
          <w:tcPr>
            <w:tcW w:w="220" w:type="pct"/>
            <w:shd w:val="clear" w:color="auto" w:fill="auto"/>
            <w:noWrap/>
          </w:tcPr>
          <w:p w14:paraId="5761DA1D"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Pr>
          <w:p w14:paraId="5761DA1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19" w:type="pct"/>
            <w:shd w:val="clear" w:color="auto" w:fill="auto"/>
            <w:noWrap/>
          </w:tcPr>
          <w:p w14:paraId="5761DA1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A2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2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2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23" w14:textId="77777777" w:rsidR="00A56EE9" w:rsidRPr="00A61ACA"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A24"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2.5</w:t>
            </w:r>
          </w:p>
        </w:tc>
        <w:tc>
          <w:tcPr>
            <w:tcW w:w="219" w:type="pct"/>
            <w:shd w:val="clear" w:color="auto" w:fill="auto"/>
            <w:noWrap/>
          </w:tcPr>
          <w:p w14:paraId="5761DA25"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4</w:t>
            </w:r>
          </w:p>
        </w:tc>
        <w:tc>
          <w:tcPr>
            <w:tcW w:w="219" w:type="pct"/>
          </w:tcPr>
          <w:p w14:paraId="5761DA26" w14:textId="77777777" w:rsidR="00A56EE9" w:rsidRPr="00FF6384" w:rsidRDefault="00A56EE9" w:rsidP="00BB6AD5">
            <w:pPr>
              <w:pStyle w:val="Tablebulletlist"/>
              <w:jc w:val="center"/>
              <w:rPr>
                <w:rStyle w:val="BookTitle"/>
                <w:rFonts w:ascii="Arial" w:hAnsi="Arial"/>
                <w:sz w:val="16"/>
                <w:szCs w:val="16"/>
              </w:rPr>
            </w:pPr>
            <w:r w:rsidRPr="00FF6384">
              <w:t>3</w:t>
            </w:r>
          </w:p>
        </w:tc>
        <w:tc>
          <w:tcPr>
            <w:tcW w:w="219" w:type="pct"/>
          </w:tcPr>
          <w:p w14:paraId="5761DA27"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A28"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A29"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A2A"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tcBorders>
              <w:bottom w:val="single" w:sz="4" w:space="0" w:color="auto"/>
            </w:tcBorders>
            <w:shd w:val="clear" w:color="auto" w:fill="auto"/>
            <w:noWrap/>
            <w:vAlign w:val="bottom"/>
          </w:tcPr>
          <w:p w14:paraId="5761DA2B"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3.18</w:t>
            </w:r>
          </w:p>
        </w:tc>
        <w:tc>
          <w:tcPr>
            <w:tcW w:w="271" w:type="pct"/>
            <w:tcBorders>
              <w:bottom w:val="single" w:sz="4" w:space="0" w:color="auto"/>
            </w:tcBorders>
            <w:shd w:val="clear" w:color="auto" w:fill="auto"/>
            <w:noWrap/>
            <w:vAlign w:val="bottom"/>
          </w:tcPr>
          <w:p w14:paraId="5761DA2C"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0.77</w:t>
            </w:r>
          </w:p>
        </w:tc>
      </w:tr>
      <w:tr w:rsidR="00A56EE9" w:rsidRPr="00D96915" w14:paraId="5761DA40" w14:textId="77777777" w:rsidTr="00BB6AD5">
        <w:trPr>
          <w:trHeight w:val="283"/>
        </w:trPr>
        <w:tc>
          <w:tcPr>
            <w:tcW w:w="321" w:type="pct"/>
            <w:shd w:val="clear" w:color="auto" w:fill="auto"/>
            <w:noWrap/>
            <w:vAlign w:val="bottom"/>
          </w:tcPr>
          <w:p w14:paraId="5761DA2E"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PR14</w:t>
            </w:r>
          </w:p>
        </w:tc>
        <w:tc>
          <w:tcPr>
            <w:tcW w:w="1077" w:type="pct"/>
            <w:shd w:val="clear" w:color="auto" w:fill="auto"/>
            <w:noWrap/>
            <w:vAlign w:val="bottom"/>
          </w:tcPr>
          <w:p w14:paraId="5761DA2F"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Targets for benchmarking</w:t>
            </w:r>
          </w:p>
        </w:tc>
        <w:tc>
          <w:tcPr>
            <w:tcW w:w="220" w:type="pct"/>
            <w:tcBorders>
              <w:bottom w:val="single" w:sz="4" w:space="0" w:color="auto"/>
            </w:tcBorders>
            <w:shd w:val="clear" w:color="auto" w:fill="auto"/>
            <w:noWrap/>
          </w:tcPr>
          <w:p w14:paraId="5761DA3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20" w:type="pct"/>
            <w:tcBorders>
              <w:bottom w:val="single" w:sz="4" w:space="0" w:color="auto"/>
            </w:tcBorders>
          </w:tcPr>
          <w:p w14:paraId="5761DA3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19" w:type="pct"/>
            <w:tcBorders>
              <w:bottom w:val="single" w:sz="4" w:space="0" w:color="auto"/>
            </w:tcBorders>
            <w:shd w:val="clear" w:color="auto" w:fill="auto"/>
            <w:noWrap/>
          </w:tcPr>
          <w:p w14:paraId="5761DA3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bottom w:val="single" w:sz="4" w:space="0" w:color="auto"/>
            </w:tcBorders>
          </w:tcPr>
          <w:p w14:paraId="5761DA33"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bottom w:val="single" w:sz="4" w:space="0" w:color="auto"/>
            </w:tcBorders>
            <w:shd w:val="clear" w:color="auto" w:fill="auto"/>
            <w:noWrap/>
          </w:tcPr>
          <w:p w14:paraId="5761DA34" w14:textId="77777777" w:rsidR="00A56EE9" w:rsidRPr="00A61ACA" w:rsidRDefault="00A56EE9" w:rsidP="00BB6AD5">
            <w:pPr>
              <w:pStyle w:val="Tablebulletlist"/>
              <w:jc w:val="center"/>
              <w:rPr>
                <w:rStyle w:val="BookTitle"/>
                <w:rFonts w:ascii="Arial" w:hAnsi="Arial"/>
                <w:sz w:val="16"/>
                <w:szCs w:val="16"/>
              </w:rPr>
            </w:pPr>
            <w:r>
              <w:t>3</w:t>
            </w:r>
          </w:p>
        </w:tc>
        <w:tc>
          <w:tcPr>
            <w:tcW w:w="219" w:type="pct"/>
            <w:tcBorders>
              <w:bottom w:val="single" w:sz="4" w:space="0" w:color="auto"/>
            </w:tcBorders>
            <w:shd w:val="clear" w:color="auto" w:fill="auto"/>
            <w:noWrap/>
          </w:tcPr>
          <w:p w14:paraId="5761DA35"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bottom w:val="single" w:sz="4" w:space="0" w:color="auto"/>
            </w:tcBorders>
            <w:shd w:val="clear" w:color="auto" w:fill="auto"/>
            <w:noWrap/>
          </w:tcPr>
          <w:p w14:paraId="5761DA36" w14:textId="77777777" w:rsidR="00A56EE9" w:rsidRPr="00A61ACA" w:rsidRDefault="00A56EE9" w:rsidP="00BB6AD5">
            <w:pPr>
              <w:pStyle w:val="Tablebulletlist"/>
              <w:jc w:val="center"/>
              <w:rPr>
                <w:rStyle w:val="BookTitle"/>
                <w:rFonts w:ascii="Arial" w:hAnsi="Arial"/>
                <w:sz w:val="16"/>
                <w:szCs w:val="16"/>
              </w:rPr>
            </w:pPr>
            <w:r>
              <w:rPr>
                <w:rStyle w:val="BookTitle"/>
                <w:rFonts w:ascii="Arial" w:hAnsi="Arial"/>
                <w:sz w:val="16"/>
                <w:szCs w:val="16"/>
              </w:rPr>
              <w:t>3</w:t>
            </w:r>
          </w:p>
        </w:tc>
        <w:tc>
          <w:tcPr>
            <w:tcW w:w="219" w:type="pct"/>
            <w:tcBorders>
              <w:bottom w:val="single" w:sz="4" w:space="0" w:color="auto"/>
            </w:tcBorders>
            <w:shd w:val="clear" w:color="auto" w:fill="auto"/>
            <w:noWrap/>
          </w:tcPr>
          <w:p w14:paraId="5761DA37"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2.5</w:t>
            </w:r>
          </w:p>
        </w:tc>
        <w:tc>
          <w:tcPr>
            <w:tcW w:w="219" w:type="pct"/>
            <w:tcBorders>
              <w:bottom w:val="single" w:sz="4" w:space="0" w:color="auto"/>
            </w:tcBorders>
            <w:shd w:val="clear" w:color="auto" w:fill="auto"/>
            <w:noWrap/>
          </w:tcPr>
          <w:p w14:paraId="5761DA38"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4</w:t>
            </w:r>
          </w:p>
        </w:tc>
        <w:tc>
          <w:tcPr>
            <w:tcW w:w="219" w:type="pct"/>
            <w:tcBorders>
              <w:bottom w:val="single" w:sz="4" w:space="0" w:color="auto"/>
            </w:tcBorders>
          </w:tcPr>
          <w:p w14:paraId="5761DA39" w14:textId="77777777" w:rsidR="00A56EE9" w:rsidRPr="00FF6384" w:rsidRDefault="00A56EE9" w:rsidP="00BB6AD5">
            <w:pPr>
              <w:pStyle w:val="Tablebulletlist"/>
              <w:jc w:val="center"/>
              <w:rPr>
                <w:rStyle w:val="BookTitle"/>
                <w:rFonts w:ascii="Arial" w:hAnsi="Arial"/>
                <w:sz w:val="16"/>
                <w:szCs w:val="16"/>
              </w:rPr>
            </w:pPr>
            <w:r w:rsidRPr="00FF6384">
              <w:t>3</w:t>
            </w:r>
          </w:p>
        </w:tc>
        <w:tc>
          <w:tcPr>
            <w:tcW w:w="219" w:type="pct"/>
            <w:tcBorders>
              <w:bottom w:val="single" w:sz="4" w:space="0" w:color="auto"/>
            </w:tcBorders>
          </w:tcPr>
          <w:p w14:paraId="5761DA3A"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1</w:t>
            </w:r>
          </w:p>
        </w:tc>
        <w:tc>
          <w:tcPr>
            <w:tcW w:w="219" w:type="pct"/>
            <w:tcBorders>
              <w:bottom w:val="single" w:sz="4" w:space="0" w:color="auto"/>
            </w:tcBorders>
          </w:tcPr>
          <w:p w14:paraId="5761DA3B"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tcBorders>
              <w:bottom w:val="single" w:sz="4" w:space="0" w:color="auto"/>
            </w:tcBorders>
            <w:shd w:val="clear" w:color="auto" w:fill="auto"/>
            <w:noWrap/>
          </w:tcPr>
          <w:p w14:paraId="5761DA3C"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tcBorders>
              <w:bottom w:val="single" w:sz="4" w:space="0" w:color="auto"/>
            </w:tcBorders>
            <w:shd w:val="clear" w:color="auto" w:fill="auto"/>
            <w:noWrap/>
          </w:tcPr>
          <w:p w14:paraId="5761DA3D" w14:textId="77777777" w:rsidR="00A56EE9" w:rsidRPr="00923180" w:rsidRDefault="00A56EE9" w:rsidP="00BB6AD5">
            <w:pPr>
              <w:pStyle w:val="Tablebulletlist"/>
              <w:jc w:val="center"/>
              <w:rPr>
                <w:rFonts w:ascii="Arial" w:hAnsi="Arial" w:cs="Arial"/>
                <w:color w:val="000000"/>
                <w:sz w:val="16"/>
                <w:szCs w:val="16"/>
              </w:rPr>
            </w:pPr>
            <w:r w:rsidRPr="00923180">
              <w:rPr>
                <w:rFonts w:ascii="Arial" w:hAnsi="Arial" w:cs="Arial"/>
                <w:sz w:val="16"/>
                <w:szCs w:val="16"/>
              </w:rPr>
              <w:t>3</w:t>
            </w:r>
          </w:p>
        </w:tc>
        <w:tc>
          <w:tcPr>
            <w:tcW w:w="263" w:type="pct"/>
            <w:tcBorders>
              <w:top w:val="single" w:sz="4" w:space="0" w:color="auto"/>
            </w:tcBorders>
            <w:shd w:val="clear" w:color="auto" w:fill="auto"/>
            <w:noWrap/>
            <w:vAlign w:val="bottom"/>
          </w:tcPr>
          <w:p w14:paraId="5761DA3E"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2.77</w:t>
            </w:r>
          </w:p>
        </w:tc>
        <w:tc>
          <w:tcPr>
            <w:tcW w:w="271" w:type="pct"/>
            <w:tcBorders>
              <w:top w:val="single" w:sz="4" w:space="0" w:color="auto"/>
            </w:tcBorders>
            <w:shd w:val="clear" w:color="auto" w:fill="auto"/>
            <w:noWrap/>
            <w:vAlign w:val="bottom"/>
          </w:tcPr>
          <w:p w14:paraId="5761DA3F" w14:textId="77777777" w:rsidR="00A56EE9" w:rsidRPr="00BD7840" w:rsidRDefault="00A56EE9" w:rsidP="00BB6AD5">
            <w:pPr>
              <w:jc w:val="center"/>
              <w:rPr>
                <w:rFonts w:eastAsia="Times New Roman"/>
                <w:color w:val="000000"/>
                <w:sz w:val="16"/>
                <w:szCs w:val="16"/>
              </w:rPr>
            </w:pPr>
            <w:r w:rsidRPr="00BD7840">
              <w:rPr>
                <w:rFonts w:ascii="Calibri" w:hAnsi="Calibri" w:cs="Calibri"/>
                <w:color w:val="000000"/>
                <w:sz w:val="16"/>
                <w:szCs w:val="16"/>
              </w:rPr>
              <w:t>0.76</w:t>
            </w:r>
          </w:p>
        </w:tc>
      </w:tr>
      <w:tr w:rsidR="00A56EE9" w:rsidRPr="00D96915" w14:paraId="5761DA54" w14:textId="77777777" w:rsidTr="00BB6AD5">
        <w:trPr>
          <w:trHeight w:val="283"/>
        </w:trPr>
        <w:tc>
          <w:tcPr>
            <w:tcW w:w="321" w:type="pct"/>
            <w:shd w:val="clear" w:color="auto" w:fill="BFBFBF" w:themeFill="background1" w:themeFillShade="BF"/>
            <w:noWrap/>
            <w:vAlign w:val="bottom"/>
          </w:tcPr>
          <w:p w14:paraId="5761DA41"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w:t>
            </w:r>
          </w:p>
        </w:tc>
        <w:tc>
          <w:tcPr>
            <w:tcW w:w="1077" w:type="pct"/>
            <w:shd w:val="clear" w:color="auto" w:fill="BFBFBF" w:themeFill="background1" w:themeFillShade="BF"/>
            <w:noWrap/>
            <w:vAlign w:val="bottom"/>
          </w:tcPr>
          <w:p w14:paraId="5761DA42"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 xml:space="preserve">Overall grade </w:t>
            </w:r>
          </w:p>
          <w:p w14:paraId="5761DA43" w14:textId="77777777" w:rsidR="00A56EE9" w:rsidRPr="00D96915" w:rsidRDefault="00A56EE9" w:rsidP="00BB6AD5">
            <w:pPr>
              <w:pStyle w:val="Tablebulletlist"/>
              <w:rPr>
                <w:rStyle w:val="BookTitle"/>
                <w:rFonts w:ascii="Arial" w:hAnsi="Arial"/>
                <w:sz w:val="16"/>
                <w:szCs w:val="16"/>
              </w:rPr>
            </w:pPr>
          </w:p>
        </w:tc>
        <w:tc>
          <w:tcPr>
            <w:tcW w:w="220" w:type="pct"/>
            <w:tcBorders>
              <w:top w:val="single" w:sz="4" w:space="0" w:color="auto"/>
            </w:tcBorders>
            <w:shd w:val="clear" w:color="auto" w:fill="C5E0B3" w:themeFill="accent6" w:themeFillTint="66"/>
            <w:noWrap/>
            <w:vAlign w:val="center"/>
          </w:tcPr>
          <w:p w14:paraId="5761DA44" w14:textId="77777777" w:rsidR="00A56EE9" w:rsidRPr="00D96915" w:rsidRDefault="00A56EE9" w:rsidP="00BB6AD5">
            <w:pPr>
              <w:pStyle w:val="Symbols"/>
              <w:framePr w:wrap="around"/>
              <w:spacing w:before="120" w:after="120"/>
              <w:jc w:val="center"/>
              <w:rPr>
                <w:rFonts w:ascii="Arial" w:hAnsi="Arial"/>
                <w:sz w:val="16"/>
                <w:szCs w:val="16"/>
              </w:rPr>
            </w:pPr>
          </w:p>
        </w:tc>
        <w:tc>
          <w:tcPr>
            <w:tcW w:w="220" w:type="pct"/>
            <w:tcBorders>
              <w:top w:val="single" w:sz="4" w:space="0" w:color="auto"/>
            </w:tcBorders>
            <w:shd w:val="clear" w:color="auto" w:fill="FFC000" w:themeFill="accent4"/>
            <w:vAlign w:val="center"/>
          </w:tcPr>
          <w:p w14:paraId="5761DA45"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C5E0B3" w:themeFill="accent6" w:themeFillTint="66"/>
            <w:noWrap/>
            <w:vAlign w:val="center"/>
          </w:tcPr>
          <w:p w14:paraId="5761DA46"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C5E0B3" w:themeFill="accent6" w:themeFillTint="66"/>
            <w:vAlign w:val="bottom"/>
          </w:tcPr>
          <w:p w14:paraId="5761DA47"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C5E0B3" w:themeFill="accent6" w:themeFillTint="66"/>
            <w:noWrap/>
            <w:vAlign w:val="center"/>
          </w:tcPr>
          <w:p w14:paraId="5761DA48"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center"/>
          </w:tcPr>
          <w:p w14:paraId="5761DA49"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noWrap/>
            <w:vAlign w:val="bottom"/>
          </w:tcPr>
          <w:p w14:paraId="5761DA4A"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noWrap/>
            <w:vAlign w:val="bottom"/>
          </w:tcPr>
          <w:p w14:paraId="5761DA4B" w14:textId="77777777" w:rsidR="00A56EE9" w:rsidRPr="00015E98"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A4C" w14:textId="77777777" w:rsidR="00A56EE9" w:rsidRPr="00A01FB6"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vAlign w:val="bottom"/>
          </w:tcPr>
          <w:p w14:paraId="5761DA4D" w14:textId="77777777" w:rsidR="00A56EE9" w:rsidRPr="00FF6384"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vAlign w:val="bottom"/>
          </w:tcPr>
          <w:p w14:paraId="5761DA4E" w14:textId="77777777" w:rsidR="00A56EE9" w:rsidRPr="00B050B3"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vAlign w:val="bottom"/>
          </w:tcPr>
          <w:p w14:paraId="5761DA4F"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A50"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noWrap/>
            <w:vAlign w:val="bottom"/>
          </w:tcPr>
          <w:p w14:paraId="5761DA51"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63" w:type="pct"/>
            <w:shd w:val="clear" w:color="auto" w:fill="BFBFBF" w:themeFill="background1" w:themeFillShade="BF"/>
            <w:noWrap/>
            <w:vAlign w:val="center"/>
          </w:tcPr>
          <w:p w14:paraId="5761DA52" w14:textId="77777777" w:rsidR="00A56EE9" w:rsidRPr="00BD7840" w:rsidRDefault="00A56EE9" w:rsidP="00BB6AD5">
            <w:pPr>
              <w:pStyle w:val="Tablebulletlist"/>
              <w:jc w:val="center"/>
              <w:rPr>
                <w:rFonts w:ascii="Arial" w:hAnsi="Arial" w:cs="Arial"/>
                <w:color w:val="000000"/>
                <w:sz w:val="16"/>
                <w:szCs w:val="16"/>
              </w:rPr>
            </w:pPr>
          </w:p>
        </w:tc>
        <w:tc>
          <w:tcPr>
            <w:tcW w:w="271" w:type="pct"/>
            <w:shd w:val="clear" w:color="auto" w:fill="BFBFBF" w:themeFill="background1" w:themeFillShade="BF"/>
            <w:noWrap/>
            <w:vAlign w:val="center"/>
          </w:tcPr>
          <w:p w14:paraId="5761DA53" w14:textId="77777777" w:rsidR="00A56EE9" w:rsidRPr="00BD7840" w:rsidRDefault="00A56EE9" w:rsidP="00BB6AD5">
            <w:pPr>
              <w:pStyle w:val="Tablebulletlist"/>
              <w:jc w:val="center"/>
              <w:rPr>
                <w:rFonts w:ascii="Arial" w:hAnsi="Arial" w:cs="Arial"/>
                <w:color w:val="000000"/>
                <w:sz w:val="16"/>
                <w:szCs w:val="16"/>
              </w:rPr>
            </w:pPr>
          </w:p>
        </w:tc>
      </w:tr>
      <w:tr w:rsidR="00A56EE9" w:rsidRPr="00D96915" w14:paraId="5761DA67" w14:textId="77777777" w:rsidTr="00BB6AD5">
        <w:trPr>
          <w:trHeight w:val="283"/>
        </w:trPr>
        <w:tc>
          <w:tcPr>
            <w:tcW w:w="321" w:type="pct"/>
            <w:shd w:val="clear" w:color="auto" w:fill="auto"/>
            <w:noWrap/>
            <w:vAlign w:val="bottom"/>
          </w:tcPr>
          <w:p w14:paraId="5761DA55"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OP1</w:t>
            </w:r>
          </w:p>
        </w:tc>
        <w:tc>
          <w:tcPr>
            <w:tcW w:w="1077" w:type="pct"/>
            <w:shd w:val="clear" w:color="auto" w:fill="auto"/>
            <w:noWrap/>
            <w:vAlign w:val="bottom"/>
          </w:tcPr>
          <w:p w14:paraId="5761DA56"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Work program progress</w:t>
            </w:r>
          </w:p>
        </w:tc>
        <w:tc>
          <w:tcPr>
            <w:tcW w:w="220" w:type="pct"/>
            <w:shd w:val="clear" w:color="auto" w:fill="auto"/>
            <w:noWrap/>
          </w:tcPr>
          <w:p w14:paraId="5761DA57"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Pr>
          <w:p w14:paraId="5761DA58"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19" w:type="pct"/>
            <w:shd w:val="clear" w:color="auto" w:fill="auto"/>
            <w:noWrap/>
          </w:tcPr>
          <w:p w14:paraId="5761DA59"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A5A"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5B"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5C"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5D" w14:textId="77777777" w:rsidR="00A56EE9" w:rsidRPr="00A61ACA" w:rsidRDefault="00A56EE9" w:rsidP="00BB6AD5">
            <w:pPr>
              <w:pStyle w:val="Tablebulletlist"/>
              <w:jc w:val="center"/>
              <w:rPr>
                <w:rStyle w:val="BookTitle"/>
                <w:rFonts w:ascii="Arial" w:hAnsi="Arial"/>
                <w:sz w:val="16"/>
                <w:szCs w:val="16"/>
              </w:rPr>
            </w:pPr>
            <w:r>
              <w:t>3</w:t>
            </w:r>
          </w:p>
        </w:tc>
        <w:tc>
          <w:tcPr>
            <w:tcW w:w="219" w:type="pct"/>
            <w:shd w:val="clear" w:color="auto" w:fill="auto"/>
            <w:noWrap/>
          </w:tcPr>
          <w:p w14:paraId="5761DA5E"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A5F" w14:textId="77777777" w:rsidR="00A56EE9" w:rsidRPr="00A01FB6" w:rsidRDefault="00A56EE9" w:rsidP="00BB6AD5">
            <w:pPr>
              <w:pStyle w:val="Tablebulletlist"/>
              <w:jc w:val="center"/>
              <w:rPr>
                <w:rStyle w:val="BookTitle"/>
                <w:rFonts w:ascii="Arial" w:hAnsi="Arial"/>
                <w:sz w:val="16"/>
                <w:szCs w:val="16"/>
              </w:rPr>
            </w:pPr>
            <w:r w:rsidRPr="00A01FB6">
              <w:t>4</w:t>
            </w:r>
          </w:p>
        </w:tc>
        <w:tc>
          <w:tcPr>
            <w:tcW w:w="219" w:type="pct"/>
          </w:tcPr>
          <w:p w14:paraId="5761DA60"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A61"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A62" w14:textId="77777777" w:rsidR="00A56EE9" w:rsidRPr="00923180" w:rsidRDefault="00A56EE9" w:rsidP="00BB6AD5">
            <w:pPr>
              <w:pStyle w:val="Tablebulletlist"/>
              <w:jc w:val="center"/>
              <w:rPr>
                <w:rStyle w:val="BookTitle"/>
                <w:rFonts w:ascii="Arial" w:hAnsi="Arial"/>
                <w:sz w:val="16"/>
                <w:szCs w:val="16"/>
              </w:rPr>
            </w:pPr>
            <w:r w:rsidRPr="00923180">
              <w:t>4</w:t>
            </w:r>
          </w:p>
        </w:tc>
        <w:tc>
          <w:tcPr>
            <w:tcW w:w="219" w:type="pct"/>
            <w:shd w:val="clear" w:color="auto" w:fill="auto"/>
            <w:noWrap/>
          </w:tcPr>
          <w:p w14:paraId="5761DA63"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A64"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shd w:val="clear" w:color="auto" w:fill="auto"/>
            <w:noWrap/>
            <w:vAlign w:val="bottom"/>
          </w:tcPr>
          <w:p w14:paraId="5761DA65"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3.21</w:t>
            </w:r>
          </w:p>
        </w:tc>
        <w:tc>
          <w:tcPr>
            <w:tcW w:w="271" w:type="pct"/>
            <w:shd w:val="clear" w:color="auto" w:fill="auto"/>
            <w:noWrap/>
            <w:vAlign w:val="bottom"/>
          </w:tcPr>
          <w:p w14:paraId="5761DA66"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0.75</w:t>
            </w:r>
          </w:p>
        </w:tc>
      </w:tr>
      <w:tr w:rsidR="00A56EE9" w:rsidRPr="00D96915" w14:paraId="5761DA7A" w14:textId="77777777" w:rsidTr="00BB6AD5">
        <w:trPr>
          <w:trHeight w:val="283"/>
        </w:trPr>
        <w:tc>
          <w:tcPr>
            <w:tcW w:w="321" w:type="pct"/>
            <w:shd w:val="clear" w:color="auto" w:fill="auto"/>
            <w:noWrap/>
            <w:vAlign w:val="bottom"/>
          </w:tcPr>
          <w:p w14:paraId="5761DA68"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OP2</w:t>
            </w:r>
          </w:p>
        </w:tc>
        <w:tc>
          <w:tcPr>
            <w:tcW w:w="1077" w:type="pct"/>
            <w:shd w:val="clear" w:color="auto" w:fill="auto"/>
            <w:noWrap/>
            <w:vAlign w:val="bottom"/>
          </w:tcPr>
          <w:p w14:paraId="5761DA69"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Timeframes met</w:t>
            </w:r>
          </w:p>
        </w:tc>
        <w:tc>
          <w:tcPr>
            <w:tcW w:w="220" w:type="pct"/>
            <w:shd w:val="clear" w:color="auto" w:fill="auto"/>
            <w:noWrap/>
          </w:tcPr>
          <w:p w14:paraId="5761DA6A"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Pr>
          <w:p w14:paraId="5761DA6B"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19" w:type="pct"/>
            <w:shd w:val="clear" w:color="auto" w:fill="auto"/>
            <w:noWrap/>
          </w:tcPr>
          <w:p w14:paraId="5761DA6C"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A6D"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6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6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7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71"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A72"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3</w:t>
            </w:r>
          </w:p>
        </w:tc>
        <w:tc>
          <w:tcPr>
            <w:tcW w:w="219" w:type="pct"/>
          </w:tcPr>
          <w:p w14:paraId="5761DA73"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A74"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2</w:t>
            </w:r>
          </w:p>
        </w:tc>
        <w:tc>
          <w:tcPr>
            <w:tcW w:w="219" w:type="pct"/>
          </w:tcPr>
          <w:p w14:paraId="5761DA75" w14:textId="77777777" w:rsidR="00A56EE9" w:rsidRPr="00923180" w:rsidRDefault="00A56EE9" w:rsidP="00BB6AD5">
            <w:pPr>
              <w:pStyle w:val="Tablebulletlist"/>
              <w:jc w:val="center"/>
              <w:rPr>
                <w:rStyle w:val="BookTitle"/>
                <w:rFonts w:ascii="Arial" w:hAnsi="Arial"/>
                <w:sz w:val="16"/>
                <w:szCs w:val="16"/>
              </w:rPr>
            </w:pPr>
            <w:r w:rsidRPr="00923180">
              <w:t>4</w:t>
            </w:r>
          </w:p>
        </w:tc>
        <w:tc>
          <w:tcPr>
            <w:tcW w:w="219" w:type="pct"/>
            <w:shd w:val="clear" w:color="auto" w:fill="auto"/>
            <w:noWrap/>
          </w:tcPr>
          <w:p w14:paraId="5761DA76"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A77"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shd w:val="clear" w:color="auto" w:fill="auto"/>
            <w:noWrap/>
            <w:vAlign w:val="bottom"/>
          </w:tcPr>
          <w:p w14:paraId="5761DA78"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2.93</w:t>
            </w:r>
          </w:p>
        </w:tc>
        <w:tc>
          <w:tcPr>
            <w:tcW w:w="271" w:type="pct"/>
            <w:shd w:val="clear" w:color="auto" w:fill="auto"/>
            <w:noWrap/>
            <w:vAlign w:val="bottom"/>
          </w:tcPr>
          <w:p w14:paraId="5761DA79"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0.93</w:t>
            </w:r>
          </w:p>
        </w:tc>
      </w:tr>
      <w:tr w:rsidR="00A56EE9" w:rsidRPr="00D96915" w14:paraId="5761DA8D" w14:textId="77777777" w:rsidTr="00BB6AD5">
        <w:trPr>
          <w:trHeight w:val="283"/>
        </w:trPr>
        <w:tc>
          <w:tcPr>
            <w:tcW w:w="321" w:type="pct"/>
            <w:shd w:val="clear" w:color="auto" w:fill="auto"/>
            <w:noWrap/>
            <w:vAlign w:val="bottom"/>
          </w:tcPr>
          <w:p w14:paraId="5761DA7B"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OP3</w:t>
            </w:r>
          </w:p>
        </w:tc>
        <w:tc>
          <w:tcPr>
            <w:tcW w:w="1077" w:type="pct"/>
            <w:shd w:val="clear" w:color="auto" w:fill="auto"/>
            <w:noWrap/>
            <w:vAlign w:val="bottom"/>
          </w:tcPr>
          <w:p w14:paraId="5761DA7C"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Results achieved objectives</w:t>
            </w:r>
          </w:p>
        </w:tc>
        <w:tc>
          <w:tcPr>
            <w:tcW w:w="220" w:type="pct"/>
            <w:shd w:val="clear" w:color="auto" w:fill="auto"/>
            <w:noWrap/>
          </w:tcPr>
          <w:p w14:paraId="5761DA7D"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20" w:type="pct"/>
          </w:tcPr>
          <w:p w14:paraId="5761DA7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19" w:type="pct"/>
            <w:shd w:val="clear" w:color="auto" w:fill="auto"/>
            <w:noWrap/>
          </w:tcPr>
          <w:p w14:paraId="5761DA7F" w14:textId="77777777" w:rsidR="00A56EE9" w:rsidRPr="00A61ACA" w:rsidRDefault="00A56EE9" w:rsidP="00BB6AD5">
            <w:pPr>
              <w:pStyle w:val="Tablebulletlist"/>
              <w:jc w:val="center"/>
              <w:rPr>
                <w:rStyle w:val="BookTitle"/>
                <w:rFonts w:ascii="Arial" w:hAnsi="Arial"/>
                <w:sz w:val="16"/>
                <w:szCs w:val="16"/>
              </w:rPr>
            </w:pPr>
            <w:r>
              <w:t>2</w:t>
            </w:r>
          </w:p>
        </w:tc>
        <w:tc>
          <w:tcPr>
            <w:tcW w:w="219" w:type="pct"/>
          </w:tcPr>
          <w:p w14:paraId="5761DA8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8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8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83"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84"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A85"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3</w:t>
            </w:r>
          </w:p>
        </w:tc>
        <w:tc>
          <w:tcPr>
            <w:tcW w:w="219" w:type="pct"/>
          </w:tcPr>
          <w:p w14:paraId="5761DA86"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A87"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2</w:t>
            </w:r>
          </w:p>
        </w:tc>
        <w:tc>
          <w:tcPr>
            <w:tcW w:w="219" w:type="pct"/>
          </w:tcPr>
          <w:p w14:paraId="5761DA88" w14:textId="77777777" w:rsidR="00A56EE9" w:rsidRPr="00923180" w:rsidRDefault="00A56EE9" w:rsidP="00BB6AD5">
            <w:pPr>
              <w:pStyle w:val="Tablebulletlist"/>
              <w:jc w:val="center"/>
              <w:rPr>
                <w:rStyle w:val="BookTitle"/>
                <w:rFonts w:ascii="Arial" w:hAnsi="Arial"/>
                <w:sz w:val="16"/>
                <w:szCs w:val="16"/>
              </w:rPr>
            </w:pPr>
            <w:r w:rsidRPr="00923180">
              <w:t>4</w:t>
            </w:r>
          </w:p>
        </w:tc>
        <w:tc>
          <w:tcPr>
            <w:tcW w:w="219" w:type="pct"/>
            <w:shd w:val="clear" w:color="auto" w:fill="auto"/>
            <w:noWrap/>
          </w:tcPr>
          <w:p w14:paraId="5761DA89"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A8A"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shd w:val="clear" w:color="auto" w:fill="auto"/>
            <w:noWrap/>
            <w:vAlign w:val="bottom"/>
          </w:tcPr>
          <w:p w14:paraId="5761DA8B"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2.93</w:t>
            </w:r>
          </w:p>
        </w:tc>
        <w:tc>
          <w:tcPr>
            <w:tcW w:w="271" w:type="pct"/>
            <w:shd w:val="clear" w:color="auto" w:fill="auto"/>
            <w:noWrap/>
            <w:vAlign w:val="bottom"/>
          </w:tcPr>
          <w:p w14:paraId="5761DA8C"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0.77</w:t>
            </w:r>
          </w:p>
        </w:tc>
      </w:tr>
      <w:tr w:rsidR="00A56EE9" w:rsidRPr="00D96915" w14:paraId="5761DAA0" w14:textId="77777777" w:rsidTr="00BB6AD5">
        <w:trPr>
          <w:trHeight w:val="283"/>
        </w:trPr>
        <w:tc>
          <w:tcPr>
            <w:tcW w:w="321" w:type="pct"/>
            <w:shd w:val="clear" w:color="auto" w:fill="auto"/>
            <w:noWrap/>
            <w:vAlign w:val="bottom"/>
          </w:tcPr>
          <w:p w14:paraId="5761DA8E"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OP4</w:t>
            </w:r>
          </w:p>
        </w:tc>
        <w:tc>
          <w:tcPr>
            <w:tcW w:w="1077" w:type="pct"/>
            <w:shd w:val="clear" w:color="auto" w:fill="auto"/>
            <w:noWrap/>
            <w:vAlign w:val="bottom"/>
          </w:tcPr>
          <w:p w14:paraId="5761DA8F"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Products delivered</w:t>
            </w:r>
          </w:p>
        </w:tc>
        <w:tc>
          <w:tcPr>
            <w:tcW w:w="220" w:type="pct"/>
            <w:shd w:val="clear" w:color="auto" w:fill="auto"/>
            <w:noWrap/>
          </w:tcPr>
          <w:p w14:paraId="5761DA9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Pr>
          <w:p w14:paraId="5761DA9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A9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A93"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94"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95"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96"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97"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A98" w14:textId="77777777" w:rsidR="00A56EE9" w:rsidRPr="00A01FB6" w:rsidRDefault="00A56EE9" w:rsidP="00BB6AD5">
            <w:pPr>
              <w:pStyle w:val="Tablebulletlist"/>
              <w:jc w:val="center"/>
              <w:rPr>
                <w:rStyle w:val="BookTitle"/>
                <w:rFonts w:ascii="Arial" w:hAnsi="Arial"/>
                <w:sz w:val="16"/>
                <w:szCs w:val="16"/>
              </w:rPr>
            </w:pPr>
            <w:r w:rsidRPr="00A01FB6">
              <w:t>4</w:t>
            </w:r>
          </w:p>
        </w:tc>
        <w:tc>
          <w:tcPr>
            <w:tcW w:w="219" w:type="pct"/>
          </w:tcPr>
          <w:p w14:paraId="5761DA99"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A9A"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2</w:t>
            </w:r>
          </w:p>
        </w:tc>
        <w:tc>
          <w:tcPr>
            <w:tcW w:w="219" w:type="pct"/>
          </w:tcPr>
          <w:p w14:paraId="5761DA9B" w14:textId="77777777" w:rsidR="00A56EE9" w:rsidRPr="00923180" w:rsidRDefault="00A56EE9" w:rsidP="00BB6AD5">
            <w:pPr>
              <w:pStyle w:val="Tablebulletlist"/>
              <w:jc w:val="center"/>
              <w:rPr>
                <w:rStyle w:val="BookTitle"/>
                <w:rFonts w:ascii="Arial" w:hAnsi="Arial"/>
                <w:sz w:val="16"/>
                <w:szCs w:val="16"/>
              </w:rPr>
            </w:pPr>
            <w:r w:rsidRPr="00923180">
              <w:t>4</w:t>
            </w:r>
          </w:p>
        </w:tc>
        <w:tc>
          <w:tcPr>
            <w:tcW w:w="219" w:type="pct"/>
            <w:shd w:val="clear" w:color="auto" w:fill="auto"/>
            <w:noWrap/>
          </w:tcPr>
          <w:p w14:paraId="5761DA9C"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A9D"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tcBorders>
              <w:bottom w:val="single" w:sz="4" w:space="0" w:color="auto"/>
            </w:tcBorders>
            <w:shd w:val="clear" w:color="auto" w:fill="auto"/>
            <w:noWrap/>
            <w:vAlign w:val="bottom"/>
          </w:tcPr>
          <w:p w14:paraId="5761DA9E"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3.36</w:t>
            </w:r>
          </w:p>
        </w:tc>
        <w:tc>
          <w:tcPr>
            <w:tcW w:w="271" w:type="pct"/>
            <w:tcBorders>
              <w:bottom w:val="single" w:sz="4" w:space="0" w:color="auto"/>
            </w:tcBorders>
            <w:shd w:val="clear" w:color="auto" w:fill="auto"/>
            <w:noWrap/>
            <w:vAlign w:val="bottom"/>
          </w:tcPr>
          <w:p w14:paraId="5761DA9F"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0.69</w:t>
            </w:r>
          </w:p>
        </w:tc>
      </w:tr>
      <w:tr w:rsidR="00A56EE9" w:rsidRPr="00D96915" w14:paraId="5761DAB3" w14:textId="77777777" w:rsidTr="00BB6AD5">
        <w:trPr>
          <w:trHeight w:val="283"/>
        </w:trPr>
        <w:tc>
          <w:tcPr>
            <w:tcW w:w="321" w:type="pct"/>
            <w:shd w:val="clear" w:color="auto" w:fill="auto"/>
            <w:noWrap/>
            <w:vAlign w:val="bottom"/>
          </w:tcPr>
          <w:p w14:paraId="5761DAA1"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OP5</w:t>
            </w:r>
          </w:p>
        </w:tc>
        <w:tc>
          <w:tcPr>
            <w:tcW w:w="1077" w:type="pct"/>
            <w:shd w:val="clear" w:color="auto" w:fill="auto"/>
            <w:noWrap/>
            <w:vAlign w:val="bottom"/>
          </w:tcPr>
          <w:p w14:paraId="5761DAA2"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Agency knowledge management systems</w:t>
            </w:r>
          </w:p>
        </w:tc>
        <w:tc>
          <w:tcPr>
            <w:tcW w:w="220" w:type="pct"/>
            <w:shd w:val="clear" w:color="auto" w:fill="auto"/>
            <w:noWrap/>
          </w:tcPr>
          <w:p w14:paraId="5761DAA3"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20" w:type="pct"/>
          </w:tcPr>
          <w:p w14:paraId="5761DAA4"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AA5"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AA6"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A7"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A8"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A9"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AA"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AAB"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4</w:t>
            </w:r>
          </w:p>
        </w:tc>
        <w:tc>
          <w:tcPr>
            <w:tcW w:w="219" w:type="pct"/>
          </w:tcPr>
          <w:p w14:paraId="5761DAAC"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2</w:t>
            </w:r>
          </w:p>
        </w:tc>
        <w:tc>
          <w:tcPr>
            <w:tcW w:w="219" w:type="pct"/>
          </w:tcPr>
          <w:p w14:paraId="5761DAAD"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AAE"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AAF"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19" w:type="pct"/>
            <w:shd w:val="clear" w:color="auto" w:fill="auto"/>
            <w:noWrap/>
          </w:tcPr>
          <w:p w14:paraId="5761DAB0" w14:textId="77777777" w:rsidR="00A56EE9" w:rsidRPr="00923180" w:rsidRDefault="00A56EE9" w:rsidP="00BB6AD5">
            <w:pPr>
              <w:pStyle w:val="Tablebulletlist"/>
              <w:jc w:val="center"/>
              <w:rPr>
                <w:rStyle w:val="BookTitle"/>
                <w:rFonts w:ascii="Arial" w:hAnsi="Arial"/>
                <w:sz w:val="16"/>
                <w:szCs w:val="16"/>
              </w:rPr>
            </w:pPr>
            <w:r w:rsidRPr="00923180">
              <w:t>2</w:t>
            </w:r>
          </w:p>
        </w:tc>
        <w:tc>
          <w:tcPr>
            <w:tcW w:w="263" w:type="pct"/>
            <w:tcBorders>
              <w:top w:val="single" w:sz="4" w:space="0" w:color="auto"/>
            </w:tcBorders>
            <w:shd w:val="clear" w:color="auto" w:fill="auto"/>
            <w:noWrap/>
            <w:vAlign w:val="bottom"/>
          </w:tcPr>
          <w:p w14:paraId="5761DAB1"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3.07</w:t>
            </w:r>
          </w:p>
        </w:tc>
        <w:tc>
          <w:tcPr>
            <w:tcW w:w="271" w:type="pct"/>
            <w:tcBorders>
              <w:top w:val="single" w:sz="4" w:space="0" w:color="auto"/>
            </w:tcBorders>
            <w:shd w:val="clear" w:color="auto" w:fill="auto"/>
            <w:noWrap/>
            <w:vAlign w:val="bottom"/>
          </w:tcPr>
          <w:p w14:paraId="5761DAB2"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0.68</w:t>
            </w:r>
          </w:p>
        </w:tc>
      </w:tr>
      <w:tr w:rsidR="00A56EE9" w:rsidRPr="00D96915" w14:paraId="5761DAC6" w14:textId="77777777" w:rsidTr="00BB6AD5">
        <w:trPr>
          <w:trHeight w:val="283"/>
        </w:trPr>
        <w:tc>
          <w:tcPr>
            <w:tcW w:w="321" w:type="pct"/>
            <w:shd w:val="clear" w:color="auto" w:fill="auto"/>
            <w:noWrap/>
            <w:vAlign w:val="bottom"/>
          </w:tcPr>
          <w:p w14:paraId="5761DAB4"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OP6</w:t>
            </w:r>
          </w:p>
        </w:tc>
        <w:tc>
          <w:tcPr>
            <w:tcW w:w="1077" w:type="pct"/>
            <w:shd w:val="clear" w:color="auto" w:fill="auto"/>
            <w:noWrap/>
            <w:vAlign w:val="bottom"/>
          </w:tcPr>
          <w:p w14:paraId="5761DAB5"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Community knowledge management systems</w:t>
            </w:r>
          </w:p>
        </w:tc>
        <w:tc>
          <w:tcPr>
            <w:tcW w:w="220" w:type="pct"/>
            <w:tcBorders>
              <w:bottom w:val="single" w:sz="4" w:space="0" w:color="auto"/>
            </w:tcBorders>
            <w:shd w:val="clear" w:color="auto" w:fill="auto"/>
            <w:noWrap/>
          </w:tcPr>
          <w:p w14:paraId="5761DAB6"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Borders>
              <w:bottom w:val="single" w:sz="4" w:space="0" w:color="auto"/>
            </w:tcBorders>
          </w:tcPr>
          <w:p w14:paraId="5761DAB7"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tcBorders>
              <w:bottom w:val="single" w:sz="4" w:space="0" w:color="auto"/>
            </w:tcBorders>
            <w:shd w:val="clear" w:color="auto" w:fill="auto"/>
            <w:noWrap/>
          </w:tcPr>
          <w:p w14:paraId="5761DAB8"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bottom w:val="single" w:sz="4" w:space="0" w:color="auto"/>
            </w:tcBorders>
          </w:tcPr>
          <w:p w14:paraId="5761DAB9"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tcBorders>
              <w:bottom w:val="single" w:sz="4" w:space="0" w:color="auto"/>
            </w:tcBorders>
            <w:shd w:val="clear" w:color="auto" w:fill="auto"/>
            <w:noWrap/>
          </w:tcPr>
          <w:p w14:paraId="5761DABA"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bottom w:val="single" w:sz="4" w:space="0" w:color="auto"/>
            </w:tcBorders>
            <w:shd w:val="clear" w:color="auto" w:fill="auto"/>
            <w:noWrap/>
          </w:tcPr>
          <w:p w14:paraId="5761DABB"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tcBorders>
              <w:bottom w:val="single" w:sz="4" w:space="0" w:color="auto"/>
            </w:tcBorders>
            <w:shd w:val="clear" w:color="auto" w:fill="auto"/>
            <w:noWrap/>
          </w:tcPr>
          <w:p w14:paraId="5761DABC"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bottom w:val="single" w:sz="4" w:space="0" w:color="auto"/>
            </w:tcBorders>
            <w:shd w:val="clear" w:color="auto" w:fill="auto"/>
            <w:noWrap/>
          </w:tcPr>
          <w:p w14:paraId="5761DABD" w14:textId="77777777" w:rsidR="00A56EE9" w:rsidRPr="00015E98" w:rsidRDefault="00A56EE9" w:rsidP="00BB6AD5">
            <w:pPr>
              <w:pStyle w:val="Tablebulletlist"/>
              <w:jc w:val="center"/>
              <w:rPr>
                <w:rStyle w:val="BookTitle"/>
                <w:rFonts w:ascii="Arial" w:hAnsi="Arial"/>
                <w:sz w:val="16"/>
                <w:szCs w:val="16"/>
              </w:rPr>
            </w:pPr>
            <w:r w:rsidRPr="00015E98">
              <w:t>2.5</w:t>
            </w:r>
          </w:p>
        </w:tc>
        <w:tc>
          <w:tcPr>
            <w:tcW w:w="219" w:type="pct"/>
            <w:tcBorders>
              <w:bottom w:val="single" w:sz="4" w:space="0" w:color="auto"/>
            </w:tcBorders>
            <w:shd w:val="clear" w:color="auto" w:fill="auto"/>
            <w:noWrap/>
          </w:tcPr>
          <w:p w14:paraId="5761DABE"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4</w:t>
            </w:r>
          </w:p>
        </w:tc>
        <w:tc>
          <w:tcPr>
            <w:tcW w:w="219" w:type="pct"/>
            <w:tcBorders>
              <w:bottom w:val="single" w:sz="4" w:space="0" w:color="auto"/>
            </w:tcBorders>
          </w:tcPr>
          <w:p w14:paraId="5761DABF"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Borders>
              <w:bottom w:val="single" w:sz="4" w:space="0" w:color="auto"/>
            </w:tcBorders>
          </w:tcPr>
          <w:p w14:paraId="5761DAC0"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Borders>
              <w:bottom w:val="single" w:sz="4" w:space="0" w:color="auto"/>
            </w:tcBorders>
          </w:tcPr>
          <w:p w14:paraId="5761DAC1"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tcBorders>
              <w:bottom w:val="single" w:sz="4" w:space="0" w:color="auto"/>
            </w:tcBorders>
            <w:shd w:val="clear" w:color="auto" w:fill="auto"/>
            <w:noWrap/>
          </w:tcPr>
          <w:p w14:paraId="5761DAC2"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2</w:t>
            </w:r>
          </w:p>
        </w:tc>
        <w:tc>
          <w:tcPr>
            <w:tcW w:w="219" w:type="pct"/>
            <w:tcBorders>
              <w:bottom w:val="single" w:sz="4" w:space="0" w:color="auto"/>
            </w:tcBorders>
            <w:shd w:val="clear" w:color="auto" w:fill="auto"/>
            <w:noWrap/>
          </w:tcPr>
          <w:p w14:paraId="5761DAC3"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AC4"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3.10</w:t>
            </w:r>
          </w:p>
        </w:tc>
        <w:tc>
          <w:tcPr>
            <w:tcW w:w="271" w:type="pct"/>
            <w:shd w:val="clear" w:color="auto" w:fill="auto"/>
            <w:noWrap/>
            <w:vAlign w:val="bottom"/>
          </w:tcPr>
          <w:p w14:paraId="5761DAC5"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0.64</w:t>
            </w:r>
          </w:p>
        </w:tc>
      </w:tr>
      <w:tr w:rsidR="00A56EE9" w:rsidRPr="00D96915" w14:paraId="5761DAD9" w14:textId="77777777" w:rsidTr="00BB6AD5">
        <w:trPr>
          <w:trHeight w:val="283"/>
        </w:trPr>
        <w:tc>
          <w:tcPr>
            <w:tcW w:w="321" w:type="pct"/>
            <w:shd w:val="clear" w:color="auto" w:fill="BFBFBF" w:themeFill="background1" w:themeFillShade="BF"/>
            <w:noWrap/>
            <w:vAlign w:val="bottom"/>
          </w:tcPr>
          <w:p w14:paraId="5761DAC7"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OP</w:t>
            </w:r>
          </w:p>
        </w:tc>
        <w:tc>
          <w:tcPr>
            <w:tcW w:w="1077" w:type="pct"/>
            <w:shd w:val="clear" w:color="auto" w:fill="BFBFBF" w:themeFill="background1" w:themeFillShade="BF"/>
            <w:noWrap/>
            <w:vAlign w:val="bottom"/>
          </w:tcPr>
          <w:p w14:paraId="5761DAC8"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Overall grade</w:t>
            </w:r>
          </w:p>
        </w:tc>
        <w:tc>
          <w:tcPr>
            <w:tcW w:w="220" w:type="pct"/>
            <w:tcBorders>
              <w:top w:val="single" w:sz="4" w:space="0" w:color="auto"/>
            </w:tcBorders>
            <w:shd w:val="clear" w:color="auto" w:fill="C5E0B3" w:themeFill="accent6" w:themeFillTint="66"/>
            <w:noWrap/>
            <w:vAlign w:val="center"/>
          </w:tcPr>
          <w:p w14:paraId="5761DAC9" w14:textId="77777777" w:rsidR="00A56EE9" w:rsidRPr="00D96915" w:rsidRDefault="00A56EE9" w:rsidP="00BB6AD5">
            <w:pPr>
              <w:pStyle w:val="Symbols"/>
              <w:framePr w:wrap="around"/>
              <w:spacing w:before="120" w:after="120"/>
              <w:jc w:val="center"/>
              <w:rPr>
                <w:rFonts w:ascii="Arial" w:hAnsi="Arial"/>
                <w:sz w:val="16"/>
                <w:szCs w:val="16"/>
              </w:rPr>
            </w:pPr>
          </w:p>
        </w:tc>
        <w:tc>
          <w:tcPr>
            <w:tcW w:w="220" w:type="pct"/>
            <w:tcBorders>
              <w:top w:val="single" w:sz="4" w:space="0" w:color="auto"/>
            </w:tcBorders>
            <w:shd w:val="clear" w:color="auto" w:fill="FF0000"/>
            <w:vAlign w:val="center"/>
          </w:tcPr>
          <w:p w14:paraId="5761DACA"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C5E0B3" w:themeFill="accent6" w:themeFillTint="66"/>
            <w:noWrap/>
            <w:vAlign w:val="center"/>
          </w:tcPr>
          <w:p w14:paraId="5761DACB"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538135" w:themeFill="accent6" w:themeFillShade="BF"/>
            <w:vAlign w:val="bottom"/>
          </w:tcPr>
          <w:p w14:paraId="5761DACC"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tcBorders>
            <w:shd w:val="clear" w:color="auto" w:fill="C5E0B3" w:themeFill="accent6" w:themeFillTint="66"/>
            <w:noWrap/>
            <w:vAlign w:val="center"/>
          </w:tcPr>
          <w:p w14:paraId="5761DACD"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ACE"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noWrap/>
            <w:vAlign w:val="bottom"/>
          </w:tcPr>
          <w:p w14:paraId="5761DACF"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noWrap/>
            <w:vAlign w:val="bottom"/>
          </w:tcPr>
          <w:p w14:paraId="5761DAD0" w14:textId="77777777" w:rsidR="00A56EE9" w:rsidRPr="00015E98"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AD1" w14:textId="77777777" w:rsidR="00A56EE9" w:rsidRPr="00A01FB6"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vAlign w:val="bottom"/>
          </w:tcPr>
          <w:p w14:paraId="5761DAD2" w14:textId="77777777" w:rsidR="00A56EE9" w:rsidRPr="00FF6384"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FFC000" w:themeFill="accent4"/>
            <w:vAlign w:val="bottom"/>
          </w:tcPr>
          <w:p w14:paraId="5761DAD3" w14:textId="77777777" w:rsidR="00A56EE9" w:rsidRPr="00B050B3"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vAlign w:val="bottom"/>
          </w:tcPr>
          <w:p w14:paraId="5761DAD4"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C5E0B3" w:themeFill="accent6" w:themeFillTint="66"/>
            <w:noWrap/>
            <w:vAlign w:val="bottom"/>
          </w:tcPr>
          <w:p w14:paraId="5761DAD5"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tcBorders>
            <w:shd w:val="clear" w:color="auto" w:fill="538135" w:themeFill="accent6" w:themeFillShade="BF"/>
            <w:noWrap/>
            <w:vAlign w:val="bottom"/>
          </w:tcPr>
          <w:p w14:paraId="5761DAD6"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63" w:type="pct"/>
            <w:shd w:val="clear" w:color="auto" w:fill="BFBFBF" w:themeFill="background1" w:themeFillShade="BF"/>
            <w:noWrap/>
            <w:vAlign w:val="center"/>
          </w:tcPr>
          <w:p w14:paraId="5761DAD7" w14:textId="77777777" w:rsidR="00A56EE9" w:rsidRPr="00BD7840" w:rsidRDefault="00A56EE9" w:rsidP="00BB6AD5">
            <w:pPr>
              <w:pStyle w:val="Tablebulletlist"/>
              <w:jc w:val="center"/>
              <w:rPr>
                <w:rFonts w:ascii="Arial" w:hAnsi="Arial" w:cs="Arial"/>
                <w:color w:val="000000"/>
                <w:sz w:val="16"/>
                <w:szCs w:val="16"/>
              </w:rPr>
            </w:pPr>
          </w:p>
        </w:tc>
        <w:tc>
          <w:tcPr>
            <w:tcW w:w="271" w:type="pct"/>
            <w:shd w:val="clear" w:color="auto" w:fill="BFBFBF" w:themeFill="background1" w:themeFillShade="BF"/>
            <w:noWrap/>
            <w:vAlign w:val="center"/>
          </w:tcPr>
          <w:p w14:paraId="5761DAD8" w14:textId="77777777" w:rsidR="00A56EE9" w:rsidRPr="00BD7840" w:rsidRDefault="00A56EE9" w:rsidP="00BB6AD5">
            <w:pPr>
              <w:pStyle w:val="Tablebulletlist"/>
              <w:jc w:val="center"/>
              <w:rPr>
                <w:rFonts w:ascii="Arial" w:hAnsi="Arial" w:cs="Arial"/>
                <w:color w:val="000000"/>
                <w:sz w:val="16"/>
                <w:szCs w:val="16"/>
              </w:rPr>
            </w:pPr>
          </w:p>
        </w:tc>
      </w:tr>
      <w:tr w:rsidR="00A56EE9" w:rsidRPr="00D96915" w14:paraId="5761DAEC" w14:textId="77777777" w:rsidTr="00BB6AD5">
        <w:trPr>
          <w:trHeight w:val="283"/>
        </w:trPr>
        <w:tc>
          <w:tcPr>
            <w:tcW w:w="321" w:type="pct"/>
            <w:shd w:val="clear" w:color="auto" w:fill="auto"/>
            <w:noWrap/>
            <w:vAlign w:val="bottom"/>
          </w:tcPr>
          <w:p w14:paraId="5761DADA"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OC1</w:t>
            </w:r>
          </w:p>
        </w:tc>
        <w:tc>
          <w:tcPr>
            <w:tcW w:w="1077" w:type="pct"/>
            <w:shd w:val="clear" w:color="auto" w:fill="auto"/>
            <w:noWrap/>
            <w:vAlign w:val="bottom"/>
          </w:tcPr>
          <w:p w14:paraId="5761DADB"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Outcomes being achieved</w:t>
            </w:r>
          </w:p>
        </w:tc>
        <w:tc>
          <w:tcPr>
            <w:tcW w:w="220" w:type="pct"/>
            <w:shd w:val="clear" w:color="auto" w:fill="auto"/>
            <w:noWrap/>
          </w:tcPr>
          <w:p w14:paraId="5761DADC"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20" w:type="pct"/>
          </w:tcPr>
          <w:p w14:paraId="5761DADD"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19" w:type="pct"/>
            <w:shd w:val="clear" w:color="auto" w:fill="auto"/>
            <w:noWrap/>
          </w:tcPr>
          <w:p w14:paraId="5761DAD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AD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E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E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E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E3"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3</w:t>
            </w:r>
          </w:p>
        </w:tc>
        <w:tc>
          <w:tcPr>
            <w:tcW w:w="219" w:type="pct"/>
            <w:shd w:val="clear" w:color="auto" w:fill="auto"/>
            <w:noWrap/>
          </w:tcPr>
          <w:p w14:paraId="5761DAE4"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3</w:t>
            </w:r>
          </w:p>
        </w:tc>
        <w:tc>
          <w:tcPr>
            <w:tcW w:w="219" w:type="pct"/>
          </w:tcPr>
          <w:p w14:paraId="5761DAE5"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AE6"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AE7"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AE8"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AE9"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shd w:val="clear" w:color="auto" w:fill="auto"/>
            <w:noWrap/>
            <w:vAlign w:val="bottom"/>
          </w:tcPr>
          <w:p w14:paraId="5761DAEA"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3.07</w:t>
            </w:r>
          </w:p>
        </w:tc>
        <w:tc>
          <w:tcPr>
            <w:tcW w:w="271" w:type="pct"/>
            <w:shd w:val="clear" w:color="auto" w:fill="auto"/>
            <w:noWrap/>
            <w:vAlign w:val="bottom"/>
          </w:tcPr>
          <w:p w14:paraId="5761DAEB"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0.93</w:t>
            </w:r>
          </w:p>
        </w:tc>
      </w:tr>
      <w:tr w:rsidR="00A56EE9" w:rsidRPr="00D96915" w14:paraId="5761DAFF" w14:textId="77777777" w:rsidTr="00BB6AD5">
        <w:trPr>
          <w:trHeight w:val="283"/>
        </w:trPr>
        <w:tc>
          <w:tcPr>
            <w:tcW w:w="321" w:type="pct"/>
            <w:shd w:val="clear" w:color="auto" w:fill="auto"/>
            <w:noWrap/>
            <w:vAlign w:val="bottom"/>
          </w:tcPr>
          <w:p w14:paraId="5761DAED"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OC2</w:t>
            </w:r>
          </w:p>
        </w:tc>
        <w:tc>
          <w:tcPr>
            <w:tcW w:w="1077" w:type="pct"/>
            <w:shd w:val="clear" w:color="auto" w:fill="auto"/>
            <w:noWrap/>
            <w:vAlign w:val="bottom"/>
          </w:tcPr>
          <w:p w14:paraId="5761DAEE"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 xml:space="preserve">Values protected </w:t>
            </w:r>
          </w:p>
        </w:tc>
        <w:tc>
          <w:tcPr>
            <w:tcW w:w="220" w:type="pct"/>
            <w:shd w:val="clear" w:color="auto" w:fill="auto"/>
            <w:noWrap/>
          </w:tcPr>
          <w:p w14:paraId="5761DAE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20" w:type="pct"/>
          </w:tcPr>
          <w:p w14:paraId="5761DAF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19" w:type="pct"/>
            <w:shd w:val="clear" w:color="auto" w:fill="auto"/>
            <w:noWrap/>
          </w:tcPr>
          <w:p w14:paraId="5761DAF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Pr>
          <w:p w14:paraId="5761DAF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F3"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F4"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AF5"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AF6"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2.5</w:t>
            </w:r>
          </w:p>
        </w:tc>
        <w:tc>
          <w:tcPr>
            <w:tcW w:w="219" w:type="pct"/>
            <w:shd w:val="clear" w:color="auto" w:fill="auto"/>
            <w:noWrap/>
          </w:tcPr>
          <w:p w14:paraId="5761DAF7"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2</w:t>
            </w:r>
          </w:p>
        </w:tc>
        <w:tc>
          <w:tcPr>
            <w:tcW w:w="219" w:type="pct"/>
          </w:tcPr>
          <w:p w14:paraId="5761DAF8"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AF9"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AFA"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AFB"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AFC"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AFD"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2.89</w:t>
            </w:r>
          </w:p>
        </w:tc>
        <w:tc>
          <w:tcPr>
            <w:tcW w:w="271" w:type="pct"/>
            <w:shd w:val="clear" w:color="auto" w:fill="auto"/>
            <w:noWrap/>
            <w:vAlign w:val="bottom"/>
          </w:tcPr>
          <w:p w14:paraId="5761DAFE"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0.78</w:t>
            </w:r>
          </w:p>
        </w:tc>
      </w:tr>
      <w:tr w:rsidR="00A56EE9" w:rsidRPr="00D96915" w14:paraId="5761DB12" w14:textId="77777777" w:rsidTr="00BB6AD5">
        <w:trPr>
          <w:trHeight w:val="283"/>
        </w:trPr>
        <w:tc>
          <w:tcPr>
            <w:tcW w:w="321" w:type="pct"/>
            <w:shd w:val="clear" w:color="auto" w:fill="auto"/>
            <w:noWrap/>
            <w:vAlign w:val="bottom"/>
          </w:tcPr>
          <w:p w14:paraId="5761DB00"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OC3</w:t>
            </w:r>
          </w:p>
        </w:tc>
        <w:tc>
          <w:tcPr>
            <w:tcW w:w="1077" w:type="pct"/>
            <w:shd w:val="clear" w:color="auto" w:fill="auto"/>
            <w:noWrap/>
            <w:vAlign w:val="bottom"/>
          </w:tcPr>
          <w:p w14:paraId="5761DB01"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Threats reduced</w:t>
            </w:r>
          </w:p>
        </w:tc>
        <w:tc>
          <w:tcPr>
            <w:tcW w:w="220" w:type="pct"/>
            <w:shd w:val="clear" w:color="auto" w:fill="auto"/>
            <w:noWrap/>
          </w:tcPr>
          <w:p w14:paraId="5761DB0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20" w:type="pct"/>
          </w:tcPr>
          <w:p w14:paraId="5761DB03"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19" w:type="pct"/>
            <w:shd w:val="clear" w:color="auto" w:fill="auto"/>
            <w:noWrap/>
          </w:tcPr>
          <w:p w14:paraId="5761DB04"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tcPr>
          <w:p w14:paraId="5761DB05"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B06"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B07"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B08"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B09" w14:textId="77777777" w:rsidR="00A56EE9" w:rsidRPr="00015E98" w:rsidRDefault="00A56EE9" w:rsidP="00BB6AD5">
            <w:pPr>
              <w:pStyle w:val="Tablebulletlist"/>
              <w:jc w:val="center"/>
              <w:rPr>
                <w:rStyle w:val="BookTitle"/>
                <w:rFonts w:ascii="Arial" w:hAnsi="Arial"/>
                <w:sz w:val="16"/>
                <w:szCs w:val="16"/>
              </w:rPr>
            </w:pPr>
            <w:r w:rsidRPr="00015E98">
              <w:rPr>
                <w:rFonts w:ascii="Arial" w:hAnsi="Arial" w:cs="Arial"/>
                <w:sz w:val="16"/>
                <w:szCs w:val="16"/>
              </w:rPr>
              <w:t>2.5</w:t>
            </w:r>
          </w:p>
        </w:tc>
        <w:tc>
          <w:tcPr>
            <w:tcW w:w="219" w:type="pct"/>
            <w:shd w:val="clear" w:color="auto" w:fill="auto"/>
            <w:noWrap/>
          </w:tcPr>
          <w:p w14:paraId="5761DB0A"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3</w:t>
            </w:r>
          </w:p>
        </w:tc>
        <w:tc>
          <w:tcPr>
            <w:tcW w:w="219" w:type="pct"/>
          </w:tcPr>
          <w:p w14:paraId="5761DB0B"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4</w:t>
            </w:r>
          </w:p>
        </w:tc>
        <w:tc>
          <w:tcPr>
            <w:tcW w:w="219" w:type="pct"/>
          </w:tcPr>
          <w:p w14:paraId="5761DB0C"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B0D"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B0E"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B0F"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3</w:t>
            </w:r>
          </w:p>
        </w:tc>
        <w:tc>
          <w:tcPr>
            <w:tcW w:w="263" w:type="pct"/>
            <w:shd w:val="clear" w:color="auto" w:fill="auto"/>
            <w:noWrap/>
            <w:vAlign w:val="bottom"/>
          </w:tcPr>
          <w:p w14:paraId="5761DB10"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2.89</w:t>
            </w:r>
          </w:p>
        </w:tc>
        <w:tc>
          <w:tcPr>
            <w:tcW w:w="271" w:type="pct"/>
            <w:shd w:val="clear" w:color="auto" w:fill="auto"/>
            <w:noWrap/>
            <w:vAlign w:val="bottom"/>
          </w:tcPr>
          <w:p w14:paraId="5761DB11"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1.00</w:t>
            </w:r>
          </w:p>
        </w:tc>
      </w:tr>
      <w:tr w:rsidR="00A56EE9" w:rsidRPr="00D96915" w14:paraId="5761DB25" w14:textId="77777777" w:rsidTr="00BB6AD5">
        <w:trPr>
          <w:trHeight w:val="283"/>
        </w:trPr>
        <w:tc>
          <w:tcPr>
            <w:tcW w:w="321" w:type="pct"/>
            <w:shd w:val="clear" w:color="auto" w:fill="auto"/>
            <w:noWrap/>
            <w:vAlign w:val="bottom"/>
          </w:tcPr>
          <w:p w14:paraId="5761DB13"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OC4</w:t>
            </w:r>
          </w:p>
        </w:tc>
        <w:tc>
          <w:tcPr>
            <w:tcW w:w="1077" w:type="pct"/>
            <w:shd w:val="clear" w:color="auto" w:fill="auto"/>
            <w:noWrap/>
            <w:vAlign w:val="bottom"/>
          </w:tcPr>
          <w:p w14:paraId="5761DB14"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Environmentally sustainable</w:t>
            </w:r>
          </w:p>
        </w:tc>
        <w:tc>
          <w:tcPr>
            <w:tcW w:w="220" w:type="pct"/>
            <w:shd w:val="clear" w:color="auto" w:fill="auto"/>
            <w:noWrap/>
          </w:tcPr>
          <w:p w14:paraId="5761DB15"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20" w:type="pct"/>
          </w:tcPr>
          <w:p w14:paraId="5761DB16"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19" w:type="pct"/>
            <w:shd w:val="clear" w:color="auto" w:fill="auto"/>
            <w:noWrap/>
          </w:tcPr>
          <w:p w14:paraId="5761DB17"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tcPr>
          <w:p w14:paraId="5761DB18"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B19"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B1A"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B1B"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B1C" w14:textId="77777777" w:rsidR="00A56EE9" w:rsidRPr="00015E98" w:rsidRDefault="00A56EE9" w:rsidP="00BB6AD5">
            <w:pPr>
              <w:pStyle w:val="Tablebulletlist"/>
              <w:jc w:val="center"/>
              <w:rPr>
                <w:rStyle w:val="BookTitle"/>
                <w:rFonts w:ascii="Arial" w:hAnsi="Arial"/>
                <w:sz w:val="16"/>
                <w:szCs w:val="16"/>
              </w:rPr>
            </w:pPr>
            <w:r w:rsidRPr="00015E98">
              <w:t>3.5</w:t>
            </w:r>
          </w:p>
        </w:tc>
        <w:tc>
          <w:tcPr>
            <w:tcW w:w="219" w:type="pct"/>
            <w:shd w:val="clear" w:color="auto" w:fill="auto"/>
            <w:noWrap/>
          </w:tcPr>
          <w:p w14:paraId="5761DB1D"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2</w:t>
            </w:r>
          </w:p>
        </w:tc>
        <w:tc>
          <w:tcPr>
            <w:tcW w:w="219" w:type="pct"/>
          </w:tcPr>
          <w:p w14:paraId="5761DB1E"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4</w:t>
            </w:r>
          </w:p>
        </w:tc>
        <w:tc>
          <w:tcPr>
            <w:tcW w:w="219" w:type="pct"/>
          </w:tcPr>
          <w:p w14:paraId="5761DB1F"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B20"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B21"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B22"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shd w:val="clear" w:color="auto" w:fill="auto"/>
            <w:noWrap/>
            <w:vAlign w:val="bottom"/>
          </w:tcPr>
          <w:p w14:paraId="5761DB23"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2.89</w:t>
            </w:r>
          </w:p>
        </w:tc>
        <w:tc>
          <w:tcPr>
            <w:tcW w:w="271" w:type="pct"/>
            <w:shd w:val="clear" w:color="auto" w:fill="auto"/>
            <w:noWrap/>
            <w:vAlign w:val="bottom"/>
          </w:tcPr>
          <w:p w14:paraId="5761DB24"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0.90</w:t>
            </w:r>
          </w:p>
        </w:tc>
      </w:tr>
      <w:tr w:rsidR="00A56EE9" w:rsidRPr="00D96915" w14:paraId="5761DB38" w14:textId="77777777" w:rsidTr="00BB6AD5">
        <w:trPr>
          <w:trHeight w:val="283"/>
        </w:trPr>
        <w:tc>
          <w:tcPr>
            <w:tcW w:w="321" w:type="pct"/>
            <w:shd w:val="clear" w:color="auto" w:fill="auto"/>
            <w:noWrap/>
            <w:vAlign w:val="bottom"/>
          </w:tcPr>
          <w:p w14:paraId="5761DB26"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OC5</w:t>
            </w:r>
          </w:p>
        </w:tc>
        <w:tc>
          <w:tcPr>
            <w:tcW w:w="1077" w:type="pct"/>
            <w:shd w:val="clear" w:color="auto" w:fill="auto"/>
            <w:noWrap/>
            <w:vAlign w:val="bottom"/>
          </w:tcPr>
          <w:p w14:paraId="5761DB27"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Economically sustainable</w:t>
            </w:r>
          </w:p>
        </w:tc>
        <w:tc>
          <w:tcPr>
            <w:tcW w:w="220" w:type="pct"/>
            <w:shd w:val="clear" w:color="auto" w:fill="auto"/>
            <w:noWrap/>
          </w:tcPr>
          <w:p w14:paraId="5761DB28"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20" w:type="pct"/>
          </w:tcPr>
          <w:p w14:paraId="5761DB29"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1</w:t>
            </w:r>
          </w:p>
        </w:tc>
        <w:tc>
          <w:tcPr>
            <w:tcW w:w="219" w:type="pct"/>
            <w:shd w:val="clear" w:color="auto" w:fill="auto"/>
            <w:noWrap/>
          </w:tcPr>
          <w:p w14:paraId="5761DB2A"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tcPr>
          <w:p w14:paraId="5761DB2B"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B2C"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B2D"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B2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shd w:val="clear" w:color="auto" w:fill="auto"/>
            <w:noWrap/>
          </w:tcPr>
          <w:p w14:paraId="5761DB2F" w14:textId="77777777" w:rsidR="00A56EE9" w:rsidRPr="00015E98" w:rsidRDefault="00A56EE9" w:rsidP="00BB6AD5">
            <w:pPr>
              <w:pStyle w:val="Tablebulletlist"/>
              <w:jc w:val="center"/>
              <w:rPr>
                <w:rStyle w:val="BookTitle"/>
                <w:rFonts w:ascii="Arial" w:hAnsi="Arial"/>
                <w:sz w:val="16"/>
                <w:szCs w:val="16"/>
              </w:rPr>
            </w:pPr>
            <w:r w:rsidRPr="00015E98">
              <w:t>2.5</w:t>
            </w:r>
          </w:p>
        </w:tc>
        <w:tc>
          <w:tcPr>
            <w:tcW w:w="219" w:type="pct"/>
            <w:shd w:val="clear" w:color="auto" w:fill="auto"/>
            <w:noWrap/>
          </w:tcPr>
          <w:p w14:paraId="5761DB30"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2</w:t>
            </w:r>
          </w:p>
        </w:tc>
        <w:tc>
          <w:tcPr>
            <w:tcW w:w="219" w:type="pct"/>
          </w:tcPr>
          <w:p w14:paraId="5761DB31"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4</w:t>
            </w:r>
          </w:p>
        </w:tc>
        <w:tc>
          <w:tcPr>
            <w:tcW w:w="219" w:type="pct"/>
          </w:tcPr>
          <w:p w14:paraId="5761DB32"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Pr>
          <w:p w14:paraId="5761DB33" w14:textId="77777777" w:rsidR="00A56EE9" w:rsidRPr="00923180" w:rsidRDefault="00A56EE9" w:rsidP="00BB6AD5">
            <w:pPr>
              <w:pStyle w:val="Tablebulletlist"/>
              <w:jc w:val="center"/>
              <w:rPr>
                <w:rStyle w:val="BookTitle"/>
                <w:rFonts w:ascii="Arial" w:hAnsi="Arial"/>
                <w:sz w:val="16"/>
                <w:szCs w:val="16"/>
              </w:rPr>
            </w:pPr>
          </w:p>
        </w:tc>
        <w:tc>
          <w:tcPr>
            <w:tcW w:w="219" w:type="pct"/>
            <w:shd w:val="clear" w:color="auto" w:fill="auto"/>
            <w:noWrap/>
          </w:tcPr>
          <w:p w14:paraId="5761DB34"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B35" w14:textId="77777777" w:rsidR="00A56EE9" w:rsidRPr="00923180" w:rsidRDefault="00A56EE9" w:rsidP="00BB6AD5">
            <w:pPr>
              <w:pStyle w:val="Tablebulletlist"/>
              <w:jc w:val="center"/>
              <w:rPr>
                <w:rStyle w:val="BookTitle"/>
                <w:rFonts w:ascii="Arial" w:hAnsi="Arial"/>
                <w:sz w:val="16"/>
                <w:szCs w:val="16"/>
              </w:rPr>
            </w:pPr>
            <w:r w:rsidRPr="00923180">
              <w:rPr>
                <w:rStyle w:val="BookTitle"/>
                <w:rFonts w:ascii="Arial" w:hAnsi="Arial"/>
                <w:sz w:val="16"/>
                <w:szCs w:val="16"/>
              </w:rPr>
              <w:t>3</w:t>
            </w:r>
          </w:p>
        </w:tc>
        <w:tc>
          <w:tcPr>
            <w:tcW w:w="263" w:type="pct"/>
            <w:tcBorders>
              <w:bottom w:val="single" w:sz="4" w:space="0" w:color="auto"/>
            </w:tcBorders>
            <w:shd w:val="clear" w:color="auto" w:fill="auto"/>
            <w:noWrap/>
            <w:vAlign w:val="bottom"/>
          </w:tcPr>
          <w:p w14:paraId="5761DB36"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2.88</w:t>
            </w:r>
          </w:p>
        </w:tc>
        <w:tc>
          <w:tcPr>
            <w:tcW w:w="271" w:type="pct"/>
            <w:tcBorders>
              <w:bottom w:val="single" w:sz="4" w:space="0" w:color="auto"/>
            </w:tcBorders>
            <w:shd w:val="clear" w:color="auto" w:fill="auto"/>
            <w:noWrap/>
            <w:vAlign w:val="bottom"/>
          </w:tcPr>
          <w:p w14:paraId="5761DB37"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0.89</w:t>
            </w:r>
          </w:p>
        </w:tc>
      </w:tr>
      <w:tr w:rsidR="00A56EE9" w:rsidRPr="00D96915" w14:paraId="5761DB4B" w14:textId="77777777" w:rsidTr="00BB6AD5">
        <w:trPr>
          <w:trHeight w:val="283"/>
        </w:trPr>
        <w:tc>
          <w:tcPr>
            <w:tcW w:w="321" w:type="pct"/>
            <w:shd w:val="clear" w:color="auto" w:fill="auto"/>
            <w:noWrap/>
            <w:vAlign w:val="bottom"/>
          </w:tcPr>
          <w:p w14:paraId="5761DB39"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OC6</w:t>
            </w:r>
          </w:p>
        </w:tc>
        <w:tc>
          <w:tcPr>
            <w:tcW w:w="1077" w:type="pct"/>
            <w:shd w:val="clear" w:color="auto" w:fill="auto"/>
            <w:noWrap/>
            <w:vAlign w:val="bottom"/>
          </w:tcPr>
          <w:p w14:paraId="5761DB3A"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Socially sustainable</w:t>
            </w:r>
          </w:p>
        </w:tc>
        <w:tc>
          <w:tcPr>
            <w:tcW w:w="220" w:type="pct"/>
            <w:shd w:val="clear" w:color="auto" w:fill="auto"/>
            <w:noWrap/>
          </w:tcPr>
          <w:p w14:paraId="5761DB3B"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20" w:type="pct"/>
          </w:tcPr>
          <w:p w14:paraId="5761DB3C" w14:textId="77777777" w:rsidR="00A56EE9" w:rsidRPr="00A61ACA" w:rsidRDefault="00A56EE9" w:rsidP="00BB6AD5">
            <w:pPr>
              <w:pStyle w:val="Tablebulletlist"/>
              <w:jc w:val="center"/>
              <w:rPr>
                <w:rStyle w:val="BookTitle"/>
                <w:rFonts w:ascii="Arial" w:hAnsi="Arial"/>
                <w:sz w:val="16"/>
                <w:szCs w:val="16"/>
              </w:rPr>
            </w:pPr>
          </w:p>
        </w:tc>
        <w:tc>
          <w:tcPr>
            <w:tcW w:w="219" w:type="pct"/>
            <w:shd w:val="clear" w:color="auto" w:fill="auto"/>
            <w:noWrap/>
          </w:tcPr>
          <w:p w14:paraId="5761DB3D" w14:textId="77777777" w:rsidR="00A56EE9" w:rsidRPr="00A61ACA" w:rsidRDefault="00A56EE9" w:rsidP="00BB6AD5">
            <w:pPr>
              <w:pStyle w:val="Tablebulletlist"/>
              <w:jc w:val="center"/>
              <w:rPr>
                <w:rStyle w:val="BookTitle"/>
                <w:rFonts w:ascii="Arial" w:hAnsi="Arial"/>
                <w:sz w:val="16"/>
                <w:szCs w:val="16"/>
              </w:rPr>
            </w:pPr>
            <w:r>
              <w:t>3</w:t>
            </w:r>
          </w:p>
        </w:tc>
        <w:tc>
          <w:tcPr>
            <w:tcW w:w="219" w:type="pct"/>
          </w:tcPr>
          <w:p w14:paraId="5761DB3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B3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B4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shd w:val="clear" w:color="auto" w:fill="auto"/>
            <w:noWrap/>
          </w:tcPr>
          <w:p w14:paraId="5761DB4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shd w:val="clear" w:color="auto" w:fill="auto"/>
            <w:noWrap/>
          </w:tcPr>
          <w:p w14:paraId="5761DB42" w14:textId="77777777" w:rsidR="00A56EE9" w:rsidRPr="00015E98" w:rsidRDefault="00A56EE9" w:rsidP="00BB6AD5">
            <w:pPr>
              <w:pStyle w:val="Tablebulletlist"/>
              <w:jc w:val="center"/>
              <w:rPr>
                <w:rStyle w:val="BookTitle"/>
                <w:rFonts w:ascii="Arial" w:hAnsi="Arial"/>
                <w:sz w:val="16"/>
                <w:szCs w:val="16"/>
              </w:rPr>
            </w:pPr>
            <w:r w:rsidRPr="00015E98">
              <w:rPr>
                <w:rStyle w:val="BookTitle"/>
                <w:rFonts w:ascii="Arial" w:hAnsi="Arial"/>
                <w:sz w:val="16"/>
                <w:szCs w:val="16"/>
              </w:rPr>
              <w:t>2</w:t>
            </w:r>
          </w:p>
        </w:tc>
        <w:tc>
          <w:tcPr>
            <w:tcW w:w="219" w:type="pct"/>
            <w:shd w:val="clear" w:color="auto" w:fill="auto"/>
            <w:noWrap/>
          </w:tcPr>
          <w:p w14:paraId="5761DB43" w14:textId="77777777" w:rsidR="00A56EE9" w:rsidRPr="00A01FB6" w:rsidRDefault="00A56EE9" w:rsidP="00BB6AD5">
            <w:pPr>
              <w:pStyle w:val="Tablebulletlist"/>
              <w:jc w:val="center"/>
              <w:rPr>
                <w:rStyle w:val="BookTitle"/>
                <w:rFonts w:ascii="Arial" w:hAnsi="Arial"/>
                <w:sz w:val="16"/>
                <w:szCs w:val="16"/>
              </w:rPr>
            </w:pPr>
            <w:r w:rsidRPr="00A01FB6">
              <w:rPr>
                <w:rFonts w:ascii="Arial" w:hAnsi="Arial" w:cs="Arial"/>
                <w:sz w:val="16"/>
                <w:szCs w:val="16"/>
              </w:rPr>
              <w:t>2</w:t>
            </w:r>
          </w:p>
        </w:tc>
        <w:tc>
          <w:tcPr>
            <w:tcW w:w="219" w:type="pct"/>
          </w:tcPr>
          <w:p w14:paraId="5761DB44"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3</w:t>
            </w:r>
          </w:p>
        </w:tc>
        <w:tc>
          <w:tcPr>
            <w:tcW w:w="219" w:type="pct"/>
          </w:tcPr>
          <w:p w14:paraId="5761DB45"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4</w:t>
            </w:r>
          </w:p>
        </w:tc>
        <w:tc>
          <w:tcPr>
            <w:tcW w:w="219" w:type="pct"/>
          </w:tcPr>
          <w:p w14:paraId="5761DB46"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B47"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shd w:val="clear" w:color="auto" w:fill="auto"/>
            <w:noWrap/>
          </w:tcPr>
          <w:p w14:paraId="5761DB48"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tcBorders>
              <w:top w:val="single" w:sz="4" w:space="0" w:color="auto"/>
              <w:bottom w:val="single" w:sz="4" w:space="0" w:color="auto"/>
            </w:tcBorders>
            <w:shd w:val="clear" w:color="auto" w:fill="auto"/>
            <w:noWrap/>
            <w:vAlign w:val="bottom"/>
          </w:tcPr>
          <w:p w14:paraId="5761DB49"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3.46</w:t>
            </w:r>
          </w:p>
        </w:tc>
        <w:tc>
          <w:tcPr>
            <w:tcW w:w="271" w:type="pct"/>
            <w:tcBorders>
              <w:top w:val="single" w:sz="4" w:space="0" w:color="auto"/>
              <w:bottom w:val="single" w:sz="4" w:space="0" w:color="auto"/>
            </w:tcBorders>
            <w:shd w:val="clear" w:color="auto" w:fill="auto"/>
            <w:noWrap/>
            <w:vAlign w:val="bottom"/>
          </w:tcPr>
          <w:p w14:paraId="5761DB4A"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0.72</w:t>
            </w:r>
          </w:p>
        </w:tc>
      </w:tr>
      <w:tr w:rsidR="00A56EE9" w:rsidRPr="00D96915" w14:paraId="5761DB5E" w14:textId="77777777" w:rsidTr="00BB6AD5">
        <w:trPr>
          <w:trHeight w:val="283"/>
        </w:trPr>
        <w:tc>
          <w:tcPr>
            <w:tcW w:w="321" w:type="pct"/>
            <w:shd w:val="clear" w:color="auto" w:fill="auto"/>
            <w:noWrap/>
            <w:vAlign w:val="bottom"/>
          </w:tcPr>
          <w:p w14:paraId="5761DB4C"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OC7</w:t>
            </w:r>
          </w:p>
        </w:tc>
        <w:tc>
          <w:tcPr>
            <w:tcW w:w="1077" w:type="pct"/>
            <w:shd w:val="clear" w:color="auto" w:fill="auto"/>
            <w:noWrap/>
            <w:vAlign w:val="bottom"/>
          </w:tcPr>
          <w:p w14:paraId="5761DB4D"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Effective partnerships</w:t>
            </w:r>
          </w:p>
        </w:tc>
        <w:tc>
          <w:tcPr>
            <w:tcW w:w="220" w:type="pct"/>
            <w:tcBorders>
              <w:bottom w:val="single" w:sz="4" w:space="0" w:color="auto"/>
            </w:tcBorders>
            <w:shd w:val="clear" w:color="auto" w:fill="auto"/>
            <w:noWrap/>
          </w:tcPr>
          <w:p w14:paraId="5761DB4E"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20" w:type="pct"/>
            <w:tcBorders>
              <w:bottom w:val="single" w:sz="4" w:space="0" w:color="auto"/>
            </w:tcBorders>
          </w:tcPr>
          <w:p w14:paraId="5761DB4F"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2</w:t>
            </w:r>
          </w:p>
        </w:tc>
        <w:tc>
          <w:tcPr>
            <w:tcW w:w="219" w:type="pct"/>
            <w:tcBorders>
              <w:bottom w:val="single" w:sz="4" w:space="0" w:color="auto"/>
            </w:tcBorders>
            <w:shd w:val="clear" w:color="auto" w:fill="auto"/>
            <w:noWrap/>
          </w:tcPr>
          <w:p w14:paraId="5761DB50"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bottom w:val="single" w:sz="4" w:space="0" w:color="auto"/>
            </w:tcBorders>
          </w:tcPr>
          <w:p w14:paraId="5761DB51"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tcBorders>
              <w:bottom w:val="single" w:sz="4" w:space="0" w:color="auto"/>
            </w:tcBorders>
            <w:shd w:val="clear" w:color="auto" w:fill="auto"/>
            <w:noWrap/>
          </w:tcPr>
          <w:p w14:paraId="5761DB52"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bottom w:val="single" w:sz="4" w:space="0" w:color="auto"/>
            </w:tcBorders>
            <w:shd w:val="clear" w:color="auto" w:fill="auto"/>
            <w:noWrap/>
          </w:tcPr>
          <w:p w14:paraId="5761DB53"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4</w:t>
            </w:r>
          </w:p>
        </w:tc>
        <w:tc>
          <w:tcPr>
            <w:tcW w:w="219" w:type="pct"/>
            <w:tcBorders>
              <w:bottom w:val="single" w:sz="4" w:space="0" w:color="auto"/>
            </w:tcBorders>
            <w:shd w:val="clear" w:color="auto" w:fill="auto"/>
            <w:noWrap/>
          </w:tcPr>
          <w:p w14:paraId="5761DB54" w14:textId="77777777" w:rsidR="00A56EE9" w:rsidRPr="00A61ACA" w:rsidRDefault="00A56EE9" w:rsidP="00BB6AD5">
            <w:pPr>
              <w:pStyle w:val="Tablebulletlist"/>
              <w:jc w:val="center"/>
              <w:rPr>
                <w:rStyle w:val="BookTitle"/>
                <w:rFonts w:ascii="Arial" w:hAnsi="Arial"/>
                <w:sz w:val="16"/>
                <w:szCs w:val="16"/>
              </w:rPr>
            </w:pPr>
            <w:r w:rsidRPr="00A61ACA">
              <w:rPr>
                <w:rFonts w:ascii="Arial" w:hAnsi="Arial" w:cs="Arial"/>
                <w:sz w:val="16"/>
                <w:szCs w:val="16"/>
              </w:rPr>
              <w:t>3</w:t>
            </w:r>
          </w:p>
        </w:tc>
        <w:tc>
          <w:tcPr>
            <w:tcW w:w="219" w:type="pct"/>
            <w:tcBorders>
              <w:bottom w:val="single" w:sz="4" w:space="0" w:color="auto"/>
            </w:tcBorders>
            <w:shd w:val="clear" w:color="auto" w:fill="auto"/>
            <w:noWrap/>
          </w:tcPr>
          <w:p w14:paraId="5761DB55" w14:textId="77777777" w:rsidR="00A56EE9" w:rsidRPr="00015E98" w:rsidRDefault="00A56EE9" w:rsidP="00BB6AD5">
            <w:pPr>
              <w:pStyle w:val="Tablebulletlist"/>
              <w:jc w:val="center"/>
              <w:rPr>
                <w:rStyle w:val="BookTitle"/>
                <w:rFonts w:ascii="Arial" w:hAnsi="Arial"/>
                <w:sz w:val="16"/>
                <w:szCs w:val="16"/>
              </w:rPr>
            </w:pPr>
            <w:r w:rsidRPr="00015E98">
              <w:t>3.5</w:t>
            </w:r>
          </w:p>
        </w:tc>
        <w:tc>
          <w:tcPr>
            <w:tcW w:w="219" w:type="pct"/>
            <w:tcBorders>
              <w:bottom w:val="single" w:sz="4" w:space="0" w:color="auto"/>
            </w:tcBorders>
            <w:shd w:val="clear" w:color="auto" w:fill="auto"/>
            <w:noWrap/>
          </w:tcPr>
          <w:p w14:paraId="5761DB56" w14:textId="77777777" w:rsidR="00A56EE9" w:rsidRPr="00A01FB6" w:rsidRDefault="00A56EE9" w:rsidP="00BB6AD5">
            <w:pPr>
              <w:pStyle w:val="Tablebulletlist"/>
              <w:jc w:val="center"/>
              <w:rPr>
                <w:rStyle w:val="BookTitle"/>
                <w:rFonts w:ascii="Arial" w:hAnsi="Arial"/>
                <w:sz w:val="16"/>
                <w:szCs w:val="16"/>
              </w:rPr>
            </w:pPr>
            <w:r w:rsidRPr="00A01FB6">
              <w:t>4</w:t>
            </w:r>
          </w:p>
        </w:tc>
        <w:tc>
          <w:tcPr>
            <w:tcW w:w="219" w:type="pct"/>
            <w:tcBorders>
              <w:bottom w:val="single" w:sz="4" w:space="0" w:color="auto"/>
            </w:tcBorders>
          </w:tcPr>
          <w:p w14:paraId="5761DB57" w14:textId="77777777" w:rsidR="00A56EE9" w:rsidRPr="00FF6384" w:rsidRDefault="00A56EE9" w:rsidP="00BB6AD5">
            <w:pPr>
              <w:pStyle w:val="Tablebulletlist"/>
              <w:jc w:val="center"/>
              <w:rPr>
                <w:rStyle w:val="BookTitle"/>
                <w:rFonts w:ascii="Arial" w:hAnsi="Arial"/>
                <w:sz w:val="16"/>
                <w:szCs w:val="16"/>
              </w:rPr>
            </w:pPr>
            <w:r w:rsidRPr="00FF6384">
              <w:rPr>
                <w:rFonts w:ascii="Arial" w:hAnsi="Arial" w:cs="Arial"/>
                <w:sz w:val="16"/>
                <w:szCs w:val="16"/>
              </w:rPr>
              <w:t>4</w:t>
            </w:r>
          </w:p>
        </w:tc>
        <w:tc>
          <w:tcPr>
            <w:tcW w:w="219" w:type="pct"/>
            <w:tcBorders>
              <w:bottom w:val="single" w:sz="4" w:space="0" w:color="auto"/>
            </w:tcBorders>
          </w:tcPr>
          <w:p w14:paraId="5761DB58" w14:textId="77777777" w:rsidR="00A56EE9" w:rsidRPr="00B050B3" w:rsidRDefault="00A56EE9" w:rsidP="00BB6AD5">
            <w:pPr>
              <w:pStyle w:val="Tablebulletlist"/>
              <w:jc w:val="center"/>
              <w:rPr>
                <w:rStyle w:val="BookTitle"/>
                <w:rFonts w:ascii="Arial" w:hAnsi="Arial"/>
                <w:sz w:val="16"/>
                <w:szCs w:val="16"/>
              </w:rPr>
            </w:pPr>
            <w:r w:rsidRPr="00B050B3">
              <w:rPr>
                <w:rFonts w:ascii="Arial" w:hAnsi="Arial" w:cs="Arial"/>
                <w:sz w:val="16"/>
                <w:szCs w:val="16"/>
              </w:rPr>
              <w:t>3</w:t>
            </w:r>
          </w:p>
        </w:tc>
        <w:tc>
          <w:tcPr>
            <w:tcW w:w="219" w:type="pct"/>
            <w:tcBorders>
              <w:bottom w:val="single" w:sz="4" w:space="0" w:color="auto"/>
            </w:tcBorders>
          </w:tcPr>
          <w:p w14:paraId="5761DB59"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tcBorders>
              <w:bottom w:val="single" w:sz="4" w:space="0" w:color="auto"/>
            </w:tcBorders>
            <w:shd w:val="clear" w:color="auto" w:fill="auto"/>
            <w:noWrap/>
          </w:tcPr>
          <w:p w14:paraId="5761DB5A"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19" w:type="pct"/>
            <w:tcBorders>
              <w:bottom w:val="single" w:sz="4" w:space="0" w:color="auto"/>
            </w:tcBorders>
            <w:shd w:val="clear" w:color="auto" w:fill="auto"/>
            <w:noWrap/>
          </w:tcPr>
          <w:p w14:paraId="5761DB5B" w14:textId="77777777" w:rsidR="00A56EE9" w:rsidRPr="00923180" w:rsidRDefault="00A56EE9" w:rsidP="00BB6AD5">
            <w:pPr>
              <w:pStyle w:val="Tablebulletlist"/>
              <w:jc w:val="center"/>
              <w:rPr>
                <w:rStyle w:val="BookTitle"/>
                <w:rFonts w:ascii="Arial" w:hAnsi="Arial"/>
                <w:sz w:val="16"/>
                <w:szCs w:val="16"/>
              </w:rPr>
            </w:pPr>
            <w:r w:rsidRPr="00923180">
              <w:rPr>
                <w:rFonts w:ascii="Arial" w:hAnsi="Arial" w:cs="Arial"/>
                <w:sz w:val="16"/>
                <w:szCs w:val="16"/>
              </w:rPr>
              <w:t>4</w:t>
            </w:r>
          </w:p>
        </w:tc>
        <w:tc>
          <w:tcPr>
            <w:tcW w:w="263" w:type="pct"/>
            <w:tcBorders>
              <w:top w:val="single" w:sz="4" w:space="0" w:color="auto"/>
            </w:tcBorders>
            <w:shd w:val="clear" w:color="auto" w:fill="auto"/>
            <w:noWrap/>
            <w:vAlign w:val="bottom"/>
          </w:tcPr>
          <w:p w14:paraId="5761DB5C"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3.40</w:t>
            </w:r>
          </w:p>
        </w:tc>
        <w:tc>
          <w:tcPr>
            <w:tcW w:w="271" w:type="pct"/>
            <w:tcBorders>
              <w:top w:val="single" w:sz="4" w:space="0" w:color="auto"/>
            </w:tcBorders>
            <w:shd w:val="clear" w:color="auto" w:fill="auto"/>
            <w:noWrap/>
            <w:vAlign w:val="bottom"/>
          </w:tcPr>
          <w:p w14:paraId="5761DB5D" w14:textId="77777777" w:rsidR="00A56EE9" w:rsidRPr="00BD7840" w:rsidRDefault="00A56EE9" w:rsidP="00BB6AD5">
            <w:pPr>
              <w:pStyle w:val="Tablebulletlist"/>
              <w:jc w:val="center"/>
              <w:rPr>
                <w:rFonts w:ascii="Arial" w:hAnsi="Arial" w:cs="Arial"/>
                <w:color w:val="000000"/>
                <w:sz w:val="16"/>
                <w:szCs w:val="16"/>
              </w:rPr>
            </w:pPr>
            <w:r w:rsidRPr="00BD7840">
              <w:rPr>
                <w:rFonts w:ascii="Calibri" w:hAnsi="Calibri" w:cs="Calibri"/>
                <w:color w:val="000000"/>
                <w:sz w:val="16"/>
                <w:szCs w:val="16"/>
              </w:rPr>
              <w:t>0.67</w:t>
            </w:r>
          </w:p>
        </w:tc>
      </w:tr>
      <w:tr w:rsidR="00A56EE9" w:rsidRPr="00D96915" w14:paraId="5761DB71" w14:textId="77777777" w:rsidTr="00BB6AD5">
        <w:tc>
          <w:tcPr>
            <w:tcW w:w="321" w:type="pct"/>
            <w:shd w:val="clear" w:color="auto" w:fill="BFBFBF" w:themeFill="background1" w:themeFillShade="BF"/>
            <w:noWrap/>
            <w:vAlign w:val="bottom"/>
          </w:tcPr>
          <w:p w14:paraId="5761DB5F"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OC</w:t>
            </w:r>
          </w:p>
        </w:tc>
        <w:tc>
          <w:tcPr>
            <w:tcW w:w="1077" w:type="pct"/>
            <w:shd w:val="clear" w:color="auto" w:fill="BFBFBF" w:themeFill="background1" w:themeFillShade="BF"/>
            <w:noWrap/>
            <w:vAlign w:val="bottom"/>
          </w:tcPr>
          <w:p w14:paraId="5761DB60" w14:textId="77777777" w:rsidR="00A56EE9" w:rsidRPr="00D96915" w:rsidRDefault="00A56EE9" w:rsidP="00BB6AD5">
            <w:pPr>
              <w:pStyle w:val="Tablebulletlist"/>
              <w:rPr>
                <w:rStyle w:val="BookTitle"/>
                <w:rFonts w:ascii="Arial" w:hAnsi="Arial"/>
                <w:sz w:val="16"/>
                <w:szCs w:val="16"/>
              </w:rPr>
            </w:pPr>
            <w:r w:rsidRPr="00D96915">
              <w:rPr>
                <w:rStyle w:val="BookTitle"/>
                <w:rFonts w:ascii="Arial" w:hAnsi="Arial"/>
                <w:sz w:val="16"/>
                <w:szCs w:val="16"/>
              </w:rPr>
              <w:t>Overall grade</w:t>
            </w:r>
          </w:p>
        </w:tc>
        <w:tc>
          <w:tcPr>
            <w:tcW w:w="220" w:type="pct"/>
            <w:tcBorders>
              <w:top w:val="single" w:sz="4" w:space="0" w:color="auto"/>
              <w:bottom w:val="single" w:sz="4" w:space="0" w:color="auto"/>
            </w:tcBorders>
            <w:shd w:val="clear" w:color="auto" w:fill="FFC000" w:themeFill="accent4"/>
            <w:noWrap/>
            <w:vAlign w:val="center"/>
          </w:tcPr>
          <w:p w14:paraId="5761DB61" w14:textId="77777777" w:rsidR="00A56EE9" w:rsidRPr="00D96915" w:rsidRDefault="00A56EE9" w:rsidP="00BB6AD5">
            <w:pPr>
              <w:pStyle w:val="Symbols"/>
              <w:framePr w:wrap="around"/>
              <w:spacing w:before="120" w:after="120"/>
              <w:jc w:val="center"/>
              <w:rPr>
                <w:rFonts w:ascii="Arial" w:hAnsi="Arial"/>
                <w:sz w:val="16"/>
                <w:szCs w:val="16"/>
              </w:rPr>
            </w:pPr>
          </w:p>
        </w:tc>
        <w:tc>
          <w:tcPr>
            <w:tcW w:w="220" w:type="pct"/>
            <w:tcBorders>
              <w:top w:val="single" w:sz="4" w:space="0" w:color="auto"/>
              <w:bottom w:val="single" w:sz="4" w:space="0" w:color="auto"/>
            </w:tcBorders>
            <w:shd w:val="clear" w:color="auto" w:fill="FF0000"/>
            <w:vAlign w:val="center"/>
          </w:tcPr>
          <w:p w14:paraId="5761DB62"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bottom w:val="single" w:sz="4" w:space="0" w:color="auto"/>
            </w:tcBorders>
            <w:shd w:val="clear" w:color="auto" w:fill="FFC000" w:themeFill="accent4"/>
            <w:noWrap/>
            <w:vAlign w:val="center"/>
          </w:tcPr>
          <w:p w14:paraId="5761DB63"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bottom w:val="single" w:sz="4" w:space="0" w:color="auto"/>
            </w:tcBorders>
            <w:shd w:val="clear" w:color="auto" w:fill="538135" w:themeFill="accent6" w:themeFillShade="BF"/>
            <w:vAlign w:val="center"/>
          </w:tcPr>
          <w:p w14:paraId="5761DB64" w14:textId="77777777" w:rsidR="00A56EE9" w:rsidRPr="00D96915" w:rsidRDefault="00A56EE9" w:rsidP="00BB6AD5">
            <w:pPr>
              <w:pStyle w:val="Symbols"/>
              <w:framePr w:wrap="around"/>
              <w:spacing w:before="120" w:after="120"/>
              <w:jc w:val="center"/>
              <w:rPr>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noWrap/>
            <w:vAlign w:val="center"/>
          </w:tcPr>
          <w:p w14:paraId="5761DB65"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538135" w:themeFill="accent6" w:themeFillShade="BF"/>
            <w:noWrap/>
            <w:vAlign w:val="center"/>
          </w:tcPr>
          <w:p w14:paraId="5761DB66"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FFC000" w:themeFill="accent4"/>
            <w:noWrap/>
            <w:vAlign w:val="center"/>
          </w:tcPr>
          <w:p w14:paraId="5761DB67" w14:textId="77777777" w:rsidR="00A56EE9" w:rsidRPr="00D96915"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noWrap/>
            <w:vAlign w:val="center"/>
          </w:tcPr>
          <w:p w14:paraId="5761DB68" w14:textId="77777777" w:rsidR="00A56EE9" w:rsidRPr="00015E98"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FFC000" w:themeFill="accent4"/>
            <w:noWrap/>
            <w:vAlign w:val="center"/>
          </w:tcPr>
          <w:p w14:paraId="5761DB69" w14:textId="77777777" w:rsidR="00A56EE9" w:rsidRPr="00A01FB6"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vAlign w:val="center"/>
          </w:tcPr>
          <w:p w14:paraId="5761DB6A" w14:textId="77777777" w:rsidR="00A56EE9" w:rsidRPr="00FF6384"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C5E0B3" w:themeFill="accent6" w:themeFillTint="66"/>
            <w:vAlign w:val="center"/>
          </w:tcPr>
          <w:p w14:paraId="5761DB6B" w14:textId="77777777" w:rsidR="00A56EE9" w:rsidRPr="00B050B3"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538135" w:themeFill="accent6" w:themeFillShade="BF"/>
            <w:vAlign w:val="center"/>
          </w:tcPr>
          <w:p w14:paraId="5761DB6C"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538135" w:themeFill="accent6" w:themeFillShade="BF"/>
            <w:noWrap/>
            <w:vAlign w:val="center"/>
          </w:tcPr>
          <w:p w14:paraId="5761DB6D"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19" w:type="pct"/>
            <w:tcBorders>
              <w:top w:val="single" w:sz="4" w:space="0" w:color="auto"/>
              <w:bottom w:val="single" w:sz="4" w:space="0" w:color="auto"/>
            </w:tcBorders>
            <w:shd w:val="clear" w:color="auto" w:fill="538135" w:themeFill="accent6" w:themeFillShade="BF"/>
            <w:noWrap/>
            <w:vAlign w:val="center"/>
          </w:tcPr>
          <w:p w14:paraId="5761DB6E" w14:textId="77777777" w:rsidR="00A56EE9" w:rsidRPr="00923180" w:rsidRDefault="00A56EE9" w:rsidP="00BB6AD5">
            <w:pPr>
              <w:pStyle w:val="Symbols"/>
              <w:framePr w:wrap="around"/>
              <w:spacing w:before="120" w:after="120"/>
              <w:jc w:val="center"/>
              <w:rPr>
                <w:rStyle w:val="BookTitle"/>
                <w:rFonts w:ascii="Arial" w:hAnsi="Arial"/>
                <w:sz w:val="16"/>
                <w:szCs w:val="16"/>
              </w:rPr>
            </w:pPr>
          </w:p>
        </w:tc>
        <w:tc>
          <w:tcPr>
            <w:tcW w:w="263" w:type="pct"/>
            <w:tcBorders>
              <w:top w:val="single" w:sz="4" w:space="0" w:color="auto"/>
              <w:bottom w:val="single" w:sz="4" w:space="0" w:color="auto"/>
            </w:tcBorders>
            <w:shd w:val="clear" w:color="auto" w:fill="BFBFBF" w:themeFill="background1" w:themeFillShade="BF"/>
            <w:noWrap/>
            <w:vAlign w:val="center"/>
          </w:tcPr>
          <w:p w14:paraId="5761DB6F" w14:textId="77777777" w:rsidR="00A56EE9" w:rsidRPr="00BD7840" w:rsidRDefault="00A56EE9" w:rsidP="00BB6AD5">
            <w:pPr>
              <w:pStyle w:val="Tablebulletlist"/>
              <w:jc w:val="center"/>
              <w:rPr>
                <w:rFonts w:ascii="Arial" w:hAnsi="Arial" w:cs="Arial"/>
                <w:color w:val="000000"/>
                <w:sz w:val="16"/>
                <w:szCs w:val="16"/>
              </w:rPr>
            </w:pPr>
          </w:p>
        </w:tc>
        <w:tc>
          <w:tcPr>
            <w:tcW w:w="271" w:type="pct"/>
            <w:tcBorders>
              <w:top w:val="single" w:sz="4" w:space="0" w:color="auto"/>
              <w:bottom w:val="single" w:sz="4" w:space="0" w:color="auto"/>
            </w:tcBorders>
            <w:shd w:val="clear" w:color="auto" w:fill="BFBFBF" w:themeFill="background1" w:themeFillShade="BF"/>
            <w:noWrap/>
            <w:vAlign w:val="center"/>
          </w:tcPr>
          <w:p w14:paraId="5761DB70" w14:textId="77777777" w:rsidR="00A56EE9" w:rsidRPr="00BD7840" w:rsidRDefault="00A56EE9" w:rsidP="00BB6AD5">
            <w:pPr>
              <w:pStyle w:val="Tablebulletlist"/>
              <w:jc w:val="center"/>
              <w:rPr>
                <w:rFonts w:ascii="Arial" w:hAnsi="Arial" w:cs="Arial"/>
                <w:color w:val="000000"/>
                <w:sz w:val="16"/>
                <w:szCs w:val="16"/>
              </w:rPr>
            </w:pPr>
          </w:p>
        </w:tc>
      </w:tr>
    </w:tbl>
    <w:p w14:paraId="5761DB72" w14:textId="77777777" w:rsidR="00A56EE9" w:rsidRDefault="00A56EE9" w:rsidP="00BB6AD5"/>
    <w:p w14:paraId="5761DB73" w14:textId="77777777" w:rsidR="00A56EE9" w:rsidRDefault="00A56EE9" w:rsidP="00BB6AD5"/>
    <w:p w14:paraId="5761DB74" w14:textId="77777777" w:rsidR="00A56EE9" w:rsidRDefault="00A56EE9">
      <w:r>
        <w:br w:type="page"/>
      </w:r>
    </w:p>
    <w:p w14:paraId="5761DB75" w14:textId="77777777" w:rsidR="00A56EE9" w:rsidRDefault="00A56EE9" w:rsidP="00BB6AD5">
      <w:pPr>
        <w:sectPr w:rsidR="00A56EE9">
          <w:pgSz w:w="11906" w:h="16838"/>
          <w:pgMar w:top="1440" w:right="1440" w:bottom="1440" w:left="1440" w:header="708" w:footer="708" w:gutter="0"/>
          <w:cols w:space="708"/>
          <w:docGrid w:linePitch="360"/>
        </w:sectPr>
      </w:pPr>
    </w:p>
    <w:p w14:paraId="5761DB76" w14:textId="77777777" w:rsidR="00A56EE9" w:rsidRDefault="00A56EE9" w:rsidP="00A11869">
      <w:pPr>
        <w:pStyle w:val="Heading2"/>
        <w:numPr>
          <w:ilvl w:val="1"/>
          <w:numId w:val="17"/>
        </w:numPr>
        <w:ind w:left="357" w:hanging="357"/>
      </w:pPr>
      <w:bookmarkStart w:id="167" w:name="_Toc523423816"/>
      <w:r>
        <w:t>Appendix 3 Program approaches and management tools</w:t>
      </w:r>
      <w:bookmarkEnd w:id="167"/>
    </w:p>
    <w:tbl>
      <w:tblPr>
        <w:tblStyle w:val="TableGrid1"/>
        <w:tblW w:w="5000" w:type="pct"/>
        <w:tblLook w:val="04A0" w:firstRow="1" w:lastRow="0" w:firstColumn="1" w:lastColumn="0" w:noHBand="0" w:noVBand="1"/>
        <w:tblCaption w:val="Appendix 4 Program areas and management tools"/>
        <w:tblDescription w:val="Table listing the types of management tool (Acts and regulations, zoning plan, plans of management, permits (including environmental impact assessment), traditional owner agreements, compliance, site infrastructure, fees and charges, policy, partnerships,"/>
      </w:tblPr>
      <w:tblGrid>
        <w:gridCol w:w="1549"/>
        <w:gridCol w:w="3266"/>
        <w:gridCol w:w="4201"/>
      </w:tblGrid>
      <w:tr w:rsidR="00A56EE9" w:rsidRPr="00DB0807" w14:paraId="5761DB7A" w14:textId="77777777" w:rsidTr="0049203B">
        <w:trPr>
          <w:tblHeader/>
        </w:trPr>
        <w:tc>
          <w:tcPr>
            <w:tcW w:w="0" w:type="auto"/>
          </w:tcPr>
          <w:p w14:paraId="5761DB77" w14:textId="77777777" w:rsidR="00A56EE9" w:rsidRPr="009257F4" w:rsidRDefault="00A56EE9" w:rsidP="00BB6AD5">
            <w:pPr>
              <w:pStyle w:val="Tablebulletlist"/>
              <w:rPr>
                <w:rFonts w:ascii="Arial" w:hAnsi="Arial" w:cs="Arial"/>
              </w:rPr>
            </w:pPr>
            <w:r w:rsidRPr="009257F4">
              <w:rPr>
                <w:rFonts w:ascii="Arial" w:hAnsi="Arial" w:cs="Arial"/>
              </w:rPr>
              <w:t>Management tool</w:t>
            </w:r>
          </w:p>
        </w:tc>
        <w:tc>
          <w:tcPr>
            <w:tcW w:w="1811" w:type="pct"/>
          </w:tcPr>
          <w:p w14:paraId="5761DB78" w14:textId="77777777" w:rsidR="00A56EE9" w:rsidRPr="009257F4" w:rsidRDefault="00A56EE9" w:rsidP="00BB6AD5">
            <w:pPr>
              <w:pStyle w:val="Tablebulletlist"/>
              <w:rPr>
                <w:rFonts w:ascii="Arial" w:hAnsi="Arial" w:cs="Arial"/>
              </w:rPr>
            </w:pPr>
            <w:r w:rsidRPr="009257F4">
              <w:rPr>
                <w:rFonts w:ascii="Arial" w:hAnsi="Arial" w:cs="Arial"/>
              </w:rPr>
              <w:t>Purpose</w:t>
            </w:r>
          </w:p>
        </w:tc>
        <w:tc>
          <w:tcPr>
            <w:tcW w:w="2330" w:type="pct"/>
          </w:tcPr>
          <w:p w14:paraId="5761DB79" w14:textId="77777777" w:rsidR="00A56EE9" w:rsidRPr="009257F4" w:rsidRDefault="00A56EE9" w:rsidP="00BB6AD5">
            <w:pPr>
              <w:pStyle w:val="Tablebulletlist"/>
              <w:rPr>
                <w:rFonts w:ascii="Arial" w:hAnsi="Arial" w:cs="Arial"/>
              </w:rPr>
            </w:pPr>
            <w:r w:rsidRPr="009257F4">
              <w:rPr>
                <w:rFonts w:ascii="Arial" w:hAnsi="Arial" w:cs="Arial"/>
              </w:rPr>
              <w:t xml:space="preserve">Current components and activities </w:t>
            </w:r>
          </w:p>
        </w:tc>
      </w:tr>
      <w:tr w:rsidR="00A56EE9" w:rsidRPr="009257F4" w14:paraId="5761DB87" w14:textId="77777777" w:rsidTr="0049203B">
        <w:tc>
          <w:tcPr>
            <w:tcW w:w="0" w:type="auto"/>
          </w:tcPr>
          <w:p w14:paraId="5761DB7B" w14:textId="77777777" w:rsidR="00A56EE9" w:rsidRPr="009257F4" w:rsidRDefault="00A56EE9" w:rsidP="00BB6AD5">
            <w:pPr>
              <w:rPr>
                <w:sz w:val="18"/>
                <w:szCs w:val="18"/>
              </w:rPr>
            </w:pPr>
            <w:r w:rsidRPr="009257F4">
              <w:rPr>
                <w:sz w:val="18"/>
                <w:szCs w:val="18"/>
              </w:rPr>
              <w:t xml:space="preserve">Reef 2050 Plan </w:t>
            </w:r>
          </w:p>
        </w:tc>
        <w:tc>
          <w:tcPr>
            <w:tcW w:w="1811" w:type="pct"/>
          </w:tcPr>
          <w:p w14:paraId="5761DB82" w14:textId="71F8A3F9" w:rsidR="00A56EE9" w:rsidRPr="00C51234" w:rsidRDefault="00A56EE9" w:rsidP="00BB6AD5">
            <w:pPr>
              <w:rPr>
                <w:rFonts w:ascii="Times New Roman" w:hAnsi="Times New Roman"/>
                <w:sz w:val="18"/>
                <w:szCs w:val="18"/>
              </w:rPr>
            </w:pPr>
            <w:r w:rsidRPr="009257F4">
              <w:rPr>
                <w:color w:val="000000"/>
                <w:sz w:val="18"/>
                <w:szCs w:val="18"/>
              </w:rPr>
              <w:t>The Reef 2050 Plan responds to the World Heritage Committee’s recommendation that Australia develop a long-term plan for sustainable development to protect the Outstand</w:t>
            </w:r>
            <w:r w:rsidR="00C51234">
              <w:rPr>
                <w:color w:val="000000"/>
                <w:sz w:val="18"/>
                <w:szCs w:val="18"/>
              </w:rPr>
              <w:t>ing Universal Value of the Reef.</w:t>
            </w:r>
          </w:p>
          <w:p w14:paraId="5761DB83" w14:textId="77777777" w:rsidR="00A56EE9" w:rsidRPr="009257F4" w:rsidRDefault="00A56EE9" w:rsidP="00BB6AD5">
            <w:pPr>
              <w:rPr>
                <w:sz w:val="18"/>
                <w:szCs w:val="18"/>
              </w:rPr>
            </w:pPr>
          </w:p>
        </w:tc>
        <w:tc>
          <w:tcPr>
            <w:tcW w:w="2330" w:type="pct"/>
          </w:tcPr>
          <w:p w14:paraId="5761DB84" w14:textId="77777777" w:rsidR="00A56EE9" w:rsidRDefault="00A56EE9" w:rsidP="00BB6AD5">
            <w:pPr>
              <w:rPr>
                <w:sz w:val="18"/>
                <w:szCs w:val="18"/>
              </w:rPr>
            </w:pPr>
            <w:r w:rsidRPr="009257F4">
              <w:rPr>
                <w:sz w:val="18"/>
                <w:szCs w:val="18"/>
              </w:rPr>
              <w:t>Reef 2050 Long-Term Sustainability Plan</w:t>
            </w:r>
          </w:p>
          <w:p w14:paraId="5761DB85" w14:textId="77777777" w:rsidR="00A56EE9" w:rsidRDefault="00A56EE9" w:rsidP="00BB6AD5">
            <w:pPr>
              <w:rPr>
                <w:sz w:val="18"/>
                <w:szCs w:val="18"/>
              </w:rPr>
            </w:pPr>
            <w:r w:rsidRPr="009257F4">
              <w:rPr>
                <w:sz w:val="18"/>
                <w:szCs w:val="18"/>
              </w:rPr>
              <w:t>Reef 2050 Long-Term Sustainability Plan</w:t>
            </w:r>
            <w:r>
              <w:rPr>
                <w:sz w:val="18"/>
                <w:szCs w:val="18"/>
              </w:rPr>
              <w:t xml:space="preserve"> Mid-term review</w:t>
            </w:r>
          </w:p>
          <w:p w14:paraId="5761DB86" w14:textId="77777777" w:rsidR="00A56EE9" w:rsidRPr="009257F4" w:rsidRDefault="00A56EE9" w:rsidP="00BB6AD5">
            <w:pPr>
              <w:rPr>
                <w:i/>
                <w:sz w:val="18"/>
                <w:szCs w:val="18"/>
              </w:rPr>
            </w:pPr>
          </w:p>
        </w:tc>
      </w:tr>
      <w:tr w:rsidR="00A56EE9" w:rsidRPr="00DB0807" w14:paraId="5761DB8E" w14:textId="77777777" w:rsidTr="0049203B">
        <w:tc>
          <w:tcPr>
            <w:tcW w:w="0" w:type="auto"/>
          </w:tcPr>
          <w:p w14:paraId="5761DB88" w14:textId="77777777" w:rsidR="00A56EE9" w:rsidRPr="009320DF" w:rsidRDefault="00A56EE9" w:rsidP="00BB6AD5">
            <w:pPr>
              <w:pStyle w:val="Tablebulletlist"/>
              <w:rPr>
                <w:rFonts w:ascii="Arial" w:hAnsi="Arial" w:cs="Arial"/>
              </w:rPr>
            </w:pPr>
            <w:r w:rsidRPr="009320DF">
              <w:rPr>
                <w:rFonts w:ascii="Arial" w:hAnsi="Arial" w:cs="Arial"/>
              </w:rPr>
              <w:t>Acts and Regulations</w:t>
            </w:r>
          </w:p>
        </w:tc>
        <w:tc>
          <w:tcPr>
            <w:tcW w:w="1811" w:type="pct"/>
          </w:tcPr>
          <w:p w14:paraId="5761DB89" w14:textId="77777777" w:rsidR="00A56EE9" w:rsidRPr="009320DF" w:rsidRDefault="00A56EE9" w:rsidP="00BB6AD5">
            <w:pPr>
              <w:pStyle w:val="Tablebulletlist"/>
              <w:rPr>
                <w:rFonts w:ascii="Arial" w:hAnsi="Arial" w:cs="Arial"/>
              </w:rPr>
            </w:pPr>
            <w:r w:rsidRPr="009320DF">
              <w:rPr>
                <w:rFonts w:ascii="Arial" w:hAnsi="Arial" w:cs="Arial"/>
              </w:rPr>
              <w:t xml:space="preserve">The </w:t>
            </w:r>
            <w:r w:rsidRPr="009320DF">
              <w:rPr>
                <w:rFonts w:ascii="Arial" w:hAnsi="Arial" w:cs="Arial"/>
                <w:i/>
              </w:rPr>
              <w:t>Great Barrier Reef Marine Park Act 1975</w:t>
            </w:r>
            <w:r w:rsidRPr="009320DF">
              <w:rPr>
                <w:rFonts w:ascii="Arial" w:hAnsi="Arial" w:cs="Arial"/>
              </w:rPr>
              <w:t xml:space="preserve"> and Regulations govern the protection and management of the Great Barrier Reef Marine Park. They provide for the Zoning Plan and plans of management, and govern permitting decisions. The provisions are matched in areas of Queensland jurisdiction by the </w:t>
            </w:r>
            <w:r w:rsidRPr="009320DF">
              <w:rPr>
                <w:rFonts w:ascii="Arial" w:hAnsi="Arial" w:cs="Arial"/>
                <w:i/>
              </w:rPr>
              <w:t xml:space="preserve">Marine Parks Act 2004 </w:t>
            </w:r>
            <w:r w:rsidRPr="009320DF">
              <w:rPr>
                <w:rFonts w:ascii="Arial" w:hAnsi="Arial" w:cs="Arial"/>
              </w:rPr>
              <w:t xml:space="preserve">and Regulations. Other Commonwealth and Queensland legislation also applies in the Region, for example the </w:t>
            </w:r>
            <w:r w:rsidRPr="009320DF">
              <w:rPr>
                <w:rFonts w:ascii="Arial" w:hAnsi="Arial" w:cs="Arial"/>
                <w:i/>
              </w:rPr>
              <w:t xml:space="preserve">Environment Protection and Biodiversity Conservation Act 1999 (Cwlth) </w:t>
            </w:r>
            <w:r w:rsidRPr="009320DF">
              <w:rPr>
                <w:rFonts w:ascii="Arial" w:hAnsi="Arial" w:cs="Arial"/>
              </w:rPr>
              <w:t>and the</w:t>
            </w:r>
            <w:r w:rsidRPr="009320DF">
              <w:rPr>
                <w:rFonts w:ascii="Arial" w:hAnsi="Arial" w:cs="Arial"/>
                <w:i/>
              </w:rPr>
              <w:t xml:space="preserve"> Environmental Protection Act 1994 (Qld).</w:t>
            </w:r>
          </w:p>
        </w:tc>
        <w:tc>
          <w:tcPr>
            <w:tcW w:w="2330" w:type="pct"/>
          </w:tcPr>
          <w:p w14:paraId="5761DB8A" w14:textId="77777777" w:rsidR="00A56EE9" w:rsidRPr="009320DF" w:rsidRDefault="00A56EE9" w:rsidP="00A11869">
            <w:pPr>
              <w:pStyle w:val="ListParagraph"/>
              <w:numPr>
                <w:ilvl w:val="0"/>
                <w:numId w:val="12"/>
              </w:numPr>
              <w:spacing w:line="276" w:lineRule="auto"/>
              <w:rPr>
                <w:i/>
                <w:sz w:val="18"/>
                <w:szCs w:val="18"/>
              </w:rPr>
            </w:pPr>
            <w:r w:rsidRPr="009320DF">
              <w:rPr>
                <w:i/>
                <w:sz w:val="18"/>
                <w:szCs w:val="18"/>
              </w:rPr>
              <w:t xml:space="preserve">Great Barrier Reef Marine Park Act 1975 </w:t>
            </w:r>
          </w:p>
          <w:p w14:paraId="5761DB8B"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Great Barrier Reef Marine Park Regulations 1993</w:t>
            </w:r>
          </w:p>
          <w:p w14:paraId="5761DB8C" w14:textId="77777777" w:rsidR="00A56EE9" w:rsidRPr="009320DF" w:rsidRDefault="00A56EE9" w:rsidP="00A11869">
            <w:pPr>
              <w:pStyle w:val="ListParagraph"/>
              <w:numPr>
                <w:ilvl w:val="0"/>
                <w:numId w:val="12"/>
              </w:numPr>
              <w:spacing w:line="276" w:lineRule="auto"/>
              <w:rPr>
                <w:i/>
                <w:sz w:val="18"/>
                <w:szCs w:val="18"/>
              </w:rPr>
            </w:pPr>
            <w:r w:rsidRPr="009320DF">
              <w:rPr>
                <w:sz w:val="18"/>
                <w:szCs w:val="18"/>
              </w:rPr>
              <w:t xml:space="preserve">Providing advice, for example on projects assessed under </w:t>
            </w:r>
            <w:r w:rsidRPr="009320DF">
              <w:rPr>
                <w:i/>
                <w:sz w:val="18"/>
                <w:szCs w:val="18"/>
              </w:rPr>
              <w:t>the Environment Protection and Biodiversity Conservation Act 1999</w:t>
            </w:r>
          </w:p>
          <w:p w14:paraId="5761DB8D" w14:textId="77777777" w:rsidR="00A56EE9" w:rsidRPr="005D548B" w:rsidRDefault="00A56EE9" w:rsidP="00A11869">
            <w:pPr>
              <w:pStyle w:val="ListParagraph"/>
              <w:numPr>
                <w:ilvl w:val="0"/>
                <w:numId w:val="12"/>
              </w:numPr>
              <w:spacing w:line="276" w:lineRule="auto"/>
              <w:rPr>
                <w:sz w:val="18"/>
                <w:szCs w:val="18"/>
              </w:rPr>
            </w:pPr>
            <w:r w:rsidRPr="009320DF">
              <w:rPr>
                <w:sz w:val="18"/>
                <w:szCs w:val="18"/>
              </w:rPr>
              <w:t>Coordinating application of the Queensland</w:t>
            </w:r>
            <w:r w:rsidRPr="009320DF">
              <w:rPr>
                <w:i/>
                <w:sz w:val="18"/>
                <w:szCs w:val="18"/>
              </w:rPr>
              <w:t xml:space="preserve"> Marine Parks Act 2004</w:t>
            </w:r>
            <w:r w:rsidRPr="009320DF">
              <w:rPr>
                <w:sz w:val="18"/>
                <w:szCs w:val="18"/>
              </w:rPr>
              <w:t xml:space="preserve"> and Regulations, for example in relation to joint marine parks permits</w:t>
            </w:r>
          </w:p>
        </w:tc>
      </w:tr>
      <w:tr w:rsidR="00A56EE9" w:rsidRPr="009320DF" w14:paraId="5761DB92" w14:textId="77777777" w:rsidTr="0049203B">
        <w:tc>
          <w:tcPr>
            <w:tcW w:w="0" w:type="auto"/>
          </w:tcPr>
          <w:p w14:paraId="5761DB8F" w14:textId="77777777" w:rsidR="00A56EE9" w:rsidRPr="009320DF" w:rsidRDefault="00A56EE9" w:rsidP="00BB6AD5">
            <w:pPr>
              <w:pStyle w:val="Tablebulletlist"/>
              <w:rPr>
                <w:rFonts w:ascii="Arial" w:hAnsi="Arial" w:cs="Arial"/>
              </w:rPr>
            </w:pPr>
            <w:r w:rsidRPr="009320DF">
              <w:rPr>
                <w:rFonts w:ascii="Arial" w:hAnsi="Arial" w:cs="Arial"/>
              </w:rPr>
              <w:t>Zoning Plan</w:t>
            </w:r>
          </w:p>
        </w:tc>
        <w:tc>
          <w:tcPr>
            <w:tcW w:w="1811" w:type="pct"/>
          </w:tcPr>
          <w:p w14:paraId="5761DB90" w14:textId="77777777" w:rsidR="00A56EE9" w:rsidRPr="009320DF" w:rsidRDefault="00A56EE9" w:rsidP="00BB6AD5">
            <w:pPr>
              <w:pStyle w:val="Tablebulletlist"/>
              <w:rPr>
                <w:rFonts w:ascii="Arial" w:hAnsi="Arial" w:cs="Arial"/>
              </w:rPr>
            </w:pPr>
            <w:r w:rsidRPr="009320DF">
              <w:rPr>
                <w:rFonts w:ascii="Arial" w:hAnsi="Arial" w:cs="Arial"/>
              </w:rPr>
              <w:t xml:space="preserve">Provides spatial control of use and, to a lesser extent, access within the Great Barrier Reef Marine Park. Establishes the framework for extractive use and the need for permits for some uses, such as tourism, infrastructure and research. Zoning plans are developed under Part 5 Division 2 of the </w:t>
            </w:r>
            <w:r w:rsidRPr="009320DF">
              <w:rPr>
                <w:rFonts w:ascii="Arial" w:hAnsi="Arial" w:cs="Arial"/>
                <w:i/>
              </w:rPr>
              <w:t xml:space="preserve">Great Barrier Reef Marine Park Act 1975. </w:t>
            </w:r>
            <w:r w:rsidRPr="009320DF">
              <w:rPr>
                <w:rFonts w:ascii="Arial" w:hAnsi="Arial" w:cs="Arial"/>
              </w:rPr>
              <w:t>Complementary arrangements are in place in adjacent areas under Queensland jurisdiction.</w:t>
            </w:r>
          </w:p>
        </w:tc>
        <w:tc>
          <w:tcPr>
            <w:tcW w:w="2330" w:type="pct"/>
          </w:tcPr>
          <w:p w14:paraId="5761DB91"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Great Barrier Reef Marine Park Zoning Plan 2003</w:t>
            </w:r>
          </w:p>
        </w:tc>
      </w:tr>
      <w:tr w:rsidR="00A56EE9" w:rsidRPr="00DB0807" w14:paraId="5761DB99" w14:textId="77777777" w:rsidTr="0049203B">
        <w:tc>
          <w:tcPr>
            <w:tcW w:w="0" w:type="auto"/>
          </w:tcPr>
          <w:p w14:paraId="5761DB93" w14:textId="77777777" w:rsidR="00A56EE9" w:rsidRPr="009320DF" w:rsidRDefault="00A56EE9" w:rsidP="00BB6AD5">
            <w:pPr>
              <w:pStyle w:val="Tablebulletlist"/>
              <w:rPr>
                <w:rFonts w:ascii="Arial" w:hAnsi="Arial" w:cs="Arial"/>
              </w:rPr>
            </w:pPr>
            <w:r w:rsidRPr="009320DF">
              <w:rPr>
                <w:rFonts w:ascii="Arial" w:hAnsi="Arial" w:cs="Arial"/>
              </w:rPr>
              <w:t>Plans of management</w:t>
            </w:r>
          </w:p>
        </w:tc>
        <w:tc>
          <w:tcPr>
            <w:tcW w:w="1811" w:type="pct"/>
          </w:tcPr>
          <w:p w14:paraId="5761DB94" w14:textId="77777777" w:rsidR="00A56EE9" w:rsidRPr="009320DF" w:rsidRDefault="00A56EE9" w:rsidP="00BB6AD5">
            <w:pPr>
              <w:pStyle w:val="Tablebulletlist"/>
              <w:rPr>
                <w:rFonts w:ascii="Arial" w:hAnsi="Arial" w:cs="Arial"/>
              </w:rPr>
            </w:pPr>
            <w:r w:rsidRPr="009320DF">
              <w:rPr>
                <w:rFonts w:ascii="Arial" w:hAnsi="Arial" w:cs="Arial"/>
              </w:rPr>
              <w:t xml:space="preserve">Set out specific arrangements for activities, areas, species or ecological communities. They complement zoning and permitting arrangements. Some components are legally binding. Plans of management are developed under Part VB of the </w:t>
            </w:r>
            <w:r w:rsidRPr="009320DF">
              <w:rPr>
                <w:rFonts w:ascii="Arial" w:hAnsi="Arial" w:cs="Arial"/>
                <w:i/>
              </w:rPr>
              <w:t>Great Barrier Reef Marine Park Act 1975.</w:t>
            </w:r>
            <w:r w:rsidRPr="009320DF">
              <w:rPr>
                <w:rFonts w:ascii="Arial" w:hAnsi="Arial" w:cs="Arial"/>
              </w:rPr>
              <w:t xml:space="preserve"> There is the capacity for the GBRMPA to enter into agreements or arrangements for management of an area, species or ecological community with a community group having a special interest in an area, including some form of native title.</w:t>
            </w:r>
          </w:p>
        </w:tc>
        <w:tc>
          <w:tcPr>
            <w:tcW w:w="2330" w:type="pct"/>
          </w:tcPr>
          <w:p w14:paraId="5761DB95"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Cairns Area Plan of Management 1998</w:t>
            </w:r>
          </w:p>
          <w:p w14:paraId="5761DB96"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Hinchinbrook Area Plan of Management 2004</w:t>
            </w:r>
          </w:p>
          <w:p w14:paraId="5761DB97"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Whitsundays Plan of Management 1998 (recently amended in 2017)</w:t>
            </w:r>
          </w:p>
          <w:p w14:paraId="5761DB98"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Shoalwater Bay (Dugong) Plan of Management 1997</w:t>
            </w:r>
          </w:p>
        </w:tc>
      </w:tr>
      <w:tr w:rsidR="00A56EE9" w:rsidRPr="00DB0807" w14:paraId="5761DB9D" w14:textId="77777777" w:rsidTr="0049203B">
        <w:tc>
          <w:tcPr>
            <w:tcW w:w="0" w:type="auto"/>
          </w:tcPr>
          <w:p w14:paraId="5761DB9A" w14:textId="77777777" w:rsidR="00A56EE9" w:rsidRPr="009320DF" w:rsidRDefault="00A56EE9" w:rsidP="00BB6AD5">
            <w:pPr>
              <w:pStyle w:val="Tablebulletlist"/>
              <w:rPr>
                <w:rFonts w:ascii="Arial" w:hAnsi="Arial" w:cs="Arial"/>
              </w:rPr>
            </w:pPr>
            <w:r w:rsidRPr="009320DF">
              <w:rPr>
                <w:rFonts w:ascii="Arial" w:hAnsi="Arial" w:cs="Arial"/>
              </w:rPr>
              <w:t>Permits (including environmental impact assessment)</w:t>
            </w:r>
          </w:p>
        </w:tc>
        <w:tc>
          <w:tcPr>
            <w:tcW w:w="1811" w:type="pct"/>
          </w:tcPr>
          <w:p w14:paraId="5761DB9B" w14:textId="77777777" w:rsidR="00A56EE9" w:rsidRPr="009320DF" w:rsidRDefault="00A56EE9" w:rsidP="00BB6AD5">
            <w:pPr>
              <w:pStyle w:val="Tablebulletlist"/>
              <w:rPr>
                <w:rFonts w:ascii="Arial" w:hAnsi="Arial" w:cs="Arial"/>
              </w:rPr>
            </w:pPr>
            <w:r w:rsidRPr="009320DF">
              <w:rPr>
                <w:rFonts w:ascii="Arial" w:hAnsi="Arial" w:cs="Arial"/>
              </w:rPr>
              <w:t>Facilitate opportunities for sustainable use of the Marine Park. Permits are issued mainly for tourism, research, harvest fisheries, dredging and infrastructure (for example jetties and marinas) and include detailed risk-based environmental impact assessment. Matched in adjacent areas of Queensland jurisdiction, generally providing a joint permit. Fisheries licences are issued and managed by the Queensland Government.</w:t>
            </w:r>
          </w:p>
        </w:tc>
        <w:tc>
          <w:tcPr>
            <w:tcW w:w="2330" w:type="pct"/>
          </w:tcPr>
          <w:p w14:paraId="5761DB9C"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 xml:space="preserve">Permits granted under Part 2A of the Great Barrier Reef Marine Park Regulations 1983 and under Queensland Marine Parks Regulations 2006 </w:t>
            </w:r>
          </w:p>
        </w:tc>
      </w:tr>
      <w:tr w:rsidR="00A56EE9" w:rsidRPr="00DB0807" w14:paraId="5761DBA3" w14:textId="77777777" w:rsidTr="0049203B">
        <w:tc>
          <w:tcPr>
            <w:tcW w:w="0" w:type="auto"/>
          </w:tcPr>
          <w:p w14:paraId="5761DB9E" w14:textId="77777777" w:rsidR="00A56EE9" w:rsidRPr="00F233D6" w:rsidRDefault="00A56EE9" w:rsidP="00BB6AD5">
            <w:pPr>
              <w:pStyle w:val="Tablebulletlist"/>
              <w:rPr>
                <w:rFonts w:ascii="Arial" w:hAnsi="Arial" w:cs="Arial"/>
              </w:rPr>
            </w:pPr>
            <w:r w:rsidRPr="00F233D6">
              <w:rPr>
                <w:rFonts w:ascii="Arial" w:hAnsi="Arial" w:cs="Arial"/>
                <w:lang w:eastAsia="en-AU"/>
              </w:rPr>
              <w:t>Traditional Owner agreements</w:t>
            </w:r>
          </w:p>
        </w:tc>
        <w:tc>
          <w:tcPr>
            <w:tcW w:w="1811" w:type="pct"/>
          </w:tcPr>
          <w:p w14:paraId="5761DB9F" w14:textId="77777777" w:rsidR="00A56EE9" w:rsidRPr="00F233D6" w:rsidRDefault="00A56EE9" w:rsidP="00BB6AD5">
            <w:pPr>
              <w:pStyle w:val="Tablebulletlist"/>
              <w:rPr>
                <w:rFonts w:ascii="Arial" w:hAnsi="Arial" w:cs="Arial"/>
                <w:lang w:eastAsia="en-AU"/>
              </w:rPr>
            </w:pPr>
            <w:r w:rsidRPr="00F233D6">
              <w:rPr>
                <w:rFonts w:ascii="Arial" w:hAnsi="Arial" w:cs="Arial"/>
                <w:lang w:eastAsia="en-AU"/>
              </w:rPr>
              <w:t>Traditional Use of Marine Resources Agreements are formal agreements describing how Traditional Owner groups work with Australian and Queensland governments to manage traditional activities in sea country. They are made in accordance with Part 2B of the Regulations</w:t>
            </w:r>
            <w:r w:rsidRPr="00F233D6">
              <w:rPr>
                <w:rFonts w:ascii="Arial" w:hAnsi="Arial" w:cs="Arial"/>
                <w:bCs/>
                <w:lang w:eastAsia="en-AU"/>
              </w:rPr>
              <w:t xml:space="preserve">. They do not affect the operation of section 211 of the </w:t>
            </w:r>
            <w:r w:rsidRPr="00F233D6">
              <w:rPr>
                <w:rFonts w:ascii="Arial" w:hAnsi="Arial" w:cs="Arial"/>
                <w:bCs/>
                <w:i/>
                <w:lang w:eastAsia="en-AU"/>
              </w:rPr>
              <w:t>Native Title Act 1993</w:t>
            </w:r>
            <w:r w:rsidRPr="00F233D6">
              <w:rPr>
                <w:rFonts w:ascii="Arial" w:hAnsi="Arial" w:cs="Arial"/>
                <w:bCs/>
                <w:lang w:eastAsia="en-AU"/>
              </w:rPr>
              <w:t xml:space="preserve"> and are not intended to extinguish native title rights and interests.</w:t>
            </w:r>
          </w:p>
          <w:p w14:paraId="5761DBA0" w14:textId="77777777" w:rsidR="00A56EE9" w:rsidRPr="00F233D6" w:rsidRDefault="00A56EE9" w:rsidP="00BB6AD5">
            <w:pPr>
              <w:pStyle w:val="Tablebulletlist"/>
              <w:rPr>
                <w:rFonts w:ascii="Arial" w:eastAsiaTheme="minorHAnsi" w:hAnsi="Arial" w:cs="Arial"/>
              </w:rPr>
            </w:pPr>
            <w:r w:rsidRPr="00F233D6">
              <w:rPr>
                <w:rFonts w:ascii="Arial" w:hAnsi="Arial" w:cs="Arial"/>
                <w:lang w:eastAsia="en-AU"/>
              </w:rPr>
              <w:t>Indigenous Land Use Agreements are between one or more native title groups and other people or parties about the use and management of land and waters.</w:t>
            </w:r>
          </w:p>
        </w:tc>
        <w:tc>
          <w:tcPr>
            <w:tcW w:w="2330" w:type="pct"/>
          </w:tcPr>
          <w:p w14:paraId="5761DBA1" w14:textId="77777777" w:rsidR="00A56EE9" w:rsidRPr="00F233D6" w:rsidRDefault="00A56EE9" w:rsidP="00A11869">
            <w:pPr>
              <w:pStyle w:val="ListParagraph"/>
              <w:numPr>
                <w:ilvl w:val="0"/>
                <w:numId w:val="12"/>
              </w:numPr>
              <w:spacing w:line="276" w:lineRule="auto"/>
              <w:rPr>
                <w:sz w:val="18"/>
                <w:szCs w:val="18"/>
                <w:lang w:eastAsia="en-AU"/>
              </w:rPr>
            </w:pPr>
            <w:r w:rsidRPr="00F233D6">
              <w:rPr>
                <w:sz w:val="18"/>
                <w:szCs w:val="18"/>
                <w:lang w:eastAsia="en-AU"/>
              </w:rPr>
              <w:t>Kuuku Ya’u People’s Indigenous Land Use Agreement</w:t>
            </w:r>
          </w:p>
          <w:p w14:paraId="5761DBA2" w14:textId="77777777" w:rsidR="00A56EE9" w:rsidRPr="00F233D6" w:rsidRDefault="00A56EE9" w:rsidP="00A11869">
            <w:pPr>
              <w:pStyle w:val="ListParagraph"/>
              <w:numPr>
                <w:ilvl w:val="0"/>
                <w:numId w:val="12"/>
              </w:numPr>
              <w:spacing w:line="276" w:lineRule="auto"/>
              <w:rPr>
                <w:sz w:val="18"/>
                <w:szCs w:val="18"/>
                <w:lang w:eastAsia="en-AU"/>
              </w:rPr>
            </w:pPr>
            <w:r w:rsidRPr="00F233D6">
              <w:rPr>
                <w:sz w:val="18"/>
                <w:szCs w:val="18"/>
                <w:lang w:eastAsia="en-AU"/>
              </w:rPr>
              <w:t xml:space="preserve">Traditional Use of Marine Resources Agreements for </w:t>
            </w:r>
            <w:r w:rsidRPr="00EA53DF">
              <w:rPr>
                <w:sz w:val="18"/>
                <w:szCs w:val="18"/>
                <w:lang w:eastAsia="en-AU"/>
              </w:rPr>
              <w:t>Gunggandji</w:t>
            </w:r>
            <w:r>
              <w:rPr>
                <w:sz w:val="18"/>
                <w:szCs w:val="18"/>
                <w:lang w:eastAsia="en-AU"/>
              </w:rPr>
              <w:t xml:space="preserve"> region</w:t>
            </w:r>
            <w:r w:rsidRPr="00EA53DF">
              <w:rPr>
                <w:sz w:val="18"/>
                <w:szCs w:val="18"/>
                <w:lang w:eastAsia="en-AU"/>
              </w:rPr>
              <w:t xml:space="preserve">, Girringun region; </w:t>
            </w:r>
            <w:r>
              <w:rPr>
                <w:sz w:val="18"/>
                <w:szCs w:val="18"/>
                <w:lang w:eastAsia="en-AU"/>
              </w:rPr>
              <w:t xml:space="preserve">Yirrganydji region, </w:t>
            </w:r>
            <w:r w:rsidRPr="00EA53DF">
              <w:rPr>
                <w:sz w:val="18"/>
                <w:szCs w:val="18"/>
                <w:lang w:eastAsia="en-AU"/>
              </w:rPr>
              <w:t xml:space="preserve">Woppaburra section; Wuthathi region; </w:t>
            </w:r>
            <w:r w:rsidRPr="00AB3603">
              <w:rPr>
                <w:sz w:val="18"/>
                <w:szCs w:val="18"/>
                <w:lang w:eastAsia="en-AU"/>
              </w:rPr>
              <w:t>Port Curtis Coral Coast</w:t>
            </w:r>
            <w:r w:rsidRPr="00EA53DF">
              <w:rPr>
                <w:sz w:val="18"/>
                <w:szCs w:val="18"/>
                <w:lang w:eastAsia="en-AU"/>
              </w:rPr>
              <w:t>; Lama Lama region; Yuku-Baja-Muliku region</w:t>
            </w:r>
            <w:r>
              <w:rPr>
                <w:sz w:val="18"/>
                <w:szCs w:val="18"/>
                <w:lang w:eastAsia="en-AU"/>
              </w:rPr>
              <w:t>; Mandubarra</w:t>
            </w:r>
          </w:p>
        </w:tc>
      </w:tr>
      <w:tr w:rsidR="00A56EE9" w:rsidRPr="009320DF" w14:paraId="5761DBA8" w14:textId="77777777" w:rsidTr="0049203B">
        <w:tc>
          <w:tcPr>
            <w:tcW w:w="0" w:type="auto"/>
          </w:tcPr>
          <w:p w14:paraId="5761DBA4" w14:textId="77777777" w:rsidR="00A56EE9" w:rsidRPr="009320DF" w:rsidRDefault="00A56EE9" w:rsidP="00BB6AD5">
            <w:pPr>
              <w:pStyle w:val="Tablebulletlist"/>
              <w:rPr>
                <w:rFonts w:ascii="Arial" w:hAnsi="Arial" w:cs="Arial"/>
              </w:rPr>
            </w:pPr>
            <w:r w:rsidRPr="009320DF">
              <w:rPr>
                <w:rFonts w:ascii="Arial" w:hAnsi="Arial" w:cs="Arial"/>
              </w:rPr>
              <w:t>Compliance</w:t>
            </w:r>
          </w:p>
        </w:tc>
        <w:tc>
          <w:tcPr>
            <w:tcW w:w="1811" w:type="pct"/>
          </w:tcPr>
          <w:p w14:paraId="5761DBA5" w14:textId="77777777" w:rsidR="00A56EE9" w:rsidRPr="009320DF" w:rsidRDefault="00A56EE9" w:rsidP="00BB6AD5">
            <w:pPr>
              <w:pStyle w:val="Tablebulletlist"/>
              <w:rPr>
                <w:rFonts w:ascii="Arial" w:hAnsi="Arial" w:cs="Arial"/>
              </w:rPr>
            </w:pPr>
            <w:r w:rsidRPr="009320DF">
              <w:rPr>
                <w:rFonts w:ascii="Arial" w:hAnsi="Arial" w:cs="Arial"/>
              </w:rPr>
              <w:t>Activities that encourage adherence with legal requirements, both through education and enforcement.</w:t>
            </w:r>
          </w:p>
        </w:tc>
        <w:tc>
          <w:tcPr>
            <w:tcW w:w="2330" w:type="pct"/>
          </w:tcPr>
          <w:p w14:paraId="5761DBA6"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Eyes and Ears Incident Reporting program</w:t>
            </w:r>
          </w:p>
          <w:p w14:paraId="5761DBA7"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 xml:space="preserve">Field Management Program jointly undertaken </w:t>
            </w:r>
            <w:r>
              <w:rPr>
                <w:sz w:val="18"/>
                <w:szCs w:val="18"/>
              </w:rPr>
              <w:t>between the Great Barrier Reef Marine Park Authority and</w:t>
            </w:r>
            <w:r w:rsidRPr="009320DF">
              <w:rPr>
                <w:sz w:val="18"/>
                <w:szCs w:val="18"/>
              </w:rPr>
              <w:t xml:space="preserve"> the Queensland </w:t>
            </w:r>
            <w:r>
              <w:rPr>
                <w:sz w:val="18"/>
                <w:szCs w:val="18"/>
              </w:rPr>
              <w:t>Parks and Wildlife Service</w:t>
            </w:r>
          </w:p>
        </w:tc>
      </w:tr>
      <w:tr w:rsidR="00A56EE9" w:rsidRPr="009320DF" w14:paraId="5761DBB0" w14:textId="77777777" w:rsidTr="0049203B">
        <w:tc>
          <w:tcPr>
            <w:tcW w:w="0" w:type="auto"/>
          </w:tcPr>
          <w:p w14:paraId="5761DBA9" w14:textId="77777777" w:rsidR="00A56EE9" w:rsidRPr="009320DF" w:rsidRDefault="00A56EE9" w:rsidP="00BB6AD5">
            <w:pPr>
              <w:pStyle w:val="Tablebulletlist"/>
              <w:rPr>
                <w:rFonts w:ascii="Arial" w:hAnsi="Arial" w:cs="Arial"/>
              </w:rPr>
            </w:pPr>
            <w:r w:rsidRPr="009320DF">
              <w:rPr>
                <w:rFonts w:ascii="Arial" w:hAnsi="Arial" w:cs="Arial"/>
              </w:rPr>
              <w:t>Site infrastructure</w:t>
            </w:r>
          </w:p>
        </w:tc>
        <w:tc>
          <w:tcPr>
            <w:tcW w:w="1811" w:type="pct"/>
          </w:tcPr>
          <w:p w14:paraId="5761DBAA" w14:textId="77777777" w:rsidR="00A56EE9" w:rsidRPr="009320DF" w:rsidRDefault="00A56EE9" w:rsidP="00BB6AD5">
            <w:pPr>
              <w:pStyle w:val="Tablebulletlist"/>
              <w:rPr>
                <w:rFonts w:ascii="Arial" w:hAnsi="Arial" w:cs="Arial"/>
              </w:rPr>
            </w:pPr>
            <w:r w:rsidRPr="009320DF">
              <w:rPr>
                <w:rFonts w:ascii="Arial" w:hAnsi="Arial" w:cs="Arial"/>
              </w:rPr>
              <w:t>On-ground infrastructure is installed to manage use and protect the values of individual sites. Implemented and maintained by the GBRMPA and the Queensland Government through the Field Management Program.</w:t>
            </w:r>
          </w:p>
        </w:tc>
        <w:tc>
          <w:tcPr>
            <w:tcW w:w="2330" w:type="pct"/>
          </w:tcPr>
          <w:p w14:paraId="5761DBAB"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No-anchoring areas</w:t>
            </w:r>
          </w:p>
          <w:p w14:paraId="5761DBAC"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Public moorings</w:t>
            </w:r>
          </w:p>
          <w:p w14:paraId="5761DBAD"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Reef protection markers</w:t>
            </w:r>
          </w:p>
          <w:p w14:paraId="5761DBAE"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Signs</w:t>
            </w:r>
          </w:p>
          <w:p w14:paraId="5761DBAF"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Transit lanes</w:t>
            </w:r>
          </w:p>
        </w:tc>
      </w:tr>
      <w:tr w:rsidR="00A56EE9" w:rsidRPr="00DB0807" w14:paraId="5761DBB9" w14:textId="77777777" w:rsidTr="0049203B">
        <w:tc>
          <w:tcPr>
            <w:tcW w:w="0" w:type="auto"/>
          </w:tcPr>
          <w:p w14:paraId="5761DBB1" w14:textId="77777777" w:rsidR="00A56EE9" w:rsidRPr="009320DF" w:rsidRDefault="00A56EE9" w:rsidP="00BB6AD5">
            <w:pPr>
              <w:pStyle w:val="Tablebulletlist"/>
              <w:rPr>
                <w:rFonts w:ascii="Arial" w:hAnsi="Arial" w:cs="Arial"/>
              </w:rPr>
            </w:pPr>
            <w:r w:rsidRPr="009320DF">
              <w:rPr>
                <w:rFonts w:ascii="Arial" w:hAnsi="Arial" w:cs="Arial"/>
              </w:rPr>
              <w:t>Fees and charges</w:t>
            </w:r>
          </w:p>
        </w:tc>
        <w:tc>
          <w:tcPr>
            <w:tcW w:w="1811" w:type="pct"/>
          </w:tcPr>
          <w:p w14:paraId="5761DBB2" w14:textId="77777777" w:rsidR="00A56EE9" w:rsidRPr="009320DF" w:rsidRDefault="00A56EE9" w:rsidP="00BB6AD5">
            <w:pPr>
              <w:pStyle w:val="Tablebulletlist"/>
              <w:rPr>
                <w:rFonts w:ascii="Arial" w:hAnsi="Arial" w:cs="Arial"/>
              </w:rPr>
            </w:pPr>
            <w:r w:rsidRPr="009320DF">
              <w:rPr>
                <w:rFonts w:ascii="Arial" w:hAnsi="Arial" w:cs="Arial"/>
              </w:rPr>
              <w:t xml:space="preserve">Three main fees and charges apply in the Marine Park: </w:t>
            </w:r>
          </w:p>
          <w:p w14:paraId="5761DBB3" w14:textId="77777777" w:rsidR="00A56EE9" w:rsidRPr="009320DF" w:rsidRDefault="00A56EE9" w:rsidP="00BB6AD5">
            <w:pPr>
              <w:pStyle w:val="Tablebulletlist"/>
              <w:rPr>
                <w:rFonts w:ascii="Arial" w:hAnsi="Arial" w:cs="Arial"/>
              </w:rPr>
            </w:pPr>
            <w:r w:rsidRPr="009320DF">
              <w:rPr>
                <w:rFonts w:ascii="Arial" w:hAnsi="Arial" w:cs="Arial"/>
              </w:rPr>
              <w:t>The cost of assessing an application for a permit for commercial activities is partly recovered through payment of a permit application assessment fee.</w:t>
            </w:r>
          </w:p>
          <w:p w14:paraId="5761DBB4" w14:textId="77777777" w:rsidR="00A56EE9" w:rsidRPr="009320DF" w:rsidRDefault="00A56EE9" w:rsidP="00BB6AD5">
            <w:pPr>
              <w:pStyle w:val="Tablebulletlist"/>
              <w:rPr>
                <w:rFonts w:ascii="Arial" w:hAnsi="Arial" w:cs="Arial"/>
              </w:rPr>
            </w:pPr>
            <w:r w:rsidRPr="009320DF">
              <w:rPr>
                <w:rFonts w:ascii="Arial" w:hAnsi="Arial" w:cs="Arial"/>
              </w:rPr>
              <w:t>The environmental management charge applies to some commercial activities operating under a permit issued by the GBRMPA. The revenue is applied to Marine Park management.</w:t>
            </w:r>
          </w:p>
          <w:p w14:paraId="5761DBB5" w14:textId="77777777" w:rsidR="00A56EE9" w:rsidRPr="009320DF" w:rsidRDefault="00A56EE9" w:rsidP="00BB6AD5">
            <w:pPr>
              <w:pStyle w:val="Tablebulletlist"/>
              <w:rPr>
                <w:rFonts w:ascii="Arial" w:hAnsi="Arial" w:cs="Arial"/>
              </w:rPr>
            </w:pPr>
            <w:r w:rsidRPr="009320DF">
              <w:rPr>
                <w:rFonts w:ascii="Arial" w:hAnsi="Arial" w:cs="Arial"/>
              </w:rPr>
              <w:t>Bonds (usually as a bank guarantee) may be held by the GBRMPA to cover the risks associated with a proposed activity.</w:t>
            </w:r>
          </w:p>
        </w:tc>
        <w:tc>
          <w:tcPr>
            <w:tcW w:w="2330" w:type="pct"/>
          </w:tcPr>
          <w:p w14:paraId="5761DBB6" w14:textId="77777777" w:rsidR="00A56EE9" w:rsidRPr="009320DF" w:rsidRDefault="00A56EE9" w:rsidP="00A11869">
            <w:pPr>
              <w:pStyle w:val="ListParagraph"/>
              <w:numPr>
                <w:ilvl w:val="0"/>
                <w:numId w:val="12"/>
              </w:numPr>
              <w:spacing w:line="276" w:lineRule="auto"/>
              <w:rPr>
                <w:sz w:val="18"/>
                <w:szCs w:val="18"/>
                <w:lang w:bidi="en-US"/>
              </w:rPr>
            </w:pPr>
            <w:r w:rsidRPr="009320DF">
              <w:rPr>
                <w:sz w:val="18"/>
                <w:szCs w:val="18"/>
                <w:lang w:bidi="en-US"/>
              </w:rPr>
              <w:t>Permit application assessment fees are currently charged for activities of a commercial nature including tourist programs; vessel chartering; construction or maintenance of a facility; operation of a land-based sewage outfall; and the construction and operation of a mooring.</w:t>
            </w:r>
          </w:p>
          <w:p w14:paraId="5761DBB7" w14:textId="77777777" w:rsidR="00A56EE9" w:rsidRPr="009320DF" w:rsidRDefault="00A56EE9" w:rsidP="00A11869">
            <w:pPr>
              <w:pStyle w:val="ListParagraph"/>
              <w:numPr>
                <w:ilvl w:val="0"/>
                <w:numId w:val="12"/>
              </w:numPr>
              <w:spacing w:line="276" w:lineRule="auto"/>
              <w:rPr>
                <w:sz w:val="18"/>
                <w:szCs w:val="18"/>
                <w:lang w:bidi="en-US"/>
              </w:rPr>
            </w:pPr>
            <w:r w:rsidRPr="009320DF">
              <w:rPr>
                <w:sz w:val="18"/>
                <w:szCs w:val="18"/>
                <w:lang w:bidi="en-US"/>
              </w:rPr>
              <w:t>Most tourism visitors to the Marine Park pay the environmental management charge. For operations involving the hire of equipment, installation and operation of tourist facilities, and sewage outfalls, quarterly charges are paid by the operator.</w:t>
            </w:r>
          </w:p>
          <w:p w14:paraId="5761DBB8" w14:textId="77777777" w:rsidR="00A56EE9" w:rsidRPr="009320DF" w:rsidRDefault="00A56EE9" w:rsidP="00A11869">
            <w:pPr>
              <w:pStyle w:val="ListParagraph"/>
              <w:numPr>
                <w:ilvl w:val="0"/>
                <w:numId w:val="12"/>
              </w:numPr>
              <w:spacing w:line="276" w:lineRule="auto"/>
              <w:rPr>
                <w:sz w:val="18"/>
                <w:szCs w:val="18"/>
                <w:lang w:bidi="en-US"/>
              </w:rPr>
            </w:pPr>
            <w:r w:rsidRPr="009320DF">
              <w:rPr>
                <w:sz w:val="18"/>
                <w:szCs w:val="18"/>
              </w:rPr>
              <w:t>Bonds are generally secured as part of a deed of agreement between the permittee and the GBRMPA.</w:t>
            </w:r>
          </w:p>
        </w:tc>
      </w:tr>
      <w:tr w:rsidR="00A56EE9" w:rsidRPr="00DB0807" w14:paraId="5761DBF2" w14:textId="77777777" w:rsidTr="0049203B">
        <w:tc>
          <w:tcPr>
            <w:tcW w:w="0" w:type="auto"/>
          </w:tcPr>
          <w:p w14:paraId="5761DBBA" w14:textId="77777777" w:rsidR="00A56EE9" w:rsidRPr="005B1DF1" w:rsidRDefault="00A56EE9" w:rsidP="00BB6AD5">
            <w:pPr>
              <w:pStyle w:val="Tablebulletlist"/>
              <w:rPr>
                <w:rFonts w:ascii="Arial" w:hAnsi="Arial" w:cs="Arial"/>
              </w:rPr>
            </w:pPr>
            <w:r w:rsidRPr="005B1DF1">
              <w:rPr>
                <w:rFonts w:ascii="Arial" w:hAnsi="Arial" w:cs="Arial"/>
              </w:rPr>
              <w:t>Policy</w:t>
            </w:r>
          </w:p>
        </w:tc>
        <w:tc>
          <w:tcPr>
            <w:tcW w:w="1811" w:type="pct"/>
          </w:tcPr>
          <w:p w14:paraId="5761DBBB" w14:textId="77777777" w:rsidR="00A56EE9" w:rsidRPr="005B1DF1" w:rsidRDefault="00A56EE9" w:rsidP="00BB6AD5">
            <w:pPr>
              <w:pStyle w:val="Tablebulletlist"/>
              <w:rPr>
                <w:rFonts w:ascii="Arial" w:hAnsi="Arial" w:cs="Arial"/>
              </w:rPr>
            </w:pPr>
            <w:r w:rsidRPr="005B1DF1">
              <w:rPr>
                <w:rFonts w:ascii="Arial" w:hAnsi="Arial" w:cs="Arial"/>
              </w:rPr>
              <w:t xml:space="preserve">Developed by the GBRMPA, under section 7(4) of the </w:t>
            </w:r>
            <w:r w:rsidRPr="005B1DF1">
              <w:rPr>
                <w:rFonts w:ascii="Arial" w:hAnsi="Arial" w:cs="Arial"/>
                <w:i/>
              </w:rPr>
              <w:t>Great Barrier Reef Marine Park Act 1975,</w:t>
            </w:r>
            <w:r w:rsidRPr="005B1DF1">
              <w:rPr>
                <w:rFonts w:ascii="Arial" w:hAnsi="Arial" w:cs="Arial"/>
              </w:rPr>
              <w:t xml:space="preserve"> detailing the way in which the GBRMPA intends to manage the Marine Park or perform its other functions.</w:t>
            </w:r>
          </w:p>
          <w:p w14:paraId="5761DBBC" w14:textId="77777777" w:rsidR="00A56EE9" w:rsidRPr="005B1DF1" w:rsidRDefault="00A56EE9" w:rsidP="00BB6AD5">
            <w:pPr>
              <w:pStyle w:val="Tablebulletlist"/>
              <w:rPr>
                <w:rFonts w:ascii="Arial" w:hAnsi="Arial" w:cs="Arial"/>
              </w:rPr>
            </w:pPr>
            <w:r w:rsidRPr="005B1DF1">
              <w:rPr>
                <w:rFonts w:ascii="Arial" w:hAnsi="Arial" w:cs="Arial"/>
              </w:rPr>
              <w:t>Policy documents are not legislative instruments. They are specific arrangements that guide decision makers and the public. Types of policy documents include: strategies, policies, site management arrangements, position statements and guidelines.</w:t>
            </w:r>
          </w:p>
        </w:tc>
        <w:tc>
          <w:tcPr>
            <w:tcW w:w="2330" w:type="pct"/>
          </w:tcPr>
          <w:p w14:paraId="5761DBBD" w14:textId="77777777" w:rsidR="00A56EE9" w:rsidRPr="005B1DF1" w:rsidRDefault="00A56EE9" w:rsidP="00BB6AD5">
            <w:pPr>
              <w:ind w:left="360" w:hanging="360"/>
              <w:rPr>
                <w:b/>
                <w:i/>
                <w:smallCaps/>
                <w:kern w:val="28"/>
                <w:sz w:val="18"/>
                <w:szCs w:val="18"/>
              </w:rPr>
            </w:pPr>
            <w:r w:rsidRPr="005B1DF1">
              <w:rPr>
                <w:sz w:val="18"/>
                <w:szCs w:val="18"/>
              </w:rPr>
              <w:t>Strategies</w:t>
            </w:r>
          </w:p>
          <w:p w14:paraId="5761DBBE" w14:textId="77777777" w:rsidR="00A56EE9" w:rsidRDefault="00A56EE9" w:rsidP="00A11869">
            <w:pPr>
              <w:pStyle w:val="ListParagraph"/>
              <w:numPr>
                <w:ilvl w:val="0"/>
                <w:numId w:val="12"/>
              </w:numPr>
              <w:spacing w:line="276" w:lineRule="auto"/>
              <w:rPr>
                <w:sz w:val="18"/>
                <w:szCs w:val="18"/>
              </w:rPr>
            </w:pPr>
            <w:r w:rsidRPr="00F4302D">
              <w:rPr>
                <w:sz w:val="18"/>
                <w:szCs w:val="18"/>
              </w:rPr>
              <w:t>Great Barrier Reef Blueprint</w:t>
            </w:r>
          </w:p>
          <w:p w14:paraId="5761DBBF"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 xml:space="preserve">Great Barrier Reef Biodiversity Conservation Strategy 2013 </w:t>
            </w:r>
          </w:p>
          <w:p w14:paraId="5761DBC0"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Great Barrier Reef Heritage Strategy 2005</w:t>
            </w:r>
          </w:p>
          <w:p w14:paraId="5761DBC1" w14:textId="77777777" w:rsidR="00A56EE9" w:rsidRDefault="00A56EE9" w:rsidP="00A11869">
            <w:pPr>
              <w:pStyle w:val="ListParagraph"/>
              <w:numPr>
                <w:ilvl w:val="0"/>
                <w:numId w:val="12"/>
              </w:numPr>
              <w:spacing w:line="276" w:lineRule="auto"/>
              <w:rPr>
                <w:sz w:val="18"/>
                <w:szCs w:val="18"/>
              </w:rPr>
            </w:pPr>
            <w:r w:rsidRPr="005B1DF1">
              <w:rPr>
                <w:sz w:val="18"/>
                <w:szCs w:val="18"/>
              </w:rPr>
              <w:t xml:space="preserve">Recreation Management Strategy for the </w:t>
            </w:r>
            <w:r w:rsidRPr="002A1EAD">
              <w:rPr>
                <w:sz w:val="18"/>
                <w:szCs w:val="18"/>
              </w:rPr>
              <w:t>Great Barrier Reef Marine Park 2012</w:t>
            </w:r>
          </w:p>
          <w:p w14:paraId="5761DBC2" w14:textId="77777777" w:rsidR="00A56EE9" w:rsidRPr="002A1EAD" w:rsidRDefault="00A56EE9" w:rsidP="00A11869">
            <w:pPr>
              <w:pStyle w:val="ListParagraph"/>
              <w:numPr>
                <w:ilvl w:val="0"/>
                <w:numId w:val="12"/>
              </w:numPr>
              <w:spacing w:line="276" w:lineRule="auto"/>
              <w:rPr>
                <w:sz w:val="18"/>
                <w:szCs w:val="18"/>
              </w:rPr>
            </w:pPr>
            <w:r>
              <w:rPr>
                <w:sz w:val="18"/>
                <w:szCs w:val="18"/>
              </w:rPr>
              <w:t>Crown-of-thorns Starfish Strategic Management and Contingency Plan (draft)</w:t>
            </w:r>
          </w:p>
          <w:p w14:paraId="5761DBC3" w14:textId="77777777" w:rsidR="00A56EE9" w:rsidRPr="002A1EAD" w:rsidRDefault="00A56EE9" w:rsidP="00BB6AD5">
            <w:pPr>
              <w:rPr>
                <w:b/>
                <w:i/>
                <w:smallCaps/>
                <w:kern w:val="28"/>
                <w:sz w:val="18"/>
                <w:szCs w:val="18"/>
              </w:rPr>
            </w:pPr>
            <w:r w:rsidRPr="002A1EAD">
              <w:rPr>
                <w:sz w:val="18"/>
                <w:szCs w:val="18"/>
              </w:rPr>
              <w:t>Policies</w:t>
            </w:r>
          </w:p>
          <w:p w14:paraId="5761DBC4" w14:textId="77777777" w:rsidR="00A56EE9" w:rsidRPr="002A1EAD" w:rsidRDefault="00A56EE9" w:rsidP="00A11869">
            <w:pPr>
              <w:pStyle w:val="ListParagraph"/>
              <w:numPr>
                <w:ilvl w:val="0"/>
                <w:numId w:val="12"/>
              </w:numPr>
              <w:spacing w:line="276" w:lineRule="auto"/>
              <w:rPr>
                <w:sz w:val="18"/>
                <w:szCs w:val="18"/>
              </w:rPr>
            </w:pPr>
            <w:r w:rsidRPr="002A1EAD">
              <w:rPr>
                <w:sz w:val="18"/>
                <w:szCs w:val="18"/>
              </w:rPr>
              <w:t xml:space="preserve">Cruise shipping policy for the Great Barrier Reef Marine Park </w:t>
            </w:r>
          </w:p>
          <w:p w14:paraId="5761DBC5" w14:textId="77777777" w:rsidR="00A56EE9" w:rsidRPr="002A1EAD" w:rsidRDefault="00A56EE9" w:rsidP="00A11869">
            <w:pPr>
              <w:pStyle w:val="ListParagraph"/>
              <w:numPr>
                <w:ilvl w:val="0"/>
                <w:numId w:val="12"/>
              </w:numPr>
              <w:spacing w:line="276" w:lineRule="auto"/>
              <w:rPr>
                <w:sz w:val="18"/>
                <w:szCs w:val="18"/>
              </w:rPr>
            </w:pPr>
            <w:r w:rsidRPr="002A1EAD">
              <w:rPr>
                <w:sz w:val="18"/>
                <w:szCs w:val="18"/>
              </w:rPr>
              <w:t>Managing tourism permission to operate in the Great Barrier Reef Marine Park (including Allocation, Latency and Tenure)</w:t>
            </w:r>
          </w:p>
          <w:p w14:paraId="5761DBC6" w14:textId="77777777" w:rsidR="00A56EE9" w:rsidRPr="0030396B" w:rsidRDefault="00A56EE9" w:rsidP="00A11869">
            <w:pPr>
              <w:pStyle w:val="ListParagraph"/>
              <w:numPr>
                <w:ilvl w:val="0"/>
                <w:numId w:val="12"/>
              </w:numPr>
              <w:spacing w:line="276" w:lineRule="auto"/>
              <w:rPr>
                <w:sz w:val="18"/>
                <w:szCs w:val="18"/>
              </w:rPr>
            </w:pPr>
            <w:r w:rsidRPr="0030396B">
              <w:rPr>
                <w:sz w:val="18"/>
                <w:szCs w:val="18"/>
              </w:rPr>
              <w:t>Policy on moorings in the Great Barrier Reef</w:t>
            </w:r>
          </w:p>
          <w:p w14:paraId="5761DBC7" w14:textId="77777777" w:rsidR="00A56EE9" w:rsidRPr="0030396B" w:rsidRDefault="00A56EE9" w:rsidP="00A11869">
            <w:pPr>
              <w:pStyle w:val="ListParagraph"/>
              <w:numPr>
                <w:ilvl w:val="0"/>
                <w:numId w:val="12"/>
              </w:numPr>
              <w:spacing w:line="276" w:lineRule="auto"/>
              <w:rPr>
                <w:sz w:val="18"/>
                <w:szCs w:val="18"/>
              </w:rPr>
            </w:pPr>
            <w:r w:rsidRPr="0030396B">
              <w:rPr>
                <w:sz w:val="18"/>
                <w:szCs w:val="18"/>
              </w:rPr>
              <w:t>Policy on managing bareboat operations in the Great Barrier Reef Marine Park</w:t>
            </w:r>
          </w:p>
          <w:p w14:paraId="5761DBC8" w14:textId="77777777" w:rsidR="00A56EE9" w:rsidRPr="0030396B" w:rsidRDefault="00A56EE9" w:rsidP="00A11869">
            <w:pPr>
              <w:pStyle w:val="ListParagraph"/>
              <w:numPr>
                <w:ilvl w:val="0"/>
                <w:numId w:val="12"/>
              </w:numPr>
              <w:spacing w:line="276" w:lineRule="auto"/>
              <w:rPr>
                <w:sz w:val="18"/>
                <w:szCs w:val="18"/>
              </w:rPr>
            </w:pPr>
            <w:r w:rsidRPr="0030396B">
              <w:rPr>
                <w:sz w:val="18"/>
                <w:szCs w:val="18"/>
              </w:rPr>
              <w:t>Dredging and spoil disposal policy</w:t>
            </w:r>
          </w:p>
          <w:p w14:paraId="5761DBC9" w14:textId="77777777" w:rsidR="00A56EE9" w:rsidRPr="0030396B" w:rsidRDefault="00A56EE9" w:rsidP="00A11869">
            <w:pPr>
              <w:pStyle w:val="ListParagraph"/>
              <w:numPr>
                <w:ilvl w:val="0"/>
                <w:numId w:val="12"/>
              </w:numPr>
              <w:spacing w:line="276" w:lineRule="auto"/>
              <w:rPr>
                <w:sz w:val="18"/>
                <w:szCs w:val="18"/>
              </w:rPr>
            </w:pPr>
            <w:r w:rsidRPr="0030396B">
              <w:rPr>
                <w:sz w:val="18"/>
                <w:szCs w:val="18"/>
              </w:rPr>
              <w:t>Dredging coral reef habitats policy</w:t>
            </w:r>
          </w:p>
          <w:p w14:paraId="5761DBCA" w14:textId="77777777" w:rsidR="00A56EE9" w:rsidRPr="0030396B" w:rsidRDefault="00A56EE9" w:rsidP="00A11869">
            <w:pPr>
              <w:pStyle w:val="ListParagraph"/>
              <w:numPr>
                <w:ilvl w:val="0"/>
                <w:numId w:val="12"/>
              </w:numPr>
              <w:spacing w:line="276" w:lineRule="auto"/>
              <w:rPr>
                <w:sz w:val="18"/>
                <w:szCs w:val="18"/>
              </w:rPr>
            </w:pPr>
            <w:r w:rsidRPr="0030396B">
              <w:rPr>
                <w:sz w:val="18"/>
                <w:szCs w:val="18"/>
              </w:rPr>
              <w:t xml:space="preserve">Environmental impact management </w:t>
            </w:r>
          </w:p>
          <w:p w14:paraId="5761DBCB" w14:textId="77777777" w:rsidR="00A56EE9" w:rsidRPr="0030396B" w:rsidRDefault="00A56EE9" w:rsidP="00A11869">
            <w:pPr>
              <w:pStyle w:val="ListParagraph"/>
              <w:numPr>
                <w:ilvl w:val="0"/>
                <w:numId w:val="12"/>
              </w:numPr>
              <w:spacing w:line="276" w:lineRule="auto"/>
              <w:rPr>
                <w:sz w:val="18"/>
                <w:szCs w:val="18"/>
              </w:rPr>
            </w:pPr>
            <w:r w:rsidRPr="0030396B">
              <w:rPr>
                <w:sz w:val="18"/>
                <w:szCs w:val="18"/>
              </w:rPr>
              <w:t xml:space="preserve">Policy on managing activities that include the direct take of a protected species from the Great Barrier Reef Marine Park </w:t>
            </w:r>
          </w:p>
          <w:p w14:paraId="5761DBCC" w14:textId="77777777" w:rsidR="00A56EE9" w:rsidRPr="008D3254" w:rsidRDefault="00A56EE9" w:rsidP="00A11869">
            <w:pPr>
              <w:pStyle w:val="ListParagraph"/>
              <w:numPr>
                <w:ilvl w:val="0"/>
                <w:numId w:val="12"/>
              </w:numPr>
              <w:spacing w:line="276" w:lineRule="auto"/>
              <w:rPr>
                <w:sz w:val="18"/>
                <w:szCs w:val="18"/>
              </w:rPr>
            </w:pPr>
            <w:r w:rsidRPr="008D3254">
              <w:rPr>
                <w:sz w:val="18"/>
                <w:szCs w:val="18"/>
              </w:rPr>
              <w:t xml:space="preserve">Marine tourism contingency plan </w:t>
            </w:r>
          </w:p>
          <w:p w14:paraId="5761DBCD" w14:textId="77777777" w:rsidR="00A56EE9" w:rsidRPr="008D3254" w:rsidRDefault="00A56EE9" w:rsidP="00A11869">
            <w:pPr>
              <w:pStyle w:val="ListParagraph"/>
              <w:numPr>
                <w:ilvl w:val="0"/>
                <w:numId w:val="12"/>
              </w:numPr>
              <w:spacing w:line="276" w:lineRule="auto"/>
              <w:rPr>
                <w:sz w:val="18"/>
                <w:szCs w:val="18"/>
              </w:rPr>
            </w:pPr>
            <w:r w:rsidRPr="008D3254">
              <w:rPr>
                <w:sz w:val="18"/>
                <w:szCs w:val="18"/>
              </w:rPr>
              <w:t xml:space="preserve">Operational policy on whale and dolphin conservation in the Great Barrier Reef Marine Park </w:t>
            </w:r>
          </w:p>
          <w:p w14:paraId="5761DBCE" w14:textId="77777777" w:rsidR="00A56EE9" w:rsidRPr="008D3254" w:rsidRDefault="00A56EE9" w:rsidP="00A11869">
            <w:pPr>
              <w:pStyle w:val="ListParagraph"/>
              <w:numPr>
                <w:ilvl w:val="0"/>
                <w:numId w:val="12"/>
              </w:numPr>
              <w:spacing w:line="276" w:lineRule="auto"/>
              <w:rPr>
                <w:sz w:val="18"/>
                <w:szCs w:val="18"/>
              </w:rPr>
            </w:pPr>
            <w:r w:rsidRPr="008D3254">
              <w:rPr>
                <w:sz w:val="18"/>
                <w:szCs w:val="18"/>
              </w:rPr>
              <w:t>Sewage discharges from marine outfalls to the Great Barrier Reef Marine Park</w:t>
            </w:r>
          </w:p>
          <w:p w14:paraId="5761DBCF" w14:textId="77777777" w:rsidR="00A56EE9" w:rsidRPr="005B1DF1" w:rsidRDefault="00A56EE9" w:rsidP="00BB6AD5">
            <w:pPr>
              <w:pStyle w:val="ListParagraph"/>
              <w:spacing w:line="276" w:lineRule="auto"/>
              <w:ind w:left="360"/>
              <w:rPr>
                <w:sz w:val="18"/>
                <w:szCs w:val="18"/>
              </w:rPr>
            </w:pPr>
          </w:p>
          <w:p w14:paraId="5761DBD0" w14:textId="77777777" w:rsidR="00A56EE9" w:rsidRPr="005B1DF1" w:rsidRDefault="00A56EE9" w:rsidP="00BB6AD5">
            <w:pPr>
              <w:rPr>
                <w:b/>
                <w:i/>
                <w:smallCaps/>
                <w:kern w:val="28"/>
                <w:sz w:val="18"/>
                <w:szCs w:val="18"/>
              </w:rPr>
            </w:pPr>
            <w:r w:rsidRPr="005B1DF1">
              <w:rPr>
                <w:sz w:val="18"/>
                <w:szCs w:val="18"/>
              </w:rPr>
              <w:t>Site management arrangements</w:t>
            </w:r>
          </w:p>
          <w:p w14:paraId="5761DBD1"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 xml:space="preserve">Site plans </w:t>
            </w:r>
            <w:r w:rsidRPr="008D3254">
              <w:rPr>
                <w:sz w:val="18"/>
                <w:szCs w:val="18"/>
              </w:rPr>
              <w:t>for Raine Island, Moulter Cay and Maclennan Cay; Clump Point, Mission Beach; Low Isles, offshore from Port Douglas; Michaelmas Cay locality; Upolu Cay Reef; Bauer</w:t>
            </w:r>
            <w:r w:rsidRPr="005B1DF1">
              <w:rPr>
                <w:sz w:val="18"/>
                <w:szCs w:val="18"/>
              </w:rPr>
              <w:t xml:space="preserve"> Bay</w:t>
            </w:r>
            <w:r>
              <w:rPr>
                <w:sz w:val="18"/>
                <w:szCs w:val="18"/>
              </w:rPr>
              <w:t>,</w:t>
            </w:r>
            <w:r w:rsidRPr="005B1DF1">
              <w:rPr>
                <w:sz w:val="18"/>
                <w:szCs w:val="18"/>
              </w:rPr>
              <w:t xml:space="preserve"> South Molle Island; Blue Pearl Bay, Hayman Island; Whitsundays Plan of Management setting 5 site plans; Tongue Bay; Hill Inlet</w:t>
            </w:r>
            <w:r>
              <w:rPr>
                <w:sz w:val="18"/>
                <w:szCs w:val="18"/>
              </w:rPr>
              <w:t>,</w:t>
            </w:r>
            <w:r w:rsidRPr="005B1DF1">
              <w:rPr>
                <w:sz w:val="18"/>
                <w:szCs w:val="18"/>
              </w:rPr>
              <w:t>Whitehaven Beach</w:t>
            </w:r>
            <w:r>
              <w:rPr>
                <w:sz w:val="18"/>
                <w:szCs w:val="18"/>
              </w:rPr>
              <w:t xml:space="preserve"> and Whitsunday Island</w:t>
            </w:r>
            <w:r w:rsidRPr="005B1DF1">
              <w:rPr>
                <w:sz w:val="18"/>
                <w:szCs w:val="18"/>
              </w:rPr>
              <w:t>; Fitzroy Reef; Keppel Bay and islands; Lady Elliot Island Reef; Lady Musgrave Island Reef</w:t>
            </w:r>
          </w:p>
          <w:p w14:paraId="5761DBD2" w14:textId="77777777" w:rsidR="00A56EE9" w:rsidRDefault="00A56EE9" w:rsidP="00BB6AD5">
            <w:pPr>
              <w:rPr>
                <w:sz w:val="18"/>
                <w:szCs w:val="18"/>
              </w:rPr>
            </w:pPr>
          </w:p>
          <w:p w14:paraId="5761DBD3" w14:textId="77777777" w:rsidR="00A56EE9" w:rsidRPr="005B1DF1" w:rsidRDefault="00A56EE9" w:rsidP="00BB6AD5">
            <w:pPr>
              <w:rPr>
                <w:b/>
                <w:i/>
                <w:smallCaps/>
                <w:kern w:val="28"/>
                <w:sz w:val="18"/>
                <w:szCs w:val="18"/>
              </w:rPr>
            </w:pPr>
            <w:r w:rsidRPr="005B1DF1">
              <w:rPr>
                <w:sz w:val="18"/>
                <w:szCs w:val="18"/>
              </w:rPr>
              <w:t>Position statements</w:t>
            </w:r>
          </w:p>
          <w:p w14:paraId="5761DBD4"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 xml:space="preserve">Aquaculture within the Great Barrier Reef Marine Park </w:t>
            </w:r>
          </w:p>
          <w:p w14:paraId="5761DBD5"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 xml:space="preserve">Conservation of dugongs in the Great Barrier Reef Marine Park </w:t>
            </w:r>
          </w:p>
          <w:p w14:paraId="5761DBD6"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 xml:space="preserve">Indigenous participation in tourism and its management </w:t>
            </w:r>
          </w:p>
          <w:p w14:paraId="5761DBD7"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Management of commercial jet ski operations around Magnetic Island</w:t>
            </w:r>
          </w:p>
          <w:p w14:paraId="5761DBD8"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 xml:space="preserve">Management of tourist flights in the vicinity of Magnetic Island </w:t>
            </w:r>
          </w:p>
          <w:p w14:paraId="5761DBD9"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 xml:space="preserve">Management of memorials within the Great Barrier Reef Marine Park </w:t>
            </w:r>
          </w:p>
          <w:p w14:paraId="5761DBDA"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 xml:space="preserve">Managing access to the Restricted Access Special Management Areas surrounding Raine Island, Moulter Cay and Maclennan Cay </w:t>
            </w:r>
          </w:p>
          <w:p w14:paraId="5761DBDB" w14:textId="77777777" w:rsidR="00A56EE9" w:rsidRDefault="00A56EE9" w:rsidP="00A11869">
            <w:pPr>
              <w:pStyle w:val="ListParagraph"/>
              <w:numPr>
                <w:ilvl w:val="0"/>
                <w:numId w:val="12"/>
              </w:numPr>
              <w:spacing w:line="276" w:lineRule="auto"/>
              <w:rPr>
                <w:sz w:val="18"/>
                <w:szCs w:val="18"/>
              </w:rPr>
            </w:pPr>
            <w:r w:rsidRPr="005B1DF1">
              <w:rPr>
                <w:sz w:val="18"/>
                <w:szCs w:val="18"/>
              </w:rPr>
              <w:t xml:space="preserve">No structures sub-zones </w:t>
            </w:r>
          </w:p>
          <w:p w14:paraId="5761DBDC"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 xml:space="preserve">Translocation of species in the Great Barrier Reef Marine Park </w:t>
            </w:r>
          </w:p>
          <w:p w14:paraId="5761DBDD" w14:textId="77777777" w:rsidR="00A56EE9" w:rsidRPr="005B1DF1" w:rsidRDefault="00A56EE9" w:rsidP="00BB6AD5">
            <w:pPr>
              <w:rPr>
                <w:b/>
                <w:i/>
                <w:smallCaps/>
                <w:kern w:val="28"/>
                <w:sz w:val="18"/>
                <w:szCs w:val="18"/>
              </w:rPr>
            </w:pPr>
            <w:r w:rsidRPr="005B1DF1">
              <w:rPr>
                <w:sz w:val="18"/>
                <w:szCs w:val="18"/>
              </w:rPr>
              <w:t>Guidelines</w:t>
            </w:r>
          </w:p>
          <w:p w14:paraId="5761DBDE" w14:textId="77777777" w:rsidR="00A56EE9" w:rsidRDefault="00A56EE9" w:rsidP="00A11869">
            <w:pPr>
              <w:pStyle w:val="ListParagraph"/>
              <w:numPr>
                <w:ilvl w:val="0"/>
                <w:numId w:val="12"/>
              </w:numPr>
              <w:spacing w:line="276" w:lineRule="auto"/>
              <w:rPr>
                <w:sz w:val="18"/>
                <w:szCs w:val="18"/>
              </w:rPr>
            </w:pPr>
            <w:r>
              <w:rPr>
                <w:sz w:val="18"/>
                <w:szCs w:val="18"/>
              </w:rPr>
              <w:t>Applications for joint permissions</w:t>
            </w:r>
          </w:p>
          <w:p w14:paraId="5761DBDF" w14:textId="77777777" w:rsidR="00A56EE9" w:rsidRDefault="00A56EE9" w:rsidP="00A11869">
            <w:pPr>
              <w:pStyle w:val="ListParagraph"/>
              <w:numPr>
                <w:ilvl w:val="0"/>
                <w:numId w:val="12"/>
              </w:numPr>
              <w:spacing w:line="276" w:lineRule="auto"/>
              <w:rPr>
                <w:sz w:val="18"/>
                <w:szCs w:val="18"/>
              </w:rPr>
            </w:pPr>
            <w:r>
              <w:rPr>
                <w:sz w:val="18"/>
                <w:szCs w:val="18"/>
              </w:rPr>
              <w:t>Permission assessment and decision</w:t>
            </w:r>
          </w:p>
          <w:p w14:paraId="5761DBE0" w14:textId="77777777" w:rsidR="00A56EE9" w:rsidRDefault="00A56EE9" w:rsidP="00A11869">
            <w:pPr>
              <w:pStyle w:val="ListParagraph"/>
              <w:numPr>
                <w:ilvl w:val="0"/>
                <w:numId w:val="12"/>
              </w:numPr>
              <w:spacing w:line="276" w:lineRule="auto"/>
              <w:rPr>
                <w:sz w:val="18"/>
                <w:szCs w:val="18"/>
              </w:rPr>
            </w:pPr>
            <w:r>
              <w:rPr>
                <w:sz w:val="18"/>
                <w:szCs w:val="18"/>
              </w:rPr>
              <w:t>Historic heritage assessment: WWII features and sites, and voyages and shipwrecks</w:t>
            </w:r>
          </w:p>
          <w:p w14:paraId="5761DBE1" w14:textId="77777777" w:rsidR="00A56EE9" w:rsidRDefault="00A56EE9" w:rsidP="00A11869">
            <w:pPr>
              <w:pStyle w:val="ListParagraph"/>
              <w:numPr>
                <w:ilvl w:val="0"/>
                <w:numId w:val="12"/>
              </w:numPr>
              <w:spacing w:line="276" w:lineRule="auto"/>
              <w:rPr>
                <w:sz w:val="18"/>
                <w:szCs w:val="18"/>
              </w:rPr>
            </w:pPr>
            <w:r>
              <w:rPr>
                <w:sz w:val="18"/>
                <w:szCs w:val="18"/>
              </w:rPr>
              <w:t>Historic heritage assessment: other places of historic and social significance</w:t>
            </w:r>
          </w:p>
          <w:p w14:paraId="5761DBE2" w14:textId="77777777" w:rsidR="00A56EE9" w:rsidRDefault="00A56EE9" w:rsidP="00A11869">
            <w:pPr>
              <w:pStyle w:val="ListParagraph"/>
              <w:numPr>
                <w:ilvl w:val="0"/>
                <w:numId w:val="12"/>
              </w:numPr>
              <w:spacing w:line="276" w:lineRule="auto"/>
              <w:rPr>
                <w:sz w:val="18"/>
                <w:szCs w:val="18"/>
              </w:rPr>
            </w:pPr>
            <w:r>
              <w:rPr>
                <w:sz w:val="18"/>
                <w:szCs w:val="18"/>
              </w:rPr>
              <w:t>Historic heritage assessment: maritime cultural heritage protection special management area</w:t>
            </w:r>
          </w:p>
          <w:p w14:paraId="5761DBE3" w14:textId="77777777" w:rsidR="00A56EE9" w:rsidRDefault="00A56EE9" w:rsidP="00A11869">
            <w:pPr>
              <w:pStyle w:val="ListParagraph"/>
              <w:numPr>
                <w:ilvl w:val="0"/>
                <w:numId w:val="12"/>
              </w:numPr>
              <w:spacing w:line="276" w:lineRule="auto"/>
              <w:rPr>
                <w:sz w:val="18"/>
                <w:szCs w:val="18"/>
              </w:rPr>
            </w:pPr>
            <w:r>
              <w:rPr>
                <w:sz w:val="18"/>
                <w:szCs w:val="18"/>
              </w:rPr>
              <w:t>Social value assessment</w:t>
            </w:r>
          </w:p>
          <w:p w14:paraId="5761DBE4" w14:textId="77777777" w:rsidR="00A56EE9" w:rsidRDefault="00A56EE9" w:rsidP="00A11869">
            <w:pPr>
              <w:pStyle w:val="ListParagraph"/>
              <w:numPr>
                <w:ilvl w:val="0"/>
                <w:numId w:val="12"/>
              </w:numPr>
              <w:spacing w:line="276" w:lineRule="auto"/>
              <w:rPr>
                <w:sz w:val="18"/>
                <w:szCs w:val="18"/>
              </w:rPr>
            </w:pPr>
            <w:r>
              <w:rPr>
                <w:sz w:val="18"/>
                <w:szCs w:val="18"/>
              </w:rPr>
              <w:t>Traditional Owner heritage assessment</w:t>
            </w:r>
          </w:p>
          <w:p w14:paraId="5761DBE5" w14:textId="77777777" w:rsidR="00A56EE9" w:rsidRDefault="00A56EE9" w:rsidP="00A11869">
            <w:pPr>
              <w:pStyle w:val="ListParagraph"/>
              <w:numPr>
                <w:ilvl w:val="0"/>
                <w:numId w:val="12"/>
              </w:numPr>
              <w:spacing w:line="276" w:lineRule="auto"/>
              <w:rPr>
                <w:sz w:val="18"/>
                <w:szCs w:val="18"/>
              </w:rPr>
            </w:pPr>
            <w:r>
              <w:rPr>
                <w:sz w:val="18"/>
                <w:szCs w:val="18"/>
              </w:rPr>
              <w:t>Woppaburra Traditional Owner heritage assessment</w:t>
            </w:r>
          </w:p>
          <w:p w14:paraId="5761DBE6" w14:textId="77777777" w:rsidR="00A56EE9" w:rsidRDefault="00A56EE9" w:rsidP="00A11869">
            <w:pPr>
              <w:pStyle w:val="ListParagraph"/>
              <w:numPr>
                <w:ilvl w:val="0"/>
                <w:numId w:val="12"/>
              </w:numPr>
              <w:spacing w:line="276" w:lineRule="auto"/>
              <w:rPr>
                <w:sz w:val="18"/>
                <w:szCs w:val="18"/>
              </w:rPr>
            </w:pPr>
            <w:r>
              <w:rPr>
                <w:sz w:val="18"/>
                <w:szCs w:val="18"/>
              </w:rPr>
              <w:t>Managing research in the Great Barrier Reef Marine Park</w:t>
            </w:r>
          </w:p>
          <w:p w14:paraId="5761DBE7" w14:textId="77777777" w:rsidR="00A56EE9" w:rsidRDefault="00A56EE9" w:rsidP="00A11869">
            <w:pPr>
              <w:pStyle w:val="ListParagraph"/>
              <w:numPr>
                <w:ilvl w:val="0"/>
                <w:numId w:val="12"/>
              </w:numPr>
              <w:spacing w:line="276" w:lineRule="auto"/>
              <w:rPr>
                <w:sz w:val="18"/>
                <w:szCs w:val="18"/>
              </w:rPr>
            </w:pPr>
            <w:r>
              <w:rPr>
                <w:sz w:val="18"/>
                <w:szCs w:val="18"/>
              </w:rPr>
              <w:t>Activity assessment: photography, filming and sound recording</w:t>
            </w:r>
          </w:p>
          <w:p w14:paraId="5761DBE8" w14:textId="77777777" w:rsidR="00A56EE9" w:rsidRDefault="00A56EE9" w:rsidP="00A11869">
            <w:pPr>
              <w:pStyle w:val="ListParagraph"/>
              <w:numPr>
                <w:ilvl w:val="0"/>
                <w:numId w:val="12"/>
              </w:numPr>
              <w:spacing w:line="276" w:lineRule="auto"/>
              <w:rPr>
                <w:sz w:val="18"/>
                <w:szCs w:val="18"/>
              </w:rPr>
            </w:pPr>
            <w:r>
              <w:rPr>
                <w:sz w:val="18"/>
                <w:szCs w:val="18"/>
              </w:rPr>
              <w:t>Activity assessment: tourism program involving whale watching or swimming with whales</w:t>
            </w:r>
          </w:p>
          <w:p w14:paraId="5761DBE9" w14:textId="77777777" w:rsidR="00A56EE9" w:rsidRDefault="00A56EE9" w:rsidP="00A11869">
            <w:pPr>
              <w:pStyle w:val="ListParagraph"/>
              <w:numPr>
                <w:ilvl w:val="0"/>
                <w:numId w:val="12"/>
              </w:numPr>
              <w:spacing w:line="276" w:lineRule="auto"/>
              <w:rPr>
                <w:sz w:val="18"/>
                <w:szCs w:val="18"/>
              </w:rPr>
            </w:pPr>
            <w:r>
              <w:rPr>
                <w:sz w:val="18"/>
                <w:szCs w:val="18"/>
              </w:rPr>
              <w:t>Water quality guidelines for the Great Barrier Reef Marine Park</w:t>
            </w:r>
          </w:p>
          <w:p w14:paraId="5761DBEA" w14:textId="77777777" w:rsidR="00A56EE9" w:rsidRDefault="00A56EE9" w:rsidP="00A11869">
            <w:pPr>
              <w:pStyle w:val="ListParagraph"/>
              <w:numPr>
                <w:ilvl w:val="0"/>
                <w:numId w:val="12"/>
              </w:numPr>
              <w:spacing w:line="276" w:lineRule="auto"/>
              <w:rPr>
                <w:sz w:val="18"/>
                <w:szCs w:val="18"/>
              </w:rPr>
            </w:pPr>
            <w:r>
              <w:rPr>
                <w:sz w:val="18"/>
                <w:szCs w:val="18"/>
              </w:rPr>
              <w:t>Commercial dugong watching</w:t>
            </w:r>
          </w:p>
          <w:p w14:paraId="5761DBEB"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 xml:space="preserve">Coral transplantation </w:t>
            </w:r>
          </w:p>
          <w:p w14:paraId="5761DBEC"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Emergency disposal of foreign fishing vessels</w:t>
            </w:r>
          </w:p>
          <w:p w14:paraId="5761DBED"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Management of artificial reefs in the Great Barrier Reef Marine Park</w:t>
            </w:r>
          </w:p>
          <w:p w14:paraId="5761DBEE" w14:textId="77777777" w:rsidR="00A56EE9" w:rsidRPr="005B1DF1" w:rsidRDefault="00A56EE9" w:rsidP="00A11869">
            <w:pPr>
              <w:pStyle w:val="ListParagraph"/>
              <w:numPr>
                <w:ilvl w:val="0"/>
                <w:numId w:val="12"/>
              </w:numPr>
              <w:spacing w:line="276" w:lineRule="auto"/>
              <w:rPr>
                <w:sz w:val="18"/>
                <w:szCs w:val="18"/>
              </w:rPr>
            </w:pPr>
            <w:r w:rsidRPr="005B1DF1">
              <w:rPr>
                <w:sz w:val="18"/>
                <w:szCs w:val="18"/>
              </w:rPr>
              <w:t>Managing visitation to seabird breeding islands</w:t>
            </w:r>
          </w:p>
          <w:p w14:paraId="5761DBEF" w14:textId="77777777" w:rsidR="00A56EE9" w:rsidRDefault="00A56EE9" w:rsidP="00A11869">
            <w:pPr>
              <w:pStyle w:val="ListParagraph"/>
              <w:numPr>
                <w:ilvl w:val="0"/>
                <w:numId w:val="12"/>
              </w:numPr>
              <w:spacing w:line="276" w:lineRule="auto"/>
              <w:rPr>
                <w:sz w:val="18"/>
                <w:szCs w:val="18"/>
              </w:rPr>
            </w:pPr>
            <w:r w:rsidRPr="00FC5D32">
              <w:rPr>
                <w:sz w:val="18"/>
                <w:szCs w:val="18"/>
              </w:rPr>
              <w:t xml:space="preserve">Permits Information Bulletin — no structure sub-zones </w:t>
            </w:r>
          </w:p>
          <w:p w14:paraId="5761DBF0" w14:textId="77777777" w:rsidR="00A56EE9" w:rsidRPr="00FC5D32" w:rsidRDefault="00A56EE9" w:rsidP="00A11869">
            <w:pPr>
              <w:pStyle w:val="ListParagraph"/>
              <w:numPr>
                <w:ilvl w:val="0"/>
                <w:numId w:val="12"/>
              </w:numPr>
              <w:spacing w:line="276" w:lineRule="auto"/>
              <w:rPr>
                <w:sz w:val="18"/>
                <w:szCs w:val="18"/>
              </w:rPr>
            </w:pPr>
            <w:r>
              <w:rPr>
                <w:sz w:val="18"/>
                <w:szCs w:val="18"/>
              </w:rPr>
              <w:t xml:space="preserve">Use </w:t>
            </w:r>
            <w:r w:rsidRPr="00FC5D32">
              <w:rPr>
                <w:sz w:val="18"/>
                <w:szCs w:val="18"/>
              </w:rPr>
              <w:t>of hydrodynamic numerical modelling for dredging</w:t>
            </w:r>
            <w:r w:rsidRPr="005B1DF1">
              <w:rPr>
                <w:sz w:val="18"/>
                <w:szCs w:val="18"/>
              </w:rPr>
              <w:t xml:space="preserve"> projects in the Great Barrier Reef Marine Park</w:t>
            </w:r>
          </w:p>
          <w:p w14:paraId="5761DBF1" w14:textId="77777777" w:rsidR="00A56EE9" w:rsidRPr="00250DA9" w:rsidRDefault="00A56EE9" w:rsidP="00BB6AD5">
            <w:pPr>
              <w:pStyle w:val="ListParagraph"/>
              <w:spacing w:line="276" w:lineRule="auto"/>
              <w:ind w:left="360"/>
              <w:rPr>
                <w:sz w:val="18"/>
                <w:szCs w:val="18"/>
                <w:highlight w:val="red"/>
              </w:rPr>
            </w:pPr>
          </w:p>
        </w:tc>
      </w:tr>
      <w:tr w:rsidR="00A56EE9" w:rsidRPr="009320DF" w14:paraId="5761DBFF" w14:textId="77777777" w:rsidTr="0049203B">
        <w:tc>
          <w:tcPr>
            <w:tcW w:w="0" w:type="auto"/>
          </w:tcPr>
          <w:p w14:paraId="5761DBF3" w14:textId="77777777" w:rsidR="00A56EE9" w:rsidRPr="009320DF" w:rsidRDefault="00A56EE9" w:rsidP="00BB6AD5">
            <w:pPr>
              <w:pStyle w:val="Tablebulletlist"/>
              <w:rPr>
                <w:rFonts w:ascii="Arial" w:hAnsi="Arial" w:cs="Arial"/>
              </w:rPr>
            </w:pPr>
            <w:r w:rsidRPr="009320DF">
              <w:rPr>
                <w:rFonts w:ascii="Arial" w:hAnsi="Arial" w:cs="Arial"/>
              </w:rPr>
              <w:t>Partnerships</w:t>
            </w:r>
          </w:p>
        </w:tc>
        <w:tc>
          <w:tcPr>
            <w:tcW w:w="1811" w:type="pct"/>
          </w:tcPr>
          <w:p w14:paraId="5761DBF4" w14:textId="77777777" w:rsidR="00A56EE9" w:rsidRPr="009320DF" w:rsidRDefault="00A56EE9" w:rsidP="00BB6AD5">
            <w:pPr>
              <w:pStyle w:val="Tablebulletlist"/>
              <w:rPr>
                <w:rFonts w:ascii="Arial" w:hAnsi="Arial" w:cs="Arial"/>
              </w:rPr>
            </w:pPr>
            <w:r w:rsidRPr="009320DF">
              <w:rPr>
                <w:rFonts w:ascii="Arial" w:hAnsi="Arial" w:cs="Arial"/>
              </w:rPr>
              <w:t>Formal arrangements, often executed through a memorandum of understanding or an agreement, to enable a partnership approach to management of the Marine Park.</w:t>
            </w:r>
          </w:p>
        </w:tc>
        <w:tc>
          <w:tcPr>
            <w:tcW w:w="2330" w:type="pct"/>
          </w:tcPr>
          <w:p w14:paraId="5761DBF5"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 xml:space="preserve">Great Barrier Reef Intergovernmental Agreement 2009 between the Australian and Queensland governments </w:t>
            </w:r>
          </w:p>
          <w:p w14:paraId="5761DBF6" w14:textId="282B67B1" w:rsidR="00A56EE9" w:rsidRPr="009320DF" w:rsidRDefault="00A56EE9" w:rsidP="00A11869">
            <w:pPr>
              <w:pStyle w:val="ListParagraph"/>
              <w:numPr>
                <w:ilvl w:val="0"/>
                <w:numId w:val="12"/>
              </w:numPr>
              <w:spacing w:line="276" w:lineRule="auto"/>
              <w:rPr>
                <w:sz w:val="18"/>
                <w:szCs w:val="18"/>
              </w:rPr>
            </w:pPr>
            <w:r w:rsidRPr="009320DF">
              <w:rPr>
                <w:sz w:val="18"/>
                <w:szCs w:val="18"/>
              </w:rPr>
              <w:t>Reef Water Quality Protection Plan 2009 and 2013 (Reef Plan) now</w:t>
            </w:r>
            <w:r w:rsidR="00242993">
              <w:rPr>
                <w:sz w:val="18"/>
                <w:szCs w:val="18"/>
              </w:rPr>
              <w:t xml:space="preserve"> </w:t>
            </w:r>
          </w:p>
          <w:p w14:paraId="5761DBF7"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 xml:space="preserve">High Standard Tourism program </w:t>
            </w:r>
          </w:p>
          <w:p w14:paraId="5761DBF8"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Management agreement with the Department of Defence on the implementation of the strategic environmental assessment of defence activities in the Marine Park.</w:t>
            </w:r>
          </w:p>
          <w:p w14:paraId="5761DBF9"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Marine Stranding’s Hotline</w:t>
            </w:r>
          </w:p>
          <w:p w14:paraId="5761DBFA"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Memorandum of understanding with the Department of the Environment</w:t>
            </w:r>
            <w:r>
              <w:rPr>
                <w:sz w:val="18"/>
                <w:szCs w:val="18"/>
              </w:rPr>
              <w:t xml:space="preserve"> and Energy r</w:t>
            </w:r>
            <w:r w:rsidRPr="009320DF">
              <w:rPr>
                <w:sz w:val="18"/>
                <w:szCs w:val="18"/>
              </w:rPr>
              <w:t xml:space="preserve">elating to the integration and application of the </w:t>
            </w:r>
            <w:r w:rsidRPr="009320DF">
              <w:rPr>
                <w:i/>
                <w:sz w:val="18"/>
                <w:szCs w:val="18"/>
              </w:rPr>
              <w:t>Environment Protection and Biodiversity Conservation Act 1999</w:t>
            </w:r>
            <w:r w:rsidRPr="009320DF">
              <w:rPr>
                <w:sz w:val="18"/>
                <w:szCs w:val="18"/>
              </w:rPr>
              <w:t xml:space="preserve"> and the </w:t>
            </w:r>
            <w:r w:rsidRPr="009320DF">
              <w:rPr>
                <w:i/>
                <w:sz w:val="18"/>
                <w:szCs w:val="18"/>
              </w:rPr>
              <w:t>Great Barrier Reef Marine Park Act 1975</w:t>
            </w:r>
          </w:p>
          <w:p w14:paraId="5761DBFB"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Memorandum of understanding with Queensland ports on port activities in or adjacent to the Great Barrier Reef Marine Park (2009)</w:t>
            </w:r>
          </w:p>
          <w:p w14:paraId="5761DBFC"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Local Marine Advisory Committees</w:t>
            </w:r>
          </w:p>
          <w:p w14:paraId="5761DBFD"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Reef Advisory Committees</w:t>
            </w:r>
          </w:p>
          <w:p w14:paraId="5761DBFE"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 xml:space="preserve">Targeted control of crown-of-thorns starfish </w:t>
            </w:r>
          </w:p>
        </w:tc>
      </w:tr>
      <w:tr w:rsidR="00A56EE9" w:rsidRPr="00DB0807" w14:paraId="5761DC0D" w14:textId="77777777" w:rsidTr="0049203B">
        <w:tc>
          <w:tcPr>
            <w:tcW w:w="0" w:type="auto"/>
          </w:tcPr>
          <w:p w14:paraId="5761DC00" w14:textId="77777777" w:rsidR="00A56EE9" w:rsidRPr="009320DF" w:rsidRDefault="00A56EE9" w:rsidP="00BB6AD5">
            <w:pPr>
              <w:pStyle w:val="Tablebulletlist"/>
              <w:rPr>
                <w:rFonts w:ascii="Arial" w:hAnsi="Arial" w:cs="Arial"/>
              </w:rPr>
            </w:pPr>
            <w:r w:rsidRPr="009320DF">
              <w:rPr>
                <w:rFonts w:ascii="Arial" w:hAnsi="Arial" w:cs="Arial"/>
                <w:lang w:eastAsia="en-AU"/>
              </w:rPr>
              <w:t>Stewardship and best practice</w:t>
            </w:r>
          </w:p>
        </w:tc>
        <w:tc>
          <w:tcPr>
            <w:tcW w:w="1811" w:type="pct"/>
          </w:tcPr>
          <w:p w14:paraId="5761DC01" w14:textId="77777777" w:rsidR="00A56EE9" w:rsidRPr="009320DF" w:rsidRDefault="00A56EE9" w:rsidP="00BB6AD5">
            <w:pPr>
              <w:pStyle w:val="Tablebulletlist"/>
              <w:rPr>
                <w:rFonts w:ascii="Arial" w:hAnsi="Arial" w:cs="Arial"/>
                <w:lang w:eastAsia="en-AU"/>
              </w:rPr>
            </w:pPr>
            <w:r w:rsidRPr="009320DF">
              <w:rPr>
                <w:rFonts w:ascii="Arial" w:hAnsi="Arial" w:cs="Arial"/>
                <w:lang w:eastAsia="en-AU"/>
              </w:rPr>
              <w:t>Voluntary arrangements with stakeholders that provide the opportunity for contributions to protection and management.</w:t>
            </w:r>
          </w:p>
          <w:p w14:paraId="5761DC02" w14:textId="77777777" w:rsidR="00A56EE9" w:rsidRPr="009320DF" w:rsidRDefault="00A56EE9" w:rsidP="00BB6AD5">
            <w:pPr>
              <w:pStyle w:val="Tablebulletlist"/>
              <w:rPr>
                <w:rFonts w:ascii="Arial" w:hAnsi="Arial" w:cs="Arial"/>
              </w:rPr>
            </w:pPr>
            <w:r w:rsidRPr="009320DF">
              <w:rPr>
                <w:rFonts w:ascii="Arial" w:hAnsi="Arial" w:cs="Arial"/>
                <w:lang w:eastAsia="en-AU"/>
              </w:rPr>
              <w:t>Provision of expertise and advice to stakeholders and natural resource management bodies.</w:t>
            </w:r>
          </w:p>
        </w:tc>
        <w:tc>
          <w:tcPr>
            <w:tcW w:w="2330" w:type="pct"/>
          </w:tcPr>
          <w:p w14:paraId="5761DC03"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High Standard Tourism program with marine park operators</w:t>
            </w:r>
          </w:p>
          <w:p w14:paraId="5761DC04"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Eyes and Ears Incident Reporting program</w:t>
            </w:r>
          </w:p>
          <w:p w14:paraId="5761DC05"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Eye on the Reef monitoring program</w:t>
            </w:r>
          </w:p>
          <w:p w14:paraId="5761DC06"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Low Isles Preservation Society</w:t>
            </w:r>
          </w:p>
          <w:p w14:paraId="5761DC07"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Marine Contingency Coordination Framework for Environmental Incidents</w:t>
            </w:r>
          </w:p>
          <w:p w14:paraId="5761DC08" w14:textId="77777777" w:rsidR="00A56EE9" w:rsidRPr="009320DF" w:rsidRDefault="00A56EE9" w:rsidP="00A11869">
            <w:pPr>
              <w:pStyle w:val="ListParagraph"/>
              <w:numPr>
                <w:ilvl w:val="0"/>
                <w:numId w:val="12"/>
              </w:numPr>
              <w:spacing w:line="276" w:lineRule="auto"/>
              <w:rPr>
                <w:sz w:val="18"/>
                <w:szCs w:val="18"/>
                <w:lang w:eastAsia="en-AU"/>
              </w:rPr>
            </w:pPr>
            <w:r w:rsidRPr="009320DF">
              <w:rPr>
                <w:sz w:val="18"/>
                <w:szCs w:val="18"/>
              </w:rPr>
              <w:t>Marine Monitoring Program pesticide monitoring volunteers</w:t>
            </w:r>
          </w:p>
          <w:p w14:paraId="5761DC09"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Pro-vision Reef Stewardship Action Plan</w:t>
            </w:r>
          </w:p>
          <w:p w14:paraId="5761DC0A"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Reef Guardian program, including schools, councils, fishers, and tourism (in development)</w:t>
            </w:r>
          </w:p>
          <w:p w14:paraId="5761DC0B" w14:textId="77777777" w:rsidR="00A56EE9" w:rsidRPr="009320DF" w:rsidRDefault="00A56EE9" w:rsidP="00A11869">
            <w:pPr>
              <w:pStyle w:val="ListParagraph"/>
              <w:numPr>
                <w:ilvl w:val="0"/>
                <w:numId w:val="12"/>
              </w:numPr>
              <w:spacing w:line="276" w:lineRule="auto"/>
              <w:rPr>
                <w:sz w:val="18"/>
                <w:szCs w:val="18"/>
                <w:lang w:eastAsia="en-AU"/>
              </w:rPr>
            </w:pPr>
            <w:r w:rsidRPr="009320DF">
              <w:rPr>
                <w:sz w:val="18"/>
                <w:szCs w:val="18"/>
              </w:rPr>
              <w:t>Responsible Reef Practices (for tourism and recreational users)</w:t>
            </w:r>
          </w:p>
          <w:p w14:paraId="5761DC0C" w14:textId="77777777" w:rsidR="00A56EE9" w:rsidRPr="009320DF" w:rsidRDefault="00A56EE9" w:rsidP="00A11869">
            <w:pPr>
              <w:pStyle w:val="ListParagraph"/>
              <w:numPr>
                <w:ilvl w:val="0"/>
                <w:numId w:val="12"/>
              </w:numPr>
              <w:spacing w:line="276" w:lineRule="auto"/>
              <w:rPr>
                <w:sz w:val="18"/>
                <w:szCs w:val="18"/>
                <w:lang w:eastAsia="en-AU"/>
              </w:rPr>
            </w:pPr>
            <w:r>
              <w:rPr>
                <w:sz w:val="18"/>
                <w:szCs w:val="18"/>
              </w:rPr>
              <w:t xml:space="preserve">Great Barrier </w:t>
            </w:r>
            <w:r w:rsidRPr="009320DF">
              <w:rPr>
                <w:sz w:val="18"/>
                <w:szCs w:val="18"/>
              </w:rPr>
              <w:t>Reef Blueprint</w:t>
            </w:r>
            <w:r>
              <w:rPr>
                <w:sz w:val="18"/>
                <w:szCs w:val="18"/>
              </w:rPr>
              <w:t xml:space="preserve"> for resilience</w:t>
            </w:r>
          </w:p>
        </w:tc>
      </w:tr>
      <w:tr w:rsidR="00A56EE9" w:rsidRPr="00DB0807" w14:paraId="5761DC16" w14:textId="77777777" w:rsidTr="0049203B">
        <w:tc>
          <w:tcPr>
            <w:tcW w:w="0" w:type="auto"/>
          </w:tcPr>
          <w:p w14:paraId="5761DC0E" w14:textId="77777777" w:rsidR="00A56EE9" w:rsidRPr="009320DF" w:rsidRDefault="00A56EE9" w:rsidP="00BB6AD5">
            <w:pPr>
              <w:pStyle w:val="Tablebulletlist"/>
              <w:rPr>
                <w:rFonts w:ascii="Arial" w:hAnsi="Arial" w:cs="Arial"/>
                <w:lang w:eastAsia="en-AU"/>
              </w:rPr>
            </w:pPr>
            <w:r w:rsidRPr="009320DF">
              <w:rPr>
                <w:rFonts w:ascii="Arial" w:hAnsi="Arial" w:cs="Arial"/>
              </w:rPr>
              <w:t>Education and community awareness</w:t>
            </w:r>
          </w:p>
        </w:tc>
        <w:tc>
          <w:tcPr>
            <w:tcW w:w="1811" w:type="pct"/>
          </w:tcPr>
          <w:p w14:paraId="5761DC0F" w14:textId="77777777" w:rsidR="00A56EE9" w:rsidRPr="009320DF" w:rsidRDefault="00A56EE9" w:rsidP="00BB6AD5">
            <w:pPr>
              <w:pStyle w:val="Tablebulletlist"/>
              <w:rPr>
                <w:rFonts w:ascii="Arial" w:hAnsi="Arial" w:cs="Arial"/>
                <w:lang w:eastAsia="en-AU"/>
              </w:rPr>
            </w:pPr>
            <w:r w:rsidRPr="009320DF">
              <w:rPr>
                <w:rFonts w:ascii="Arial" w:hAnsi="Arial" w:cs="Arial"/>
              </w:rPr>
              <w:t>Programs to inform and motivate members of the community about the Great Barrier Reef and its protection and management, including ways they can contribute.</w:t>
            </w:r>
          </w:p>
        </w:tc>
        <w:tc>
          <w:tcPr>
            <w:tcW w:w="2330" w:type="pct"/>
          </w:tcPr>
          <w:p w14:paraId="5761DC10"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Community Access Points which distribute zoning maps and educational material</w:t>
            </w:r>
          </w:p>
          <w:p w14:paraId="5761DC11"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On-board website for tourism operators</w:t>
            </w:r>
          </w:p>
          <w:p w14:paraId="5761DC12"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Reef Guardian Schools</w:t>
            </w:r>
          </w:p>
          <w:p w14:paraId="5761DC13"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Reef HQ Aquarium</w:t>
            </w:r>
          </w:p>
          <w:p w14:paraId="5761DC14"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The GBRMPA’s publications including Reef in Brief and fact sheets</w:t>
            </w:r>
          </w:p>
          <w:p w14:paraId="5761DC15"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The GBRMPA’s websites and social media channels</w:t>
            </w:r>
          </w:p>
        </w:tc>
      </w:tr>
      <w:tr w:rsidR="00A56EE9" w:rsidRPr="00DB0807" w14:paraId="5761DC1F" w14:textId="77777777" w:rsidTr="0049203B">
        <w:tc>
          <w:tcPr>
            <w:tcW w:w="0" w:type="auto"/>
          </w:tcPr>
          <w:p w14:paraId="5761DC17" w14:textId="77777777" w:rsidR="00A56EE9" w:rsidRPr="009320DF" w:rsidRDefault="00A56EE9" w:rsidP="00BB6AD5">
            <w:pPr>
              <w:pStyle w:val="Tablebulletlist"/>
              <w:rPr>
                <w:rFonts w:ascii="Arial" w:hAnsi="Arial" w:cs="Arial"/>
                <w:lang w:eastAsia="en-AU"/>
              </w:rPr>
            </w:pPr>
            <w:r w:rsidRPr="009320DF">
              <w:rPr>
                <w:rFonts w:ascii="Arial" w:hAnsi="Arial" w:cs="Arial"/>
              </w:rPr>
              <w:t>Research and monitoring</w:t>
            </w:r>
          </w:p>
        </w:tc>
        <w:tc>
          <w:tcPr>
            <w:tcW w:w="1811" w:type="pct"/>
          </w:tcPr>
          <w:p w14:paraId="5761DC18" w14:textId="2435A90D" w:rsidR="00A56EE9" w:rsidRPr="009320DF" w:rsidRDefault="00A56EE9" w:rsidP="00BB6AD5">
            <w:pPr>
              <w:pStyle w:val="Tablebulletlist"/>
              <w:rPr>
                <w:rFonts w:ascii="Arial" w:hAnsi="Arial" w:cs="Arial"/>
                <w:lang w:eastAsia="en-AU"/>
              </w:rPr>
            </w:pPr>
            <w:r w:rsidRPr="009320DF">
              <w:rPr>
                <w:rFonts w:ascii="Arial" w:hAnsi="Arial" w:cs="Arial"/>
              </w:rPr>
              <w:t>Undertaken, commissioned or partnered by the GBRMPA to better inform decisions on protection and management of the Great Barrier Reef, guided by the GBRMPA’s Science</w:t>
            </w:r>
            <w:r w:rsidR="00242993">
              <w:rPr>
                <w:rFonts w:ascii="Arial" w:hAnsi="Arial" w:cs="Arial"/>
              </w:rPr>
              <w:t xml:space="preserve"> </w:t>
            </w:r>
            <w:r w:rsidRPr="009320DF">
              <w:rPr>
                <w:rFonts w:ascii="Arial" w:hAnsi="Arial" w:cs="Arial"/>
              </w:rPr>
              <w:t>Strategy and Information Needs 2014 – 2019.</w:t>
            </w:r>
          </w:p>
        </w:tc>
        <w:tc>
          <w:tcPr>
            <w:tcW w:w="2330" w:type="pct"/>
          </w:tcPr>
          <w:p w14:paraId="5761DC19"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Commissioned research projects to address specific management issues</w:t>
            </w:r>
            <w:r>
              <w:rPr>
                <w:sz w:val="18"/>
                <w:szCs w:val="18"/>
              </w:rPr>
              <w:t xml:space="preserve"> (e.g. RIMREP)</w:t>
            </w:r>
          </w:p>
          <w:p w14:paraId="5761DC1A"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Eye on the Reef monitoring program</w:t>
            </w:r>
          </w:p>
          <w:p w14:paraId="5761DC1B"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Independent and partnered research by research institutions and the Great Barrier Reef Foundation</w:t>
            </w:r>
          </w:p>
          <w:p w14:paraId="5761DC1C"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Marine Monitoring Program</w:t>
            </w:r>
          </w:p>
          <w:p w14:paraId="5761DC1D"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National Environmental Science Programme, Tropical Ecosystems Hub, 2015–2021</w:t>
            </w:r>
          </w:p>
          <w:p w14:paraId="5761DC1E" w14:textId="77777777" w:rsidR="00A56EE9" w:rsidRPr="009320DF" w:rsidRDefault="00A56EE9" w:rsidP="00A11869">
            <w:pPr>
              <w:pStyle w:val="ListParagraph"/>
              <w:numPr>
                <w:ilvl w:val="0"/>
                <w:numId w:val="12"/>
              </w:numPr>
              <w:spacing w:line="276" w:lineRule="auto"/>
              <w:rPr>
                <w:sz w:val="18"/>
                <w:szCs w:val="18"/>
              </w:rPr>
            </w:pPr>
            <w:r w:rsidRPr="009320DF">
              <w:rPr>
                <w:sz w:val="18"/>
                <w:szCs w:val="18"/>
              </w:rPr>
              <w:t>Reef Guardians Research Grants 2018</w:t>
            </w:r>
          </w:p>
        </w:tc>
      </w:tr>
      <w:tr w:rsidR="00A56EE9" w:rsidRPr="00DB0807" w14:paraId="5761DC27" w14:textId="77777777" w:rsidTr="0049203B">
        <w:tc>
          <w:tcPr>
            <w:tcW w:w="0" w:type="auto"/>
          </w:tcPr>
          <w:p w14:paraId="5761DC20" w14:textId="77777777" w:rsidR="00A56EE9" w:rsidRPr="009320DF" w:rsidRDefault="00A56EE9" w:rsidP="00BB6AD5">
            <w:pPr>
              <w:pStyle w:val="Tablebulletlist"/>
              <w:rPr>
                <w:rFonts w:ascii="Arial" w:hAnsi="Arial" w:cs="Arial"/>
                <w:lang w:eastAsia="en-AU"/>
              </w:rPr>
            </w:pPr>
            <w:r w:rsidRPr="009320DF">
              <w:rPr>
                <w:rFonts w:ascii="Arial" w:hAnsi="Arial" w:cs="Arial"/>
                <w:lang w:eastAsia="en-AU"/>
              </w:rPr>
              <w:t>Reporting</w:t>
            </w:r>
          </w:p>
        </w:tc>
        <w:tc>
          <w:tcPr>
            <w:tcW w:w="1811" w:type="pct"/>
          </w:tcPr>
          <w:p w14:paraId="5761DC21" w14:textId="77777777" w:rsidR="00A56EE9" w:rsidRPr="009320DF" w:rsidRDefault="00A56EE9" w:rsidP="00BB6AD5">
            <w:pPr>
              <w:pStyle w:val="Tablebulletlist"/>
              <w:rPr>
                <w:rFonts w:ascii="Arial" w:hAnsi="Arial" w:cs="Arial"/>
                <w:lang w:eastAsia="en-AU"/>
              </w:rPr>
            </w:pPr>
            <w:r w:rsidRPr="009320DF">
              <w:rPr>
                <w:rFonts w:ascii="Arial" w:hAnsi="Arial" w:cs="Arial"/>
                <w:lang w:eastAsia="en-AU"/>
              </w:rPr>
              <w:t>Undertaken by the GBRMPA to meet statutory, national and international obligations, and to provide direction for strategic planning within the agency.</w:t>
            </w:r>
          </w:p>
        </w:tc>
        <w:tc>
          <w:tcPr>
            <w:tcW w:w="2330" w:type="pct"/>
          </w:tcPr>
          <w:p w14:paraId="5761DC22" w14:textId="77777777" w:rsidR="00A56EE9" w:rsidRPr="009320DF" w:rsidRDefault="00A56EE9" w:rsidP="00A11869">
            <w:pPr>
              <w:pStyle w:val="ListParagraph"/>
              <w:numPr>
                <w:ilvl w:val="0"/>
                <w:numId w:val="12"/>
              </w:numPr>
              <w:spacing w:line="276" w:lineRule="auto"/>
              <w:rPr>
                <w:sz w:val="18"/>
                <w:szCs w:val="18"/>
                <w:lang w:eastAsia="en-AU"/>
              </w:rPr>
            </w:pPr>
            <w:r w:rsidRPr="009320DF">
              <w:rPr>
                <w:sz w:val="18"/>
                <w:szCs w:val="18"/>
                <w:lang w:eastAsia="en-AU"/>
              </w:rPr>
              <w:t>Field Management business strategy (annual)</w:t>
            </w:r>
          </w:p>
          <w:p w14:paraId="5761DC23" w14:textId="77777777" w:rsidR="00A56EE9" w:rsidRPr="009320DF" w:rsidRDefault="00A56EE9" w:rsidP="00A11869">
            <w:pPr>
              <w:pStyle w:val="ListParagraph"/>
              <w:numPr>
                <w:ilvl w:val="0"/>
                <w:numId w:val="12"/>
              </w:numPr>
              <w:spacing w:line="276" w:lineRule="auto"/>
              <w:rPr>
                <w:sz w:val="18"/>
                <w:szCs w:val="18"/>
                <w:lang w:eastAsia="en-AU"/>
              </w:rPr>
            </w:pPr>
            <w:r w:rsidRPr="009320DF">
              <w:rPr>
                <w:sz w:val="18"/>
                <w:szCs w:val="18"/>
                <w:lang w:eastAsia="en-AU"/>
              </w:rPr>
              <w:t xml:space="preserve">Great Barrier Reef Marine Park Authority </w:t>
            </w:r>
            <w:r>
              <w:rPr>
                <w:sz w:val="18"/>
                <w:szCs w:val="18"/>
                <w:lang w:eastAsia="en-AU"/>
              </w:rPr>
              <w:t xml:space="preserve">Corporate Plan and </w:t>
            </w:r>
            <w:r w:rsidRPr="009320DF">
              <w:rPr>
                <w:sz w:val="18"/>
                <w:szCs w:val="18"/>
                <w:lang w:eastAsia="en-AU"/>
              </w:rPr>
              <w:t>annual report</w:t>
            </w:r>
            <w:r>
              <w:rPr>
                <w:sz w:val="18"/>
                <w:szCs w:val="18"/>
                <w:lang w:eastAsia="en-AU"/>
              </w:rPr>
              <w:t>s</w:t>
            </w:r>
          </w:p>
          <w:p w14:paraId="5761DC24" w14:textId="77777777" w:rsidR="00A56EE9" w:rsidRPr="009320DF" w:rsidRDefault="00A56EE9" w:rsidP="00A11869">
            <w:pPr>
              <w:pStyle w:val="ListParagraph"/>
              <w:numPr>
                <w:ilvl w:val="0"/>
                <w:numId w:val="12"/>
              </w:numPr>
              <w:spacing w:line="276" w:lineRule="auto"/>
              <w:rPr>
                <w:sz w:val="18"/>
                <w:szCs w:val="18"/>
                <w:lang w:eastAsia="en-AU"/>
              </w:rPr>
            </w:pPr>
            <w:r w:rsidRPr="009320DF">
              <w:rPr>
                <w:sz w:val="18"/>
                <w:szCs w:val="18"/>
                <w:lang w:eastAsia="en-AU"/>
              </w:rPr>
              <w:t>Great Barrier Reef Outlook Report (five-yearly)</w:t>
            </w:r>
          </w:p>
          <w:p w14:paraId="5761DC25" w14:textId="77777777" w:rsidR="00A56EE9" w:rsidRPr="009320DF" w:rsidRDefault="00A56EE9" w:rsidP="00A11869">
            <w:pPr>
              <w:pStyle w:val="ListParagraph"/>
              <w:numPr>
                <w:ilvl w:val="0"/>
                <w:numId w:val="12"/>
              </w:numPr>
              <w:spacing w:line="276" w:lineRule="auto"/>
              <w:rPr>
                <w:sz w:val="18"/>
                <w:szCs w:val="18"/>
                <w:lang w:eastAsia="en-AU"/>
              </w:rPr>
            </w:pPr>
            <w:r w:rsidRPr="009320DF">
              <w:rPr>
                <w:sz w:val="18"/>
                <w:szCs w:val="18"/>
                <w:lang w:eastAsia="en-AU"/>
              </w:rPr>
              <w:t>World Heritage periodic reporting (six-yearly)</w:t>
            </w:r>
          </w:p>
          <w:p w14:paraId="5761DC26" w14:textId="77777777" w:rsidR="00A56EE9" w:rsidRPr="009320DF" w:rsidRDefault="00A56EE9" w:rsidP="00A11869">
            <w:pPr>
              <w:pStyle w:val="ListParagraph"/>
              <w:numPr>
                <w:ilvl w:val="0"/>
                <w:numId w:val="12"/>
              </w:numPr>
              <w:spacing w:line="276" w:lineRule="auto"/>
              <w:rPr>
                <w:sz w:val="18"/>
                <w:szCs w:val="18"/>
                <w:lang w:eastAsia="en-AU"/>
              </w:rPr>
            </w:pPr>
            <w:r w:rsidRPr="009320DF">
              <w:rPr>
                <w:sz w:val="18"/>
                <w:szCs w:val="18"/>
                <w:lang w:eastAsia="en-AU"/>
              </w:rPr>
              <w:t>Annual reporting under the Reef 2050 Plan</w:t>
            </w:r>
          </w:p>
        </w:tc>
      </w:tr>
    </w:tbl>
    <w:p w14:paraId="5761DC28" w14:textId="77777777" w:rsidR="00A56EE9" w:rsidRDefault="00A56EE9" w:rsidP="00BB6AD5"/>
    <w:p w14:paraId="5761DC29" w14:textId="77777777" w:rsidR="00A56EE9" w:rsidRDefault="00A56EE9" w:rsidP="00BB6AD5">
      <w:pPr>
        <w:sectPr w:rsidR="00A56EE9">
          <w:pgSz w:w="11906" w:h="16838"/>
          <w:pgMar w:top="1440" w:right="1440" w:bottom="1440" w:left="1440" w:header="708" w:footer="708" w:gutter="0"/>
          <w:cols w:space="708"/>
          <w:docGrid w:linePitch="360"/>
        </w:sectPr>
      </w:pPr>
    </w:p>
    <w:p w14:paraId="5761DC2B" w14:textId="367762DA" w:rsidR="00A56EE9" w:rsidRPr="00E70A11" w:rsidRDefault="00A56EE9" w:rsidP="009B066B">
      <w:pPr>
        <w:pStyle w:val="Heading2"/>
        <w:numPr>
          <w:ilvl w:val="1"/>
          <w:numId w:val="17"/>
        </w:numPr>
        <w:ind w:left="357" w:hanging="357"/>
      </w:pPr>
      <w:bookmarkStart w:id="168" w:name="_Toc523423817"/>
      <w:r>
        <w:t>Appendix 4 Grades for each element for management topic</w:t>
      </w:r>
      <w:bookmarkStart w:id="169" w:name="_Toc369686741"/>
      <w:bookmarkEnd w:id="168"/>
    </w:p>
    <w:p w14:paraId="5761DC2C" w14:textId="5EFEF64E" w:rsidR="00A56EE9" w:rsidRPr="00185B8F" w:rsidRDefault="00A56EE9" w:rsidP="009C7D6F">
      <w:pPr>
        <w:pStyle w:val="Heading4"/>
      </w:pPr>
      <w:bookmarkStart w:id="170" w:name="_Toc522531999"/>
      <w:bookmarkStart w:id="171" w:name="_Toc525654466"/>
      <w:r>
        <w:t xml:space="preserve">Table </w:t>
      </w:r>
      <w:r>
        <w:fldChar w:fldCharType="begin"/>
      </w:r>
      <w:r>
        <w:instrText xml:space="preserve"> SEQ Table \* ARABIC </w:instrText>
      </w:r>
      <w:r>
        <w:fldChar w:fldCharType="separate"/>
      </w:r>
      <w:r w:rsidR="00A4170C">
        <w:rPr>
          <w:noProof/>
        </w:rPr>
        <w:t>21</w:t>
      </w:r>
      <w:r>
        <w:fldChar w:fldCharType="end"/>
      </w:r>
      <w:r w:rsidRPr="00185B8F">
        <w:t xml:space="preserve"> Calculation of grades for biodiversity</w:t>
      </w:r>
      <w:bookmarkEnd w:id="169"/>
      <w:bookmarkEnd w:id="170"/>
      <w:bookmarkEnd w:id="17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21 Calculation of grades for biodiversity"/>
        <w:tblDescription w:val="Table showing the ratings,  justificaiton and evidence for each of the components for the management effectiveness for biodiversity. Confidence in the assessment and trend since Outlook 2014 is also provided."/>
      </w:tblPr>
      <w:tblGrid>
        <w:gridCol w:w="2654"/>
        <w:gridCol w:w="771"/>
        <w:gridCol w:w="5242"/>
        <w:gridCol w:w="4016"/>
        <w:gridCol w:w="981"/>
        <w:gridCol w:w="898"/>
      </w:tblGrid>
      <w:tr w:rsidR="00A56EE9" w:rsidRPr="00E70A11" w14:paraId="5761DC33"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C2D" w14:textId="77777777" w:rsidR="00A56EE9" w:rsidRPr="00E70A11" w:rsidRDefault="00A56EE9" w:rsidP="00BB6AD5">
            <w:pPr>
              <w:pStyle w:val="Tablebulletlist"/>
              <w:rPr>
                <w:rStyle w:val="BookTitle"/>
              </w:rPr>
            </w:pPr>
            <w:r w:rsidRPr="00E70A11">
              <w:rPr>
                <w:rStyle w:val="BookTitle"/>
              </w:rPr>
              <w:t>Component of Management</w:t>
            </w:r>
          </w:p>
        </w:tc>
        <w:tc>
          <w:tcPr>
            <w:tcW w:w="771" w:type="dxa"/>
            <w:tcBorders>
              <w:top w:val="single" w:sz="4" w:space="0" w:color="auto"/>
              <w:left w:val="single" w:sz="4" w:space="0" w:color="auto"/>
              <w:bottom w:val="single" w:sz="4" w:space="0" w:color="auto"/>
              <w:right w:val="single" w:sz="4" w:space="0" w:color="auto"/>
            </w:tcBorders>
            <w:vAlign w:val="center"/>
          </w:tcPr>
          <w:p w14:paraId="5761DC2E" w14:textId="77777777" w:rsidR="00A56EE9" w:rsidRPr="00E70A11" w:rsidRDefault="00A56EE9" w:rsidP="00BB6AD5">
            <w:pPr>
              <w:pStyle w:val="Tablebulletlist"/>
              <w:jc w:val="center"/>
              <w:rPr>
                <w:rStyle w:val="BookTitle"/>
              </w:rPr>
            </w:pPr>
            <w:r w:rsidRPr="00E70A11">
              <w:rPr>
                <w:rStyle w:val="BookTitle"/>
              </w:rPr>
              <w:t>Rating</w:t>
            </w:r>
          </w:p>
        </w:tc>
        <w:tc>
          <w:tcPr>
            <w:tcW w:w="5242" w:type="dxa"/>
            <w:tcBorders>
              <w:top w:val="single" w:sz="4" w:space="0" w:color="auto"/>
              <w:left w:val="single" w:sz="4" w:space="0" w:color="auto"/>
              <w:bottom w:val="single" w:sz="4" w:space="0" w:color="auto"/>
              <w:right w:val="single" w:sz="4" w:space="0" w:color="auto"/>
            </w:tcBorders>
          </w:tcPr>
          <w:p w14:paraId="5761DC2F" w14:textId="77777777" w:rsidR="00A56EE9" w:rsidRPr="00E70A11" w:rsidRDefault="00A56EE9" w:rsidP="00BB6AD5">
            <w:pPr>
              <w:pStyle w:val="Tablebulletlist"/>
              <w:rPr>
                <w:rStyle w:val="BookTitle"/>
              </w:rPr>
            </w:pPr>
            <w:r w:rsidRPr="00E70A11">
              <w:rPr>
                <w:rStyle w:val="BookTitle"/>
              </w:rPr>
              <w:t>Justification</w:t>
            </w:r>
          </w:p>
        </w:tc>
        <w:tc>
          <w:tcPr>
            <w:tcW w:w="4016" w:type="dxa"/>
            <w:tcBorders>
              <w:top w:val="single" w:sz="4" w:space="0" w:color="auto"/>
              <w:left w:val="single" w:sz="4" w:space="0" w:color="auto"/>
              <w:bottom w:val="single" w:sz="4" w:space="0" w:color="auto"/>
              <w:right w:val="single" w:sz="4" w:space="0" w:color="auto"/>
            </w:tcBorders>
          </w:tcPr>
          <w:p w14:paraId="5761DC30" w14:textId="77777777" w:rsidR="00A56EE9" w:rsidRPr="00E70A11" w:rsidRDefault="00A56EE9" w:rsidP="00BB6AD5">
            <w:pPr>
              <w:pStyle w:val="Tablebulletlist"/>
              <w:rPr>
                <w:rStyle w:val="BookTitle"/>
              </w:rPr>
            </w:pPr>
            <w:r w:rsidRPr="00E70A11">
              <w:rPr>
                <w:rStyle w:val="BookTitle"/>
              </w:rPr>
              <w:t>Evidence/sources</w:t>
            </w:r>
          </w:p>
        </w:tc>
        <w:tc>
          <w:tcPr>
            <w:tcW w:w="981" w:type="dxa"/>
            <w:tcBorders>
              <w:top w:val="single" w:sz="4" w:space="0" w:color="auto"/>
              <w:left w:val="single" w:sz="4" w:space="0" w:color="auto"/>
              <w:bottom w:val="single" w:sz="4" w:space="0" w:color="auto"/>
              <w:right w:val="single" w:sz="4" w:space="0" w:color="auto"/>
            </w:tcBorders>
          </w:tcPr>
          <w:p w14:paraId="5761DC31" w14:textId="77777777" w:rsidR="00A56EE9" w:rsidRPr="00E70A11" w:rsidRDefault="00A56EE9" w:rsidP="00BB6AD5">
            <w:pPr>
              <w:pStyle w:val="Tablebulletlist"/>
              <w:rPr>
                <w:rStyle w:val="BookTitle"/>
              </w:rPr>
            </w:pPr>
            <w:r w:rsidRPr="00E70A11">
              <w:rPr>
                <w:rStyle w:val="BookTitle"/>
              </w:rPr>
              <w:t>Confidence</w:t>
            </w:r>
          </w:p>
        </w:tc>
        <w:tc>
          <w:tcPr>
            <w:tcW w:w="898" w:type="dxa"/>
            <w:tcBorders>
              <w:top w:val="single" w:sz="4" w:space="0" w:color="auto"/>
              <w:left w:val="single" w:sz="4" w:space="0" w:color="auto"/>
              <w:bottom w:val="single" w:sz="4" w:space="0" w:color="auto"/>
              <w:right w:val="single" w:sz="4" w:space="0" w:color="auto"/>
            </w:tcBorders>
          </w:tcPr>
          <w:p w14:paraId="5761DC32"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1DC3A"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shd w:val="clear" w:color="auto" w:fill="EEECE1"/>
          </w:tcPr>
          <w:p w14:paraId="5761DC34" w14:textId="77777777" w:rsidR="00A56EE9" w:rsidRPr="00E70A11" w:rsidRDefault="00A56EE9" w:rsidP="00BB6AD5">
            <w:pPr>
              <w:pStyle w:val="Tablebulletlist"/>
              <w:rPr>
                <w:rStyle w:val="BookTitle"/>
              </w:rPr>
            </w:pPr>
            <w:r w:rsidRPr="00E70A11">
              <w:rPr>
                <w:rStyle w:val="BookTitle"/>
              </w:rPr>
              <w:t>CONTEXT</w:t>
            </w:r>
          </w:p>
        </w:tc>
        <w:tc>
          <w:tcPr>
            <w:tcW w:w="771" w:type="dxa"/>
            <w:tcBorders>
              <w:top w:val="single" w:sz="4" w:space="0" w:color="auto"/>
              <w:left w:val="single" w:sz="4" w:space="0" w:color="auto"/>
              <w:bottom w:val="single" w:sz="4" w:space="0" w:color="auto"/>
              <w:right w:val="single" w:sz="4" w:space="0" w:color="auto"/>
            </w:tcBorders>
            <w:shd w:val="clear" w:color="auto" w:fill="EEECE1"/>
            <w:vAlign w:val="center"/>
          </w:tcPr>
          <w:p w14:paraId="5761DC35" w14:textId="77777777" w:rsidR="00A56EE9" w:rsidRPr="00E70A11" w:rsidRDefault="00A56EE9" w:rsidP="00BB6AD5">
            <w:pPr>
              <w:pStyle w:val="Tablebulletlist"/>
              <w:jc w:val="center"/>
              <w:rPr>
                <w:rStyle w:val="BookTitle"/>
              </w:rPr>
            </w:pPr>
          </w:p>
        </w:tc>
        <w:tc>
          <w:tcPr>
            <w:tcW w:w="5242" w:type="dxa"/>
            <w:tcBorders>
              <w:top w:val="single" w:sz="4" w:space="0" w:color="auto"/>
              <w:left w:val="single" w:sz="4" w:space="0" w:color="auto"/>
              <w:bottom w:val="single" w:sz="4" w:space="0" w:color="auto"/>
              <w:right w:val="single" w:sz="4" w:space="0" w:color="auto"/>
            </w:tcBorders>
            <w:shd w:val="clear" w:color="auto" w:fill="EEECE1"/>
          </w:tcPr>
          <w:p w14:paraId="5761DC36" w14:textId="77777777" w:rsidR="00A56EE9" w:rsidRPr="00E70A11" w:rsidRDefault="00A56EE9" w:rsidP="00BB6AD5">
            <w:pPr>
              <w:pStyle w:val="Tablebulletlist"/>
              <w:rPr>
                <w:rStyle w:val="BookTitle"/>
              </w:rPr>
            </w:pPr>
          </w:p>
        </w:tc>
        <w:tc>
          <w:tcPr>
            <w:tcW w:w="4016" w:type="dxa"/>
            <w:tcBorders>
              <w:top w:val="single" w:sz="4" w:space="0" w:color="auto"/>
              <w:left w:val="single" w:sz="4" w:space="0" w:color="auto"/>
              <w:bottom w:val="single" w:sz="4" w:space="0" w:color="auto"/>
              <w:right w:val="single" w:sz="4" w:space="0" w:color="auto"/>
            </w:tcBorders>
            <w:shd w:val="clear" w:color="auto" w:fill="EEECE1"/>
          </w:tcPr>
          <w:p w14:paraId="5761DC37" w14:textId="77777777" w:rsidR="00A56EE9" w:rsidRPr="00E70A11" w:rsidRDefault="00A56EE9" w:rsidP="00BB6AD5">
            <w:pPr>
              <w:pStyle w:val="Tablebulletlist"/>
              <w:rPr>
                <w:rStyle w:val="BookTitle"/>
              </w:rPr>
            </w:pPr>
          </w:p>
        </w:tc>
        <w:tc>
          <w:tcPr>
            <w:tcW w:w="981" w:type="dxa"/>
            <w:tcBorders>
              <w:top w:val="single" w:sz="4" w:space="0" w:color="auto"/>
              <w:left w:val="single" w:sz="4" w:space="0" w:color="auto"/>
              <w:bottom w:val="single" w:sz="4" w:space="0" w:color="auto"/>
              <w:right w:val="single" w:sz="4" w:space="0" w:color="auto"/>
            </w:tcBorders>
            <w:shd w:val="clear" w:color="auto" w:fill="EEECE1"/>
          </w:tcPr>
          <w:p w14:paraId="5761DC38" w14:textId="77777777" w:rsidR="00A56EE9" w:rsidRPr="00E70A11" w:rsidRDefault="00A56EE9" w:rsidP="00BB6AD5">
            <w:pPr>
              <w:pStyle w:val="Tablebulletlist"/>
              <w:rPr>
                <w:rStyle w:val="BookTitle"/>
              </w:rPr>
            </w:pPr>
          </w:p>
        </w:tc>
        <w:tc>
          <w:tcPr>
            <w:tcW w:w="898" w:type="dxa"/>
            <w:tcBorders>
              <w:top w:val="single" w:sz="4" w:space="0" w:color="auto"/>
              <w:left w:val="single" w:sz="4" w:space="0" w:color="auto"/>
              <w:bottom w:val="single" w:sz="4" w:space="0" w:color="auto"/>
              <w:right w:val="single" w:sz="4" w:space="0" w:color="auto"/>
            </w:tcBorders>
            <w:shd w:val="clear" w:color="auto" w:fill="EEECE1"/>
          </w:tcPr>
          <w:p w14:paraId="5761DC39" w14:textId="77777777" w:rsidR="00A56EE9" w:rsidRPr="00E70A11" w:rsidRDefault="00A56EE9" w:rsidP="00BB6AD5">
            <w:pPr>
              <w:pStyle w:val="Tablebulletlist"/>
              <w:rPr>
                <w:rStyle w:val="BookTitle"/>
              </w:rPr>
            </w:pPr>
          </w:p>
        </w:tc>
      </w:tr>
      <w:tr w:rsidR="00A56EE9" w:rsidRPr="00E70A11" w14:paraId="5761DC5E" w14:textId="77777777" w:rsidTr="00B87DD3">
        <w:trPr>
          <w:trHeight w:val="170"/>
        </w:trPr>
        <w:tc>
          <w:tcPr>
            <w:tcW w:w="2654" w:type="dxa"/>
            <w:tcBorders>
              <w:top w:val="single" w:sz="4" w:space="0" w:color="auto"/>
              <w:left w:val="single" w:sz="4" w:space="0" w:color="auto"/>
              <w:bottom w:val="single" w:sz="4" w:space="0" w:color="auto"/>
              <w:right w:val="single" w:sz="4" w:space="0" w:color="auto"/>
            </w:tcBorders>
          </w:tcPr>
          <w:p w14:paraId="5761DC3B" w14:textId="77777777" w:rsidR="00A56EE9" w:rsidRPr="00E70A11" w:rsidRDefault="00A56EE9" w:rsidP="00BB6AD5">
            <w:pPr>
              <w:pStyle w:val="Tablebulletlist"/>
              <w:rPr>
                <w:rStyle w:val="BookTitle"/>
              </w:rPr>
            </w:pPr>
            <w:r w:rsidRPr="00E70A11">
              <w:rPr>
                <w:rStyle w:val="BookTitle"/>
              </w:rPr>
              <w:t>CO1</w:t>
            </w:r>
            <w:r>
              <w:rPr>
                <w:rStyle w:val="BookTitle"/>
              </w:rPr>
              <w:t xml:space="preserve"> </w:t>
            </w:r>
            <w:r w:rsidRPr="00E70A11">
              <w:rPr>
                <w:rStyle w:val="BookTitle"/>
              </w:rPr>
              <w:t>The values of the Great Barrier Reef relevant to biodiversity are understood by managers</w:t>
            </w:r>
          </w:p>
        </w:tc>
        <w:tc>
          <w:tcPr>
            <w:tcW w:w="771" w:type="dxa"/>
            <w:tcBorders>
              <w:top w:val="single" w:sz="4" w:space="0" w:color="auto"/>
              <w:left w:val="single" w:sz="4" w:space="0" w:color="auto"/>
              <w:bottom w:val="single" w:sz="4" w:space="0" w:color="auto"/>
              <w:right w:val="single" w:sz="4" w:space="0" w:color="auto"/>
            </w:tcBorders>
          </w:tcPr>
          <w:p w14:paraId="5761DC3C"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DC3D" w14:textId="77777777" w:rsidR="00A56EE9" w:rsidRPr="00E70A11" w:rsidRDefault="00A56EE9" w:rsidP="00A11869">
            <w:pPr>
              <w:pStyle w:val="ListParagraph"/>
              <w:numPr>
                <w:ilvl w:val="0"/>
                <w:numId w:val="167"/>
              </w:numPr>
              <w:spacing w:after="200" w:line="276" w:lineRule="auto"/>
              <w:rPr>
                <w:rFonts w:ascii="Arial Narrow" w:hAnsi="Arial Narrow"/>
                <w:sz w:val="18"/>
                <w:szCs w:val="18"/>
              </w:rPr>
            </w:pPr>
            <w:r w:rsidRPr="00E70A11">
              <w:rPr>
                <w:rFonts w:ascii="Arial Narrow" w:hAnsi="Arial Narrow"/>
                <w:sz w:val="18"/>
                <w:szCs w:val="18"/>
              </w:rPr>
              <w:t>The biodiversity and associated values of the Great Barrier Reef (GBR) are well understood and documented as would be expected for one of the best-studied coral reef ecosystems in the world.</w:t>
            </w:r>
          </w:p>
          <w:p w14:paraId="5761DC3E" w14:textId="77777777" w:rsidR="00A56EE9" w:rsidRPr="00E70A11" w:rsidRDefault="00A56EE9" w:rsidP="00A11869">
            <w:pPr>
              <w:pStyle w:val="ListParagraph"/>
              <w:numPr>
                <w:ilvl w:val="0"/>
                <w:numId w:val="167"/>
              </w:numPr>
              <w:spacing w:after="200" w:line="276" w:lineRule="auto"/>
              <w:rPr>
                <w:rFonts w:ascii="Arial Narrow" w:hAnsi="Arial Narrow"/>
                <w:sz w:val="18"/>
                <w:szCs w:val="18"/>
              </w:rPr>
            </w:pPr>
            <w:r w:rsidRPr="00E70A11">
              <w:rPr>
                <w:rFonts w:ascii="Arial Narrow" w:hAnsi="Arial Narrow"/>
                <w:sz w:val="18"/>
                <w:szCs w:val="18"/>
              </w:rPr>
              <w:t>Biodiversity (habitats and species) and Ecosystem Processes underpin the following MNES: Natural beauty and aesthetics, Ecological and biological processes, habitat for conservation of biodiversity, wholeness and intactness, Bioregions, habitats and species and listed threatened species and habitats (see Supporting evidence – values and attributes table underpinning MNES).</w:t>
            </w:r>
          </w:p>
          <w:p w14:paraId="5761DC3F" w14:textId="77777777" w:rsidR="00A56EE9" w:rsidRPr="00E70A11" w:rsidRDefault="00A56EE9" w:rsidP="00A11869">
            <w:pPr>
              <w:pStyle w:val="ListParagraph"/>
              <w:numPr>
                <w:ilvl w:val="0"/>
                <w:numId w:val="167"/>
              </w:numPr>
              <w:spacing w:after="200" w:line="276" w:lineRule="auto"/>
              <w:rPr>
                <w:rFonts w:ascii="Arial Narrow" w:hAnsi="Arial Narrow"/>
                <w:sz w:val="18"/>
                <w:szCs w:val="18"/>
              </w:rPr>
            </w:pPr>
            <w:r w:rsidRPr="00E70A11">
              <w:rPr>
                <w:rFonts w:ascii="Arial Narrow" w:hAnsi="Arial Narrow"/>
                <w:sz w:val="18"/>
                <w:szCs w:val="18"/>
              </w:rPr>
              <w:t>Biodiversity (habitats and species) for</w:t>
            </w:r>
            <w:r>
              <w:rPr>
                <w:rFonts w:ascii="Arial Narrow" w:hAnsi="Arial Narrow"/>
                <w:sz w:val="18"/>
                <w:szCs w:val="18"/>
              </w:rPr>
              <w:t xml:space="preserve"> </w:t>
            </w:r>
            <w:r w:rsidRPr="00E70A11">
              <w:rPr>
                <w:rFonts w:ascii="Arial Narrow" w:hAnsi="Arial Narrow"/>
                <w:sz w:val="18"/>
                <w:szCs w:val="18"/>
              </w:rPr>
              <w:t xml:space="preserve">aquatic and terrestrial systems underpin Matters of State Environmental Significance which are used in planning decisions by managers in Queensland. </w:t>
            </w:r>
          </w:p>
          <w:p w14:paraId="5761DC40" w14:textId="77777777" w:rsidR="00A56EE9" w:rsidRPr="00E70A11" w:rsidRDefault="00A56EE9" w:rsidP="00A11869">
            <w:pPr>
              <w:pStyle w:val="ListParagraph"/>
              <w:numPr>
                <w:ilvl w:val="0"/>
                <w:numId w:val="167"/>
              </w:numPr>
              <w:spacing w:after="200" w:line="276" w:lineRule="auto"/>
              <w:rPr>
                <w:rFonts w:ascii="Arial Narrow" w:hAnsi="Arial Narrow"/>
                <w:sz w:val="18"/>
                <w:szCs w:val="18"/>
              </w:rPr>
            </w:pPr>
            <w:r w:rsidRPr="00E70A11">
              <w:rPr>
                <w:rFonts w:ascii="Arial Narrow" w:hAnsi="Arial Narrow"/>
                <w:sz w:val="18"/>
                <w:szCs w:val="18"/>
              </w:rPr>
              <w:t>Some habitats (e.g. soft bottom communities) and most invertebrate species groups (bryozoans, cryptic habitat- associated species, plankton and others) are less well studied. Knowledge is better for commercially important species and species of conservation or management concern (marine turtles, crown-of-thorns starfish).</w:t>
            </w:r>
          </w:p>
          <w:p w14:paraId="5761DC41" w14:textId="77777777" w:rsidR="00A56EE9" w:rsidRPr="00E70A11" w:rsidRDefault="00A56EE9" w:rsidP="00A11869">
            <w:pPr>
              <w:pStyle w:val="ListParagraph"/>
              <w:numPr>
                <w:ilvl w:val="0"/>
                <w:numId w:val="167"/>
              </w:numPr>
              <w:spacing w:after="200" w:line="276" w:lineRule="auto"/>
              <w:rPr>
                <w:rFonts w:ascii="Arial Narrow" w:hAnsi="Arial Narrow"/>
                <w:sz w:val="18"/>
                <w:szCs w:val="18"/>
              </w:rPr>
            </w:pPr>
            <w:r w:rsidRPr="00E70A11">
              <w:rPr>
                <w:rFonts w:ascii="Arial Narrow" w:hAnsi="Arial Narrow"/>
                <w:sz w:val="18"/>
                <w:szCs w:val="18"/>
              </w:rPr>
              <w:t>Broad regionalisation of ecosystems and habitats is known but fine scale knowledge of the spatial distribution of values and our ability to map values is an identified gap that is becoming more significant as finer scale planning and management is being applied to manage parts of the GBR</w:t>
            </w:r>
          </w:p>
          <w:p w14:paraId="5761DC42" w14:textId="77777777" w:rsidR="00A56EE9" w:rsidRPr="00E70A11" w:rsidRDefault="00A56EE9" w:rsidP="00A11869">
            <w:pPr>
              <w:pStyle w:val="ListParagraph"/>
              <w:numPr>
                <w:ilvl w:val="0"/>
                <w:numId w:val="167"/>
              </w:numPr>
              <w:spacing w:after="200" w:line="276" w:lineRule="auto"/>
              <w:rPr>
                <w:rFonts w:ascii="Arial Narrow" w:hAnsi="Arial Narrow"/>
                <w:sz w:val="18"/>
                <w:szCs w:val="18"/>
              </w:rPr>
            </w:pPr>
            <w:r w:rsidRPr="00E70A11">
              <w:rPr>
                <w:rFonts w:ascii="Arial Narrow" w:hAnsi="Arial Narrow"/>
                <w:sz w:val="18"/>
                <w:szCs w:val="18"/>
              </w:rPr>
              <w:t>Wetland extent, types and values associated with the GBR are known and information is available to managers through the on-line website Wetlandi</w:t>
            </w:r>
            <w:r w:rsidRPr="00E70A11">
              <w:rPr>
                <w:rFonts w:ascii="Arial Narrow" w:hAnsi="Arial Narrow"/>
                <w:i/>
                <w:sz w:val="18"/>
                <w:szCs w:val="18"/>
              </w:rPr>
              <w:t>nfo</w:t>
            </w:r>
          </w:p>
          <w:p w14:paraId="5761DC43" w14:textId="77777777" w:rsidR="00A56EE9" w:rsidRPr="00E70A11" w:rsidRDefault="00A56EE9" w:rsidP="00A11869">
            <w:pPr>
              <w:pStyle w:val="ListParagraph"/>
              <w:numPr>
                <w:ilvl w:val="0"/>
                <w:numId w:val="167"/>
              </w:numPr>
              <w:spacing w:after="200" w:line="276" w:lineRule="auto"/>
              <w:rPr>
                <w:rFonts w:ascii="Arial Narrow" w:hAnsi="Arial Narrow"/>
                <w:sz w:val="18"/>
                <w:szCs w:val="18"/>
              </w:rPr>
            </w:pPr>
            <w:r w:rsidRPr="00E70A11">
              <w:rPr>
                <w:rFonts w:ascii="Arial Narrow" w:hAnsi="Arial Narrow"/>
                <w:sz w:val="18"/>
                <w:szCs w:val="18"/>
              </w:rPr>
              <w:t>Continued monitoring through the AIMS LTMP, monitoring of shorebirds (Qld Waders), seabirds, marine turtle rookeries (QPWS), and mangroves/saltmarshes etc is providing finer scale data on distribution and abundances and some species.</w:t>
            </w:r>
          </w:p>
          <w:p w14:paraId="5761DC44" w14:textId="77777777" w:rsidR="00A56EE9" w:rsidRPr="00E70A11" w:rsidRDefault="00A56EE9" w:rsidP="00A11869">
            <w:pPr>
              <w:pStyle w:val="ListParagraph"/>
              <w:numPr>
                <w:ilvl w:val="0"/>
                <w:numId w:val="167"/>
              </w:numPr>
              <w:spacing w:after="200" w:line="276" w:lineRule="auto"/>
              <w:rPr>
                <w:rFonts w:ascii="Arial Narrow" w:hAnsi="Arial Narrow"/>
                <w:sz w:val="18"/>
                <w:szCs w:val="18"/>
              </w:rPr>
            </w:pPr>
            <w:r w:rsidRPr="00E70A11">
              <w:rPr>
                <w:rFonts w:ascii="Arial Narrow" w:hAnsi="Arial Narrow"/>
                <w:sz w:val="18"/>
                <w:szCs w:val="18"/>
              </w:rPr>
              <w:t xml:space="preserve">Report on </w:t>
            </w:r>
            <w:r w:rsidRPr="00E70A11">
              <w:rPr>
                <w:rFonts w:ascii="Arial Narrow" w:hAnsi="Arial Narrow"/>
                <w:sz w:val="18"/>
                <w:szCs w:val="18"/>
              </w:rPr>
              <w:tab/>
              <w:t>Defining the aesthetic values of the Great Barrier Reef World Heritage Area: indicates the importance of biodiversity and natural habitats in underpinning aesthetic values of the GBR</w:t>
            </w:r>
          </w:p>
          <w:p w14:paraId="5761DC45" w14:textId="11F4B30B" w:rsidR="00A56EE9" w:rsidRPr="00E70A11" w:rsidRDefault="00A56EE9" w:rsidP="00A11869">
            <w:pPr>
              <w:pStyle w:val="ListParagraph"/>
              <w:numPr>
                <w:ilvl w:val="0"/>
                <w:numId w:val="167"/>
              </w:numPr>
              <w:spacing w:after="200" w:line="276" w:lineRule="auto"/>
              <w:rPr>
                <w:rFonts w:ascii="Arial Narrow" w:hAnsi="Arial Narrow"/>
                <w:sz w:val="18"/>
                <w:szCs w:val="18"/>
              </w:rPr>
            </w:pPr>
            <w:r w:rsidRPr="00E70A11">
              <w:rPr>
                <w:rFonts w:ascii="Arial Narrow" w:hAnsi="Arial Narrow"/>
                <w:sz w:val="18"/>
                <w:szCs w:val="18"/>
              </w:rPr>
              <w:t xml:space="preserve">Wetlands in the GBR catchments, Management Strategy 2016-21. This strategy promotes an integrated approach to catchment management that considers the multiple values of wetlands in a whole-of-catchment context. </w:t>
            </w:r>
            <w:hyperlink r:id="rId47" w:tooltip="document link" w:history="1">
              <w:r w:rsidRPr="00E70A11">
                <w:rPr>
                  <w:rStyle w:val="Hyperlink"/>
                  <w:rFonts w:ascii="Arial Narrow" w:hAnsi="Arial Narrow"/>
                  <w:sz w:val="18"/>
                  <w:szCs w:val="18"/>
                </w:rPr>
                <w:t>https://wetlandinfo.ehp.qld.gov.au/wetlands/management/policy-legislation/gbr.html</w:t>
              </w:r>
            </w:hyperlink>
          </w:p>
          <w:p w14:paraId="5761DC46" w14:textId="77777777" w:rsidR="00A56EE9" w:rsidRPr="00E70A11" w:rsidRDefault="00A56EE9" w:rsidP="00A11869">
            <w:pPr>
              <w:pStyle w:val="ListParagraph"/>
              <w:numPr>
                <w:ilvl w:val="0"/>
                <w:numId w:val="167"/>
              </w:numPr>
              <w:spacing w:after="200" w:line="276" w:lineRule="auto"/>
              <w:rPr>
                <w:rFonts w:ascii="Arial Narrow" w:hAnsi="Arial Narrow"/>
                <w:sz w:val="18"/>
                <w:szCs w:val="18"/>
              </w:rPr>
            </w:pPr>
            <w:r w:rsidRPr="00E70A11">
              <w:rPr>
                <w:rFonts w:ascii="Arial Narrow" w:hAnsi="Arial Narrow"/>
                <w:sz w:val="18"/>
                <w:szCs w:val="18"/>
              </w:rPr>
              <w:t>Information on the biodiversity values of the Wetlands of International Significance (Ramsar) in the GBR is available to managers. Information on the sites is presently being updated</w:t>
            </w:r>
            <w:r>
              <w:rPr>
                <w:rFonts w:ascii="Arial Narrow" w:hAnsi="Arial Narrow"/>
                <w:sz w:val="18"/>
                <w:szCs w:val="18"/>
              </w:rPr>
              <w:t xml:space="preserve"> </w:t>
            </w:r>
          </w:p>
          <w:p w14:paraId="5761DC47" w14:textId="77777777" w:rsidR="00A56EE9" w:rsidRPr="00E70A11" w:rsidRDefault="00A56EE9" w:rsidP="00A11869">
            <w:pPr>
              <w:pStyle w:val="ListParagraph"/>
              <w:numPr>
                <w:ilvl w:val="0"/>
                <w:numId w:val="167"/>
              </w:numPr>
              <w:spacing w:after="200" w:line="276" w:lineRule="auto"/>
              <w:rPr>
                <w:rFonts w:ascii="Arial Narrow" w:hAnsi="Arial Narrow"/>
                <w:sz w:val="18"/>
                <w:szCs w:val="18"/>
              </w:rPr>
            </w:pPr>
            <w:r w:rsidRPr="00E70A11">
              <w:rPr>
                <w:rFonts w:ascii="Arial Narrow" w:hAnsi="Arial Narrow"/>
                <w:sz w:val="18"/>
                <w:szCs w:val="18"/>
              </w:rPr>
              <w:t>No comprehensive map of all the vast and diverse habitats on the whole Great Barrier Reef currently exists. The ‘Live’ Habitat Mapping pilot study is a step towards creating one. Queensland has developed and published an Intertidal and Subtidal habitat classification scheme to allow for integrated habitat mapping.</w:t>
            </w:r>
          </w:p>
        </w:tc>
        <w:tc>
          <w:tcPr>
            <w:tcW w:w="4016" w:type="dxa"/>
            <w:tcBorders>
              <w:top w:val="single" w:sz="4" w:space="0" w:color="auto"/>
              <w:left w:val="single" w:sz="4" w:space="0" w:color="auto"/>
              <w:bottom w:val="single" w:sz="4" w:space="0" w:color="auto"/>
              <w:right w:val="single" w:sz="4" w:space="0" w:color="auto"/>
            </w:tcBorders>
          </w:tcPr>
          <w:p w14:paraId="5761DC48" w14:textId="77777777" w:rsidR="00A56EE9" w:rsidRPr="00E70A11" w:rsidRDefault="00A56EE9" w:rsidP="00A11869">
            <w:pPr>
              <w:pStyle w:val="ListParagraph"/>
              <w:numPr>
                <w:ilvl w:val="0"/>
                <w:numId w:val="83"/>
              </w:numPr>
              <w:spacing w:after="200" w:line="276" w:lineRule="auto"/>
              <w:rPr>
                <w:rFonts w:ascii="Arial Narrow" w:hAnsi="Arial Narrow"/>
                <w:sz w:val="18"/>
                <w:szCs w:val="18"/>
              </w:rPr>
            </w:pPr>
            <w:r w:rsidRPr="00E70A11">
              <w:rPr>
                <w:rFonts w:ascii="Arial Narrow" w:hAnsi="Arial Narrow"/>
                <w:sz w:val="18"/>
                <w:szCs w:val="18"/>
              </w:rPr>
              <w:t xml:space="preserve">Whiteway et al. (2013) </w:t>
            </w:r>
            <w:r w:rsidRPr="00E70A11">
              <w:rPr>
                <w:rFonts w:ascii="Arial Narrow" w:hAnsi="Arial Narrow"/>
                <w:i/>
                <w:sz w:val="18"/>
                <w:szCs w:val="18"/>
              </w:rPr>
              <w:t>Geological and Geomorphological features of Outstanding Universal Value in the Great Barrier Reef World Heritatge Area</w:t>
            </w:r>
            <w:r w:rsidRPr="00E70A11">
              <w:rPr>
                <w:rFonts w:ascii="Arial Narrow" w:hAnsi="Arial Narrow"/>
                <w:sz w:val="18"/>
                <w:szCs w:val="18"/>
              </w:rPr>
              <w:t>. Technical Report Prepared for the Department of Sustainability, Environment, Water, Population and Communities.</w:t>
            </w:r>
          </w:p>
          <w:p w14:paraId="5761DC49" w14:textId="77777777" w:rsidR="00A56EE9" w:rsidRPr="00E70A11" w:rsidRDefault="00A56EE9" w:rsidP="00A11869">
            <w:pPr>
              <w:pStyle w:val="ListParagraph"/>
              <w:numPr>
                <w:ilvl w:val="0"/>
                <w:numId w:val="83"/>
              </w:numPr>
              <w:spacing w:after="200" w:line="276" w:lineRule="auto"/>
              <w:rPr>
                <w:rFonts w:ascii="Arial Narrow" w:hAnsi="Arial Narrow"/>
                <w:sz w:val="18"/>
                <w:szCs w:val="18"/>
              </w:rPr>
            </w:pPr>
            <w:r w:rsidRPr="00E70A11">
              <w:rPr>
                <w:rFonts w:ascii="Arial Narrow" w:hAnsi="Arial Narrow"/>
                <w:sz w:val="18"/>
                <w:szCs w:val="18"/>
              </w:rPr>
              <w:t>Great Barrier Reef Biodiversity Conservation Strategy 2013</w:t>
            </w:r>
          </w:p>
          <w:p w14:paraId="5761DC4A" w14:textId="77777777" w:rsidR="00A56EE9" w:rsidRPr="00E70A11" w:rsidRDefault="00A56EE9" w:rsidP="00A11869">
            <w:pPr>
              <w:pStyle w:val="ListParagraph"/>
              <w:numPr>
                <w:ilvl w:val="0"/>
                <w:numId w:val="83"/>
              </w:numPr>
              <w:spacing w:after="200" w:line="276" w:lineRule="auto"/>
              <w:rPr>
                <w:rFonts w:ascii="Arial Narrow" w:hAnsi="Arial Narrow"/>
                <w:sz w:val="18"/>
                <w:szCs w:val="18"/>
              </w:rPr>
            </w:pPr>
            <w:r w:rsidRPr="00E70A11">
              <w:rPr>
                <w:rFonts w:ascii="Arial Narrow" w:hAnsi="Arial Narrow"/>
                <w:sz w:val="18"/>
                <w:szCs w:val="18"/>
              </w:rPr>
              <w:t>GBR Vulnerability Assessments</w:t>
            </w:r>
          </w:p>
          <w:p w14:paraId="5761DC4B" w14:textId="77777777" w:rsidR="00A56EE9" w:rsidRPr="00E70A11" w:rsidRDefault="00A56EE9" w:rsidP="00A11869">
            <w:pPr>
              <w:pStyle w:val="ListParagraph"/>
              <w:numPr>
                <w:ilvl w:val="0"/>
                <w:numId w:val="83"/>
              </w:numPr>
              <w:spacing w:after="200" w:line="276" w:lineRule="auto"/>
              <w:rPr>
                <w:rFonts w:ascii="Arial Narrow" w:hAnsi="Arial Narrow"/>
                <w:sz w:val="18"/>
                <w:szCs w:val="18"/>
              </w:rPr>
            </w:pPr>
            <w:r w:rsidRPr="00E70A11">
              <w:rPr>
                <w:rFonts w:ascii="Arial Narrow" w:hAnsi="Arial Narrow"/>
                <w:sz w:val="18"/>
                <w:szCs w:val="18"/>
              </w:rPr>
              <w:t>GBR Area Plans of Management (Cairns, Hinchinbrook, Whitsundays)</w:t>
            </w:r>
          </w:p>
          <w:p w14:paraId="5761DC4C" w14:textId="77777777" w:rsidR="00A56EE9" w:rsidRPr="00E70A11" w:rsidRDefault="008B5998" w:rsidP="00A11869">
            <w:pPr>
              <w:pStyle w:val="ListParagraph"/>
              <w:numPr>
                <w:ilvl w:val="0"/>
                <w:numId w:val="83"/>
              </w:numPr>
              <w:spacing w:after="200" w:line="276" w:lineRule="auto"/>
              <w:rPr>
                <w:rStyle w:val="BookTitle"/>
                <w:rFonts w:ascii="Arial Narrow" w:hAnsi="Arial Narrow"/>
                <w:sz w:val="18"/>
                <w:szCs w:val="18"/>
              </w:rPr>
            </w:pPr>
            <w:hyperlink r:id="rId48" w:history="1">
              <w:r w:rsidR="00A56EE9" w:rsidRPr="00E70A11">
                <w:rPr>
                  <w:rStyle w:val="Hyperlink"/>
                  <w:rFonts w:ascii="Arial Narrow" w:hAnsi="Arial Narrow"/>
                  <w:sz w:val="18"/>
                  <w:szCs w:val="18"/>
                </w:rPr>
                <w:t>Site Specific Management Plans</w:t>
              </w:r>
            </w:hyperlink>
            <w:r w:rsidR="00A56EE9" w:rsidRPr="00E70A11">
              <w:rPr>
                <w:rStyle w:val="BookTitle"/>
                <w:rFonts w:ascii="Arial Narrow" w:hAnsi="Arial Narrow"/>
                <w:sz w:val="18"/>
                <w:szCs w:val="18"/>
              </w:rPr>
              <w:t xml:space="preserve"> (Raine Island and Moulter Cay, Low Isles, Clump Point etc)</w:t>
            </w:r>
          </w:p>
          <w:p w14:paraId="5761DC4D" w14:textId="77777777" w:rsidR="00A56EE9" w:rsidRPr="00E70A11" w:rsidRDefault="008B5998" w:rsidP="00A11869">
            <w:pPr>
              <w:pStyle w:val="ListParagraph"/>
              <w:numPr>
                <w:ilvl w:val="0"/>
                <w:numId w:val="83"/>
              </w:numPr>
              <w:spacing w:after="200" w:line="276" w:lineRule="auto"/>
              <w:rPr>
                <w:rStyle w:val="BookTitle"/>
                <w:rFonts w:ascii="Arial Narrow" w:hAnsi="Arial Narrow"/>
                <w:sz w:val="18"/>
                <w:szCs w:val="18"/>
              </w:rPr>
            </w:pPr>
            <w:hyperlink r:id="rId49" w:history="1">
              <w:r w:rsidR="00A56EE9" w:rsidRPr="00E70A11">
                <w:rPr>
                  <w:rStyle w:val="Hyperlink"/>
                  <w:rFonts w:ascii="Arial Narrow" w:hAnsi="Arial Narrow"/>
                  <w:sz w:val="18"/>
                  <w:szCs w:val="18"/>
                </w:rPr>
                <w:t>Values and attributes table underpinning MNES</w:t>
              </w:r>
            </w:hyperlink>
          </w:p>
          <w:p w14:paraId="5761DC4E" w14:textId="77777777" w:rsidR="00A56EE9" w:rsidRPr="00E70A11" w:rsidRDefault="008B5998" w:rsidP="00A11869">
            <w:pPr>
              <w:pStyle w:val="ListParagraph"/>
              <w:numPr>
                <w:ilvl w:val="0"/>
                <w:numId w:val="83"/>
              </w:numPr>
              <w:spacing w:after="200" w:line="276" w:lineRule="auto"/>
              <w:rPr>
                <w:rStyle w:val="BookTitle"/>
                <w:rFonts w:ascii="Arial Narrow" w:hAnsi="Arial Narrow"/>
                <w:sz w:val="18"/>
                <w:szCs w:val="18"/>
              </w:rPr>
            </w:pPr>
            <w:hyperlink r:id="rId50" w:history="1">
              <w:r w:rsidR="00A56EE9" w:rsidRPr="00E70A11">
                <w:rPr>
                  <w:rStyle w:val="Hyperlink"/>
                  <w:rFonts w:ascii="Arial Narrow" w:hAnsi="Arial Narrow"/>
                  <w:sz w:val="18"/>
                  <w:szCs w:val="18"/>
                </w:rPr>
                <w:t>Flora and fauna of the Great Barrier Reef World Heritage Area</w:t>
              </w:r>
            </w:hyperlink>
          </w:p>
          <w:p w14:paraId="5761DC4F" w14:textId="77777777" w:rsidR="00A56EE9" w:rsidRPr="00E70A11" w:rsidRDefault="008B5998" w:rsidP="00A11869">
            <w:pPr>
              <w:pStyle w:val="ListParagraph"/>
              <w:numPr>
                <w:ilvl w:val="0"/>
                <w:numId w:val="83"/>
              </w:numPr>
              <w:spacing w:after="200" w:line="276" w:lineRule="auto"/>
              <w:rPr>
                <w:rFonts w:ascii="Arial Narrow" w:hAnsi="Arial Narrow"/>
                <w:sz w:val="18"/>
                <w:szCs w:val="18"/>
              </w:rPr>
            </w:pPr>
            <w:hyperlink r:id="rId51" w:history="1">
              <w:r w:rsidR="00A56EE9" w:rsidRPr="00E70A11">
                <w:rPr>
                  <w:rStyle w:val="Hyperlink"/>
                  <w:rFonts w:ascii="Arial Narrow" w:hAnsi="Arial Narrow"/>
                  <w:sz w:val="18"/>
                  <w:szCs w:val="18"/>
                </w:rPr>
                <w:t>Reef 2050 Progress Update to World Heritage Centre</w:t>
              </w:r>
            </w:hyperlink>
          </w:p>
          <w:p w14:paraId="5761DC50" w14:textId="77777777" w:rsidR="00A56EE9" w:rsidRPr="00E70A11" w:rsidRDefault="00A56EE9" w:rsidP="00A11869">
            <w:pPr>
              <w:pStyle w:val="ListParagraph"/>
              <w:numPr>
                <w:ilvl w:val="0"/>
                <w:numId w:val="83"/>
              </w:numPr>
              <w:spacing w:after="200" w:line="276" w:lineRule="auto"/>
              <w:rPr>
                <w:rFonts w:ascii="Arial Narrow" w:hAnsi="Arial Narrow"/>
                <w:sz w:val="18"/>
                <w:szCs w:val="18"/>
              </w:rPr>
            </w:pPr>
            <w:r w:rsidRPr="00E70A11">
              <w:rPr>
                <w:rFonts w:ascii="Arial Narrow" w:hAnsi="Arial Narrow"/>
                <w:sz w:val="18"/>
                <w:szCs w:val="18"/>
              </w:rPr>
              <w:t xml:space="preserve"> </w:t>
            </w:r>
            <w:hyperlink r:id="rId52" w:history="1">
              <w:r w:rsidRPr="00E70A11">
                <w:rPr>
                  <w:rStyle w:val="Hyperlink"/>
                  <w:rFonts w:ascii="Arial Narrow" w:hAnsi="Arial Narrow"/>
                  <w:sz w:val="18"/>
                  <w:szCs w:val="18"/>
                </w:rPr>
                <w:t>Great Barrier Reef Outlook Report 2014</w:t>
              </w:r>
            </w:hyperlink>
            <w:r w:rsidRPr="00E70A11">
              <w:rPr>
                <w:rFonts w:ascii="Arial Narrow" w:hAnsi="Arial Narrow"/>
                <w:sz w:val="18"/>
                <w:szCs w:val="18"/>
              </w:rPr>
              <w:t xml:space="preserve"> Chapter 2</w:t>
            </w:r>
          </w:p>
          <w:p w14:paraId="5761DC51" w14:textId="77777777" w:rsidR="00A56EE9" w:rsidRPr="00E70A11" w:rsidRDefault="00A56EE9" w:rsidP="00A11869">
            <w:pPr>
              <w:pStyle w:val="ListParagraph"/>
              <w:numPr>
                <w:ilvl w:val="0"/>
                <w:numId w:val="83"/>
              </w:numPr>
              <w:spacing w:after="200" w:line="276" w:lineRule="auto"/>
              <w:rPr>
                <w:rStyle w:val="Hyperlink"/>
                <w:rFonts w:ascii="Arial Narrow" w:hAnsi="Arial Narrow"/>
                <w:sz w:val="18"/>
                <w:szCs w:val="18"/>
              </w:rPr>
            </w:pPr>
            <w:r w:rsidRPr="00E70A11">
              <w:rPr>
                <w:rFonts w:ascii="Arial Narrow" w:hAnsi="Arial Narrow"/>
                <w:sz w:val="18"/>
                <w:szCs w:val="18"/>
              </w:rPr>
              <w:t xml:space="preserve">Draft </w:t>
            </w:r>
            <w:hyperlink r:id="rId53" w:history="1">
              <w:r w:rsidRPr="00E70A11">
                <w:rPr>
                  <w:rStyle w:val="Hyperlink"/>
                  <w:rFonts w:ascii="Arial Narrow" w:hAnsi="Arial Narrow"/>
                  <w:sz w:val="18"/>
                  <w:szCs w:val="18"/>
                </w:rPr>
                <w:t>EPBC Act referral guidelines for the Outstanding Universal Value of the GBRWHA</w:t>
              </w:r>
            </w:hyperlink>
          </w:p>
          <w:p w14:paraId="5761DC52" w14:textId="77777777" w:rsidR="00A56EE9" w:rsidRPr="00E70A11" w:rsidRDefault="008B5998" w:rsidP="00A11869">
            <w:pPr>
              <w:pStyle w:val="ListParagraph"/>
              <w:numPr>
                <w:ilvl w:val="0"/>
                <w:numId w:val="83"/>
              </w:numPr>
              <w:spacing w:after="200" w:line="276" w:lineRule="auto"/>
              <w:rPr>
                <w:rFonts w:ascii="Arial Narrow" w:hAnsi="Arial Narrow"/>
                <w:sz w:val="18"/>
                <w:szCs w:val="18"/>
              </w:rPr>
            </w:pPr>
            <w:hyperlink r:id="rId54" w:history="1">
              <w:r w:rsidR="00A56EE9" w:rsidRPr="00E70A11">
                <w:rPr>
                  <w:rStyle w:val="Hyperlink"/>
                  <w:rFonts w:ascii="Arial Narrow" w:hAnsi="Arial Narrow"/>
                  <w:sz w:val="18"/>
                  <w:szCs w:val="18"/>
                </w:rPr>
                <w:t>Raine Islane Recovery Project</w:t>
              </w:r>
            </w:hyperlink>
          </w:p>
          <w:p w14:paraId="5761DC53" w14:textId="77777777" w:rsidR="00A56EE9" w:rsidRPr="00E70A11" w:rsidRDefault="008B5998" w:rsidP="00A11869">
            <w:pPr>
              <w:pStyle w:val="ListParagraph"/>
              <w:numPr>
                <w:ilvl w:val="0"/>
                <w:numId w:val="83"/>
              </w:numPr>
              <w:spacing w:after="200" w:line="276" w:lineRule="auto"/>
              <w:rPr>
                <w:rStyle w:val="Hyperlink"/>
                <w:rFonts w:ascii="Arial Narrow" w:hAnsi="Arial Narrow"/>
                <w:sz w:val="18"/>
                <w:szCs w:val="18"/>
              </w:rPr>
            </w:pPr>
            <w:hyperlink r:id="rId55" w:history="1">
              <w:r w:rsidR="00A56EE9" w:rsidRPr="00E70A11">
                <w:rPr>
                  <w:rStyle w:val="Hyperlink"/>
                  <w:rFonts w:ascii="Arial Narrow" w:hAnsi="Arial Narrow"/>
                  <w:sz w:val="18"/>
                  <w:szCs w:val="18"/>
                </w:rPr>
                <w:t>Nest to Ocean Turtle Protection Program</w:t>
              </w:r>
            </w:hyperlink>
          </w:p>
          <w:p w14:paraId="5761DC54" w14:textId="77777777" w:rsidR="00A56EE9" w:rsidRPr="00E70A11" w:rsidRDefault="00A56EE9" w:rsidP="00A11869">
            <w:pPr>
              <w:pStyle w:val="ListParagraph"/>
              <w:numPr>
                <w:ilvl w:val="0"/>
                <w:numId w:val="83"/>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WetlandInfo information on wetlands and aquatic ecosystems https://wetlandinfo.ehp.qld.gov.au/wetlands/</w:t>
            </w:r>
          </w:p>
          <w:p w14:paraId="5761DC55" w14:textId="13222E8C" w:rsidR="00A56EE9" w:rsidRPr="00E70A11" w:rsidRDefault="00A56EE9" w:rsidP="00A11869">
            <w:pPr>
              <w:pStyle w:val="ListParagraph"/>
              <w:numPr>
                <w:ilvl w:val="0"/>
                <w:numId w:val="83"/>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 xml:space="preserve">AquaBamm – aquatic ecosystem conservation assessments for wetlands in the GBR including biodiversity values </w:t>
            </w:r>
            <w:hyperlink r:id="rId56" w:tooltip="document link" w:history="1">
              <w:r w:rsidRPr="00E70A11">
                <w:rPr>
                  <w:rStyle w:val="Hyperlink"/>
                  <w:rFonts w:ascii="Arial Narrow" w:hAnsi="Arial Narrow"/>
                  <w:sz w:val="18"/>
                  <w:szCs w:val="18"/>
                </w:rPr>
                <w:t>https://wetlandinfo.ehp.qld.gov.au/wetlands/assessment/assessment-methods/aca/great-barrier-reef.html</w:t>
              </w:r>
            </w:hyperlink>
          </w:p>
          <w:p w14:paraId="5761DC56" w14:textId="7C4DDA7F" w:rsidR="00A56EE9" w:rsidRPr="00E70A11" w:rsidRDefault="00A56EE9" w:rsidP="00A11869">
            <w:pPr>
              <w:pStyle w:val="ListParagraph"/>
              <w:numPr>
                <w:ilvl w:val="0"/>
                <w:numId w:val="83"/>
              </w:numPr>
              <w:spacing w:after="200" w:line="276" w:lineRule="auto"/>
              <w:rPr>
                <w:rFonts w:ascii="Arial Narrow" w:hAnsi="Arial Narrow"/>
                <w:sz w:val="18"/>
                <w:szCs w:val="18"/>
              </w:rPr>
            </w:pPr>
            <w:r w:rsidRPr="00E70A11">
              <w:rPr>
                <w:rFonts w:ascii="Arial Narrow" w:hAnsi="Arial Narrow"/>
                <w:sz w:val="18"/>
                <w:szCs w:val="18"/>
              </w:rPr>
              <w:t xml:space="preserve">Matters of State Environmental Significance </w:t>
            </w:r>
            <w:hyperlink r:id="rId57" w:tooltip="document link" w:history="1">
              <w:r w:rsidRPr="00E70A11">
                <w:rPr>
                  <w:rStyle w:val="Hyperlink"/>
                  <w:rFonts w:ascii="Arial Narrow" w:hAnsi="Arial Narrow"/>
                  <w:sz w:val="18"/>
                  <w:szCs w:val="18"/>
                </w:rPr>
                <w:t>https://www.ehp.qld.gov.au/management/planning-guidelines/method-mapping-mses.html</w:t>
              </w:r>
            </w:hyperlink>
          </w:p>
          <w:p w14:paraId="5761DC57" w14:textId="12B7E997" w:rsidR="00A56EE9" w:rsidRPr="00E70A11" w:rsidRDefault="00A56EE9" w:rsidP="00A11869">
            <w:pPr>
              <w:pStyle w:val="ListParagraph"/>
              <w:numPr>
                <w:ilvl w:val="0"/>
                <w:numId w:val="83"/>
              </w:numPr>
              <w:spacing w:after="200" w:line="276" w:lineRule="auto"/>
              <w:rPr>
                <w:rFonts w:ascii="Arial Narrow" w:hAnsi="Arial Narrow"/>
                <w:sz w:val="18"/>
                <w:szCs w:val="18"/>
              </w:rPr>
            </w:pPr>
            <w:r w:rsidRPr="00E70A11">
              <w:rPr>
                <w:rFonts w:ascii="Arial Narrow" w:hAnsi="Arial Narrow"/>
                <w:sz w:val="18"/>
                <w:szCs w:val="18"/>
              </w:rPr>
              <w:t xml:space="preserve">Intertidal and Subtidal Habitat Classification scheme </w:t>
            </w:r>
            <w:hyperlink r:id="rId58" w:tooltip="document link" w:history="1">
              <w:r w:rsidRPr="00E70A11">
                <w:rPr>
                  <w:rStyle w:val="Hyperlink"/>
                  <w:rFonts w:ascii="Arial Narrow" w:hAnsi="Arial Narrow"/>
                  <w:sz w:val="18"/>
                  <w:szCs w:val="18"/>
                </w:rPr>
                <w:t>https://wetlandinfo.ehp.qld.gov.au/wetlands/what-are-wetlands/definitions-classification/classification-systems-background/intertidal-subtidal/</w:t>
              </w:r>
            </w:hyperlink>
          </w:p>
          <w:p w14:paraId="5761DC58" w14:textId="67FCC3A3" w:rsidR="00A56EE9" w:rsidRPr="00E70A11" w:rsidRDefault="00A56EE9" w:rsidP="00A11869">
            <w:pPr>
              <w:pStyle w:val="ListParagraph"/>
              <w:numPr>
                <w:ilvl w:val="0"/>
                <w:numId w:val="83"/>
              </w:numPr>
              <w:spacing w:after="200" w:line="276" w:lineRule="auto"/>
              <w:rPr>
                <w:rFonts w:ascii="Arial Narrow" w:hAnsi="Arial Narrow"/>
                <w:sz w:val="18"/>
                <w:szCs w:val="18"/>
              </w:rPr>
            </w:pPr>
            <w:r w:rsidRPr="00E70A11">
              <w:rPr>
                <w:rFonts w:ascii="Arial Narrow" w:hAnsi="Arial Narrow"/>
                <w:sz w:val="18"/>
                <w:szCs w:val="18"/>
              </w:rPr>
              <w:t xml:space="preserve">Ramsar site information </w:t>
            </w:r>
            <w:hyperlink r:id="rId59" w:tooltip="document link" w:history="1">
              <w:r w:rsidRPr="00E70A11">
                <w:rPr>
                  <w:rStyle w:val="Hyperlink"/>
                  <w:rFonts w:ascii="Arial Narrow" w:hAnsi="Arial Narrow"/>
                  <w:sz w:val="18"/>
                  <w:szCs w:val="18"/>
                </w:rPr>
                <w:t>https://wetlandinfo.ehp.qld.gov.au/wetlands/management/national-international-important-wetlands/</w:t>
              </w:r>
            </w:hyperlink>
          </w:p>
          <w:p w14:paraId="5761DC59" w14:textId="0358EB68" w:rsidR="00A56EE9" w:rsidRPr="00E70A11" w:rsidRDefault="00A56EE9" w:rsidP="00A11869">
            <w:pPr>
              <w:pStyle w:val="ListParagraph"/>
              <w:numPr>
                <w:ilvl w:val="0"/>
                <w:numId w:val="83"/>
              </w:numPr>
              <w:spacing w:after="200" w:line="276" w:lineRule="auto"/>
              <w:rPr>
                <w:rFonts w:ascii="Arial Narrow" w:hAnsi="Arial Narrow"/>
                <w:sz w:val="18"/>
                <w:szCs w:val="18"/>
              </w:rPr>
            </w:pPr>
            <w:r w:rsidRPr="00E70A11">
              <w:rPr>
                <w:rFonts w:ascii="Arial Narrow" w:hAnsi="Arial Narrow"/>
                <w:sz w:val="18"/>
                <w:szCs w:val="18"/>
              </w:rPr>
              <w:t xml:space="preserve">Intertidal and subtidal habitat mapping is underway for lower part of inshore GBR </w:t>
            </w:r>
            <w:hyperlink r:id="rId60" w:tooltip="document link" w:history="1">
              <w:r w:rsidRPr="00E70A11">
                <w:rPr>
                  <w:rStyle w:val="Hyperlink"/>
                  <w:rFonts w:ascii="Arial Narrow" w:hAnsi="Arial Narrow"/>
                  <w:sz w:val="18"/>
                  <w:szCs w:val="18"/>
                </w:rPr>
                <w:t>https://wetlandinfo.ehp.qld.gov.au/resources/static/pdf/resources/fact-sheets/fs-inter-sub-tidal-class-map-aca-cq-31-05-2017.pdf</w:t>
              </w:r>
            </w:hyperlink>
          </w:p>
          <w:p w14:paraId="5761DC5A" w14:textId="77777777" w:rsidR="00A56EE9" w:rsidRPr="00E70A11" w:rsidRDefault="00A56EE9" w:rsidP="00BB6AD5">
            <w:pPr>
              <w:pStyle w:val="ListParagraph"/>
              <w:rPr>
                <w:rFonts w:ascii="Arial Narrow" w:hAnsi="Arial Narrow"/>
                <w:sz w:val="18"/>
                <w:szCs w:val="18"/>
              </w:rPr>
            </w:pPr>
          </w:p>
          <w:p w14:paraId="5761DC5B" w14:textId="77777777" w:rsidR="00A56EE9" w:rsidRPr="00E70A11" w:rsidRDefault="00A56EE9" w:rsidP="00BB6AD5">
            <w:pPr>
              <w:pStyle w:val="ListParagraph"/>
              <w:rPr>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C5C"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C5D"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C89"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C5F"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to biodiversity are known by managers</w:t>
            </w:r>
          </w:p>
        </w:tc>
        <w:tc>
          <w:tcPr>
            <w:tcW w:w="771" w:type="dxa"/>
            <w:tcBorders>
              <w:top w:val="single" w:sz="4" w:space="0" w:color="auto"/>
              <w:left w:val="single" w:sz="4" w:space="0" w:color="auto"/>
              <w:bottom w:val="single" w:sz="4" w:space="0" w:color="auto"/>
              <w:right w:val="single" w:sz="4" w:space="0" w:color="auto"/>
            </w:tcBorders>
            <w:vAlign w:val="center"/>
          </w:tcPr>
          <w:p w14:paraId="5761DC60" w14:textId="77777777" w:rsidR="00A56EE9" w:rsidRPr="00E70A11" w:rsidRDefault="00A56EE9" w:rsidP="00BB6AD5">
            <w:pPr>
              <w:pStyle w:val="Tablebulletlist"/>
              <w:jc w:val="center"/>
              <w:rPr>
                <w:rStyle w:val="BookTitle"/>
              </w:rPr>
            </w:pPr>
            <w:r w:rsidRPr="00E70A11">
              <w:rPr>
                <w:rStyle w:val="BookTitle"/>
              </w:rPr>
              <w:t>2</w:t>
            </w:r>
          </w:p>
        </w:tc>
        <w:tc>
          <w:tcPr>
            <w:tcW w:w="5242" w:type="dxa"/>
            <w:tcBorders>
              <w:top w:val="single" w:sz="4" w:space="0" w:color="auto"/>
              <w:left w:val="single" w:sz="4" w:space="0" w:color="auto"/>
              <w:bottom w:val="single" w:sz="4" w:space="0" w:color="auto"/>
              <w:right w:val="single" w:sz="4" w:space="0" w:color="auto"/>
            </w:tcBorders>
          </w:tcPr>
          <w:p w14:paraId="5761DC61"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Back to back bleaching events in 2016-17 has prompted large-scale surveys of bleaching extent and coral mortality. It is known that large-scale bleaching will change relative composition of coral species but the flow-on consequences for other reef biota are largely unknown but likely to be significant.</w:t>
            </w:r>
          </w:p>
          <w:p w14:paraId="5761DC62"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The sheer scale of the ecosystem means monitoring has focused on a few key habitats and species or groups of species, generally those that are iconic (such as coral reefs, seabirds), commercially important (such as seagrass meadows, coral trout) or threatened (such as dugongs, marine turtles).</w:t>
            </w:r>
            <w:r>
              <w:rPr>
                <w:rFonts w:ascii="Arial Narrow" w:hAnsi="Arial Narrow"/>
                <w:sz w:val="18"/>
                <w:szCs w:val="18"/>
              </w:rPr>
              <w:t xml:space="preserve"> </w:t>
            </w:r>
            <w:r w:rsidRPr="00E70A11">
              <w:rPr>
                <w:rFonts w:ascii="Arial Narrow" w:hAnsi="Arial Narrow"/>
                <w:sz w:val="18"/>
                <w:szCs w:val="18"/>
              </w:rPr>
              <w:t>Therefore, current condition and trend is relatively unknown for the majority of species.</w:t>
            </w:r>
          </w:p>
          <w:p w14:paraId="5761DC63"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 xml:space="preserve">There is little comprehensive information on the status of connectivity from catchments to the reef for biodiversity which require these connections </w:t>
            </w:r>
          </w:p>
          <w:p w14:paraId="5761DC64"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 xml:space="preserve">Long term monitoring programs exist for some species (e.g. marine turtles, dugong, seagrass, </w:t>
            </w:r>
            <w:proofErr w:type="gramStart"/>
            <w:r w:rsidRPr="00E70A11">
              <w:rPr>
                <w:rFonts w:ascii="Arial Narrow" w:hAnsi="Arial Narrow"/>
                <w:sz w:val="18"/>
                <w:szCs w:val="18"/>
              </w:rPr>
              <w:t>coral</w:t>
            </w:r>
            <w:proofErr w:type="gramEnd"/>
            <w:r w:rsidRPr="00E70A11">
              <w:rPr>
                <w:rFonts w:ascii="Arial Narrow" w:hAnsi="Arial Narrow"/>
                <w:sz w:val="18"/>
                <w:szCs w:val="18"/>
              </w:rPr>
              <w:t xml:space="preserve">). </w:t>
            </w:r>
          </w:p>
          <w:p w14:paraId="5761DC65"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AIMS long term monitoring program has provided consistent data on coral cover, coral bleaching, Crown-0f-Thorns starfish numbers, major fish species and benthic organisms but is only conducted on 50 reefs with none in the Far Northern part of the GBR.</w:t>
            </w:r>
          </w:p>
          <w:p w14:paraId="5761DC66"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Marine Monitoring Program has provided long-term data on the condition and trend of inshore water quality, coral and seagrass and the land-based run-off pressures that impact on them but does not cover other elements of biodiversity</w:t>
            </w:r>
          </w:p>
          <w:p w14:paraId="5761DC67"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Eye on the Reef program captures</w:t>
            </w:r>
            <w:r>
              <w:rPr>
                <w:rFonts w:ascii="Arial Narrow" w:hAnsi="Arial Narrow"/>
                <w:sz w:val="18"/>
                <w:szCs w:val="18"/>
              </w:rPr>
              <w:t xml:space="preserve"> </w:t>
            </w:r>
            <w:r w:rsidRPr="00E70A11">
              <w:rPr>
                <w:rFonts w:ascii="Arial Narrow" w:hAnsi="Arial Narrow"/>
                <w:sz w:val="18"/>
                <w:szCs w:val="18"/>
              </w:rPr>
              <w:t>spatial status information but spatial and taxonomic coverage is limited</w:t>
            </w:r>
          </w:p>
          <w:p w14:paraId="5761DC68"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Summary of Reef Health Impacts 2016-17 provides useful summary of available data</w:t>
            </w:r>
          </w:p>
          <w:p w14:paraId="5761DC69"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There is little detailed information about the status and trends of many habitat types within the Great Barrier Reef (for example the lagoon floor, shoals, Halimeda banks and the continental slope).</w:t>
            </w:r>
          </w:p>
          <w:p w14:paraId="5761DC6A"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Queensland has developed and published an Intertidal and Subtidal habitat classification scheme and should allow for condition and trend of these habitats to be considered in future.</w:t>
            </w:r>
          </w:p>
          <w:p w14:paraId="5761DC6B"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 xml:space="preserve">Change in wetland extent information is available </w:t>
            </w:r>
          </w:p>
          <w:p w14:paraId="5761DC6C"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Change in wetland condition is available for the first time</w:t>
            </w:r>
          </w:p>
          <w:p w14:paraId="5761DC6D"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 xml:space="preserve">The majority of vulnerability assessment actions were translated into the Reef 2050 Plan and/or are delivered through the Field Management Program. None of the Vulnerability Assessments from 2013 have been updated and there has been no formal process or mapping to determine which actions are complete outside of the annual Reef 2050 annual reporting. </w:t>
            </w:r>
          </w:p>
          <w:p w14:paraId="5761DC6E"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Since 2013 two new vulnerability assessments were completed for Seagrass, estuaries and freshwater wetlands under the Biodiversity Conservation Strategy.</w:t>
            </w:r>
          </w:p>
          <w:p w14:paraId="5761DC6F" w14:textId="77777777" w:rsidR="00A56EE9" w:rsidRPr="00E70A11" w:rsidRDefault="00A56EE9" w:rsidP="00A11869">
            <w:pPr>
              <w:pStyle w:val="ListParagraph"/>
              <w:numPr>
                <w:ilvl w:val="0"/>
                <w:numId w:val="168"/>
              </w:numPr>
              <w:spacing w:after="200" w:line="276" w:lineRule="auto"/>
              <w:rPr>
                <w:rFonts w:ascii="Arial Narrow" w:hAnsi="Arial Narrow"/>
                <w:sz w:val="18"/>
                <w:szCs w:val="18"/>
              </w:rPr>
            </w:pPr>
            <w:r w:rsidRPr="00E70A11">
              <w:rPr>
                <w:rFonts w:ascii="Arial Narrow" w:hAnsi="Arial Narrow"/>
                <w:sz w:val="18"/>
                <w:szCs w:val="18"/>
              </w:rPr>
              <w:t>Major barrier to maintenance of quantitative knowledge on condition and trend of values is lack of agency capacity (Addison et al., 2017)</w:t>
            </w:r>
          </w:p>
        </w:tc>
        <w:tc>
          <w:tcPr>
            <w:tcW w:w="4016" w:type="dxa"/>
            <w:tcBorders>
              <w:top w:val="single" w:sz="4" w:space="0" w:color="auto"/>
              <w:left w:val="single" w:sz="4" w:space="0" w:color="auto"/>
              <w:bottom w:val="single" w:sz="4" w:space="0" w:color="auto"/>
              <w:right w:val="single" w:sz="4" w:space="0" w:color="auto"/>
            </w:tcBorders>
          </w:tcPr>
          <w:p w14:paraId="5761DC70"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 xml:space="preserve">Hughes, T. P., Kerry, J. T. and Simpson, T. Large-scale bleaching of corals on the Great Barrier Reef. </w:t>
            </w:r>
            <w:r w:rsidRPr="00E70A11">
              <w:rPr>
                <w:rFonts w:ascii="Arial Narrow" w:hAnsi="Arial Narrow"/>
                <w:i/>
                <w:sz w:val="18"/>
                <w:szCs w:val="18"/>
              </w:rPr>
              <w:t>Ecology</w:t>
            </w:r>
            <w:r w:rsidRPr="00E70A11">
              <w:rPr>
                <w:rFonts w:ascii="Arial Narrow" w:hAnsi="Arial Narrow"/>
                <w:sz w:val="18"/>
                <w:szCs w:val="18"/>
              </w:rPr>
              <w:t>: DOI: 10.1002/ecy.2092</w:t>
            </w:r>
          </w:p>
          <w:p w14:paraId="5761DC71"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De'ath, G., Fabricius, K.E., Sweatman, H. and Puotinen, M. 2012, The 27–year decline of coral cover on the Great Barrier Reef and its causes, Proceedings of the National Academy of Sciences 109(44): 17995-17999.</w:t>
            </w:r>
          </w:p>
          <w:p w14:paraId="5761DC72"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Marine Monitoring Program publications including annual technical reports, report cards, summary and synthesis reports</w:t>
            </w:r>
          </w:p>
          <w:p w14:paraId="5761DC73"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Eye on the Reef program</w:t>
            </w:r>
          </w:p>
          <w:p w14:paraId="5761DC74" w14:textId="6362365D"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 xml:space="preserve">State of the Environment Report 2016 </w:t>
            </w:r>
            <w:hyperlink r:id="rId61" w:tooltip="document link" w:history="1">
              <w:r w:rsidRPr="00E70A11">
                <w:rPr>
                  <w:rFonts w:ascii="Arial Narrow" w:hAnsi="Arial Narrow"/>
                  <w:sz w:val="18"/>
                  <w:szCs w:val="18"/>
                </w:rPr>
                <w:t>https://soe.environment.gov.au/download/reports</w:t>
              </w:r>
            </w:hyperlink>
            <w:r w:rsidRPr="00E70A11">
              <w:rPr>
                <w:rFonts w:ascii="Arial Narrow" w:hAnsi="Arial Narrow"/>
                <w:sz w:val="18"/>
                <w:szCs w:val="18"/>
              </w:rPr>
              <w:t xml:space="preserve"> </w:t>
            </w:r>
          </w:p>
          <w:p w14:paraId="5761DC75" w14:textId="77777777" w:rsidR="00A56EE9" w:rsidRPr="00E70A11" w:rsidRDefault="008B5998" w:rsidP="00A11869">
            <w:pPr>
              <w:pStyle w:val="ListParagraph"/>
              <w:numPr>
                <w:ilvl w:val="0"/>
                <w:numId w:val="84"/>
              </w:numPr>
              <w:spacing w:after="200" w:line="276" w:lineRule="auto"/>
              <w:rPr>
                <w:rFonts w:ascii="Arial Narrow" w:hAnsi="Arial Narrow"/>
                <w:sz w:val="18"/>
                <w:szCs w:val="18"/>
              </w:rPr>
            </w:pPr>
            <w:hyperlink r:id="rId62" w:history="1">
              <w:r w:rsidR="00A56EE9" w:rsidRPr="00E70A11">
                <w:rPr>
                  <w:rFonts w:ascii="Arial Narrow" w:hAnsi="Arial Narrow"/>
                  <w:sz w:val="18"/>
                  <w:szCs w:val="18"/>
                </w:rPr>
                <w:t>State Party Report on the state of conservation of the Great Barrier Reef World Heritage Area (Australia) 2015</w:t>
              </w:r>
            </w:hyperlink>
          </w:p>
          <w:p w14:paraId="5761DC76"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 xml:space="preserve">Australia State of the Environment 2016 – </w:t>
            </w:r>
            <w:hyperlink r:id="rId63" w:history="1">
              <w:r w:rsidRPr="00E70A11">
                <w:rPr>
                  <w:rFonts w:ascii="Arial Narrow" w:hAnsi="Arial Narrow"/>
                  <w:sz w:val="18"/>
                  <w:szCs w:val="18"/>
                </w:rPr>
                <w:t>Biodiversity</w:t>
              </w:r>
            </w:hyperlink>
          </w:p>
          <w:p w14:paraId="5761DC77"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GBRMPA Vulnerability Assessments</w:t>
            </w:r>
          </w:p>
          <w:p w14:paraId="5761DC78" w14:textId="77777777" w:rsidR="00A56EE9" w:rsidRPr="00E70A11" w:rsidRDefault="008B5998" w:rsidP="00A11869">
            <w:pPr>
              <w:pStyle w:val="ListParagraph"/>
              <w:numPr>
                <w:ilvl w:val="0"/>
                <w:numId w:val="84"/>
              </w:numPr>
              <w:spacing w:after="200" w:line="276" w:lineRule="auto"/>
              <w:rPr>
                <w:rFonts w:ascii="Arial Narrow" w:hAnsi="Arial Narrow"/>
                <w:sz w:val="18"/>
                <w:szCs w:val="18"/>
              </w:rPr>
            </w:pPr>
            <w:hyperlink r:id="rId64" w:history="1">
              <w:r w:rsidR="00A56EE9" w:rsidRPr="00E70A11">
                <w:rPr>
                  <w:rFonts w:ascii="Arial Narrow" w:hAnsi="Arial Narrow"/>
                  <w:sz w:val="18"/>
                  <w:szCs w:val="18"/>
                </w:rPr>
                <w:t>Final report: 2016 coral bleaching event on the Great Barrier Reef</w:t>
              </w:r>
            </w:hyperlink>
          </w:p>
          <w:p w14:paraId="5761DC79"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 xml:space="preserve">Draft report: 2017-2017 summary of environmental impacts on the GBR </w:t>
            </w:r>
          </w:p>
          <w:p w14:paraId="5761DC7A"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Beasley 2016, Evaluating Inshore dolphin status in Halifax and Cleveland bays, Project Report</w:t>
            </w:r>
          </w:p>
          <w:p w14:paraId="5761DC7B"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Beasley 2016, Evaluating Inshore dolphin status along the North Queensland Coast, Project Report</w:t>
            </w:r>
          </w:p>
          <w:p w14:paraId="5761DC7C"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Beasley 2016, Evaluating Inshore dolphin status In Girringun Managed Sea Country North Queensland Coast, Project Report</w:t>
            </w:r>
          </w:p>
          <w:p w14:paraId="5761DC7D" w14:textId="77777777" w:rsidR="00A56EE9" w:rsidRPr="00E70A11" w:rsidRDefault="00A56EE9" w:rsidP="00A11869">
            <w:pPr>
              <w:pStyle w:val="ListParagraph"/>
              <w:numPr>
                <w:ilvl w:val="0"/>
                <w:numId w:val="84"/>
              </w:numPr>
              <w:spacing w:after="200" w:line="276" w:lineRule="auto"/>
              <w:rPr>
                <w:rStyle w:val="Hyperlink"/>
                <w:rFonts w:ascii="Arial Narrow" w:hAnsi="Arial Narrow"/>
                <w:sz w:val="18"/>
                <w:szCs w:val="18"/>
              </w:rPr>
            </w:pPr>
            <w:r w:rsidRPr="00E70A11">
              <w:rPr>
                <w:rFonts w:ascii="Arial Narrow" w:hAnsi="Arial Narrow"/>
                <w:sz w:val="18"/>
                <w:szCs w:val="18"/>
              </w:rPr>
              <w:t>Coastal Bird Monitoring and Information Strategy 2015 2020</w:t>
            </w:r>
          </w:p>
          <w:p w14:paraId="5761DC7E" w14:textId="77777777" w:rsidR="00A56EE9" w:rsidRPr="00E70A11" w:rsidRDefault="00A56EE9" w:rsidP="00A11869">
            <w:pPr>
              <w:pStyle w:val="ListParagraph"/>
              <w:numPr>
                <w:ilvl w:val="0"/>
                <w:numId w:val="8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islands (within WHA but not the Region)</w:t>
            </w:r>
          </w:p>
          <w:p w14:paraId="5761DC7F"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2013 NPSR Capricornia Cays Seabird Survey Report</w:t>
            </w:r>
          </w:p>
          <w:p w14:paraId="5761DC80"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2014, 2015, 2016 NPSR Noddy and Shearwater Survey Reports</w:t>
            </w:r>
          </w:p>
          <w:p w14:paraId="5761DC81"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Scale ants and Pisonia grandis in the Capricornia Cays</w:t>
            </w:r>
          </w:p>
          <w:p w14:paraId="5761DC82" w14:textId="77777777"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 xml:space="preserve">Addison et al. (2017) </w:t>
            </w:r>
            <w:proofErr w:type="gramStart"/>
            <w:r w:rsidRPr="00E70A11">
              <w:rPr>
                <w:rFonts w:ascii="Arial Narrow" w:hAnsi="Arial Narrow"/>
                <w:sz w:val="18"/>
                <w:szCs w:val="18"/>
              </w:rPr>
              <w:t>Towards</w:t>
            </w:r>
            <w:proofErr w:type="gramEnd"/>
            <w:r w:rsidRPr="00E70A11">
              <w:rPr>
                <w:rFonts w:ascii="Arial Narrow" w:hAnsi="Arial Narrow"/>
                <w:sz w:val="18"/>
                <w:szCs w:val="18"/>
              </w:rPr>
              <w:t xml:space="preserve"> quantitative assessment of biodiversity outcomes: Insights from Australian marine protected areas. </w:t>
            </w:r>
            <w:r w:rsidRPr="00E70A11">
              <w:rPr>
                <w:rFonts w:ascii="Arial Narrow" w:hAnsi="Arial Narrow"/>
                <w:i/>
                <w:sz w:val="18"/>
                <w:szCs w:val="18"/>
              </w:rPr>
              <w:t>Journal of Environmental Management</w:t>
            </w:r>
            <w:r w:rsidRPr="00E70A11">
              <w:rPr>
                <w:rFonts w:ascii="Arial Narrow" w:hAnsi="Arial Narrow"/>
                <w:sz w:val="18"/>
                <w:szCs w:val="18"/>
              </w:rPr>
              <w:t xml:space="preserve"> 198:183-191.</w:t>
            </w:r>
          </w:p>
          <w:p w14:paraId="5761DC83" w14:textId="1A99E334"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 xml:space="preserve">Intertidal and Subtidal Habitat Classification scheme </w:t>
            </w:r>
            <w:hyperlink r:id="rId65" w:tooltip="document link" w:history="1">
              <w:r w:rsidRPr="00E70A11">
                <w:rPr>
                  <w:rStyle w:val="Hyperlink"/>
                  <w:rFonts w:ascii="Arial Narrow" w:hAnsi="Arial Narrow"/>
                  <w:sz w:val="18"/>
                  <w:szCs w:val="18"/>
                </w:rPr>
                <w:t>https://wetlandinfo.ehp.qld.gov.au/wetlands/what-are-wetlands/definitions-classification/classification-systems-background/intertidal-subtidal/</w:t>
              </w:r>
            </w:hyperlink>
          </w:p>
          <w:p w14:paraId="5761DC84" w14:textId="2A47B176" w:rsidR="00A56EE9" w:rsidRPr="00E70A11" w:rsidRDefault="00A56EE9" w:rsidP="00A11869">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 xml:space="preserve">Change in wetland extent information is available </w:t>
            </w:r>
            <w:hyperlink r:id="rId66" w:tooltip="document link" w:history="1">
              <w:r w:rsidRPr="00E70A11">
                <w:rPr>
                  <w:rStyle w:val="Hyperlink"/>
                  <w:rFonts w:ascii="Arial Narrow" w:hAnsi="Arial Narrow"/>
                  <w:sz w:val="18"/>
                  <w:szCs w:val="18"/>
                </w:rPr>
                <w:t>https://wetlandinfo.ehp.qld.gov.au/wetlands/facts-maps/study-area-great-barrier-reef/</w:t>
              </w:r>
            </w:hyperlink>
          </w:p>
          <w:p w14:paraId="5761DC86" w14:textId="2D887EFB" w:rsidR="00A56EE9" w:rsidRPr="0087531E" w:rsidRDefault="00A56EE9" w:rsidP="0087531E">
            <w:pPr>
              <w:pStyle w:val="ListParagraph"/>
              <w:numPr>
                <w:ilvl w:val="0"/>
                <w:numId w:val="84"/>
              </w:numPr>
              <w:spacing w:after="200" w:line="276" w:lineRule="auto"/>
              <w:rPr>
                <w:rFonts w:ascii="Arial Narrow" w:hAnsi="Arial Narrow"/>
                <w:sz w:val="18"/>
                <w:szCs w:val="18"/>
              </w:rPr>
            </w:pPr>
            <w:r w:rsidRPr="00E70A11">
              <w:rPr>
                <w:rFonts w:ascii="Arial Narrow" w:hAnsi="Arial Narrow"/>
                <w:sz w:val="18"/>
                <w:szCs w:val="18"/>
              </w:rPr>
              <w:t>Change in wetland condition https://www.reefplan.qld.gov.au/measuring-success/report-cards/2014/assets/wetlands-case-study.pdf</w:t>
            </w:r>
          </w:p>
        </w:tc>
        <w:tc>
          <w:tcPr>
            <w:tcW w:w="981" w:type="dxa"/>
            <w:tcBorders>
              <w:top w:val="single" w:sz="4" w:space="0" w:color="auto"/>
              <w:left w:val="single" w:sz="4" w:space="0" w:color="auto"/>
              <w:bottom w:val="single" w:sz="4" w:space="0" w:color="auto"/>
              <w:right w:val="single" w:sz="4" w:space="0" w:color="auto"/>
            </w:tcBorders>
          </w:tcPr>
          <w:p w14:paraId="5761DC87"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C88"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DCBD"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C8A" w14:textId="77777777" w:rsidR="00A56EE9" w:rsidRPr="00E70A11" w:rsidRDefault="00A56EE9" w:rsidP="00BB6AD5">
            <w:pPr>
              <w:pStyle w:val="Tablebulletlist"/>
              <w:rPr>
                <w:rStyle w:val="BookTitle"/>
              </w:rPr>
            </w:pPr>
            <w:r w:rsidRPr="00E70A11">
              <w:rPr>
                <w:rStyle w:val="BookTitle"/>
              </w:rPr>
              <w:t>CO3 Impacts (direct, indirect and cumulative) associated with biodiversity are understood by managers.</w:t>
            </w:r>
          </w:p>
        </w:tc>
        <w:tc>
          <w:tcPr>
            <w:tcW w:w="771" w:type="dxa"/>
            <w:tcBorders>
              <w:top w:val="single" w:sz="4" w:space="0" w:color="auto"/>
              <w:left w:val="single" w:sz="4" w:space="0" w:color="auto"/>
              <w:bottom w:val="single" w:sz="4" w:space="0" w:color="auto"/>
              <w:right w:val="single" w:sz="4" w:space="0" w:color="auto"/>
            </w:tcBorders>
            <w:vAlign w:val="center"/>
          </w:tcPr>
          <w:p w14:paraId="5761DC8B"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C8C"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 xml:space="preserve">Direct impacts on the GBR </w:t>
            </w:r>
            <w:r>
              <w:rPr>
                <w:rFonts w:ascii="Arial Narrow" w:hAnsi="Arial Narrow"/>
                <w:sz w:val="18"/>
                <w:szCs w:val="18"/>
              </w:rPr>
              <w:t xml:space="preserve">are </w:t>
            </w:r>
            <w:r w:rsidRPr="00E70A11">
              <w:rPr>
                <w:rFonts w:ascii="Arial Narrow" w:hAnsi="Arial Narrow"/>
                <w:sz w:val="18"/>
                <w:szCs w:val="18"/>
              </w:rPr>
              <w:t xml:space="preserve">of major concern (declining, water quality, climate change, impacts of extractive use, COTS) </w:t>
            </w:r>
            <w:r>
              <w:rPr>
                <w:rFonts w:ascii="Arial Narrow" w:hAnsi="Arial Narrow"/>
                <w:sz w:val="18"/>
                <w:szCs w:val="18"/>
              </w:rPr>
              <w:t xml:space="preserve">and </w:t>
            </w:r>
            <w:r w:rsidRPr="00E70A11">
              <w:rPr>
                <w:rFonts w:ascii="Arial Narrow" w:hAnsi="Arial Narrow"/>
                <w:sz w:val="18"/>
                <w:szCs w:val="18"/>
              </w:rPr>
              <w:t>have been well studies for a considerable time</w:t>
            </w:r>
          </w:p>
          <w:p w14:paraId="5761DC8D"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Direct and indirect impacts have been well documented through the Outlook and Strategic Assessment process</w:t>
            </w:r>
          </w:p>
          <w:p w14:paraId="5761DC8E"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The sheer scale of the ecosystem means monitoring has focused on a few key habitats and species or groups of species, generally those that are iconic (such as coral reefs, seabirds), commercially important (such as seagrass meadows, coral trout) or threatened (such as dugongs, marine turtles). There are few long-term monitoring programs established and the baseline from which to make comparisons is different for each group studied.</w:t>
            </w:r>
          </w:p>
          <w:p w14:paraId="5761DC8F"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Delays in reporting of AIMS long term monitoring results (2 years) means that information is not available at the time when response strategies need to be developed (e.g. survey of post-Cyclone Debbie impacts won’t be done until 2019)</w:t>
            </w:r>
          </w:p>
          <w:p w14:paraId="5761DC90"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Cumulative impacts are particularly challenging to quantify, assess and manage. These impacts are beginning to be better understood through descriptive qualitative models and spatial mapping tools. To date, understanding of cumulative impacts in the Region has been limited</w:t>
            </w:r>
          </w:p>
          <w:p w14:paraId="5761DC91"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 xml:space="preserve">Impacts on freshwater wetlands of various pressures are available to managers but much has not been validated https://wetlandinfo.ehp.qld.gov.au/wetlands/management/pressures/lacustrine-palustrine-threats/ </w:t>
            </w:r>
          </w:p>
          <w:p w14:paraId="5761DC92"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Draft report “Summary of Reef Health Impacts 2016-17: provides a useful summary of available data and considers cumulative impacts but synergistic effects of multiple impacts on reefs are not well understood.</w:t>
            </w:r>
          </w:p>
          <w:p w14:paraId="5761DC93" w14:textId="77777777" w:rsidR="00A56EE9" w:rsidRPr="00E70A11" w:rsidRDefault="00A56EE9" w:rsidP="00A11869">
            <w:pPr>
              <w:pStyle w:val="ListParagraph"/>
              <w:numPr>
                <w:ilvl w:val="0"/>
                <w:numId w:val="169"/>
              </w:numPr>
              <w:spacing w:after="200" w:line="276" w:lineRule="auto"/>
              <w:rPr>
                <w:rFonts w:ascii="Arial Narrow" w:hAnsi="Arial Narrow"/>
                <w:sz w:val="18"/>
                <w:szCs w:val="18"/>
                <w:u w:val="single"/>
              </w:rPr>
            </w:pPr>
            <w:r w:rsidRPr="00E70A11">
              <w:rPr>
                <w:rFonts w:ascii="Arial Narrow" w:hAnsi="Arial Narrow"/>
                <w:sz w:val="18"/>
                <w:szCs w:val="18"/>
              </w:rPr>
              <w:t xml:space="preserve">A broad list of impacts has been consolidated into 40 separate impacts, grouped into four categories: climate change; catchment run-off; degradation of coastal ecosystems; and direct use. </w:t>
            </w:r>
          </w:p>
          <w:p w14:paraId="5761DC94"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The direct and indirect impacts of climate change over the past few years (back to back thermal stress events, severe cyclones and consequent loss in coral habitat) have likely impacted many species, particularly habitat-associated or those with narrow thermal tolerance.</w:t>
            </w:r>
            <w:r>
              <w:rPr>
                <w:rFonts w:ascii="Arial Narrow" w:hAnsi="Arial Narrow"/>
                <w:sz w:val="18"/>
                <w:szCs w:val="18"/>
              </w:rPr>
              <w:t xml:space="preserve"> </w:t>
            </w:r>
            <w:r w:rsidRPr="00E70A11">
              <w:rPr>
                <w:rFonts w:ascii="Arial Narrow" w:hAnsi="Arial Narrow"/>
                <w:sz w:val="18"/>
                <w:szCs w:val="18"/>
              </w:rPr>
              <w:t>Inshore species and their habitats adjacent to the developed coast are under more pressure compared to mid-shelf and offshore reefs.</w:t>
            </w:r>
          </w:p>
          <w:p w14:paraId="5761DC95"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Declines in species or groups of species have been caused by a range of factors, some of which have been addressed with evidence of recovery of some affected species (e.g. humpback whales, the southern Great Barrier Reef green turtle stock).</w:t>
            </w:r>
          </w:p>
          <w:p w14:paraId="5761DC96"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More known about inshore and mid-shelf than offshore and north</w:t>
            </w:r>
          </w:p>
          <w:p w14:paraId="5761DC97"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 xml:space="preserve">Virtually nothing known about deep water habitats and their biodiversity </w:t>
            </w:r>
          </w:p>
          <w:p w14:paraId="5761DC98"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 xml:space="preserve">There is little comprehensive information on the status of connectivity from catchments to the reef for biodiversity which require these connections </w:t>
            </w:r>
          </w:p>
          <w:p w14:paraId="5761DC99"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The probable extinction of the Bramble Cay melomys (</w:t>
            </w:r>
            <w:r w:rsidRPr="00E70A11">
              <w:rPr>
                <w:rFonts w:ascii="Arial Narrow" w:hAnsi="Arial Narrow"/>
                <w:i/>
                <w:sz w:val="18"/>
                <w:szCs w:val="18"/>
              </w:rPr>
              <w:t>Melomys rubicola</w:t>
            </w:r>
            <w:r w:rsidRPr="00E70A11">
              <w:rPr>
                <w:rFonts w:ascii="Arial Narrow" w:hAnsi="Arial Narrow"/>
                <w:sz w:val="18"/>
                <w:szCs w:val="18"/>
              </w:rPr>
              <w:t>), the GBR’s only endemic mammal, from its only known island home in Torres Strait because of climate change was reported in 2016 (Gynther et al. 2016)</w:t>
            </w:r>
          </w:p>
          <w:p w14:paraId="5761DC9A"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After three years of increasing average coral cover on the Great Barrier Reef, from 2013 to 2015, coral cover declined by about 25 per cent in 2016 due to the severe mass coral bleaching event. The Reef-wide average coral cover at the end of 2016 was about 18 per cent. The lowest recorded Reef-wide average coral cover is still from 2012, at about 11 per cent.</w:t>
            </w:r>
            <w:r>
              <w:rPr>
                <w:rFonts w:ascii="Arial Narrow" w:hAnsi="Arial Narrow"/>
                <w:sz w:val="18"/>
                <w:szCs w:val="18"/>
              </w:rPr>
              <w:t xml:space="preserve"> </w:t>
            </w:r>
          </w:p>
          <w:p w14:paraId="5761DC9B"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 xml:space="preserve">Populations of a number of ecologically significant species, particularly predators (such as sharks, seabirds) and large herbivores (dugongs), are known to have seriously declined. </w:t>
            </w:r>
          </w:p>
          <w:p w14:paraId="5761DC9C"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Disease (including coral disease) threats not well known and/or understood (eg. Qld Grouper)</w:t>
            </w:r>
          </w:p>
          <w:p w14:paraId="5761DC9D"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The 2017 Scientific Consensus Statement Update provides an assessment of pressure from nutrients, sediments and pesticides on the Reef’s coral and seagrass habitats, mangroves and freshwater wetlands.</w:t>
            </w:r>
          </w:p>
          <w:p w14:paraId="5761DC9E" w14:textId="77777777" w:rsidR="00A56EE9" w:rsidRPr="00E70A11"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Crown-of-thorns starfish (COTS) – the GBR is experiencing another COTS outbreak, which initiated in 2010. Several review articles (published since 2015 see Hoey et al. 2016 and Pratchett et al. 2017) have analysed research gaps and current management approaches and recommend changes if managing agencies are to ever have any change of being proactive rather than reactive. GBRMPA has drafted a COTS Strategy and Contingency Plan – to respond to the current outbreak and prepare for future outbreaks in a more proactive manner</w:t>
            </w:r>
          </w:p>
          <w:p w14:paraId="5761DC9F" w14:textId="77777777" w:rsidR="00A56EE9" w:rsidRPr="00636C8F" w:rsidRDefault="00A56EE9" w:rsidP="00A11869">
            <w:pPr>
              <w:pStyle w:val="ListParagraph"/>
              <w:numPr>
                <w:ilvl w:val="0"/>
                <w:numId w:val="169"/>
              </w:numPr>
              <w:spacing w:after="200" w:line="276" w:lineRule="auto"/>
              <w:rPr>
                <w:rFonts w:ascii="Arial Narrow" w:hAnsi="Arial Narrow"/>
                <w:sz w:val="18"/>
                <w:szCs w:val="18"/>
              </w:rPr>
            </w:pPr>
            <w:r w:rsidRPr="00E70A11">
              <w:rPr>
                <w:rFonts w:ascii="Arial Narrow" w:hAnsi="Arial Narrow"/>
                <w:sz w:val="18"/>
                <w:szCs w:val="18"/>
              </w:rPr>
              <w:t xml:space="preserve">GBRMPA Summit and Blueprint identify the urgent need to delivery on ground actions to enhance resilience of the GBR including expand and extend COTS control and protecting key species for reef recovery </w:t>
            </w:r>
          </w:p>
        </w:tc>
        <w:tc>
          <w:tcPr>
            <w:tcW w:w="4016" w:type="dxa"/>
            <w:tcBorders>
              <w:top w:val="single" w:sz="4" w:space="0" w:color="auto"/>
              <w:left w:val="single" w:sz="4" w:space="0" w:color="auto"/>
              <w:bottom w:val="single" w:sz="4" w:space="0" w:color="auto"/>
              <w:right w:val="single" w:sz="4" w:space="0" w:color="auto"/>
            </w:tcBorders>
          </w:tcPr>
          <w:p w14:paraId="5761DCA0"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Great Barrier Reef Strategic Assessment Report, Chapter 6</w:t>
            </w:r>
          </w:p>
          <w:p w14:paraId="5761DCA1"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Strategic Assessment Demonstration case studies Chapter 9 and Technical Reports</w:t>
            </w:r>
          </w:p>
          <w:p w14:paraId="5761DCA2"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 xml:space="preserve">Informing the Outlook for Great Barrier Reef coastal ecosystems </w:t>
            </w:r>
          </w:p>
          <w:p w14:paraId="5761DCA3"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 xml:space="preserve">Draft report: 2016-2017 summary of environmental impacts on the GBR </w:t>
            </w:r>
          </w:p>
          <w:p w14:paraId="5761DCA4"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Trawl Ecological Risk Assessments from the East Coast Trawl Fishery</w:t>
            </w:r>
          </w:p>
          <w:p w14:paraId="5761DCA5"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Structures Policy</w:t>
            </w:r>
          </w:p>
          <w:p w14:paraId="5761DCA6"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Dredging and Dredge Spoil Material Disposal Policy</w:t>
            </w:r>
          </w:p>
          <w:p w14:paraId="5761DCA7"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GBRMPA policies and position statements</w:t>
            </w:r>
          </w:p>
          <w:p w14:paraId="5761DCA8"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National Assessment Guidelines for Dredging 2009</w:t>
            </w:r>
          </w:p>
          <w:p w14:paraId="5761DCA9"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 xml:space="preserve">EAM Risk assessment framework 2009 </w:t>
            </w:r>
          </w:p>
          <w:p w14:paraId="5761DCAA"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If an action triggers EPBC for the GBRMP or WHA, the GBRMPA will undertake an assessment with DoEE under the MOU.</w:t>
            </w:r>
          </w:p>
          <w:p w14:paraId="5761DCAB"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Climate Change and the Great Barrier Reef: A vulnerability Assessment</w:t>
            </w:r>
          </w:p>
          <w:p w14:paraId="5761DCAC"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Great Barrier Reef Vulnerability Assessment</w:t>
            </w:r>
          </w:p>
          <w:p w14:paraId="5761DCAD"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Great Barrier Reef Biodiversity Conservation Strategy 2013</w:t>
            </w:r>
          </w:p>
          <w:p w14:paraId="5761DCAE"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The effects of line fishing on the Great Barrier Reef and Evaluations of alternative potential management strategies</w:t>
            </w:r>
          </w:p>
          <w:p w14:paraId="5761DCAF"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Grech, Alana (2009) Spatial models and risk assessments to inform marine planning at ecosystem-scales: seagrasses and dugongs as a case study</w:t>
            </w:r>
          </w:p>
          <w:p w14:paraId="5761DCB0"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i/>
                <w:sz w:val="18"/>
                <w:szCs w:val="18"/>
              </w:rPr>
              <w:t>Acanthaster planci</w:t>
            </w:r>
            <w:r w:rsidRPr="00E70A11">
              <w:rPr>
                <w:rFonts w:ascii="Arial Narrow" w:hAnsi="Arial Narrow"/>
                <w:sz w:val="18"/>
                <w:szCs w:val="18"/>
              </w:rPr>
              <w:t xml:space="preserve"> invasions: applying biosecurity practices to manage a native boom and bust coral pest in Australia. Jessica Hoey, Marnie L. Campbell, Chad L. Hewitt, Brendan Gould and Rosemary Bird. (2016) Management of Biological Invasions (2016) Volume 7, Issue 3: 213–220.</w:t>
            </w:r>
          </w:p>
          <w:p w14:paraId="5761DCB1"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Pratchett, M., Caballes, C., Wilmes, J., Matthews, S., Mellin, C., Sweatman, H., Nadler, L., Brodie, J., Thompson, C., Hoey, J., Bos, A., Byrne, M., Messmer, V., Fortunato, S., Chen, C., Buck, A., Babcock, R. and Uthicke, S. (2017). Thirty Years of Research on Crown-of-Thorns Starfish (1986–2016): Scientific Advances and Emerging Opportunities. Diversity 9(4): 41.</w:t>
            </w:r>
          </w:p>
          <w:p w14:paraId="5761DCB2"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Great Barrier Reef Blueprint for Resilience</w:t>
            </w:r>
          </w:p>
          <w:p w14:paraId="5761DCB3"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Great Barrier Reef Summit paper and workbook</w:t>
            </w:r>
          </w:p>
          <w:p w14:paraId="5761DCB4"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COTS Strategy and Contingency Plan</w:t>
            </w:r>
          </w:p>
          <w:p w14:paraId="5761DCB5"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Gynther et al. 2016 X???</w:t>
            </w:r>
          </w:p>
          <w:p w14:paraId="5761DCB6"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AIMS long term monitoring results</w:t>
            </w:r>
          </w:p>
          <w:p w14:paraId="5761DCB7" w14:textId="77777777"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2017 Scientific Consensus Statement</w:t>
            </w:r>
          </w:p>
          <w:p w14:paraId="5761DCB8" w14:textId="08FB8B36"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 xml:space="preserve">Landscape Hazard Assessment for GBR </w:t>
            </w:r>
            <w:hyperlink r:id="rId67" w:tooltip="document link" w:history="1">
              <w:r w:rsidRPr="00E70A11">
                <w:rPr>
                  <w:rStyle w:val="Hyperlink"/>
                  <w:rFonts w:ascii="Arial Narrow" w:hAnsi="Arial Narrow"/>
                  <w:sz w:val="18"/>
                  <w:szCs w:val="18"/>
                </w:rPr>
                <w:t>https://wetlandinfo.ehp.qld.gov.au/wetlands/assessment/monitoring/</w:t>
              </w:r>
            </w:hyperlink>
          </w:p>
          <w:p w14:paraId="5761DCB9" w14:textId="41E18939" w:rsidR="00A56EE9" w:rsidRPr="00E70A11" w:rsidRDefault="00A56EE9" w:rsidP="00A11869">
            <w:pPr>
              <w:pStyle w:val="ListParagraph"/>
              <w:numPr>
                <w:ilvl w:val="0"/>
                <w:numId w:val="23"/>
              </w:numPr>
              <w:spacing w:after="200" w:line="276" w:lineRule="auto"/>
              <w:rPr>
                <w:rFonts w:ascii="Arial Narrow" w:hAnsi="Arial Narrow"/>
                <w:sz w:val="18"/>
                <w:szCs w:val="18"/>
              </w:rPr>
            </w:pPr>
            <w:r w:rsidRPr="00E70A11">
              <w:rPr>
                <w:rFonts w:ascii="Arial Narrow" w:hAnsi="Arial Narrow"/>
                <w:sz w:val="18"/>
                <w:szCs w:val="18"/>
              </w:rPr>
              <w:t xml:space="preserve">Pressure conceptual models for freshwater wetlands </w:t>
            </w:r>
            <w:hyperlink r:id="rId68" w:tooltip="document link" w:history="1">
              <w:r w:rsidRPr="00E70A11">
                <w:rPr>
                  <w:rStyle w:val="Hyperlink"/>
                  <w:rFonts w:ascii="Arial Narrow" w:hAnsi="Arial Narrow"/>
                  <w:sz w:val="18"/>
                  <w:szCs w:val="18"/>
                </w:rPr>
                <w:t>https://wetlandinfo.ehp.qld.gov.au/wetlands/management/pressures/lacustrine-palustrine-threats/</w:t>
              </w:r>
            </w:hyperlink>
          </w:p>
          <w:p w14:paraId="5761DCBA" w14:textId="77777777" w:rsidR="00A56EE9" w:rsidRPr="00E70A11" w:rsidRDefault="00A56EE9" w:rsidP="00BB6AD5">
            <w:pPr>
              <w:pStyle w:val="ListParagraph"/>
              <w:rPr>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CBB"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CB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CD1"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CBE"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biodiversity are understood by managers.</w:t>
            </w:r>
          </w:p>
        </w:tc>
        <w:tc>
          <w:tcPr>
            <w:tcW w:w="771" w:type="dxa"/>
            <w:tcBorders>
              <w:top w:val="single" w:sz="4" w:space="0" w:color="auto"/>
              <w:left w:val="single" w:sz="4" w:space="0" w:color="auto"/>
              <w:bottom w:val="single" w:sz="4" w:space="0" w:color="auto"/>
              <w:right w:val="single" w:sz="4" w:space="0" w:color="auto"/>
            </w:tcBorders>
            <w:vAlign w:val="center"/>
          </w:tcPr>
          <w:p w14:paraId="5761DCBF"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DCC0"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 xml:space="preserve">Strategic Assessment Process and UNESCO World Heritage Committee and Advisory Body processes relating to the GBR have focussed attention on the elaboration of attributes underpinning the Outstanding Universal Value of the GBR and MNES. </w:t>
            </w:r>
          </w:p>
          <w:p w14:paraId="5761DCC1"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Current and potential impacts of global and regional changes to climate are well understood by managers</w:t>
            </w:r>
          </w:p>
          <w:p w14:paraId="5761DCC2"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State Party reports to World Heritage Committee reflects thorough understanding of national and international influences</w:t>
            </w:r>
          </w:p>
          <w:p w14:paraId="5761DCC3"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Information on the biodiversity values of the Wetlands of International Significance (Ramsar) in the GBR is available to managers. Information on the sites is presently being updated</w:t>
            </w:r>
            <w:r>
              <w:rPr>
                <w:rFonts w:ascii="Arial Narrow" w:hAnsi="Arial Narrow"/>
                <w:sz w:val="18"/>
                <w:szCs w:val="18"/>
              </w:rPr>
              <w:t xml:space="preserve"> </w:t>
            </w:r>
          </w:p>
          <w:p w14:paraId="5761DCC4"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The responsibilities and requirements of international requirements relevant fo</w:t>
            </w:r>
            <w:r>
              <w:rPr>
                <w:rFonts w:ascii="Arial Narrow" w:hAnsi="Arial Narrow"/>
                <w:sz w:val="18"/>
                <w:szCs w:val="18"/>
              </w:rPr>
              <w:t>r</w:t>
            </w:r>
            <w:r w:rsidRPr="00E70A11">
              <w:rPr>
                <w:rFonts w:ascii="Arial Narrow" w:hAnsi="Arial Narrow"/>
                <w:sz w:val="18"/>
                <w:szCs w:val="18"/>
              </w:rPr>
              <w:t xml:space="preserve"> Ramsar and waterbirds are now available for managers. </w:t>
            </w:r>
          </w:p>
          <w:p w14:paraId="5761DCC5"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Sustainable limits to growth/limits of acceptable change and carrying capacity of the GBR Region have not been established</w:t>
            </w:r>
          </w:p>
          <w:p w14:paraId="5761DCC6"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Reef 2050 Long-term Sustainability Plan is intended to guide governments, community and industry in their work to achieve clear targets for improving the condition of the Reef. It sets out desired outcomes, objectives, targets and actions for protecting the property’s outstanding universal value</w:t>
            </w:r>
          </w:p>
        </w:tc>
        <w:tc>
          <w:tcPr>
            <w:tcW w:w="4016" w:type="dxa"/>
            <w:tcBorders>
              <w:top w:val="single" w:sz="4" w:space="0" w:color="auto"/>
              <w:left w:val="single" w:sz="4" w:space="0" w:color="auto"/>
              <w:bottom w:val="single" w:sz="4" w:space="0" w:color="auto"/>
              <w:right w:val="single" w:sz="4" w:space="0" w:color="auto"/>
            </w:tcBorders>
          </w:tcPr>
          <w:p w14:paraId="5761DCC7" w14:textId="77777777" w:rsidR="00A56EE9" w:rsidRPr="00E70A11" w:rsidRDefault="00A56EE9" w:rsidP="00A11869">
            <w:pPr>
              <w:pStyle w:val="ListParagraph"/>
              <w:numPr>
                <w:ilvl w:val="0"/>
                <w:numId w:val="85"/>
              </w:numPr>
              <w:spacing w:after="200" w:line="276" w:lineRule="auto"/>
              <w:rPr>
                <w:rFonts w:ascii="Arial Narrow" w:hAnsi="Arial Narrow"/>
                <w:sz w:val="18"/>
                <w:szCs w:val="18"/>
              </w:rPr>
            </w:pPr>
            <w:r w:rsidRPr="00E70A11">
              <w:rPr>
                <w:rFonts w:ascii="Arial Narrow" w:hAnsi="Arial Narrow"/>
                <w:sz w:val="18"/>
                <w:szCs w:val="18"/>
              </w:rPr>
              <w:t xml:space="preserve">Great Barrier Reef Region Strategic Assessment Report </w:t>
            </w:r>
          </w:p>
          <w:p w14:paraId="5761DCC8" w14:textId="77777777" w:rsidR="00A56EE9" w:rsidRPr="00E70A11" w:rsidRDefault="00A56EE9" w:rsidP="00A11869">
            <w:pPr>
              <w:pStyle w:val="ListParagraph"/>
              <w:numPr>
                <w:ilvl w:val="0"/>
                <w:numId w:val="85"/>
              </w:numPr>
              <w:spacing w:after="200" w:line="276" w:lineRule="auto"/>
              <w:rPr>
                <w:rFonts w:ascii="Arial Narrow" w:hAnsi="Arial Narrow"/>
                <w:sz w:val="18"/>
                <w:szCs w:val="18"/>
              </w:rPr>
            </w:pPr>
            <w:r w:rsidRPr="00E70A11">
              <w:rPr>
                <w:rFonts w:ascii="Arial Narrow" w:hAnsi="Arial Narrow"/>
                <w:sz w:val="18"/>
                <w:szCs w:val="18"/>
              </w:rPr>
              <w:t>State Party Report on the state of conservation of the Great Barrier Reef World Heritage Area (Australia) 2015</w:t>
            </w:r>
          </w:p>
          <w:p w14:paraId="5761DCC9" w14:textId="77777777" w:rsidR="00A56EE9" w:rsidRPr="00E70A11" w:rsidRDefault="00A56EE9" w:rsidP="00A11869">
            <w:pPr>
              <w:pStyle w:val="ListParagraph"/>
              <w:numPr>
                <w:ilvl w:val="0"/>
                <w:numId w:val="85"/>
              </w:numPr>
              <w:spacing w:after="200" w:line="276" w:lineRule="auto"/>
              <w:rPr>
                <w:rFonts w:ascii="Arial Narrow" w:hAnsi="Arial Narrow"/>
                <w:sz w:val="18"/>
                <w:szCs w:val="18"/>
              </w:rPr>
            </w:pPr>
            <w:r w:rsidRPr="00E70A11">
              <w:rPr>
                <w:rFonts w:ascii="Arial Narrow" w:hAnsi="Arial Narrow"/>
                <w:sz w:val="18"/>
                <w:szCs w:val="18"/>
              </w:rPr>
              <w:t>The Greenhouse 2013 website provides summaries of the current state of knowledge (IPCC AR5) on global climate</w:t>
            </w:r>
          </w:p>
          <w:p w14:paraId="5761DCCA" w14:textId="77777777" w:rsidR="00A56EE9" w:rsidRPr="00E70A11" w:rsidRDefault="00A56EE9" w:rsidP="00A11869">
            <w:pPr>
              <w:pStyle w:val="ListParagraph"/>
              <w:numPr>
                <w:ilvl w:val="0"/>
                <w:numId w:val="85"/>
              </w:numPr>
              <w:spacing w:after="200" w:line="276" w:lineRule="auto"/>
              <w:rPr>
                <w:rFonts w:ascii="Arial Narrow" w:hAnsi="Arial Narrow"/>
                <w:sz w:val="18"/>
                <w:szCs w:val="18"/>
              </w:rPr>
            </w:pPr>
            <w:r w:rsidRPr="00E70A11">
              <w:rPr>
                <w:rFonts w:ascii="Arial Narrow" w:hAnsi="Arial Narrow"/>
                <w:sz w:val="18"/>
                <w:szCs w:val="18"/>
              </w:rPr>
              <w:t>Reef 2050 Long-Term Sustainability Plan</w:t>
            </w:r>
          </w:p>
          <w:p w14:paraId="5761DCCB" w14:textId="300ABCD9" w:rsidR="00A56EE9" w:rsidRPr="00E70A11" w:rsidRDefault="00A56EE9" w:rsidP="00A11869">
            <w:pPr>
              <w:pStyle w:val="ListParagraph"/>
              <w:numPr>
                <w:ilvl w:val="0"/>
                <w:numId w:val="85"/>
              </w:numPr>
              <w:spacing w:after="200" w:line="276" w:lineRule="auto"/>
              <w:rPr>
                <w:rFonts w:ascii="Arial Narrow" w:hAnsi="Arial Narrow"/>
                <w:sz w:val="18"/>
                <w:szCs w:val="18"/>
              </w:rPr>
            </w:pPr>
            <w:r w:rsidRPr="00E70A11">
              <w:rPr>
                <w:rFonts w:ascii="Arial Narrow" w:hAnsi="Arial Narrow"/>
                <w:sz w:val="18"/>
                <w:szCs w:val="18"/>
              </w:rPr>
              <w:t xml:space="preserve">Ramsar requirements </w:t>
            </w:r>
            <w:hyperlink r:id="rId69" w:tooltip="document link" w:history="1">
              <w:r w:rsidRPr="00E70A11">
                <w:rPr>
                  <w:rStyle w:val="Hyperlink"/>
                  <w:rFonts w:ascii="Arial Narrow" w:hAnsi="Arial Narrow"/>
                  <w:sz w:val="18"/>
                  <w:szCs w:val="18"/>
                </w:rPr>
                <w:t>https://wetlandinfo.ehp.qld.gov.au/wetlands/resources/training/13-ramsar-qld/</w:t>
              </w:r>
            </w:hyperlink>
          </w:p>
          <w:p w14:paraId="5761DCCC" w14:textId="5032CA0A" w:rsidR="00A56EE9" w:rsidRPr="00E70A11" w:rsidRDefault="00A56EE9" w:rsidP="00A11869">
            <w:pPr>
              <w:pStyle w:val="ListParagraph"/>
              <w:numPr>
                <w:ilvl w:val="0"/>
                <w:numId w:val="85"/>
              </w:numPr>
              <w:spacing w:after="200" w:line="276" w:lineRule="auto"/>
              <w:rPr>
                <w:rFonts w:ascii="Arial Narrow" w:hAnsi="Arial Narrow"/>
                <w:sz w:val="18"/>
                <w:szCs w:val="18"/>
              </w:rPr>
            </w:pPr>
            <w:r w:rsidRPr="00E70A11">
              <w:rPr>
                <w:rFonts w:ascii="Arial Narrow" w:hAnsi="Arial Narrow"/>
                <w:sz w:val="18"/>
                <w:szCs w:val="18"/>
              </w:rPr>
              <w:t xml:space="preserve">Waterbird requirements (JAMBA, CAMBA, RoKAMBA) </w:t>
            </w:r>
            <w:hyperlink r:id="rId70" w:tooltip="document link" w:history="1">
              <w:r w:rsidRPr="00E70A11">
                <w:rPr>
                  <w:rStyle w:val="Hyperlink"/>
                  <w:rFonts w:ascii="Arial Narrow" w:hAnsi="Arial Narrow"/>
                  <w:sz w:val="18"/>
                  <w:szCs w:val="18"/>
                </w:rPr>
                <w:t>https://wetlandinfo.ehp.qld.gov.au/wetlands/management/bird-management/bird-legislation/</w:t>
              </w:r>
            </w:hyperlink>
          </w:p>
          <w:p w14:paraId="5761DCCD" w14:textId="77777777" w:rsidR="00A56EE9" w:rsidRPr="00E70A11" w:rsidRDefault="00A56EE9" w:rsidP="00BB6AD5">
            <w:pPr>
              <w:pStyle w:val="ListParagraph"/>
              <w:rPr>
                <w:rFonts w:ascii="Arial Narrow" w:hAnsi="Arial Narrow"/>
                <w:sz w:val="18"/>
                <w:szCs w:val="18"/>
              </w:rPr>
            </w:pPr>
          </w:p>
          <w:p w14:paraId="5761DCCE" w14:textId="77777777" w:rsidR="00A56EE9" w:rsidRPr="00E70A11" w:rsidRDefault="00A56EE9" w:rsidP="00BB6AD5">
            <w:pPr>
              <w:pStyle w:val="ListParagraph"/>
              <w:rPr>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CCF"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CD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CE9"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CD2"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biodiversity are well known by managers.</w:t>
            </w:r>
          </w:p>
        </w:tc>
        <w:tc>
          <w:tcPr>
            <w:tcW w:w="771" w:type="dxa"/>
            <w:tcBorders>
              <w:top w:val="single" w:sz="4" w:space="0" w:color="auto"/>
              <w:left w:val="single" w:sz="4" w:space="0" w:color="auto"/>
              <w:bottom w:val="single" w:sz="4" w:space="0" w:color="auto"/>
              <w:right w:val="single" w:sz="4" w:space="0" w:color="auto"/>
            </w:tcBorders>
            <w:vAlign w:val="center"/>
          </w:tcPr>
          <w:p w14:paraId="5761DCD3"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DCD4"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GBRMPA has two Reef Advisory Committees (RACs): Indigenous; and Tourism. The Catchment and Coastal RAC and Ecosystem RAC that previously exi</w:t>
            </w:r>
            <w:r>
              <w:rPr>
                <w:rFonts w:ascii="Arial Narrow" w:hAnsi="Arial Narrow"/>
                <w:sz w:val="18"/>
                <w:szCs w:val="18"/>
              </w:rPr>
              <w:t>s</w:t>
            </w:r>
            <w:r w:rsidRPr="00E70A11">
              <w:rPr>
                <w:rFonts w:ascii="Arial Narrow" w:hAnsi="Arial Narrow"/>
                <w:sz w:val="18"/>
                <w:szCs w:val="18"/>
              </w:rPr>
              <w:t>ted have been disbanded</w:t>
            </w:r>
            <w:r>
              <w:rPr>
                <w:rFonts w:ascii="Arial Narrow" w:hAnsi="Arial Narrow"/>
                <w:sz w:val="18"/>
                <w:szCs w:val="18"/>
              </w:rPr>
              <w:t xml:space="preserve"> but a number of new committees have been established in relation to the Reef 2050 Plan (</w:t>
            </w:r>
            <w:r w:rsidRPr="00AF6243">
              <w:rPr>
                <w:rFonts w:ascii="Arial Narrow" w:hAnsi="Arial Narrow"/>
                <w:sz w:val="18"/>
                <w:szCs w:val="18"/>
              </w:rPr>
              <w:t>advisory committees (RIMREP, Reef Advisory Committee, the Independent Expert Panel</w:t>
            </w:r>
            <w:r>
              <w:rPr>
                <w:rFonts w:ascii="Arial Narrow" w:hAnsi="Arial Narrow"/>
                <w:sz w:val="18"/>
                <w:szCs w:val="18"/>
              </w:rPr>
              <w:t>)</w:t>
            </w:r>
            <w:r w:rsidRPr="00E70A11">
              <w:rPr>
                <w:rFonts w:ascii="Arial Narrow" w:hAnsi="Arial Narrow"/>
                <w:sz w:val="18"/>
                <w:szCs w:val="18"/>
              </w:rPr>
              <w:t xml:space="preserve">. A key role for the RACs is to advise the GBRMPA in relation to actions that can be taken to address the risks to the Great Barrier Reef Marine Park identified in the Great Barrier Reef Outlook Reports and other relevant studies. </w:t>
            </w:r>
          </w:p>
          <w:p w14:paraId="5761DCD5"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Major extensions in stewardship and Reef Guardian programs since 2009 but these do not directly address biodiversity issues</w:t>
            </w:r>
          </w:p>
          <w:p w14:paraId="5761DCD6"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Local Marine Advisory Committees provide contact with stakeholder groups at regional level</w:t>
            </w:r>
          </w:p>
          <w:p w14:paraId="5761DCD7"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A Queensland Wetlands Governance Group and GBR Wetlands Network link key managers and practitioners and meet and collaborate on wetlands issues</w:t>
            </w:r>
          </w:p>
          <w:p w14:paraId="5761DCD8"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Stakeholder engagement has been one of the strongest aspects of the GBRMPA’s management. - see engagement undertaken for the strategic assessments.</w:t>
            </w:r>
          </w:p>
          <w:p w14:paraId="5761DCD9"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 xml:space="preserve">The Region’s values considered important by the community were explored in a series of workshops and surveys with stakeholders and Traditional Owners in the latter half of 2012, as well as through discussions with the Authority’s advisory committees and through one-on-one talks. The range of information, views and experiences greatly assisted in determining the full set of values for the Region. In addition, the process strengthened a common understanding of the broad range of values that the Region supports and their current condition and trend. </w:t>
            </w:r>
          </w:p>
          <w:p w14:paraId="5761DCDA"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Eye on Reef program, seagrass watch and Reef Check directly address biodiversity issues</w:t>
            </w:r>
          </w:p>
          <w:p w14:paraId="5761DCDB"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Over 70 regional, national and international delegates representing marine park managers, Traditional Owners, government agencies, research institutions, industry groups, Reef users and other stakeholders participated in Great Barrier Reef Summit – Managing for Resilience</w:t>
            </w:r>
          </w:p>
          <w:p w14:paraId="5761DCDC" w14:textId="77777777" w:rsidR="00A56EE9" w:rsidRPr="00E70A11" w:rsidRDefault="00A56EE9" w:rsidP="00A11869">
            <w:pPr>
              <w:pStyle w:val="ListParagraph"/>
              <w:numPr>
                <w:ilvl w:val="0"/>
                <w:numId w:val="170"/>
              </w:numPr>
              <w:spacing w:after="200" w:line="276" w:lineRule="auto"/>
              <w:rPr>
                <w:rFonts w:ascii="Arial Narrow" w:hAnsi="Arial Narrow"/>
                <w:sz w:val="18"/>
                <w:szCs w:val="18"/>
              </w:rPr>
            </w:pPr>
            <w:r w:rsidRPr="00E70A11">
              <w:rPr>
                <w:rFonts w:ascii="Arial Narrow" w:hAnsi="Arial Narrow"/>
                <w:sz w:val="18"/>
                <w:szCs w:val="18"/>
              </w:rPr>
              <w:t>Reef 2050 Independent Expert Panel provides scientific input to implementation of Reef 2050 plan</w:t>
            </w:r>
          </w:p>
        </w:tc>
        <w:tc>
          <w:tcPr>
            <w:tcW w:w="4016" w:type="dxa"/>
            <w:tcBorders>
              <w:top w:val="single" w:sz="4" w:space="0" w:color="auto"/>
              <w:left w:val="single" w:sz="4" w:space="0" w:color="auto"/>
              <w:bottom w:val="single" w:sz="4" w:space="0" w:color="auto"/>
              <w:right w:val="single" w:sz="4" w:space="0" w:color="auto"/>
            </w:tcBorders>
          </w:tcPr>
          <w:p w14:paraId="5761DCDD" w14:textId="77777777" w:rsidR="00A56EE9" w:rsidRPr="00E70A11" w:rsidRDefault="00A56EE9" w:rsidP="00A11869">
            <w:pPr>
              <w:pStyle w:val="ListParagraph"/>
              <w:numPr>
                <w:ilvl w:val="0"/>
                <w:numId w:val="86"/>
              </w:numPr>
              <w:spacing w:after="200" w:line="276" w:lineRule="auto"/>
              <w:rPr>
                <w:rFonts w:ascii="Arial Narrow" w:hAnsi="Arial Narrow"/>
                <w:sz w:val="18"/>
                <w:szCs w:val="18"/>
              </w:rPr>
            </w:pPr>
            <w:r w:rsidRPr="00E70A11">
              <w:rPr>
                <w:rFonts w:ascii="Arial Narrow" w:hAnsi="Arial Narrow"/>
                <w:sz w:val="18"/>
                <w:szCs w:val="18"/>
              </w:rPr>
              <w:t>Strategic Assessment stakeholder engagement report</w:t>
            </w:r>
          </w:p>
          <w:p w14:paraId="5761DCDE" w14:textId="77777777" w:rsidR="00A56EE9" w:rsidRPr="00E70A11" w:rsidRDefault="00A56EE9" w:rsidP="00A11869">
            <w:pPr>
              <w:pStyle w:val="ListParagraph"/>
              <w:numPr>
                <w:ilvl w:val="0"/>
                <w:numId w:val="86"/>
              </w:numPr>
              <w:spacing w:after="200" w:line="276" w:lineRule="auto"/>
              <w:rPr>
                <w:rFonts w:ascii="Arial Narrow" w:hAnsi="Arial Narrow"/>
                <w:sz w:val="18"/>
                <w:szCs w:val="18"/>
              </w:rPr>
            </w:pPr>
            <w:r w:rsidRPr="00E70A11">
              <w:rPr>
                <w:rFonts w:ascii="Arial Narrow" w:hAnsi="Arial Narrow"/>
                <w:sz w:val="18"/>
                <w:szCs w:val="18"/>
              </w:rPr>
              <w:t>Reef Check</w:t>
            </w:r>
          </w:p>
          <w:p w14:paraId="5761DCDF" w14:textId="77777777" w:rsidR="00A56EE9" w:rsidRPr="00E70A11" w:rsidRDefault="00A56EE9" w:rsidP="00A11869">
            <w:pPr>
              <w:pStyle w:val="ListParagraph"/>
              <w:numPr>
                <w:ilvl w:val="0"/>
                <w:numId w:val="86"/>
              </w:numPr>
              <w:spacing w:after="200" w:line="276" w:lineRule="auto"/>
              <w:rPr>
                <w:rFonts w:ascii="Arial Narrow" w:hAnsi="Arial Narrow"/>
                <w:sz w:val="18"/>
                <w:szCs w:val="18"/>
              </w:rPr>
            </w:pPr>
            <w:r w:rsidRPr="00E70A11">
              <w:rPr>
                <w:rFonts w:ascii="Arial Narrow" w:hAnsi="Arial Narrow"/>
                <w:sz w:val="18"/>
                <w:szCs w:val="18"/>
              </w:rPr>
              <w:t>Seagrass Watch</w:t>
            </w:r>
          </w:p>
          <w:p w14:paraId="5761DCE0" w14:textId="77777777" w:rsidR="00A56EE9" w:rsidRPr="00E70A11" w:rsidRDefault="00A56EE9" w:rsidP="00A11869">
            <w:pPr>
              <w:pStyle w:val="ListParagraph"/>
              <w:numPr>
                <w:ilvl w:val="0"/>
                <w:numId w:val="86"/>
              </w:numPr>
              <w:spacing w:after="200" w:line="276" w:lineRule="auto"/>
              <w:rPr>
                <w:rFonts w:ascii="Arial Narrow" w:hAnsi="Arial Narrow"/>
                <w:sz w:val="18"/>
                <w:szCs w:val="18"/>
              </w:rPr>
            </w:pPr>
            <w:r w:rsidRPr="00E70A11">
              <w:rPr>
                <w:rFonts w:ascii="Arial Narrow" w:hAnsi="Arial Narrow"/>
                <w:sz w:val="18"/>
                <w:szCs w:val="18"/>
              </w:rPr>
              <w:t>Marine Monitoring Program</w:t>
            </w:r>
          </w:p>
          <w:p w14:paraId="5761DCE1" w14:textId="77777777" w:rsidR="00A56EE9" w:rsidRPr="00E70A11" w:rsidRDefault="00A56EE9" w:rsidP="00A11869">
            <w:pPr>
              <w:pStyle w:val="ListParagraph"/>
              <w:numPr>
                <w:ilvl w:val="0"/>
                <w:numId w:val="86"/>
              </w:numPr>
              <w:spacing w:after="200" w:line="276" w:lineRule="auto"/>
              <w:rPr>
                <w:rFonts w:ascii="Arial Narrow" w:hAnsi="Arial Narrow"/>
                <w:sz w:val="18"/>
                <w:szCs w:val="18"/>
              </w:rPr>
            </w:pPr>
            <w:r w:rsidRPr="00E70A11">
              <w:rPr>
                <w:rFonts w:ascii="Arial Narrow" w:hAnsi="Arial Narrow"/>
                <w:sz w:val="18"/>
                <w:szCs w:val="18"/>
              </w:rPr>
              <w:t>Queensland Wetlands program</w:t>
            </w:r>
          </w:p>
          <w:p w14:paraId="5761DCE2" w14:textId="77777777" w:rsidR="00A56EE9" w:rsidRPr="00E70A11" w:rsidRDefault="00A56EE9" w:rsidP="00A11869">
            <w:pPr>
              <w:pStyle w:val="ListParagraph"/>
              <w:numPr>
                <w:ilvl w:val="0"/>
                <w:numId w:val="86"/>
              </w:numPr>
              <w:spacing w:after="200" w:line="276" w:lineRule="auto"/>
              <w:rPr>
                <w:rFonts w:ascii="Arial Narrow" w:hAnsi="Arial Narrow"/>
                <w:sz w:val="18"/>
                <w:szCs w:val="18"/>
              </w:rPr>
            </w:pPr>
            <w:r w:rsidRPr="00E70A11">
              <w:rPr>
                <w:rFonts w:ascii="Arial Narrow" w:hAnsi="Arial Narrow"/>
                <w:sz w:val="18"/>
                <w:szCs w:val="18"/>
              </w:rPr>
              <w:t>Whitsunday Plan of Management consultation</w:t>
            </w:r>
          </w:p>
          <w:p w14:paraId="5761DCE3" w14:textId="77777777" w:rsidR="00A56EE9" w:rsidRPr="00E70A11" w:rsidRDefault="00A56EE9" w:rsidP="00A11869">
            <w:pPr>
              <w:pStyle w:val="ListParagraph"/>
              <w:numPr>
                <w:ilvl w:val="0"/>
                <w:numId w:val="86"/>
              </w:numPr>
              <w:spacing w:after="200" w:line="276" w:lineRule="auto"/>
              <w:rPr>
                <w:rFonts w:ascii="Arial Narrow" w:hAnsi="Arial Narrow"/>
                <w:sz w:val="18"/>
                <w:szCs w:val="18"/>
              </w:rPr>
            </w:pPr>
            <w:r w:rsidRPr="00E70A11">
              <w:rPr>
                <w:rFonts w:ascii="Arial Narrow" w:hAnsi="Arial Narrow"/>
                <w:sz w:val="18"/>
                <w:szCs w:val="18"/>
              </w:rPr>
              <w:t>Increased involvement with Great Barrier Reef Foundation projects</w:t>
            </w:r>
          </w:p>
          <w:p w14:paraId="5761DCE4" w14:textId="77777777" w:rsidR="00A56EE9" w:rsidRPr="00E70A11" w:rsidRDefault="00A56EE9" w:rsidP="00A11869">
            <w:pPr>
              <w:pStyle w:val="ListParagraph"/>
              <w:numPr>
                <w:ilvl w:val="1"/>
                <w:numId w:val="86"/>
              </w:numPr>
              <w:spacing w:after="200" w:line="276" w:lineRule="auto"/>
              <w:rPr>
                <w:rFonts w:ascii="Arial Narrow" w:hAnsi="Arial Narrow"/>
                <w:sz w:val="18"/>
                <w:szCs w:val="18"/>
              </w:rPr>
            </w:pPr>
            <w:r w:rsidRPr="00E70A11">
              <w:rPr>
                <w:rFonts w:ascii="Arial Narrow" w:hAnsi="Arial Narrow"/>
                <w:sz w:val="18"/>
                <w:szCs w:val="18"/>
              </w:rPr>
              <w:t>Lady Elliot Island Ecosystem Resilience Plan</w:t>
            </w:r>
          </w:p>
          <w:p w14:paraId="5761DCE5" w14:textId="77777777" w:rsidR="00A56EE9" w:rsidRPr="00E70A11" w:rsidRDefault="00A56EE9" w:rsidP="00A11869">
            <w:pPr>
              <w:pStyle w:val="ListParagraph"/>
              <w:numPr>
                <w:ilvl w:val="1"/>
                <w:numId w:val="86"/>
              </w:numPr>
              <w:spacing w:after="200" w:line="276" w:lineRule="auto"/>
              <w:rPr>
                <w:rFonts w:ascii="Arial Narrow" w:hAnsi="Arial Narrow"/>
                <w:sz w:val="18"/>
                <w:szCs w:val="18"/>
              </w:rPr>
            </w:pPr>
            <w:r w:rsidRPr="00E70A11">
              <w:rPr>
                <w:rFonts w:ascii="Arial Narrow" w:hAnsi="Arial Narrow"/>
                <w:sz w:val="18"/>
                <w:szCs w:val="18"/>
              </w:rPr>
              <w:t>Raine Island Recovery Project</w:t>
            </w:r>
          </w:p>
          <w:p w14:paraId="5761DCE6" w14:textId="77777777" w:rsidR="00A56EE9" w:rsidRPr="00E70A11" w:rsidRDefault="00A56EE9" w:rsidP="00A11869">
            <w:pPr>
              <w:pStyle w:val="ListParagraph"/>
              <w:numPr>
                <w:ilvl w:val="1"/>
                <w:numId w:val="86"/>
              </w:numPr>
              <w:spacing w:after="200" w:line="276" w:lineRule="auto"/>
              <w:rPr>
                <w:rFonts w:ascii="Arial Narrow" w:hAnsi="Arial Narrow"/>
                <w:sz w:val="18"/>
                <w:szCs w:val="18"/>
              </w:rPr>
            </w:pPr>
            <w:r w:rsidRPr="00E70A11">
              <w:rPr>
                <w:rFonts w:ascii="Arial Narrow" w:hAnsi="Arial Narrow"/>
                <w:sz w:val="18"/>
                <w:szCs w:val="18"/>
              </w:rPr>
              <w:t>Resilience Hot Spot Mapping</w:t>
            </w:r>
          </w:p>
        </w:tc>
        <w:tc>
          <w:tcPr>
            <w:tcW w:w="981" w:type="dxa"/>
            <w:tcBorders>
              <w:top w:val="single" w:sz="4" w:space="0" w:color="auto"/>
              <w:left w:val="single" w:sz="4" w:space="0" w:color="auto"/>
              <w:bottom w:val="single" w:sz="4" w:space="0" w:color="auto"/>
              <w:right w:val="single" w:sz="4" w:space="0" w:color="auto"/>
            </w:tcBorders>
          </w:tcPr>
          <w:p w14:paraId="5761DCE7"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CE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CF0"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CEA" w14:textId="77777777" w:rsidR="00A56EE9" w:rsidRPr="00E70A11" w:rsidRDefault="00A56EE9" w:rsidP="00BB6AD5">
            <w:pPr>
              <w:pStyle w:val="Tablebulletlist"/>
              <w:rPr>
                <w:rStyle w:val="BookTitle"/>
              </w:rPr>
            </w:pPr>
            <w:r w:rsidRPr="00E70A11">
              <w:rPr>
                <w:rStyle w:val="BookTitle"/>
              </w:rPr>
              <w:t>PLANNING</w:t>
            </w:r>
          </w:p>
        </w:tc>
        <w:tc>
          <w:tcPr>
            <w:tcW w:w="77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761DCEB" w14:textId="77777777" w:rsidR="00A56EE9" w:rsidRPr="00E70A11" w:rsidRDefault="00A56EE9" w:rsidP="00BB6AD5">
            <w:pPr>
              <w:pStyle w:val="Tablebulletlist"/>
              <w:jc w:val="center"/>
              <w:rPr>
                <w:rStyle w:val="BookTitle"/>
              </w:rPr>
            </w:pPr>
          </w:p>
        </w:tc>
        <w:tc>
          <w:tcPr>
            <w:tcW w:w="524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CEC" w14:textId="77777777" w:rsidR="00A56EE9" w:rsidRPr="00E70A11" w:rsidRDefault="00A56EE9" w:rsidP="00BB6AD5">
            <w:pPr>
              <w:pStyle w:val="ListParagraph"/>
              <w:ind w:left="360"/>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CED"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CEE" w14:textId="77777777" w:rsidR="00A56EE9" w:rsidRPr="00E70A11" w:rsidRDefault="00A56EE9" w:rsidP="00BB6AD5">
            <w:pPr>
              <w:pStyle w:val="Tablebulletlist"/>
              <w:rPr>
                <w:rStyle w:val="BookTitle"/>
              </w:rPr>
            </w:pPr>
          </w:p>
        </w:tc>
        <w:tc>
          <w:tcPr>
            <w:tcW w:w="89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CEF" w14:textId="77777777" w:rsidR="00A56EE9" w:rsidRPr="00E70A11" w:rsidRDefault="00A56EE9" w:rsidP="00BB6AD5">
            <w:pPr>
              <w:pStyle w:val="Tablebulletlist"/>
              <w:rPr>
                <w:rStyle w:val="BookTitle"/>
              </w:rPr>
            </w:pPr>
          </w:p>
        </w:tc>
      </w:tr>
      <w:tr w:rsidR="00A56EE9" w:rsidRPr="00E70A11" w14:paraId="5761DD0F"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CF1"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biodiversity </w:t>
            </w:r>
          </w:p>
        </w:tc>
        <w:tc>
          <w:tcPr>
            <w:tcW w:w="771" w:type="dxa"/>
            <w:tcBorders>
              <w:top w:val="single" w:sz="4" w:space="0" w:color="auto"/>
              <w:left w:val="single" w:sz="4" w:space="0" w:color="auto"/>
              <w:bottom w:val="single" w:sz="4" w:space="0" w:color="auto"/>
              <w:right w:val="single" w:sz="4" w:space="0" w:color="auto"/>
            </w:tcBorders>
            <w:vAlign w:val="center"/>
          </w:tcPr>
          <w:p w14:paraId="5761DCF2"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DCF3"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planning environment for the GBR is becoming more complex with plans being developed in rapid succession in response to the challenges facing the conservation of the GBR. </w:t>
            </w:r>
            <w:r w:rsidRPr="00E70A11">
              <w:rPr>
                <w:rStyle w:val="BookTitle"/>
                <w:rFonts w:ascii="Arial Narrow" w:hAnsi="Arial Narrow"/>
                <w:sz w:val="18"/>
                <w:szCs w:val="18"/>
              </w:rPr>
              <w:br/>
              <w:t>Recent plans relevant to biodiversity include:</w:t>
            </w:r>
            <w:r w:rsidRPr="00E70A11">
              <w:rPr>
                <w:rStyle w:val="BookTitle"/>
                <w:rFonts w:ascii="Arial Narrow" w:hAnsi="Arial Narrow"/>
                <w:sz w:val="18"/>
                <w:szCs w:val="18"/>
              </w:rPr>
              <w:br/>
              <w:t>- 25 year Strategic Plan for the GBR;</w:t>
            </w:r>
            <w:r w:rsidRPr="00E70A11">
              <w:rPr>
                <w:rStyle w:val="BookTitle"/>
                <w:rFonts w:ascii="Arial Narrow" w:hAnsi="Arial Narrow"/>
                <w:sz w:val="18"/>
                <w:szCs w:val="18"/>
              </w:rPr>
              <w:br/>
              <w:t>-</w:t>
            </w:r>
            <w:r>
              <w:rPr>
                <w:rStyle w:val="BookTitle"/>
                <w:rFonts w:ascii="Arial Narrow" w:hAnsi="Arial Narrow"/>
                <w:sz w:val="18"/>
                <w:szCs w:val="18"/>
              </w:rPr>
              <w:t xml:space="preserve"> </w:t>
            </w:r>
            <w:r w:rsidRPr="00E70A11">
              <w:rPr>
                <w:rStyle w:val="BookTitle"/>
                <w:rFonts w:ascii="Arial Narrow" w:hAnsi="Arial Narrow"/>
                <w:sz w:val="18"/>
                <w:szCs w:val="18"/>
              </w:rPr>
              <w:t>Great Barrier Reef Biodiversity Conservation Strategy 2013;</w:t>
            </w:r>
            <w:r w:rsidRPr="00E70A11">
              <w:rPr>
                <w:rStyle w:val="BookTitle"/>
                <w:rFonts w:ascii="Arial Narrow" w:hAnsi="Arial Narrow"/>
                <w:sz w:val="18"/>
                <w:szCs w:val="18"/>
              </w:rPr>
              <w:br/>
              <w:t>- Great Barrier Reef Region Strategic Assessment: Program report;</w:t>
            </w:r>
            <w:r w:rsidRPr="00E70A11">
              <w:rPr>
                <w:rStyle w:val="BookTitle"/>
                <w:rFonts w:ascii="Arial Narrow" w:hAnsi="Arial Narrow"/>
                <w:sz w:val="18"/>
                <w:szCs w:val="18"/>
              </w:rPr>
              <w:br/>
              <w:t>- Reef 2050 LTSP Plan</w:t>
            </w:r>
            <w:r w:rsidRPr="00E70A11">
              <w:rPr>
                <w:rStyle w:val="BookTitle"/>
                <w:rFonts w:ascii="Arial Narrow" w:hAnsi="Arial Narrow"/>
                <w:sz w:val="18"/>
                <w:szCs w:val="18"/>
              </w:rPr>
              <w:br/>
              <w:t>- Reef Blueprint</w:t>
            </w:r>
            <w:r w:rsidRPr="00E70A11">
              <w:rPr>
                <w:rStyle w:val="BookTitle"/>
                <w:rFonts w:ascii="Arial Narrow" w:hAnsi="Arial Narrow"/>
                <w:sz w:val="18"/>
                <w:szCs w:val="18"/>
              </w:rPr>
              <w:br/>
              <w:t>While significant efforts have been made to align the provisions of plans, it seems that more effort is going into the development of plans at the expense of implementation</w:t>
            </w:r>
          </w:p>
          <w:p w14:paraId="5761DCF4"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Biodiversity Conservation Strategy 2013 provided a framework for how the biodiversity of the Great Barrier Reef will be managed – this has now been replaced by Reef 2050 Report.</w:t>
            </w:r>
          </w:p>
          <w:p w14:paraId="5761DCF5"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Plans of Management (PoM) address biodiversity issues in high tourism areas identifying specific biodiversity values, associated issues and management strategies</w:t>
            </w:r>
          </w:p>
          <w:p w14:paraId="5761DCF6"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2008 a Code of Practice for dwarf minke whale interactions in the Great Barrier Reef World Heritage Area was completed</w:t>
            </w:r>
            <w:r>
              <w:rPr>
                <w:rStyle w:val="BookTitle"/>
                <w:rFonts w:ascii="Arial Narrow" w:hAnsi="Arial Narrow"/>
                <w:sz w:val="18"/>
                <w:szCs w:val="18"/>
              </w:rPr>
              <w:t xml:space="preserve"> and remains in force</w:t>
            </w:r>
            <w:r w:rsidRPr="00E70A11">
              <w:rPr>
                <w:rStyle w:val="BookTitle"/>
                <w:rFonts w:ascii="Arial Narrow" w:hAnsi="Arial Narrow"/>
                <w:sz w:val="18"/>
                <w:szCs w:val="18"/>
              </w:rPr>
              <w:t>.</w:t>
            </w:r>
          </w:p>
          <w:p w14:paraId="5761DCF7"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Fonts w:ascii="Arial Narrow" w:hAnsi="Arial Narrow"/>
                <w:sz w:val="18"/>
                <w:szCs w:val="18"/>
              </w:rPr>
              <w:t>Wetlands in the GBR catchments, Management Strategy 2016-21. This strategy promotes an integrated approach to catchment management that considers the multiple values of wetlands in a whole-of-catchment context.</w:t>
            </w:r>
          </w:p>
          <w:p w14:paraId="5761DCF8"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Strategic Assessment Program Reports promote the concept of net benefits required to maintain and restore biodiversity condition and halt declining trends although there are different views on the appropriateness of a net benefits strategy and offsetting in an MPA context</w:t>
            </w:r>
          </w:p>
          <w:p w14:paraId="5761DCF9"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Draft Marine Debris TAP developed at national level</w:t>
            </w:r>
          </w:p>
          <w:p w14:paraId="5761DCFA"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2015 amendments to the Great Barrier Reef Marine Park Act 1975 to provide additional protection for dugong and turtle populations from the threats of poaching, illegal trade and illegal transportation.</w:t>
            </w:r>
          </w:p>
          <w:p w14:paraId="5761DCFB"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Efforts to reduce the impact COTS predation on coral have become increasingly critical given the impacts to coral cover from coral bleaching and tropical cyclones</w:t>
            </w:r>
          </w:p>
          <w:p w14:paraId="5761DCFC"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Lady Elliot Island Ecosystem Resilience Plan – aims to maximise resilience to climate change and other stresses</w:t>
            </w:r>
          </w:p>
          <w:p w14:paraId="5761DCFD"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Marine Parks (Great Barrier Reef Coast) Zoning Plan 2004 was amended in February 2016 to adopt complementary commercial net fishing restrictions already in place under Commonwealth marine park legislation to support dugong conservation.</w:t>
            </w:r>
          </w:p>
          <w:p w14:paraId="5761DCFE" w14:textId="77777777" w:rsidR="00A56EE9" w:rsidRPr="00E70A11" w:rsidRDefault="00A56EE9" w:rsidP="00A11869">
            <w:pPr>
              <w:pStyle w:val="ListParagraph"/>
              <w:numPr>
                <w:ilvl w:val="0"/>
                <w:numId w:val="171"/>
              </w:numPr>
              <w:spacing w:after="200" w:line="276" w:lineRule="auto"/>
              <w:rPr>
                <w:rFonts w:ascii="Arial Narrow" w:hAnsi="Arial Narrow"/>
                <w:sz w:val="18"/>
                <w:szCs w:val="18"/>
              </w:rPr>
            </w:pPr>
            <w:r w:rsidRPr="00E70A11">
              <w:rPr>
                <w:rFonts w:ascii="Arial Narrow" w:hAnsi="Arial Narrow"/>
                <w:sz w:val="18"/>
                <w:szCs w:val="18"/>
              </w:rPr>
              <w:t xml:space="preserve">Biodiversity (habitats and species) underpin Matters of State Environmental Significance which are used in planning decisions by managers in Queensland. </w:t>
            </w:r>
          </w:p>
          <w:p w14:paraId="5761DCFF"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Fonts w:ascii="Arial Narrow" w:hAnsi="Arial Narrow"/>
                <w:sz w:val="18"/>
                <w:szCs w:val="18"/>
              </w:rPr>
              <w:t xml:space="preserve">There is little comprehensive information on the status of connectivity from catchments to the reef for biodiversity which require these connections </w:t>
            </w:r>
          </w:p>
        </w:tc>
        <w:tc>
          <w:tcPr>
            <w:tcW w:w="4016" w:type="dxa"/>
            <w:tcBorders>
              <w:top w:val="single" w:sz="4" w:space="0" w:color="auto"/>
              <w:left w:val="single" w:sz="4" w:space="0" w:color="auto"/>
              <w:bottom w:val="single" w:sz="4" w:space="0" w:color="auto"/>
              <w:right w:val="single" w:sz="4" w:space="0" w:color="auto"/>
            </w:tcBorders>
          </w:tcPr>
          <w:p w14:paraId="5761DD00" w14:textId="77777777" w:rsidR="00A56EE9" w:rsidRPr="00E70A11" w:rsidRDefault="00A56EE9" w:rsidP="00A11869">
            <w:pPr>
              <w:pStyle w:val="ListParagraph"/>
              <w:numPr>
                <w:ilvl w:val="0"/>
                <w:numId w:val="45"/>
              </w:numPr>
              <w:spacing w:after="200" w:line="276" w:lineRule="auto"/>
              <w:rPr>
                <w:rFonts w:ascii="Arial Narrow" w:hAnsi="Arial Narrow"/>
                <w:sz w:val="18"/>
                <w:szCs w:val="18"/>
              </w:rPr>
            </w:pPr>
            <w:r w:rsidRPr="00E70A11">
              <w:rPr>
                <w:rFonts w:ascii="Arial Narrow" w:hAnsi="Arial Narrow"/>
                <w:sz w:val="18"/>
                <w:szCs w:val="18"/>
                <w:lang w:val="en"/>
              </w:rPr>
              <w:t>The 25-Year Strategic Plan for the Great Barrier Reef World Heritage Area</w:t>
            </w:r>
          </w:p>
          <w:p w14:paraId="5761DD01" w14:textId="77777777" w:rsidR="00A56EE9" w:rsidRPr="00E70A11" w:rsidRDefault="00A56EE9" w:rsidP="00A11869">
            <w:pPr>
              <w:pStyle w:val="ListParagraph"/>
              <w:numPr>
                <w:ilvl w:val="0"/>
                <w:numId w:val="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Strategic Assessment Report, Chapter 5 </w:t>
            </w:r>
          </w:p>
          <w:p w14:paraId="5761DD02" w14:textId="4E560E8C" w:rsidR="00A56EE9" w:rsidRPr="00E70A11" w:rsidRDefault="00A56EE9" w:rsidP="00A11869">
            <w:pPr>
              <w:pStyle w:val="ListParagraph"/>
              <w:numPr>
                <w:ilvl w:val="0"/>
                <w:numId w:val="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are a broad range of Queensland planning and legislative arrangements for biodiversity</w:t>
            </w:r>
            <w:r>
              <w:rPr>
                <w:rStyle w:val="BookTitle"/>
                <w:rFonts w:ascii="Arial Narrow" w:hAnsi="Arial Narrow"/>
                <w:sz w:val="18"/>
                <w:szCs w:val="18"/>
              </w:rPr>
              <w:t xml:space="preserve"> </w:t>
            </w:r>
            <w:hyperlink r:id="rId71" w:tooltip="document link" w:history="1">
              <w:r w:rsidRPr="00E70A11">
                <w:rPr>
                  <w:rStyle w:val="Hyperlink"/>
                  <w:rFonts w:ascii="Arial Narrow" w:hAnsi="Arial Narrow"/>
                  <w:sz w:val="18"/>
                  <w:szCs w:val="18"/>
                </w:rPr>
                <w:t>https://wetlandinfo.ehp.qld.gov.au/wetlands/management/policy-legislation/</w:t>
              </w:r>
            </w:hyperlink>
          </w:p>
          <w:p w14:paraId="5761DD03" w14:textId="77777777" w:rsidR="00A56EE9" w:rsidRPr="00E70A11" w:rsidRDefault="00A56EE9" w:rsidP="00A11869">
            <w:pPr>
              <w:pStyle w:val="ListParagraph"/>
              <w:numPr>
                <w:ilvl w:val="0"/>
                <w:numId w:val="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Coastal Protection State Planning Regulatory Provision 2013</w:t>
            </w:r>
          </w:p>
          <w:p w14:paraId="5761DD04" w14:textId="77777777" w:rsidR="00A56EE9" w:rsidRPr="00E70A11" w:rsidRDefault="00A56EE9" w:rsidP="00A11869">
            <w:pPr>
              <w:pStyle w:val="ListParagraph"/>
              <w:numPr>
                <w:ilvl w:val="0"/>
                <w:numId w:val="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Biodiversity Conservation Strategy 2013</w:t>
            </w:r>
          </w:p>
          <w:p w14:paraId="5761DD05" w14:textId="77777777" w:rsidR="00A56EE9" w:rsidRPr="00E70A11" w:rsidRDefault="00A56EE9" w:rsidP="00A11869">
            <w:pPr>
              <w:pStyle w:val="ListParagraph"/>
              <w:numPr>
                <w:ilvl w:val="0"/>
                <w:numId w:val="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Bos, M., Pressey, R. L. and Stoeckl, N. (2014). Effective marine offsets for the Great Barrier Reef World Heritage Area. </w:t>
            </w:r>
            <w:r w:rsidRPr="00E70A11">
              <w:rPr>
                <w:rStyle w:val="BookTitle"/>
                <w:rFonts w:ascii="Arial Narrow" w:hAnsi="Arial Narrow"/>
                <w:i/>
                <w:sz w:val="18"/>
                <w:szCs w:val="18"/>
              </w:rPr>
              <w:t>Environmental Science &amp; Policy</w:t>
            </w:r>
            <w:r w:rsidRPr="00E70A11">
              <w:rPr>
                <w:rStyle w:val="BookTitle"/>
                <w:rFonts w:ascii="Arial Narrow" w:hAnsi="Arial Narrow"/>
                <w:sz w:val="18"/>
                <w:szCs w:val="18"/>
              </w:rPr>
              <w:t xml:space="preserve"> 42: 1-15.</w:t>
            </w:r>
          </w:p>
          <w:p w14:paraId="5761DD06" w14:textId="77777777" w:rsidR="00A56EE9" w:rsidRPr="00E70A11" w:rsidRDefault="00A56EE9" w:rsidP="00A11869">
            <w:pPr>
              <w:pStyle w:val="ListParagraph"/>
              <w:numPr>
                <w:ilvl w:val="0"/>
                <w:numId w:val="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Shumway, N., Watson, J. E. M., Saunders, M. I. and Maron, M. (2018). The Risks and Opportunities of Translating Terrestrial Biodiversity Offsets to the Marine Realm. </w:t>
            </w:r>
            <w:r w:rsidRPr="00E70A11">
              <w:rPr>
                <w:rStyle w:val="BookTitle"/>
                <w:rFonts w:ascii="Arial Narrow" w:hAnsi="Arial Narrow"/>
                <w:i/>
                <w:sz w:val="18"/>
                <w:szCs w:val="18"/>
              </w:rPr>
              <w:t>BioScience</w:t>
            </w:r>
            <w:r w:rsidRPr="00E70A11">
              <w:rPr>
                <w:rStyle w:val="BookTitle"/>
                <w:rFonts w:ascii="Arial Narrow" w:hAnsi="Arial Narrow"/>
                <w:sz w:val="18"/>
                <w:szCs w:val="18"/>
              </w:rPr>
              <w:t>: bix150-bix150.</w:t>
            </w:r>
          </w:p>
          <w:p w14:paraId="5761DD07" w14:textId="77777777" w:rsidR="00A56EE9" w:rsidRPr="00E70A11" w:rsidRDefault="00A56EE9" w:rsidP="00A11869">
            <w:pPr>
              <w:pStyle w:val="ListParagraph"/>
              <w:numPr>
                <w:ilvl w:val="0"/>
                <w:numId w:val="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Lady Elliot Island Ecosystem Resilience Plan</w:t>
            </w:r>
          </w:p>
          <w:p w14:paraId="5761DD08" w14:textId="77777777" w:rsidR="00A56EE9" w:rsidRPr="00E70A11" w:rsidRDefault="00A56EE9" w:rsidP="00A11869">
            <w:pPr>
              <w:pStyle w:val="ListParagraph"/>
              <w:numPr>
                <w:ilvl w:val="0"/>
                <w:numId w:val="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LTSP Plan</w:t>
            </w:r>
          </w:p>
          <w:p w14:paraId="5761DD09" w14:textId="77777777" w:rsidR="00A56EE9" w:rsidRPr="00E70A11" w:rsidRDefault="00A56EE9" w:rsidP="00A11869">
            <w:pPr>
              <w:pStyle w:val="ListParagraph"/>
              <w:numPr>
                <w:ilvl w:val="0"/>
                <w:numId w:val="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Blueprint</w:t>
            </w:r>
          </w:p>
          <w:p w14:paraId="5761DD0A" w14:textId="77777777" w:rsidR="00A56EE9" w:rsidRPr="00E70A11" w:rsidRDefault="00A56EE9" w:rsidP="00A11869">
            <w:pPr>
              <w:pStyle w:val="ListParagraph"/>
              <w:numPr>
                <w:ilvl w:val="0"/>
                <w:numId w:val="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Plans of Management</w:t>
            </w:r>
          </w:p>
          <w:p w14:paraId="5761DD0B" w14:textId="77777777" w:rsidR="00A56EE9" w:rsidRPr="00E70A11" w:rsidRDefault="00A56EE9" w:rsidP="00A11869">
            <w:pPr>
              <w:pStyle w:val="ListParagraph"/>
              <w:numPr>
                <w:ilvl w:val="0"/>
                <w:numId w:val="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Draft Marine Debris TAP</w:t>
            </w:r>
          </w:p>
          <w:p w14:paraId="5761DD0C" w14:textId="77777777" w:rsidR="00A56EE9" w:rsidRPr="00E70A11" w:rsidRDefault="00A56EE9" w:rsidP="00BB6AD5">
            <w:pPr>
              <w:pStyle w:val="ListParagraph"/>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D0D"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D0E"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DD28"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D10"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biodiversity addresses the major factors influencing the Great Barrier Reef Region’s values.</w:t>
            </w:r>
          </w:p>
        </w:tc>
        <w:tc>
          <w:tcPr>
            <w:tcW w:w="771" w:type="dxa"/>
            <w:tcBorders>
              <w:top w:val="single" w:sz="4" w:space="0" w:color="auto"/>
              <w:left w:val="single" w:sz="4" w:space="0" w:color="auto"/>
              <w:bottom w:val="single" w:sz="4" w:space="0" w:color="auto"/>
              <w:right w:val="single" w:sz="4" w:space="0" w:color="auto"/>
            </w:tcBorders>
            <w:vAlign w:val="center"/>
          </w:tcPr>
          <w:p w14:paraId="5761DD11"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D12"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Outlook reports and Strategic Assessment clearly identify major threats to the GBR biodiversity values</w:t>
            </w:r>
          </w:p>
          <w:p w14:paraId="5761DD13"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conjunction with the Biodiversity Conservation Strategy, comprehensive Vulnerability Assessments (VAs) have been developed identifying those elements of biodiversity that need specific attention as well as actions to address them. 17 assessments completed with</w:t>
            </w:r>
            <w:r>
              <w:rPr>
                <w:rStyle w:val="BookTitle"/>
                <w:rFonts w:ascii="Arial Narrow" w:hAnsi="Arial Narrow"/>
                <w:sz w:val="18"/>
                <w:szCs w:val="18"/>
              </w:rPr>
              <w:t xml:space="preserve"> 3</w:t>
            </w:r>
            <w:r w:rsidRPr="00E70A11">
              <w:rPr>
                <w:rStyle w:val="BookTitle"/>
                <w:rFonts w:ascii="Arial Narrow" w:hAnsi="Arial Narrow"/>
                <w:sz w:val="18"/>
                <w:szCs w:val="18"/>
              </w:rPr>
              <w:t xml:space="preserve"> under development.</w:t>
            </w:r>
          </w:p>
          <w:p w14:paraId="5761DD14"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Some plans are silent on specific actions necessary to protect biodiversity (for example the Zoning Plan only really manages extractive uses e.g. fishing). Certainty around where large developments may go (a major pressure) is not provided for in the Zoning Plan.</w:t>
            </w:r>
          </w:p>
          <w:p w14:paraId="5761DD15"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 biodiversity is specifically addressed in Reef 2050 but biggest impact on biodiversity (climate change) is not well addressed in the plan</w:t>
            </w:r>
          </w:p>
          <w:p w14:paraId="5761DD16"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2017 Reef 2050 Water Quality Improvement Plan (Reef Plan) addresses impacts on Reef habitats from catchment and coastal run-off. </w:t>
            </w:r>
          </w:p>
          <w:p w14:paraId="5761DD17"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Kearney and Farebrother 2014, The continuing decline in the health of the Great Barrier Reef and other Australian coastal areas confirms the limitations of current management for combating threats to marine ecosystems arising from outside the MPA</w:t>
            </w:r>
          </w:p>
          <w:p w14:paraId="5761DD18"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Planning systems address individual threats but does not adequately address consequential or cumulative risks.</w:t>
            </w:r>
          </w:p>
          <w:p w14:paraId="5761DD19"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Agricultural practices are accelerating the health decline of the GBR, affecting marine and terrestrial ecosystems. Recently new legislation by the Qld government that would have protected the Reef’s catchment areas from land clearing was blocked in Parliament, but it is expected that the new Queensland Government will re-instate clearing controls in 2018.</w:t>
            </w:r>
          </w:p>
          <w:p w14:paraId="5761DD1A"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Whitsundays Plan of Management - Seabirds such as black naped and bridled terns protected by extending the time vessels and aircraft cannot access nesting areas during key nesting periods</w:t>
            </w:r>
          </w:p>
          <w:p w14:paraId="5761DD1B" w14:textId="77777777" w:rsidR="00A56EE9" w:rsidRPr="00E70A11" w:rsidRDefault="00A56EE9" w:rsidP="00A11869">
            <w:pPr>
              <w:pStyle w:val="ListParagraph"/>
              <w:numPr>
                <w:ilvl w:val="0"/>
                <w:numId w:val="171"/>
              </w:numPr>
              <w:spacing w:after="200" w:line="276" w:lineRule="auto"/>
              <w:rPr>
                <w:rFonts w:ascii="Arial Narrow" w:hAnsi="Arial Narrow"/>
                <w:sz w:val="18"/>
                <w:szCs w:val="18"/>
              </w:rPr>
            </w:pPr>
            <w:r w:rsidRPr="00E70A11">
              <w:rPr>
                <w:rFonts w:ascii="Arial Narrow" w:hAnsi="Arial Narrow"/>
                <w:sz w:val="18"/>
                <w:szCs w:val="18"/>
              </w:rPr>
              <w:t xml:space="preserve">Biodiversity (habitats and species) underpin Matters of State Environmental Significance which are used in planning decisions by managers in Queensland. </w:t>
            </w:r>
          </w:p>
          <w:p w14:paraId="5761DD1C" w14:textId="77777777" w:rsidR="00A56EE9" w:rsidRPr="00E70A11" w:rsidRDefault="00A56EE9" w:rsidP="00A11869">
            <w:pPr>
              <w:pStyle w:val="ListParagraph"/>
              <w:numPr>
                <w:ilvl w:val="0"/>
                <w:numId w:val="171"/>
              </w:numPr>
              <w:spacing w:after="200" w:line="276" w:lineRule="auto"/>
              <w:rPr>
                <w:rStyle w:val="BookTitle"/>
                <w:rFonts w:ascii="Arial Narrow" w:hAnsi="Arial Narrow"/>
                <w:sz w:val="18"/>
                <w:szCs w:val="18"/>
              </w:rPr>
            </w:pPr>
            <w:r w:rsidRPr="00E70A11">
              <w:rPr>
                <w:rFonts w:ascii="Arial Narrow" w:hAnsi="Arial Narrow"/>
                <w:sz w:val="18"/>
                <w:szCs w:val="18"/>
              </w:rPr>
              <w:t xml:space="preserve">There is little comprehensive information on the status of connectivity from catchments to the reef for biodiversity which require these connections </w:t>
            </w:r>
          </w:p>
        </w:tc>
        <w:tc>
          <w:tcPr>
            <w:tcW w:w="4016" w:type="dxa"/>
            <w:tcBorders>
              <w:top w:val="single" w:sz="4" w:space="0" w:color="auto"/>
              <w:left w:val="single" w:sz="4" w:space="0" w:color="auto"/>
              <w:bottom w:val="single" w:sz="4" w:space="0" w:color="auto"/>
              <w:right w:val="single" w:sz="4" w:space="0" w:color="auto"/>
            </w:tcBorders>
          </w:tcPr>
          <w:p w14:paraId="5761DD1D" w14:textId="77777777" w:rsidR="00A56EE9" w:rsidRPr="00E70A11" w:rsidRDefault="00A56EE9" w:rsidP="00A11869">
            <w:pPr>
              <w:pStyle w:val="ListParagraph"/>
              <w:numPr>
                <w:ilvl w:val="0"/>
                <w:numId w:val="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Outlook Report 2009 and 2014</w:t>
            </w:r>
          </w:p>
          <w:p w14:paraId="5761DD1E" w14:textId="77777777" w:rsidR="00A56EE9" w:rsidRPr="00E70A11" w:rsidRDefault="00A56EE9" w:rsidP="00A11869">
            <w:pPr>
              <w:pStyle w:val="ListParagraph"/>
              <w:numPr>
                <w:ilvl w:val="0"/>
                <w:numId w:val="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Strategic Assessment Report,</w:t>
            </w:r>
          </w:p>
          <w:p w14:paraId="5761DD1F" w14:textId="77777777" w:rsidR="00A56EE9" w:rsidRPr="00E70A11" w:rsidRDefault="00A56EE9" w:rsidP="00A11869">
            <w:pPr>
              <w:pStyle w:val="ListParagraph"/>
              <w:numPr>
                <w:ilvl w:val="0"/>
                <w:numId w:val="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Kearney, B. and Farebrother, G. (2014). Inadequate evaluation and management of threats in Australia Marine Parks, including the Great Barrier Reef, misdirect Marine conservation. </w:t>
            </w:r>
            <w:r w:rsidRPr="00E70A11">
              <w:rPr>
                <w:rStyle w:val="BookTitle"/>
                <w:rFonts w:ascii="Arial Narrow" w:hAnsi="Arial Narrow"/>
                <w:i/>
                <w:sz w:val="18"/>
                <w:szCs w:val="18"/>
              </w:rPr>
              <w:t xml:space="preserve">Advances in Marine Biology </w:t>
            </w:r>
            <w:r w:rsidRPr="00E70A11">
              <w:rPr>
                <w:rStyle w:val="BookTitle"/>
                <w:rFonts w:ascii="Arial Narrow" w:hAnsi="Arial Narrow"/>
                <w:sz w:val="18"/>
                <w:szCs w:val="18"/>
              </w:rPr>
              <w:t>69: 253.</w:t>
            </w:r>
          </w:p>
          <w:p w14:paraId="5761DD20" w14:textId="77777777" w:rsidR="00A56EE9" w:rsidRPr="00E70A11" w:rsidRDefault="00A56EE9" w:rsidP="00A11869">
            <w:pPr>
              <w:pStyle w:val="ListParagraph"/>
              <w:numPr>
                <w:ilvl w:val="0"/>
                <w:numId w:val="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vulnerability assessments</w:t>
            </w:r>
          </w:p>
          <w:p w14:paraId="5761DD21" w14:textId="77777777" w:rsidR="00A56EE9" w:rsidRPr="00E70A11" w:rsidRDefault="00A56EE9" w:rsidP="00A11869">
            <w:pPr>
              <w:pStyle w:val="ListParagraph"/>
              <w:numPr>
                <w:ilvl w:val="0"/>
                <w:numId w:val="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Biodiversity Conservation Strategy 2013</w:t>
            </w:r>
          </w:p>
          <w:p w14:paraId="5761DD22" w14:textId="77777777" w:rsidR="00A56EE9" w:rsidRPr="00E70A11" w:rsidRDefault="00A56EE9" w:rsidP="00A11869">
            <w:pPr>
              <w:pStyle w:val="ListParagraph"/>
              <w:numPr>
                <w:ilvl w:val="0"/>
                <w:numId w:val="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DD23" w14:textId="77777777" w:rsidR="00A56EE9" w:rsidRPr="00E70A11" w:rsidRDefault="00A56EE9" w:rsidP="00A11869">
            <w:pPr>
              <w:pStyle w:val="ListParagraph"/>
              <w:numPr>
                <w:ilvl w:val="0"/>
                <w:numId w:val="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 Implementation Strategy</w:t>
            </w:r>
          </w:p>
          <w:p w14:paraId="5761DD24" w14:textId="77777777" w:rsidR="00A56EE9" w:rsidRPr="00E70A11" w:rsidRDefault="00A56EE9" w:rsidP="00A11869">
            <w:pPr>
              <w:pStyle w:val="ListParagraph"/>
              <w:numPr>
                <w:ilvl w:val="0"/>
                <w:numId w:val="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Whitsundays Plan of Management</w:t>
            </w:r>
          </w:p>
          <w:p w14:paraId="5761DD25" w14:textId="77777777" w:rsidR="00A56EE9" w:rsidRPr="00E70A11" w:rsidRDefault="00A56EE9" w:rsidP="00A11869">
            <w:pPr>
              <w:pStyle w:val="ListParagraph"/>
              <w:numPr>
                <w:ilvl w:val="0"/>
                <w:numId w:val="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Water Quality Improvement Plan</w:t>
            </w:r>
          </w:p>
        </w:tc>
        <w:tc>
          <w:tcPr>
            <w:tcW w:w="981" w:type="dxa"/>
            <w:tcBorders>
              <w:top w:val="single" w:sz="4" w:space="0" w:color="auto"/>
              <w:left w:val="single" w:sz="4" w:space="0" w:color="auto"/>
              <w:bottom w:val="single" w:sz="4" w:space="0" w:color="auto"/>
              <w:right w:val="single" w:sz="4" w:space="0" w:color="auto"/>
            </w:tcBorders>
          </w:tcPr>
          <w:p w14:paraId="5761DD26"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D2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D45"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D29"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biodiversity are clearly identified within the plan </w:t>
            </w:r>
          </w:p>
        </w:tc>
        <w:tc>
          <w:tcPr>
            <w:tcW w:w="771" w:type="dxa"/>
            <w:tcBorders>
              <w:top w:val="single" w:sz="4" w:space="0" w:color="auto"/>
              <w:left w:val="single" w:sz="4" w:space="0" w:color="auto"/>
              <w:bottom w:val="single" w:sz="4" w:space="0" w:color="auto"/>
              <w:right w:val="single" w:sz="4" w:space="0" w:color="auto"/>
            </w:tcBorders>
            <w:vAlign w:val="center"/>
          </w:tcPr>
          <w:p w14:paraId="5761DD2A"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D2B" w14:textId="77777777" w:rsidR="00A56EE9" w:rsidRPr="00E70A11" w:rsidRDefault="00A56EE9" w:rsidP="00A11869">
            <w:pPr>
              <w:pStyle w:val="ListParagraph"/>
              <w:numPr>
                <w:ilvl w:val="0"/>
                <w:numId w:val="17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Biodiversity Conservation Strategy, 2013 identifies actions at broad level. Tangible, on-ground actions from vulnerability assessments need to be built into relevant plans.</w:t>
            </w:r>
          </w:p>
          <w:p w14:paraId="5761DD2C" w14:textId="77777777" w:rsidR="00A56EE9" w:rsidRPr="00E70A11" w:rsidRDefault="00A56EE9" w:rsidP="00A11869">
            <w:pPr>
              <w:pStyle w:val="ListParagraph"/>
              <w:numPr>
                <w:ilvl w:val="0"/>
                <w:numId w:val="17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Actions in the Reef 2050 plan relating to biodiversity vary from specific to very general. The broader the threat the less specific the actions are (e.g “Implement ecosystem health initiatives through the Reef Trust Investment Strategy”).</w:t>
            </w:r>
          </w:p>
          <w:p w14:paraId="5761DD2D" w14:textId="77777777" w:rsidR="00A56EE9" w:rsidRPr="00E70A11" w:rsidRDefault="00A56EE9" w:rsidP="00A11869">
            <w:pPr>
              <w:pStyle w:val="ListParagraph"/>
              <w:numPr>
                <w:ilvl w:val="0"/>
                <w:numId w:val="17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Objectives, strategies and actions across various plans relevant to biodiversity generally align well</w:t>
            </w:r>
          </w:p>
          <w:p w14:paraId="5761DD2E" w14:textId="77777777" w:rsidR="00A56EE9" w:rsidRPr="00E70A11" w:rsidRDefault="00A56EE9" w:rsidP="00A11869">
            <w:pPr>
              <w:pStyle w:val="ListParagraph"/>
              <w:numPr>
                <w:ilvl w:val="0"/>
                <w:numId w:val="17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blueprint for resilience</w:t>
            </w:r>
            <w:r>
              <w:rPr>
                <w:rStyle w:val="BookTitle"/>
                <w:rFonts w:ascii="Arial Narrow" w:hAnsi="Arial Narrow"/>
                <w:sz w:val="18"/>
                <w:szCs w:val="18"/>
              </w:rPr>
              <w:t xml:space="preserve"> </w:t>
            </w:r>
            <w:r w:rsidRPr="00E70A11">
              <w:rPr>
                <w:rStyle w:val="BookTitle"/>
                <w:rFonts w:ascii="Arial Narrow" w:hAnsi="Arial Narrow"/>
                <w:sz w:val="18"/>
                <w:szCs w:val="18"/>
              </w:rPr>
              <w:t>identifies a number of initiatives including:</w:t>
            </w:r>
          </w:p>
          <w:p w14:paraId="5761DD2F" w14:textId="77777777" w:rsidR="00A56EE9" w:rsidRPr="00E70A11" w:rsidRDefault="00A56EE9" w:rsidP="00A11869">
            <w:pPr>
              <w:pStyle w:val="ListParagraph"/>
              <w:numPr>
                <w:ilvl w:val="1"/>
                <w:numId w:val="17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Identifying and protecting resilience bright-spots</w:t>
            </w:r>
          </w:p>
          <w:p w14:paraId="5761DD30" w14:textId="77777777" w:rsidR="00A56EE9" w:rsidRPr="00E70A11" w:rsidRDefault="00A56EE9" w:rsidP="00A11869">
            <w:pPr>
              <w:pStyle w:val="ListParagraph"/>
              <w:numPr>
                <w:ilvl w:val="1"/>
                <w:numId w:val="17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Expand and extend of COTS control </w:t>
            </w:r>
          </w:p>
          <w:p w14:paraId="5761DD31" w14:textId="77777777" w:rsidR="00A56EE9" w:rsidRPr="00E70A11" w:rsidRDefault="00A56EE9" w:rsidP="00A11869">
            <w:pPr>
              <w:pStyle w:val="ListParagraph"/>
              <w:numPr>
                <w:ilvl w:val="1"/>
                <w:numId w:val="17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Protecting key species for reef recovery</w:t>
            </w:r>
          </w:p>
          <w:p w14:paraId="5761DD32" w14:textId="77777777" w:rsidR="00A56EE9" w:rsidRPr="00E70A11" w:rsidRDefault="00A56EE9" w:rsidP="00A11869">
            <w:pPr>
              <w:pStyle w:val="ListParagraph"/>
              <w:numPr>
                <w:ilvl w:val="0"/>
                <w:numId w:val="17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Pest &amp; Weed Management Strategies developed by QPWS at various islands in the WHA</w:t>
            </w:r>
          </w:p>
          <w:p w14:paraId="5761DD33" w14:textId="77777777" w:rsidR="00A56EE9" w:rsidRPr="00E70A11" w:rsidRDefault="00A56EE9" w:rsidP="00A11869">
            <w:pPr>
              <w:pStyle w:val="ListParagraph"/>
              <w:numPr>
                <w:ilvl w:val="0"/>
                <w:numId w:val="17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Joint Field Management Program has clearly identified actions and targets for protection of biodiversity values</w:t>
            </w:r>
          </w:p>
          <w:p w14:paraId="5761DD34" w14:textId="77777777" w:rsidR="00A56EE9" w:rsidRPr="00E70A11" w:rsidRDefault="00A56EE9" w:rsidP="00A11869">
            <w:pPr>
              <w:pStyle w:val="ListParagraph"/>
              <w:numPr>
                <w:ilvl w:val="0"/>
                <w:numId w:val="172"/>
              </w:numPr>
              <w:spacing w:after="200" w:line="276" w:lineRule="auto"/>
              <w:rPr>
                <w:rFonts w:ascii="Arial Narrow" w:hAnsi="Arial Narrow"/>
                <w:sz w:val="18"/>
                <w:szCs w:val="18"/>
              </w:rPr>
            </w:pPr>
            <w:r w:rsidRPr="00E70A11">
              <w:rPr>
                <w:rFonts w:ascii="Arial Narrow" w:hAnsi="Arial Narrow"/>
                <w:sz w:val="18"/>
                <w:szCs w:val="18"/>
              </w:rPr>
              <w:t xml:space="preserve">Biodiversity (habitats and species) underpin Matters of State Environmental Significance which are used in planning decisions by managers in Queensland. </w:t>
            </w:r>
          </w:p>
          <w:p w14:paraId="5761DD35" w14:textId="77777777" w:rsidR="00A56EE9" w:rsidRPr="00E70A11" w:rsidRDefault="00A56EE9" w:rsidP="00A11869">
            <w:pPr>
              <w:pStyle w:val="ListParagraph"/>
              <w:numPr>
                <w:ilvl w:val="0"/>
                <w:numId w:val="172"/>
              </w:numPr>
              <w:spacing w:after="200" w:line="276" w:lineRule="auto"/>
              <w:rPr>
                <w:rStyle w:val="BookTitle"/>
                <w:rFonts w:ascii="Arial Narrow" w:hAnsi="Arial Narrow"/>
                <w:sz w:val="18"/>
                <w:szCs w:val="18"/>
              </w:rPr>
            </w:pPr>
            <w:r w:rsidRPr="00E70A11">
              <w:rPr>
                <w:rFonts w:ascii="Arial Narrow" w:hAnsi="Arial Narrow"/>
                <w:sz w:val="18"/>
                <w:szCs w:val="18"/>
              </w:rPr>
              <w:t>Wetlands in the GBR catchments, Management Strategy 2016-21. This strategy promotes an integrated approach to catchment management that considers the multiple values of wetlands in a whole-of-catchment contex</w:t>
            </w:r>
            <w:r>
              <w:rPr>
                <w:rFonts w:ascii="Arial Narrow" w:hAnsi="Arial Narrow"/>
                <w:sz w:val="18"/>
                <w:szCs w:val="18"/>
              </w:rPr>
              <w:t>t</w:t>
            </w:r>
            <w:r w:rsidRPr="00E70A11">
              <w:rPr>
                <w:rFonts w:ascii="Arial Narrow" w:hAnsi="Arial Narrow"/>
                <w:sz w:val="18"/>
                <w:szCs w:val="18"/>
              </w:rPr>
              <w:t xml:space="preserve"> and specifically addresses biodiversity.</w:t>
            </w:r>
          </w:p>
          <w:p w14:paraId="5761DD36" w14:textId="77777777" w:rsidR="00A56EE9" w:rsidRPr="00E70A11" w:rsidRDefault="00A56EE9" w:rsidP="00A11869">
            <w:pPr>
              <w:pStyle w:val="ListParagraph"/>
              <w:numPr>
                <w:ilvl w:val="0"/>
                <w:numId w:val="172"/>
              </w:numPr>
              <w:spacing w:after="200" w:line="276" w:lineRule="auto"/>
              <w:rPr>
                <w:rFonts w:ascii="Arial Narrow" w:hAnsi="Arial Narrow"/>
                <w:sz w:val="18"/>
                <w:szCs w:val="18"/>
              </w:rPr>
            </w:pPr>
            <w:r w:rsidRPr="00E70A11">
              <w:rPr>
                <w:rFonts w:ascii="Arial Narrow" w:hAnsi="Arial Narrow"/>
                <w:sz w:val="18"/>
                <w:szCs w:val="18"/>
              </w:rPr>
              <w:t>Information on the biodiversity values of the Wetlands of International Significance (Ramsar) in the GBR</w:t>
            </w:r>
            <w:r>
              <w:rPr>
                <w:rFonts w:ascii="Arial Narrow" w:hAnsi="Arial Narrow"/>
                <w:sz w:val="18"/>
                <w:szCs w:val="18"/>
              </w:rPr>
              <w:t xml:space="preserve"> </w:t>
            </w:r>
            <w:r w:rsidRPr="00E70A11">
              <w:rPr>
                <w:rFonts w:ascii="Arial Narrow" w:hAnsi="Arial Narrow"/>
                <w:sz w:val="18"/>
                <w:szCs w:val="18"/>
              </w:rPr>
              <w:t>and actions to implement specific issues relating to biodiversity are articulated</w:t>
            </w:r>
            <w:r>
              <w:rPr>
                <w:rFonts w:ascii="Arial Narrow" w:hAnsi="Arial Narrow"/>
                <w:sz w:val="18"/>
                <w:szCs w:val="18"/>
              </w:rPr>
              <w:t xml:space="preserve"> </w:t>
            </w:r>
          </w:p>
          <w:p w14:paraId="5761DD37" w14:textId="77777777" w:rsidR="00A56EE9" w:rsidRPr="00E70A11" w:rsidRDefault="00A56EE9" w:rsidP="00A11869">
            <w:pPr>
              <w:pStyle w:val="ListParagraph"/>
              <w:numPr>
                <w:ilvl w:val="0"/>
                <w:numId w:val="172"/>
              </w:numPr>
              <w:spacing w:after="200" w:line="276" w:lineRule="auto"/>
              <w:rPr>
                <w:rStyle w:val="BookTitle"/>
                <w:rFonts w:ascii="Arial Narrow" w:hAnsi="Arial Narrow"/>
                <w:sz w:val="18"/>
                <w:szCs w:val="18"/>
              </w:rPr>
            </w:pPr>
            <w:r w:rsidRPr="00E70A11">
              <w:rPr>
                <w:rFonts w:ascii="Arial Narrow" w:hAnsi="Arial Narrow"/>
                <w:sz w:val="18"/>
                <w:szCs w:val="18"/>
              </w:rPr>
              <w:t xml:space="preserve">There is little comprehensive information on the status of connectivity from catchments to the reef for biodiversity which require these connections </w:t>
            </w:r>
          </w:p>
        </w:tc>
        <w:tc>
          <w:tcPr>
            <w:tcW w:w="4016" w:type="dxa"/>
            <w:tcBorders>
              <w:top w:val="single" w:sz="4" w:space="0" w:color="auto"/>
              <w:left w:val="single" w:sz="4" w:space="0" w:color="auto"/>
              <w:bottom w:val="single" w:sz="4" w:space="0" w:color="auto"/>
              <w:right w:val="single" w:sz="4" w:space="0" w:color="auto"/>
            </w:tcBorders>
          </w:tcPr>
          <w:p w14:paraId="5761DD38" w14:textId="77777777" w:rsidR="00A56EE9" w:rsidRPr="00E70A11" w:rsidRDefault="00A56EE9" w:rsidP="00A11869">
            <w:pPr>
              <w:pStyle w:val="ListParagraph"/>
              <w:numPr>
                <w:ilvl w:val="0"/>
                <w:numId w:val="4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Biodiversity Conservation Strategy 2013</w:t>
            </w:r>
          </w:p>
          <w:p w14:paraId="5761DD39" w14:textId="77777777" w:rsidR="00A56EE9" w:rsidRPr="00E70A11" w:rsidRDefault="00A56EE9" w:rsidP="00A11869">
            <w:pPr>
              <w:pStyle w:val="ListParagraph"/>
              <w:numPr>
                <w:ilvl w:val="0"/>
                <w:numId w:val="4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Strategic Assessment and</w:t>
            </w:r>
            <w:r>
              <w:rPr>
                <w:rStyle w:val="BookTitle"/>
                <w:rFonts w:ascii="Arial Narrow" w:hAnsi="Arial Narrow"/>
                <w:sz w:val="18"/>
                <w:szCs w:val="18"/>
              </w:rPr>
              <w:t xml:space="preserve"> </w:t>
            </w:r>
            <w:r w:rsidRPr="00E70A11">
              <w:rPr>
                <w:rStyle w:val="BookTitle"/>
                <w:rFonts w:ascii="Arial Narrow" w:hAnsi="Arial Narrow"/>
                <w:sz w:val="18"/>
                <w:szCs w:val="18"/>
              </w:rPr>
              <w:t>Program Report</w:t>
            </w:r>
          </w:p>
          <w:p w14:paraId="5761DD3A" w14:textId="77777777" w:rsidR="00A56EE9" w:rsidRPr="00E70A11" w:rsidRDefault="00A56EE9" w:rsidP="00A11869">
            <w:pPr>
              <w:pStyle w:val="ListParagraph"/>
              <w:numPr>
                <w:ilvl w:val="0"/>
                <w:numId w:val="4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DD3B" w14:textId="77777777" w:rsidR="00A56EE9" w:rsidRPr="00E70A11" w:rsidRDefault="00A56EE9" w:rsidP="00A11869">
            <w:pPr>
              <w:pStyle w:val="ListParagraph"/>
              <w:numPr>
                <w:ilvl w:val="0"/>
                <w:numId w:val="4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Summit: Managing for resilience.</w:t>
            </w:r>
          </w:p>
          <w:p w14:paraId="5761DD3C" w14:textId="77777777" w:rsidR="00A56EE9" w:rsidRPr="00E70A11" w:rsidRDefault="00A56EE9" w:rsidP="00A11869">
            <w:pPr>
              <w:pStyle w:val="ListParagraph"/>
              <w:numPr>
                <w:ilvl w:val="0"/>
                <w:numId w:val="4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vulnerability assessments</w:t>
            </w:r>
          </w:p>
          <w:p w14:paraId="5761DD3D" w14:textId="77777777" w:rsidR="00A56EE9" w:rsidRPr="00E70A11" w:rsidRDefault="00A56EE9" w:rsidP="00A11869">
            <w:pPr>
              <w:pStyle w:val="ListParagraph"/>
              <w:numPr>
                <w:ilvl w:val="0"/>
                <w:numId w:val="4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DD3E" w14:textId="77777777" w:rsidR="00A56EE9" w:rsidRPr="00E70A11" w:rsidRDefault="00A56EE9" w:rsidP="00A11869">
            <w:pPr>
              <w:pStyle w:val="ListParagraph"/>
              <w:numPr>
                <w:ilvl w:val="0"/>
                <w:numId w:val="4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 Implementation Strategy</w:t>
            </w:r>
          </w:p>
          <w:p w14:paraId="5761DD3F" w14:textId="77777777" w:rsidR="00A56EE9" w:rsidRPr="00E70A11" w:rsidRDefault="00A56EE9" w:rsidP="00A11869">
            <w:pPr>
              <w:pStyle w:val="ListParagraph"/>
              <w:numPr>
                <w:ilvl w:val="0"/>
                <w:numId w:val="4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Whitsundays Plan of Management</w:t>
            </w:r>
          </w:p>
          <w:p w14:paraId="5761DD40" w14:textId="77777777" w:rsidR="00A56EE9" w:rsidRPr="00E70A11" w:rsidRDefault="00A56EE9" w:rsidP="00A11869">
            <w:pPr>
              <w:pStyle w:val="ListParagraph"/>
              <w:numPr>
                <w:ilvl w:val="0"/>
                <w:numId w:val="4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Pest &amp; Weed Management Strategies</w:t>
            </w:r>
          </w:p>
          <w:p w14:paraId="5761DD41" w14:textId="77777777" w:rsidR="00A56EE9" w:rsidRPr="00E70A11" w:rsidRDefault="00A56EE9" w:rsidP="00A11869">
            <w:pPr>
              <w:pStyle w:val="ListParagraph"/>
              <w:numPr>
                <w:ilvl w:val="0"/>
                <w:numId w:val="47"/>
              </w:numPr>
              <w:spacing w:after="200" w:line="276" w:lineRule="auto"/>
              <w:rPr>
                <w:rFonts w:ascii="Arial Narrow" w:hAnsi="Arial Narrow"/>
                <w:sz w:val="18"/>
                <w:szCs w:val="18"/>
              </w:rPr>
            </w:pPr>
            <w:r w:rsidRPr="00E70A11">
              <w:rPr>
                <w:rFonts w:ascii="Arial Narrow" w:hAnsi="Arial Narrow"/>
                <w:sz w:val="18"/>
                <w:szCs w:val="18"/>
              </w:rPr>
              <w:t>Wetlands in the GBR catchments, Management Strategy 2016-21.</w:t>
            </w:r>
          </w:p>
          <w:p w14:paraId="5761DD42" w14:textId="77777777" w:rsidR="00A56EE9" w:rsidRPr="00E70A11" w:rsidRDefault="00A56EE9" w:rsidP="00A11869">
            <w:pPr>
              <w:pStyle w:val="ListParagraph"/>
              <w:numPr>
                <w:ilvl w:val="0"/>
                <w:numId w:val="4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Ramsar wetlands https://wetlandinfo.ehp.qld.gov.au/wetlands/management/national-international-important-wetlands/</w:t>
            </w:r>
          </w:p>
        </w:tc>
        <w:tc>
          <w:tcPr>
            <w:tcW w:w="981" w:type="dxa"/>
            <w:tcBorders>
              <w:top w:val="single" w:sz="4" w:space="0" w:color="auto"/>
              <w:left w:val="single" w:sz="4" w:space="0" w:color="auto"/>
              <w:bottom w:val="single" w:sz="4" w:space="0" w:color="auto"/>
              <w:right w:val="single" w:sz="4" w:space="0" w:color="auto"/>
            </w:tcBorders>
          </w:tcPr>
          <w:p w14:paraId="5761DD43"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D4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D63"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D46"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biodiversity have been documented</w:t>
            </w:r>
          </w:p>
        </w:tc>
        <w:tc>
          <w:tcPr>
            <w:tcW w:w="771" w:type="dxa"/>
            <w:tcBorders>
              <w:top w:val="single" w:sz="4" w:space="0" w:color="auto"/>
              <w:left w:val="single" w:sz="4" w:space="0" w:color="auto"/>
              <w:bottom w:val="single" w:sz="4" w:space="0" w:color="auto"/>
              <w:right w:val="single" w:sz="4" w:space="0" w:color="auto"/>
            </w:tcBorders>
            <w:vAlign w:val="center"/>
          </w:tcPr>
          <w:p w14:paraId="5761DD47"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D48" w14:textId="77777777" w:rsidR="00A56EE9" w:rsidRPr="00E70A11" w:rsidRDefault="00A56EE9" w:rsidP="00A11869">
            <w:pPr>
              <w:pStyle w:val="ListParagraph"/>
              <w:numPr>
                <w:ilvl w:val="0"/>
                <w:numId w:val="17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Biodiversity Conservation Strategy, 2013 identifies actions at broad level. Tangible, on-ground actions from vulnerability assessments need to be built into relevant plans.</w:t>
            </w:r>
          </w:p>
          <w:p w14:paraId="5761DD49" w14:textId="77777777" w:rsidR="00A56EE9" w:rsidRPr="00E70A11" w:rsidRDefault="00A56EE9" w:rsidP="00A11869">
            <w:pPr>
              <w:pStyle w:val="ListParagraph"/>
              <w:numPr>
                <w:ilvl w:val="0"/>
                <w:numId w:val="17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Actions in the Reef 2050 plan relating to biodiversity vary from specific to very general. The broader the threat the less specific the actions are (e.g “Implement ecosystem health initiatives through the Reef Trust Investment Strategy”).</w:t>
            </w:r>
          </w:p>
          <w:p w14:paraId="5761DD4A" w14:textId="77777777" w:rsidR="00A56EE9" w:rsidRPr="00E70A11" w:rsidRDefault="00A56EE9" w:rsidP="00A11869">
            <w:pPr>
              <w:pStyle w:val="ListParagraph"/>
              <w:numPr>
                <w:ilvl w:val="0"/>
                <w:numId w:val="17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Objectives, strategies and actions across various plans relevant to biodiversity generally align well</w:t>
            </w:r>
          </w:p>
          <w:p w14:paraId="5761DD4B"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The blueprint for resilience</w:t>
            </w:r>
            <w:r>
              <w:rPr>
                <w:rStyle w:val="BookTitle"/>
                <w:rFonts w:ascii="Arial Narrow" w:hAnsi="Arial Narrow"/>
                <w:sz w:val="18"/>
                <w:szCs w:val="18"/>
              </w:rPr>
              <w:t xml:space="preserve"> </w:t>
            </w:r>
            <w:r w:rsidRPr="00E70A11">
              <w:rPr>
                <w:rStyle w:val="BookTitle"/>
                <w:rFonts w:ascii="Arial Narrow" w:hAnsi="Arial Narrow"/>
                <w:sz w:val="18"/>
                <w:szCs w:val="18"/>
              </w:rPr>
              <w:t>identifies a number of initiatives including:</w:t>
            </w:r>
          </w:p>
          <w:p w14:paraId="5761DD4C"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Identifying and protecting resilience bright-spots</w:t>
            </w:r>
          </w:p>
          <w:p w14:paraId="5761DD4D"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Expand and extend of COTS control </w:t>
            </w:r>
          </w:p>
          <w:p w14:paraId="5761DD4E"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Protecting key species for reef recovery </w:t>
            </w:r>
          </w:p>
          <w:p w14:paraId="5761DD4F" w14:textId="77777777" w:rsidR="00A56EE9" w:rsidRPr="00E70A11" w:rsidRDefault="00A56EE9" w:rsidP="00BB6AD5">
            <w:pPr>
              <w:rPr>
                <w:rStyle w:val="BookTitle"/>
                <w:rFonts w:ascii="Arial Narrow" w:hAnsi="Arial Narrow"/>
                <w:sz w:val="18"/>
                <w:szCs w:val="18"/>
              </w:rPr>
            </w:pPr>
            <w:proofErr w:type="gramStart"/>
            <w:r w:rsidRPr="00E70A11">
              <w:rPr>
                <w:rStyle w:val="BookTitle"/>
                <w:rFonts w:ascii="Arial Narrow" w:hAnsi="Arial Narrow"/>
                <w:sz w:val="18"/>
                <w:szCs w:val="18"/>
              </w:rPr>
              <w:t>but</w:t>
            </w:r>
            <w:proofErr w:type="gramEnd"/>
            <w:r w:rsidRPr="00E70A11">
              <w:rPr>
                <w:rStyle w:val="BookTitle"/>
                <w:rFonts w:ascii="Arial Narrow" w:hAnsi="Arial Narrow"/>
                <w:sz w:val="18"/>
                <w:szCs w:val="18"/>
              </w:rPr>
              <w:t xml:space="preserve"> these are very broad and non-specific and their appropriateness is yet to be determined – for example whether the concept of resilience bright spots is ecologically credible and useful in terms of reef recovery. </w:t>
            </w:r>
          </w:p>
          <w:p w14:paraId="5761DD50" w14:textId="77777777"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challenge to overall ecosystem health resulting from back-to-back bleaching combined with COTS makes setting realistic and appropriate objectives to recover biodiversity condition extremely challenging</w:t>
            </w:r>
          </w:p>
          <w:p w14:paraId="5761DD51" w14:textId="77777777"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Pest &amp; Weed Management Strategies developed by QPWS at various islands in the WHA</w:t>
            </w:r>
          </w:p>
          <w:p w14:paraId="5761DD52" w14:textId="77777777"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Joint Field Management Program has clearly identified actions and targets for protection of biodiversity values</w:t>
            </w:r>
          </w:p>
          <w:p w14:paraId="5761DD53"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Biodiversity (habitats and species) underpin Matters of State Environmental Significance which are used in planning decisions by managers in Queensland and specific objectives are clearly articulated. </w:t>
            </w:r>
          </w:p>
          <w:p w14:paraId="5761DD54"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Wetlands in the GBR catchments, Management Strategy 2016-21. This strategy promotes an integrated approach to catchment management that considers the multiple values of wetlands in a whole-of-catchment contex</w:t>
            </w:r>
            <w:r>
              <w:rPr>
                <w:rFonts w:ascii="Arial Narrow" w:hAnsi="Arial Narrow"/>
                <w:sz w:val="18"/>
                <w:szCs w:val="18"/>
              </w:rPr>
              <w:t>t</w:t>
            </w:r>
            <w:r w:rsidRPr="00E70A11">
              <w:rPr>
                <w:rFonts w:ascii="Arial Narrow" w:hAnsi="Arial Narrow"/>
                <w:sz w:val="18"/>
                <w:szCs w:val="18"/>
              </w:rPr>
              <w:t xml:space="preserve"> and specifically addresses biodiversity objectives.</w:t>
            </w:r>
          </w:p>
          <w:p w14:paraId="5761DD55"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Information on the biodiversity values of the Wetlands of International Significance (Ramsar) in the GBR</w:t>
            </w:r>
            <w:r>
              <w:rPr>
                <w:rFonts w:ascii="Arial Narrow" w:hAnsi="Arial Narrow"/>
                <w:sz w:val="18"/>
                <w:szCs w:val="18"/>
              </w:rPr>
              <w:t xml:space="preserve"> </w:t>
            </w:r>
            <w:r w:rsidRPr="00E70A11">
              <w:rPr>
                <w:rFonts w:ascii="Arial Narrow" w:hAnsi="Arial Narrow"/>
                <w:sz w:val="18"/>
                <w:szCs w:val="18"/>
              </w:rPr>
              <w:t>and actions to implement specific issues relating to biodiversity are articulated</w:t>
            </w:r>
            <w:r>
              <w:rPr>
                <w:rFonts w:ascii="Arial Narrow" w:hAnsi="Arial Narrow"/>
                <w:sz w:val="18"/>
                <w:szCs w:val="18"/>
              </w:rPr>
              <w:t xml:space="preserve"> </w:t>
            </w:r>
          </w:p>
          <w:p w14:paraId="5761DD56"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There is little comprehensive information on the status of connectivity from catchments to the reef for biodiversity which require these connections </w:t>
            </w:r>
          </w:p>
          <w:p w14:paraId="5761DD57" w14:textId="77777777"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Fonts w:ascii="Arial Narrow" w:hAnsi="Arial Narrow"/>
                <w:sz w:val="18"/>
                <w:szCs w:val="18"/>
              </w:rPr>
              <w:t>No comprehensive map of all the vast and diverse habitats on the whole Great Barrier Reef currently exists. The ‘Live’ Habitat Mapping pilot study is a step towards creating one. Queensland has developed and published an Intertidal and Subtidal habitat classification</w:t>
            </w:r>
          </w:p>
          <w:p w14:paraId="5761DD58"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Wetland extent, types and values associated with the GBR are known and information is available to managers through the on-line website Wetlandi</w:t>
            </w:r>
            <w:r w:rsidRPr="00E70A11">
              <w:rPr>
                <w:rFonts w:ascii="Arial Narrow" w:hAnsi="Arial Narrow"/>
                <w:i/>
                <w:sz w:val="18"/>
                <w:szCs w:val="18"/>
              </w:rPr>
              <w:t>nfo</w:t>
            </w:r>
          </w:p>
          <w:p w14:paraId="5761DD59" w14:textId="77777777" w:rsidR="00A56EE9" w:rsidRPr="00E70A11" w:rsidRDefault="00A56EE9" w:rsidP="00BB6AD5">
            <w:pPr>
              <w:pStyle w:val="ListParagraph"/>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tcPr>
          <w:p w14:paraId="5761DD5A" w14:textId="77777777" w:rsidR="00A56EE9" w:rsidRPr="00E70A11" w:rsidRDefault="00A56EE9" w:rsidP="00A11869">
            <w:pPr>
              <w:pStyle w:val="ListParagraph"/>
              <w:numPr>
                <w:ilvl w:val="0"/>
                <w:numId w:val="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Biodiversity Conservation Strategy 2013</w:t>
            </w:r>
          </w:p>
          <w:p w14:paraId="5761DD5B" w14:textId="77777777" w:rsidR="00A56EE9" w:rsidRPr="00E70A11" w:rsidRDefault="00A56EE9" w:rsidP="00A11869">
            <w:pPr>
              <w:pStyle w:val="ListParagraph"/>
              <w:numPr>
                <w:ilvl w:val="0"/>
                <w:numId w:val="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Strategic Assessment and Program Report</w:t>
            </w:r>
          </w:p>
          <w:p w14:paraId="5761DD5C" w14:textId="77777777" w:rsidR="00A56EE9" w:rsidRPr="00E70A11" w:rsidRDefault="00A56EE9" w:rsidP="00A11869">
            <w:pPr>
              <w:pStyle w:val="ListParagraph"/>
              <w:numPr>
                <w:ilvl w:val="0"/>
                <w:numId w:val="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DD5D" w14:textId="77777777" w:rsidR="00A56EE9" w:rsidRPr="00E70A11" w:rsidRDefault="00A56EE9" w:rsidP="00A11869">
            <w:pPr>
              <w:pStyle w:val="ListParagraph"/>
              <w:numPr>
                <w:ilvl w:val="0"/>
                <w:numId w:val="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Summit: Managing for resilience.</w:t>
            </w:r>
          </w:p>
          <w:p w14:paraId="5761DD5E" w14:textId="77777777" w:rsidR="00A56EE9" w:rsidRPr="00E70A11" w:rsidRDefault="00A56EE9" w:rsidP="00A11869">
            <w:pPr>
              <w:pStyle w:val="ListParagraph"/>
              <w:numPr>
                <w:ilvl w:val="0"/>
                <w:numId w:val="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Pest &amp; Weed Management Strategies under the joint Field management Program and the wider Biosecurity Queensland Program associated with Reef 2050.</w:t>
            </w:r>
          </w:p>
          <w:p w14:paraId="5761DD5F" w14:textId="77777777" w:rsidR="00A56EE9" w:rsidRPr="00E70A11" w:rsidRDefault="00A56EE9" w:rsidP="00A11869">
            <w:pPr>
              <w:pStyle w:val="ListParagraph"/>
              <w:numPr>
                <w:ilvl w:val="0"/>
                <w:numId w:val="48"/>
              </w:numPr>
              <w:spacing w:after="200" w:line="276" w:lineRule="auto"/>
              <w:rPr>
                <w:rFonts w:ascii="Arial Narrow" w:hAnsi="Arial Narrow"/>
                <w:sz w:val="18"/>
                <w:szCs w:val="18"/>
              </w:rPr>
            </w:pPr>
            <w:r w:rsidRPr="00E70A11">
              <w:rPr>
                <w:rFonts w:ascii="Arial Narrow" w:hAnsi="Arial Narrow"/>
                <w:sz w:val="18"/>
                <w:szCs w:val="18"/>
              </w:rPr>
              <w:t>Wetlands in the GBR catchments, Management Strategy 2016-21.</w:t>
            </w:r>
          </w:p>
          <w:p w14:paraId="5761DD60" w14:textId="77777777" w:rsidR="00A56EE9" w:rsidRPr="00E70A11" w:rsidRDefault="00A56EE9" w:rsidP="00A11869">
            <w:pPr>
              <w:pStyle w:val="ListParagraph"/>
              <w:numPr>
                <w:ilvl w:val="0"/>
                <w:numId w:val="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Ramsar wetlands https://wetlandinfo.ehp.qld.gov.au/wetlands/management/national-international-important-wetlands/</w:t>
            </w:r>
          </w:p>
        </w:tc>
        <w:tc>
          <w:tcPr>
            <w:tcW w:w="981" w:type="dxa"/>
            <w:tcBorders>
              <w:top w:val="single" w:sz="4" w:space="0" w:color="auto"/>
              <w:left w:val="single" w:sz="4" w:space="0" w:color="auto"/>
              <w:bottom w:val="single" w:sz="4" w:space="0" w:color="auto"/>
              <w:right w:val="single" w:sz="4" w:space="0" w:color="auto"/>
            </w:tcBorders>
          </w:tcPr>
          <w:p w14:paraId="5761DD61"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D62"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DD7F"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D64"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D65"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D66"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AIMS long term monitoring program (LTMP) for the GBR has been maintained at 47 reefs since 1993 but</w:t>
            </w:r>
            <w:r>
              <w:rPr>
                <w:rStyle w:val="BookTitle"/>
                <w:rFonts w:ascii="Arial Narrow" w:hAnsi="Arial Narrow"/>
                <w:sz w:val="18"/>
                <w:szCs w:val="18"/>
              </w:rPr>
              <w:t xml:space="preserve"> </w:t>
            </w:r>
            <w:r w:rsidRPr="00E70A11">
              <w:rPr>
                <w:rStyle w:val="BookTitle"/>
                <w:rFonts w:ascii="Arial Narrow" w:hAnsi="Arial Narrow"/>
                <w:sz w:val="18"/>
                <w:szCs w:val="18"/>
              </w:rPr>
              <w:t>delays in reporting of AIMS long term monitoring results (2 years) means that information is not available at the time when response strategies need to be developed (e.g. survey of post-Cyclone Debbie impacts won’t be done until 2019)</w:t>
            </w:r>
          </w:p>
          <w:p w14:paraId="5761DD67"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Rate of change of GBR ecosystems presents new challenges for monitoring – in the absence of good information of changes apart from coral cover, extent of bleaching and extent and location of COTS infestations, little is known of likely changes to other elements of biodiversity</w:t>
            </w:r>
          </w:p>
          <w:p w14:paraId="5761DD68"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 through the Paddock to Reef program and other individual activities.</w:t>
            </w:r>
          </w:p>
          <w:p w14:paraId="5761DD69"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Regional Report Cards</w:t>
            </w:r>
          </w:p>
          <w:p w14:paraId="5761DD6A"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Reef 2050 Integrated Monitoring and Reporting Program (RIMREP) is intended to provide an adequate and appropriate monitoring system but it is still in development phase and the realisation of the program will be dependent upon multiple factors including funding and human resourcing</w:t>
            </w:r>
          </w:p>
          <w:p w14:paraId="5761DD6B"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MERIT is used as tool for reporting on projects funded through Reef Trust but is likely to be of limited use in tracking biodiversity condition</w:t>
            </w:r>
          </w:p>
          <w:p w14:paraId="5761DD6C"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Addison et al (2015) report that The GBRWHA is a busy space for environmental monitoring, with 80 monitoring programs associated with the marine environment. Among these, few have a demonstrated capability to detect and measure change in key attributes of the GBRWHA, such as important habitats (e.g. coral reefs and seagrasses), species of conservation concern (megafauna) and important environmental drivers, particularly water quality. They also report that there are gaps in current monitoring. None of the 80 programs have as their primary purpose the monitoring of deeper (&gt;30 m) coral reefs, the lagoon floor, shoals, </w:t>
            </w:r>
            <w:r w:rsidRPr="00E70A11">
              <w:rPr>
                <w:rStyle w:val="BookTitle"/>
                <w:rFonts w:ascii="Arial Narrow" w:hAnsi="Arial Narrow"/>
                <w:i/>
                <w:sz w:val="18"/>
                <w:szCs w:val="18"/>
              </w:rPr>
              <w:t>Halimeda</w:t>
            </w:r>
            <w:r w:rsidRPr="00E70A11">
              <w:rPr>
                <w:rStyle w:val="BookTitle"/>
                <w:rFonts w:ascii="Arial Narrow" w:hAnsi="Arial Narrow"/>
                <w:sz w:val="18"/>
                <w:szCs w:val="18"/>
              </w:rPr>
              <w:t xml:space="preserve"> banks, the continental slope, benthic microalgae, plankton and microbes, or sea snakes. </w:t>
            </w:r>
          </w:p>
          <w:p w14:paraId="5761DD6D" w14:textId="77777777" w:rsidR="00A56EE9" w:rsidRPr="00E70A11" w:rsidRDefault="00A56EE9" w:rsidP="00A11869">
            <w:pPr>
              <w:pStyle w:val="ListParagraph"/>
              <w:numPr>
                <w:ilvl w:val="0"/>
                <w:numId w:val="174"/>
              </w:numPr>
              <w:spacing w:after="200" w:line="276" w:lineRule="auto"/>
              <w:rPr>
                <w:rFonts w:ascii="Arial Narrow" w:hAnsi="Arial Narrow"/>
                <w:sz w:val="18"/>
                <w:szCs w:val="18"/>
              </w:rPr>
            </w:pPr>
            <w:r w:rsidRPr="00E70A11">
              <w:rPr>
                <w:rFonts w:ascii="Arial Narrow" w:hAnsi="Arial Narrow"/>
                <w:sz w:val="18"/>
                <w:szCs w:val="18"/>
              </w:rPr>
              <w:t xml:space="preserve">There is little comprehensive information on the status of connectivity from catchments to the reef for biodiversity which require these connections </w:t>
            </w:r>
          </w:p>
          <w:p w14:paraId="5761DD6E" w14:textId="77777777" w:rsidR="00A56EE9" w:rsidRPr="00E70A11" w:rsidRDefault="00A56EE9" w:rsidP="00BB6AD5">
            <w:pPr>
              <w:pStyle w:val="ListParagraph"/>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tcPr>
          <w:p w14:paraId="5761DD6F"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Integrated Monitoring and Reporting Program</w:t>
            </w:r>
          </w:p>
          <w:p w14:paraId="5761DD70"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 through the Paddock to Reef program Water Quality Improvement Plans</w:t>
            </w:r>
          </w:p>
          <w:p w14:paraId="5761DD71"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Scientific Consensus Statement</w:t>
            </w:r>
          </w:p>
          <w:p w14:paraId="5761DD72"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Addison et al. Towards an integrated monitoring program: Identifying indicators and existing monitoring programs to effectively evaluate the Long Term Sustainability Plan, 2015</w:t>
            </w:r>
          </w:p>
          <w:p w14:paraId="5761DD73"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MERIT</w:t>
            </w:r>
          </w:p>
          <w:p w14:paraId="5761DD74"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LTSP</w:t>
            </w:r>
          </w:p>
          <w:p w14:paraId="5761DD75"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vulnerability assessments</w:t>
            </w:r>
          </w:p>
          <w:p w14:paraId="5761DD76"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DD77"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 Implementation Strategy</w:t>
            </w:r>
          </w:p>
          <w:p w14:paraId="5761DD78"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Whitsundays Plan of Management</w:t>
            </w:r>
          </w:p>
          <w:p w14:paraId="5761DD79"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Regional Report Cards</w:t>
            </w:r>
          </w:p>
          <w:p w14:paraId="5761DD7A"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Integrated Monitoring and Reporting Program (RIMREP)</w:t>
            </w:r>
          </w:p>
          <w:p w14:paraId="5761DD7B"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Addison et al (2015) </w:t>
            </w:r>
            <w:proofErr w:type="gramStart"/>
            <w:r w:rsidRPr="00E70A11">
              <w:rPr>
                <w:rStyle w:val="BookTitle"/>
                <w:rFonts w:ascii="Arial Narrow" w:hAnsi="Arial Narrow"/>
                <w:sz w:val="18"/>
                <w:szCs w:val="18"/>
              </w:rPr>
              <w:t>Are</w:t>
            </w:r>
            <w:proofErr w:type="gramEnd"/>
            <w:r w:rsidRPr="00E70A11">
              <w:rPr>
                <w:rStyle w:val="BookTitle"/>
                <w:rFonts w:ascii="Arial Narrow" w:hAnsi="Arial Narrow"/>
                <w:sz w:val="18"/>
                <w:szCs w:val="18"/>
              </w:rPr>
              <w:t xml:space="preserve"> we missing the boat? Current uses of long-term biological monitoring data in the evaluation and management of marine protected areas. </w:t>
            </w:r>
            <w:r w:rsidRPr="00E70A11">
              <w:rPr>
                <w:rStyle w:val="BookTitle"/>
                <w:rFonts w:ascii="Arial Narrow" w:hAnsi="Arial Narrow"/>
                <w:i/>
                <w:sz w:val="18"/>
                <w:szCs w:val="18"/>
              </w:rPr>
              <w:t>Journal of Environmental Management</w:t>
            </w:r>
            <w:r w:rsidRPr="00E70A11">
              <w:rPr>
                <w:rStyle w:val="BookTitle"/>
                <w:rFonts w:ascii="Arial Narrow" w:hAnsi="Arial Narrow"/>
                <w:sz w:val="18"/>
                <w:szCs w:val="18"/>
              </w:rPr>
              <w:t>. 149, 148–156.</w:t>
            </w:r>
          </w:p>
          <w:p w14:paraId="5761DD7C" w14:textId="77777777" w:rsidR="00A56EE9" w:rsidRPr="00E70A11" w:rsidRDefault="00A56EE9" w:rsidP="00A11869">
            <w:pPr>
              <w:pStyle w:val="ListParagraph"/>
              <w:numPr>
                <w:ilvl w:val="0"/>
                <w:numId w:val="4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 through the Paddock to Reef program</w:t>
            </w:r>
          </w:p>
        </w:tc>
        <w:tc>
          <w:tcPr>
            <w:tcW w:w="981" w:type="dxa"/>
            <w:tcBorders>
              <w:top w:val="single" w:sz="4" w:space="0" w:color="auto"/>
              <w:left w:val="single" w:sz="4" w:space="0" w:color="auto"/>
              <w:bottom w:val="single" w:sz="4" w:space="0" w:color="auto"/>
              <w:right w:val="single" w:sz="4" w:space="0" w:color="auto"/>
            </w:tcBorders>
          </w:tcPr>
          <w:p w14:paraId="5761DD7D"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D7E"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DDA1"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D80"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D81"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DD82"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AIMS, CSIRO and university-based researchers are significantly engaged in research, monitoring and planning for management of biodiversity in the GBR</w:t>
            </w:r>
          </w:p>
          <w:p w14:paraId="5761DD83"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Some stakeholders report that levels of cooperation between main research bodies has declined in the last few years</w:t>
            </w:r>
          </w:p>
          <w:p w14:paraId="5761DD84"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Strategic Assessment and Outlook processes have brought researchers and stakeholders together to review knowledge and understanding of GBR issues, risks and condition</w:t>
            </w:r>
          </w:p>
          <w:p w14:paraId="5761DD85"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Summit brought key stakeholders together to plan strategy in response to back-to-back bleaching and other impacts on GBR biodiversity</w:t>
            </w:r>
          </w:p>
          <w:p w14:paraId="5761DD86"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Some stakeholders report that staff declines in GBRMPA especially in biodiversity specialists has impacts in extent of engagement with other scientists and stakeholders</w:t>
            </w:r>
          </w:p>
          <w:p w14:paraId="5761DD87"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Raine Island Recovery Project has two formal groups now established by the Queensland Minister for National Parks.</w:t>
            </w:r>
            <w:r>
              <w:rPr>
                <w:rStyle w:val="BookTitle"/>
                <w:rFonts w:ascii="Arial Narrow" w:hAnsi="Arial Narrow"/>
                <w:sz w:val="18"/>
                <w:szCs w:val="18"/>
              </w:rPr>
              <w:t xml:space="preserve"> </w:t>
            </w:r>
            <w:r w:rsidRPr="00E70A11">
              <w:rPr>
                <w:rStyle w:val="BookTitle"/>
                <w:rFonts w:ascii="Arial Narrow" w:hAnsi="Arial Narrow"/>
                <w:sz w:val="18"/>
                <w:szCs w:val="18"/>
              </w:rPr>
              <w:t>The Raine Island Reference Group and Raine Island Scientific Advisory Group.</w:t>
            </w:r>
            <w:r>
              <w:rPr>
                <w:rStyle w:val="BookTitle"/>
                <w:rFonts w:ascii="Arial Narrow" w:hAnsi="Arial Narrow"/>
                <w:sz w:val="18"/>
                <w:szCs w:val="18"/>
              </w:rPr>
              <w:t xml:space="preserve"> </w:t>
            </w:r>
          </w:p>
          <w:p w14:paraId="5761DD88"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Walking the landscape involves a number of stakeholders including scientists, farmers, </w:t>
            </w:r>
            <w:proofErr w:type="gramStart"/>
            <w:r w:rsidRPr="00E70A11">
              <w:rPr>
                <w:rStyle w:val="BookTitle"/>
                <w:rFonts w:ascii="Arial Narrow" w:hAnsi="Arial Narrow"/>
                <w:sz w:val="18"/>
                <w:szCs w:val="18"/>
              </w:rPr>
              <w:t>extension</w:t>
            </w:r>
            <w:proofErr w:type="gramEnd"/>
            <w:r w:rsidRPr="00E70A11">
              <w:rPr>
                <w:rStyle w:val="BookTitle"/>
                <w:rFonts w:ascii="Arial Narrow" w:hAnsi="Arial Narrow"/>
                <w:sz w:val="18"/>
                <w:szCs w:val="18"/>
              </w:rPr>
              <w:t xml:space="preserve"> officers, governments to determine how water moves in the landscape and how it may affect biodiversity.</w:t>
            </w:r>
            <w:r>
              <w:rPr>
                <w:rStyle w:val="BookTitle"/>
                <w:rFonts w:ascii="Arial Narrow" w:hAnsi="Arial Narrow"/>
                <w:sz w:val="18"/>
                <w:szCs w:val="18"/>
              </w:rPr>
              <w:t xml:space="preserve"> </w:t>
            </w:r>
            <w:r w:rsidRPr="00E70A11">
              <w:rPr>
                <w:rStyle w:val="BookTitle"/>
                <w:rFonts w:ascii="Arial Narrow" w:hAnsi="Arial Narrow"/>
                <w:sz w:val="18"/>
                <w:szCs w:val="18"/>
              </w:rPr>
              <w:t>The process has been run for most catchments of the GBR.</w:t>
            </w:r>
          </w:p>
          <w:p w14:paraId="5761DD89" w14:textId="77777777" w:rsidR="00A56EE9" w:rsidRPr="00E70A11" w:rsidRDefault="00A56EE9" w:rsidP="00A11869">
            <w:pPr>
              <w:pStyle w:val="ListParagraph"/>
              <w:numPr>
                <w:ilvl w:val="0"/>
                <w:numId w:val="174"/>
              </w:numPr>
              <w:spacing w:after="200" w:line="276" w:lineRule="auto"/>
              <w:rPr>
                <w:rFonts w:ascii="Arial Narrow" w:hAnsi="Arial Narrow"/>
                <w:sz w:val="18"/>
                <w:szCs w:val="18"/>
              </w:rPr>
            </w:pPr>
            <w:r w:rsidRPr="00E70A11">
              <w:rPr>
                <w:rFonts w:ascii="Arial Narrow" w:hAnsi="Arial Narrow"/>
                <w:sz w:val="18"/>
                <w:szCs w:val="18"/>
              </w:rPr>
              <w:t>A Queensland Wetlands Governance Group and GBR Wetlands Network link key managers and practitioners and meet and collaborate.</w:t>
            </w:r>
          </w:p>
          <w:p w14:paraId="5761DD8A"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 Plan of Management underwent a consultation period for the WPOM amendments in 2017 and was developed in consultation with Traditional Owners, local stakeholders, community members and tourism operators</w:t>
            </w:r>
          </w:p>
          <w:p w14:paraId="5761DD8B" w14:textId="77777777" w:rsidR="00A56EE9" w:rsidRPr="00E70A11" w:rsidRDefault="00A56EE9" w:rsidP="00A11869">
            <w:pPr>
              <w:pStyle w:val="ListParagraph"/>
              <w:numPr>
                <w:ilvl w:val="0"/>
                <w:numId w:val="1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Indigenous Land Use Agreement is between Queensland QPWS and two traditional owner parties. The ILUA is between Queensland QPWS and two traditional owner parties.</w:t>
            </w:r>
            <w:r>
              <w:rPr>
                <w:rStyle w:val="BookTitle"/>
                <w:rFonts w:ascii="Arial Narrow" w:hAnsi="Arial Narrow"/>
                <w:sz w:val="18"/>
                <w:szCs w:val="18"/>
              </w:rPr>
              <w:t xml:space="preserve"> </w:t>
            </w:r>
            <w:r w:rsidRPr="00E70A11">
              <w:rPr>
                <w:rStyle w:val="BookTitle"/>
                <w:rFonts w:ascii="Arial Narrow" w:hAnsi="Arial Narrow"/>
                <w:sz w:val="18"/>
                <w:szCs w:val="18"/>
              </w:rPr>
              <w:t>One is Wuthathi and the other is Kemer Kemer Meriam Nation (Erubam Le and Meriam Le and Ugarem Le).</w:t>
            </w:r>
            <w:r>
              <w:rPr>
                <w:rStyle w:val="BookTitle"/>
                <w:rFonts w:ascii="Arial Narrow" w:hAnsi="Arial Narrow"/>
                <w:sz w:val="18"/>
                <w:szCs w:val="18"/>
              </w:rPr>
              <w:t xml:space="preserve"> </w:t>
            </w:r>
            <w:r w:rsidRPr="00E70A11">
              <w:rPr>
                <w:rStyle w:val="BookTitle"/>
                <w:rFonts w:ascii="Arial Narrow" w:hAnsi="Arial Narrow"/>
                <w:sz w:val="18"/>
                <w:szCs w:val="18"/>
              </w:rPr>
              <w:t>As long as the ILUA has been in place there has been at least an annual meeting with the groups regarding Raine Island management.</w:t>
            </w:r>
          </w:p>
        </w:tc>
        <w:tc>
          <w:tcPr>
            <w:tcW w:w="4016" w:type="dxa"/>
            <w:tcBorders>
              <w:top w:val="single" w:sz="4" w:space="0" w:color="auto"/>
              <w:left w:val="single" w:sz="4" w:space="0" w:color="auto"/>
              <w:bottom w:val="single" w:sz="4" w:space="0" w:color="auto"/>
              <w:right w:val="single" w:sz="4" w:space="0" w:color="auto"/>
            </w:tcBorders>
          </w:tcPr>
          <w:p w14:paraId="5761DD8C"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Integrated Monitoring and Reporting Program</w:t>
            </w:r>
          </w:p>
          <w:p w14:paraId="5761DD8D"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Water Quality Improvement Plan</w:t>
            </w:r>
          </w:p>
          <w:p w14:paraId="5761DD8E"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 Plan of Management amendment</w:t>
            </w:r>
          </w:p>
          <w:p w14:paraId="5761DD8F"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Strategy and Information Needs 2014-2019</w:t>
            </w:r>
          </w:p>
          <w:p w14:paraId="5761DD90"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Managing for a resilience GBRMP – Reef Summit May 2017</w:t>
            </w:r>
          </w:p>
          <w:p w14:paraId="5761DD91"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Trust</w:t>
            </w:r>
          </w:p>
          <w:p w14:paraId="5761DD92"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Major Integrated Programs – Burdekin and Wet Tropics</w:t>
            </w:r>
          </w:p>
          <w:p w14:paraId="5761DD93"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Walking the landscape process</w:t>
            </w:r>
          </w:p>
          <w:p w14:paraId="5761DD94"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National Environmental Science Program (NESP) projects of particular relevance include:</w:t>
            </w:r>
          </w:p>
          <w:p w14:paraId="5761DD95" w14:textId="77777777" w:rsidR="00A56EE9" w:rsidRPr="00E70A11" w:rsidRDefault="00A56EE9" w:rsidP="00A11869">
            <w:pPr>
              <w:pStyle w:val="ListParagraph"/>
              <w:numPr>
                <w:ilvl w:val="1"/>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Tropical Water Quality Hub</w:t>
            </w:r>
          </w:p>
          <w:p w14:paraId="5761DD96" w14:textId="77777777" w:rsidR="00A56EE9" w:rsidRPr="00E70A11" w:rsidRDefault="00A56EE9" w:rsidP="00A11869">
            <w:pPr>
              <w:pStyle w:val="ListParagraph"/>
              <w:numPr>
                <w:ilvl w:val="1"/>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3.8 Towards an integrated monitoring program: identifying indicators and existing monitoring programs to cost effectively evaluate the Long Term Sustainability Plan</w:t>
            </w:r>
          </w:p>
          <w:p w14:paraId="5761DD97" w14:textId="77777777" w:rsidR="00A56EE9" w:rsidRPr="00E70A11" w:rsidRDefault="00A56EE9" w:rsidP="00A11869">
            <w:pPr>
              <w:pStyle w:val="ListParagraph"/>
              <w:numPr>
                <w:ilvl w:val="1"/>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3.11 Monitoring and adaptively reducing system-wide governance risks facing the GBR.</w:t>
            </w:r>
          </w:p>
          <w:p w14:paraId="5761DD98"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Raine Island Reference Group </w:t>
            </w:r>
          </w:p>
          <w:p w14:paraId="5761DD99"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Raine Island Scientific Advisory Group</w:t>
            </w:r>
          </w:p>
          <w:p w14:paraId="5761DD9A"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 Plan of Management</w:t>
            </w:r>
          </w:p>
          <w:p w14:paraId="5761DD9B" w14:textId="77777777"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Wetlands Program</w:t>
            </w:r>
          </w:p>
          <w:p w14:paraId="5761DD9C" w14:textId="1C936D6F"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Walking the Landscape </w:t>
            </w:r>
            <w:hyperlink r:id="rId72" w:tooltip="document link" w:history="1">
              <w:r w:rsidRPr="00E70A11">
                <w:rPr>
                  <w:rStyle w:val="Hyperlink"/>
                  <w:rFonts w:ascii="Arial Narrow" w:hAnsi="Arial Narrow"/>
                  <w:sz w:val="18"/>
                  <w:szCs w:val="18"/>
                </w:rPr>
                <w:t>https://wetlandinfo.ehp.qld.gov.au/resources/static/pdf/ecology/connectivity/walking-the-landscape-15-02-13.pdf</w:t>
              </w:r>
            </w:hyperlink>
          </w:p>
          <w:p w14:paraId="5761DD9D" w14:textId="53DCEA1B" w:rsidR="00A56EE9" w:rsidRPr="00E70A11" w:rsidRDefault="00A56EE9" w:rsidP="00A11869">
            <w:pPr>
              <w:pStyle w:val="ListParagraph"/>
              <w:numPr>
                <w:ilvl w:val="0"/>
                <w:numId w:val="5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Catchment stories </w:t>
            </w:r>
            <w:hyperlink r:id="rId73" w:tooltip="document link" w:history="1">
              <w:r w:rsidRPr="00E70A11">
                <w:rPr>
                  <w:rStyle w:val="Hyperlink"/>
                  <w:rFonts w:ascii="Arial Narrow" w:hAnsi="Arial Narrow"/>
                  <w:sz w:val="18"/>
                  <w:szCs w:val="18"/>
                </w:rPr>
                <w:t>https://wetlandinfo.ehp.qld.gov.au/wetlands/ecology/processes-systems/water/catchment-stories/</w:t>
              </w:r>
            </w:hyperlink>
          </w:p>
          <w:p w14:paraId="5761DD9E" w14:textId="77777777" w:rsidR="00A56EE9" w:rsidRPr="00E70A11" w:rsidRDefault="00A56EE9" w:rsidP="00BB6AD5">
            <w:pPr>
              <w:pStyle w:val="ListParagraph"/>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D9F"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DA0"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DDBE"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DA2"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DA3"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DA4"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EPBC and GBRMPA Acts combined provide adequate mandate for Biodiversity protection.</w:t>
            </w:r>
          </w:p>
          <w:p w14:paraId="5761DDA5"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Statutory requirements for public consultation are met by managing agencies. </w:t>
            </w:r>
          </w:p>
          <w:p w14:paraId="5761DDA6"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High level of policy integration across levels of government through mechanisms such as Intergovernmental </w:t>
            </w:r>
            <w:r>
              <w:rPr>
                <w:rStyle w:val="BookTitle"/>
                <w:rFonts w:ascii="Arial Narrow" w:hAnsi="Arial Narrow"/>
                <w:sz w:val="18"/>
                <w:szCs w:val="18"/>
              </w:rPr>
              <w:t>A</w:t>
            </w:r>
            <w:r w:rsidRPr="00E70A11">
              <w:rPr>
                <w:rStyle w:val="BookTitle"/>
                <w:rFonts w:ascii="Arial Narrow" w:hAnsi="Arial Narrow"/>
                <w:sz w:val="18"/>
                <w:szCs w:val="18"/>
              </w:rPr>
              <w:t>greement, Ministerial Forum, joint business plans, Reef Trust etc</w:t>
            </w:r>
          </w:p>
          <w:p w14:paraId="5761DDA7"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has a number of policies, position statements, strategies and guidelines to address biodiversity protection including vulnerability statements. </w:t>
            </w:r>
          </w:p>
          <w:p w14:paraId="5761DDA8"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review completed by Jacobs found that legislation for the protection and management of the Great Barrier Reef is generally comprehensive. They found that gaps exist in the areas of climate change and agriculture. However these are precisely the areas that are having greatest impact on the condition of the GBR. Many stakeholders argue that these areas still lack effective policy response at whole of government level and in the absence of this, impacts on the GBR will continue to exacerbate.</w:t>
            </w:r>
          </w:p>
          <w:p w14:paraId="5761DDA9"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addresses impacts from agriculture but did not address climate change.</w:t>
            </w:r>
          </w:p>
          <w:p w14:paraId="5761DDAA"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Summit/Resilience report (2017) has made a start in addressing climate change impacts but action at GBRMP level will have limited impact in the absence of effective whole of government policy and action.</w:t>
            </w:r>
          </w:p>
          <w:p w14:paraId="5761DDAB"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Fonts w:ascii="Arial Narrow" w:hAnsi="Arial Narrow"/>
                <w:sz w:val="18"/>
                <w:szCs w:val="18"/>
              </w:rPr>
              <w:t xml:space="preserve">Biodiversity (habitats and species) underpin Matters of State Environmental Significance which are used in planning decisions by managers in Queensland and specific objectives are clearly articulated. </w:t>
            </w:r>
          </w:p>
        </w:tc>
        <w:tc>
          <w:tcPr>
            <w:tcW w:w="4016" w:type="dxa"/>
            <w:tcBorders>
              <w:top w:val="single" w:sz="4" w:space="0" w:color="auto"/>
              <w:left w:val="single" w:sz="4" w:space="0" w:color="auto"/>
              <w:bottom w:val="single" w:sz="4" w:space="0" w:color="auto"/>
              <w:right w:val="single" w:sz="4" w:space="0" w:color="auto"/>
            </w:tcBorders>
          </w:tcPr>
          <w:p w14:paraId="5761DDAC"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Jacobs (2014) Institutional and legal mechanisms that provide coordinated planning, protection and management of the Great Barrier Reef World Heritage Area. Report to the Department of Environment.</w:t>
            </w:r>
          </w:p>
          <w:p w14:paraId="5761DDAD"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GBRMPA’s policies: http://www.gbrmpa.gov.au/about-us/legislation-regulations-and-policies/policies-and-position-statements)</w:t>
            </w:r>
          </w:p>
          <w:p w14:paraId="5761DDAE"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EBPC Act 1999</w:t>
            </w:r>
          </w:p>
          <w:p w14:paraId="5761DDAF"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 Act 1973</w:t>
            </w:r>
          </w:p>
          <w:p w14:paraId="5761DDB0"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Net Benefit Policy</w:t>
            </w:r>
          </w:p>
          <w:p w14:paraId="5761DDB1"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Cumulative impact management policy</w:t>
            </w:r>
          </w:p>
          <w:p w14:paraId="5761DDB2"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Managing cumulative impacts and achieving no net loss and net benefit outcomes for the Great Barrier Reef: A review of current understanding and application for management</w:t>
            </w:r>
          </w:p>
          <w:p w14:paraId="5761DDB3"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Case Studies</w:t>
            </w:r>
          </w:p>
          <w:p w14:paraId="5761DDB4"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Planning for priority ports</w:t>
            </w:r>
          </w:p>
          <w:p w14:paraId="5761DDB5"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Marine park permission system</w:t>
            </w:r>
          </w:p>
          <w:p w14:paraId="5761DDB6"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Traditional use of marine resources</w:t>
            </w:r>
          </w:p>
          <w:p w14:paraId="5761DDB7"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Plans of management</w:t>
            </w:r>
          </w:p>
          <w:p w14:paraId="5761DDB8"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stewardship</w:t>
            </w:r>
          </w:p>
          <w:p w14:paraId="5761DDB9"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Day, J.C. (in press), How effective is the management of the Great Barrier Reef? ICES Journal of Marine Science </w:t>
            </w:r>
          </w:p>
          <w:p w14:paraId="5761DDBA" w14:textId="77777777" w:rsidR="00A56EE9" w:rsidRPr="00E70A11"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Agardy T (in press) Counterpoint to Day ICES Journal of Marine Science</w:t>
            </w:r>
          </w:p>
          <w:p w14:paraId="5761DDBB" w14:textId="3B5EE022" w:rsidR="00A56EE9" w:rsidRPr="00F80132" w:rsidRDefault="00A56EE9" w:rsidP="00A11869">
            <w:pPr>
              <w:pStyle w:val="ListParagraph"/>
              <w:numPr>
                <w:ilvl w:val="0"/>
                <w:numId w:val="5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are a broad range of Queensland planning and legislative arrangements for biodiversity</w:t>
            </w:r>
            <w:r>
              <w:rPr>
                <w:rStyle w:val="BookTitle"/>
                <w:rFonts w:ascii="Arial Narrow" w:hAnsi="Arial Narrow"/>
                <w:sz w:val="18"/>
                <w:szCs w:val="18"/>
              </w:rPr>
              <w:t xml:space="preserve"> </w:t>
            </w:r>
            <w:hyperlink r:id="rId74" w:tooltip="document link" w:history="1">
              <w:r w:rsidRPr="00E70A11">
                <w:rPr>
                  <w:rStyle w:val="Hyperlink"/>
                  <w:rFonts w:ascii="Arial Narrow" w:hAnsi="Arial Narrow"/>
                  <w:sz w:val="18"/>
                  <w:szCs w:val="18"/>
                </w:rPr>
                <w:t>https://wetlandinfo.ehp.qld.gov.au/wetlands/management/policy-legislation/</w:t>
              </w:r>
            </w:hyperlink>
          </w:p>
        </w:tc>
        <w:tc>
          <w:tcPr>
            <w:tcW w:w="981" w:type="dxa"/>
            <w:tcBorders>
              <w:top w:val="single" w:sz="4" w:space="0" w:color="auto"/>
              <w:left w:val="single" w:sz="4" w:space="0" w:color="auto"/>
              <w:bottom w:val="single" w:sz="4" w:space="0" w:color="auto"/>
              <w:right w:val="single" w:sz="4" w:space="0" w:color="auto"/>
            </w:tcBorders>
          </w:tcPr>
          <w:p w14:paraId="5761DDBC"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DB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DD4"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shd w:val="clear" w:color="auto" w:fill="FFFFFF"/>
          </w:tcPr>
          <w:p w14:paraId="5761DDBF" w14:textId="77777777" w:rsidR="00A56EE9" w:rsidRPr="00E70A11" w:rsidRDefault="00A56EE9" w:rsidP="00BB6AD5">
            <w:pPr>
              <w:pStyle w:val="Tablebulletlist"/>
              <w:rPr>
                <w:rStyle w:val="BookTitle"/>
              </w:rPr>
            </w:pPr>
            <w:r w:rsidRPr="00E70A11">
              <w:rPr>
                <w:rStyle w:val="BookTitle"/>
              </w:rPr>
              <w:t>PL8 There is consistency across jurisdictions when planning for biodiversity</w:t>
            </w:r>
          </w:p>
        </w:tc>
        <w:tc>
          <w:tcPr>
            <w:tcW w:w="771" w:type="dxa"/>
            <w:tcBorders>
              <w:top w:val="single" w:sz="4" w:space="0" w:color="auto"/>
              <w:left w:val="single" w:sz="4" w:space="0" w:color="auto"/>
              <w:bottom w:val="single" w:sz="4" w:space="0" w:color="auto"/>
              <w:right w:val="single" w:sz="4" w:space="0" w:color="auto"/>
            </w:tcBorders>
            <w:shd w:val="clear" w:color="auto" w:fill="FFFFFF"/>
            <w:vAlign w:val="center"/>
          </w:tcPr>
          <w:p w14:paraId="5761DDC0"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shd w:val="clear" w:color="auto" w:fill="FFFFFF"/>
          </w:tcPr>
          <w:p w14:paraId="5761DDC1"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High level of policy integration across levels of government through mechanisms such as Intergovernmental agreement, Ministerial Forum, joint business plans, Reef Trust etc</w:t>
            </w:r>
          </w:p>
          <w:p w14:paraId="5761DDC2"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Zoning and management plans mostly consistent</w:t>
            </w:r>
          </w:p>
          <w:p w14:paraId="5761DDC3"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IGA for field management provides for joint actions irrespective of jurisdiction</w:t>
            </w:r>
          </w:p>
          <w:p w14:paraId="5761DDC4"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Comprehensive strategic assessment provided strong alignment for planning over the next 25 years.</w:t>
            </w:r>
          </w:p>
          <w:p w14:paraId="5761DDC5"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There are many examples of consistency (eg. complementary zoning, joint permitting, plans of management, port management plans, defence environmental planning, </w:t>
            </w:r>
            <w:proofErr w:type="gramStart"/>
            <w:r w:rsidRPr="00E70A11">
              <w:rPr>
                <w:rStyle w:val="BookTitle"/>
                <w:rFonts w:ascii="Arial Narrow" w:hAnsi="Arial Narrow"/>
                <w:sz w:val="18"/>
                <w:szCs w:val="18"/>
              </w:rPr>
              <w:t>shipping</w:t>
            </w:r>
            <w:proofErr w:type="gramEnd"/>
            <w:r w:rsidRPr="00E70A11">
              <w:rPr>
                <w:rStyle w:val="BookTitle"/>
                <w:rFonts w:ascii="Arial Narrow" w:hAnsi="Arial Narrow"/>
                <w:sz w:val="18"/>
                <w:szCs w:val="18"/>
              </w:rPr>
              <w:t xml:space="preserve"> planning) but examples also exist of a lack of consistency (eg. Qld Fish Habitat Zone &amp; GBRMPA Habitat Protection Zone; coordinated offsets policies (or lack thereof)</w:t>
            </w:r>
          </w:p>
          <w:p w14:paraId="5761DDC6"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 presents actions to protect the values, health and resilience, while allowing ecological sustainable use.</w:t>
            </w:r>
          </w:p>
          <w:p w14:paraId="5761DDC7"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will help track progress towards targets and objectives under the plan’s seven themes: ecosystem health, biodiversity, heritage, water quality, community benefits, economic benefits, governance and reporting</w:t>
            </w:r>
          </w:p>
          <w:p w14:paraId="5761DDC8" w14:textId="77777777" w:rsidR="00A56EE9" w:rsidRPr="00E70A11" w:rsidRDefault="00A56EE9" w:rsidP="00A11869">
            <w:pPr>
              <w:pStyle w:val="ListParagraph"/>
              <w:numPr>
                <w:ilvl w:val="0"/>
                <w:numId w:val="1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Improvements to the way we manage all new Marine Parks permission applications, including continuations of existing permissions, came into effect October 2017</w:t>
            </w:r>
          </w:p>
        </w:tc>
        <w:tc>
          <w:tcPr>
            <w:tcW w:w="4016" w:type="dxa"/>
            <w:tcBorders>
              <w:top w:val="single" w:sz="4" w:space="0" w:color="auto"/>
              <w:left w:val="single" w:sz="4" w:space="0" w:color="auto"/>
              <w:bottom w:val="single" w:sz="4" w:space="0" w:color="auto"/>
              <w:right w:val="single" w:sz="4" w:space="0" w:color="auto"/>
            </w:tcBorders>
            <w:shd w:val="clear" w:color="auto" w:fill="FFFFFF"/>
          </w:tcPr>
          <w:p w14:paraId="5761DDC9" w14:textId="77777777" w:rsidR="00A56EE9" w:rsidRPr="00E70A11" w:rsidRDefault="00A56EE9" w:rsidP="00A11869">
            <w:pPr>
              <w:pStyle w:val="ListParagraph"/>
              <w:numPr>
                <w:ilvl w:val="0"/>
                <w:numId w:val="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Plans of management</w:t>
            </w:r>
          </w:p>
          <w:p w14:paraId="5761DDCA" w14:textId="77777777" w:rsidR="00A56EE9" w:rsidRPr="00E70A11" w:rsidRDefault="00A56EE9" w:rsidP="00A11869">
            <w:pPr>
              <w:pStyle w:val="ListParagraph"/>
              <w:numPr>
                <w:ilvl w:val="0"/>
                <w:numId w:val="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Zoning Plan</w:t>
            </w:r>
          </w:p>
          <w:p w14:paraId="5761DDCB" w14:textId="77777777" w:rsidR="00A56EE9" w:rsidRPr="00E70A11" w:rsidRDefault="00A56EE9" w:rsidP="00A11869">
            <w:pPr>
              <w:pStyle w:val="ListParagraph"/>
              <w:numPr>
                <w:ilvl w:val="0"/>
                <w:numId w:val="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2050 Water Quality Improvement Plan </w:t>
            </w:r>
          </w:p>
          <w:p w14:paraId="5761DDCC" w14:textId="77777777" w:rsidR="00A56EE9" w:rsidRPr="00E70A11" w:rsidRDefault="00A56EE9" w:rsidP="00A11869">
            <w:pPr>
              <w:pStyle w:val="ListParagraph"/>
              <w:numPr>
                <w:ilvl w:val="0"/>
                <w:numId w:val="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w:t>
            </w:r>
          </w:p>
          <w:p w14:paraId="5761DDCD" w14:textId="77777777" w:rsidR="00A56EE9" w:rsidRPr="00E70A11" w:rsidRDefault="00A56EE9" w:rsidP="00A11869">
            <w:pPr>
              <w:pStyle w:val="ListParagraph"/>
              <w:numPr>
                <w:ilvl w:val="0"/>
                <w:numId w:val="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Joint permits</w:t>
            </w:r>
          </w:p>
          <w:p w14:paraId="5761DDCE" w14:textId="77777777" w:rsidR="00A56EE9" w:rsidRPr="00E70A11" w:rsidRDefault="00A56EE9" w:rsidP="00A11869">
            <w:pPr>
              <w:pStyle w:val="ListParagraph"/>
              <w:numPr>
                <w:ilvl w:val="0"/>
                <w:numId w:val="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Australian National Guidelines for Whale and Dolphin Watching 2017</w:t>
            </w:r>
          </w:p>
          <w:p w14:paraId="5761DDCF" w14:textId="77777777" w:rsidR="00A56EE9" w:rsidRPr="00E70A11" w:rsidRDefault="00A56EE9" w:rsidP="00A11869">
            <w:pPr>
              <w:pStyle w:val="ListParagraph"/>
              <w:numPr>
                <w:ilvl w:val="0"/>
                <w:numId w:val="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Intergovernmental Agreement for the Great Barrier Reef (revised in 2015 ) http://www.environment.gov.au/marine/gbr/protecting-the-reef/intergovernmental-agreement</w:t>
            </w:r>
          </w:p>
          <w:p w14:paraId="5761DDD0" w14:textId="77777777" w:rsidR="00A56EE9" w:rsidRPr="00E70A11" w:rsidRDefault="00A56EE9" w:rsidP="00A11869">
            <w:pPr>
              <w:pStyle w:val="ListParagraph"/>
              <w:numPr>
                <w:ilvl w:val="0"/>
                <w:numId w:val="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Jacobs (2014) Institutional and legal mechanisms that provide coordinated planning, protection and management of the Great Barrier Reef World Heritage Area. Report to the Department of Environment.</w:t>
            </w:r>
          </w:p>
          <w:p w14:paraId="5761DDD1"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shd w:val="clear" w:color="auto" w:fill="FFFFFF"/>
          </w:tcPr>
          <w:p w14:paraId="5761DDD2"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shd w:val="clear" w:color="auto" w:fill="FFFFFF"/>
          </w:tcPr>
          <w:p w14:paraId="5761DDD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DE9"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shd w:val="clear" w:color="auto" w:fill="auto"/>
          </w:tcPr>
          <w:p w14:paraId="5761DDD5"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biodiversity provide certainty regarding where uses may occur, the type of activities allowed, conditions under which activities may proceed and circumstances where impacts are likely to be acceptable.</w:t>
            </w:r>
          </w:p>
        </w:tc>
        <w:tc>
          <w:tcPr>
            <w:tcW w:w="771" w:type="dxa"/>
            <w:tcBorders>
              <w:top w:val="single" w:sz="4" w:space="0" w:color="auto"/>
              <w:left w:val="single" w:sz="4" w:space="0" w:color="auto"/>
              <w:bottom w:val="single" w:sz="4" w:space="0" w:color="auto"/>
              <w:right w:val="single" w:sz="4" w:space="0" w:color="auto"/>
            </w:tcBorders>
            <w:vAlign w:val="center"/>
          </w:tcPr>
          <w:p w14:paraId="5761DDD6"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DD7"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Improving certainty is one of the proposed measures to strengthen foundational management in the draft GBR Region Strategic Direction Program Report</w:t>
            </w:r>
          </w:p>
          <w:p w14:paraId="5761DDD8"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Zoning Plans (GBRMPA and GBRCMP) provide certainty for what activities can occur in what zones but do not provide a plan or certainty as to where activities can occur, which may proceed (with the exception of limited impact research covered under the accreditation scheme in the GBRMP Regulations – r19-20) and circumstances where impacts are likely to be acceptable.</w:t>
            </w:r>
          </w:p>
          <w:p w14:paraId="5761DDD9"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Activities that require a permit (e.g. ports, dredging, pontoons, tourism programs) are assessed on a case by case basis. Therefore ‘caps’ on certain types of activities are only ever enforced through an assessment where a site plan/plan of management exists. In those cases the main type of activity managed in any ‘cumulative manner’ is tourism visitor numbers, vessel size and pontoons in high tourism areas. </w:t>
            </w:r>
          </w:p>
          <w:p w14:paraId="5761DDDA"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Scientific research, especially around research stations is also managed on a case by case basis. Therefore, a number of researchers acting under different permits, could in essence cause localised depletion of popular study species. Research station manages in some cases do attempt to play a site management role, requesting collection data from each researcher, however this is usually after the fact, and not pre-emptive. GBRMPA also requests research collection reports. This data is sometimes checked against permits for compliance purposes but resources for data entry and database systems to enable the capture of actual cumulative take from an area is not in place. Therefore, an understanding of actual cumulative take from research is unknown. Compared to other activities, the permitted take limits by researchers is low risk and minimal. </w:t>
            </w:r>
          </w:p>
          <w:p w14:paraId="5761DDDB"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Preservation zones, dugong protection areas provide restrictions on activities that may impact on areas of particular biodiversity significance</w:t>
            </w:r>
          </w:p>
          <w:p w14:paraId="5761DDDC"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Fonts w:ascii="Arial Narrow" w:hAnsi="Arial Narrow"/>
                <w:sz w:val="18"/>
                <w:szCs w:val="18"/>
              </w:rPr>
              <w:t xml:space="preserve">Biodiversity (habitats and species) underpin Matters of State Environmental Significance which are used in planning decisions by managers in Queensland and specific objectives are clearly articulated. </w:t>
            </w:r>
          </w:p>
        </w:tc>
        <w:tc>
          <w:tcPr>
            <w:tcW w:w="4016" w:type="dxa"/>
            <w:tcBorders>
              <w:top w:val="single" w:sz="4" w:space="0" w:color="auto"/>
              <w:left w:val="single" w:sz="4" w:space="0" w:color="auto"/>
              <w:bottom w:val="single" w:sz="4" w:space="0" w:color="auto"/>
              <w:right w:val="single" w:sz="4" w:space="0" w:color="auto"/>
            </w:tcBorders>
          </w:tcPr>
          <w:p w14:paraId="5761DDDD" w14:textId="77777777" w:rsidR="00A56EE9" w:rsidRPr="00E70A11" w:rsidRDefault="00A56EE9" w:rsidP="00A11869">
            <w:pPr>
              <w:pStyle w:val="ListParagraph"/>
              <w:numPr>
                <w:ilvl w:val="0"/>
                <w:numId w:val="5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Permits</w:t>
            </w:r>
          </w:p>
          <w:p w14:paraId="5761DDDE" w14:textId="77777777" w:rsidR="00A56EE9" w:rsidRPr="00E70A11" w:rsidRDefault="00A56EE9" w:rsidP="00A11869">
            <w:pPr>
              <w:pStyle w:val="ListParagraph"/>
              <w:numPr>
                <w:ilvl w:val="0"/>
                <w:numId w:val="5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Marine Park Zoning Plan 2003</w:t>
            </w:r>
          </w:p>
          <w:p w14:paraId="5761DDDF" w14:textId="77777777" w:rsidR="00A56EE9" w:rsidRPr="00E70A11" w:rsidRDefault="00A56EE9" w:rsidP="00A11869">
            <w:pPr>
              <w:pStyle w:val="ListParagraph"/>
              <w:numPr>
                <w:ilvl w:val="0"/>
                <w:numId w:val="5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permits</w:t>
            </w:r>
          </w:p>
          <w:p w14:paraId="5761DDE0" w14:textId="77777777" w:rsidR="00A56EE9" w:rsidRPr="00E70A11" w:rsidRDefault="00A56EE9" w:rsidP="00A11869">
            <w:pPr>
              <w:pStyle w:val="ListParagraph"/>
              <w:numPr>
                <w:ilvl w:val="0"/>
                <w:numId w:val="5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LTSP</w:t>
            </w:r>
          </w:p>
          <w:p w14:paraId="5761DDE1" w14:textId="77777777" w:rsidR="00A56EE9" w:rsidRPr="00E70A11" w:rsidRDefault="00A56EE9" w:rsidP="00A11869">
            <w:pPr>
              <w:pStyle w:val="ListParagraph"/>
              <w:numPr>
                <w:ilvl w:val="0"/>
                <w:numId w:val="5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vulnerability assessments</w:t>
            </w:r>
          </w:p>
          <w:p w14:paraId="5761DDE2" w14:textId="77777777" w:rsidR="00A56EE9" w:rsidRPr="00E70A11" w:rsidRDefault="00A56EE9" w:rsidP="00A11869">
            <w:pPr>
              <w:pStyle w:val="ListParagraph"/>
              <w:numPr>
                <w:ilvl w:val="0"/>
                <w:numId w:val="5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DDE3" w14:textId="77777777" w:rsidR="00A56EE9" w:rsidRPr="00E70A11" w:rsidRDefault="00A56EE9" w:rsidP="00A11869">
            <w:pPr>
              <w:pStyle w:val="ListParagraph"/>
              <w:numPr>
                <w:ilvl w:val="0"/>
                <w:numId w:val="5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 Implementation Strategy</w:t>
            </w:r>
          </w:p>
          <w:p w14:paraId="5761DDE4" w14:textId="77777777" w:rsidR="00A56EE9" w:rsidRPr="00E70A11" w:rsidRDefault="00A56EE9" w:rsidP="00A11869">
            <w:pPr>
              <w:pStyle w:val="ListParagraph"/>
              <w:numPr>
                <w:ilvl w:val="0"/>
                <w:numId w:val="5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Whitsundays Plan of Management</w:t>
            </w:r>
          </w:p>
          <w:p w14:paraId="5761DDE5" w14:textId="77777777" w:rsidR="00A56EE9" w:rsidRPr="00E70A11" w:rsidRDefault="00A56EE9" w:rsidP="00BB6AD5">
            <w:pPr>
              <w:pStyle w:val="ListParagraph"/>
              <w:rPr>
                <w:rStyle w:val="BookTitle"/>
                <w:rFonts w:ascii="Arial Narrow" w:hAnsi="Arial Narrow"/>
                <w:sz w:val="18"/>
                <w:szCs w:val="18"/>
              </w:rPr>
            </w:pPr>
          </w:p>
          <w:p w14:paraId="5761DDE6"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DE7"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DE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DF0"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DEA" w14:textId="77777777" w:rsidR="00A56EE9" w:rsidRPr="00E70A11" w:rsidRDefault="00A56EE9" w:rsidP="00BB6AD5">
            <w:pPr>
              <w:pStyle w:val="Tablebulletlist"/>
              <w:rPr>
                <w:rStyle w:val="BookTitle"/>
              </w:rPr>
            </w:pPr>
            <w:r w:rsidRPr="00E70A11">
              <w:rPr>
                <w:rStyle w:val="BookTitle"/>
              </w:rPr>
              <w:t>INPUTS</w:t>
            </w:r>
          </w:p>
        </w:tc>
        <w:tc>
          <w:tcPr>
            <w:tcW w:w="77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761DDEB" w14:textId="77777777" w:rsidR="00A56EE9" w:rsidRPr="00E70A11" w:rsidRDefault="00A56EE9" w:rsidP="00BB6AD5">
            <w:pPr>
              <w:pStyle w:val="Tablebulletlist"/>
              <w:jc w:val="center"/>
              <w:rPr>
                <w:rStyle w:val="BookTitle"/>
              </w:rPr>
            </w:pPr>
          </w:p>
        </w:tc>
        <w:tc>
          <w:tcPr>
            <w:tcW w:w="524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DEC" w14:textId="77777777" w:rsidR="00A56EE9" w:rsidRPr="00E70A11" w:rsidRDefault="00A56EE9" w:rsidP="00BB6AD5">
            <w:pPr>
              <w:pStyle w:val="ListParagraph"/>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DED"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DEE" w14:textId="77777777" w:rsidR="00A56EE9" w:rsidRPr="00E70A11" w:rsidRDefault="00A56EE9" w:rsidP="00BB6AD5">
            <w:pPr>
              <w:pStyle w:val="Tablebulletlist"/>
              <w:rPr>
                <w:rStyle w:val="BookTitle"/>
              </w:rPr>
            </w:pPr>
          </w:p>
        </w:tc>
        <w:tc>
          <w:tcPr>
            <w:tcW w:w="89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DEF" w14:textId="77777777" w:rsidR="00A56EE9" w:rsidRPr="00E70A11" w:rsidRDefault="00A56EE9" w:rsidP="00BB6AD5">
            <w:pPr>
              <w:pStyle w:val="Tablebulletlist"/>
              <w:rPr>
                <w:rStyle w:val="BookTitle"/>
              </w:rPr>
            </w:pPr>
          </w:p>
        </w:tc>
      </w:tr>
      <w:tr w:rsidR="00A56EE9" w:rsidRPr="00E70A11" w14:paraId="5761DE08"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DF1"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biodiversity </w:t>
            </w:r>
          </w:p>
        </w:tc>
        <w:tc>
          <w:tcPr>
            <w:tcW w:w="771" w:type="dxa"/>
            <w:tcBorders>
              <w:top w:val="single" w:sz="4" w:space="0" w:color="auto"/>
              <w:left w:val="single" w:sz="4" w:space="0" w:color="auto"/>
              <w:bottom w:val="single" w:sz="4" w:space="0" w:color="auto"/>
              <w:right w:val="single" w:sz="4" w:space="0" w:color="auto"/>
            </w:tcBorders>
            <w:vAlign w:val="center"/>
          </w:tcPr>
          <w:p w14:paraId="5761DDF2"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DF3"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From July 2012 through to June 2019, the Australian Government had provided $20.1 million to fund the COTS control program. As at October 2017, there were two vessels operating and over 570,000 COTS have been culled. On 17 August 2017, the Minister for DoEE announced additional $14.4 million funding for COTS program. An additional $14.4 million from Reef Trust and Reef 2050 has been made available from Sept 2017 until June 2020.</w:t>
            </w:r>
          </w:p>
          <w:p w14:paraId="5761DDF4"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Significant additional funding ($10.4 million) to include expanded COTS control announced in January 2018</w:t>
            </w:r>
          </w:p>
          <w:p w14:paraId="5761DDF5"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Resources significant for water quality improvement through Reef 2050 WQIP, management of COTS, but scale and scope of these impacts is whole-of-Region and very large</w:t>
            </w:r>
          </w:p>
          <w:p w14:paraId="5761DDF6"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A $225 million Reef Trust - delivered by the federal government in collaboration with Queensland Government - to manage the Great Barrier Reef – Reef 2050 </w:t>
            </w:r>
          </w:p>
          <w:p w14:paraId="5761DDF7"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$104.5 million available through the Australian Government Reef 2050 budget for prioritised Reef 2050 Plan actions.</w:t>
            </w:r>
          </w:p>
          <w:p w14:paraId="5761DDF8"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Significant financial resources being allocated to addressing major</w:t>
            </w:r>
            <w:r>
              <w:rPr>
                <w:rStyle w:val="BookTitle"/>
                <w:rFonts w:ascii="Arial Narrow" w:hAnsi="Arial Narrow"/>
                <w:sz w:val="18"/>
                <w:szCs w:val="18"/>
              </w:rPr>
              <w:t xml:space="preserve"> </w:t>
            </w:r>
            <w:r w:rsidRPr="00E70A11">
              <w:rPr>
                <w:rStyle w:val="BookTitle"/>
                <w:rFonts w:ascii="Arial Narrow" w:hAnsi="Arial Narrow"/>
                <w:sz w:val="18"/>
                <w:szCs w:val="18"/>
              </w:rPr>
              <w:t>threatening processes impacting on biodiversity such as water quality, COTs and coral bleaching</w:t>
            </w:r>
          </w:p>
          <w:p w14:paraId="5761DDF9"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Considerable financial resources are allocated to improving biodiversity knowledge and increasing understanding of factors impacting on biodiversity and ecosystem processes through institutions such as AIMS, National Ecosystem Research Program, Regional NRM bodies, Great Barrier Reef Foundation and other Commonwealth and Queensland Government programs</w:t>
            </w:r>
          </w:p>
          <w:p w14:paraId="5761DDFA"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However, some stakeholders consider that despite these significant sums being allocated for management of the GBR are inadequate to address the problems faced by the GBR and out of balance with the financial benefits arising from use of the GBR that are at risk from continuing decline in GBR condition</w:t>
            </w:r>
          </w:p>
          <w:p w14:paraId="5761DDFB" w14:textId="77777777" w:rsidR="00A56EE9" w:rsidRPr="00B92732"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Review of Field Management in 2016 reported static funding representing an 18% decline since 2008 in effective funding. It concludes that field management capability is declining as management challenges are increasing with escalating threats, rising population, increased direct use pressures and the growing requirement and community expectation for intense management intervention everywhere and anywhere across the entire Reef.</w:t>
            </w:r>
          </w:p>
          <w:p w14:paraId="5761DDFC" w14:textId="77777777" w:rsidR="00A56EE9" w:rsidRPr="00E70A11" w:rsidRDefault="00A56EE9" w:rsidP="00BB6AD5">
            <w:pPr>
              <w:pStyle w:val="ListParagraph"/>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tcPr>
          <w:p w14:paraId="5761DDFD" w14:textId="77777777" w:rsidR="00A56EE9" w:rsidRPr="00E70A11" w:rsidRDefault="00A56EE9" w:rsidP="00A11869">
            <w:pPr>
              <w:pStyle w:val="ListParagraph"/>
              <w:numPr>
                <w:ilvl w:val="0"/>
                <w:numId w:val="5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Trust</w:t>
            </w:r>
          </w:p>
          <w:p w14:paraId="5761DDFE" w14:textId="77777777" w:rsidR="00A56EE9" w:rsidRPr="00E70A11" w:rsidRDefault="00A56EE9" w:rsidP="00A11869">
            <w:pPr>
              <w:pStyle w:val="ListParagraph"/>
              <w:numPr>
                <w:ilvl w:val="0"/>
                <w:numId w:val="5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Deloitte Access Economics Report 2017 – At what price? The economic, social and icon value of the Great Barrier Reef</w:t>
            </w:r>
          </w:p>
          <w:p w14:paraId="5761DDFF" w14:textId="77777777" w:rsidR="00A56EE9" w:rsidRPr="00E70A11" w:rsidRDefault="00A56EE9" w:rsidP="00A11869">
            <w:pPr>
              <w:pStyle w:val="ListParagraph"/>
              <w:numPr>
                <w:ilvl w:val="0"/>
                <w:numId w:val="5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Field Management Plans </w:t>
            </w:r>
          </w:p>
          <w:p w14:paraId="5761DE00" w14:textId="77777777" w:rsidR="00A56EE9" w:rsidRPr="00E70A11" w:rsidRDefault="00A56EE9" w:rsidP="00A11869">
            <w:pPr>
              <w:pStyle w:val="ListParagraph"/>
              <w:numPr>
                <w:ilvl w:val="0"/>
                <w:numId w:val="5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Field Management Program Annual Report Summary Documents</w:t>
            </w:r>
          </w:p>
          <w:p w14:paraId="5761DE01" w14:textId="77777777" w:rsidR="00A56EE9" w:rsidRPr="00E70A11" w:rsidRDefault="00A56EE9" w:rsidP="00A11869">
            <w:pPr>
              <w:pStyle w:val="ListParagraph"/>
              <w:numPr>
                <w:ilvl w:val="0"/>
                <w:numId w:val="5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COTS Strategic Management and Contingency Plan</w:t>
            </w:r>
          </w:p>
          <w:p w14:paraId="5761DE02" w14:textId="77777777" w:rsidR="00A56EE9" w:rsidRPr="00E70A11" w:rsidRDefault="00A56EE9" w:rsidP="00A11869">
            <w:pPr>
              <w:pStyle w:val="ListParagraph"/>
              <w:numPr>
                <w:ilvl w:val="0"/>
                <w:numId w:val="5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Australian Government Reef Program</w:t>
            </w:r>
          </w:p>
          <w:p w14:paraId="5761DE03" w14:textId="77777777" w:rsidR="00A56EE9" w:rsidRPr="00E70A11" w:rsidRDefault="00A56EE9" w:rsidP="00A11869">
            <w:pPr>
              <w:pStyle w:val="ListParagraph"/>
              <w:numPr>
                <w:ilvl w:val="0"/>
                <w:numId w:val="5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investment framework</w:t>
            </w:r>
          </w:p>
          <w:p w14:paraId="5761DE04" w14:textId="77777777" w:rsidR="00A56EE9" w:rsidRPr="00E70A11" w:rsidRDefault="00A56EE9" w:rsidP="00A11869">
            <w:pPr>
              <w:pStyle w:val="ListParagraph"/>
              <w:numPr>
                <w:ilvl w:val="0"/>
                <w:numId w:val="5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TerraForm Design R</w:t>
            </w:r>
            <w:r>
              <w:rPr>
                <w:rStyle w:val="BookTitle"/>
                <w:rFonts w:ascii="Arial Narrow" w:hAnsi="Arial Narrow"/>
                <w:sz w:val="18"/>
                <w:szCs w:val="18"/>
              </w:rPr>
              <w:t xml:space="preserve">eview of the </w:t>
            </w:r>
            <w:r w:rsidRPr="00E70A11">
              <w:rPr>
                <w:rStyle w:val="BookTitle"/>
                <w:rFonts w:ascii="Arial Narrow" w:hAnsi="Arial Narrow"/>
                <w:sz w:val="18"/>
                <w:szCs w:val="18"/>
              </w:rPr>
              <w:t>FMP 2016</w:t>
            </w:r>
          </w:p>
          <w:p w14:paraId="5761DE05"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E06"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E07" w14:textId="77777777" w:rsidR="00A56EE9" w:rsidRPr="00E70A11" w:rsidRDefault="00A56EE9" w:rsidP="00BB6AD5">
            <w:pPr>
              <w:pStyle w:val="Tablebulletlist"/>
              <w:rPr>
                <w:rStyle w:val="BookTitle"/>
              </w:rPr>
            </w:pPr>
            <w:r w:rsidRPr="00E70A11">
              <w:rPr>
                <w:rStyle w:val="BookTitle"/>
              </w:rPr>
              <w:t>Increasing</w:t>
            </w:r>
          </w:p>
        </w:tc>
      </w:tr>
      <w:tr w:rsidR="00A56EE9" w:rsidRPr="00E70A11" w14:paraId="5761DE12"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E09"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biodiversity </w:t>
            </w:r>
          </w:p>
        </w:tc>
        <w:tc>
          <w:tcPr>
            <w:tcW w:w="771" w:type="dxa"/>
            <w:tcBorders>
              <w:top w:val="single" w:sz="4" w:space="0" w:color="auto"/>
              <w:left w:val="single" w:sz="4" w:space="0" w:color="auto"/>
              <w:bottom w:val="single" w:sz="4" w:space="0" w:color="auto"/>
              <w:right w:val="single" w:sz="4" w:space="0" w:color="auto"/>
            </w:tcBorders>
            <w:vAlign w:val="center"/>
          </w:tcPr>
          <w:p w14:paraId="5761DE0A"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E0B"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Current resource levels in the Environment Assessment and Protection and Planning area are not adequate to address the increase in coastal development/marine development and changes to the EBPC/GBRMP/Coastal Planning (i.e. more high level assessments have arisen for GBRMPA (since 2009) with the GBRMP being made a matter of MNES)</w:t>
            </w:r>
            <w:r>
              <w:rPr>
                <w:rStyle w:val="BookTitle"/>
                <w:rFonts w:ascii="Arial Narrow" w:hAnsi="Arial Narrow"/>
                <w:sz w:val="18"/>
                <w:szCs w:val="18"/>
              </w:rPr>
              <w:t xml:space="preserve"> and more recently with </w:t>
            </w:r>
            <w:r w:rsidRPr="00B92732">
              <w:rPr>
                <w:rStyle w:val="BookTitle"/>
                <w:rFonts w:ascii="Arial Narrow" w:hAnsi="Arial Narrow"/>
                <w:sz w:val="18"/>
                <w:szCs w:val="18"/>
              </w:rPr>
              <w:t>a growth in restoration and intervention activities</w:t>
            </w:r>
            <w:r w:rsidRPr="00E70A11">
              <w:rPr>
                <w:rStyle w:val="BookTitle"/>
                <w:rFonts w:ascii="Arial Narrow" w:hAnsi="Arial Narrow"/>
                <w:sz w:val="18"/>
                <w:szCs w:val="18"/>
              </w:rPr>
              <w:t xml:space="preserve">. </w:t>
            </w:r>
          </w:p>
          <w:p w14:paraId="5761DE0C"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Addison et al. research paper on Marine Protected Area management noted ‘increase agency capacity’ was identified by management agency interviewees most commonly as a top three most important changes necessary to implement quantitative condition assessment of biodiversity outcomes. GBRMPA an agency represented in sample. “Management agencies around the world are commonly under-resourced, even in relatively wealthy countries…Therefore, it is not surprising that a lack of agency capacity (staff numbers and money) was the most frequently cited challenge to implementing quantitative condition assessment… Informants also expressed concerns that the absence of frameworks to guide the development of quantitative condition assessments was impeding progress”</w:t>
            </w:r>
          </w:p>
          <w:p w14:paraId="5761DE0D"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Since 2017, this capacity was spread throughout the GBRMPA and there is no longer a team that is dedicated to solely to biodiversity protection. Rather, following the operational review, efforts have been refocussed to priority management areas (which encapsulate aspects of biodiversity e.g. fisheries management, a larger and stronger planning and regulation section (increased from 3 to ~10), strategic advice (policy and position statements), reef intervention and restoration but staff with expertise in biodiversity management or on main drivers affecting GBR condition are now spread across agency rather than in distinct organisational units</w:t>
            </w:r>
          </w:p>
        </w:tc>
        <w:tc>
          <w:tcPr>
            <w:tcW w:w="4016" w:type="dxa"/>
            <w:tcBorders>
              <w:top w:val="single" w:sz="4" w:space="0" w:color="auto"/>
              <w:left w:val="single" w:sz="4" w:space="0" w:color="auto"/>
              <w:bottom w:val="single" w:sz="4" w:space="0" w:color="auto"/>
              <w:right w:val="single" w:sz="4" w:space="0" w:color="auto"/>
            </w:tcBorders>
          </w:tcPr>
          <w:p w14:paraId="5761DE0E" w14:textId="77777777" w:rsidR="00A56EE9" w:rsidRPr="00E70A11" w:rsidRDefault="00A56EE9" w:rsidP="00A11869">
            <w:pPr>
              <w:pStyle w:val="ListParagraph"/>
              <w:numPr>
                <w:ilvl w:val="0"/>
                <w:numId w:val="5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Addison et al. 2017 Towards quantitative condition assessment of biodiversity outcomes: Insights from Australian marine protected areas</w:t>
            </w:r>
          </w:p>
          <w:p w14:paraId="5761DE0F" w14:textId="77777777" w:rsidR="00A56EE9" w:rsidRPr="00E70A11" w:rsidRDefault="00A56EE9" w:rsidP="00A11869">
            <w:pPr>
              <w:pStyle w:val="ListParagraph"/>
              <w:numPr>
                <w:ilvl w:val="0"/>
                <w:numId w:val="5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 and stakeholder interviews</w:t>
            </w:r>
          </w:p>
        </w:tc>
        <w:tc>
          <w:tcPr>
            <w:tcW w:w="981" w:type="dxa"/>
            <w:tcBorders>
              <w:top w:val="single" w:sz="4" w:space="0" w:color="auto"/>
              <w:left w:val="single" w:sz="4" w:space="0" w:color="auto"/>
              <w:bottom w:val="single" w:sz="4" w:space="0" w:color="auto"/>
              <w:right w:val="single" w:sz="4" w:space="0" w:color="auto"/>
            </w:tcBorders>
          </w:tcPr>
          <w:p w14:paraId="5761DE10"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E11"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DE20"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E13"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E14"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E15"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Limitations arising from overall staffing cap have impacted whole of government capacity and skill sets in relation to biodiversity management</w:t>
            </w:r>
          </w:p>
          <w:p w14:paraId="5761DE16"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Skill set limitations are partly addressed by collaboration with relevant scientists in AIMS, universities and CSIRO</w:t>
            </w:r>
          </w:p>
          <w:p w14:paraId="5761DE17"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and monitoring skill sets are mostly secured through contractual arrangements with universities, AIMS, CSIRO, and consultants but specialist skills are required and available for project design, monitoring, evaluation, improvement and reporting</w:t>
            </w:r>
          </w:p>
          <w:p w14:paraId="5761DE18"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Field Management Program - Training programs, Foundational Course, Oiled Wildlife response, oiled shoreline clean up, seabird counting</w:t>
            </w:r>
          </w:p>
          <w:p w14:paraId="5761DE19"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Lost specialist skills (eg. Taxonomy, ports and shipping) not being readily replaced.</w:t>
            </w:r>
          </w:p>
          <w:p w14:paraId="5761DE1A"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Fisheries has an Annual Secondment to GBRMPA</w:t>
            </w:r>
          </w:p>
        </w:tc>
        <w:tc>
          <w:tcPr>
            <w:tcW w:w="4016" w:type="dxa"/>
            <w:tcBorders>
              <w:top w:val="single" w:sz="4" w:space="0" w:color="auto"/>
              <w:left w:val="single" w:sz="4" w:space="0" w:color="auto"/>
              <w:bottom w:val="single" w:sz="4" w:space="0" w:color="auto"/>
              <w:right w:val="single" w:sz="4" w:space="0" w:color="auto"/>
            </w:tcBorders>
          </w:tcPr>
          <w:p w14:paraId="5761DE1B" w14:textId="77777777" w:rsidR="00A56EE9" w:rsidRPr="00E70A11" w:rsidRDefault="00A56EE9" w:rsidP="00A11869">
            <w:pPr>
              <w:pStyle w:val="ListParagraph"/>
              <w:numPr>
                <w:ilvl w:val="0"/>
                <w:numId w:val="5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 and stakeholder interviews</w:t>
            </w:r>
          </w:p>
          <w:p w14:paraId="5761DE1C" w14:textId="77777777" w:rsidR="00A56EE9" w:rsidRPr="00E70A11" w:rsidRDefault="00A56EE9" w:rsidP="00A11869">
            <w:pPr>
              <w:pStyle w:val="ListParagraph"/>
              <w:numPr>
                <w:ilvl w:val="0"/>
                <w:numId w:val="5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Staff charts</w:t>
            </w:r>
          </w:p>
          <w:p w14:paraId="5761DE1D" w14:textId="77777777" w:rsidR="00A56EE9" w:rsidRPr="00E70A11" w:rsidRDefault="00A56EE9" w:rsidP="00A11869">
            <w:pPr>
              <w:pStyle w:val="ListParagraph"/>
              <w:numPr>
                <w:ilvl w:val="0"/>
                <w:numId w:val="5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TerraForm Design Report on FMP 2016</w:t>
            </w:r>
          </w:p>
        </w:tc>
        <w:tc>
          <w:tcPr>
            <w:tcW w:w="981" w:type="dxa"/>
            <w:tcBorders>
              <w:top w:val="single" w:sz="4" w:space="0" w:color="auto"/>
              <w:left w:val="single" w:sz="4" w:space="0" w:color="auto"/>
              <w:bottom w:val="single" w:sz="4" w:space="0" w:color="auto"/>
              <w:right w:val="single" w:sz="4" w:space="0" w:color="auto"/>
            </w:tcBorders>
          </w:tcPr>
          <w:p w14:paraId="5761DE1E"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E1F"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DE44"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E21"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E22"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E23"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 is one of the best studied marine ecosystems in the world and extensive information is available. Nevertheless the Strategic Assessment reports noted that information gaps were identified e.g. for snubfin dolphins, mesophotic reefs, deep water habitats, non-charismatic fauna and flora, ecological processes etc. Other identified information gaps are connectivity, trophic interactions, deep water, far north GBR), non-charismatic or taxa of no apparent economic value are poorly known, poor knowledge of ecological processes, eg. </w:t>
            </w:r>
            <w:proofErr w:type="gramStart"/>
            <w:r w:rsidRPr="00E70A11">
              <w:rPr>
                <w:rStyle w:val="BookTitle"/>
                <w:rFonts w:ascii="Arial Narrow" w:hAnsi="Arial Narrow"/>
                <w:sz w:val="18"/>
                <w:szCs w:val="18"/>
              </w:rPr>
              <w:t>groundwater</w:t>
            </w:r>
            <w:proofErr w:type="gramEnd"/>
            <w:r w:rsidRPr="00E70A11">
              <w:rPr>
                <w:rStyle w:val="BookTitle"/>
                <w:rFonts w:ascii="Arial Narrow" w:hAnsi="Arial Narrow"/>
                <w:sz w:val="18"/>
                <w:szCs w:val="18"/>
              </w:rPr>
              <w:t xml:space="preserve"> inflows, sink/source, implications of deepwater upwellings, planktonic/larval movements.</w:t>
            </w:r>
          </w:p>
          <w:p w14:paraId="5761DE24"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Back-to-back bleaching events means that many aspects of biophysical condition will have changed and many aspects of biophysical environment have not been examined to document these changes</w:t>
            </w:r>
          </w:p>
          <w:p w14:paraId="5761DE25"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Scientific Consensus Statement</w:t>
            </w:r>
          </w:p>
          <w:p w14:paraId="5761DE26"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updated its ‘Scientific Information Needs for Management of the GBRMP’ following the 2014 Outlook Report. The Science Strategy and Information Needs 2014-2019 sets out future scientific information needs. It aims to ensure scientific activities are relevant, targeted to address critical management issues, and that scientific outputs are easily accessible. The strategy draws on the Great Barrier Reef Outlook Report 2014 and strategic assessment that outline the Reef’s health, management and likely future, and is supported by a searchable register of detailed questions.</w:t>
            </w:r>
            <w:r>
              <w:rPr>
                <w:rStyle w:val="BookTitle"/>
                <w:rFonts w:ascii="Arial Narrow" w:hAnsi="Arial Narrow"/>
                <w:sz w:val="18"/>
                <w:szCs w:val="18"/>
              </w:rPr>
              <w:t xml:space="preserve"> </w:t>
            </w:r>
            <w:r w:rsidRPr="00E70A11">
              <w:rPr>
                <w:rStyle w:val="BookTitle"/>
                <w:rFonts w:ascii="Arial Narrow" w:hAnsi="Arial Narrow"/>
                <w:sz w:val="18"/>
                <w:szCs w:val="18"/>
              </w:rPr>
              <w:t>The strategy and register have been a key input to the development of an integrated monitoring framework for the GBRWHA (RIMRe</w:t>
            </w:r>
            <w:r>
              <w:rPr>
                <w:rStyle w:val="BookTitle"/>
                <w:rFonts w:ascii="Arial Narrow" w:hAnsi="Arial Narrow"/>
                <w:sz w:val="18"/>
                <w:szCs w:val="18"/>
              </w:rPr>
              <w:t>P</w:t>
            </w:r>
            <w:r w:rsidRPr="00E70A11">
              <w:rPr>
                <w:rStyle w:val="BookTitle"/>
                <w:rFonts w:ascii="Arial Narrow" w:hAnsi="Arial Narrow"/>
                <w:sz w:val="18"/>
                <w:szCs w:val="18"/>
              </w:rPr>
              <w:t xml:space="preserve"> program). The purpose of the information needs documents is to facilitate discussion between scientists and Marine Park managers about research and monitoring that will help inform Marine Park management, especially high priorities. It is a framework for integrating science into the management of the Marine Park.</w:t>
            </w:r>
          </w:p>
          <w:p w14:paraId="5761DE27"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Poor knowledge of ecosystem functioning and functional redundancy in the GBR ecosystem (exceptions exist for some herbivores)</w:t>
            </w:r>
          </w:p>
          <w:p w14:paraId="5761DE28"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Comprehensive map of GBR habitats does not exist but if available would support biodiversity management. Pilot mapping exercise is being supported by GBR Foundation and mapping underway by Qld for the Central Queensland Coast area.</w:t>
            </w:r>
          </w:p>
          <w:p w14:paraId="5761DE29"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QPWS leads or contributes to most seabird related monitoring and management actions in Reef 2050.</w:t>
            </w:r>
          </w:p>
          <w:p w14:paraId="5761DE2A"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Walking the landscape involves a number of stakeholders including scientists, farmers, extension officers, and governments to determine how water moves in the landscape and how it may affect biodiversity.</w:t>
            </w:r>
            <w:r>
              <w:rPr>
                <w:rStyle w:val="BookTitle"/>
                <w:rFonts w:ascii="Arial Narrow" w:hAnsi="Arial Narrow"/>
                <w:sz w:val="18"/>
                <w:szCs w:val="18"/>
              </w:rPr>
              <w:t xml:space="preserve"> </w:t>
            </w:r>
            <w:r w:rsidRPr="00E70A11">
              <w:rPr>
                <w:rStyle w:val="BookTitle"/>
                <w:rFonts w:ascii="Arial Narrow" w:hAnsi="Arial Narrow"/>
                <w:sz w:val="18"/>
                <w:szCs w:val="18"/>
              </w:rPr>
              <w:t>The process has been run for most catchments in the GBR.</w:t>
            </w:r>
          </w:p>
          <w:p w14:paraId="5761DE2B" w14:textId="77777777" w:rsidR="00A56EE9" w:rsidRPr="00E70A11" w:rsidRDefault="00A56EE9" w:rsidP="00A11869">
            <w:pPr>
              <w:pStyle w:val="ListParagraph"/>
              <w:numPr>
                <w:ilvl w:val="0"/>
                <w:numId w:val="176"/>
              </w:numPr>
              <w:spacing w:after="200" w:line="276" w:lineRule="auto"/>
              <w:rPr>
                <w:rFonts w:ascii="Arial Narrow" w:hAnsi="Arial Narrow"/>
                <w:sz w:val="18"/>
                <w:szCs w:val="18"/>
              </w:rPr>
            </w:pPr>
            <w:r w:rsidRPr="00E70A11">
              <w:rPr>
                <w:rFonts w:ascii="Arial Narrow" w:hAnsi="Arial Narrow"/>
                <w:sz w:val="18"/>
                <w:szCs w:val="18"/>
              </w:rPr>
              <w:t xml:space="preserve">Biodiversity (habitats and species) underpin Matters of State Environmental Significance which are used in planning decisions by managers in Queensland and specific objectives are clearly articulated. </w:t>
            </w:r>
          </w:p>
          <w:p w14:paraId="5761DE2C" w14:textId="77777777" w:rsidR="00A56EE9" w:rsidRPr="00E70A11" w:rsidRDefault="00A56EE9" w:rsidP="00A11869">
            <w:pPr>
              <w:pStyle w:val="ListParagraph"/>
              <w:numPr>
                <w:ilvl w:val="0"/>
                <w:numId w:val="176"/>
              </w:numPr>
              <w:spacing w:after="200" w:line="276" w:lineRule="auto"/>
              <w:rPr>
                <w:rFonts w:ascii="Arial Narrow" w:hAnsi="Arial Narrow"/>
                <w:sz w:val="18"/>
                <w:szCs w:val="18"/>
              </w:rPr>
            </w:pPr>
            <w:r w:rsidRPr="00E70A11">
              <w:rPr>
                <w:rFonts w:ascii="Arial Narrow" w:hAnsi="Arial Narrow"/>
                <w:sz w:val="18"/>
                <w:szCs w:val="18"/>
              </w:rPr>
              <w:t>Wetlands in the GBR catchments, Management Strategy 2016-21. This strategy promotes an integrated approach to catchment management that considers the multiple values of wetlands in a whole-of-catchment context and specifically addresses biodiversity objectives.</w:t>
            </w:r>
          </w:p>
          <w:p w14:paraId="5761DE2D" w14:textId="77777777" w:rsidR="00A56EE9" w:rsidRPr="00E70A11" w:rsidRDefault="00A56EE9" w:rsidP="00A11869">
            <w:pPr>
              <w:pStyle w:val="ListParagraph"/>
              <w:numPr>
                <w:ilvl w:val="0"/>
                <w:numId w:val="176"/>
              </w:numPr>
              <w:spacing w:after="200" w:line="276" w:lineRule="auto"/>
              <w:rPr>
                <w:rFonts w:ascii="Arial Narrow" w:hAnsi="Arial Narrow"/>
                <w:sz w:val="18"/>
                <w:szCs w:val="18"/>
              </w:rPr>
            </w:pPr>
            <w:r w:rsidRPr="00E70A11">
              <w:rPr>
                <w:rFonts w:ascii="Arial Narrow" w:hAnsi="Arial Narrow"/>
                <w:sz w:val="18"/>
                <w:szCs w:val="18"/>
              </w:rPr>
              <w:t>Information on the biodiversity values of the Wetlands of International Significance (Ramsar) in the GBR</w:t>
            </w:r>
            <w:r>
              <w:rPr>
                <w:rFonts w:ascii="Arial Narrow" w:hAnsi="Arial Narrow"/>
                <w:sz w:val="18"/>
                <w:szCs w:val="18"/>
              </w:rPr>
              <w:t xml:space="preserve"> </w:t>
            </w:r>
            <w:r w:rsidRPr="00E70A11">
              <w:rPr>
                <w:rFonts w:ascii="Arial Narrow" w:hAnsi="Arial Narrow"/>
                <w:sz w:val="18"/>
                <w:szCs w:val="18"/>
              </w:rPr>
              <w:t>and actions to implement specific issues relating to biodiversity are articulated</w:t>
            </w:r>
            <w:r>
              <w:rPr>
                <w:rFonts w:ascii="Arial Narrow" w:hAnsi="Arial Narrow"/>
                <w:sz w:val="18"/>
                <w:szCs w:val="18"/>
              </w:rPr>
              <w:t xml:space="preserve"> </w:t>
            </w:r>
          </w:p>
          <w:p w14:paraId="5761DE2E" w14:textId="77777777" w:rsidR="00A56EE9" w:rsidRPr="00E70A11" w:rsidRDefault="00A56EE9" w:rsidP="00A11869">
            <w:pPr>
              <w:pStyle w:val="ListParagraph"/>
              <w:numPr>
                <w:ilvl w:val="0"/>
                <w:numId w:val="176"/>
              </w:numPr>
              <w:spacing w:after="200" w:line="276" w:lineRule="auto"/>
              <w:rPr>
                <w:rStyle w:val="BookTitle"/>
                <w:rFonts w:ascii="Arial Narrow" w:hAnsi="Arial Narrow"/>
                <w:sz w:val="18"/>
                <w:szCs w:val="18"/>
              </w:rPr>
            </w:pPr>
            <w:r w:rsidRPr="00E70A11">
              <w:rPr>
                <w:rFonts w:ascii="Arial Narrow" w:hAnsi="Arial Narrow"/>
                <w:sz w:val="18"/>
                <w:szCs w:val="18"/>
              </w:rPr>
              <w:t xml:space="preserve">There is little comprehensive information on the status of connectivity from catchments to the reef for biodiversity which require these connections </w:t>
            </w:r>
          </w:p>
        </w:tc>
        <w:tc>
          <w:tcPr>
            <w:tcW w:w="4016" w:type="dxa"/>
            <w:tcBorders>
              <w:top w:val="single" w:sz="4" w:space="0" w:color="auto"/>
              <w:left w:val="single" w:sz="4" w:space="0" w:color="auto"/>
              <w:bottom w:val="single" w:sz="4" w:space="0" w:color="auto"/>
              <w:right w:val="single" w:sz="4" w:space="0" w:color="auto"/>
            </w:tcBorders>
          </w:tcPr>
          <w:p w14:paraId="5761DE2F" w14:textId="77777777" w:rsidR="00A56EE9" w:rsidRPr="00E70A11" w:rsidRDefault="00A56EE9" w:rsidP="00A11869">
            <w:pPr>
              <w:pStyle w:val="ListParagraph"/>
              <w:numPr>
                <w:ilvl w:val="0"/>
                <w:numId w:val="5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Strategic Assessment Report, Chapter 7, noting that information gaps are identified in Section 7</w:t>
            </w:r>
          </w:p>
          <w:p w14:paraId="5761DE30" w14:textId="77777777" w:rsidR="00A56EE9" w:rsidRPr="00E70A11" w:rsidRDefault="00A56EE9" w:rsidP="00A11869">
            <w:pPr>
              <w:pStyle w:val="ListParagraph"/>
              <w:numPr>
                <w:ilvl w:val="0"/>
                <w:numId w:val="5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Sustainable Regional Development Program reports - </w:t>
            </w:r>
          </w:p>
          <w:p w14:paraId="5761DE31" w14:textId="77777777" w:rsidR="00A56EE9" w:rsidRPr="00E70A11" w:rsidRDefault="00A56EE9" w:rsidP="00A11869">
            <w:pPr>
              <w:pStyle w:val="ListParagraph"/>
              <w:numPr>
                <w:ilvl w:val="0"/>
                <w:numId w:val="5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framework for understanding cumulative impacts, supporting environmental decisions and informing resilience based management of the Great Barrier Reef World Heritage Area. Information is available in numerous reports such as:</w:t>
            </w:r>
          </w:p>
          <w:p w14:paraId="5761DE32"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Defining the aesthetic values of the Great Barrier Reef World Heritage Area: </w:t>
            </w:r>
          </w:p>
          <w:p w14:paraId="5761DE33"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Geological and geomorphological features of outstanding universal value in the Great Barrier Reef World Heritage Area: </w:t>
            </w:r>
          </w:p>
          <w:p w14:paraId="5761DE34"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Improved dredge material management for the Great Barrier Reef Region:</w:t>
            </w:r>
          </w:p>
          <w:p w14:paraId="5761DE35"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Identification of impacts and proposed management strategies associated with offshore ship anchorages in the Great Barrier Reef World Heritage Area:</w:t>
            </w:r>
          </w:p>
          <w:p w14:paraId="5761DE36" w14:textId="3AD04AD5"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Coastal Ecosystems Assessment Framework </w:t>
            </w:r>
            <w:hyperlink r:id="rId75" w:tooltip="document link" w:history="1">
              <w:r w:rsidRPr="00E70A11">
                <w:rPr>
                  <w:rStyle w:val="Hyperlink"/>
                  <w:rFonts w:ascii="Arial Narrow" w:hAnsi="Arial Narrow"/>
                  <w:sz w:val="18"/>
                  <w:szCs w:val="18"/>
                </w:rPr>
                <w:t>http://www.gbrmpa.gov.au/__data/assets/pdf_file/0003/28254/Coastal-Ecosystems-Assessment-Framework.pdf</w:t>
              </w:r>
            </w:hyperlink>
            <w:r w:rsidRPr="00E70A11">
              <w:rPr>
                <w:rStyle w:val="BookTitle"/>
                <w:rFonts w:ascii="Arial Narrow" w:hAnsi="Arial Narrow"/>
                <w:sz w:val="18"/>
                <w:szCs w:val="18"/>
              </w:rPr>
              <w:t>:</w:t>
            </w:r>
          </w:p>
          <w:p w14:paraId="5761DE3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State Party Report on the state of conservation of the Great Barrier Reef World Heritage Area (Australia) 2015</w:t>
            </w:r>
          </w:p>
          <w:p w14:paraId="5761DE3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Outlook Report 2014 Chapter 2</w:t>
            </w:r>
          </w:p>
          <w:p w14:paraId="5761DE3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Scientific Consensus Statement</w:t>
            </w:r>
          </w:p>
          <w:p w14:paraId="5761DE3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AIMS LTMP Reef Monitoring - AIMS</w:t>
            </w:r>
          </w:p>
          <w:p w14:paraId="5761DE3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Strategy and Information Needs 2014-2019</w:t>
            </w:r>
          </w:p>
          <w:p w14:paraId="5761DE3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Significant Impact Guidelines 1.1 - Matters of National Environmental Significance</w:t>
            </w:r>
          </w:p>
          <w:p w14:paraId="5761DE3D" w14:textId="0B00E195"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Walking the Landscape </w:t>
            </w:r>
            <w:hyperlink r:id="rId76" w:tooltip="document link" w:history="1">
              <w:r w:rsidRPr="00E70A11">
                <w:rPr>
                  <w:rStyle w:val="Hyperlink"/>
                  <w:rFonts w:ascii="Arial Narrow" w:hAnsi="Arial Narrow"/>
                  <w:sz w:val="18"/>
                  <w:szCs w:val="18"/>
                </w:rPr>
                <w:t>https://wetlandinfo.ehp.qld.gov.au/resources/static/pdf/ecology/connectivity/walking-the-landscape-15-02-13.pdf</w:t>
              </w:r>
            </w:hyperlink>
          </w:p>
          <w:p w14:paraId="5761DE3E" w14:textId="2B6BBA2A"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Catchment stories </w:t>
            </w:r>
            <w:hyperlink r:id="rId77" w:tooltip="document link" w:history="1">
              <w:r w:rsidRPr="00E70A11">
                <w:rPr>
                  <w:rStyle w:val="Hyperlink"/>
                  <w:rFonts w:ascii="Arial Narrow" w:hAnsi="Arial Narrow"/>
                  <w:sz w:val="18"/>
                  <w:szCs w:val="18"/>
                </w:rPr>
                <w:t>https://wetlandinfo.ehp.qld.gov.au/wetlands/ecology/processes-systems/water/catchment-stories/</w:t>
              </w:r>
            </w:hyperlink>
          </w:p>
          <w:p w14:paraId="5761DE3F"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WetlandInfo information on wetlands and aquatic ecosystems https://wetlandinfo.ehp.qld.gov.au/wetlands/</w:t>
            </w:r>
          </w:p>
          <w:p w14:paraId="5761DE40" w14:textId="1647613B"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Intertidal and Subtidal Mapping and Classification and Conservation Assessment for central Queensland State Waters </w:t>
            </w:r>
            <w:hyperlink r:id="rId78" w:tooltip="document link" w:history="1">
              <w:r w:rsidRPr="00E70A11">
                <w:rPr>
                  <w:rStyle w:val="Hyperlink"/>
                  <w:rFonts w:ascii="Arial Narrow" w:hAnsi="Arial Narrow"/>
                  <w:sz w:val="18"/>
                  <w:szCs w:val="18"/>
                </w:rPr>
                <w:t>https://wetlandinfo.ehp.qld.gov.au/resources/static/pdf/resources/fact-sheets/fs-inter-sub-tidal-class-map-aca-cq-31-05-2017.pdf</w:t>
              </w:r>
            </w:hyperlink>
          </w:p>
          <w:p w14:paraId="5761DE41"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E42"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E43"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DE58"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E45"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E46"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E47"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Social &amp; Economic Long Term Monitoring Program (SELTMP) analysis of social survey data collected in 2017 is underway; results anticipated in a report in December 2017, followed by an online dashboard in early 2018. SELTMP data include relative importance of biodiversity among other GBR values, perceptions of ecosystem health, and dependence on different Reef values by different stakeholder groups.</w:t>
            </w:r>
          </w:p>
          <w:p w14:paraId="5761DE48"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updated its ‘Scientific Information Needs for Management of the GBRMP’ following the 2014 Outlook Report. The Science Strategy and Information Needs 2014-2019 sets out future scientific information needs. It aims to ensure scientific activities are relevant, targeted to address critical management issues, and that scientific outputs are easily accessible. The strategy draws on the Great Barrier Reef Outlook Report 2014 and strategic assessment that outline the Reef’s health, management and likely future, and is supported by a searchable register of detailed questions.</w:t>
            </w:r>
            <w:r>
              <w:rPr>
                <w:rStyle w:val="BookTitle"/>
                <w:rFonts w:ascii="Arial Narrow" w:hAnsi="Arial Narrow"/>
                <w:sz w:val="18"/>
                <w:szCs w:val="18"/>
              </w:rPr>
              <w:t xml:space="preserve"> </w:t>
            </w:r>
            <w:r w:rsidRPr="00E70A11">
              <w:rPr>
                <w:rStyle w:val="BookTitle"/>
                <w:rFonts w:ascii="Arial Narrow" w:hAnsi="Arial Narrow"/>
                <w:sz w:val="18"/>
                <w:szCs w:val="18"/>
              </w:rPr>
              <w:t>The strategy and register have been a key input to the development of an integrated monitoring framework for the GBRWHA (RIMRep program). The purpose of the information needs documents is to facilitate discussion between scientists and Marine Park managers about research and monitoring that will help inform Marine Park management, especially high priorities. It is a framework for integrating science into the management of the Marine Park.</w:t>
            </w:r>
          </w:p>
          <w:p w14:paraId="5761DE49"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RIMREP will include themes on heritage, community benefits, </w:t>
            </w:r>
            <w:proofErr w:type="gramStart"/>
            <w:r w:rsidRPr="00E70A11">
              <w:rPr>
                <w:rStyle w:val="BookTitle"/>
                <w:rFonts w:ascii="Arial Narrow" w:hAnsi="Arial Narrow"/>
                <w:sz w:val="18"/>
                <w:szCs w:val="18"/>
              </w:rPr>
              <w:t>economic</w:t>
            </w:r>
            <w:proofErr w:type="gramEnd"/>
            <w:r w:rsidRPr="00E70A11">
              <w:rPr>
                <w:rStyle w:val="BookTitle"/>
                <w:rFonts w:ascii="Arial Narrow" w:hAnsi="Arial Narrow"/>
                <w:sz w:val="18"/>
                <w:szCs w:val="18"/>
              </w:rPr>
              <w:t xml:space="preserve"> benefits.</w:t>
            </w:r>
          </w:p>
          <w:p w14:paraId="5761DE4A"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has maintained a manager for socio-economic sciences, and coordinates current and planned projects</w:t>
            </w:r>
          </w:p>
          <w:p w14:paraId="5761DE4B" w14:textId="41D88BEC"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ecosystem services of wetlands has been established and information is available </w:t>
            </w:r>
            <w:hyperlink r:id="rId79" w:tooltip="document link" w:history="1">
              <w:r w:rsidRPr="00E70A11">
                <w:rPr>
                  <w:rStyle w:val="Hyperlink"/>
                  <w:rFonts w:ascii="Arial Narrow" w:hAnsi="Arial Narrow"/>
                  <w:sz w:val="18"/>
                  <w:szCs w:val="18"/>
                </w:rPr>
                <w:t>https://wetlandinfo.ehp.qld.gov.au/wetlands/management/wetland-values/</w:t>
              </w:r>
            </w:hyperlink>
          </w:p>
        </w:tc>
        <w:tc>
          <w:tcPr>
            <w:tcW w:w="4016" w:type="dxa"/>
            <w:tcBorders>
              <w:top w:val="single" w:sz="4" w:space="0" w:color="auto"/>
              <w:left w:val="single" w:sz="4" w:space="0" w:color="auto"/>
              <w:bottom w:val="single" w:sz="4" w:space="0" w:color="auto"/>
              <w:right w:val="single" w:sz="4" w:space="0" w:color="auto"/>
            </w:tcBorders>
          </w:tcPr>
          <w:p w14:paraId="5761DE4C" w14:textId="77777777" w:rsidR="00A56EE9" w:rsidRPr="00E70A11" w:rsidRDefault="00A56EE9" w:rsidP="00A11869">
            <w:pPr>
              <w:pStyle w:val="ListParagraph"/>
              <w:numPr>
                <w:ilvl w:val="0"/>
                <w:numId w:val="5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Deloitte Access Economics Report 2017 – At what price? The economic, social and icon value of the Great Barrier Reef</w:t>
            </w:r>
          </w:p>
          <w:p w14:paraId="5761DE4D" w14:textId="77777777" w:rsidR="00A56EE9" w:rsidRPr="00E70A11" w:rsidRDefault="00A56EE9" w:rsidP="00A11869">
            <w:pPr>
              <w:pStyle w:val="ListParagraph"/>
              <w:numPr>
                <w:ilvl w:val="0"/>
                <w:numId w:val="5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Deloitte Access Economics Report Economic contribution of the Great Barrier Reef</w:t>
            </w:r>
          </w:p>
          <w:p w14:paraId="5761DE4E" w14:textId="77777777" w:rsidR="00A56EE9" w:rsidRPr="00E70A11" w:rsidRDefault="00A56EE9" w:rsidP="00A11869">
            <w:pPr>
              <w:pStyle w:val="ListParagraph"/>
              <w:numPr>
                <w:ilvl w:val="0"/>
                <w:numId w:val="5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Strategy and Information Needs 2014-2019</w:t>
            </w:r>
          </w:p>
          <w:p w14:paraId="5761DE4F" w14:textId="77777777" w:rsidR="00A56EE9" w:rsidRPr="00E70A11" w:rsidRDefault="00A56EE9" w:rsidP="00A11869">
            <w:pPr>
              <w:pStyle w:val="ListParagraph"/>
              <w:numPr>
                <w:ilvl w:val="0"/>
                <w:numId w:val="5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economic and social impacts of protecting the environmental values of the waters of the Capricorn and Curtis Coasts</w:t>
            </w:r>
          </w:p>
          <w:p w14:paraId="5761DE50" w14:textId="77777777" w:rsidR="00A56EE9" w:rsidRPr="00E70A11" w:rsidRDefault="00A56EE9" w:rsidP="00A11869">
            <w:pPr>
              <w:pStyle w:val="ListParagraph"/>
              <w:numPr>
                <w:ilvl w:val="0"/>
                <w:numId w:val="5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Butler et al 2014 An analysis of trade-offs between multiple ecosystem services and stakeholders linked to land use and water quality management in the Great Barrier Reef, Australia</w:t>
            </w:r>
          </w:p>
          <w:p w14:paraId="5761DE51" w14:textId="77777777" w:rsidR="00A56EE9" w:rsidRPr="00E70A11" w:rsidRDefault="00A56EE9" w:rsidP="00A11869">
            <w:pPr>
              <w:pStyle w:val="ListParagraph"/>
              <w:numPr>
                <w:ilvl w:val="0"/>
                <w:numId w:val="5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Stoeckl et al al 2011 The economic value of ecosystem services in the Great Barrier Reef: our state of knowledge</w:t>
            </w:r>
          </w:p>
          <w:p w14:paraId="5761DE52" w14:textId="77777777" w:rsidR="00A56EE9" w:rsidRPr="00E70A11" w:rsidRDefault="00A56EE9" w:rsidP="00A11869">
            <w:pPr>
              <w:pStyle w:val="ListParagraph"/>
              <w:numPr>
                <w:ilvl w:val="0"/>
                <w:numId w:val="5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Gooch et al. 2017 Assessment and Promotion of the Great Barrier Reef’s Human Dimensions through Collaboration. Coastal Management, DOI: 10.1080/08920753.2017.1373455</w:t>
            </w:r>
          </w:p>
          <w:p w14:paraId="5761DE53" w14:textId="77777777" w:rsidR="00A56EE9" w:rsidRPr="00E70A11" w:rsidRDefault="00A56EE9" w:rsidP="00A11869">
            <w:pPr>
              <w:pStyle w:val="ListParagraph"/>
              <w:numPr>
                <w:ilvl w:val="0"/>
                <w:numId w:val="5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Marshall et al. 2016. Advances in in monitoring the human dimension of natural resource systems: an example from the Great Barrier Reef. Environ. Res. Lett. 11 (2016) 114020.</w:t>
            </w:r>
          </w:p>
          <w:p w14:paraId="5761DE54" w14:textId="5498A08C" w:rsidR="00A56EE9" w:rsidRPr="00E70A11" w:rsidRDefault="00A56EE9" w:rsidP="00A11869">
            <w:pPr>
              <w:pStyle w:val="ListParagraph"/>
              <w:numPr>
                <w:ilvl w:val="0"/>
                <w:numId w:val="5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Values of wetlands </w:t>
            </w:r>
            <w:hyperlink r:id="rId80" w:tooltip="document link" w:history="1">
              <w:r w:rsidRPr="00E70A11">
                <w:rPr>
                  <w:rStyle w:val="Hyperlink"/>
                  <w:rFonts w:ascii="Arial Narrow" w:hAnsi="Arial Narrow"/>
                  <w:sz w:val="18"/>
                  <w:szCs w:val="18"/>
                </w:rPr>
                <w:t>https://wetlandinfo.ehp.qld.gov.au/wetlands/management/wetland-values/</w:t>
              </w:r>
            </w:hyperlink>
          </w:p>
          <w:p w14:paraId="5761DE55" w14:textId="77777777" w:rsidR="00A56EE9" w:rsidRPr="00E70A11" w:rsidRDefault="00A56EE9" w:rsidP="00BB6AD5">
            <w:pPr>
              <w:pStyle w:val="ListParagraph"/>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E56"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E5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E69"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E59"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E5A"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E5B"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Land and Sea Country Indigenous Partnerships Program and TUMRAs provide the mechanism for Traditional Owners to apply their knowledge to biodiversity management in their land and sea country</w:t>
            </w:r>
          </w:p>
          <w:p w14:paraId="5761DE5C"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Land and Sea Country Partnership</w:t>
            </w:r>
            <w:r>
              <w:rPr>
                <w:rStyle w:val="BookTitle"/>
                <w:rFonts w:ascii="Arial Narrow" w:hAnsi="Arial Narrow"/>
                <w:sz w:val="18"/>
                <w:szCs w:val="18"/>
              </w:rPr>
              <w:t xml:space="preserve"> Program</w:t>
            </w:r>
            <w:r w:rsidRPr="00E70A11">
              <w:rPr>
                <w:rStyle w:val="BookTitle"/>
                <w:rFonts w:ascii="Arial Narrow" w:hAnsi="Arial Narrow"/>
                <w:sz w:val="18"/>
                <w:szCs w:val="18"/>
              </w:rPr>
              <w:t xml:space="preserve"> has strengthened communications across the community to build a better understanding of Traditional Owner issues on the management of the GBR Marine Park. </w:t>
            </w:r>
          </w:p>
          <w:p w14:paraId="5761DE5D"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Indigenous heritage information is not available but GBRMPA is progressing an indigenous heritage strategy that will address this</w:t>
            </w:r>
          </w:p>
          <w:p w14:paraId="5761DE5E"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Marine Park Authority board membership includes an Indigenous person with knowledge of or experience concerning indigenous issues relating to the Marine Park.</w:t>
            </w:r>
          </w:p>
          <w:p w14:paraId="5761DE5F"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Indigenous Reef Advisory Committee is the key body that advises the Great Barrier Reef Marine Park Authority on its management, programs and policies. Advice from the Committee ensures its management; programs and policies consider and include Traditional Owner aspirations and recommendations. </w:t>
            </w:r>
          </w:p>
          <w:p w14:paraId="5761DE60"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are developing mechanisms to apply indigenous heritage information to management decisions through the indigenous and Traditional Owner heritage strategy a successful pilot has successfully resulted in Impact Assessment Guidelines for the Woppaburra Heritage</w:t>
            </w:r>
          </w:p>
          <w:p w14:paraId="5761DE61"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Cultural heritage strategy is being developed for Raine Island</w:t>
            </w:r>
          </w:p>
          <w:p w14:paraId="5761DE62"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Indigenous rangers – working on country which began in 2007, supports Indigenous people to combine traditional knowledge with conservation training to protect and manage their land, sea and culture.</w:t>
            </w:r>
          </w:p>
        </w:tc>
        <w:tc>
          <w:tcPr>
            <w:tcW w:w="4016" w:type="dxa"/>
            <w:tcBorders>
              <w:top w:val="single" w:sz="4" w:space="0" w:color="auto"/>
              <w:left w:val="single" w:sz="4" w:space="0" w:color="auto"/>
              <w:bottom w:val="single" w:sz="4" w:space="0" w:color="auto"/>
              <w:right w:val="single" w:sz="4" w:space="0" w:color="auto"/>
            </w:tcBorders>
          </w:tcPr>
          <w:p w14:paraId="5761DE63" w14:textId="77777777" w:rsidR="00A56EE9" w:rsidRPr="00E70A11" w:rsidRDefault="00A56EE9" w:rsidP="00A11869">
            <w:pPr>
              <w:pStyle w:val="ListParagraph"/>
              <w:numPr>
                <w:ilvl w:val="0"/>
                <w:numId w:val="5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Traditional Use of Marine Resources Agreements</w:t>
            </w:r>
          </w:p>
          <w:p w14:paraId="5761DE64" w14:textId="77777777" w:rsidR="00A56EE9" w:rsidRPr="00E70A11" w:rsidRDefault="00A56EE9" w:rsidP="00A11869">
            <w:pPr>
              <w:pStyle w:val="ListParagraph"/>
              <w:numPr>
                <w:ilvl w:val="0"/>
                <w:numId w:val="5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2015-16 Land and Sea Country Partnerships program annual report summary </w:t>
            </w:r>
          </w:p>
          <w:p w14:paraId="5761DE65" w14:textId="77777777" w:rsidR="00A56EE9" w:rsidRPr="00E70A11" w:rsidRDefault="00A56EE9" w:rsidP="00A11869">
            <w:pPr>
              <w:pStyle w:val="ListParagraph"/>
              <w:numPr>
                <w:ilvl w:val="0"/>
                <w:numId w:val="5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Aboriginal and Torres Strait islander heritage strategy</w:t>
            </w:r>
          </w:p>
          <w:p w14:paraId="5761DE66" w14:textId="77777777" w:rsidR="00A56EE9" w:rsidRPr="00E70A11" w:rsidRDefault="00A56EE9" w:rsidP="00A11869">
            <w:pPr>
              <w:pStyle w:val="ListParagraph"/>
              <w:numPr>
                <w:ilvl w:val="0"/>
                <w:numId w:val="5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Impact Assessment Guidelines for the Woppaburra Heritage</w:t>
            </w:r>
          </w:p>
        </w:tc>
        <w:tc>
          <w:tcPr>
            <w:tcW w:w="981" w:type="dxa"/>
            <w:tcBorders>
              <w:top w:val="single" w:sz="4" w:space="0" w:color="auto"/>
              <w:left w:val="single" w:sz="4" w:space="0" w:color="auto"/>
              <w:bottom w:val="single" w:sz="4" w:space="0" w:color="auto"/>
              <w:right w:val="single" w:sz="4" w:space="0" w:color="auto"/>
            </w:tcBorders>
          </w:tcPr>
          <w:p w14:paraId="5761DE67" w14:textId="77777777" w:rsidR="00A56EE9" w:rsidRPr="00E70A11" w:rsidRDefault="00A56EE9" w:rsidP="00BB6AD5">
            <w:pPr>
              <w:pStyle w:val="Tablebulletlist"/>
              <w:rPr>
                <w:rStyle w:val="BookTitle"/>
              </w:rPr>
            </w:pPr>
            <w:r w:rsidRPr="00E70A11">
              <w:rPr>
                <w:rStyle w:val="BookTitle"/>
              </w:rPr>
              <w:t xml:space="preserve">limited </w:t>
            </w:r>
          </w:p>
        </w:tc>
        <w:tc>
          <w:tcPr>
            <w:tcW w:w="898" w:type="dxa"/>
            <w:tcBorders>
              <w:top w:val="single" w:sz="4" w:space="0" w:color="auto"/>
              <w:left w:val="single" w:sz="4" w:space="0" w:color="auto"/>
              <w:bottom w:val="single" w:sz="4" w:space="0" w:color="auto"/>
              <w:right w:val="single" w:sz="4" w:space="0" w:color="auto"/>
            </w:tcBorders>
          </w:tcPr>
          <w:p w14:paraId="5761DE6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E70"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E6A"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E6B" w14:textId="77777777" w:rsidR="00A56EE9" w:rsidRPr="00E70A11" w:rsidRDefault="00A56EE9" w:rsidP="00BB6AD5">
            <w:pPr>
              <w:pStyle w:val="Tablebulletlist"/>
              <w:jc w:val="center"/>
              <w:rPr>
                <w:rStyle w:val="BookTitle"/>
              </w:rPr>
            </w:pPr>
            <w:r w:rsidRPr="00E70A11">
              <w:rPr>
                <w:rStyle w:val="BookTitle"/>
              </w:rPr>
              <w:t>N/A</w:t>
            </w:r>
          </w:p>
        </w:tc>
        <w:tc>
          <w:tcPr>
            <w:tcW w:w="5242" w:type="dxa"/>
            <w:tcBorders>
              <w:top w:val="single" w:sz="4" w:space="0" w:color="auto"/>
              <w:left w:val="single" w:sz="4" w:space="0" w:color="auto"/>
              <w:bottom w:val="single" w:sz="4" w:space="0" w:color="auto"/>
              <w:right w:val="single" w:sz="4" w:space="0" w:color="auto"/>
            </w:tcBorders>
          </w:tcPr>
          <w:p w14:paraId="5761DE6C" w14:textId="77777777" w:rsidR="00A56EE9" w:rsidRPr="00E70A11" w:rsidRDefault="00A56EE9" w:rsidP="00BB6AD5">
            <w:pPr>
              <w:pStyle w:val="ListParagraph"/>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tcPr>
          <w:p w14:paraId="5761DE6D" w14:textId="77777777" w:rsidR="00A56EE9" w:rsidRPr="00E70A11" w:rsidRDefault="00A56EE9" w:rsidP="00BB6AD5">
            <w:pPr>
              <w:pStyle w:val="ListParagraph"/>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E6E" w14:textId="77777777" w:rsidR="00A56EE9" w:rsidRPr="00E70A11" w:rsidRDefault="00A56EE9" w:rsidP="00BB6AD5">
            <w:pPr>
              <w:pStyle w:val="Tablebulletlist"/>
              <w:rPr>
                <w:rStyle w:val="BookTitle"/>
              </w:rPr>
            </w:pPr>
          </w:p>
        </w:tc>
        <w:tc>
          <w:tcPr>
            <w:tcW w:w="898" w:type="dxa"/>
            <w:tcBorders>
              <w:top w:val="single" w:sz="4" w:space="0" w:color="auto"/>
              <w:left w:val="single" w:sz="4" w:space="0" w:color="auto"/>
              <w:bottom w:val="single" w:sz="4" w:space="0" w:color="auto"/>
              <w:right w:val="single" w:sz="4" w:space="0" w:color="auto"/>
            </w:tcBorders>
          </w:tcPr>
          <w:p w14:paraId="5761DE6F" w14:textId="77777777" w:rsidR="00A56EE9" w:rsidRPr="00E70A11" w:rsidRDefault="00A56EE9" w:rsidP="00BB6AD5">
            <w:pPr>
              <w:pStyle w:val="Tablebulletlist"/>
              <w:rPr>
                <w:rStyle w:val="BookTitle"/>
              </w:rPr>
            </w:pPr>
          </w:p>
        </w:tc>
      </w:tr>
      <w:tr w:rsidR="00A56EE9" w:rsidRPr="00E70A11" w14:paraId="5761DE91"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shd w:val="clear" w:color="auto" w:fill="auto"/>
          </w:tcPr>
          <w:p w14:paraId="5761DE71"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E72"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DE73"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Foundation projects significantly add to GBRMPA’s and QPWS ability to manage and protect biodiversity.</w:t>
            </w:r>
          </w:p>
          <w:p w14:paraId="5761DE74"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Seagrass watch, Landcare, Coastcare</w:t>
            </w:r>
          </w:p>
          <w:p w14:paraId="5761DE75"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Major input from university monitoring and research programs, CSIRO, AIMS etc</w:t>
            </w:r>
          </w:p>
          <w:p w14:paraId="5761DE76"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Eco Barge – based in the Whitsundays is a volunteer service which aims to reduce debris in the Marine Parks to help protect biodiversity.</w:t>
            </w:r>
          </w:p>
          <w:p w14:paraId="5761DE77"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Volunteer groups and events include:</w:t>
            </w:r>
          </w:p>
          <w:p w14:paraId="5761DE78"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Reefwatch</w:t>
            </w:r>
          </w:p>
          <w:p w14:paraId="5761DE79"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CapReef</w:t>
            </w:r>
          </w:p>
          <w:p w14:paraId="5761DE7A"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 Schools</w:t>
            </w:r>
          </w:p>
          <w:p w14:paraId="5761DE7B"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NGO’s on RACs</w:t>
            </w:r>
          </w:p>
          <w:p w14:paraId="5761DE7C"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LMACs</w:t>
            </w:r>
          </w:p>
          <w:p w14:paraId="5761DE7D"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fisheries working groups</w:t>
            </w:r>
          </w:p>
          <w:p w14:paraId="5761DE7E"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Mackay turtle watch</w:t>
            </w:r>
          </w:p>
          <w:p w14:paraId="5761DE7F"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OUCH</w:t>
            </w:r>
          </w:p>
          <w:p w14:paraId="5761DE80"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Beach clean up days</w:t>
            </w:r>
          </w:p>
          <w:p w14:paraId="5761DE81"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Seagrass Watch</w:t>
            </w:r>
          </w:p>
          <w:p w14:paraId="5761DE82"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Much of the information on biodiversity comes from researchers outside GBRMPA (e.g. AIMS, universities, UQ, CSIRO)</w:t>
            </w:r>
          </w:p>
          <w:p w14:paraId="5761DE83" w14:textId="77777777" w:rsidR="00A56EE9" w:rsidRPr="00E70A11" w:rsidRDefault="00A56EE9" w:rsidP="00A11869">
            <w:pPr>
              <w:pStyle w:val="ListParagraph"/>
              <w:numPr>
                <w:ilvl w:val="0"/>
                <w:numId w:val="1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Partnerships and collaborative Investments through the Reef Trust</w:t>
            </w:r>
          </w:p>
        </w:tc>
        <w:tc>
          <w:tcPr>
            <w:tcW w:w="4016" w:type="dxa"/>
            <w:tcBorders>
              <w:top w:val="single" w:sz="4" w:space="0" w:color="auto"/>
              <w:left w:val="single" w:sz="4" w:space="0" w:color="auto"/>
              <w:bottom w:val="single" w:sz="4" w:space="0" w:color="auto"/>
              <w:right w:val="single" w:sz="4" w:space="0" w:color="auto"/>
            </w:tcBorders>
          </w:tcPr>
          <w:p w14:paraId="5761DE84" w14:textId="77777777" w:rsidR="00A56EE9" w:rsidRPr="00E70A11" w:rsidRDefault="00A56EE9" w:rsidP="00A11869">
            <w:pPr>
              <w:pStyle w:val="ListParagraph"/>
              <w:numPr>
                <w:ilvl w:val="0"/>
                <w:numId w:val="6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Volunteer groups and events</w:t>
            </w:r>
          </w:p>
          <w:p w14:paraId="5761DE85" w14:textId="77777777" w:rsidR="00A56EE9" w:rsidRPr="00E70A11" w:rsidRDefault="00A56EE9" w:rsidP="00A11869">
            <w:pPr>
              <w:pStyle w:val="ListParagraph"/>
              <w:numPr>
                <w:ilvl w:val="0"/>
                <w:numId w:val="6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stations</w:t>
            </w:r>
          </w:p>
          <w:p w14:paraId="5761DE86" w14:textId="77777777" w:rsidR="00A56EE9" w:rsidRPr="00E70A11" w:rsidRDefault="00A56EE9" w:rsidP="00A11869">
            <w:pPr>
              <w:pStyle w:val="ListParagraph"/>
              <w:numPr>
                <w:ilvl w:val="0"/>
                <w:numId w:val="6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Eco Barge – based in the Whitsundays is a volunteer service which aims to reduce debris in the Marine Parks to help protect biodiversity.</w:t>
            </w:r>
          </w:p>
          <w:p w14:paraId="5761DE87" w14:textId="77777777" w:rsidR="00A56EE9" w:rsidRPr="00E70A11" w:rsidRDefault="00A56EE9" w:rsidP="00A11869">
            <w:pPr>
              <w:pStyle w:val="ListParagraph"/>
              <w:numPr>
                <w:ilvl w:val="0"/>
                <w:numId w:val="60"/>
              </w:numPr>
              <w:spacing w:after="200" w:line="276" w:lineRule="auto"/>
              <w:rPr>
                <w:rStyle w:val="BookTitle"/>
                <w:rFonts w:ascii="Arial Narrow" w:hAnsi="Arial Narrow"/>
                <w:sz w:val="18"/>
                <w:szCs w:val="18"/>
              </w:rPr>
            </w:pPr>
            <w:proofErr w:type="gramStart"/>
            <w:r w:rsidRPr="00E70A11">
              <w:rPr>
                <w:rStyle w:val="BookTitle"/>
                <w:rFonts w:ascii="Arial Narrow" w:hAnsi="Arial Narrow"/>
                <w:sz w:val="18"/>
                <w:szCs w:val="18"/>
              </w:rPr>
              <w:t>our</w:t>
            </w:r>
            <w:proofErr w:type="gramEnd"/>
            <w:r w:rsidRPr="00E70A11">
              <w:rPr>
                <w:rStyle w:val="BookTitle"/>
                <w:rFonts w:ascii="Arial Narrow" w:hAnsi="Arial Narrow"/>
                <w:sz w:val="18"/>
                <w:szCs w:val="18"/>
              </w:rPr>
              <w:t xml:space="preserve"> partners section on the GBRMPA website.</w:t>
            </w:r>
          </w:p>
          <w:p w14:paraId="5761DE88" w14:textId="77777777" w:rsidR="00A56EE9" w:rsidRPr="00E70A11" w:rsidRDefault="00A56EE9" w:rsidP="00A11869">
            <w:pPr>
              <w:pStyle w:val="ListParagraph"/>
              <w:numPr>
                <w:ilvl w:val="0"/>
                <w:numId w:val="6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Burnett Mary Regional Group</w:t>
            </w:r>
          </w:p>
          <w:p w14:paraId="5761DE89" w14:textId="77777777" w:rsidR="00A56EE9" w:rsidRPr="00E70A11" w:rsidRDefault="00A56EE9" w:rsidP="00A11869">
            <w:pPr>
              <w:pStyle w:val="ListParagraph"/>
              <w:numPr>
                <w:ilvl w:val="0"/>
                <w:numId w:val="6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Cape York NRM</w:t>
            </w:r>
          </w:p>
          <w:p w14:paraId="5761DE8A" w14:textId="77777777" w:rsidR="00A56EE9" w:rsidRPr="00E70A11" w:rsidRDefault="00A56EE9" w:rsidP="00A11869">
            <w:pPr>
              <w:pStyle w:val="ListParagraph"/>
              <w:numPr>
                <w:ilvl w:val="0"/>
                <w:numId w:val="6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Fitzroy Basin Association</w:t>
            </w:r>
          </w:p>
          <w:p w14:paraId="5761DE8B" w14:textId="77777777" w:rsidR="00A56EE9" w:rsidRPr="00E70A11" w:rsidRDefault="00A56EE9" w:rsidP="00A11869">
            <w:pPr>
              <w:pStyle w:val="ListParagraph"/>
              <w:numPr>
                <w:ilvl w:val="0"/>
                <w:numId w:val="6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NQ Dry Tropics</w:t>
            </w:r>
          </w:p>
          <w:p w14:paraId="5761DE8C" w14:textId="77777777" w:rsidR="00A56EE9" w:rsidRPr="00E70A11" w:rsidRDefault="00A56EE9" w:rsidP="00A11869">
            <w:pPr>
              <w:pStyle w:val="ListParagraph"/>
              <w:numPr>
                <w:ilvl w:val="0"/>
                <w:numId w:val="6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Catchments (Mackay Whitsunday Isaac)</w:t>
            </w:r>
          </w:p>
          <w:p w14:paraId="5761DE8D" w14:textId="77777777" w:rsidR="00A56EE9" w:rsidRPr="00E70A11" w:rsidRDefault="00A56EE9" w:rsidP="00A11869">
            <w:pPr>
              <w:pStyle w:val="ListParagraph"/>
              <w:numPr>
                <w:ilvl w:val="0"/>
                <w:numId w:val="6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Terrain NRM</w:t>
            </w:r>
          </w:p>
          <w:p w14:paraId="5761DE8E" w14:textId="77777777" w:rsidR="00A56EE9" w:rsidRPr="00E70A11" w:rsidRDefault="00A56EE9" w:rsidP="00A11869">
            <w:pPr>
              <w:pStyle w:val="ListParagraph"/>
              <w:numPr>
                <w:ilvl w:val="0"/>
                <w:numId w:val="6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Blueprint for resilience</w:t>
            </w:r>
          </w:p>
        </w:tc>
        <w:tc>
          <w:tcPr>
            <w:tcW w:w="981" w:type="dxa"/>
            <w:tcBorders>
              <w:top w:val="single" w:sz="4" w:space="0" w:color="auto"/>
              <w:left w:val="single" w:sz="4" w:space="0" w:color="auto"/>
              <w:bottom w:val="single" w:sz="4" w:space="0" w:color="auto"/>
              <w:right w:val="single" w:sz="4" w:space="0" w:color="auto"/>
            </w:tcBorders>
          </w:tcPr>
          <w:p w14:paraId="5761DE8F"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E9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E98"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E92" w14:textId="77777777" w:rsidR="00A56EE9" w:rsidRPr="00E70A11" w:rsidRDefault="00A56EE9" w:rsidP="00BB6AD5">
            <w:pPr>
              <w:pStyle w:val="Tablebulletlist"/>
              <w:rPr>
                <w:rStyle w:val="BookTitle"/>
              </w:rPr>
            </w:pPr>
            <w:r w:rsidRPr="00E70A11">
              <w:rPr>
                <w:rStyle w:val="BookTitle"/>
              </w:rPr>
              <w:t>PROCESSES</w:t>
            </w:r>
          </w:p>
        </w:tc>
        <w:tc>
          <w:tcPr>
            <w:tcW w:w="77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761DE93" w14:textId="77777777" w:rsidR="00A56EE9" w:rsidRPr="00E70A11" w:rsidRDefault="00A56EE9" w:rsidP="00BB6AD5">
            <w:pPr>
              <w:pStyle w:val="Tablebulletlist"/>
              <w:jc w:val="center"/>
              <w:rPr>
                <w:rStyle w:val="BookTitle"/>
              </w:rPr>
            </w:pPr>
          </w:p>
        </w:tc>
        <w:tc>
          <w:tcPr>
            <w:tcW w:w="524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E94" w14:textId="77777777" w:rsidR="00A56EE9" w:rsidRPr="00E70A11" w:rsidRDefault="00A56EE9" w:rsidP="00BB6AD5">
            <w:pPr>
              <w:pStyle w:val="ListParagraph"/>
              <w:ind w:left="360"/>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E95"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E96" w14:textId="77777777" w:rsidR="00A56EE9" w:rsidRPr="00E70A11" w:rsidRDefault="00A56EE9" w:rsidP="00BB6AD5">
            <w:pPr>
              <w:pStyle w:val="Tablebulletlist"/>
              <w:rPr>
                <w:rStyle w:val="BookTitle"/>
              </w:rPr>
            </w:pPr>
          </w:p>
        </w:tc>
        <w:tc>
          <w:tcPr>
            <w:tcW w:w="89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E97" w14:textId="77777777" w:rsidR="00A56EE9" w:rsidRPr="00E70A11" w:rsidRDefault="00A56EE9" w:rsidP="00BB6AD5">
            <w:pPr>
              <w:pStyle w:val="Tablebulletlist"/>
              <w:rPr>
                <w:rStyle w:val="BookTitle"/>
              </w:rPr>
            </w:pPr>
          </w:p>
        </w:tc>
      </w:tr>
      <w:tr w:rsidR="00A56EE9" w:rsidRPr="00E70A11" w14:paraId="5761DEAC"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E99"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E9A"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DE9B" w14:textId="77777777" w:rsidR="00A56EE9" w:rsidRPr="00E70A11" w:rsidRDefault="00A56EE9" w:rsidP="00A11869">
            <w:pPr>
              <w:pStyle w:val="ListParagraph"/>
              <w:numPr>
                <w:ilvl w:val="0"/>
                <w:numId w:val="17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EPA, Queensland Boating and Fisheries patrol (QBFP) and GBRMPA have regional-based staff for engaging with local communities.</w:t>
            </w:r>
          </w:p>
          <w:p w14:paraId="5761DE9C" w14:textId="77777777" w:rsidR="00A56EE9" w:rsidRPr="00E70A11" w:rsidRDefault="00A56EE9" w:rsidP="00A11869">
            <w:pPr>
              <w:pStyle w:val="ListParagraph"/>
              <w:numPr>
                <w:ilvl w:val="0"/>
                <w:numId w:val="17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Six additional Queensland Boating and Fisheries Patrol (QBFP) officers to North Queensland.</w:t>
            </w:r>
          </w:p>
          <w:p w14:paraId="5761DE9D" w14:textId="77777777" w:rsidR="00A56EE9" w:rsidRPr="00E70A11" w:rsidRDefault="00A56EE9" w:rsidP="00A11869">
            <w:pPr>
              <w:pStyle w:val="ListParagraph"/>
              <w:numPr>
                <w:ilvl w:val="0"/>
                <w:numId w:val="17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Local communities are involved in biodiversity protection generally through the Local Marine Advisory Committees (LMACs) and through planning processes for areas/specific places. </w:t>
            </w:r>
          </w:p>
          <w:p w14:paraId="5761DE9E" w14:textId="77777777" w:rsidR="00A56EE9" w:rsidRPr="00E70A11" w:rsidRDefault="00A56EE9" w:rsidP="00A11869">
            <w:pPr>
              <w:pStyle w:val="ListParagraph"/>
              <w:numPr>
                <w:ilvl w:val="0"/>
                <w:numId w:val="17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Community groups are engaged widely in monitoring and field management activities in the Region</w:t>
            </w:r>
          </w:p>
          <w:p w14:paraId="5761DE9F" w14:textId="77777777" w:rsidR="00A56EE9" w:rsidRPr="00E70A11" w:rsidRDefault="00A56EE9" w:rsidP="00A11869">
            <w:pPr>
              <w:pStyle w:val="ListParagraph"/>
              <w:numPr>
                <w:ilvl w:val="0"/>
                <w:numId w:val="17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Regional Offices provide a point of contact.</w:t>
            </w:r>
          </w:p>
          <w:p w14:paraId="5761DEA0" w14:textId="77777777" w:rsidR="00A56EE9" w:rsidRPr="00E70A11" w:rsidRDefault="00A56EE9" w:rsidP="00A11869">
            <w:pPr>
              <w:pStyle w:val="ListParagraph"/>
              <w:numPr>
                <w:ilvl w:val="0"/>
                <w:numId w:val="17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Tourism industry extensively engaged through programs such as Eye on the Reef</w:t>
            </w:r>
          </w:p>
          <w:p w14:paraId="5761DEA1" w14:textId="77777777" w:rsidR="00A56EE9" w:rsidRPr="00E70A11" w:rsidRDefault="00A56EE9" w:rsidP="00A11869">
            <w:pPr>
              <w:pStyle w:val="ListParagraph"/>
              <w:numPr>
                <w:ilvl w:val="0"/>
                <w:numId w:val="17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w:t>
            </w:r>
            <w:r>
              <w:rPr>
                <w:rStyle w:val="BookTitle"/>
                <w:rFonts w:ascii="Arial Narrow" w:hAnsi="Arial Narrow"/>
                <w:sz w:val="18"/>
                <w:szCs w:val="18"/>
              </w:rPr>
              <w:t>s</w:t>
            </w:r>
            <w:r w:rsidRPr="00E70A11">
              <w:rPr>
                <w:rStyle w:val="BookTitle"/>
                <w:rFonts w:ascii="Arial Narrow" w:hAnsi="Arial Narrow"/>
                <w:sz w:val="18"/>
                <w:szCs w:val="18"/>
              </w:rPr>
              <w:t xml:space="preserve"> Plan of Management underwent a consultation period for the WPOM amendments in 2017 and was developed in consultation with Traditional Owners, local stakeholders, community members and tourism operators</w:t>
            </w:r>
          </w:p>
          <w:p w14:paraId="5761DEA2" w14:textId="77777777" w:rsidR="00A56EE9" w:rsidRPr="00E70A11" w:rsidRDefault="00A56EE9" w:rsidP="00A11869">
            <w:pPr>
              <w:pStyle w:val="ListParagraph"/>
              <w:numPr>
                <w:ilvl w:val="0"/>
                <w:numId w:val="17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May 2017, GBRMPA held a Reef Summit in Townsville, together with government, community, Traditional Owners, industry and science sectors to develop a blueprint for resilience for coral reefs.</w:t>
            </w:r>
          </w:p>
          <w:p w14:paraId="5761DEA3" w14:textId="77777777" w:rsidR="00A56EE9" w:rsidRPr="00E70A11" w:rsidRDefault="00A56EE9" w:rsidP="00A11869">
            <w:pPr>
              <w:pStyle w:val="ListParagraph"/>
              <w:numPr>
                <w:ilvl w:val="0"/>
                <w:numId w:val="17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Raine Island Recovery Project has two formal groups now established by the Queensland Minister for National Parks.</w:t>
            </w:r>
            <w:r>
              <w:rPr>
                <w:rStyle w:val="BookTitle"/>
                <w:rFonts w:ascii="Arial Narrow" w:hAnsi="Arial Narrow"/>
                <w:sz w:val="18"/>
                <w:szCs w:val="18"/>
              </w:rPr>
              <w:t xml:space="preserve"> </w:t>
            </w:r>
            <w:r w:rsidRPr="00E70A11">
              <w:rPr>
                <w:rStyle w:val="BookTitle"/>
                <w:rFonts w:ascii="Arial Narrow" w:hAnsi="Arial Narrow"/>
                <w:sz w:val="18"/>
                <w:szCs w:val="18"/>
              </w:rPr>
              <w:t>The Raine Island Reference Group and Raine Island Scientific Advisory Group.</w:t>
            </w:r>
          </w:p>
          <w:p w14:paraId="5761DEA4" w14:textId="77777777" w:rsidR="00A56EE9" w:rsidRPr="00E70A11" w:rsidRDefault="00A56EE9" w:rsidP="00A11869">
            <w:pPr>
              <w:pStyle w:val="ListParagraph"/>
              <w:numPr>
                <w:ilvl w:val="0"/>
                <w:numId w:val="17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Walking the landscape involves a number of stakeholders including scientists, farmers, extension officers, and governments to determine how water moves in the landscape and how it may affect biodiversity.</w:t>
            </w:r>
            <w:r>
              <w:rPr>
                <w:rStyle w:val="BookTitle"/>
                <w:rFonts w:ascii="Arial Narrow" w:hAnsi="Arial Narrow"/>
                <w:sz w:val="18"/>
                <w:szCs w:val="18"/>
              </w:rPr>
              <w:t xml:space="preserve"> </w:t>
            </w:r>
            <w:r w:rsidRPr="00E70A11">
              <w:rPr>
                <w:rStyle w:val="BookTitle"/>
                <w:rFonts w:ascii="Arial Narrow" w:hAnsi="Arial Narrow"/>
                <w:sz w:val="18"/>
                <w:szCs w:val="18"/>
              </w:rPr>
              <w:t>The process has been run for most catchments in the catchments of the GBR.</w:t>
            </w:r>
          </w:p>
        </w:tc>
        <w:tc>
          <w:tcPr>
            <w:tcW w:w="4016" w:type="dxa"/>
            <w:tcBorders>
              <w:top w:val="single" w:sz="4" w:space="0" w:color="auto"/>
              <w:left w:val="single" w:sz="4" w:space="0" w:color="auto"/>
              <w:bottom w:val="single" w:sz="4" w:space="0" w:color="auto"/>
              <w:right w:val="single" w:sz="4" w:space="0" w:color="auto"/>
            </w:tcBorders>
          </w:tcPr>
          <w:p w14:paraId="5761DEA5" w14:textId="77777777" w:rsidR="00A56EE9" w:rsidRPr="00E70A11" w:rsidRDefault="00A56EE9" w:rsidP="00A11869">
            <w:pPr>
              <w:pStyle w:val="ListParagraph"/>
              <w:numPr>
                <w:ilvl w:val="0"/>
                <w:numId w:val="6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Guardians program</w:t>
            </w:r>
          </w:p>
          <w:p w14:paraId="5761DEA6" w14:textId="77777777" w:rsidR="00A56EE9" w:rsidRPr="00E70A11" w:rsidRDefault="00A56EE9" w:rsidP="00A11869">
            <w:pPr>
              <w:pStyle w:val="ListParagraph"/>
              <w:numPr>
                <w:ilvl w:val="0"/>
                <w:numId w:val="6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Expert advice sought on biodiversity matters through the Conservation, Heritage and Indigenous Partnerships Reef Advisory Committee (CRAC), Fisheries RAC, Water Quality and Coastal Development RAC, and the Tourism and Recreation RAC.</w:t>
            </w:r>
          </w:p>
          <w:p w14:paraId="5761DEA7" w14:textId="77777777" w:rsidR="00A56EE9" w:rsidRPr="00E70A11" w:rsidRDefault="00A56EE9" w:rsidP="00A11869">
            <w:pPr>
              <w:pStyle w:val="ListParagraph"/>
              <w:numPr>
                <w:ilvl w:val="0"/>
                <w:numId w:val="6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All appropriate managing agencies are involved in biodiversity protection management for the GBR, e.g. DES, DEWHA, DPI&amp;F, AMSA, etc.</w:t>
            </w:r>
          </w:p>
          <w:p w14:paraId="5761DEA8" w14:textId="77777777" w:rsidR="00A56EE9" w:rsidRPr="00E70A11" w:rsidRDefault="00A56EE9" w:rsidP="00A11869">
            <w:pPr>
              <w:pStyle w:val="ListParagraph"/>
              <w:numPr>
                <w:ilvl w:val="0"/>
                <w:numId w:val="6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Summit: Managing for resilience. Summary of proceedings and outputs, 24-25 May 2017, Townsville</w:t>
            </w:r>
            <w:r>
              <w:rPr>
                <w:rStyle w:val="BookTitle"/>
                <w:rFonts w:ascii="Arial Narrow" w:hAnsi="Arial Narrow"/>
                <w:sz w:val="18"/>
                <w:szCs w:val="18"/>
              </w:rPr>
              <w:t xml:space="preserve"> </w:t>
            </w:r>
            <w:r w:rsidRPr="00E70A11">
              <w:rPr>
                <w:rStyle w:val="BookTitle"/>
                <w:rFonts w:ascii="Arial Narrow" w:hAnsi="Arial Narrow"/>
                <w:sz w:val="18"/>
                <w:szCs w:val="18"/>
              </w:rPr>
              <w:t>LMACs</w:t>
            </w:r>
          </w:p>
          <w:p w14:paraId="5761DEA9" w14:textId="77777777" w:rsidR="00A56EE9" w:rsidRPr="00E70A11" w:rsidRDefault="00A56EE9" w:rsidP="00A11869">
            <w:pPr>
              <w:pStyle w:val="ListParagraph"/>
              <w:numPr>
                <w:ilvl w:val="0"/>
                <w:numId w:val="6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w:t>
            </w:r>
          </w:p>
        </w:tc>
        <w:tc>
          <w:tcPr>
            <w:tcW w:w="981" w:type="dxa"/>
            <w:tcBorders>
              <w:top w:val="single" w:sz="4" w:space="0" w:color="auto"/>
              <w:left w:val="single" w:sz="4" w:space="0" w:color="auto"/>
              <w:bottom w:val="single" w:sz="4" w:space="0" w:color="auto"/>
              <w:right w:val="single" w:sz="4" w:space="0" w:color="auto"/>
            </w:tcBorders>
          </w:tcPr>
          <w:p w14:paraId="5761DEAA"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EA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ECC"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EAD"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EAE"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DEAF" w14:textId="77777777" w:rsidR="00A56EE9" w:rsidRPr="00E70A11" w:rsidRDefault="00A56EE9" w:rsidP="00A11869">
            <w:pPr>
              <w:pStyle w:val="ListParagraph"/>
              <w:numPr>
                <w:ilvl w:val="0"/>
                <w:numId w:val="1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QPWS, Queensland Boating and Fisheries patrol (QBFP) and GBRMPA have regional-based staff for engaging with local communities.</w:t>
            </w:r>
          </w:p>
          <w:p w14:paraId="5761DEB0" w14:textId="77777777" w:rsidR="00A56EE9" w:rsidRPr="00E70A11" w:rsidRDefault="00A56EE9" w:rsidP="00A11869">
            <w:pPr>
              <w:pStyle w:val="ListParagraph"/>
              <w:numPr>
                <w:ilvl w:val="0"/>
                <w:numId w:val="1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Six additional Queensland Boating and Fisheries Patrol (QBFP) officers to North Queensland.</w:t>
            </w:r>
          </w:p>
          <w:p w14:paraId="5761DEB1" w14:textId="77777777" w:rsidR="00A56EE9" w:rsidRPr="00E70A11" w:rsidRDefault="00A56EE9" w:rsidP="00A11869">
            <w:pPr>
              <w:pStyle w:val="ListParagraph"/>
              <w:numPr>
                <w:ilvl w:val="0"/>
                <w:numId w:val="1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Local communities are involved in biodiversity protection generally through the Local Marine Advisory Committees (LMACs) and through planning processes for areas/specific places. (Document mapping LMAC actions to the Blueprint for resilience is also being discussed)</w:t>
            </w:r>
          </w:p>
          <w:p w14:paraId="5761DEB2" w14:textId="77777777" w:rsidR="00A56EE9" w:rsidRPr="00E70A11" w:rsidRDefault="00A56EE9" w:rsidP="00A11869">
            <w:pPr>
              <w:pStyle w:val="ListParagraph"/>
              <w:numPr>
                <w:ilvl w:val="0"/>
                <w:numId w:val="1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Community groups are engaged widely in monitoring and field management activities in the Region</w:t>
            </w:r>
          </w:p>
          <w:p w14:paraId="5761DEB3" w14:textId="77777777" w:rsidR="00A56EE9" w:rsidRPr="00E70A11" w:rsidRDefault="00A56EE9" w:rsidP="00A11869">
            <w:pPr>
              <w:pStyle w:val="ListParagraph"/>
              <w:numPr>
                <w:ilvl w:val="0"/>
                <w:numId w:val="1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Regional Offices provide a point of contact.</w:t>
            </w:r>
          </w:p>
          <w:p w14:paraId="5761DEB4" w14:textId="77777777" w:rsidR="00A56EE9" w:rsidRPr="00E70A11" w:rsidRDefault="00A56EE9" w:rsidP="00A11869">
            <w:pPr>
              <w:pStyle w:val="ListParagraph"/>
              <w:numPr>
                <w:ilvl w:val="0"/>
                <w:numId w:val="1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Refer also to management of fishing, tourism and recreation</w:t>
            </w:r>
          </w:p>
          <w:p w14:paraId="5761DEB5" w14:textId="77777777" w:rsidR="00A56EE9" w:rsidRPr="00E70A11" w:rsidRDefault="00A56EE9" w:rsidP="00A11869">
            <w:pPr>
              <w:pStyle w:val="ListParagraph"/>
              <w:numPr>
                <w:ilvl w:val="0"/>
                <w:numId w:val="1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 updates for schools and councils</w:t>
            </w:r>
          </w:p>
          <w:p w14:paraId="5761DEB6" w14:textId="77777777" w:rsidR="00A56EE9" w:rsidRPr="00E70A11" w:rsidRDefault="00A56EE9" w:rsidP="00A11869">
            <w:pPr>
              <w:pStyle w:val="ListParagraph"/>
              <w:numPr>
                <w:ilvl w:val="0"/>
                <w:numId w:val="1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Tools for the engagement of broader community in management of biodiversity are being improved.</w:t>
            </w:r>
          </w:p>
          <w:p w14:paraId="5761DEB7"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Eye on the Reef program </w:t>
            </w:r>
          </w:p>
          <w:p w14:paraId="5761DEB8"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Sightings network</w:t>
            </w:r>
          </w:p>
          <w:p w14:paraId="5761DEB9"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Guardians - schools, councils, fishers and farmers</w:t>
            </w:r>
          </w:p>
          <w:p w14:paraId="5761DEB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2016, Reef 2050 LTSP completed a roadshow up and down the Great Barrier Reef catchment which involved a number of stakeholders including NRM, farmers, and councils</w:t>
            </w:r>
          </w:p>
          <w:p w14:paraId="5761DEB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Each year, the MMP team conduct a Monitoring, Evaluation, Reporting and Improvement workshop which is structured around presentations outlining the latest information on the condition and trend of water quality, coral and seagrass and the pressures that have affected them in 2016-17, ahead of the publications of these annual reports. Stakeholders include universities, OGBR, CSIRO, GBRMPA, DOEE, NRM groups, RRRC, DAF)</w:t>
            </w:r>
          </w:p>
          <w:p w14:paraId="5761DEB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Walking the landscape involves a number of stakeholders including scientists, farmers, extension officers, and governments to determine how water moves in the landscape and how it may affect biodiversity.</w:t>
            </w:r>
            <w:r>
              <w:rPr>
                <w:rStyle w:val="BookTitle"/>
                <w:rFonts w:ascii="Arial Narrow" w:hAnsi="Arial Narrow"/>
                <w:sz w:val="18"/>
                <w:szCs w:val="18"/>
              </w:rPr>
              <w:t xml:space="preserve"> </w:t>
            </w:r>
            <w:r w:rsidRPr="00E70A11">
              <w:rPr>
                <w:rStyle w:val="BookTitle"/>
                <w:rFonts w:ascii="Arial Narrow" w:hAnsi="Arial Narrow"/>
                <w:sz w:val="18"/>
                <w:szCs w:val="18"/>
              </w:rPr>
              <w:t>The process has been run for most catchments in the catchments of the GBR.</w:t>
            </w:r>
          </w:p>
        </w:tc>
        <w:tc>
          <w:tcPr>
            <w:tcW w:w="4016" w:type="dxa"/>
            <w:tcBorders>
              <w:top w:val="single" w:sz="4" w:space="0" w:color="auto"/>
              <w:left w:val="single" w:sz="4" w:space="0" w:color="auto"/>
              <w:bottom w:val="single" w:sz="4" w:space="0" w:color="auto"/>
              <w:right w:val="single" w:sz="4" w:space="0" w:color="auto"/>
            </w:tcBorders>
          </w:tcPr>
          <w:p w14:paraId="5761DEBD"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 Program</w:t>
            </w:r>
          </w:p>
          <w:p w14:paraId="5761DEBE"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Guardian Farmers and Graziers </w:t>
            </w:r>
          </w:p>
          <w:p w14:paraId="5761DEBF"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 Schools</w:t>
            </w:r>
          </w:p>
          <w:p w14:paraId="5761DEC0"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 Councils</w:t>
            </w:r>
          </w:p>
          <w:p w14:paraId="5761DEC1"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 program - GBRMPA</w:t>
            </w:r>
          </w:p>
          <w:p w14:paraId="5761DEC2"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Sightings network - GBRMPA</w:t>
            </w:r>
          </w:p>
          <w:p w14:paraId="5761DEC3"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Guardians</w:t>
            </w:r>
          </w:p>
          <w:p w14:paraId="5761DEC4"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regional offices (EPA and DPI&amp;F</w:t>
            </w:r>
          </w:p>
          <w:p w14:paraId="5761DEC5"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Community groups</w:t>
            </w:r>
          </w:p>
          <w:p w14:paraId="5761DEC6"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Plan roadshow</w:t>
            </w:r>
          </w:p>
          <w:p w14:paraId="5761DEC7"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MMP MERI Workshops</w:t>
            </w:r>
          </w:p>
          <w:p w14:paraId="5761DEC8"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Nest to Ocean Turtle Protection Program</w:t>
            </w:r>
          </w:p>
          <w:p w14:paraId="5761DEC9" w14:textId="77777777" w:rsidR="00A56EE9" w:rsidRPr="00E70A11" w:rsidRDefault="00A56EE9" w:rsidP="00A11869">
            <w:pPr>
              <w:pStyle w:val="ListParagraph"/>
              <w:numPr>
                <w:ilvl w:val="0"/>
                <w:numId w:val="6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Summit: Managing for resilience.</w:t>
            </w:r>
          </w:p>
        </w:tc>
        <w:tc>
          <w:tcPr>
            <w:tcW w:w="981" w:type="dxa"/>
            <w:tcBorders>
              <w:top w:val="single" w:sz="4" w:space="0" w:color="auto"/>
              <w:left w:val="single" w:sz="4" w:space="0" w:color="auto"/>
              <w:bottom w:val="single" w:sz="4" w:space="0" w:color="auto"/>
              <w:right w:val="single" w:sz="4" w:space="0" w:color="auto"/>
            </w:tcBorders>
          </w:tcPr>
          <w:p w14:paraId="5761DECA"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EC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EE9"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ECD" w14:textId="77777777" w:rsidR="00A56EE9" w:rsidRPr="00E70A11" w:rsidRDefault="00A56EE9" w:rsidP="00BB6AD5">
            <w:pPr>
              <w:pStyle w:val="Tablebulletlist"/>
              <w:rPr>
                <w:rStyle w:val="BookTitle"/>
              </w:rPr>
            </w:pPr>
            <w:r w:rsidRPr="00E70A11">
              <w:rPr>
                <w:rStyle w:val="BookTitle"/>
              </w:rPr>
              <w:t>PR3 There is a sound governance system in place to address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ECE"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ECF"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EPBC Act and GBRMP Act provide strong legislative basis for biodiversity management and control of potential impacts on MNES</w:t>
            </w:r>
          </w:p>
          <w:p w14:paraId="5761DED0"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Intergovernmental Agreement 20</w:t>
            </w:r>
            <w:r>
              <w:rPr>
                <w:rStyle w:val="BookTitle"/>
                <w:rFonts w:ascii="Arial Narrow" w:hAnsi="Arial Narrow"/>
                <w:sz w:val="18"/>
                <w:szCs w:val="18"/>
              </w:rPr>
              <w:t>15</w:t>
            </w:r>
            <w:r w:rsidRPr="00E70A11">
              <w:rPr>
                <w:rStyle w:val="BookTitle"/>
                <w:rFonts w:ascii="Arial Narrow" w:hAnsi="Arial Narrow"/>
                <w:sz w:val="18"/>
                <w:szCs w:val="18"/>
              </w:rPr>
              <w:t xml:space="preserve"> provides the framework for the Australian and Queensland governments to work together to protect the Great Barrier Reef</w:t>
            </w:r>
          </w:p>
          <w:p w14:paraId="5761DED1"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Permits are issued jointly</w:t>
            </w:r>
          </w:p>
          <w:p w14:paraId="5761DED2"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Ministerial Forum</w:t>
            </w:r>
          </w:p>
          <w:p w14:paraId="5761DED3"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Governance arrangements have been the subject of a number of recent reports</w:t>
            </w:r>
          </w:p>
          <w:p w14:paraId="5761DED4"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MOU with the Great Barrier Reef Foundation sets the framework for collaborative research project selection and implementation. </w:t>
            </w:r>
          </w:p>
          <w:p w14:paraId="5761DED5"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Engagement with industry (QSIA, AMPTO) and through RACs and LMACs</w:t>
            </w:r>
          </w:p>
          <w:p w14:paraId="5761DED6"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 governance arrangements</w:t>
            </w:r>
          </w:p>
          <w:p w14:paraId="5761DED7"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governance arrangements</w:t>
            </w:r>
          </w:p>
          <w:p w14:paraId="5761DED8" w14:textId="77777777" w:rsidR="00A56EE9" w:rsidRPr="00E70A11" w:rsidRDefault="00A56EE9" w:rsidP="00A11869">
            <w:pPr>
              <w:pStyle w:val="ListParagraph"/>
              <w:numPr>
                <w:ilvl w:val="0"/>
                <w:numId w:val="181"/>
              </w:numPr>
              <w:spacing w:after="200" w:line="276" w:lineRule="auto"/>
              <w:rPr>
                <w:rFonts w:ascii="Arial Narrow" w:hAnsi="Arial Narrow"/>
                <w:sz w:val="18"/>
                <w:szCs w:val="18"/>
              </w:rPr>
            </w:pPr>
            <w:r w:rsidRPr="00E70A11">
              <w:rPr>
                <w:rFonts w:ascii="Arial Narrow" w:hAnsi="Arial Narrow"/>
                <w:sz w:val="18"/>
                <w:szCs w:val="18"/>
              </w:rPr>
              <w:t>A Queensland Wetlands Governance Group and GBR Wetlands Network link key managers and practitioners and meet and collaborate on wetlands issues</w:t>
            </w:r>
          </w:p>
          <w:p w14:paraId="5761DED9"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Paddock to Reef Technical working groups</w:t>
            </w:r>
          </w:p>
          <w:p w14:paraId="5761DEDA"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Regional report card steering groups</w:t>
            </w:r>
          </w:p>
          <w:p w14:paraId="5761DEDB" w14:textId="77777777" w:rsidR="00A56EE9" w:rsidRPr="00E70A11" w:rsidRDefault="00A56EE9" w:rsidP="00A11869">
            <w:pPr>
              <w:pStyle w:val="ListParagraph"/>
              <w:numPr>
                <w:ilvl w:val="0"/>
                <w:numId w:val="1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Wetlands and Aquatic Ecosystem Sub Committee, managed by the Australian Government, assists with linking jurisdictions in the management of Ramsar sites. </w:t>
            </w:r>
          </w:p>
        </w:tc>
        <w:tc>
          <w:tcPr>
            <w:tcW w:w="4016" w:type="dxa"/>
            <w:tcBorders>
              <w:top w:val="single" w:sz="4" w:space="0" w:color="auto"/>
              <w:left w:val="single" w:sz="4" w:space="0" w:color="auto"/>
              <w:bottom w:val="single" w:sz="4" w:space="0" w:color="auto"/>
              <w:right w:val="single" w:sz="4" w:space="0" w:color="auto"/>
            </w:tcBorders>
          </w:tcPr>
          <w:p w14:paraId="5761DEDC" w14:textId="77777777" w:rsidR="00A56EE9" w:rsidRPr="00E70A11" w:rsidRDefault="00A56EE9" w:rsidP="00A11869">
            <w:pPr>
              <w:pStyle w:val="ListParagraph"/>
              <w:numPr>
                <w:ilvl w:val="0"/>
                <w:numId w:val="6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EPBC Act, GBRMPA Act, NCA Act etc provide legislative basis</w:t>
            </w:r>
          </w:p>
          <w:p w14:paraId="5761DEDD" w14:textId="77777777" w:rsidR="00A56EE9" w:rsidRPr="00E70A11" w:rsidRDefault="00A56EE9" w:rsidP="00A11869">
            <w:pPr>
              <w:pStyle w:val="ListParagraph"/>
              <w:numPr>
                <w:ilvl w:val="0"/>
                <w:numId w:val="6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IGA provides framework for joint management arrangements</w:t>
            </w:r>
          </w:p>
          <w:p w14:paraId="5761DEDE" w14:textId="77777777" w:rsidR="00A56EE9" w:rsidRPr="00E70A11" w:rsidRDefault="00A56EE9" w:rsidP="00A11869">
            <w:pPr>
              <w:pStyle w:val="ListParagraph"/>
              <w:numPr>
                <w:ilvl w:val="0"/>
                <w:numId w:val="6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 governance</w:t>
            </w:r>
          </w:p>
          <w:p w14:paraId="5761DEDF" w14:textId="77777777" w:rsidR="00A56EE9" w:rsidRPr="00E70A11" w:rsidRDefault="00A56EE9" w:rsidP="00A11869">
            <w:pPr>
              <w:pStyle w:val="ListParagraph"/>
              <w:numPr>
                <w:ilvl w:val="0"/>
                <w:numId w:val="6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governance</w:t>
            </w:r>
          </w:p>
          <w:p w14:paraId="5761DEE0" w14:textId="77777777" w:rsidR="00A56EE9" w:rsidRPr="00E70A11" w:rsidRDefault="00A56EE9" w:rsidP="00A11869">
            <w:pPr>
              <w:pStyle w:val="ListParagraph"/>
              <w:numPr>
                <w:ilvl w:val="0"/>
                <w:numId w:val="6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governance</w:t>
            </w:r>
          </w:p>
          <w:p w14:paraId="5761DEE1" w14:textId="77777777" w:rsidR="00A56EE9" w:rsidRPr="00E70A11" w:rsidRDefault="00A56EE9" w:rsidP="00A11869">
            <w:pPr>
              <w:pStyle w:val="ListParagraph"/>
              <w:numPr>
                <w:ilvl w:val="0"/>
                <w:numId w:val="6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Cvitanovic, C., A.J. Hobday, L. van Kerkhoff, S.K. Wilson, K. Dobbs, and N.A. Marshall. 2015. "Review: Improving knowledge exchange among scientists and decision-makers to facilitate the adaptive governance of marine resources: A review of knowledge and research needs." Ocean </w:t>
            </w:r>
            <w:proofErr w:type="gramStart"/>
            <w:r w:rsidRPr="00E70A11">
              <w:rPr>
                <w:rStyle w:val="BookTitle"/>
                <w:rFonts w:ascii="Arial Narrow" w:hAnsi="Arial Narrow"/>
                <w:sz w:val="18"/>
                <w:szCs w:val="18"/>
              </w:rPr>
              <w:t>And</w:t>
            </w:r>
            <w:proofErr w:type="gramEnd"/>
            <w:r w:rsidRPr="00E70A11">
              <w:rPr>
                <w:rStyle w:val="BookTitle"/>
                <w:rFonts w:ascii="Arial Narrow" w:hAnsi="Arial Narrow"/>
                <w:sz w:val="18"/>
                <w:szCs w:val="18"/>
              </w:rPr>
              <w:t xml:space="preserve"> Coastal Management 112, 25-35. ScienceDirect, EBSCOhost (accessed October 11, 2017</w:t>
            </w:r>
          </w:p>
          <w:p w14:paraId="5761DEE2" w14:textId="77777777" w:rsidR="00A56EE9" w:rsidRPr="00E70A11" w:rsidRDefault="00A56EE9" w:rsidP="00A11869">
            <w:pPr>
              <w:pStyle w:val="ListParagraph"/>
              <w:numPr>
                <w:ilvl w:val="0"/>
                <w:numId w:val="6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Dale et al 2013 A method for risk analysis across governance systems: a Great Barrier Reef case study</w:t>
            </w:r>
          </w:p>
          <w:p w14:paraId="5761DEE3" w14:textId="77777777" w:rsidR="00A56EE9" w:rsidRPr="00E70A11" w:rsidRDefault="00A56EE9" w:rsidP="00A11869">
            <w:pPr>
              <w:pStyle w:val="ListParagraph"/>
              <w:numPr>
                <w:ilvl w:val="0"/>
                <w:numId w:val="6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Grech etal 2013 Guiding principles for the improved governance of port and shipping impacts in the Great Barrier Reef</w:t>
            </w:r>
          </w:p>
          <w:p w14:paraId="5761DEE4" w14:textId="77777777" w:rsidR="00A56EE9" w:rsidRPr="00E70A11" w:rsidRDefault="00A56EE9" w:rsidP="00A11869">
            <w:pPr>
              <w:pStyle w:val="ListParagraph"/>
              <w:numPr>
                <w:ilvl w:val="0"/>
                <w:numId w:val="6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Day and Dobbs 2013 Effective governance of a large and complex cross-jurisdictional marine protected area: Australia’s Great Barrier Reef</w:t>
            </w:r>
          </w:p>
          <w:p w14:paraId="5761DEE5" w14:textId="77777777" w:rsidR="00A56EE9" w:rsidRPr="00E70A11" w:rsidRDefault="00A56EE9" w:rsidP="00A11869">
            <w:pPr>
              <w:pStyle w:val="ListParagraph"/>
              <w:numPr>
                <w:ilvl w:val="0"/>
                <w:numId w:val="6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Independent Review of the Port of Gladstone - Report on findings July 2013</w:t>
            </w:r>
          </w:p>
          <w:p w14:paraId="5761DEE6" w14:textId="77777777" w:rsidR="00A56EE9" w:rsidRPr="00E70A11" w:rsidRDefault="00A56EE9" w:rsidP="00A11869">
            <w:pPr>
              <w:pStyle w:val="ListParagraph"/>
              <w:numPr>
                <w:ilvl w:val="0"/>
                <w:numId w:val="6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Assessment Bilateral Agreement –</w:t>
            </w:r>
            <w:r>
              <w:rPr>
                <w:rStyle w:val="BookTitle"/>
                <w:rFonts w:ascii="Arial Narrow" w:hAnsi="Arial Narrow"/>
                <w:sz w:val="18"/>
                <w:szCs w:val="18"/>
              </w:rPr>
              <w:t xml:space="preserve"> </w:t>
            </w:r>
            <w:r w:rsidRPr="00E70A11">
              <w:rPr>
                <w:rStyle w:val="BookTitle"/>
                <w:rFonts w:ascii="Arial Narrow" w:hAnsi="Arial Narrow"/>
                <w:sz w:val="18"/>
                <w:szCs w:val="18"/>
              </w:rPr>
              <w:t>http://www.environment.gov.au/protection/environment-assessments/bilateral-agreements/qld</w:t>
            </w:r>
          </w:p>
        </w:tc>
        <w:tc>
          <w:tcPr>
            <w:tcW w:w="981" w:type="dxa"/>
            <w:tcBorders>
              <w:top w:val="single" w:sz="4" w:space="0" w:color="auto"/>
              <w:left w:val="single" w:sz="4" w:space="0" w:color="auto"/>
              <w:bottom w:val="single" w:sz="4" w:space="0" w:color="auto"/>
              <w:right w:val="single" w:sz="4" w:space="0" w:color="auto"/>
            </w:tcBorders>
          </w:tcPr>
          <w:p w14:paraId="5761DEE7"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EE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F01"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EEA"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EEB"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DEEC" w14:textId="77777777" w:rsidR="00A56EE9" w:rsidRPr="00E70A11" w:rsidRDefault="00A56EE9" w:rsidP="00A11869">
            <w:pPr>
              <w:pStyle w:val="ListParagraph"/>
              <w:numPr>
                <w:ilvl w:val="0"/>
                <w:numId w:val="1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Undertaken in 2013 in response to UNESCOs concerns – an assessment of management effectiveness was undertaken as a central component of the strategic assessment reports, and the independent review(s) were made publically available</w:t>
            </w:r>
          </w:p>
          <w:p w14:paraId="5761DEED" w14:textId="77777777" w:rsidR="00A56EE9" w:rsidRPr="00E70A11" w:rsidRDefault="00A56EE9" w:rsidP="00A11869">
            <w:pPr>
              <w:pStyle w:val="ListParagraph"/>
              <w:numPr>
                <w:ilvl w:val="0"/>
                <w:numId w:val="1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Feedback on appropriateness and effectiveness of GBRMPA tools was sought from stakeholders during consultation on the strategic assessment, and formed part of the assessment of management effectiveness.</w:t>
            </w:r>
          </w:p>
          <w:p w14:paraId="5761DEEE" w14:textId="77777777" w:rsidR="00A56EE9" w:rsidRPr="00E70A11" w:rsidRDefault="00A56EE9" w:rsidP="00A11869">
            <w:pPr>
              <w:pStyle w:val="ListParagraph"/>
              <w:numPr>
                <w:ilvl w:val="0"/>
                <w:numId w:val="1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Undertaken regularly through 5-year Outlook Report cycle</w:t>
            </w:r>
          </w:p>
          <w:p w14:paraId="5761DEEF" w14:textId="77777777" w:rsidR="00A56EE9" w:rsidRPr="00E70A11" w:rsidRDefault="00A56EE9" w:rsidP="00A11869">
            <w:pPr>
              <w:pStyle w:val="ListParagraph"/>
              <w:numPr>
                <w:ilvl w:val="0"/>
                <w:numId w:val="1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LTSP is undertaking mid-term review due June 2018</w:t>
            </w:r>
          </w:p>
          <w:p w14:paraId="5761DEF0" w14:textId="77777777" w:rsidR="00A56EE9" w:rsidRPr="00E70A11" w:rsidRDefault="00A56EE9" w:rsidP="00A11869">
            <w:pPr>
              <w:pStyle w:val="ListParagraph"/>
              <w:numPr>
                <w:ilvl w:val="0"/>
                <w:numId w:val="1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Strategic Assessment and Outlook Reports in a number of significant initiatives and studies that will support monitoring and performance review related to biodiversity management i.e. Reef Summit, Reef 2050</w:t>
            </w:r>
          </w:p>
          <w:p w14:paraId="5761DEF1" w14:textId="77777777" w:rsidR="00A56EE9" w:rsidRPr="00E70A11" w:rsidRDefault="00A56EE9" w:rsidP="00A11869">
            <w:pPr>
              <w:pStyle w:val="ListParagraph"/>
              <w:numPr>
                <w:ilvl w:val="0"/>
                <w:numId w:val="1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Monitoring, Evaluation, Reporting and Improvement Plan are required six monthly under the Australian Government Reef Programme</w:t>
            </w:r>
          </w:p>
          <w:p w14:paraId="5761DEF2" w14:textId="77777777" w:rsidR="00A56EE9" w:rsidRPr="00E70A11" w:rsidRDefault="00A56EE9" w:rsidP="00A11869">
            <w:pPr>
              <w:pStyle w:val="ListParagraph"/>
              <w:numPr>
                <w:ilvl w:val="0"/>
                <w:numId w:val="1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 presents actions to protect the values, health and resilience, while allowing ecological sustainable use.</w:t>
            </w:r>
          </w:p>
          <w:p w14:paraId="5761DEF3" w14:textId="77777777" w:rsidR="00A56EE9" w:rsidRPr="00E70A11" w:rsidRDefault="00A56EE9" w:rsidP="00A11869">
            <w:pPr>
              <w:pStyle w:val="ListParagraph"/>
              <w:numPr>
                <w:ilvl w:val="0"/>
                <w:numId w:val="1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Reef 2050 Integrated Monitoring and Reporting Program (RIMREP) is intended to be used to track the progress of outcomes outlined in the Reef 2050 Plan but development of RIMREP has been slow</w:t>
            </w:r>
          </w:p>
          <w:p w14:paraId="5761DEF4" w14:textId="28673A26" w:rsidR="00A56EE9" w:rsidRPr="00E70A11" w:rsidRDefault="00A56EE9" w:rsidP="00A11869">
            <w:pPr>
              <w:pStyle w:val="ListParagraph"/>
              <w:numPr>
                <w:ilvl w:val="0"/>
                <w:numId w:val="1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activities and direction of the Queensland Wetlands Program has undergone several assessments </w:t>
            </w:r>
            <w:hyperlink r:id="rId81" w:tooltip="document link" w:history="1">
              <w:r w:rsidRPr="00E70A11">
                <w:rPr>
                  <w:rStyle w:val="Hyperlink"/>
                  <w:rFonts w:ascii="Arial Narrow" w:hAnsi="Arial Narrow"/>
                  <w:sz w:val="18"/>
                  <w:szCs w:val="18"/>
                </w:rPr>
                <w:t>https://wetlandinfo.ehp.qld.gov.au/wetlands/about-us/qld-wetland-program.html</w:t>
              </w:r>
            </w:hyperlink>
          </w:p>
        </w:tc>
        <w:tc>
          <w:tcPr>
            <w:tcW w:w="4016" w:type="dxa"/>
            <w:tcBorders>
              <w:top w:val="single" w:sz="4" w:space="0" w:color="auto"/>
              <w:left w:val="single" w:sz="4" w:space="0" w:color="auto"/>
              <w:bottom w:val="single" w:sz="4" w:space="0" w:color="auto"/>
              <w:right w:val="single" w:sz="4" w:space="0" w:color="auto"/>
            </w:tcBorders>
          </w:tcPr>
          <w:p w14:paraId="5761DEF5" w14:textId="77777777" w:rsidR="00A56EE9" w:rsidRPr="00E70A11" w:rsidRDefault="00A56EE9" w:rsidP="00A11869">
            <w:pPr>
              <w:pStyle w:val="ListParagraph"/>
              <w:numPr>
                <w:ilvl w:val="0"/>
                <w:numId w:val="6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Coastal Zone Strategic Assessment: Independent Review Report (PDF - 2.84 MB) </w:t>
            </w:r>
          </w:p>
          <w:p w14:paraId="5761DEF6" w14:textId="77777777" w:rsidR="00A56EE9" w:rsidRPr="00E70A11" w:rsidRDefault="00A56EE9" w:rsidP="00A11869">
            <w:pPr>
              <w:pStyle w:val="ListParagraph"/>
              <w:numPr>
                <w:ilvl w:val="0"/>
                <w:numId w:val="6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Hockings et al 2013 Assessment of Management Effectiveness for the Strategic Assessment of the Great Barrier Reef Region</w:t>
            </w:r>
          </w:p>
          <w:p w14:paraId="5761DEF7" w14:textId="77777777" w:rsidR="00A56EE9" w:rsidRPr="00E70A11" w:rsidRDefault="00A56EE9" w:rsidP="00A11869">
            <w:pPr>
              <w:pStyle w:val="ListParagraph"/>
              <w:numPr>
                <w:ilvl w:val="0"/>
                <w:numId w:val="6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Annual Report and Implementation Strategy</w:t>
            </w:r>
            <w:r>
              <w:rPr>
                <w:rStyle w:val="BookTitle"/>
                <w:rFonts w:ascii="Arial Narrow" w:hAnsi="Arial Narrow"/>
                <w:sz w:val="18"/>
                <w:szCs w:val="18"/>
              </w:rPr>
              <w:t xml:space="preserve"> </w:t>
            </w:r>
            <w:r w:rsidRPr="00E70A11">
              <w:rPr>
                <w:rStyle w:val="BookTitle"/>
                <w:rFonts w:ascii="Arial Narrow" w:hAnsi="Arial Narrow"/>
                <w:sz w:val="18"/>
                <w:szCs w:val="18"/>
              </w:rPr>
              <w:t xml:space="preserve">Australian Government Reef Programme </w:t>
            </w:r>
          </w:p>
          <w:p w14:paraId="5761DEF8" w14:textId="77777777" w:rsidR="00A56EE9" w:rsidRPr="00E70A11" w:rsidRDefault="00A56EE9" w:rsidP="00A11869">
            <w:pPr>
              <w:pStyle w:val="ListParagraph"/>
              <w:numPr>
                <w:ilvl w:val="0"/>
                <w:numId w:val="6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WQIP</w:t>
            </w:r>
          </w:p>
          <w:p w14:paraId="5761DEF9" w14:textId="77777777" w:rsidR="00A56EE9" w:rsidRPr="00E70A11" w:rsidRDefault="00A56EE9" w:rsidP="00A11869">
            <w:pPr>
              <w:pStyle w:val="ListParagraph"/>
              <w:numPr>
                <w:ilvl w:val="0"/>
                <w:numId w:val="6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DEFA" w14:textId="77777777" w:rsidR="00A56EE9" w:rsidRPr="00E70A11" w:rsidRDefault="00A56EE9" w:rsidP="00A11869">
            <w:pPr>
              <w:pStyle w:val="ListParagraph"/>
              <w:numPr>
                <w:ilvl w:val="0"/>
                <w:numId w:val="6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 Implementation Strategy</w:t>
            </w:r>
          </w:p>
          <w:p w14:paraId="5761DEFB" w14:textId="77777777" w:rsidR="00A56EE9" w:rsidRPr="00E70A11" w:rsidRDefault="00A56EE9" w:rsidP="00A11869">
            <w:pPr>
              <w:pStyle w:val="ListParagraph"/>
              <w:numPr>
                <w:ilvl w:val="0"/>
                <w:numId w:val="6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DEFC" w14:textId="77777777" w:rsidR="00A56EE9" w:rsidRPr="00E70A11" w:rsidRDefault="00A56EE9" w:rsidP="00A11869">
            <w:pPr>
              <w:pStyle w:val="ListParagraph"/>
              <w:numPr>
                <w:ilvl w:val="0"/>
                <w:numId w:val="6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w:t>
            </w:r>
          </w:p>
          <w:p w14:paraId="5761DEFD" w14:textId="77777777" w:rsidR="00A56EE9" w:rsidRPr="00E70A11" w:rsidRDefault="00A56EE9" w:rsidP="00A11869">
            <w:pPr>
              <w:pStyle w:val="ListParagraph"/>
              <w:numPr>
                <w:ilvl w:val="0"/>
                <w:numId w:val="6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Queensland Wetlands Program </w:t>
            </w:r>
          </w:p>
          <w:p w14:paraId="5761DEFE"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EFF"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F0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F0F"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02"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F03"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F04"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Base training of staff is good</w:t>
            </w:r>
          </w:p>
          <w:p w14:paraId="5761DF05"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Limited on-the-job training for field staff in biodiversity management issues (restricted to a few staff which go into the field regularly)</w:t>
            </w:r>
          </w:p>
          <w:p w14:paraId="5761DF06"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Some staff participate in workshops, conferences, steering committee meetings at GBRMPA. Processes involved in developing programs such as cumulative impact assessment and integrated monitoring will help build staff capacity </w:t>
            </w:r>
          </w:p>
          <w:p w14:paraId="5761DF07"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Field Management Program - Training programs, Foundational Course, Oiled Wildlife response, oiled shoreline clean up, seabird counting, incident response</w:t>
            </w:r>
          </w:p>
          <w:p w14:paraId="5761DF08"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TerraForma Report on FMP indicates that training for incident response is considered by some FMP officers to be inadequate but overall the report concluded that FMP delivers high quality formal training and development opportunities especially for operational staff</w:t>
            </w:r>
          </w:p>
          <w:p w14:paraId="5761DF09"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FMP has developed and delivered range of training including a five-day intensive “Foundations of Field Management” course</w:t>
            </w:r>
          </w:p>
          <w:p w14:paraId="5761DF0A"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Fisheries has an Annual Secondment to GBRMPA</w:t>
            </w:r>
          </w:p>
        </w:tc>
        <w:tc>
          <w:tcPr>
            <w:tcW w:w="4016" w:type="dxa"/>
            <w:tcBorders>
              <w:top w:val="single" w:sz="4" w:space="0" w:color="auto"/>
              <w:left w:val="single" w:sz="4" w:space="0" w:color="auto"/>
              <w:bottom w:val="single" w:sz="4" w:space="0" w:color="auto"/>
              <w:right w:val="single" w:sz="4" w:space="0" w:color="auto"/>
            </w:tcBorders>
          </w:tcPr>
          <w:p w14:paraId="5761DF0B" w14:textId="77777777" w:rsidR="00A56EE9" w:rsidRPr="00E70A11" w:rsidRDefault="00A56EE9" w:rsidP="00A11869">
            <w:pPr>
              <w:pStyle w:val="ListParagraph"/>
              <w:numPr>
                <w:ilvl w:val="0"/>
                <w:numId w:val="6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TerraForma Report on FMP 2016</w:t>
            </w:r>
          </w:p>
          <w:p w14:paraId="5761DF0C" w14:textId="77777777" w:rsidR="00A56EE9" w:rsidRPr="00E70A11" w:rsidRDefault="00A56EE9" w:rsidP="00A11869">
            <w:pPr>
              <w:pStyle w:val="ListParagraph"/>
              <w:numPr>
                <w:ilvl w:val="0"/>
                <w:numId w:val="6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81" w:type="dxa"/>
            <w:tcBorders>
              <w:top w:val="single" w:sz="4" w:space="0" w:color="auto"/>
              <w:left w:val="single" w:sz="4" w:space="0" w:color="auto"/>
              <w:bottom w:val="single" w:sz="4" w:space="0" w:color="auto"/>
              <w:right w:val="single" w:sz="4" w:space="0" w:color="auto"/>
            </w:tcBorders>
          </w:tcPr>
          <w:p w14:paraId="5761DF0D"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F0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F1D"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10"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biodiversity is consistently implemented across the relevant jurisdictions</w:t>
            </w:r>
          </w:p>
        </w:tc>
        <w:tc>
          <w:tcPr>
            <w:tcW w:w="771" w:type="dxa"/>
            <w:tcBorders>
              <w:top w:val="single" w:sz="4" w:space="0" w:color="auto"/>
              <w:left w:val="single" w:sz="4" w:space="0" w:color="auto"/>
              <w:bottom w:val="single" w:sz="4" w:space="0" w:color="auto"/>
              <w:right w:val="single" w:sz="4" w:space="0" w:color="auto"/>
            </w:tcBorders>
            <w:vAlign w:val="center"/>
          </w:tcPr>
          <w:p w14:paraId="5761DF11"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F12"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Limited – the world heritage committees concerns around coastal development in the GBRWHA provide an example of concerns around management of community benefits in the Region and impacts on biodiversity</w:t>
            </w:r>
          </w:p>
          <w:p w14:paraId="5761DF13"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As for the Outlook 2009 and 2014 assessment there are still many examples of consistency (eg. Joint permitting under the IGA), complementary zoning between state and commonwealth Marine Parks, port management plans, defence environmental planning, shipping planning) but examples also exist of a lack of consistency (eg. Qld Fish Habitat Zone &amp; GBRMPA Habitat Protection Zone)</w:t>
            </w:r>
          </w:p>
          <w:p w14:paraId="5761DF14"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Assessment Bilateral Agreement – Amended in December 2014, the Assessment Bilateral Agreement between the Commonwealth and Queensland governments aims to reduce duplication of environmental assessment processes, strengthen intergovernmental cooperation and promote a partnership approach to environmental protection and biodiversity conservation. The agreement provides for the accreditation of certain Queensland environmental assessment processes, which means that project proposals that require both state and Commonwealth approval can be assessed using a single set of project documentation.</w:t>
            </w:r>
          </w:p>
          <w:p w14:paraId="5761DF15"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is an attempt to align policies, strategies and management actions across jurisdictions.</w:t>
            </w:r>
          </w:p>
          <w:p w14:paraId="5761DF16" w14:textId="77777777" w:rsidR="00A56EE9" w:rsidRPr="00E70A11" w:rsidRDefault="00A56EE9" w:rsidP="00A11869">
            <w:pPr>
              <w:pStyle w:val="ListParagraph"/>
              <w:numPr>
                <w:ilvl w:val="0"/>
                <w:numId w:val="18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Major issue of policy dissonance or disconnect within governments at State and Federal level so that stated policy objectives and consequent management activities relating to development options are at odds with policy statements relating to GBR protection. This has led to a number of economic development decisions that have been seen to run counter to the requirement to reduce stressors on the GBR as well as failure to take sufficient actions to reduce these stressors. As condition of the GBR declines these inconsistencies in policy positions are becoming more apparent and more significant.</w:t>
            </w:r>
          </w:p>
          <w:p w14:paraId="5761DF17" w14:textId="77777777" w:rsidR="00A56EE9" w:rsidRPr="00E70A11" w:rsidRDefault="00A56EE9" w:rsidP="00BB6AD5">
            <w:pPr>
              <w:pStyle w:val="ListParagraph"/>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tcPr>
          <w:p w14:paraId="5761DF18" w14:textId="77777777" w:rsidR="00A56EE9" w:rsidRPr="00E70A11" w:rsidRDefault="00A56EE9" w:rsidP="00A11869">
            <w:pPr>
              <w:pStyle w:val="ListParagraph"/>
              <w:numPr>
                <w:ilvl w:val="0"/>
                <w:numId w:val="6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Imbeau L.M. (2009) Dissonance in Policy Processes: An Introduction. In: Imbeau L. (eds) Do They Walk Like They Talk</w:t>
            </w:r>
            <w:proofErr w:type="gramStart"/>
            <w:r w:rsidRPr="00E70A11">
              <w:rPr>
                <w:rStyle w:val="BookTitle"/>
                <w:rFonts w:ascii="Arial Narrow" w:hAnsi="Arial Narrow"/>
                <w:sz w:val="18"/>
                <w:szCs w:val="18"/>
              </w:rPr>
              <w:t>?.</w:t>
            </w:r>
            <w:proofErr w:type="gramEnd"/>
            <w:r w:rsidRPr="00E70A11">
              <w:rPr>
                <w:rStyle w:val="BookTitle"/>
                <w:rFonts w:ascii="Arial Narrow" w:hAnsi="Arial Narrow"/>
                <w:sz w:val="18"/>
                <w:szCs w:val="18"/>
              </w:rPr>
              <w:t xml:space="preserve"> Studies in Public Choice, vol 15. Springer, New York, NY</w:t>
            </w:r>
          </w:p>
          <w:p w14:paraId="5761DF19" w14:textId="77777777" w:rsidR="00A56EE9" w:rsidRPr="00E70A11" w:rsidRDefault="00A56EE9" w:rsidP="00A11869">
            <w:pPr>
              <w:pStyle w:val="ListParagraph"/>
              <w:numPr>
                <w:ilvl w:val="0"/>
                <w:numId w:val="6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consultations.</w:t>
            </w:r>
          </w:p>
          <w:p w14:paraId="5761DF1A" w14:textId="77777777" w:rsidR="00A56EE9" w:rsidRPr="00E70A11" w:rsidRDefault="00A56EE9" w:rsidP="00A11869">
            <w:pPr>
              <w:pStyle w:val="ListParagraph"/>
              <w:numPr>
                <w:ilvl w:val="0"/>
                <w:numId w:val="6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Assessment Bilateral Agreement</w:t>
            </w:r>
          </w:p>
        </w:tc>
        <w:tc>
          <w:tcPr>
            <w:tcW w:w="981" w:type="dxa"/>
            <w:tcBorders>
              <w:top w:val="single" w:sz="4" w:space="0" w:color="auto"/>
              <w:left w:val="single" w:sz="4" w:space="0" w:color="auto"/>
              <w:bottom w:val="single" w:sz="4" w:space="0" w:color="auto"/>
              <w:right w:val="single" w:sz="4" w:space="0" w:color="auto"/>
            </w:tcBorders>
          </w:tcPr>
          <w:p w14:paraId="5761DF1B"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F1C"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DF27"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1E"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F1F"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F20" w14:textId="77777777" w:rsidR="00A56EE9" w:rsidRPr="00E70A11" w:rsidRDefault="00A56EE9" w:rsidP="00A11869">
            <w:pPr>
              <w:pStyle w:val="ListParagraph"/>
              <w:numPr>
                <w:ilvl w:val="0"/>
                <w:numId w:val="18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Major issue of policy dissonance or disconnect within governments at State and Federal level so that stated policy objectives and consequent management activities relating to development options are at odds with policy statements relating to GBR protection. This has led to a number of economic development decisions that have been seen to run counter to the requirement to reduce stressors on the GBR as well as failure to take sufficient actions to reduce these stressors. As condition of the GBR declines these inconsistencies in policy positions are becoming more apparent and more significant.</w:t>
            </w:r>
          </w:p>
          <w:p w14:paraId="5761DF21" w14:textId="77777777" w:rsidR="00A56EE9" w:rsidRPr="00E70A11" w:rsidRDefault="00A56EE9" w:rsidP="00A11869">
            <w:pPr>
              <w:pStyle w:val="ListParagraph"/>
              <w:numPr>
                <w:ilvl w:val="0"/>
                <w:numId w:val="18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Within the sphere of GBR management, governance arrangements between State and Commonwealth provide mechanism for conflict resolution </w:t>
            </w:r>
          </w:p>
          <w:p w14:paraId="5761DF22" w14:textId="77777777" w:rsidR="00A56EE9" w:rsidRPr="00E70A11" w:rsidRDefault="00A56EE9" w:rsidP="00A11869">
            <w:pPr>
              <w:pStyle w:val="ListParagraph"/>
              <w:numPr>
                <w:ilvl w:val="0"/>
                <w:numId w:val="18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will help track progress towards targets and objectives under the plan’s seven themes: ecosystem health, biodiversity, heritage, water quality, community benefits, economic benefits, governance and reporting</w:t>
            </w:r>
          </w:p>
          <w:p w14:paraId="5761DF23" w14:textId="77777777" w:rsidR="00A56EE9" w:rsidRPr="00E70A11" w:rsidRDefault="00A56EE9" w:rsidP="00A11869">
            <w:pPr>
              <w:pStyle w:val="ListParagraph"/>
              <w:numPr>
                <w:ilvl w:val="0"/>
                <w:numId w:val="18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Public comment processes for permit applications expected to impact on other users. The number of applications open for public comment has increased since 2009</w:t>
            </w:r>
          </w:p>
        </w:tc>
        <w:tc>
          <w:tcPr>
            <w:tcW w:w="4016" w:type="dxa"/>
            <w:tcBorders>
              <w:top w:val="single" w:sz="4" w:space="0" w:color="auto"/>
              <w:left w:val="single" w:sz="4" w:space="0" w:color="auto"/>
              <w:bottom w:val="single" w:sz="4" w:space="0" w:color="auto"/>
              <w:right w:val="single" w:sz="4" w:space="0" w:color="auto"/>
            </w:tcBorders>
          </w:tcPr>
          <w:p w14:paraId="5761DF24"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81" w:type="dxa"/>
            <w:tcBorders>
              <w:top w:val="single" w:sz="4" w:space="0" w:color="auto"/>
              <w:left w:val="single" w:sz="4" w:space="0" w:color="auto"/>
              <w:bottom w:val="single" w:sz="4" w:space="0" w:color="auto"/>
              <w:right w:val="single" w:sz="4" w:space="0" w:color="auto"/>
            </w:tcBorders>
          </w:tcPr>
          <w:p w14:paraId="5761DF25"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F26"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DF47"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28"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biodiversity are appropriately considered.</w:t>
            </w:r>
          </w:p>
        </w:tc>
        <w:tc>
          <w:tcPr>
            <w:tcW w:w="771" w:type="dxa"/>
            <w:tcBorders>
              <w:top w:val="single" w:sz="4" w:space="0" w:color="auto"/>
              <w:left w:val="single" w:sz="4" w:space="0" w:color="auto"/>
              <w:bottom w:val="single" w:sz="4" w:space="0" w:color="auto"/>
              <w:right w:val="single" w:sz="4" w:space="0" w:color="auto"/>
            </w:tcBorders>
            <w:vAlign w:val="center"/>
          </w:tcPr>
          <w:p w14:paraId="5761DF29"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F2A"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Direct impacts generally well considered for developments within the GBRMP requiring a permit or other approval</w:t>
            </w:r>
          </w:p>
          <w:p w14:paraId="5761DF2B"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Plans of Management and Special Management Areas identify and address issues of biodiversity management</w:t>
            </w:r>
          </w:p>
          <w:p w14:paraId="5761DF2C"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Cumulative impacts on biodiversity (spatial, temporal and interactive) are not well considered, but awareness of importance of cumulative impacts and shifting baselines is now well established.</w:t>
            </w:r>
          </w:p>
          <w:p w14:paraId="5761DF2D"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Thresholds for key elements of biodiversity are not defined or monitored in an explicit way</w:t>
            </w:r>
          </w:p>
          <w:p w14:paraId="5761DF2E"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Regulations 88Q and 88R of the GBRMP Regulations stipulate assessment criteria that must be considered for permit applications. These criteria aim to address direct and indirect impacts from proposed activities. </w:t>
            </w:r>
          </w:p>
          <w:p w14:paraId="5761DF2F"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draft cumulative impact management policy was released for public comment. In May 2017 but is not yet finalised</w:t>
            </w:r>
          </w:p>
          <w:p w14:paraId="5761DF30"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Queensland has a range of legislation and policies which ensures that impacts of developments and activities on biodiversity are considered in decision making </w:t>
            </w:r>
          </w:p>
          <w:p w14:paraId="5761DF31"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eReefs is delivering Reef water quality information online in near real time, enabling anyone to track the effects of storms, cyclones, floods, and other impacts on the Reef</w:t>
            </w:r>
          </w:p>
          <w:p w14:paraId="5761DF32"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NESP projects</w:t>
            </w:r>
          </w:p>
          <w:p w14:paraId="5761DF33"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Project 1.6 - Multiple and cumulative impacts on the GBR: assessment of current status and development of improved approaches for management</w:t>
            </w:r>
          </w:p>
          <w:p w14:paraId="5761DF34"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Project 2.1 - Assessing the cumulative impacts of climatic disturbances on inshore GBR coral reefs, identifying key refuges and testing the viability of manipulative reef restoration</w:t>
            </w:r>
          </w:p>
          <w:p w14:paraId="5761DF35"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Project 2.1.6 - From exposure to risk: novel experimental approaches to analyse cumulative impacts and determine thresholds in the GBRWHA</w:t>
            </w:r>
          </w:p>
          <w:p w14:paraId="5761DF36"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Project 2.3.1 - Benthic light as ecologically validated GBR wide indicator for water quality: drivers, thresholds and cumulative risks</w:t>
            </w:r>
          </w:p>
        </w:tc>
        <w:tc>
          <w:tcPr>
            <w:tcW w:w="4016" w:type="dxa"/>
            <w:tcBorders>
              <w:top w:val="single" w:sz="4" w:space="0" w:color="auto"/>
              <w:left w:val="single" w:sz="4" w:space="0" w:color="auto"/>
              <w:bottom w:val="single" w:sz="4" w:space="0" w:color="auto"/>
              <w:right w:val="single" w:sz="4" w:space="0" w:color="auto"/>
            </w:tcBorders>
          </w:tcPr>
          <w:p w14:paraId="5761DF37"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 Regulations In particular sections 88Q, 88R and 88S </w:t>
            </w:r>
          </w:p>
          <w:p w14:paraId="5761DF38"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Strategic Assessment Report,</w:t>
            </w:r>
          </w:p>
          <w:p w14:paraId="5761DF39"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coastal zone strategic assessment</w:t>
            </w:r>
          </w:p>
          <w:p w14:paraId="5761DF3A"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Hinchinbrook Plan of Management 2004</w:t>
            </w:r>
          </w:p>
          <w:p w14:paraId="5761DF3B"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Cairns Plan of Management 2008</w:t>
            </w:r>
          </w:p>
          <w:p w14:paraId="5761DF3C"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 Plan of Management (including the 2017 amendments)</w:t>
            </w:r>
          </w:p>
          <w:p w14:paraId="5761DF3D"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List of Policy documents being developed/updated following the Strategic Assessment </w:t>
            </w:r>
          </w:p>
          <w:p w14:paraId="5761DF3E"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Net Benefit Policy</w:t>
            </w:r>
          </w:p>
          <w:p w14:paraId="5761DF3F"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Cumulative impact management policy</w:t>
            </w:r>
          </w:p>
          <w:p w14:paraId="5761DF40"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Managing cumulative impacts and achieving no net loss and net benefit outcomes for the Great Barrier Reef: A review of current understanding and application for management</w:t>
            </w:r>
          </w:p>
          <w:p w14:paraId="5761DF41" w14:textId="77777777"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NESP projects</w:t>
            </w:r>
          </w:p>
          <w:p w14:paraId="5761DF42" w14:textId="06416DE3" w:rsidR="00A56EE9" w:rsidRPr="00E70A11" w:rsidRDefault="00A56EE9" w:rsidP="00A11869">
            <w:pPr>
              <w:pStyle w:val="ListParagraph"/>
              <w:numPr>
                <w:ilvl w:val="0"/>
                <w:numId w:val="6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Wetlands programs policy and legislation. </w:t>
            </w:r>
            <w:hyperlink r:id="rId82" w:tooltip="document link" w:history="1">
              <w:r w:rsidRPr="00E70A11">
                <w:rPr>
                  <w:rStyle w:val="Hyperlink"/>
                  <w:rFonts w:ascii="Arial Narrow" w:hAnsi="Arial Narrow"/>
                  <w:sz w:val="18"/>
                  <w:szCs w:val="18"/>
                </w:rPr>
                <w:t>https://wetlandinfo.ehp.qld.gov.au/wetlands/management/policy-legislation/</w:t>
              </w:r>
            </w:hyperlink>
          </w:p>
          <w:p w14:paraId="5761DF43" w14:textId="77777777" w:rsidR="00A56EE9" w:rsidRPr="00E70A11" w:rsidRDefault="00A56EE9" w:rsidP="00BB6AD5">
            <w:pPr>
              <w:pStyle w:val="ListParagraph"/>
              <w:rPr>
                <w:rStyle w:val="BookTitle"/>
                <w:rFonts w:ascii="Arial Narrow" w:hAnsi="Arial Narrow"/>
                <w:sz w:val="18"/>
                <w:szCs w:val="18"/>
              </w:rPr>
            </w:pPr>
          </w:p>
          <w:p w14:paraId="5761DF44" w14:textId="77777777" w:rsidR="00A56EE9" w:rsidRPr="00E70A11" w:rsidRDefault="00A56EE9" w:rsidP="00BB6AD5">
            <w:pPr>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F45"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F46"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F64"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48"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F49"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DF4A" w14:textId="77777777" w:rsidR="00A56EE9" w:rsidRPr="00E70A11" w:rsidRDefault="00A56EE9" w:rsidP="00A11869">
            <w:pPr>
              <w:pStyle w:val="ListParagraph"/>
              <w:numPr>
                <w:ilvl w:val="0"/>
                <w:numId w:val="18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Vulnerability Assessments apply research and monitoring information to management decisions regarding biodiversity conservation.</w:t>
            </w:r>
          </w:p>
          <w:p w14:paraId="5761DF4B" w14:textId="77777777" w:rsidR="00A56EE9" w:rsidRPr="00E70A11" w:rsidRDefault="00A56EE9" w:rsidP="00A11869">
            <w:pPr>
              <w:pStyle w:val="ListParagraph"/>
              <w:numPr>
                <w:ilvl w:val="0"/>
                <w:numId w:val="18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Extensive research is available through AIMS, CSIRO and universities and GBRMPA staff have maintain good linkages to this research community.</w:t>
            </w:r>
          </w:p>
          <w:p w14:paraId="5761DF4C" w14:textId="77777777" w:rsidR="00A56EE9" w:rsidRPr="00E70A11" w:rsidRDefault="00A56EE9" w:rsidP="00A11869">
            <w:pPr>
              <w:pStyle w:val="ListParagraph"/>
              <w:numPr>
                <w:ilvl w:val="0"/>
                <w:numId w:val="18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Information from this work has been integrated into various GBRMPA planning and strategy documents relating to biodiversity management</w:t>
            </w:r>
          </w:p>
          <w:p w14:paraId="5761DF4D" w14:textId="77777777" w:rsidR="00A56EE9" w:rsidRPr="00E70A11" w:rsidRDefault="00A56EE9" w:rsidP="00A11869">
            <w:pPr>
              <w:pStyle w:val="ListParagraph"/>
              <w:numPr>
                <w:ilvl w:val="0"/>
                <w:numId w:val="18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Outlook Report 2009 and ongoing Outlook reporting processes and the Strategic assessment depend on this information.</w:t>
            </w:r>
          </w:p>
          <w:p w14:paraId="5761DF4E" w14:textId="77777777" w:rsidR="00A56EE9" w:rsidRPr="00E70A11" w:rsidRDefault="00A56EE9" w:rsidP="00A11869">
            <w:pPr>
              <w:pStyle w:val="ListParagraph"/>
              <w:numPr>
                <w:ilvl w:val="0"/>
                <w:numId w:val="18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AIMS LTMP, Eye on the Reef, MMP and e-reefs provide extensive monitoring information to GBRMPA </w:t>
            </w:r>
          </w:p>
          <w:p w14:paraId="5761DF4F" w14:textId="77777777" w:rsidR="00A56EE9" w:rsidRPr="00E70A11" w:rsidRDefault="00A56EE9" w:rsidP="00A11869">
            <w:pPr>
              <w:pStyle w:val="ListParagraph"/>
              <w:numPr>
                <w:ilvl w:val="0"/>
                <w:numId w:val="18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Back-to back bleaching event means that there is greater uncertainty around the condition and trend in many aspects of biodiversity</w:t>
            </w:r>
          </w:p>
          <w:p w14:paraId="5761DF50" w14:textId="77777777" w:rsidR="00A56EE9" w:rsidRPr="00E70A11" w:rsidRDefault="00A56EE9" w:rsidP="00A11869">
            <w:pPr>
              <w:pStyle w:val="ListParagraph"/>
              <w:numPr>
                <w:ilvl w:val="0"/>
                <w:numId w:val="18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NESP program is providing significant, management relevant research</w:t>
            </w:r>
          </w:p>
          <w:p w14:paraId="5761DF51" w14:textId="77777777" w:rsidR="00A56EE9" w:rsidRPr="00E70A11" w:rsidRDefault="00A56EE9" w:rsidP="00A11869">
            <w:pPr>
              <w:pStyle w:val="ListParagraph"/>
              <w:numPr>
                <w:ilvl w:val="0"/>
                <w:numId w:val="18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Biosecurity of the islands aims to limit the spread of weeds, invertebrates and other animal pests from the mainland to islands, and between islands. </w:t>
            </w:r>
          </w:p>
          <w:p w14:paraId="5761DF52" w14:textId="77777777" w:rsidR="00A56EE9" w:rsidRPr="00E70A11" w:rsidRDefault="00A56EE9" w:rsidP="00A11869">
            <w:pPr>
              <w:pStyle w:val="ListParagraph"/>
              <w:numPr>
                <w:ilvl w:val="0"/>
                <w:numId w:val="18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QPWS leads or contributes to mot seabird related monitoring and management actions in Reef 2050.</w:t>
            </w:r>
          </w:p>
          <w:p w14:paraId="5761DF53" w14:textId="77777777" w:rsidR="00A56EE9" w:rsidRPr="00E70A11" w:rsidRDefault="00A56EE9" w:rsidP="00A11869">
            <w:pPr>
              <w:pStyle w:val="ListParagraph"/>
              <w:numPr>
                <w:ilvl w:val="0"/>
                <w:numId w:val="18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Queensland has a range of legislation and policies which ensures that impacts of developments and activities on biodiversity are considered in decision making </w:t>
            </w:r>
          </w:p>
        </w:tc>
        <w:tc>
          <w:tcPr>
            <w:tcW w:w="4016" w:type="dxa"/>
            <w:tcBorders>
              <w:top w:val="single" w:sz="4" w:space="0" w:color="auto"/>
              <w:left w:val="single" w:sz="4" w:space="0" w:color="auto"/>
              <w:bottom w:val="single" w:sz="4" w:space="0" w:color="auto"/>
              <w:right w:val="single" w:sz="4" w:space="0" w:color="auto"/>
            </w:tcBorders>
          </w:tcPr>
          <w:p w14:paraId="5761DF54"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Plan</w:t>
            </w:r>
          </w:p>
          <w:p w14:paraId="5761DF55"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 Program</w:t>
            </w:r>
          </w:p>
          <w:p w14:paraId="5761DF56"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vulnerability assessments</w:t>
            </w:r>
          </w:p>
          <w:p w14:paraId="5761DF57"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DF58"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 Implementation Strategy</w:t>
            </w:r>
          </w:p>
          <w:p w14:paraId="5761DF59"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Scientific Consensus Statement</w:t>
            </w:r>
          </w:p>
          <w:p w14:paraId="5761DF5A"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Current NESP projects </w:t>
            </w:r>
          </w:p>
          <w:p w14:paraId="5761DF5B"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National Environmental Research Program</w:t>
            </w:r>
          </w:p>
          <w:p w14:paraId="5761DF5C"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Scientific Consensus Statement</w:t>
            </w:r>
          </w:p>
          <w:p w14:paraId="5761DF5D"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eReefs</w:t>
            </w:r>
          </w:p>
          <w:p w14:paraId="5761DF5E"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Coastal Bird Monitoring and Information Strategy 2015- 2020</w:t>
            </w:r>
          </w:p>
          <w:p w14:paraId="5761DF5F" w14:textId="77777777" w:rsidR="00A56EE9" w:rsidRPr="00E70A11" w:rsidRDefault="00A56EE9" w:rsidP="00A11869">
            <w:pPr>
              <w:pStyle w:val="ListParagraph"/>
              <w:numPr>
                <w:ilvl w:val="0"/>
                <w:numId w:val="6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Best management Practice guidelines for wetlands management </w:t>
            </w:r>
          </w:p>
          <w:p w14:paraId="5761DF60" w14:textId="28E83799" w:rsidR="00A56EE9" w:rsidRPr="00E70A11" w:rsidRDefault="008B5998" w:rsidP="00A11869">
            <w:pPr>
              <w:pStyle w:val="ListParagraph"/>
              <w:numPr>
                <w:ilvl w:val="0"/>
                <w:numId w:val="68"/>
              </w:numPr>
              <w:spacing w:after="200" w:line="276" w:lineRule="auto"/>
              <w:rPr>
                <w:rStyle w:val="BookTitle"/>
                <w:rFonts w:ascii="Arial Narrow" w:hAnsi="Arial Narrow"/>
                <w:sz w:val="18"/>
                <w:szCs w:val="18"/>
              </w:rPr>
            </w:pPr>
            <w:hyperlink r:id="rId83" w:tooltip="document link" w:history="1">
              <w:r w:rsidR="00A56EE9" w:rsidRPr="00E70A11">
                <w:rPr>
                  <w:rStyle w:val="Hyperlink"/>
                  <w:rFonts w:ascii="Arial Narrow" w:hAnsi="Arial Narrow"/>
                  <w:sz w:val="18"/>
                  <w:szCs w:val="18"/>
                </w:rPr>
                <w:t>https://wetlandinfo.ehp.qld.gov.au/wetlands/management/wetland-management/</w:t>
              </w:r>
            </w:hyperlink>
          </w:p>
          <w:p w14:paraId="5761DF61" w14:textId="77777777" w:rsidR="00A56EE9" w:rsidRPr="00E70A11" w:rsidRDefault="00A56EE9" w:rsidP="00BB6AD5">
            <w:pPr>
              <w:pStyle w:val="ListParagraph"/>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F62"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F6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F75"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65"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F66"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F67" w14:textId="77777777" w:rsidR="00A56EE9" w:rsidRPr="00E70A11" w:rsidRDefault="00A56EE9" w:rsidP="00A11869">
            <w:pPr>
              <w:pStyle w:val="ListParagraph"/>
              <w:numPr>
                <w:ilvl w:val="0"/>
                <w:numId w:val="18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SELTMP info will be provided through RIMREP Human Dimensions program,</w:t>
            </w:r>
          </w:p>
          <w:p w14:paraId="5761DF68" w14:textId="77777777" w:rsidR="00A56EE9" w:rsidRPr="00E70A11" w:rsidRDefault="00A56EE9" w:rsidP="00A11869">
            <w:pPr>
              <w:pStyle w:val="ListParagraph"/>
              <w:numPr>
                <w:ilvl w:val="0"/>
                <w:numId w:val="18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slow to develop but design should be completed in 2018 and information will flow after this</w:t>
            </w:r>
          </w:p>
          <w:p w14:paraId="5761DF69" w14:textId="77777777" w:rsidR="00A56EE9" w:rsidRPr="00E70A11" w:rsidRDefault="00A56EE9" w:rsidP="00A11869">
            <w:pPr>
              <w:pStyle w:val="ListParagraph"/>
              <w:numPr>
                <w:ilvl w:val="0"/>
                <w:numId w:val="18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One permanent GBRMPA position to address social and economic matters (but strong partnerships with CSIRO – with two researchers working in-house at GBRMPA on social values)</w:t>
            </w:r>
          </w:p>
          <w:p w14:paraId="5761DF6A" w14:textId="77777777" w:rsidR="00A56EE9" w:rsidRPr="00E70A11" w:rsidRDefault="00A56EE9" w:rsidP="00A11869">
            <w:pPr>
              <w:pStyle w:val="ListParagraph"/>
              <w:numPr>
                <w:ilvl w:val="0"/>
                <w:numId w:val="18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Socio-economic issues are taken account of in permit decisions and available information was used in the RAP process</w:t>
            </w:r>
          </w:p>
        </w:tc>
        <w:tc>
          <w:tcPr>
            <w:tcW w:w="4016" w:type="dxa"/>
            <w:tcBorders>
              <w:top w:val="single" w:sz="4" w:space="0" w:color="auto"/>
              <w:left w:val="single" w:sz="4" w:space="0" w:color="auto"/>
              <w:bottom w:val="single" w:sz="4" w:space="0" w:color="auto"/>
              <w:right w:val="single" w:sz="4" w:space="0" w:color="auto"/>
            </w:tcBorders>
          </w:tcPr>
          <w:p w14:paraId="5761DF6B" w14:textId="77777777" w:rsidR="00A56EE9" w:rsidRPr="00E70A11" w:rsidRDefault="00A56EE9" w:rsidP="00A11869">
            <w:pPr>
              <w:pStyle w:val="ListParagraph"/>
              <w:numPr>
                <w:ilvl w:val="0"/>
                <w:numId w:val="6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Socio-economic data from NESP projects and Reef 2050 Integrated Monitoring and Reporting Program</w:t>
            </w:r>
          </w:p>
          <w:p w14:paraId="5761DF6C" w14:textId="77777777" w:rsidR="00A56EE9" w:rsidRPr="00E70A11" w:rsidRDefault="00A56EE9" w:rsidP="00A11869">
            <w:pPr>
              <w:pStyle w:val="ListParagraph"/>
              <w:numPr>
                <w:ilvl w:val="0"/>
                <w:numId w:val="69"/>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DF6D" w14:textId="77777777" w:rsidR="00A56EE9" w:rsidRPr="00E70A11" w:rsidRDefault="00A56EE9" w:rsidP="00A11869">
            <w:pPr>
              <w:pStyle w:val="ListParagraph"/>
              <w:numPr>
                <w:ilvl w:val="0"/>
                <w:numId w:val="6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Human Dimensions design documents</w:t>
            </w:r>
          </w:p>
          <w:p w14:paraId="5761DF6E" w14:textId="77777777" w:rsidR="00A56EE9" w:rsidRPr="00E70A11" w:rsidRDefault="00A56EE9" w:rsidP="00A11869">
            <w:pPr>
              <w:pStyle w:val="ListParagraph"/>
              <w:numPr>
                <w:ilvl w:val="0"/>
                <w:numId w:val="6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Butler etal 2014 An analysis of trade-offs between multiple ecosystem services and stakeholders linked to land use and water quality management in the Great Barrier Reef, Australia</w:t>
            </w:r>
          </w:p>
          <w:p w14:paraId="5761DF6F" w14:textId="77777777" w:rsidR="00A56EE9" w:rsidRPr="00E70A11" w:rsidRDefault="00A56EE9" w:rsidP="00A11869">
            <w:pPr>
              <w:pStyle w:val="ListParagraph"/>
              <w:numPr>
                <w:ilvl w:val="0"/>
                <w:numId w:val="6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Stoeckl etal al 2011 The economic value of ecosystem services in the Great Barrier Reef: our state of knowledge</w:t>
            </w:r>
          </w:p>
          <w:p w14:paraId="5761DF70" w14:textId="77777777" w:rsidR="00A56EE9" w:rsidRPr="00E70A11" w:rsidRDefault="00A56EE9" w:rsidP="00A11869">
            <w:pPr>
              <w:pStyle w:val="ListParagraph"/>
              <w:numPr>
                <w:ilvl w:val="0"/>
                <w:numId w:val="6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Gooch et al. 2017 Assessment and Promotion of the Great Barrier Reef’s Human Dimensions through Collaboration. Coastal Management, DOI: 10.1080/08920753.2017.1373455</w:t>
            </w:r>
          </w:p>
          <w:p w14:paraId="5761DF71" w14:textId="77777777" w:rsidR="00A56EE9" w:rsidRPr="00E70A11" w:rsidRDefault="00A56EE9" w:rsidP="00A11869">
            <w:pPr>
              <w:pStyle w:val="ListParagraph"/>
              <w:numPr>
                <w:ilvl w:val="0"/>
                <w:numId w:val="6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Marshall et al. 2016. Advances in in monitoring the human dimension of natural resource systems: an example from the Great Barrier Reef. Environ. Res. Lett. 11 (2016) 114020.</w:t>
            </w:r>
          </w:p>
          <w:p w14:paraId="5761DF72" w14:textId="77777777" w:rsidR="00A56EE9" w:rsidRPr="00E70A11" w:rsidRDefault="00A56EE9" w:rsidP="00BB6AD5">
            <w:pPr>
              <w:pStyle w:val="ListParagraph"/>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F73"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F7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F84"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76"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F77" w14:textId="77777777" w:rsidR="00A56EE9" w:rsidRPr="00E70A11" w:rsidRDefault="00A56EE9" w:rsidP="00BB6AD5">
            <w:pPr>
              <w:pStyle w:val="Tablebulletlist"/>
              <w:jc w:val="center"/>
              <w:rPr>
                <w:rStyle w:val="BookTitle"/>
              </w:rPr>
            </w:pPr>
            <w:r w:rsidRPr="00E70A11">
              <w:rPr>
                <w:rStyle w:val="BookTitle"/>
              </w:rPr>
              <w:t>2</w:t>
            </w:r>
          </w:p>
        </w:tc>
        <w:tc>
          <w:tcPr>
            <w:tcW w:w="5242" w:type="dxa"/>
            <w:tcBorders>
              <w:top w:val="single" w:sz="4" w:space="0" w:color="auto"/>
              <w:left w:val="single" w:sz="4" w:space="0" w:color="auto"/>
              <w:bottom w:val="single" w:sz="4" w:space="0" w:color="auto"/>
              <w:right w:val="single" w:sz="4" w:space="0" w:color="auto"/>
            </w:tcBorders>
          </w:tcPr>
          <w:p w14:paraId="5761DF78" w14:textId="77777777" w:rsidR="00A56EE9" w:rsidRPr="00E70A11" w:rsidRDefault="00A56EE9" w:rsidP="00A11869">
            <w:pPr>
              <w:pStyle w:val="ListParagraph"/>
              <w:numPr>
                <w:ilvl w:val="0"/>
                <w:numId w:val="18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Land and Sea Country Indigenous Partnerships Program and TUMRAs provide the mechanism for Traditional Owners to apply their knowledge to biodiversity management in their land and sea country</w:t>
            </w:r>
          </w:p>
          <w:p w14:paraId="5761DF79" w14:textId="77777777" w:rsidR="00A56EE9" w:rsidRPr="00E70A11" w:rsidRDefault="00A56EE9" w:rsidP="00A11869">
            <w:pPr>
              <w:pStyle w:val="ListParagraph"/>
              <w:numPr>
                <w:ilvl w:val="0"/>
                <w:numId w:val="18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Integration of Traditional Ecological Knowledge is a recognised gap. There is no appropriate consultation process with Traditional Owners to re-establish the permissions relating to access and use of information (for example intellectual property) and there is no cultural heritage information management system.</w:t>
            </w:r>
            <w:r>
              <w:rPr>
                <w:rStyle w:val="BookTitle"/>
                <w:rFonts w:ascii="Arial Narrow" w:hAnsi="Arial Narrow"/>
                <w:sz w:val="18"/>
                <w:szCs w:val="18"/>
              </w:rPr>
              <w:t xml:space="preserve"> </w:t>
            </w:r>
            <w:r w:rsidRPr="00B92732">
              <w:rPr>
                <w:rStyle w:val="BookTitle"/>
                <w:rFonts w:ascii="Arial Narrow" w:hAnsi="Arial Narrow"/>
                <w:sz w:val="18"/>
                <w:szCs w:val="18"/>
              </w:rPr>
              <w:t>GBRMPA/RIMREP have commissioned a consultancy to develop cultural protocols and data sharing agreement templates for this.</w:t>
            </w:r>
          </w:p>
          <w:p w14:paraId="5761DF7A" w14:textId="77777777" w:rsidR="00A56EE9" w:rsidRPr="00E70A11" w:rsidRDefault="00A56EE9" w:rsidP="00A11869">
            <w:pPr>
              <w:pStyle w:val="ListParagraph"/>
              <w:numPr>
                <w:ilvl w:val="0"/>
                <w:numId w:val="18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Indigenous heritage information is not available but GBRMPA is progressing an indigenous heritage strategy that will address this</w:t>
            </w:r>
          </w:p>
          <w:p w14:paraId="5761DF7B" w14:textId="77777777" w:rsidR="00A56EE9" w:rsidRPr="00E70A11" w:rsidRDefault="00A56EE9" w:rsidP="00A11869">
            <w:pPr>
              <w:pStyle w:val="ListParagraph"/>
              <w:numPr>
                <w:ilvl w:val="0"/>
                <w:numId w:val="18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developing mechanisms to apply indigenous heritage information to management decisions through the indigenous and Traditional Owner heritage strategy a successful pilot has successfully resulted in Impact Assessment Guidelines for the Woppaburra Heritage</w:t>
            </w:r>
          </w:p>
        </w:tc>
        <w:tc>
          <w:tcPr>
            <w:tcW w:w="4016" w:type="dxa"/>
            <w:tcBorders>
              <w:top w:val="single" w:sz="4" w:space="0" w:color="auto"/>
              <w:left w:val="single" w:sz="4" w:space="0" w:color="auto"/>
              <w:bottom w:val="single" w:sz="4" w:space="0" w:color="auto"/>
              <w:right w:val="single" w:sz="4" w:space="0" w:color="auto"/>
            </w:tcBorders>
          </w:tcPr>
          <w:p w14:paraId="5761DF7C" w14:textId="77777777" w:rsidR="00A56EE9" w:rsidRPr="00E70A11" w:rsidRDefault="00A56EE9" w:rsidP="00A11869">
            <w:pPr>
              <w:pStyle w:val="ListParagraph"/>
              <w:numPr>
                <w:ilvl w:val="0"/>
                <w:numId w:val="7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Traditional owner heritage strategy </w:t>
            </w:r>
          </w:p>
          <w:p w14:paraId="5761DF7D" w14:textId="77777777" w:rsidR="00A56EE9" w:rsidRPr="00E70A11" w:rsidRDefault="00A56EE9" w:rsidP="00A11869">
            <w:pPr>
              <w:pStyle w:val="ListParagraph"/>
              <w:numPr>
                <w:ilvl w:val="0"/>
                <w:numId w:val="7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Impact Assessment Guidelines for the Woppaburra Heritage</w:t>
            </w:r>
          </w:p>
          <w:p w14:paraId="5761DF7E" w14:textId="77777777" w:rsidR="00A56EE9" w:rsidRPr="00E70A11" w:rsidRDefault="00A56EE9" w:rsidP="00A11869">
            <w:pPr>
              <w:pStyle w:val="ListParagraph"/>
              <w:numPr>
                <w:ilvl w:val="0"/>
                <w:numId w:val="7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National Environmental Science Program (NESP) projects of particular relevance include:</w:t>
            </w:r>
          </w:p>
          <w:p w14:paraId="5761DF7F" w14:textId="77777777" w:rsidR="00A56EE9" w:rsidRPr="00E70A11" w:rsidRDefault="00A56EE9" w:rsidP="00A11869">
            <w:pPr>
              <w:pStyle w:val="ListParagraph"/>
              <w:numPr>
                <w:ilvl w:val="0"/>
                <w:numId w:val="7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Tropical Water Quality Hub</w:t>
            </w:r>
          </w:p>
          <w:p w14:paraId="5761DF80" w14:textId="77777777" w:rsidR="00A56EE9" w:rsidRPr="00E70A11" w:rsidRDefault="00A56EE9" w:rsidP="00A11869">
            <w:pPr>
              <w:pStyle w:val="ListParagraph"/>
              <w:numPr>
                <w:ilvl w:val="0"/>
                <w:numId w:val="7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Project 3.9 Indigenous capacity building and increased participation in management of Queensland sea country</w:t>
            </w:r>
          </w:p>
          <w:p w14:paraId="5761DF81"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F82"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F8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F8B"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85"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F86" w14:textId="77777777" w:rsidR="00A56EE9" w:rsidRPr="00E70A11" w:rsidRDefault="00A56EE9" w:rsidP="00BB6AD5">
            <w:pPr>
              <w:pStyle w:val="Tablebulletlist"/>
              <w:jc w:val="center"/>
              <w:rPr>
                <w:rStyle w:val="BookTitle"/>
              </w:rPr>
            </w:pPr>
            <w:r w:rsidRPr="00E70A11">
              <w:rPr>
                <w:rStyle w:val="BookTitle"/>
              </w:rPr>
              <w:t>N/A</w:t>
            </w:r>
          </w:p>
        </w:tc>
        <w:tc>
          <w:tcPr>
            <w:tcW w:w="5242" w:type="dxa"/>
            <w:tcBorders>
              <w:top w:val="single" w:sz="4" w:space="0" w:color="auto"/>
              <w:left w:val="single" w:sz="4" w:space="0" w:color="auto"/>
              <w:bottom w:val="single" w:sz="4" w:space="0" w:color="auto"/>
              <w:right w:val="single" w:sz="4" w:space="0" w:color="auto"/>
            </w:tcBorders>
          </w:tcPr>
          <w:p w14:paraId="5761DF87" w14:textId="77777777" w:rsidR="00A56EE9" w:rsidRPr="00E70A11" w:rsidRDefault="00A56EE9" w:rsidP="00BB6AD5">
            <w:pPr>
              <w:pStyle w:val="ListParagraph"/>
              <w:ind w:left="360"/>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tcPr>
          <w:p w14:paraId="5761DF88"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F89" w14:textId="77777777" w:rsidR="00A56EE9" w:rsidRPr="00E70A11" w:rsidRDefault="00A56EE9" w:rsidP="00BB6AD5">
            <w:pPr>
              <w:pStyle w:val="Tablebulletlist"/>
              <w:rPr>
                <w:rStyle w:val="BookTitle"/>
              </w:rPr>
            </w:pPr>
          </w:p>
        </w:tc>
        <w:tc>
          <w:tcPr>
            <w:tcW w:w="898" w:type="dxa"/>
            <w:tcBorders>
              <w:top w:val="single" w:sz="4" w:space="0" w:color="auto"/>
              <w:left w:val="single" w:sz="4" w:space="0" w:color="auto"/>
              <w:bottom w:val="single" w:sz="4" w:space="0" w:color="auto"/>
              <w:right w:val="single" w:sz="4" w:space="0" w:color="auto"/>
            </w:tcBorders>
          </w:tcPr>
          <w:p w14:paraId="5761DF8A" w14:textId="77777777" w:rsidR="00A56EE9" w:rsidRPr="00E70A11" w:rsidRDefault="00A56EE9" w:rsidP="00BB6AD5">
            <w:pPr>
              <w:pStyle w:val="Tablebulletlist"/>
              <w:rPr>
                <w:rStyle w:val="BookTitle"/>
              </w:rPr>
            </w:pPr>
          </w:p>
        </w:tc>
      </w:tr>
      <w:tr w:rsidR="00A56EE9" w:rsidRPr="00E70A11" w14:paraId="5761DFA2"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shd w:val="clear" w:color="auto" w:fill="auto"/>
          </w:tcPr>
          <w:p w14:paraId="5761DF8C"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F8D"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F8E"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Standards and thresholds being developed through RIMREP but this has been very slow in coming to fruition</w:t>
            </w:r>
          </w:p>
          <w:p w14:paraId="5761DF8F"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Wetlands GBR Management Strategy outlines a number of objectives, targets and standards</w:t>
            </w:r>
          </w:p>
          <w:p w14:paraId="5761DF90"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2050 WQIP has clear water quality targets, and catchment and land management targets. </w:t>
            </w:r>
          </w:p>
          <w:p w14:paraId="5761DF91"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sets clear actions, targets, objectives and outcomes to drive and guide management of the Reef.</w:t>
            </w:r>
          </w:p>
          <w:p w14:paraId="5761DF92" w14:textId="77777777" w:rsidR="00A56EE9" w:rsidRPr="00E70A11" w:rsidRDefault="00A56EE9" w:rsidP="00A11869">
            <w:pPr>
              <w:pStyle w:val="ListParagraph"/>
              <w:widowControl w:val="0"/>
              <w:numPr>
                <w:ilvl w:val="0"/>
                <w:numId w:val="188"/>
              </w:numPr>
              <w:autoSpaceDE w:val="0"/>
              <w:autoSpaceDN w:val="0"/>
              <w:adjustRightInd w:val="0"/>
              <w:spacing w:after="256" w:line="240" w:lineRule="auto"/>
              <w:rPr>
                <w:rFonts w:ascii="Arial Narrow" w:eastAsia="Times New Roman" w:hAnsi="Arial Narrow" w:cs="Verdana"/>
                <w:sz w:val="18"/>
                <w:szCs w:val="18"/>
                <w:lang w:val="en-US" w:eastAsia="en-AU"/>
              </w:rPr>
            </w:pPr>
            <w:r w:rsidRPr="00E70A11">
              <w:rPr>
                <w:rFonts w:ascii="Arial Narrow" w:eastAsia="Times New Roman" w:hAnsi="Arial Narrow" w:cs="Verdana"/>
                <w:sz w:val="18"/>
                <w:szCs w:val="18"/>
                <w:lang w:val="en-US" w:eastAsia="en-AU"/>
              </w:rPr>
              <w:t>Matters of state environmental significance (MSES) are a component of the biodiversity state interest that is defined under the </w:t>
            </w:r>
            <w:hyperlink r:id="rId84" w:history="1">
              <w:r w:rsidRPr="00E70A11">
                <w:rPr>
                  <w:rFonts w:ascii="Arial Narrow" w:eastAsia="Times New Roman" w:hAnsi="Arial Narrow" w:cs="Verdana"/>
                  <w:color w:val="002688"/>
                  <w:sz w:val="18"/>
                  <w:szCs w:val="18"/>
                  <w:u w:val="single" w:color="002688"/>
                  <w:lang w:val="en-US" w:eastAsia="en-AU"/>
                </w:rPr>
                <w:t>State Planning Policy (SPP)</w:t>
              </w:r>
            </w:hyperlink>
            <w:r w:rsidRPr="00E70A11">
              <w:rPr>
                <w:rFonts w:ascii="Arial Narrow" w:eastAsia="Times New Roman" w:hAnsi="Arial Narrow" w:cs="Verdana"/>
                <w:sz w:val="18"/>
                <w:szCs w:val="18"/>
                <w:lang w:val="en-US" w:eastAsia="en-AU"/>
              </w:rPr>
              <w:t xml:space="preserve"> and defined under the </w:t>
            </w:r>
            <w:hyperlink r:id="rId85" w:history="1">
              <w:r w:rsidRPr="00E70A11">
                <w:rPr>
                  <w:rFonts w:ascii="Arial Narrow" w:eastAsia="Times New Roman" w:hAnsi="Arial Narrow" w:cs="Verdana"/>
                  <w:color w:val="002688"/>
                  <w:sz w:val="18"/>
                  <w:szCs w:val="18"/>
                  <w:u w:val="single" w:color="002688"/>
                  <w:lang w:val="en-US" w:eastAsia="en-AU"/>
                </w:rPr>
                <w:t>Environmental Offsets Regulation 2014</w:t>
              </w:r>
            </w:hyperlink>
            <w:r w:rsidRPr="00E70A11">
              <w:rPr>
                <w:rFonts w:ascii="Arial Narrow" w:eastAsia="Times New Roman" w:hAnsi="Arial Narrow" w:cs="Verdana"/>
                <w:sz w:val="18"/>
                <w:szCs w:val="18"/>
                <w:lang w:val="en-US" w:eastAsia="en-AU"/>
              </w:rPr>
              <w:t xml:space="preserve"> (Offset Regulation). MSES includes certain environmental values that are protected under Queensland legislation including the:</w:t>
            </w:r>
          </w:p>
          <w:p w14:paraId="5761DF93" w14:textId="77777777" w:rsidR="00A56EE9" w:rsidRPr="00E70A11" w:rsidRDefault="00A56EE9" w:rsidP="00A11869">
            <w:pPr>
              <w:pStyle w:val="ListParagraph"/>
              <w:numPr>
                <w:ilvl w:val="1"/>
                <w:numId w:val="188"/>
              </w:numPr>
              <w:spacing w:after="200" w:line="276" w:lineRule="auto"/>
              <w:rPr>
                <w:rFonts w:ascii="Arial Narrow" w:hAnsi="Arial Narrow"/>
                <w:sz w:val="18"/>
                <w:szCs w:val="18"/>
                <w:lang w:val="en-US" w:eastAsia="en-AU"/>
              </w:rPr>
            </w:pPr>
            <w:r w:rsidRPr="00E70A11">
              <w:rPr>
                <w:rFonts w:ascii="Arial Narrow" w:hAnsi="Arial Narrow"/>
                <w:sz w:val="18"/>
                <w:szCs w:val="18"/>
                <w:lang w:val="en-US" w:eastAsia="en-AU"/>
              </w:rPr>
              <w:t>Nature Conservation Act 1992</w:t>
            </w:r>
          </w:p>
          <w:p w14:paraId="5761DF94" w14:textId="77777777" w:rsidR="00A56EE9" w:rsidRPr="00E70A11" w:rsidRDefault="00A56EE9" w:rsidP="00A11869">
            <w:pPr>
              <w:pStyle w:val="ListParagraph"/>
              <w:numPr>
                <w:ilvl w:val="1"/>
                <w:numId w:val="188"/>
              </w:numPr>
              <w:spacing w:after="200" w:line="276" w:lineRule="auto"/>
              <w:rPr>
                <w:rFonts w:ascii="Arial Narrow" w:hAnsi="Arial Narrow"/>
                <w:sz w:val="18"/>
                <w:szCs w:val="18"/>
                <w:lang w:val="en-US" w:eastAsia="en-AU"/>
              </w:rPr>
            </w:pPr>
            <w:r w:rsidRPr="00E70A11">
              <w:rPr>
                <w:rFonts w:ascii="Arial Narrow" w:hAnsi="Arial Narrow"/>
                <w:sz w:val="18"/>
                <w:szCs w:val="18"/>
                <w:lang w:val="en-US" w:eastAsia="en-AU"/>
              </w:rPr>
              <w:t>Marine Parks Act 2004</w:t>
            </w:r>
          </w:p>
          <w:p w14:paraId="5761DF95" w14:textId="77777777" w:rsidR="00A56EE9" w:rsidRPr="00E70A11" w:rsidRDefault="00A56EE9" w:rsidP="00A11869">
            <w:pPr>
              <w:pStyle w:val="ListParagraph"/>
              <w:numPr>
                <w:ilvl w:val="1"/>
                <w:numId w:val="188"/>
              </w:numPr>
              <w:spacing w:after="200" w:line="276" w:lineRule="auto"/>
              <w:rPr>
                <w:rFonts w:ascii="Arial Narrow" w:hAnsi="Arial Narrow"/>
                <w:sz w:val="18"/>
                <w:szCs w:val="18"/>
                <w:lang w:val="en-US" w:eastAsia="en-AU"/>
              </w:rPr>
            </w:pPr>
            <w:r w:rsidRPr="00E70A11">
              <w:rPr>
                <w:rFonts w:ascii="Arial Narrow" w:hAnsi="Arial Narrow"/>
                <w:sz w:val="18"/>
                <w:szCs w:val="18"/>
                <w:lang w:val="en-US" w:eastAsia="en-AU"/>
              </w:rPr>
              <w:t>Fisheries Act 1994</w:t>
            </w:r>
          </w:p>
          <w:p w14:paraId="5761DF96" w14:textId="77777777" w:rsidR="00A56EE9" w:rsidRPr="00E70A11" w:rsidRDefault="00A56EE9" w:rsidP="00A11869">
            <w:pPr>
              <w:pStyle w:val="ListParagraph"/>
              <w:numPr>
                <w:ilvl w:val="1"/>
                <w:numId w:val="188"/>
              </w:numPr>
              <w:spacing w:after="200" w:line="276" w:lineRule="auto"/>
              <w:rPr>
                <w:rFonts w:ascii="Arial Narrow" w:hAnsi="Arial Narrow"/>
                <w:sz w:val="18"/>
                <w:szCs w:val="18"/>
                <w:lang w:val="en-US" w:eastAsia="en-AU"/>
              </w:rPr>
            </w:pPr>
            <w:r w:rsidRPr="00E70A11">
              <w:rPr>
                <w:rFonts w:ascii="Arial Narrow" w:hAnsi="Arial Narrow"/>
                <w:sz w:val="18"/>
                <w:szCs w:val="18"/>
                <w:lang w:val="en-US" w:eastAsia="en-AU"/>
              </w:rPr>
              <w:t>Environmental Protection Act 1994</w:t>
            </w:r>
          </w:p>
          <w:p w14:paraId="5761DF97" w14:textId="77777777" w:rsidR="00A56EE9" w:rsidRPr="00E70A11" w:rsidRDefault="00A56EE9" w:rsidP="00A11869">
            <w:pPr>
              <w:pStyle w:val="ListParagraph"/>
              <w:numPr>
                <w:ilvl w:val="1"/>
                <w:numId w:val="188"/>
              </w:numPr>
              <w:spacing w:after="200" w:line="276" w:lineRule="auto"/>
              <w:rPr>
                <w:rFonts w:ascii="Arial Narrow" w:hAnsi="Arial Narrow"/>
                <w:sz w:val="18"/>
                <w:szCs w:val="18"/>
                <w:lang w:val="en-US" w:eastAsia="en-AU"/>
              </w:rPr>
            </w:pPr>
            <w:r w:rsidRPr="00E70A11">
              <w:rPr>
                <w:rFonts w:ascii="Arial Narrow" w:hAnsi="Arial Narrow"/>
                <w:sz w:val="18"/>
                <w:szCs w:val="18"/>
                <w:lang w:val="en-US" w:eastAsia="en-AU"/>
              </w:rPr>
              <w:t>Regional Interests Planning Act 2014</w:t>
            </w:r>
          </w:p>
          <w:p w14:paraId="5761DF98" w14:textId="77777777" w:rsidR="00A56EE9" w:rsidRPr="00E70A11" w:rsidRDefault="00A56EE9" w:rsidP="00A11869">
            <w:pPr>
              <w:pStyle w:val="ListParagraph"/>
              <w:numPr>
                <w:ilvl w:val="1"/>
                <w:numId w:val="188"/>
              </w:numPr>
              <w:spacing w:after="200" w:line="276" w:lineRule="auto"/>
              <w:rPr>
                <w:rFonts w:ascii="Arial Narrow" w:hAnsi="Arial Narrow"/>
                <w:sz w:val="18"/>
                <w:szCs w:val="18"/>
                <w:lang w:val="en-US" w:eastAsia="en-AU"/>
              </w:rPr>
            </w:pPr>
            <w:r w:rsidRPr="00E70A11">
              <w:rPr>
                <w:rFonts w:ascii="Arial Narrow" w:hAnsi="Arial Narrow"/>
                <w:sz w:val="18"/>
                <w:szCs w:val="18"/>
                <w:lang w:val="en-US" w:eastAsia="en-AU"/>
              </w:rPr>
              <w:t>Vegetation Management Act 1999</w:t>
            </w:r>
          </w:p>
          <w:p w14:paraId="5761DF99" w14:textId="77777777" w:rsidR="00A56EE9" w:rsidRPr="00E70A11" w:rsidRDefault="00A56EE9" w:rsidP="00A11869">
            <w:pPr>
              <w:pStyle w:val="ListParagraph"/>
              <w:numPr>
                <w:ilvl w:val="1"/>
                <w:numId w:val="188"/>
              </w:numPr>
              <w:spacing w:after="200" w:line="276" w:lineRule="auto"/>
              <w:rPr>
                <w:rStyle w:val="BookTitle"/>
                <w:rFonts w:ascii="Arial Narrow" w:hAnsi="Arial Narrow"/>
                <w:sz w:val="18"/>
                <w:szCs w:val="18"/>
              </w:rPr>
            </w:pPr>
            <w:r w:rsidRPr="00E70A11">
              <w:rPr>
                <w:rFonts w:ascii="Arial Narrow" w:hAnsi="Arial Narrow"/>
                <w:sz w:val="18"/>
                <w:szCs w:val="18"/>
                <w:lang w:val="en-US" w:eastAsia="en-AU"/>
              </w:rPr>
              <w:t>Environmental Offsets Act 2014.</w:t>
            </w:r>
          </w:p>
        </w:tc>
        <w:tc>
          <w:tcPr>
            <w:tcW w:w="4016" w:type="dxa"/>
            <w:tcBorders>
              <w:top w:val="single" w:sz="4" w:space="0" w:color="auto"/>
              <w:left w:val="single" w:sz="4" w:space="0" w:color="auto"/>
              <w:bottom w:val="single" w:sz="4" w:space="0" w:color="auto"/>
              <w:right w:val="single" w:sz="4" w:space="0" w:color="auto"/>
            </w:tcBorders>
          </w:tcPr>
          <w:p w14:paraId="5761DF9A" w14:textId="77777777" w:rsidR="00A56EE9" w:rsidRPr="00E70A11" w:rsidRDefault="00A56EE9" w:rsidP="00A11869">
            <w:pPr>
              <w:pStyle w:val="ListParagraph"/>
              <w:numPr>
                <w:ilvl w:val="0"/>
                <w:numId w:val="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w:t>
            </w:r>
          </w:p>
          <w:p w14:paraId="5761DF9B" w14:textId="77777777" w:rsidR="00A56EE9" w:rsidRPr="00E70A11" w:rsidRDefault="00A56EE9" w:rsidP="00A11869">
            <w:pPr>
              <w:pStyle w:val="ListParagraph"/>
              <w:numPr>
                <w:ilvl w:val="0"/>
                <w:numId w:val="71"/>
              </w:numPr>
              <w:spacing w:after="200" w:line="276" w:lineRule="auto"/>
              <w:rPr>
                <w:rFonts w:ascii="Arial Narrow" w:hAnsi="Arial Narrow"/>
                <w:sz w:val="18"/>
                <w:szCs w:val="18"/>
              </w:rPr>
            </w:pPr>
            <w:r w:rsidRPr="00E70A11">
              <w:rPr>
                <w:rFonts w:ascii="Arial Narrow" w:hAnsi="Arial Narrow"/>
                <w:sz w:val="18"/>
                <w:szCs w:val="18"/>
              </w:rPr>
              <w:t>Wetlands in the GBR catchments, Management Strategy 2016-21.</w:t>
            </w:r>
          </w:p>
          <w:p w14:paraId="5761DF9C" w14:textId="77777777" w:rsidR="00A56EE9" w:rsidRPr="00E70A11" w:rsidRDefault="00A56EE9" w:rsidP="00A11869">
            <w:pPr>
              <w:pStyle w:val="ListParagraph"/>
              <w:numPr>
                <w:ilvl w:val="0"/>
                <w:numId w:val="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w:t>
            </w:r>
          </w:p>
          <w:p w14:paraId="5761DF9D" w14:textId="77777777" w:rsidR="00A56EE9" w:rsidRPr="00E70A11" w:rsidRDefault="00A56EE9" w:rsidP="00A11869">
            <w:pPr>
              <w:pStyle w:val="ListParagraph"/>
              <w:numPr>
                <w:ilvl w:val="0"/>
                <w:numId w:val="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DF9E" w14:textId="4A6AEDC1" w:rsidR="00A56EE9" w:rsidRPr="00E70A11" w:rsidRDefault="00A56EE9" w:rsidP="00A11869">
            <w:pPr>
              <w:pStyle w:val="ListParagraph"/>
              <w:numPr>
                <w:ilvl w:val="0"/>
                <w:numId w:val="7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Matters of state environmental significance </w:t>
            </w:r>
            <w:hyperlink r:id="rId86" w:tooltip="document link" w:history="1">
              <w:r w:rsidRPr="00E70A11">
                <w:rPr>
                  <w:rStyle w:val="Hyperlink"/>
                  <w:rFonts w:ascii="Arial Narrow" w:hAnsi="Arial Narrow"/>
                  <w:sz w:val="18"/>
                  <w:szCs w:val="18"/>
                </w:rPr>
                <w:t>https://www.ehp.qld.gov.au/management/planning-guidelines/method-mapping-mses.html</w:t>
              </w:r>
            </w:hyperlink>
          </w:p>
          <w:p w14:paraId="5761DF9F" w14:textId="77777777" w:rsidR="00A56EE9" w:rsidRPr="00E70A11" w:rsidRDefault="00A56EE9" w:rsidP="00BB6AD5">
            <w:pPr>
              <w:pStyle w:val="ListParagraph"/>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DFA0"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FA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FAD"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A3"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Targets have been established to benchmark management performance for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FA4"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DFA5"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Wetlands GBR Management Strategy outlines a number of objectives, targets and standards</w:t>
            </w:r>
          </w:p>
          <w:p w14:paraId="5761DFA6"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2050 WQIP has clear water quality targets, and catchment and land management targets. </w:t>
            </w:r>
          </w:p>
          <w:p w14:paraId="5761DFA7"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sets clear actions, targets, objectives and Water quality improvement plans and healthy waters management plans are in place to investigate ways to protect the environmental values, and monitor and assess the effectiveness of the protection</w:t>
            </w:r>
          </w:p>
        </w:tc>
        <w:tc>
          <w:tcPr>
            <w:tcW w:w="4016" w:type="dxa"/>
            <w:tcBorders>
              <w:top w:val="single" w:sz="4" w:space="0" w:color="auto"/>
              <w:left w:val="single" w:sz="4" w:space="0" w:color="auto"/>
              <w:bottom w:val="single" w:sz="4" w:space="0" w:color="auto"/>
              <w:right w:val="single" w:sz="4" w:space="0" w:color="auto"/>
            </w:tcBorders>
          </w:tcPr>
          <w:p w14:paraId="5761DFA8" w14:textId="77777777" w:rsidR="00A56EE9" w:rsidRPr="00E70A11" w:rsidRDefault="00A56EE9" w:rsidP="00A11869">
            <w:pPr>
              <w:pStyle w:val="ListParagraph"/>
              <w:numPr>
                <w:ilvl w:val="0"/>
                <w:numId w:val="72"/>
              </w:numPr>
              <w:spacing w:after="200" w:line="276" w:lineRule="auto"/>
              <w:rPr>
                <w:rFonts w:ascii="Arial Narrow" w:hAnsi="Arial Narrow"/>
                <w:sz w:val="18"/>
                <w:szCs w:val="18"/>
              </w:rPr>
            </w:pPr>
            <w:r w:rsidRPr="00E70A11">
              <w:rPr>
                <w:rFonts w:ascii="Arial Narrow" w:hAnsi="Arial Narrow"/>
                <w:sz w:val="18"/>
                <w:szCs w:val="18"/>
              </w:rPr>
              <w:t>Wetlands in the GBR catchments, Management Strategy 2016-21.</w:t>
            </w:r>
          </w:p>
          <w:p w14:paraId="5761DFA9" w14:textId="77777777" w:rsidR="00A56EE9" w:rsidRPr="00E70A11" w:rsidRDefault="00A56EE9" w:rsidP="00A11869">
            <w:pPr>
              <w:pStyle w:val="ListParagraph"/>
              <w:numPr>
                <w:ilvl w:val="0"/>
                <w:numId w:val="7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w:t>
            </w:r>
          </w:p>
          <w:p w14:paraId="5761DFAA" w14:textId="77777777" w:rsidR="00A56EE9" w:rsidRPr="00E70A11" w:rsidRDefault="00A56EE9" w:rsidP="00A11869">
            <w:pPr>
              <w:pStyle w:val="ListParagraph"/>
              <w:numPr>
                <w:ilvl w:val="0"/>
                <w:numId w:val="7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tc>
        <w:tc>
          <w:tcPr>
            <w:tcW w:w="981" w:type="dxa"/>
            <w:tcBorders>
              <w:top w:val="single" w:sz="4" w:space="0" w:color="auto"/>
              <w:left w:val="single" w:sz="4" w:space="0" w:color="auto"/>
              <w:bottom w:val="single" w:sz="4" w:space="0" w:color="auto"/>
              <w:right w:val="single" w:sz="4" w:space="0" w:color="auto"/>
            </w:tcBorders>
          </w:tcPr>
          <w:p w14:paraId="5761DFAB"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FA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DFB4"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FAE" w14:textId="77777777" w:rsidR="00A56EE9" w:rsidRPr="00E70A11" w:rsidRDefault="00A56EE9" w:rsidP="00BB6AD5">
            <w:pPr>
              <w:pStyle w:val="Tablebulletlist"/>
              <w:rPr>
                <w:rStyle w:val="BookTitle"/>
              </w:rPr>
            </w:pPr>
            <w:r w:rsidRPr="00E70A11">
              <w:rPr>
                <w:rStyle w:val="BookTitle"/>
              </w:rPr>
              <w:t>OUTPUTS</w:t>
            </w:r>
          </w:p>
        </w:tc>
        <w:tc>
          <w:tcPr>
            <w:tcW w:w="77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761DFAF" w14:textId="77777777" w:rsidR="00A56EE9" w:rsidRPr="00E70A11" w:rsidRDefault="00A56EE9" w:rsidP="00BB6AD5">
            <w:pPr>
              <w:pStyle w:val="Tablebulletlist"/>
              <w:jc w:val="center"/>
              <w:rPr>
                <w:rStyle w:val="BookTitle"/>
              </w:rPr>
            </w:pPr>
          </w:p>
        </w:tc>
        <w:tc>
          <w:tcPr>
            <w:tcW w:w="524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FB0" w14:textId="77777777" w:rsidR="00A56EE9" w:rsidRPr="00E70A11" w:rsidRDefault="00A56EE9" w:rsidP="00BB6AD5">
            <w:pPr>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FB1"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FB2" w14:textId="77777777" w:rsidR="00A56EE9" w:rsidRPr="00E70A11" w:rsidRDefault="00A56EE9" w:rsidP="00BB6AD5">
            <w:pPr>
              <w:pStyle w:val="Tablebulletlist"/>
              <w:rPr>
                <w:rStyle w:val="BookTitle"/>
              </w:rPr>
            </w:pPr>
          </w:p>
        </w:tc>
        <w:tc>
          <w:tcPr>
            <w:tcW w:w="89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DFB3" w14:textId="77777777" w:rsidR="00A56EE9" w:rsidRPr="00E70A11" w:rsidRDefault="00A56EE9" w:rsidP="00BB6AD5">
            <w:pPr>
              <w:pStyle w:val="Tablebulletlist"/>
              <w:rPr>
                <w:rStyle w:val="BookTitle"/>
              </w:rPr>
            </w:pPr>
          </w:p>
        </w:tc>
      </w:tr>
      <w:tr w:rsidR="00A56EE9" w:rsidRPr="00E70A11" w14:paraId="5761DFCB"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B5"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biodiversity </w:t>
            </w:r>
          </w:p>
        </w:tc>
        <w:tc>
          <w:tcPr>
            <w:tcW w:w="771" w:type="dxa"/>
            <w:tcBorders>
              <w:top w:val="single" w:sz="4" w:space="0" w:color="auto"/>
              <w:left w:val="single" w:sz="4" w:space="0" w:color="auto"/>
              <w:bottom w:val="single" w:sz="4" w:space="0" w:color="auto"/>
              <w:right w:val="single" w:sz="4" w:space="0" w:color="auto"/>
            </w:tcBorders>
            <w:vAlign w:val="center"/>
          </w:tcPr>
          <w:p w14:paraId="5761DFB6"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FB7"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 work program progressing but timeframes lagging in some areas</w:t>
            </w:r>
          </w:p>
          <w:p w14:paraId="5761DFB8"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As at October 2017, there were two vessels operating and over 570,000 COTS have been culled. To date, coral cover has been protected on 21 priority reefs offshore Cairns and Port Douglas</w:t>
            </w:r>
          </w:p>
          <w:p w14:paraId="5761DFB9"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Staff limitations in GBRMPA have reduced capacity to implement biodiversity related actions and to collaborate with researchers at previous levels, staff in Biodiversity Section have been spread across agency</w:t>
            </w:r>
          </w:p>
          <w:p w14:paraId="5761DFBA"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Slow progress in development of RIMREP</w:t>
            </w:r>
          </w:p>
          <w:p w14:paraId="5761DFBB"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Biodiversity Strategy and Climate Change Strategies not recently updated but to some extent overtaken by Reef 2050</w:t>
            </w:r>
          </w:p>
          <w:p w14:paraId="5761DFBC" w14:textId="77777777" w:rsidR="00A56EE9" w:rsidRPr="00E70A11" w:rsidRDefault="00A56EE9" w:rsidP="00A11869">
            <w:pPr>
              <w:pStyle w:val="ListParagraph"/>
              <w:numPr>
                <w:ilvl w:val="0"/>
                <w:numId w:val="1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Marine Monitoring Program outputs are published, including:</w:t>
            </w:r>
          </w:p>
          <w:p w14:paraId="5761DFBD"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proofErr w:type="gramStart"/>
            <w:r w:rsidRPr="00E70A11">
              <w:rPr>
                <w:rStyle w:val="BookTitle"/>
                <w:rFonts w:ascii="Arial Narrow" w:hAnsi="Arial Narrow"/>
                <w:sz w:val="18"/>
                <w:szCs w:val="18"/>
              </w:rPr>
              <w:t>annual</w:t>
            </w:r>
            <w:proofErr w:type="gramEnd"/>
            <w:r w:rsidRPr="00E70A11">
              <w:rPr>
                <w:rStyle w:val="BookTitle"/>
                <w:rFonts w:ascii="Arial Narrow" w:hAnsi="Arial Narrow"/>
                <w:sz w:val="18"/>
                <w:szCs w:val="18"/>
              </w:rPr>
              <w:t xml:space="preserve"> Marine Results reports which provide the marine information in the Report Cards. </w:t>
            </w:r>
          </w:p>
          <w:p w14:paraId="5761DFBE"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proofErr w:type="gramStart"/>
            <w:r w:rsidRPr="00E70A11">
              <w:rPr>
                <w:rStyle w:val="BookTitle"/>
                <w:rFonts w:ascii="Arial Narrow" w:hAnsi="Arial Narrow"/>
                <w:sz w:val="18"/>
                <w:szCs w:val="18"/>
              </w:rPr>
              <w:t>annual</w:t>
            </w:r>
            <w:proofErr w:type="gramEnd"/>
            <w:r w:rsidRPr="00E70A11">
              <w:rPr>
                <w:rStyle w:val="BookTitle"/>
                <w:rFonts w:ascii="Arial Narrow" w:hAnsi="Arial Narrow"/>
                <w:sz w:val="18"/>
                <w:szCs w:val="18"/>
              </w:rPr>
              <w:t xml:space="preserve"> Summary Report, which provide a short overview of the key findings. </w:t>
            </w:r>
          </w:p>
          <w:p w14:paraId="5761DFBF"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Annual technical reports provide detailed scientific information on the condition and trend of inshore water quality, coral reefs and seagrass meadows.</w:t>
            </w:r>
          </w:p>
          <w:p w14:paraId="5761DFC0"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Regional Report Cards are published, including:</w:t>
            </w:r>
          </w:p>
          <w:p w14:paraId="5761DFC1"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Gladstone Healthy Partnerships Report Card</w:t>
            </w:r>
          </w:p>
          <w:p w14:paraId="5761DFC2"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Mackay Whitsunday Report Card</w:t>
            </w:r>
          </w:p>
          <w:p w14:paraId="5761DFC3"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Wet Tropics Report card</w:t>
            </w:r>
          </w:p>
        </w:tc>
        <w:tc>
          <w:tcPr>
            <w:tcW w:w="4016" w:type="dxa"/>
            <w:tcBorders>
              <w:top w:val="single" w:sz="4" w:space="0" w:color="auto"/>
              <w:left w:val="single" w:sz="4" w:space="0" w:color="auto"/>
              <w:bottom w:val="single" w:sz="4" w:space="0" w:color="auto"/>
              <w:right w:val="single" w:sz="4" w:space="0" w:color="auto"/>
            </w:tcBorders>
          </w:tcPr>
          <w:p w14:paraId="5761DFC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DFC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http://www.gbrmpa.gov.au/about-the-reef/biodiversity/biodiversity-conservation-strategy-2013/vulnerability-assessments</w:t>
            </w:r>
          </w:p>
          <w:p w14:paraId="5761DFC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w:t>
            </w:r>
          </w:p>
          <w:p w14:paraId="5761DFC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Marine Monitoring Program outputs</w:t>
            </w:r>
          </w:p>
          <w:p w14:paraId="5761DFC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Regional Report Cards</w:t>
            </w:r>
          </w:p>
        </w:tc>
        <w:tc>
          <w:tcPr>
            <w:tcW w:w="981" w:type="dxa"/>
            <w:tcBorders>
              <w:top w:val="single" w:sz="4" w:space="0" w:color="auto"/>
              <w:left w:val="single" w:sz="4" w:space="0" w:color="auto"/>
              <w:bottom w:val="single" w:sz="4" w:space="0" w:color="auto"/>
              <w:right w:val="single" w:sz="4" w:space="0" w:color="auto"/>
            </w:tcBorders>
          </w:tcPr>
          <w:p w14:paraId="5761DFC9"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FC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FDA"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CC"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biodiversity have progressed in accordance with timeframes specified in those documents</w:t>
            </w:r>
          </w:p>
        </w:tc>
        <w:tc>
          <w:tcPr>
            <w:tcW w:w="771" w:type="dxa"/>
            <w:tcBorders>
              <w:top w:val="single" w:sz="4" w:space="0" w:color="auto"/>
              <w:left w:val="single" w:sz="4" w:space="0" w:color="auto"/>
              <w:bottom w:val="single" w:sz="4" w:space="0" w:color="auto"/>
              <w:right w:val="single" w:sz="4" w:space="0" w:color="auto"/>
            </w:tcBorders>
            <w:vAlign w:val="center"/>
          </w:tcPr>
          <w:p w14:paraId="5761DFCD"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FCE" w14:textId="77777777" w:rsidR="00A56EE9" w:rsidRPr="00E70A11" w:rsidRDefault="00A56EE9" w:rsidP="00A11869">
            <w:pPr>
              <w:pStyle w:val="ListParagraph"/>
              <w:numPr>
                <w:ilvl w:val="0"/>
                <w:numId w:val="18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Difficult to assess because:</w:t>
            </w:r>
          </w:p>
          <w:p w14:paraId="5761DFCF"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No specific plans for biodiversity protection</w:t>
            </w:r>
          </w:p>
          <w:p w14:paraId="5761DFD0"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No specific timelines for biodiversity protection</w:t>
            </w:r>
          </w:p>
          <w:p w14:paraId="5761DFD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Biodiversity Conservation Strategy and Climate now beyond indicated timeframe and not updated and continued as current strategies although a number of actions have been carried forward into Reef 2050 and Reef Blueprint or are likely to be address in mid-term review of Reef 2050. These strategies still inform permit assessments and policy development</w:t>
            </w:r>
          </w:p>
          <w:p w14:paraId="5761DFD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not continued and funding withdrawn although a number of actions carried forward into Reef 2050 Plan</w:t>
            </w:r>
          </w:p>
          <w:p w14:paraId="5761DFD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 and the Marine Monitoring Program is progressing as per planned</w:t>
            </w:r>
          </w:p>
          <w:p w14:paraId="5761DFD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COTS control program implemented as planned and being expanded with additional funding but concerns about the adequacy of this program from some stakeholders</w:t>
            </w:r>
          </w:p>
        </w:tc>
        <w:tc>
          <w:tcPr>
            <w:tcW w:w="4016" w:type="dxa"/>
            <w:tcBorders>
              <w:top w:val="single" w:sz="4" w:space="0" w:color="auto"/>
              <w:left w:val="single" w:sz="4" w:space="0" w:color="auto"/>
              <w:bottom w:val="single" w:sz="4" w:space="0" w:color="auto"/>
              <w:right w:val="single" w:sz="4" w:space="0" w:color="auto"/>
            </w:tcBorders>
          </w:tcPr>
          <w:p w14:paraId="5761DFD5" w14:textId="77777777" w:rsidR="00A56EE9" w:rsidRPr="00E70A11" w:rsidRDefault="00A56EE9" w:rsidP="00A11869">
            <w:pPr>
              <w:pStyle w:val="ListParagraph"/>
              <w:numPr>
                <w:ilvl w:val="0"/>
                <w:numId w:val="7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DFD6" w14:textId="77777777" w:rsidR="00A56EE9" w:rsidRPr="00E70A11" w:rsidRDefault="00A56EE9" w:rsidP="00A11869">
            <w:pPr>
              <w:pStyle w:val="ListParagraph"/>
              <w:numPr>
                <w:ilvl w:val="0"/>
                <w:numId w:val="7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Summit: Managing for resilience. Summary of proceedings and outputs, 24-25 May 2017, Townsville</w:t>
            </w:r>
          </w:p>
          <w:p w14:paraId="5761DFD7" w14:textId="77777777" w:rsidR="00A56EE9" w:rsidRPr="00E70A11" w:rsidRDefault="00A56EE9" w:rsidP="00A11869">
            <w:pPr>
              <w:pStyle w:val="ListParagraph"/>
              <w:numPr>
                <w:ilvl w:val="0"/>
                <w:numId w:val="7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Blueprint for resilience </w:t>
            </w:r>
          </w:p>
        </w:tc>
        <w:tc>
          <w:tcPr>
            <w:tcW w:w="981" w:type="dxa"/>
            <w:tcBorders>
              <w:top w:val="single" w:sz="4" w:space="0" w:color="auto"/>
              <w:left w:val="single" w:sz="4" w:space="0" w:color="auto"/>
              <w:bottom w:val="single" w:sz="4" w:space="0" w:color="auto"/>
              <w:right w:val="single" w:sz="4" w:space="0" w:color="auto"/>
            </w:tcBorders>
          </w:tcPr>
          <w:p w14:paraId="5761DFD8"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FD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DFEA"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DB"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FDC" w14:textId="77777777" w:rsidR="00A56EE9" w:rsidRPr="00E70A11" w:rsidRDefault="00A56EE9" w:rsidP="00BB6AD5">
            <w:pPr>
              <w:pStyle w:val="Tablebulletlist"/>
              <w:jc w:val="center"/>
              <w:rPr>
                <w:rStyle w:val="BookTitle"/>
              </w:rPr>
            </w:pPr>
            <w:r w:rsidRPr="00E70A11">
              <w:rPr>
                <w:rStyle w:val="BookTitle"/>
              </w:rPr>
              <w:t>1</w:t>
            </w:r>
          </w:p>
        </w:tc>
        <w:tc>
          <w:tcPr>
            <w:tcW w:w="5242" w:type="dxa"/>
            <w:tcBorders>
              <w:top w:val="single" w:sz="4" w:space="0" w:color="auto"/>
              <w:left w:val="single" w:sz="4" w:space="0" w:color="auto"/>
              <w:bottom w:val="single" w:sz="4" w:space="0" w:color="auto"/>
              <w:right w:val="single" w:sz="4" w:space="0" w:color="auto"/>
            </w:tcBorders>
          </w:tcPr>
          <w:p w14:paraId="5761DFDD" w14:textId="77777777" w:rsidR="00A56EE9" w:rsidRPr="00E70A11" w:rsidRDefault="00A56EE9" w:rsidP="00A11869">
            <w:pPr>
              <w:pStyle w:val="ListParagraph"/>
              <w:numPr>
                <w:ilvl w:val="0"/>
                <w:numId w:val="19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Biodiversity condition of the GBR has substantially declined as a result of back-to-back bleaching events, COTS infestations and other pressures on the GBR so management actions taken to maintain biodiversity have not achieved desired outcomes although short term outputs are mostly being delivered.</w:t>
            </w:r>
          </w:p>
          <w:p w14:paraId="5761DFDE" w14:textId="77777777" w:rsidR="00A56EE9" w:rsidRPr="00E70A11" w:rsidRDefault="00A56EE9" w:rsidP="00A11869">
            <w:pPr>
              <w:pStyle w:val="ListParagraph"/>
              <w:numPr>
                <w:ilvl w:val="0"/>
                <w:numId w:val="19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Scientific Consensus Statement 2017 concluded: Key Great Barrier Reef ecosystems continue to be in poor condition. This is largely due to the collective impact of land run-off associated with past and ongoing catchment development, coastal development activities, extreme weather events and climate change impacts such as the recent coral bleaching events. </w:t>
            </w:r>
          </w:p>
          <w:p w14:paraId="5761DFDF" w14:textId="77777777" w:rsidR="00A56EE9" w:rsidRPr="00E70A11" w:rsidRDefault="00A56EE9" w:rsidP="00A11869">
            <w:pPr>
              <w:pStyle w:val="ListParagraph"/>
              <w:numPr>
                <w:ilvl w:val="0"/>
                <w:numId w:val="19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first annual report of the Reef 2050 shows that 19 per cent of the actions are completed or in place and over 65 per cent are underway. </w:t>
            </w:r>
          </w:p>
          <w:p w14:paraId="5761DFE0" w14:textId="77777777" w:rsidR="00A56EE9" w:rsidRPr="00E70A11" w:rsidRDefault="00A56EE9" w:rsidP="00A11869">
            <w:pPr>
              <w:pStyle w:val="ListParagraph"/>
              <w:numPr>
                <w:ilvl w:val="0"/>
                <w:numId w:val="19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Progress is slow in achieving water quality improvements and in addressing the underlying causes of water quality problems arising from land-based activities</w:t>
            </w:r>
          </w:p>
          <w:p w14:paraId="5761DFE1" w14:textId="77777777" w:rsidR="00A56EE9" w:rsidRPr="00E70A11" w:rsidRDefault="00A56EE9" w:rsidP="00A11869">
            <w:pPr>
              <w:pStyle w:val="ListParagraph"/>
              <w:numPr>
                <w:ilvl w:val="0"/>
                <w:numId w:val="19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is an effective Raine Island Management Plan which specifies desired outcomes and actions</w:t>
            </w:r>
            <w:r>
              <w:rPr>
                <w:rStyle w:val="BookTitle"/>
                <w:rFonts w:ascii="Arial Narrow" w:hAnsi="Arial Narrow"/>
                <w:sz w:val="18"/>
                <w:szCs w:val="18"/>
              </w:rPr>
              <w:t xml:space="preserve">. </w:t>
            </w:r>
            <w:r w:rsidRPr="00E70A11">
              <w:rPr>
                <w:rStyle w:val="BookTitle"/>
                <w:rFonts w:ascii="Arial Narrow" w:hAnsi="Arial Narrow"/>
                <w:sz w:val="18"/>
                <w:szCs w:val="18"/>
              </w:rPr>
              <w:t>These are being met and achieved. In 2016-17, seven working trips and two delegates’ trips were undertaken to Raine Island. The focus of these trips was to monitor the reproductive success of turtles in the section of beach previously re-profiled to increase hatching success. Research activities included geomorphological investigations on sand budgets and changes to the island to inform future sand re-profiling works, autonomous seabird monitoring via ‘listening stations’, and the tagging of three turtles with satellite trackers. Adaptive management actions included the installation of an additional 100 metre of cliff top fencing (bringing the total to 1,100 metres) to further reduce adult turtle mortality from cliff falls, and a trial of artificial nesting boxes for red-tailed tropicbirds. The project facilitated the employment of Traditional Owners for 140 trip days to assist</w:t>
            </w:r>
            <w:r>
              <w:rPr>
                <w:rStyle w:val="BookTitle"/>
                <w:rFonts w:ascii="Arial Narrow" w:hAnsi="Arial Narrow"/>
                <w:sz w:val="18"/>
                <w:szCs w:val="18"/>
              </w:rPr>
              <w:t xml:space="preserve"> </w:t>
            </w:r>
            <w:r w:rsidRPr="00E70A11">
              <w:rPr>
                <w:rStyle w:val="BookTitle"/>
                <w:rFonts w:ascii="Arial Narrow" w:hAnsi="Arial Narrow"/>
                <w:sz w:val="18"/>
                <w:szCs w:val="18"/>
              </w:rPr>
              <w:t>in delivering on-ground works. The project team also developed the Raine Island Recovery Project Traditional Owner Engagement Plan and undertook engagement activities with schools in Torres Strait and Lockhart River communities</w:t>
            </w:r>
          </w:p>
        </w:tc>
        <w:tc>
          <w:tcPr>
            <w:tcW w:w="4016" w:type="dxa"/>
            <w:tcBorders>
              <w:top w:val="single" w:sz="4" w:space="0" w:color="auto"/>
              <w:left w:val="single" w:sz="4" w:space="0" w:color="auto"/>
              <w:bottom w:val="single" w:sz="4" w:space="0" w:color="auto"/>
              <w:right w:val="single" w:sz="4" w:space="0" w:color="auto"/>
            </w:tcBorders>
          </w:tcPr>
          <w:p w14:paraId="5761DFE2" w14:textId="77777777" w:rsidR="00A56EE9" w:rsidRPr="00E70A11" w:rsidRDefault="00A56EE9" w:rsidP="00A11869">
            <w:pPr>
              <w:pStyle w:val="ListParagraph"/>
              <w:numPr>
                <w:ilvl w:val="0"/>
                <w:numId w:val="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consultations</w:t>
            </w:r>
          </w:p>
          <w:p w14:paraId="5761DFE3" w14:textId="77777777" w:rsidR="00A56EE9" w:rsidRPr="00E70A11" w:rsidRDefault="00A56EE9" w:rsidP="00A11869">
            <w:pPr>
              <w:pStyle w:val="ListParagraph"/>
              <w:numPr>
                <w:ilvl w:val="0"/>
                <w:numId w:val="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Draft Reef 2050 water quality improvement plan</w:t>
            </w:r>
          </w:p>
          <w:p w14:paraId="5761DFE4" w14:textId="77777777" w:rsidR="00A56EE9" w:rsidRPr="00E70A11" w:rsidRDefault="00A56EE9" w:rsidP="00A11869">
            <w:pPr>
              <w:pStyle w:val="ListParagraph"/>
              <w:numPr>
                <w:ilvl w:val="0"/>
                <w:numId w:val="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Scientific Consensus Statement</w:t>
            </w:r>
          </w:p>
          <w:p w14:paraId="5761DFE5" w14:textId="77777777" w:rsidR="00A56EE9" w:rsidRPr="00E70A11" w:rsidRDefault="00A56EE9" w:rsidP="00A11869">
            <w:pPr>
              <w:pStyle w:val="ListParagraph"/>
              <w:numPr>
                <w:ilvl w:val="0"/>
                <w:numId w:val="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report Card 2016 </w:t>
            </w:r>
          </w:p>
          <w:p w14:paraId="5761DFE6" w14:textId="77777777" w:rsidR="00A56EE9" w:rsidRPr="00E70A11" w:rsidRDefault="00A56EE9" w:rsidP="00A11869">
            <w:pPr>
              <w:pStyle w:val="ListParagraph"/>
              <w:numPr>
                <w:ilvl w:val="0"/>
                <w:numId w:val="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Progress implementing the Reef 2050 Plan </w:t>
            </w:r>
          </w:p>
          <w:p w14:paraId="5761DFE7" w14:textId="77777777" w:rsidR="00A56EE9" w:rsidRPr="00E70A11" w:rsidRDefault="00A56EE9" w:rsidP="00A11869">
            <w:pPr>
              <w:pStyle w:val="ListParagraph"/>
              <w:numPr>
                <w:ilvl w:val="0"/>
                <w:numId w:val="7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Final Report: 2016 coral bleaching event on the Great Barrier Reef</w:t>
            </w:r>
          </w:p>
        </w:tc>
        <w:tc>
          <w:tcPr>
            <w:tcW w:w="981" w:type="dxa"/>
            <w:tcBorders>
              <w:top w:val="single" w:sz="4" w:space="0" w:color="auto"/>
              <w:left w:val="single" w:sz="4" w:space="0" w:color="auto"/>
              <w:bottom w:val="single" w:sz="4" w:space="0" w:color="auto"/>
              <w:right w:val="single" w:sz="4" w:space="0" w:color="auto"/>
            </w:tcBorders>
          </w:tcPr>
          <w:p w14:paraId="5761DFE8"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DFE9"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DFFD"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DFEB"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biodiversity</w:t>
            </w:r>
          </w:p>
        </w:tc>
        <w:tc>
          <w:tcPr>
            <w:tcW w:w="771" w:type="dxa"/>
            <w:tcBorders>
              <w:top w:val="single" w:sz="4" w:space="0" w:color="auto"/>
              <w:left w:val="single" w:sz="4" w:space="0" w:color="auto"/>
              <w:bottom w:val="single" w:sz="4" w:space="0" w:color="auto"/>
              <w:right w:val="single" w:sz="4" w:space="0" w:color="auto"/>
            </w:tcBorders>
            <w:vAlign w:val="center"/>
          </w:tcPr>
          <w:p w14:paraId="5761DFEC"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DFED" w14:textId="77777777" w:rsidR="00A56EE9" w:rsidRPr="00E70A11" w:rsidRDefault="00A56EE9" w:rsidP="00A11869">
            <w:pPr>
              <w:pStyle w:val="ListParagraph"/>
              <w:numPr>
                <w:ilvl w:val="0"/>
                <w:numId w:val="19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Vulnerability assessments - GBRMPA associated with the Great Barrier Reef Biodiversity Conservation Strategy 2013 mostly completed</w:t>
            </w:r>
          </w:p>
          <w:p w14:paraId="5761DFEE" w14:textId="77777777" w:rsidR="00A56EE9" w:rsidRPr="00E70A11" w:rsidRDefault="00A56EE9" w:rsidP="00A11869">
            <w:pPr>
              <w:pStyle w:val="ListParagraph"/>
              <w:numPr>
                <w:ilvl w:val="0"/>
                <w:numId w:val="19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Ecological Risk Assessment of the East Coast Otter Trawl Fishery in the Great Barrier Reef Marine Park published</w:t>
            </w:r>
          </w:p>
          <w:p w14:paraId="5761DFEF" w14:textId="77777777" w:rsidR="00A56EE9" w:rsidRPr="00E70A11" w:rsidRDefault="00A56EE9" w:rsidP="00A11869">
            <w:pPr>
              <w:pStyle w:val="ListParagraph"/>
              <w:numPr>
                <w:ilvl w:val="0"/>
                <w:numId w:val="19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Sustainable Regional Development Program research reports, NERP research reports, AIMS LTMP project outcomes</w:t>
            </w:r>
          </w:p>
          <w:p w14:paraId="5761DFF0" w14:textId="77777777" w:rsidR="00A56EE9" w:rsidRPr="00E70A11" w:rsidRDefault="00A56EE9" w:rsidP="00A11869">
            <w:pPr>
              <w:pStyle w:val="ListParagraph"/>
              <w:numPr>
                <w:ilvl w:val="0"/>
                <w:numId w:val="19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Many position statements and guidelines relevant to biodiversity prepared and available</w:t>
            </w:r>
          </w:p>
          <w:p w14:paraId="5761DFF1" w14:textId="77777777" w:rsidR="00A56EE9" w:rsidRPr="00E70A11" w:rsidRDefault="00A56EE9" w:rsidP="00A11869">
            <w:pPr>
              <w:pStyle w:val="ListParagraph"/>
              <w:numPr>
                <w:ilvl w:val="0"/>
                <w:numId w:val="19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Plan Report Cards (baseline, 2010 to 2016), Paddock to Reef and Marine Monitoring Reports. Progressing towards targets but not on track</w:t>
            </w:r>
          </w:p>
          <w:p w14:paraId="5761DFF2" w14:textId="77777777" w:rsidR="00A56EE9" w:rsidRPr="00E70A11" w:rsidRDefault="00A56EE9" w:rsidP="00A11869">
            <w:pPr>
              <w:pStyle w:val="ListParagraph"/>
              <w:numPr>
                <w:ilvl w:val="0"/>
                <w:numId w:val="19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being developed but slow to progress</w:t>
            </w:r>
          </w:p>
          <w:p w14:paraId="5761DFF3" w14:textId="77777777" w:rsidR="00A56EE9" w:rsidRPr="00E70A11" w:rsidRDefault="00A56EE9" w:rsidP="00A11869">
            <w:pPr>
              <w:pStyle w:val="ListParagraph"/>
              <w:numPr>
                <w:ilvl w:val="0"/>
                <w:numId w:val="19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Cumulative impact report from the combined 2016/17 bleaching and cyclone event has not been released. This limits the capacity of the GBRMPA to understand coral reef condition, report through Outlook and guide management actions.</w:t>
            </w:r>
          </w:p>
        </w:tc>
        <w:tc>
          <w:tcPr>
            <w:tcW w:w="4016" w:type="dxa"/>
            <w:tcBorders>
              <w:top w:val="single" w:sz="4" w:space="0" w:color="auto"/>
              <w:left w:val="single" w:sz="4" w:space="0" w:color="auto"/>
              <w:bottom w:val="single" w:sz="4" w:space="0" w:color="auto"/>
              <w:right w:val="single" w:sz="4" w:space="0" w:color="auto"/>
            </w:tcBorders>
          </w:tcPr>
          <w:p w14:paraId="5761DFF4" w14:textId="77777777" w:rsidR="00A56EE9" w:rsidRPr="00E70A11" w:rsidRDefault="00A56EE9" w:rsidP="00A11869">
            <w:pPr>
              <w:pStyle w:val="ListParagraph"/>
              <w:numPr>
                <w:ilvl w:val="0"/>
                <w:numId w:val="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consultations</w:t>
            </w:r>
          </w:p>
          <w:p w14:paraId="5761DFF5" w14:textId="77777777" w:rsidR="00A56EE9" w:rsidRPr="00E70A11" w:rsidRDefault="00A56EE9" w:rsidP="00A11869">
            <w:pPr>
              <w:pStyle w:val="ListParagraph"/>
              <w:numPr>
                <w:ilvl w:val="0"/>
                <w:numId w:val="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NESP Projects</w:t>
            </w:r>
          </w:p>
          <w:p w14:paraId="5761DFF6" w14:textId="77777777" w:rsidR="00A56EE9" w:rsidRPr="00E70A11" w:rsidRDefault="00A56EE9" w:rsidP="00A11869">
            <w:pPr>
              <w:pStyle w:val="ListParagraph"/>
              <w:numPr>
                <w:ilvl w:val="0"/>
                <w:numId w:val="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AIMS LTMP Reef Monitoring - AIMS</w:t>
            </w:r>
          </w:p>
          <w:p w14:paraId="5761DFF7" w14:textId="77777777" w:rsidR="00A56EE9" w:rsidRPr="00E70A11" w:rsidRDefault="00A56EE9" w:rsidP="00A11869">
            <w:pPr>
              <w:pStyle w:val="ListParagraph"/>
              <w:numPr>
                <w:ilvl w:val="0"/>
                <w:numId w:val="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Summit: Managing for resilience.</w:t>
            </w:r>
          </w:p>
          <w:p w14:paraId="5761DFF8" w14:textId="77777777" w:rsidR="00A56EE9" w:rsidRPr="00E70A11" w:rsidRDefault="00A56EE9" w:rsidP="00A11869">
            <w:pPr>
              <w:pStyle w:val="ListParagraph"/>
              <w:numPr>
                <w:ilvl w:val="0"/>
                <w:numId w:val="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vulnerability assessments</w:t>
            </w:r>
          </w:p>
          <w:p w14:paraId="5761DFF9" w14:textId="77777777" w:rsidR="00A56EE9" w:rsidRPr="00E70A11" w:rsidRDefault="00A56EE9" w:rsidP="00A11869">
            <w:pPr>
              <w:pStyle w:val="ListParagraph"/>
              <w:numPr>
                <w:ilvl w:val="0"/>
                <w:numId w:val="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DFFA" w14:textId="77777777" w:rsidR="00A56EE9" w:rsidRPr="00E70A11" w:rsidRDefault="00A56EE9" w:rsidP="00A11869">
            <w:pPr>
              <w:pStyle w:val="ListParagraph"/>
              <w:numPr>
                <w:ilvl w:val="0"/>
                <w:numId w:val="7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 Implementation Strategy</w:t>
            </w:r>
          </w:p>
        </w:tc>
        <w:tc>
          <w:tcPr>
            <w:tcW w:w="981" w:type="dxa"/>
            <w:tcBorders>
              <w:top w:val="single" w:sz="4" w:space="0" w:color="auto"/>
              <w:left w:val="single" w:sz="4" w:space="0" w:color="auto"/>
              <w:bottom w:val="single" w:sz="4" w:space="0" w:color="auto"/>
              <w:right w:val="single" w:sz="4" w:space="0" w:color="auto"/>
            </w:tcBorders>
          </w:tcPr>
          <w:p w14:paraId="5761DFFB"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DFF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00F"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shd w:val="clear" w:color="auto" w:fill="auto"/>
          </w:tcPr>
          <w:p w14:paraId="5761DFFE"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biodiversity are in place within agencies</w:t>
            </w:r>
          </w:p>
        </w:tc>
        <w:tc>
          <w:tcPr>
            <w:tcW w:w="771" w:type="dxa"/>
            <w:tcBorders>
              <w:top w:val="single" w:sz="4" w:space="0" w:color="auto"/>
              <w:left w:val="single" w:sz="4" w:space="0" w:color="auto"/>
              <w:bottom w:val="single" w:sz="4" w:space="0" w:color="auto"/>
              <w:right w:val="single" w:sz="4" w:space="0" w:color="auto"/>
            </w:tcBorders>
            <w:vAlign w:val="center"/>
          </w:tcPr>
          <w:p w14:paraId="5761DFFF"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E000" w14:textId="77777777" w:rsidR="00A56EE9" w:rsidRPr="00E70A11" w:rsidRDefault="00A56EE9" w:rsidP="00A11869">
            <w:pPr>
              <w:pStyle w:val="ListParagraph"/>
              <w:numPr>
                <w:ilvl w:val="0"/>
                <w:numId w:val="19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Management of scientific information procedures are in place and are delivered at whole-of-GBRMPA using RefWorks as its database and citation management tool</w:t>
            </w:r>
          </w:p>
          <w:p w14:paraId="5761E001" w14:textId="77777777" w:rsidR="00A56EE9" w:rsidRPr="00E70A11" w:rsidRDefault="00A56EE9" w:rsidP="00A11869">
            <w:pPr>
              <w:pStyle w:val="ListParagraph"/>
              <w:numPr>
                <w:ilvl w:val="0"/>
                <w:numId w:val="19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Tools to disseminate information about values and impacts on them are available, and undergoing development to improve service delivery – e.g. the integrated Eye on the Reef program to provide a centralised database for Reef health information, Reef Explorer is an interactive tool for displaying spatial information</w:t>
            </w:r>
          </w:p>
          <w:p w14:paraId="5761E002" w14:textId="77777777" w:rsidR="00A56EE9" w:rsidRPr="00E70A11" w:rsidRDefault="00A56EE9" w:rsidP="00A11869">
            <w:pPr>
              <w:pStyle w:val="ListParagraph"/>
              <w:numPr>
                <w:ilvl w:val="0"/>
                <w:numId w:val="19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Spatial information and datasets arising from research conducted on in the Marine Park are housed and managed by the GBRMPA Spatial Data Centre and other spatial platforms. Scientific programs are becoming increasingly spatial in focus and output, generating a variety of spatial datasets about the Region’s values, its use and impacts. As a consequence, the process of gathering, synthesising, interpreting and delivering these datasets is becoming increasingly important. Continued collaboration between the Authority and its partners will help to identify and address gaps in spatial data and opportunities to share data and make it more ‘discoverable’ by others (i.e. RIMREP). </w:t>
            </w:r>
          </w:p>
          <w:p w14:paraId="5761E003" w14:textId="77777777" w:rsidR="00A56EE9" w:rsidRPr="00E70A11" w:rsidRDefault="00A56EE9" w:rsidP="00A11869">
            <w:pPr>
              <w:pStyle w:val="ListParagraph"/>
              <w:numPr>
                <w:ilvl w:val="0"/>
                <w:numId w:val="19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Development of RIMREP –decision support tool – expected completion June 2018</w:t>
            </w:r>
          </w:p>
          <w:p w14:paraId="5761E004" w14:textId="77777777" w:rsidR="00A56EE9" w:rsidRPr="00E70A11" w:rsidRDefault="00A56EE9" w:rsidP="00A11869">
            <w:pPr>
              <w:pStyle w:val="ListParagraph"/>
              <w:numPr>
                <w:ilvl w:val="0"/>
                <w:numId w:val="19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Qld DAFF maintains eResearch archive of scientific and research publications and datasets including many items of relevance to biodiversity in the GBR</w:t>
            </w:r>
          </w:p>
          <w:p w14:paraId="5761E005" w14:textId="77777777" w:rsidR="00A56EE9" w:rsidRPr="00E70A11" w:rsidRDefault="00A56EE9" w:rsidP="00A11869">
            <w:pPr>
              <w:pStyle w:val="ListParagraph"/>
              <w:numPr>
                <w:ilvl w:val="0"/>
                <w:numId w:val="19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Department of Environment and Heritage Protection maintains database of biodiversity records from protected areas including islands within the GBR and adjacent coastal areas</w:t>
            </w:r>
          </w:p>
          <w:p w14:paraId="5761E006" w14:textId="77777777" w:rsidR="00A56EE9" w:rsidRPr="00E70A11" w:rsidRDefault="00A56EE9" w:rsidP="00A11869">
            <w:pPr>
              <w:pStyle w:val="ListParagraph"/>
              <w:numPr>
                <w:ilvl w:val="0"/>
                <w:numId w:val="19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E-reefs operating well</w:t>
            </w:r>
          </w:p>
          <w:p w14:paraId="5761E007" w14:textId="77777777" w:rsidR="00A56EE9" w:rsidRPr="00E70A11" w:rsidRDefault="00A56EE9" w:rsidP="00A11869">
            <w:pPr>
              <w:pStyle w:val="ListParagraph"/>
              <w:numPr>
                <w:ilvl w:val="0"/>
                <w:numId w:val="19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Cumulative impact report from the combined 2016/17 bleaching and cyclone event has not been released. This limits the capacity of the GBRMPA to understand coral reef condition, report through Outlook and guide management actions.</w:t>
            </w:r>
          </w:p>
          <w:p w14:paraId="5761E008" w14:textId="77777777" w:rsidR="00A56EE9" w:rsidRPr="00E70A11" w:rsidRDefault="00A56EE9" w:rsidP="00A11869">
            <w:pPr>
              <w:pStyle w:val="ListParagraph"/>
              <w:numPr>
                <w:ilvl w:val="0"/>
                <w:numId w:val="19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All relevant information on wetlands including extent, condition, types, management, etc are in place and updated through WetlandI</w:t>
            </w:r>
            <w:r w:rsidRPr="00E70A11">
              <w:rPr>
                <w:rStyle w:val="BookTitle"/>
                <w:rFonts w:ascii="Arial Narrow" w:hAnsi="Arial Narrow"/>
                <w:i/>
                <w:sz w:val="18"/>
                <w:szCs w:val="18"/>
              </w:rPr>
              <w:t>nfo</w:t>
            </w:r>
          </w:p>
        </w:tc>
        <w:tc>
          <w:tcPr>
            <w:tcW w:w="4016" w:type="dxa"/>
            <w:tcBorders>
              <w:top w:val="single" w:sz="4" w:space="0" w:color="auto"/>
              <w:left w:val="single" w:sz="4" w:space="0" w:color="auto"/>
              <w:bottom w:val="single" w:sz="4" w:space="0" w:color="auto"/>
              <w:right w:val="single" w:sz="4" w:space="0" w:color="auto"/>
            </w:tcBorders>
          </w:tcPr>
          <w:p w14:paraId="5761E009" w14:textId="77777777" w:rsidR="00A56EE9" w:rsidRPr="00E70A11" w:rsidRDefault="00A56EE9" w:rsidP="00A11869">
            <w:pPr>
              <w:pStyle w:val="ListParagraph"/>
              <w:numPr>
                <w:ilvl w:val="0"/>
                <w:numId w:val="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consultation</w:t>
            </w:r>
          </w:p>
          <w:p w14:paraId="5761E00A" w14:textId="77777777" w:rsidR="00A56EE9" w:rsidRPr="00E70A11" w:rsidRDefault="00A56EE9" w:rsidP="00A11869">
            <w:pPr>
              <w:pStyle w:val="ListParagraph"/>
              <w:numPr>
                <w:ilvl w:val="0"/>
                <w:numId w:val="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Integrated Eye on the Reef database</w:t>
            </w:r>
          </w:p>
          <w:p w14:paraId="5761E00B" w14:textId="77777777" w:rsidR="00A56EE9" w:rsidRPr="00E70A11" w:rsidRDefault="00A56EE9" w:rsidP="00A11869">
            <w:pPr>
              <w:pStyle w:val="ListParagraph"/>
              <w:numPr>
                <w:ilvl w:val="0"/>
                <w:numId w:val="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Explorer tool</w:t>
            </w:r>
          </w:p>
          <w:p w14:paraId="5761E00C" w14:textId="77777777" w:rsidR="00A56EE9" w:rsidRPr="00E70A11" w:rsidRDefault="00A56EE9" w:rsidP="00A11869">
            <w:pPr>
              <w:pStyle w:val="ListParagraph"/>
              <w:numPr>
                <w:ilvl w:val="0"/>
                <w:numId w:val="7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Wetland</w:t>
            </w:r>
            <w:r w:rsidRPr="00E70A11">
              <w:rPr>
                <w:rStyle w:val="BookTitle"/>
                <w:rFonts w:ascii="Arial Narrow" w:hAnsi="Arial Narrow"/>
                <w:i/>
                <w:sz w:val="18"/>
                <w:szCs w:val="18"/>
              </w:rPr>
              <w:t xml:space="preserve">Info </w:t>
            </w:r>
            <w:r w:rsidRPr="00E70A11">
              <w:rPr>
                <w:rStyle w:val="BookTitle"/>
                <w:rFonts w:ascii="Arial Narrow" w:hAnsi="Arial Narrow"/>
                <w:sz w:val="18"/>
                <w:szCs w:val="18"/>
              </w:rPr>
              <w:t>wetlandinfo.ehp.qld.gov.au/wetlands/https://</w:t>
            </w:r>
          </w:p>
        </w:tc>
        <w:tc>
          <w:tcPr>
            <w:tcW w:w="981" w:type="dxa"/>
            <w:tcBorders>
              <w:top w:val="single" w:sz="4" w:space="0" w:color="auto"/>
              <w:left w:val="single" w:sz="4" w:space="0" w:color="auto"/>
              <w:bottom w:val="single" w:sz="4" w:space="0" w:color="auto"/>
              <w:right w:val="single" w:sz="4" w:space="0" w:color="auto"/>
            </w:tcBorders>
          </w:tcPr>
          <w:p w14:paraId="5761E00D"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E00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027"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E010"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biodiversity with the community</w:t>
            </w:r>
          </w:p>
        </w:tc>
        <w:tc>
          <w:tcPr>
            <w:tcW w:w="771" w:type="dxa"/>
            <w:tcBorders>
              <w:top w:val="single" w:sz="4" w:space="0" w:color="auto"/>
              <w:left w:val="single" w:sz="4" w:space="0" w:color="auto"/>
              <w:bottom w:val="single" w:sz="4" w:space="0" w:color="auto"/>
              <w:right w:val="single" w:sz="4" w:space="0" w:color="auto"/>
            </w:tcBorders>
            <w:vAlign w:val="center"/>
          </w:tcPr>
          <w:p w14:paraId="5761E011"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E012" w14:textId="77777777" w:rsidR="00A56EE9" w:rsidRPr="00E70A11" w:rsidRDefault="00A56EE9" w:rsidP="00A11869">
            <w:pPr>
              <w:pStyle w:val="ListParagraph"/>
              <w:numPr>
                <w:ilvl w:val="0"/>
                <w:numId w:val="19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Communication through plain-English products summarising outcomes of scientific research is undertaken to some extent, but not systematically</w:t>
            </w:r>
          </w:p>
          <w:p w14:paraId="5761E013" w14:textId="77777777" w:rsidR="00A56EE9" w:rsidRPr="00E70A11" w:rsidRDefault="00A56EE9" w:rsidP="00A11869">
            <w:pPr>
              <w:pStyle w:val="ListParagraph"/>
              <w:numPr>
                <w:ilvl w:val="0"/>
                <w:numId w:val="19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e-Library (GBRMPA external website) provides access to publications</w:t>
            </w:r>
          </w:p>
          <w:p w14:paraId="5761E014" w14:textId="77777777" w:rsidR="00A56EE9" w:rsidRPr="00E70A11" w:rsidRDefault="00A56EE9" w:rsidP="00A11869">
            <w:pPr>
              <w:pStyle w:val="ListParagraph"/>
              <w:numPr>
                <w:ilvl w:val="0"/>
                <w:numId w:val="19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scientific community is engaged in issues-specific workshops and forums and RACs by GBRMPA</w:t>
            </w:r>
          </w:p>
          <w:p w14:paraId="5761E015" w14:textId="77777777" w:rsidR="00A56EE9" w:rsidRPr="00E70A11" w:rsidRDefault="00A56EE9" w:rsidP="00A11869">
            <w:pPr>
              <w:pStyle w:val="ListParagraph"/>
              <w:numPr>
                <w:ilvl w:val="0"/>
                <w:numId w:val="19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NESP research outcomes are shared via The CHIRP weekly e-newsletter, through hub newsletters, and are made available on Hub websites. Events for communities adjacent to the Reef are also held regularly, for example, the NESP Tropical Water Quality Hub is holding a Science Day in Townsville on 20 November 2017 http://nesptropical.edu.au/index.php/2017/10/27/nesp-science-day/ which is free to attend.</w:t>
            </w:r>
          </w:p>
          <w:p w14:paraId="5761E016" w14:textId="77777777" w:rsidR="00A56EE9" w:rsidRPr="00E70A11" w:rsidRDefault="00A56EE9" w:rsidP="00A11869">
            <w:pPr>
              <w:pStyle w:val="ListParagraph"/>
              <w:numPr>
                <w:ilvl w:val="0"/>
                <w:numId w:val="19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NESP researchers are required to make all NESP research outputs publicly available on websites with a persistent and enduring link. Providing open-access to the data and information products derived under the NESP will provide up-to-date, high quality data and information to decision-makers, environmental managers, other scientists, and to the community.</w:t>
            </w:r>
          </w:p>
          <w:p w14:paraId="5761E017" w14:textId="77777777" w:rsidR="00A56EE9" w:rsidRPr="00E70A11" w:rsidRDefault="00A56EE9" w:rsidP="00A11869">
            <w:pPr>
              <w:pStyle w:val="ListParagraph"/>
              <w:numPr>
                <w:ilvl w:val="0"/>
                <w:numId w:val="19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knowledge and RIMREP are expected to meet some of this need, however this is inadequately resourced for this purpose</w:t>
            </w:r>
          </w:p>
          <w:p w14:paraId="5761E018" w14:textId="77777777" w:rsidR="00A56EE9" w:rsidRPr="00E70A11" w:rsidRDefault="00A56EE9" w:rsidP="00A11869">
            <w:pPr>
              <w:pStyle w:val="ListParagraph"/>
              <w:numPr>
                <w:ilvl w:val="0"/>
                <w:numId w:val="19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All relevant information on wetlands including extent, condition, types, management, etc are in place and updated through WetlandI</w:t>
            </w:r>
            <w:r w:rsidRPr="00E70A11">
              <w:rPr>
                <w:rStyle w:val="BookTitle"/>
                <w:rFonts w:ascii="Arial Narrow" w:hAnsi="Arial Narrow"/>
                <w:i/>
                <w:sz w:val="18"/>
                <w:szCs w:val="18"/>
              </w:rPr>
              <w:t>nfo</w:t>
            </w:r>
          </w:p>
        </w:tc>
        <w:tc>
          <w:tcPr>
            <w:tcW w:w="4016" w:type="dxa"/>
            <w:tcBorders>
              <w:top w:val="single" w:sz="4" w:space="0" w:color="auto"/>
              <w:left w:val="single" w:sz="4" w:space="0" w:color="auto"/>
              <w:bottom w:val="single" w:sz="4" w:space="0" w:color="auto"/>
              <w:right w:val="single" w:sz="4" w:space="0" w:color="auto"/>
            </w:tcBorders>
          </w:tcPr>
          <w:p w14:paraId="5761E019"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COTS updates</w:t>
            </w:r>
          </w:p>
          <w:p w14:paraId="5761E01A"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TRAC minutes</w:t>
            </w:r>
          </w:p>
          <w:p w14:paraId="5761E01B"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Coral bleaching updates</w:t>
            </w:r>
          </w:p>
          <w:p w14:paraId="5761E01C"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w:t>
            </w:r>
          </w:p>
          <w:p w14:paraId="5761E01D"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w:t>
            </w:r>
          </w:p>
          <w:p w14:paraId="5761E01E"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 Plan of Management</w:t>
            </w:r>
          </w:p>
          <w:p w14:paraId="5761E01F"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Final report: 2016 coral bleaching event on the Great Barrier Reef</w:t>
            </w:r>
          </w:p>
          <w:p w14:paraId="5761E020"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CHIRP</w:t>
            </w:r>
          </w:p>
          <w:p w14:paraId="5761E021"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NESP Science day</w:t>
            </w:r>
          </w:p>
          <w:p w14:paraId="5761E022"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vulnerability assessments</w:t>
            </w:r>
          </w:p>
          <w:p w14:paraId="5761E023"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E024" w14:textId="77777777" w:rsidR="00A56EE9" w:rsidRPr="00E70A11" w:rsidRDefault="00A56EE9" w:rsidP="00A11869">
            <w:pPr>
              <w:pStyle w:val="ListParagraph"/>
              <w:numPr>
                <w:ilvl w:val="0"/>
                <w:numId w:val="7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Wetland</w:t>
            </w:r>
            <w:r w:rsidRPr="00E70A11">
              <w:rPr>
                <w:rStyle w:val="BookTitle"/>
                <w:rFonts w:ascii="Arial Narrow" w:hAnsi="Arial Narrow"/>
                <w:i/>
                <w:sz w:val="18"/>
                <w:szCs w:val="18"/>
              </w:rPr>
              <w:t xml:space="preserve">Info </w:t>
            </w:r>
            <w:r w:rsidRPr="00E70A11">
              <w:rPr>
                <w:rStyle w:val="BookTitle"/>
                <w:rFonts w:ascii="Arial Narrow" w:hAnsi="Arial Narrow"/>
                <w:sz w:val="18"/>
                <w:szCs w:val="18"/>
              </w:rPr>
              <w:t>wetlandinfo.ehp.qld.gov.au/wetlands/https://</w:t>
            </w:r>
          </w:p>
        </w:tc>
        <w:tc>
          <w:tcPr>
            <w:tcW w:w="981" w:type="dxa"/>
            <w:tcBorders>
              <w:top w:val="single" w:sz="4" w:space="0" w:color="auto"/>
              <w:left w:val="single" w:sz="4" w:space="0" w:color="auto"/>
              <w:bottom w:val="single" w:sz="4" w:space="0" w:color="auto"/>
              <w:right w:val="single" w:sz="4" w:space="0" w:color="auto"/>
            </w:tcBorders>
          </w:tcPr>
          <w:p w14:paraId="5761E025" w14:textId="77777777" w:rsidR="00A56EE9" w:rsidRPr="00E70A11" w:rsidRDefault="00A56EE9" w:rsidP="00BB6AD5">
            <w:pPr>
              <w:pStyle w:val="Tablebulletlist"/>
              <w:rPr>
                <w:rStyle w:val="BookTitle"/>
              </w:rPr>
            </w:pPr>
            <w:r>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E026" w14:textId="77777777" w:rsidR="00A56EE9" w:rsidRPr="00E70A11" w:rsidRDefault="00A56EE9" w:rsidP="00BB6AD5">
            <w:pPr>
              <w:pStyle w:val="Tablebulletlist"/>
              <w:rPr>
                <w:rStyle w:val="BookTitle"/>
              </w:rPr>
            </w:pPr>
            <w:r>
              <w:rPr>
                <w:rStyle w:val="BookTitle"/>
              </w:rPr>
              <w:t>stable</w:t>
            </w:r>
          </w:p>
        </w:tc>
      </w:tr>
      <w:tr w:rsidR="00A56EE9" w:rsidRPr="00E70A11" w14:paraId="5761E02E"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028" w14:textId="77777777" w:rsidR="00A56EE9" w:rsidRPr="00E70A11" w:rsidRDefault="00A56EE9" w:rsidP="00BB6AD5">
            <w:pPr>
              <w:pStyle w:val="Tablebulletlist"/>
              <w:rPr>
                <w:rStyle w:val="BookTitle"/>
              </w:rPr>
            </w:pPr>
            <w:r w:rsidRPr="00E70A11">
              <w:rPr>
                <w:rStyle w:val="BookTitle"/>
              </w:rPr>
              <w:t>OUTCOMES</w:t>
            </w:r>
          </w:p>
        </w:tc>
        <w:tc>
          <w:tcPr>
            <w:tcW w:w="77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761E029" w14:textId="77777777" w:rsidR="00A56EE9" w:rsidRPr="00E70A11" w:rsidRDefault="00A56EE9" w:rsidP="00BB6AD5">
            <w:pPr>
              <w:pStyle w:val="Tablebulletlist"/>
              <w:jc w:val="center"/>
              <w:rPr>
                <w:rStyle w:val="BookTitle"/>
              </w:rPr>
            </w:pPr>
          </w:p>
        </w:tc>
        <w:tc>
          <w:tcPr>
            <w:tcW w:w="524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02A" w14:textId="77777777" w:rsidR="00A56EE9" w:rsidRPr="00E70A11" w:rsidRDefault="00A56EE9" w:rsidP="00BB6AD5">
            <w:pPr>
              <w:pStyle w:val="ListParagraph"/>
              <w:ind w:left="360"/>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02B" w14:textId="77777777" w:rsidR="00A56EE9" w:rsidRPr="00E70A11" w:rsidRDefault="00A56EE9" w:rsidP="00BB6AD5">
            <w:pPr>
              <w:pStyle w:val="ListParagraph"/>
              <w:ind w:left="360"/>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02C" w14:textId="77777777" w:rsidR="00A56EE9" w:rsidRPr="00E70A11" w:rsidRDefault="00A56EE9" w:rsidP="00BB6AD5">
            <w:pPr>
              <w:pStyle w:val="Tablebulletlist"/>
              <w:rPr>
                <w:rStyle w:val="BookTitle"/>
              </w:rPr>
            </w:pPr>
          </w:p>
        </w:tc>
        <w:tc>
          <w:tcPr>
            <w:tcW w:w="89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02D" w14:textId="77777777" w:rsidR="00A56EE9" w:rsidRPr="00E70A11" w:rsidRDefault="00A56EE9" w:rsidP="00BB6AD5">
            <w:pPr>
              <w:pStyle w:val="Tablebulletlist"/>
              <w:rPr>
                <w:rStyle w:val="BookTitle"/>
              </w:rPr>
            </w:pPr>
          </w:p>
        </w:tc>
      </w:tr>
      <w:tr w:rsidR="00A56EE9" w:rsidRPr="00E70A11" w14:paraId="5761E03F"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E02F"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biodiversity and moving towards the attainment of the desired outcomes.</w:t>
            </w:r>
          </w:p>
        </w:tc>
        <w:tc>
          <w:tcPr>
            <w:tcW w:w="771" w:type="dxa"/>
            <w:tcBorders>
              <w:top w:val="single" w:sz="4" w:space="0" w:color="auto"/>
              <w:left w:val="single" w:sz="4" w:space="0" w:color="auto"/>
              <w:bottom w:val="single" w:sz="4" w:space="0" w:color="auto"/>
              <w:right w:val="single" w:sz="4" w:space="0" w:color="auto"/>
            </w:tcBorders>
            <w:vAlign w:val="center"/>
          </w:tcPr>
          <w:p w14:paraId="5761E030" w14:textId="77777777" w:rsidR="00A56EE9" w:rsidRPr="00E70A11" w:rsidRDefault="00A56EE9" w:rsidP="00BB6AD5">
            <w:pPr>
              <w:pStyle w:val="Tablebulletlist"/>
              <w:jc w:val="center"/>
              <w:rPr>
                <w:rStyle w:val="BookTitle"/>
              </w:rPr>
            </w:pPr>
            <w:r w:rsidRPr="00E70A11">
              <w:rPr>
                <w:rStyle w:val="BookTitle"/>
              </w:rPr>
              <w:t>2</w:t>
            </w:r>
          </w:p>
        </w:tc>
        <w:tc>
          <w:tcPr>
            <w:tcW w:w="5242" w:type="dxa"/>
            <w:tcBorders>
              <w:top w:val="single" w:sz="4" w:space="0" w:color="auto"/>
              <w:left w:val="single" w:sz="4" w:space="0" w:color="auto"/>
              <w:bottom w:val="single" w:sz="4" w:space="0" w:color="auto"/>
              <w:right w:val="single" w:sz="4" w:space="0" w:color="auto"/>
            </w:tcBorders>
          </w:tcPr>
          <w:p w14:paraId="5761E031" w14:textId="77777777" w:rsidR="00A56EE9" w:rsidRPr="00E70A11" w:rsidRDefault="00A56EE9" w:rsidP="00A11869">
            <w:pPr>
              <w:pStyle w:val="ListParagraph"/>
              <w:numPr>
                <w:ilvl w:val="0"/>
                <w:numId w:val="19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Back-to-back bleaching events, COTS infestations mean that condition of reefal areas is declining</w:t>
            </w:r>
          </w:p>
          <w:p w14:paraId="5761E032" w14:textId="77777777" w:rsidR="00A56EE9" w:rsidRPr="00E70A11" w:rsidRDefault="00A56EE9" w:rsidP="00A11869">
            <w:pPr>
              <w:pStyle w:val="ListParagraph"/>
              <w:numPr>
                <w:ilvl w:val="0"/>
                <w:numId w:val="19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Information on many aspects of biodiversity condition are now more uncertain</w:t>
            </w:r>
          </w:p>
          <w:p w14:paraId="5761E033" w14:textId="77777777" w:rsidR="00A56EE9" w:rsidRPr="00E70A11" w:rsidRDefault="00A56EE9" w:rsidP="00A11869">
            <w:pPr>
              <w:pStyle w:val="ListParagraph"/>
              <w:numPr>
                <w:ilvl w:val="0"/>
                <w:numId w:val="19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Evaluation of the AIMS long-term monitoring program results demonstrates that no-take protections in the GBRMPA support the resistance and consequently recovery rates of fish and coral communities (Mellin et al. 2016)</w:t>
            </w:r>
          </w:p>
          <w:p w14:paraId="5761E034" w14:textId="77777777" w:rsidR="00A56EE9" w:rsidRPr="00E70A11" w:rsidRDefault="00A56EE9" w:rsidP="00A11869">
            <w:pPr>
              <w:pStyle w:val="ListParagraph"/>
              <w:numPr>
                <w:ilvl w:val="0"/>
                <w:numId w:val="19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Sustainable Fisheries Strategy will have positive influence on biodiversity condition for exploited fisheries with clear actions and implementation plan</w:t>
            </w:r>
          </w:p>
          <w:p w14:paraId="5761E035" w14:textId="77777777" w:rsidR="00A56EE9" w:rsidRPr="00E70A11" w:rsidRDefault="00A56EE9" w:rsidP="00A11869">
            <w:pPr>
              <w:pStyle w:val="ListParagraph"/>
              <w:numPr>
                <w:ilvl w:val="0"/>
                <w:numId w:val="19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COTS infestation and associates impacts extending (e.g. Swains)</w:t>
            </w:r>
          </w:p>
          <w:p w14:paraId="5761E036" w14:textId="77777777" w:rsidR="00A56EE9" w:rsidRPr="00E70A11" w:rsidRDefault="00A56EE9" w:rsidP="00A11869">
            <w:pPr>
              <w:pStyle w:val="ListParagraph"/>
              <w:numPr>
                <w:ilvl w:val="0"/>
                <w:numId w:val="19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Minimal loss in the extent of natural wetlands</w:t>
            </w:r>
          </w:p>
        </w:tc>
        <w:tc>
          <w:tcPr>
            <w:tcW w:w="4016" w:type="dxa"/>
            <w:tcBorders>
              <w:top w:val="single" w:sz="4" w:space="0" w:color="auto"/>
              <w:left w:val="single" w:sz="4" w:space="0" w:color="auto"/>
              <w:bottom w:val="single" w:sz="4" w:space="0" w:color="auto"/>
              <w:right w:val="single" w:sz="4" w:space="0" w:color="auto"/>
            </w:tcBorders>
          </w:tcPr>
          <w:p w14:paraId="5761E037" w14:textId="77777777" w:rsidR="00A56EE9" w:rsidRPr="00E70A11" w:rsidRDefault="00A56EE9" w:rsidP="00A11869">
            <w:pPr>
              <w:pStyle w:val="ListParagraph"/>
              <w:numPr>
                <w:ilvl w:val="0"/>
                <w:numId w:val="7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consultation</w:t>
            </w:r>
          </w:p>
          <w:p w14:paraId="5761E038" w14:textId="77777777" w:rsidR="00A56EE9" w:rsidRPr="00E70A11" w:rsidRDefault="00A56EE9" w:rsidP="00A11869">
            <w:pPr>
              <w:pStyle w:val="ListParagraph"/>
              <w:numPr>
                <w:ilvl w:val="0"/>
                <w:numId w:val="7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T. P., Kerry, J. T. and Simpson, T. (2018), Large-scale bleaching of corals on the Great Barrier Reef. Ecology, 99: 501. doi:10.1002/ecy.2092</w:t>
            </w:r>
          </w:p>
          <w:p w14:paraId="5761E039" w14:textId="77777777" w:rsidR="00A56EE9" w:rsidRPr="00E70A11" w:rsidRDefault="00A56EE9" w:rsidP="00A11869">
            <w:pPr>
              <w:pStyle w:val="ListParagraph"/>
              <w:numPr>
                <w:ilvl w:val="0"/>
                <w:numId w:val="7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Tarte, Diane, Hart, Barry, Hughes, Terry and Hussey, Karen (2017) Reef 2050 long-term sustainability plan: progress on implementation- review by Great Barrier Reef independent review group :</w:t>
            </w:r>
          </w:p>
          <w:p w14:paraId="5761E03A" w14:textId="77777777" w:rsidR="00A56EE9" w:rsidRPr="00E70A11" w:rsidRDefault="00A56EE9" w:rsidP="00A11869">
            <w:pPr>
              <w:pStyle w:val="ListParagraph"/>
              <w:numPr>
                <w:ilvl w:val="0"/>
                <w:numId w:val="7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T. P., Day, J. C. and Brodie, J. (2015). Securing the future of the Great Barrier Reef. Nature Climate Change 5: 508.</w:t>
            </w:r>
          </w:p>
          <w:p w14:paraId="5761E03B" w14:textId="77777777" w:rsidR="00A56EE9" w:rsidRPr="00E70A11" w:rsidRDefault="00A56EE9" w:rsidP="00A11869">
            <w:pPr>
              <w:pStyle w:val="ListParagraph"/>
              <w:numPr>
                <w:ilvl w:val="0"/>
                <w:numId w:val="7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Sustainable Fisheries Strategy</w:t>
            </w:r>
          </w:p>
          <w:p w14:paraId="5761E03C" w14:textId="67D55FDF" w:rsidR="00A56EE9" w:rsidRPr="00E70A11" w:rsidRDefault="00A56EE9" w:rsidP="00A11869">
            <w:pPr>
              <w:pStyle w:val="ListParagraph"/>
              <w:numPr>
                <w:ilvl w:val="0"/>
                <w:numId w:val="7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Plan Report Card </w:t>
            </w:r>
            <w:hyperlink r:id="rId87" w:tooltip="document link" w:history="1">
              <w:r w:rsidRPr="00E70A11">
                <w:rPr>
                  <w:rStyle w:val="Hyperlink"/>
                  <w:rFonts w:ascii="Arial Narrow" w:hAnsi="Arial Narrow"/>
                  <w:sz w:val="18"/>
                  <w:szCs w:val="18"/>
                </w:rPr>
                <w:t>https://www.reefplan.qld.gov.au/measuring-success/report-cards/2014/</w:t>
              </w:r>
            </w:hyperlink>
          </w:p>
        </w:tc>
        <w:tc>
          <w:tcPr>
            <w:tcW w:w="981" w:type="dxa"/>
            <w:tcBorders>
              <w:top w:val="single" w:sz="4" w:space="0" w:color="auto"/>
              <w:left w:val="single" w:sz="4" w:space="0" w:color="auto"/>
              <w:bottom w:val="single" w:sz="4" w:space="0" w:color="auto"/>
              <w:right w:val="single" w:sz="4" w:space="0" w:color="auto"/>
            </w:tcBorders>
          </w:tcPr>
          <w:p w14:paraId="5761E03D"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E03E"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04C"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E040"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biodiversity are on track to ensure the values of the Great Barrier Reef are protected (refer CO1)</w:t>
            </w:r>
          </w:p>
        </w:tc>
        <w:tc>
          <w:tcPr>
            <w:tcW w:w="771" w:type="dxa"/>
            <w:tcBorders>
              <w:top w:val="single" w:sz="4" w:space="0" w:color="auto"/>
              <w:left w:val="single" w:sz="4" w:space="0" w:color="auto"/>
              <w:bottom w:val="single" w:sz="4" w:space="0" w:color="auto"/>
              <w:right w:val="single" w:sz="4" w:space="0" w:color="auto"/>
            </w:tcBorders>
            <w:vAlign w:val="center"/>
          </w:tcPr>
          <w:p w14:paraId="5761E041" w14:textId="77777777" w:rsidR="00A56EE9" w:rsidRPr="00E70A11" w:rsidRDefault="00A56EE9" w:rsidP="00BB6AD5">
            <w:pPr>
              <w:pStyle w:val="Tablebulletlist"/>
              <w:jc w:val="center"/>
              <w:rPr>
                <w:rStyle w:val="BookTitle"/>
              </w:rPr>
            </w:pPr>
            <w:r w:rsidRPr="00E70A11">
              <w:rPr>
                <w:rStyle w:val="BookTitle"/>
              </w:rPr>
              <w:t>1</w:t>
            </w:r>
          </w:p>
        </w:tc>
        <w:tc>
          <w:tcPr>
            <w:tcW w:w="5242" w:type="dxa"/>
            <w:tcBorders>
              <w:top w:val="single" w:sz="4" w:space="0" w:color="auto"/>
              <w:left w:val="single" w:sz="4" w:space="0" w:color="auto"/>
              <w:bottom w:val="single" w:sz="4" w:space="0" w:color="auto"/>
              <w:right w:val="single" w:sz="4" w:space="0" w:color="auto"/>
            </w:tcBorders>
          </w:tcPr>
          <w:p w14:paraId="5761E042" w14:textId="77777777" w:rsidR="00A56EE9" w:rsidRPr="00E70A11" w:rsidRDefault="00A56EE9" w:rsidP="00A11869">
            <w:pPr>
              <w:pStyle w:val="ListParagraph"/>
              <w:numPr>
                <w:ilvl w:val="0"/>
                <w:numId w:val="19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Recent research shows declines in hard coral cover– at present the suite of management actions do not appear to be ensuring these values. </w:t>
            </w:r>
          </w:p>
          <w:p w14:paraId="5761E043" w14:textId="77777777" w:rsidR="00A56EE9" w:rsidRPr="00E70A11" w:rsidRDefault="00A56EE9" w:rsidP="00A11869">
            <w:pPr>
              <w:pStyle w:val="ListParagraph"/>
              <w:numPr>
                <w:ilvl w:val="0"/>
                <w:numId w:val="19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Recent research shows dugongs and large turtles are improving in numbers just south of Ingham to Bundaberg</w:t>
            </w:r>
          </w:p>
          <w:p w14:paraId="5761E044" w14:textId="77777777" w:rsidR="00A56EE9" w:rsidRPr="00E70A11" w:rsidRDefault="00A56EE9" w:rsidP="00A11869">
            <w:pPr>
              <w:pStyle w:val="ListParagraph"/>
              <w:numPr>
                <w:ilvl w:val="0"/>
                <w:numId w:val="19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New strategies being developed to address biodiversity decline and improve resilience (RRAP) but only at planning stage so practicality and effectiveness cannot be assessed</w:t>
            </w:r>
          </w:p>
          <w:p w14:paraId="5761E045" w14:textId="77777777" w:rsidR="00A56EE9" w:rsidRPr="00E70A11" w:rsidRDefault="00A56EE9" w:rsidP="00A11869">
            <w:pPr>
              <w:pStyle w:val="ListParagraph"/>
              <w:numPr>
                <w:ilvl w:val="0"/>
                <w:numId w:val="19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Increased impact from COTS infestations</w:t>
            </w:r>
          </w:p>
        </w:tc>
        <w:tc>
          <w:tcPr>
            <w:tcW w:w="4016" w:type="dxa"/>
            <w:tcBorders>
              <w:top w:val="single" w:sz="4" w:space="0" w:color="auto"/>
              <w:left w:val="single" w:sz="4" w:space="0" w:color="auto"/>
              <w:bottom w:val="single" w:sz="4" w:space="0" w:color="auto"/>
              <w:right w:val="single" w:sz="4" w:space="0" w:color="auto"/>
            </w:tcBorders>
          </w:tcPr>
          <w:p w14:paraId="5761E046" w14:textId="77777777" w:rsidR="00A56EE9" w:rsidRPr="00E70A11" w:rsidRDefault="00A56EE9" w:rsidP="00A11869">
            <w:pPr>
              <w:pStyle w:val="ListParagraph"/>
              <w:numPr>
                <w:ilvl w:val="0"/>
                <w:numId w:val="7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consultation</w:t>
            </w:r>
          </w:p>
          <w:p w14:paraId="5761E047" w14:textId="77777777" w:rsidR="00A56EE9" w:rsidRPr="00E70A11" w:rsidRDefault="00A56EE9" w:rsidP="00A11869">
            <w:pPr>
              <w:pStyle w:val="ListParagraph"/>
              <w:numPr>
                <w:ilvl w:val="0"/>
                <w:numId w:val="7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T. P., Kerry, J. T. and Simpson, T. (2018), Large-scale bleaching of corals on the Great Barrier Reef. Ecology, 99: 501. doi:10.1002/ecy.2092</w:t>
            </w:r>
          </w:p>
          <w:p w14:paraId="5761E048" w14:textId="77777777" w:rsidR="00A56EE9" w:rsidRPr="00E70A11" w:rsidRDefault="00A56EE9" w:rsidP="00A11869">
            <w:pPr>
              <w:pStyle w:val="ListParagraph"/>
              <w:numPr>
                <w:ilvl w:val="0"/>
                <w:numId w:val="7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Tarte, Diane, Hart, Barry, Hughes, Terry and Hussey, Karen (2017) Reef 2050 long-term sustainability plan: progress on implementation- review by Great Barrier Reef independent review group :</w:t>
            </w:r>
          </w:p>
          <w:p w14:paraId="5761E049" w14:textId="77777777" w:rsidR="00A56EE9" w:rsidRPr="00E70A11" w:rsidRDefault="00A56EE9" w:rsidP="00A11869">
            <w:pPr>
              <w:pStyle w:val="ListParagraph"/>
              <w:numPr>
                <w:ilvl w:val="0"/>
                <w:numId w:val="7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T. P., Day, J. C. and Brodie, J. (2015). Securing the future of the Great Barrier Reef. Nature Climate Change 5: 508.</w:t>
            </w:r>
          </w:p>
        </w:tc>
        <w:tc>
          <w:tcPr>
            <w:tcW w:w="981" w:type="dxa"/>
            <w:tcBorders>
              <w:top w:val="single" w:sz="4" w:space="0" w:color="auto"/>
              <w:left w:val="single" w:sz="4" w:space="0" w:color="auto"/>
              <w:bottom w:val="single" w:sz="4" w:space="0" w:color="auto"/>
              <w:right w:val="single" w:sz="4" w:space="0" w:color="auto"/>
            </w:tcBorders>
          </w:tcPr>
          <w:p w14:paraId="5761E04A"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E04B"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05C"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E04D"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biodiversity are reducing the major risks and the threats to the Great Barrier Reef</w:t>
            </w:r>
          </w:p>
        </w:tc>
        <w:tc>
          <w:tcPr>
            <w:tcW w:w="771" w:type="dxa"/>
            <w:tcBorders>
              <w:top w:val="single" w:sz="4" w:space="0" w:color="auto"/>
              <w:left w:val="single" w:sz="4" w:space="0" w:color="auto"/>
              <w:bottom w:val="single" w:sz="4" w:space="0" w:color="auto"/>
              <w:right w:val="single" w:sz="4" w:space="0" w:color="auto"/>
            </w:tcBorders>
            <w:vAlign w:val="center"/>
          </w:tcPr>
          <w:p w14:paraId="5761E04E" w14:textId="77777777" w:rsidR="00A56EE9" w:rsidRPr="00E70A11" w:rsidRDefault="00A56EE9" w:rsidP="00BB6AD5">
            <w:pPr>
              <w:pStyle w:val="Tablebulletlist"/>
              <w:jc w:val="center"/>
              <w:rPr>
                <w:rStyle w:val="BookTitle"/>
              </w:rPr>
            </w:pPr>
            <w:r w:rsidRPr="00E70A11">
              <w:rPr>
                <w:rStyle w:val="BookTitle"/>
              </w:rPr>
              <w:t>2</w:t>
            </w:r>
          </w:p>
        </w:tc>
        <w:tc>
          <w:tcPr>
            <w:tcW w:w="5242" w:type="dxa"/>
            <w:tcBorders>
              <w:top w:val="single" w:sz="4" w:space="0" w:color="auto"/>
              <w:left w:val="single" w:sz="4" w:space="0" w:color="auto"/>
              <w:bottom w:val="single" w:sz="4" w:space="0" w:color="auto"/>
              <w:right w:val="single" w:sz="4" w:space="0" w:color="auto"/>
            </w:tcBorders>
          </w:tcPr>
          <w:p w14:paraId="5761E04F" w14:textId="77777777" w:rsidR="00A56EE9" w:rsidRPr="00E70A11" w:rsidRDefault="00A56EE9" w:rsidP="00A11869">
            <w:pPr>
              <w:pStyle w:val="ListParagraph"/>
              <w:numPr>
                <w:ilvl w:val="0"/>
                <w:numId w:val="19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2017 Scientific Consensus Statement - Key Great Barrier Reef ecosystems continue to be in poor condition. This is largely due to the collective impact of land based run-off associated with past and ongoing catchment development, coastal development activities, extreme weather events and climate change impacts such as the 2016 and 2017 coral bleaching events. </w:t>
            </w:r>
          </w:p>
          <w:p w14:paraId="5761E050" w14:textId="77777777" w:rsidR="00A56EE9" w:rsidRPr="00E70A11" w:rsidRDefault="00A56EE9" w:rsidP="00A11869">
            <w:pPr>
              <w:pStyle w:val="ListParagraph"/>
              <w:numPr>
                <w:ilvl w:val="0"/>
                <w:numId w:val="19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Actions need to be taken outside the GBR to address the major threats to the Reef – major problem of policy dissonance in this regard as all level of governments pursue mutually incompatible policies</w:t>
            </w:r>
          </w:p>
          <w:p w14:paraId="5761E051" w14:textId="77777777" w:rsidR="00A56EE9" w:rsidRPr="00E70A11" w:rsidRDefault="00A56EE9" w:rsidP="00A11869">
            <w:pPr>
              <w:pStyle w:val="ListParagraph"/>
              <w:numPr>
                <w:ilvl w:val="0"/>
                <w:numId w:val="19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funding of Australian Government Reef Program and ongoing funding of Reef Trust will support ongoing reductions in the amount of nutrients and sediments entering the Reef from the catchment will assist continued improvement in the Region’s water quality. </w:t>
            </w:r>
          </w:p>
          <w:p w14:paraId="5761E052" w14:textId="77777777" w:rsidR="00A56EE9" w:rsidRPr="00E70A11" w:rsidRDefault="00A56EE9" w:rsidP="00A11869">
            <w:pPr>
              <w:pStyle w:val="ListParagraph"/>
              <w:numPr>
                <w:ilvl w:val="0"/>
                <w:numId w:val="19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other pressures from coastal development, ports and shipping climate change, are increasing so overall impact on biodiversity conservation is uncertain</w:t>
            </w:r>
          </w:p>
          <w:p w14:paraId="5761E053" w14:textId="77777777" w:rsidR="00A56EE9" w:rsidRPr="00E70A11" w:rsidRDefault="00A56EE9" w:rsidP="00A11869">
            <w:pPr>
              <w:pStyle w:val="ListParagraph"/>
              <w:numPr>
                <w:ilvl w:val="0"/>
                <w:numId w:val="19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COTS control program has been significantly expanded but there remains a question of whether this will be sufficient to have an impact on overall damage from COTS</w:t>
            </w:r>
          </w:p>
          <w:p w14:paraId="5761E054" w14:textId="77777777" w:rsidR="00A56EE9" w:rsidRPr="00E70A11" w:rsidRDefault="00A56EE9" w:rsidP="00A11869">
            <w:pPr>
              <w:pStyle w:val="ListParagraph"/>
              <w:numPr>
                <w:ilvl w:val="0"/>
                <w:numId w:val="19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Kearney and Farebrother 2014, The continuing decline in the health of the Great Barrier Reef and other Australian coastal areas confirms the limitations of current area management for combating threats to marine ecosystems</w:t>
            </w:r>
          </w:p>
          <w:p w14:paraId="5761E055" w14:textId="77777777" w:rsidR="00A56EE9" w:rsidRPr="00E70A11" w:rsidRDefault="00A56EE9" w:rsidP="00BB6AD5">
            <w:pPr>
              <w:pStyle w:val="ListParagraph"/>
              <w:ind w:left="360"/>
              <w:rPr>
                <w:rStyle w:val="BookTitle"/>
                <w:rFonts w:ascii="Arial Narrow" w:hAnsi="Arial Narrow"/>
                <w:sz w:val="18"/>
                <w:szCs w:val="18"/>
              </w:rPr>
            </w:pPr>
          </w:p>
        </w:tc>
        <w:tc>
          <w:tcPr>
            <w:tcW w:w="4016" w:type="dxa"/>
            <w:tcBorders>
              <w:top w:val="single" w:sz="4" w:space="0" w:color="auto"/>
              <w:left w:val="single" w:sz="4" w:space="0" w:color="auto"/>
              <w:bottom w:val="single" w:sz="4" w:space="0" w:color="auto"/>
              <w:right w:val="single" w:sz="4" w:space="0" w:color="auto"/>
            </w:tcBorders>
          </w:tcPr>
          <w:p w14:paraId="5761E056" w14:textId="77777777" w:rsidR="00A56EE9" w:rsidRPr="00E70A11" w:rsidRDefault="00A56EE9" w:rsidP="00A11869">
            <w:pPr>
              <w:pStyle w:val="ListParagraph"/>
              <w:numPr>
                <w:ilvl w:val="0"/>
                <w:numId w:val="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consultation</w:t>
            </w:r>
          </w:p>
          <w:p w14:paraId="5761E057" w14:textId="77777777" w:rsidR="00A56EE9" w:rsidRPr="00E70A11" w:rsidRDefault="00A56EE9" w:rsidP="00A11869">
            <w:pPr>
              <w:pStyle w:val="ListParagraph"/>
              <w:numPr>
                <w:ilvl w:val="0"/>
                <w:numId w:val="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Scientific Consensus Statement</w:t>
            </w:r>
          </w:p>
          <w:p w14:paraId="5761E058" w14:textId="77777777" w:rsidR="00A56EE9" w:rsidRPr="00E70A11" w:rsidRDefault="00A56EE9" w:rsidP="00A11869">
            <w:pPr>
              <w:pStyle w:val="ListParagraph"/>
              <w:numPr>
                <w:ilvl w:val="0"/>
                <w:numId w:val="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Kearney and Farebrother 2014, Chapter Seven – Inadequate Evaluation and Management of Threats in Australia’s Marine parks, Including the Great Barrier Reef, Misdirect Marine Conservation, Advances in Marine Biology</w:t>
            </w:r>
          </w:p>
          <w:p w14:paraId="5761E059" w14:textId="77777777" w:rsidR="00A56EE9" w:rsidRPr="00E70A11" w:rsidRDefault="00A56EE9" w:rsidP="00A11869">
            <w:pPr>
              <w:pStyle w:val="ListParagraph"/>
              <w:numPr>
                <w:ilvl w:val="0"/>
                <w:numId w:val="8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Biosecurity for QPWS islands</w:t>
            </w:r>
          </w:p>
        </w:tc>
        <w:tc>
          <w:tcPr>
            <w:tcW w:w="981" w:type="dxa"/>
            <w:tcBorders>
              <w:top w:val="single" w:sz="4" w:space="0" w:color="auto"/>
              <w:left w:val="single" w:sz="4" w:space="0" w:color="auto"/>
              <w:bottom w:val="single" w:sz="4" w:space="0" w:color="auto"/>
              <w:right w:val="single" w:sz="4" w:space="0" w:color="auto"/>
            </w:tcBorders>
          </w:tcPr>
          <w:p w14:paraId="5761E05A"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E05B"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073"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E05D"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biodiversity is demonstrably environmentally sustainable</w:t>
            </w:r>
          </w:p>
        </w:tc>
        <w:tc>
          <w:tcPr>
            <w:tcW w:w="771" w:type="dxa"/>
            <w:tcBorders>
              <w:top w:val="single" w:sz="4" w:space="0" w:color="auto"/>
              <w:left w:val="single" w:sz="4" w:space="0" w:color="auto"/>
              <w:bottom w:val="single" w:sz="4" w:space="0" w:color="auto"/>
              <w:right w:val="single" w:sz="4" w:space="0" w:color="auto"/>
            </w:tcBorders>
            <w:vAlign w:val="center"/>
          </w:tcPr>
          <w:p w14:paraId="5761E05E" w14:textId="77777777" w:rsidR="00A56EE9" w:rsidRPr="00E70A11" w:rsidRDefault="00A56EE9" w:rsidP="00BB6AD5">
            <w:pPr>
              <w:pStyle w:val="Tablebulletlist"/>
              <w:jc w:val="center"/>
              <w:rPr>
                <w:rStyle w:val="BookTitle"/>
              </w:rPr>
            </w:pPr>
            <w:r w:rsidRPr="00E70A11">
              <w:rPr>
                <w:rStyle w:val="BookTitle"/>
              </w:rPr>
              <w:t>1</w:t>
            </w:r>
          </w:p>
        </w:tc>
        <w:tc>
          <w:tcPr>
            <w:tcW w:w="5242" w:type="dxa"/>
            <w:tcBorders>
              <w:top w:val="single" w:sz="4" w:space="0" w:color="auto"/>
              <w:left w:val="single" w:sz="4" w:space="0" w:color="auto"/>
              <w:bottom w:val="single" w:sz="4" w:space="0" w:color="auto"/>
              <w:right w:val="single" w:sz="4" w:space="0" w:color="auto"/>
            </w:tcBorders>
          </w:tcPr>
          <w:p w14:paraId="5761E05F"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health of the Great Barrier Reef is declining, and management is not keeping pace with the cumulative impacts that are acting on the system. The causes of decline are known and the potential for restoration is strong provided we avoid a ‘business as usual’ approach. Without urgent and effective additional management intervention the Region’s biodiversity values are likely to continue to deteriorate.</w:t>
            </w:r>
          </w:p>
          <w:p w14:paraId="5761E060"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past decade of extreme weather events has taken its toll on the Reef. The frequency of cyclones and floods has reduced the capacity of the Reef ecosystem to recover from these and other disturbances such as outbreaks of crown-of-thorns starfish and the recent coral bleaching events. Legacy issues, such as broadscale catchment clearing and commercial harvesting of iconic species, are still affecting the Reef. Some of these issues go back decades, even to the 1800s, and their impacts are likely to continue long into the future. </w:t>
            </w:r>
          </w:p>
          <w:p w14:paraId="5761E061"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impacts do not operate in isolation, but overlap and interact with each other. Their accumulation through time and over an ever-increasing area is diminishing the ecosystem’s ability to bounce back. There is increasing evidence that both the ecosystem’s resistance and its capacity to recover is being lost, although the extent of that loss varies considerably between ecosystem components (for example, dugong compared to some fishes) and between localities (for example, the inshore southern two-thirds of the Region compared to places offshore and further north).</w:t>
            </w:r>
          </w:p>
          <w:p w14:paraId="5761E062"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Surveys undertaken in 2017 indicate that dugongs and large turtles are in better condition since 2014. These changes coincide with improvements in the condition of intertidal seagrass percentage cover.</w:t>
            </w:r>
          </w:p>
          <w:p w14:paraId="5761E063"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 shows small improvements and will not achieve its targets.</w:t>
            </w:r>
          </w:p>
          <w:p w14:paraId="5761E064"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Inshore seagrass meadows showed slight improvements in condition for some indicators, but remained poor overall. Seagrass cover continued to improve in the Cape York, Wet Tropics, Mackay, Whitsundays, Fitzroy and Burnett Mary regions, and has declined slightly in the Burdekin region.</w:t>
            </w:r>
          </w:p>
          <w:p w14:paraId="5761E065"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Inshore coral reefs south of the Wet Tropics region were in moderate condition in 2015-16. The 2016 bleaching event severely impacted the far northern and northern regions of the Reef from the tip of Cape York to Port Douglas. The full extent of 2017 bleaching impacts is being studied.</w:t>
            </w:r>
          </w:p>
          <w:p w14:paraId="5761E066"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A loss of resilience in key habitats implies that development on a global, national, regional and local scale is not sustainable. </w:t>
            </w:r>
          </w:p>
          <w:p w14:paraId="5761E067"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Cyclone Debbie effects - Cyclone damage is one of several factors contributing to major losses in coral and seagrass across the Great Barrier Reef. The Whitsundays was particularly devastated by Debbie but full assessments of damage are not available. Cyclone Debbie was the tenth severe category cyclone to affect the Great Barrier Reef since 2005.</w:t>
            </w:r>
          </w:p>
        </w:tc>
        <w:tc>
          <w:tcPr>
            <w:tcW w:w="4016" w:type="dxa"/>
            <w:tcBorders>
              <w:top w:val="single" w:sz="4" w:space="0" w:color="auto"/>
              <w:left w:val="single" w:sz="4" w:space="0" w:color="auto"/>
              <w:bottom w:val="single" w:sz="4" w:space="0" w:color="auto"/>
              <w:right w:val="single" w:sz="4" w:space="0" w:color="auto"/>
            </w:tcBorders>
          </w:tcPr>
          <w:p w14:paraId="5761E068" w14:textId="77777777" w:rsidR="00A56EE9" w:rsidRPr="00E70A11" w:rsidRDefault="00A56EE9" w:rsidP="00A11869">
            <w:pPr>
              <w:pStyle w:val="ListParagraph"/>
              <w:numPr>
                <w:ilvl w:val="0"/>
                <w:numId w:val="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consultation</w:t>
            </w:r>
          </w:p>
          <w:p w14:paraId="5761E069" w14:textId="77777777" w:rsidR="00A56EE9" w:rsidRPr="00E70A11" w:rsidRDefault="00A56EE9" w:rsidP="00A11869">
            <w:pPr>
              <w:pStyle w:val="ListParagraph"/>
              <w:numPr>
                <w:ilvl w:val="0"/>
                <w:numId w:val="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T. P., Kerry, J. T. and Simpson, T. (2018), Large-scale bleaching of corals on the Great Barrier Reef. Ecology, 99: 501. doi:10.1002/ecy.2092</w:t>
            </w:r>
          </w:p>
          <w:p w14:paraId="5761E06A" w14:textId="77777777" w:rsidR="00A56EE9" w:rsidRPr="00E70A11" w:rsidRDefault="00A56EE9" w:rsidP="00A11869">
            <w:pPr>
              <w:pStyle w:val="ListParagraph"/>
              <w:numPr>
                <w:ilvl w:val="0"/>
                <w:numId w:val="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Tarte, Diane, Hart, Barry, Hughes, Terry and Hussey, Karen (2017) Reef 2050 long-term sustainability plan: progress on implementation- review by Great Barrier Reef independent review group :</w:t>
            </w:r>
          </w:p>
          <w:p w14:paraId="5761E06B" w14:textId="77777777" w:rsidR="00A56EE9" w:rsidRPr="00E70A11" w:rsidRDefault="00A56EE9" w:rsidP="00A11869">
            <w:pPr>
              <w:pStyle w:val="ListParagraph"/>
              <w:numPr>
                <w:ilvl w:val="0"/>
                <w:numId w:val="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T. P., Day, J. C. and Brodie, J. (2015). Securing the future of the Great Barrier Reef. Nature Climate Change 5: 508.</w:t>
            </w:r>
          </w:p>
          <w:p w14:paraId="5761E06C" w14:textId="77777777" w:rsidR="00A56EE9" w:rsidRPr="00E70A11" w:rsidRDefault="00A56EE9" w:rsidP="00A11869">
            <w:pPr>
              <w:pStyle w:val="ListParagraph"/>
              <w:numPr>
                <w:ilvl w:val="0"/>
                <w:numId w:val="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2016 coral bleaching event on the Great Barrier Reef</w:t>
            </w:r>
          </w:p>
          <w:p w14:paraId="5761E06D" w14:textId="77777777" w:rsidR="00A56EE9" w:rsidRPr="00E70A11" w:rsidRDefault="00A56EE9" w:rsidP="00A11869">
            <w:pPr>
              <w:pStyle w:val="ListParagraph"/>
              <w:numPr>
                <w:ilvl w:val="0"/>
                <w:numId w:val="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Scientific Consensus Statement</w:t>
            </w:r>
          </w:p>
          <w:p w14:paraId="5761E06E" w14:textId="77777777" w:rsidR="00A56EE9" w:rsidRPr="00E70A11" w:rsidRDefault="00A56EE9" w:rsidP="00A11869">
            <w:pPr>
              <w:pStyle w:val="ListParagraph"/>
              <w:numPr>
                <w:ilvl w:val="0"/>
                <w:numId w:val="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COTS</w:t>
            </w:r>
          </w:p>
          <w:p w14:paraId="5761E06F" w14:textId="77777777" w:rsidR="00A56EE9" w:rsidRPr="00E70A11" w:rsidRDefault="00A56EE9" w:rsidP="00A11869">
            <w:pPr>
              <w:pStyle w:val="ListParagraph"/>
              <w:numPr>
                <w:ilvl w:val="0"/>
                <w:numId w:val="8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w:t>
            </w:r>
          </w:p>
          <w:p w14:paraId="5761E070" w14:textId="77777777" w:rsidR="00A56EE9" w:rsidRPr="00E70A11" w:rsidRDefault="00A56EE9" w:rsidP="00BB6AD5">
            <w:pPr>
              <w:pStyle w:val="ListParagraph"/>
              <w:rPr>
                <w:rStyle w:val="BookTitle"/>
                <w:rFonts w:ascii="Arial Narrow" w:hAnsi="Arial Narrow"/>
                <w:sz w:val="18"/>
                <w:szCs w:val="18"/>
              </w:rPr>
            </w:pPr>
          </w:p>
        </w:tc>
        <w:tc>
          <w:tcPr>
            <w:tcW w:w="981" w:type="dxa"/>
            <w:tcBorders>
              <w:top w:val="single" w:sz="4" w:space="0" w:color="auto"/>
              <w:left w:val="single" w:sz="4" w:space="0" w:color="auto"/>
              <w:bottom w:val="single" w:sz="4" w:space="0" w:color="auto"/>
              <w:right w:val="single" w:sz="4" w:space="0" w:color="auto"/>
            </w:tcBorders>
          </w:tcPr>
          <w:p w14:paraId="5761E071"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E072"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081"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E074"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biodiversity is demonstrably economically sustainable</w:t>
            </w:r>
          </w:p>
        </w:tc>
        <w:tc>
          <w:tcPr>
            <w:tcW w:w="771" w:type="dxa"/>
            <w:tcBorders>
              <w:top w:val="single" w:sz="4" w:space="0" w:color="auto"/>
              <w:left w:val="single" w:sz="4" w:space="0" w:color="auto"/>
              <w:bottom w:val="single" w:sz="4" w:space="0" w:color="auto"/>
              <w:right w:val="single" w:sz="4" w:space="0" w:color="auto"/>
            </w:tcBorders>
            <w:vAlign w:val="center"/>
          </w:tcPr>
          <w:p w14:paraId="5761E075" w14:textId="77777777" w:rsidR="00A56EE9" w:rsidRPr="00E70A11" w:rsidRDefault="00A56EE9" w:rsidP="00BB6AD5">
            <w:pPr>
              <w:pStyle w:val="Tablebulletlist"/>
              <w:jc w:val="center"/>
              <w:rPr>
                <w:rStyle w:val="BookTitle"/>
              </w:rPr>
            </w:pPr>
            <w:r w:rsidRPr="00E70A11">
              <w:rPr>
                <w:rStyle w:val="BookTitle"/>
              </w:rPr>
              <w:t>2</w:t>
            </w:r>
          </w:p>
        </w:tc>
        <w:tc>
          <w:tcPr>
            <w:tcW w:w="5242" w:type="dxa"/>
            <w:tcBorders>
              <w:top w:val="single" w:sz="4" w:space="0" w:color="auto"/>
              <w:left w:val="single" w:sz="4" w:space="0" w:color="auto"/>
              <w:bottom w:val="single" w:sz="4" w:space="0" w:color="auto"/>
              <w:right w:val="single" w:sz="4" w:space="0" w:color="auto"/>
            </w:tcBorders>
          </w:tcPr>
          <w:p w14:paraId="5761E076"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Decline in condition in southern inshore GBR may have long term effect on value of tourism and recreational use of GBR</w:t>
            </w:r>
          </w:p>
          <w:p w14:paraId="5761E077"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Tourism is major industry underpinned by biodiversity of Great Barrier Reef</w:t>
            </w:r>
          </w:p>
          <w:p w14:paraId="5761E078"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Fisheries is major industry also underpinned by biodiversity </w:t>
            </w:r>
          </w:p>
          <w:p w14:paraId="5761E079" w14:textId="77777777" w:rsidR="00A56EE9" w:rsidRPr="00E70A11" w:rsidRDefault="00A56EE9" w:rsidP="00A11869">
            <w:pPr>
              <w:pStyle w:val="ListParagraph"/>
              <w:numPr>
                <w:ilvl w:val="0"/>
                <w:numId w:val="19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Water quality in the Region has declined markedly, especially in inshore areas adjacent to the developed coast, which impacts negatively on tourism and recreation. </w:t>
            </w:r>
          </w:p>
        </w:tc>
        <w:tc>
          <w:tcPr>
            <w:tcW w:w="4016" w:type="dxa"/>
            <w:tcBorders>
              <w:top w:val="single" w:sz="4" w:space="0" w:color="auto"/>
              <w:left w:val="single" w:sz="4" w:space="0" w:color="auto"/>
              <w:bottom w:val="single" w:sz="4" w:space="0" w:color="auto"/>
              <w:right w:val="single" w:sz="4" w:space="0" w:color="auto"/>
            </w:tcBorders>
          </w:tcPr>
          <w:p w14:paraId="5761E07A" w14:textId="77777777" w:rsidR="00A56EE9" w:rsidRPr="00E70A11" w:rsidRDefault="00A56EE9" w:rsidP="00A11869">
            <w:pPr>
              <w:pStyle w:val="ListParagraph"/>
              <w:numPr>
                <w:ilvl w:val="0"/>
                <w:numId w:val="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07B" w14:textId="77777777" w:rsidR="00A56EE9" w:rsidRPr="00E70A11" w:rsidRDefault="00A56EE9" w:rsidP="00A11869">
            <w:pPr>
              <w:pStyle w:val="ListParagraph"/>
              <w:numPr>
                <w:ilvl w:val="0"/>
                <w:numId w:val="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Deloitte Access Economics Report 2017 – At what price? The economic, social and icon value of the Great Barrier Reef</w:t>
            </w:r>
          </w:p>
          <w:p w14:paraId="5761E07C" w14:textId="77777777" w:rsidR="00A56EE9" w:rsidRPr="00E70A11" w:rsidRDefault="00A56EE9" w:rsidP="00A11869">
            <w:pPr>
              <w:pStyle w:val="ListParagraph"/>
              <w:numPr>
                <w:ilvl w:val="0"/>
                <w:numId w:val="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Deloitte Access Economics Report Economic contribution of the Great Barrier Reef</w:t>
            </w:r>
          </w:p>
          <w:p w14:paraId="5761E07D" w14:textId="77777777" w:rsidR="00A56EE9" w:rsidRPr="00E70A11" w:rsidRDefault="00A56EE9" w:rsidP="00A11869">
            <w:pPr>
              <w:pStyle w:val="ListParagraph"/>
              <w:numPr>
                <w:ilvl w:val="0"/>
                <w:numId w:val="82"/>
              </w:numPr>
              <w:spacing w:after="200" w:line="276" w:lineRule="auto"/>
              <w:rPr>
                <w:rFonts w:ascii="Arial Narrow" w:hAnsi="Arial Narrow"/>
                <w:sz w:val="18"/>
                <w:szCs w:val="18"/>
              </w:rPr>
            </w:pPr>
            <w:r w:rsidRPr="00E70A11">
              <w:rPr>
                <w:rFonts w:ascii="Arial Narrow" w:hAnsi="Arial Narrow"/>
                <w:sz w:val="18"/>
                <w:szCs w:val="18"/>
              </w:rPr>
              <w:t>Marshall, N.A. Curnock, M., Pert, P.L., Williams, G. (2017) The Social and Economic Long Term Monitoring Program (SELTMP) for the Great Barrier Reef.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07E" w14:textId="77777777" w:rsidR="00A56EE9" w:rsidRPr="00E70A11" w:rsidRDefault="00A56EE9" w:rsidP="00A11869">
            <w:pPr>
              <w:pStyle w:val="ListParagraph"/>
              <w:numPr>
                <w:ilvl w:val="0"/>
                <w:numId w:val="8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Whitsundays Plan of Management</w:t>
            </w:r>
          </w:p>
        </w:tc>
        <w:tc>
          <w:tcPr>
            <w:tcW w:w="981" w:type="dxa"/>
            <w:tcBorders>
              <w:top w:val="single" w:sz="4" w:space="0" w:color="auto"/>
              <w:left w:val="single" w:sz="4" w:space="0" w:color="auto"/>
              <w:bottom w:val="single" w:sz="4" w:space="0" w:color="auto"/>
              <w:right w:val="single" w:sz="4" w:space="0" w:color="auto"/>
            </w:tcBorders>
          </w:tcPr>
          <w:p w14:paraId="5761E07F"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E080"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090"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E082"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biodiversity is demonstrably socially sustainable in terms of understanding and/or enjoyment</w:t>
            </w:r>
          </w:p>
        </w:tc>
        <w:tc>
          <w:tcPr>
            <w:tcW w:w="771" w:type="dxa"/>
            <w:tcBorders>
              <w:top w:val="single" w:sz="4" w:space="0" w:color="auto"/>
              <w:left w:val="single" w:sz="4" w:space="0" w:color="auto"/>
              <w:bottom w:val="single" w:sz="4" w:space="0" w:color="auto"/>
              <w:right w:val="single" w:sz="4" w:space="0" w:color="auto"/>
            </w:tcBorders>
            <w:vAlign w:val="center"/>
          </w:tcPr>
          <w:p w14:paraId="5761E083" w14:textId="77777777" w:rsidR="00A56EE9" w:rsidRPr="00E70A11" w:rsidRDefault="00A56EE9" w:rsidP="00BB6AD5">
            <w:pPr>
              <w:pStyle w:val="Tablebulletlist"/>
              <w:jc w:val="center"/>
              <w:rPr>
                <w:rStyle w:val="BookTitle"/>
              </w:rPr>
            </w:pPr>
            <w:r w:rsidRPr="00E70A11">
              <w:rPr>
                <w:rStyle w:val="BookTitle"/>
              </w:rPr>
              <w:t>3</w:t>
            </w:r>
          </w:p>
        </w:tc>
        <w:tc>
          <w:tcPr>
            <w:tcW w:w="5242" w:type="dxa"/>
            <w:tcBorders>
              <w:top w:val="single" w:sz="4" w:space="0" w:color="auto"/>
              <w:left w:val="single" w:sz="4" w:space="0" w:color="auto"/>
              <w:bottom w:val="single" w:sz="4" w:space="0" w:color="auto"/>
              <w:right w:val="single" w:sz="4" w:space="0" w:color="auto"/>
            </w:tcBorders>
          </w:tcPr>
          <w:p w14:paraId="5761E084"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change remains the most serious long-term risk facing the Reef and is likely to have far reaching consequences for the Region’s environment.</w:t>
            </w:r>
          </w:p>
          <w:p w14:paraId="5761E085"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Recreational fishing and boating remain as major uses</w:t>
            </w:r>
          </w:p>
          <w:p w14:paraId="5761E086"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Increased compliance action by GBRMPA and State agencies will lead to a more sustainable recreational fishing sector and hence maintain social sustainability</w:t>
            </w:r>
          </w:p>
          <w:p w14:paraId="5761E087"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Uptake of Reef Guardian program within community is indicative of community interest in and concern for the GBR</w:t>
            </w:r>
          </w:p>
          <w:p w14:paraId="5761E088"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An increased public mooring and reef protection program was initiated through the Field Management Program making a significant contribution to protecting marine ecosystems from anchor damage by the installation of additional reef protection markers and public moorings at popular reef and island locations.</w:t>
            </w:r>
          </w:p>
        </w:tc>
        <w:tc>
          <w:tcPr>
            <w:tcW w:w="4016" w:type="dxa"/>
            <w:tcBorders>
              <w:top w:val="single" w:sz="4" w:space="0" w:color="auto"/>
              <w:left w:val="single" w:sz="4" w:space="0" w:color="auto"/>
              <w:bottom w:val="single" w:sz="4" w:space="0" w:color="auto"/>
              <w:right w:val="single" w:sz="4" w:space="0" w:color="auto"/>
            </w:tcBorders>
          </w:tcPr>
          <w:p w14:paraId="5761E089"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Deloitte Access Economics Report 2017 – At what price? The economic, social and icon value of the Great Barrier Reef</w:t>
            </w:r>
          </w:p>
          <w:p w14:paraId="5761E08A"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Deloitte Access Economics Report Economic contribution of the Great Barrier Reef</w:t>
            </w:r>
          </w:p>
          <w:p w14:paraId="5761E08B"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SELTMP</w:t>
            </w:r>
          </w:p>
          <w:p w14:paraId="5761E08C"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Whitsundays Plan of Management</w:t>
            </w:r>
          </w:p>
          <w:p w14:paraId="5761E08D"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Reef Guardian program</w:t>
            </w:r>
          </w:p>
        </w:tc>
        <w:tc>
          <w:tcPr>
            <w:tcW w:w="981" w:type="dxa"/>
            <w:tcBorders>
              <w:top w:val="single" w:sz="4" w:space="0" w:color="auto"/>
              <w:left w:val="single" w:sz="4" w:space="0" w:color="auto"/>
              <w:bottom w:val="single" w:sz="4" w:space="0" w:color="auto"/>
              <w:right w:val="single" w:sz="4" w:space="0" w:color="auto"/>
            </w:tcBorders>
          </w:tcPr>
          <w:p w14:paraId="5761E08E" w14:textId="77777777" w:rsidR="00A56EE9" w:rsidRPr="00E70A11" w:rsidRDefault="00A56EE9" w:rsidP="00BB6AD5">
            <w:pPr>
              <w:pStyle w:val="Tablebulletlist"/>
              <w:rPr>
                <w:rStyle w:val="BookTitle"/>
              </w:rPr>
            </w:pPr>
            <w:r w:rsidRPr="00E70A11">
              <w:rPr>
                <w:rStyle w:val="BookTitle"/>
              </w:rPr>
              <w:t>limited</w:t>
            </w:r>
          </w:p>
        </w:tc>
        <w:tc>
          <w:tcPr>
            <w:tcW w:w="898" w:type="dxa"/>
            <w:tcBorders>
              <w:top w:val="single" w:sz="4" w:space="0" w:color="auto"/>
              <w:left w:val="single" w:sz="4" w:space="0" w:color="auto"/>
              <w:bottom w:val="single" w:sz="4" w:space="0" w:color="auto"/>
              <w:right w:val="single" w:sz="4" w:space="0" w:color="auto"/>
            </w:tcBorders>
          </w:tcPr>
          <w:p w14:paraId="5761E08F"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0A9" w14:textId="77777777" w:rsidTr="00BB6AD5">
        <w:trPr>
          <w:trHeight w:val="170"/>
        </w:trPr>
        <w:tc>
          <w:tcPr>
            <w:tcW w:w="2654" w:type="dxa"/>
            <w:tcBorders>
              <w:top w:val="single" w:sz="4" w:space="0" w:color="auto"/>
              <w:left w:val="single" w:sz="4" w:space="0" w:color="auto"/>
              <w:bottom w:val="single" w:sz="4" w:space="0" w:color="auto"/>
              <w:right w:val="single" w:sz="4" w:space="0" w:color="auto"/>
            </w:tcBorders>
          </w:tcPr>
          <w:p w14:paraId="5761E091"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biodiversity </w:t>
            </w:r>
          </w:p>
        </w:tc>
        <w:tc>
          <w:tcPr>
            <w:tcW w:w="771" w:type="dxa"/>
            <w:tcBorders>
              <w:top w:val="single" w:sz="4" w:space="0" w:color="auto"/>
              <w:left w:val="single" w:sz="4" w:space="0" w:color="auto"/>
              <w:bottom w:val="single" w:sz="4" w:space="0" w:color="auto"/>
              <w:right w:val="single" w:sz="4" w:space="0" w:color="auto"/>
            </w:tcBorders>
            <w:vAlign w:val="center"/>
          </w:tcPr>
          <w:p w14:paraId="5761E092" w14:textId="77777777" w:rsidR="00A56EE9" w:rsidRPr="00E70A11" w:rsidRDefault="00A56EE9" w:rsidP="00BB6AD5">
            <w:pPr>
              <w:pStyle w:val="Tablebulletlist"/>
              <w:jc w:val="center"/>
              <w:rPr>
                <w:rStyle w:val="BookTitle"/>
              </w:rPr>
            </w:pPr>
            <w:r w:rsidRPr="00E70A11">
              <w:rPr>
                <w:rStyle w:val="BookTitle"/>
              </w:rPr>
              <w:t>4</w:t>
            </w:r>
          </w:p>
        </w:tc>
        <w:tc>
          <w:tcPr>
            <w:tcW w:w="5242" w:type="dxa"/>
            <w:tcBorders>
              <w:top w:val="single" w:sz="4" w:space="0" w:color="auto"/>
              <w:left w:val="single" w:sz="4" w:space="0" w:color="auto"/>
              <w:bottom w:val="single" w:sz="4" w:space="0" w:color="auto"/>
              <w:right w:val="single" w:sz="4" w:space="0" w:color="auto"/>
            </w:tcBorders>
          </w:tcPr>
          <w:p w14:paraId="5761E093"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 School curriculum resources are designed to fit the Australian Curriculum, and reflect the key risks as outlined in Outlook 2009</w:t>
            </w:r>
          </w:p>
          <w:p w14:paraId="5761E094"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Partnerships with industry (AMPTO, QSIA) and research providers (AIMS, JCU, UQ, CSIRO, NOAA, BoM) are both formal and ad hoc</w:t>
            </w:r>
          </w:p>
          <w:p w14:paraId="5761E095"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Community Partnerships Group</w:t>
            </w:r>
          </w:p>
          <w:p w14:paraId="5761E096"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CapReef</w:t>
            </w:r>
          </w:p>
          <w:p w14:paraId="5761E097"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LMACs</w:t>
            </w:r>
          </w:p>
          <w:p w14:paraId="5761E098"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 Schools</w:t>
            </w:r>
          </w:p>
          <w:p w14:paraId="5761E099"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Lots of informal partnerships but the effectiveness of these partnerships is not easily measured (Seagrass Watch is an exception with regular performance assessment and continuous improvement)</w:t>
            </w:r>
          </w:p>
          <w:p w14:paraId="5761E09A"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Blueprint for Resilience (Partnerships for local action initiative)</w:t>
            </w:r>
          </w:p>
          <w:p w14:paraId="5761E09B" w14:textId="77777777" w:rsidR="00A56EE9" w:rsidRPr="00E70A11" w:rsidRDefault="00A56EE9" w:rsidP="00A11869">
            <w:pPr>
              <w:pStyle w:val="ListParagraph"/>
              <w:numPr>
                <w:ilvl w:val="0"/>
                <w:numId w:val="19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National Environmental Science Program (NESP) is based on partnerships and collaboration. The NESP Tropical Water Quality Hub connects Reef managing agencies, scientists, Indigenous people and communities.</w:t>
            </w:r>
          </w:p>
        </w:tc>
        <w:tc>
          <w:tcPr>
            <w:tcW w:w="4016" w:type="dxa"/>
            <w:tcBorders>
              <w:top w:val="single" w:sz="4" w:space="0" w:color="auto"/>
              <w:left w:val="single" w:sz="4" w:space="0" w:color="auto"/>
              <w:bottom w:val="single" w:sz="4" w:space="0" w:color="auto"/>
              <w:right w:val="single" w:sz="4" w:space="0" w:color="auto"/>
            </w:tcBorders>
          </w:tcPr>
          <w:p w14:paraId="5761E09C"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09D"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Reef Guardian Schools</w:t>
            </w:r>
          </w:p>
          <w:p w14:paraId="5761E09E"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Reef Check</w:t>
            </w:r>
          </w:p>
          <w:p w14:paraId="5761E09F"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Seagrass Watch</w:t>
            </w:r>
          </w:p>
          <w:p w14:paraId="5761E0A0"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Marine Monitoring Program</w:t>
            </w:r>
          </w:p>
          <w:p w14:paraId="5761E0A1"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RAC’s: http://www.gbrmpa.gov.au/about-us/reef-advisory-committee</w:t>
            </w:r>
          </w:p>
          <w:p w14:paraId="5761E0A2"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Our Partners: http://www.gbrmpa.gov.au/our-partners</w:t>
            </w:r>
          </w:p>
          <w:p w14:paraId="5761E0A3"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Local Marine Advisory Committees</w:t>
            </w:r>
          </w:p>
          <w:p w14:paraId="5761E0A4"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Reef Summit: Managing for resilience. Summary of proceedings and outputs, 24-25 May 2017, Townsville</w:t>
            </w:r>
          </w:p>
          <w:p w14:paraId="5761E0A5"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Draft - Great Barrier Reef Blueprint for Resilience</w:t>
            </w:r>
          </w:p>
          <w:p w14:paraId="5761E0A6" w14:textId="77777777" w:rsidR="00A56EE9" w:rsidRPr="00E70A11" w:rsidRDefault="00A56EE9" w:rsidP="00BB6AD5">
            <w:pPr>
              <w:pStyle w:val="ListParagraph"/>
              <w:rPr>
                <w:rStyle w:val="BookTitle"/>
                <w:rFonts w:ascii="Arial Narrow" w:hAnsi="Arial Narrow"/>
                <w:sz w:val="18"/>
                <w:szCs w:val="18"/>
              </w:rPr>
            </w:pPr>
            <w:r w:rsidRPr="00E70A11">
              <w:rPr>
                <w:rStyle w:val="BookTitle"/>
                <w:rFonts w:ascii="Arial Narrow" w:hAnsi="Arial Narrow"/>
                <w:sz w:val="18"/>
                <w:szCs w:val="18"/>
              </w:rPr>
              <w:t>NESP</w:t>
            </w:r>
          </w:p>
        </w:tc>
        <w:tc>
          <w:tcPr>
            <w:tcW w:w="981" w:type="dxa"/>
            <w:tcBorders>
              <w:top w:val="single" w:sz="4" w:space="0" w:color="auto"/>
              <w:left w:val="single" w:sz="4" w:space="0" w:color="auto"/>
              <w:bottom w:val="single" w:sz="4" w:space="0" w:color="auto"/>
              <w:right w:val="single" w:sz="4" w:space="0" w:color="auto"/>
            </w:tcBorders>
          </w:tcPr>
          <w:p w14:paraId="5761E0A7" w14:textId="77777777" w:rsidR="00A56EE9" w:rsidRPr="00E70A11" w:rsidRDefault="00A56EE9" w:rsidP="00BB6AD5">
            <w:pPr>
              <w:pStyle w:val="Tablebulletlist"/>
              <w:rPr>
                <w:rStyle w:val="BookTitle"/>
              </w:rPr>
            </w:pPr>
            <w:r w:rsidRPr="00E70A11">
              <w:rPr>
                <w:rStyle w:val="BookTitle"/>
              </w:rPr>
              <w:t>adequate</w:t>
            </w:r>
          </w:p>
        </w:tc>
        <w:tc>
          <w:tcPr>
            <w:tcW w:w="898" w:type="dxa"/>
            <w:tcBorders>
              <w:top w:val="single" w:sz="4" w:space="0" w:color="auto"/>
              <w:left w:val="single" w:sz="4" w:space="0" w:color="auto"/>
              <w:bottom w:val="single" w:sz="4" w:space="0" w:color="auto"/>
              <w:right w:val="single" w:sz="4" w:space="0" w:color="auto"/>
            </w:tcBorders>
          </w:tcPr>
          <w:p w14:paraId="5761E0A8" w14:textId="77777777" w:rsidR="00A56EE9" w:rsidRPr="00E70A11" w:rsidRDefault="00A56EE9" w:rsidP="00BB6AD5">
            <w:pPr>
              <w:pStyle w:val="Tablebulletlist"/>
              <w:rPr>
                <w:rStyle w:val="BookTitle"/>
              </w:rPr>
            </w:pPr>
            <w:r w:rsidRPr="00E70A11">
              <w:rPr>
                <w:rStyle w:val="BookTitle"/>
              </w:rPr>
              <w:t>stable</w:t>
            </w:r>
          </w:p>
        </w:tc>
      </w:tr>
    </w:tbl>
    <w:p w14:paraId="5761E0AA" w14:textId="77777777" w:rsidR="00A56EE9" w:rsidRPr="00E70A11" w:rsidRDefault="00A56EE9" w:rsidP="00BB6AD5">
      <w:pPr>
        <w:rPr>
          <w:rFonts w:ascii="Arial Narrow" w:hAnsi="Arial Narrow"/>
          <w:sz w:val="18"/>
          <w:szCs w:val="18"/>
        </w:rPr>
      </w:pPr>
    </w:p>
    <w:p w14:paraId="5761E0AB" w14:textId="77777777" w:rsidR="00A56EE9" w:rsidRPr="00E70A11" w:rsidRDefault="00A56EE9" w:rsidP="00BB6AD5">
      <w:pPr>
        <w:rPr>
          <w:rFonts w:ascii="Arial Narrow" w:hAnsi="Arial Narrow"/>
          <w:sz w:val="18"/>
          <w:szCs w:val="18"/>
        </w:rPr>
      </w:pPr>
    </w:p>
    <w:p w14:paraId="5761E0AC" w14:textId="20D28D8E" w:rsidR="00A56EE9" w:rsidRPr="00E70A11" w:rsidRDefault="00A56EE9" w:rsidP="009C7D6F">
      <w:pPr>
        <w:pStyle w:val="Heading4"/>
      </w:pPr>
      <w:r w:rsidRPr="00E70A11">
        <w:br w:type="page"/>
      </w:r>
      <w:bookmarkStart w:id="172" w:name="_Toc369686742"/>
      <w:bookmarkStart w:id="173" w:name="_Toc519867864"/>
      <w:bookmarkStart w:id="174" w:name="_Toc520127176"/>
      <w:bookmarkStart w:id="175" w:name="_Toc522531118"/>
      <w:bookmarkStart w:id="176" w:name="_Toc522532000"/>
      <w:bookmarkStart w:id="177" w:name="_Toc525654467"/>
      <w:r w:rsidRPr="00E70A11">
        <w:t xml:space="preserve">Table </w:t>
      </w:r>
      <w:r>
        <w:rPr>
          <w:noProof/>
        </w:rPr>
        <w:fldChar w:fldCharType="begin"/>
      </w:r>
      <w:r>
        <w:rPr>
          <w:noProof/>
        </w:rPr>
        <w:instrText xml:space="preserve"> SEQ Table \* ARABIC </w:instrText>
      </w:r>
      <w:r>
        <w:rPr>
          <w:noProof/>
        </w:rPr>
        <w:fldChar w:fldCharType="separate"/>
      </w:r>
      <w:r w:rsidR="00A4170C">
        <w:rPr>
          <w:noProof/>
        </w:rPr>
        <w:t>22</w:t>
      </w:r>
      <w:r>
        <w:rPr>
          <w:noProof/>
        </w:rPr>
        <w:fldChar w:fldCharType="end"/>
      </w:r>
      <w:r w:rsidRPr="00E70A11">
        <w:t xml:space="preserve"> Calculation of grades for climate change</w:t>
      </w:r>
      <w:bookmarkEnd w:id="172"/>
      <w:bookmarkEnd w:id="173"/>
      <w:bookmarkEnd w:id="174"/>
      <w:bookmarkEnd w:id="175"/>
      <w:bookmarkEnd w:id="176"/>
      <w:bookmarkEnd w:id="17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22. Calculation of grades for climate change"/>
        <w:tblDescription w:val="Table showing the ratings,  justificaiton and evidence for each of the components for the management effectiveness for climate change. Confidence in the assessment and trend since Outlook 2014 is also provided."/>
      </w:tblPr>
      <w:tblGrid>
        <w:gridCol w:w="2831"/>
        <w:gridCol w:w="768"/>
        <w:gridCol w:w="4642"/>
        <w:gridCol w:w="4464"/>
        <w:gridCol w:w="968"/>
        <w:gridCol w:w="889"/>
      </w:tblGrid>
      <w:tr w:rsidR="00A56EE9" w:rsidRPr="00E70A11" w14:paraId="5761E0B3"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shd w:val="clear" w:color="auto" w:fill="EEECE1"/>
          </w:tcPr>
          <w:p w14:paraId="5761E0AD" w14:textId="77777777" w:rsidR="00A56EE9" w:rsidRPr="00E70A11" w:rsidRDefault="00A56EE9" w:rsidP="00BB6AD5">
            <w:pPr>
              <w:pStyle w:val="Tablebulletlist"/>
              <w:rPr>
                <w:rStyle w:val="BookTitle"/>
              </w:rPr>
            </w:pPr>
            <w:r w:rsidRPr="00E70A11">
              <w:rPr>
                <w:rStyle w:val="BookTitle"/>
              </w:rPr>
              <w:t>CONTEXT</w:t>
            </w:r>
          </w:p>
        </w:tc>
        <w:tc>
          <w:tcPr>
            <w:tcW w:w="768" w:type="dxa"/>
            <w:tcBorders>
              <w:top w:val="single" w:sz="4" w:space="0" w:color="auto"/>
              <w:left w:val="single" w:sz="4" w:space="0" w:color="auto"/>
              <w:bottom w:val="single" w:sz="4" w:space="0" w:color="auto"/>
              <w:right w:val="single" w:sz="4" w:space="0" w:color="auto"/>
            </w:tcBorders>
            <w:shd w:val="clear" w:color="auto" w:fill="EEECE1"/>
            <w:vAlign w:val="center"/>
          </w:tcPr>
          <w:p w14:paraId="5761E0AE" w14:textId="77777777" w:rsidR="00A56EE9" w:rsidRPr="00E70A11" w:rsidRDefault="00A56EE9" w:rsidP="00BB6AD5">
            <w:pPr>
              <w:pStyle w:val="Tablebulletlist"/>
              <w:jc w:val="center"/>
              <w:rPr>
                <w:rStyle w:val="BookTitle"/>
              </w:rPr>
            </w:pPr>
          </w:p>
        </w:tc>
        <w:tc>
          <w:tcPr>
            <w:tcW w:w="4642" w:type="dxa"/>
            <w:tcBorders>
              <w:top w:val="single" w:sz="4" w:space="0" w:color="auto"/>
              <w:left w:val="single" w:sz="4" w:space="0" w:color="auto"/>
              <w:bottom w:val="single" w:sz="4" w:space="0" w:color="auto"/>
              <w:right w:val="single" w:sz="4" w:space="0" w:color="auto"/>
            </w:tcBorders>
            <w:shd w:val="clear" w:color="auto" w:fill="EEECE1"/>
          </w:tcPr>
          <w:p w14:paraId="5761E0AF" w14:textId="77777777" w:rsidR="00A56EE9" w:rsidRPr="00E70A11" w:rsidRDefault="00A56EE9" w:rsidP="00BB6AD5">
            <w:pPr>
              <w:pStyle w:val="Tablebulletlist"/>
              <w:rPr>
                <w:rStyle w:val="BookTitle"/>
              </w:rPr>
            </w:pPr>
          </w:p>
        </w:tc>
        <w:tc>
          <w:tcPr>
            <w:tcW w:w="4464" w:type="dxa"/>
            <w:tcBorders>
              <w:top w:val="single" w:sz="4" w:space="0" w:color="auto"/>
              <w:left w:val="single" w:sz="4" w:space="0" w:color="auto"/>
              <w:bottom w:val="single" w:sz="4" w:space="0" w:color="auto"/>
              <w:right w:val="single" w:sz="4" w:space="0" w:color="auto"/>
            </w:tcBorders>
            <w:shd w:val="clear" w:color="auto" w:fill="EEECE1"/>
          </w:tcPr>
          <w:p w14:paraId="5761E0B0" w14:textId="77777777" w:rsidR="00A56EE9" w:rsidRPr="00E70A11" w:rsidRDefault="00A56EE9" w:rsidP="00BB6AD5">
            <w:pPr>
              <w:pStyle w:val="Tablebulletlist"/>
              <w:rPr>
                <w:rStyle w:val="BookTitle"/>
              </w:rPr>
            </w:pPr>
          </w:p>
        </w:tc>
        <w:tc>
          <w:tcPr>
            <w:tcW w:w="968" w:type="dxa"/>
            <w:tcBorders>
              <w:top w:val="single" w:sz="4" w:space="0" w:color="auto"/>
              <w:left w:val="single" w:sz="4" w:space="0" w:color="auto"/>
              <w:bottom w:val="single" w:sz="4" w:space="0" w:color="auto"/>
              <w:right w:val="single" w:sz="4" w:space="0" w:color="auto"/>
            </w:tcBorders>
            <w:shd w:val="clear" w:color="auto" w:fill="EEECE1"/>
          </w:tcPr>
          <w:p w14:paraId="5761E0B1" w14:textId="77777777" w:rsidR="00A56EE9" w:rsidRPr="00E70A11" w:rsidRDefault="00A56EE9" w:rsidP="00BB6AD5">
            <w:pPr>
              <w:pStyle w:val="Tablebulletlist"/>
              <w:rPr>
                <w:rStyle w:val="BookTitle"/>
              </w:rPr>
            </w:pPr>
          </w:p>
        </w:tc>
        <w:tc>
          <w:tcPr>
            <w:tcW w:w="889" w:type="dxa"/>
            <w:tcBorders>
              <w:top w:val="single" w:sz="4" w:space="0" w:color="auto"/>
              <w:left w:val="single" w:sz="4" w:space="0" w:color="auto"/>
              <w:bottom w:val="single" w:sz="4" w:space="0" w:color="auto"/>
              <w:right w:val="single" w:sz="4" w:space="0" w:color="auto"/>
            </w:tcBorders>
            <w:shd w:val="clear" w:color="auto" w:fill="EEECE1"/>
          </w:tcPr>
          <w:p w14:paraId="5761E0B2" w14:textId="77777777" w:rsidR="00A56EE9" w:rsidRPr="00E70A11" w:rsidRDefault="00A56EE9" w:rsidP="00BB6AD5">
            <w:pPr>
              <w:pStyle w:val="Tablebulletlist"/>
              <w:rPr>
                <w:rStyle w:val="BookTitle"/>
              </w:rPr>
            </w:pPr>
          </w:p>
        </w:tc>
      </w:tr>
      <w:tr w:rsidR="00A56EE9" w:rsidRPr="00E70A11" w14:paraId="5761E0CF" w14:textId="77777777" w:rsidTr="00B87DD3">
        <w:trPr>
          <w:trHeight w:val="170"/>
        </w:trPr>
        <w:tc>
          <w:tcPr>
            <w:tcW w:w="2831" w:type="dxa"/>
            <w:tcBorders>
              <w:top w:val="single" w:sz="4" w:space="0" w:color="auto"/>
              <w:left w:val="single" w:sz="4" w:space="0" w:color="auto"/>
              <w:bottom w:val="single" w:sz="4" w:space="0" w:color="auto"/>
              <w:right w:val="single" w:sz="4" w:space="0" w:color="auto"/>
            </w:tcBorders>
          </w:tcPr>
          <w:p w14:paraId="5761E0B4" w14:textId="77777777" w:rsidR="00A56EE9" w:rsidRPr="00E70A11" w:rsidRDefault="00A56EE9" w:rsidP="00BB6AD5">
            <w:pPr>
              <w:pStyle w:val="Tablebulletlist"/>
              <w:rPr>
                <w:rStyle w:val="BookTitle"/>
              </w:rPr>
            </w:pPr>
            <w:r w:rsidRPr="00E70A11">
              <w:rPr>
                <w:rStyle w:val="BookTitle"/>
              </w:rPr>
              <w:t>CO1</w:t>
            </w:r>
            <w:r>
              <w:rPr>
                <w:rStyle w:val="BookTitle"/>
              </w:rPr>
              <w:t xml:space="preserve"> </w:t>
            </w:r>
            <w:r w:rsidRPr="00E70A11">
              <w:rPr>
                <w:rStyle w:val="BookTitle"/>
              </w:rPr>
              <w:t>The values of the Great Barrier Reef relevant to climate change are understood by managers</w:t>
            </w:r>
          </w:p>
        </w:tc>
        <w:tc>
          <w:tcPr>
            <w:tcW w:w="768" w:type="dxa"/>
            <w:tcBorders>
              <w:top w:val="single" w:sz="4" w:space="0" w:color="auto"/>
              <w:left w:val="single" w:sz="4" w:space="0" w:color="auto"/>
              <w:bottom w:val="single" w:sz="4" w:space="0" w:color="auto"/>
              <w:right w:val="single" w:sz="4" w:space="0" w:color="auto"/>
            </w:tcBorders>
          </w:tcPr>
          <w:p w14:paraId="5761E0B5" w14:textId="77777777" w:rsidR="00A56EE9" w:rsidRPr="00E70A11" w:rsidRDefault="00A56EE9" w:rsidP="00BB6AD5">
            <w:pPr>
              <w:pStyle w:val="Tablebulletlist"/>
              <w:jc w:val="center"/>
              <w:rPr>
                <w:rStyle w:val="BookTitle"/>
              </w:rPr>
            </w:pPr>
            <w:r w:rsidRPr="00E70A11">
              <w:rPr>
                <w:rStyle w:val="BookTitle"/>
              </w:rPr>
              <w:t>4</w:t>
            </w:r>
          </w:p>
        </w:tc>
        <w:tc>
          <w:tcPr>
            <w:tcW w:w="4642" w:type="dxa"/>
            <w:tcBorders>
              <w:top w:val="single" w:sz="4" w:space="0" w:color="auto"/>
              <w:left w:val="single" w:sz="4" w:space="0" w:color="auto"/>
              <w:bottom w:val="single" w:sz="4" w:space="0" w:color="auto"/>
              <w:right w:val="single" w:sz="4" w:space="0" w:color="auto"/>
            </w:tcBorders>
          </w:tcPr>
          <w:p w14:paraId="5761E0B6" w14:textId="77777777" w:rsidR="00A56EE9" w:rsidRPr="00E70A11" w:rsidRDefault="00A56EE9" w:rsidP="00A11869">
            <w:pPr>
              <w:pStyle w:val="ListParagraph"/>
              <w:numPr>
                <w:ilvl w:val="0"/>
                <w:numId w:val="20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Managers understand that Reef-dependent values and activities are vulnerable to the negative effects on Reef condition of ocean acidification, sea level rise, more frequent extreme weather and warming sea temperatures. Associated impacts such as mass coral bleaching are already having significant impacts on the Reef, and the frequency and severity of impacts is predicted to increase, with even more serious consequences for the Reef likely before mid-century.</w:t>
            </w:r>
            <w:r>
              <w:rPr>
                <w:rStyle w:val="BookTitle"/>
                <w:rFonts w:ascii="Arial Narrow" w:hAnsi="Arial Narrow"/>
                <w:sz w:val="18"/>
                <w:szCs w:val="18"/>
              </w:rPr>
              <w:t xml:space="preserve"> </w:t>
            </w:r>
          </w:p>
          <w:p w14:paraId="5761E0B7" w14:textId="77777777" w:rsidR="00A56EE9" w:rsidRPr="00E70A11" w:rsidRDefault="00A56EE9" w:rsidP="00A11869">
            <w:pPr>
              <w:pStyle w:val="ListParagraph"/>
              <w:numPr>
                <w:ilvl w:val="0"/>
                <w:numId w:val="20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ecosystems are very vulnerable to most changes that climate change will bring. In 2016 and 2017, back to back mass coral bleaching events, caused by sustained high water temperatures, caused an estimated 50 per cent coral loss Reef wide. Corals and other calcifying organisms are also expected to be seriously affected by ocean acidification driven by increased levels of CO2 entering the oceans from the atmosphere</w:t>
            </w:r>
          </w:p>
          <w:p w14:paraId="5761E0B8" w14:textId="77777777" w:rsidR="00A56EE9" w:rsidRPr="00E70A11" w:rsidRDefault="00A56EE9" w:rsidP="00A11869">
            <w:pPr>
              <w:pStyle w:val="ListParagraph"/>
              <w:numPr>
                <w:ilvl w:val="0"/>
                <w:numId w:val="20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Reef Summit and resulting Blueprint for Resilience identify the urgent need to address climate change through mitigation and to build resilience of the system by every sensible means available.</w:t>
            </w:r>
          </w:p>
          <w:p w14:paraId="5761E0B9" w14:textId="77777777" w:rsidR="00A56EE9" w:rsidRPr="00E70A11" w:rsidRDefault="00A56EE9" w:rsidP="00A11869">
            <w:pPr>
              <w:pStyle w:val="ListParagraph"/>
              <w:numPr>
                <w:ilvl w:val="0"/>
                <w:numId w:val="20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change risks to the values of the GBR are recognised in the Queensland Climate Adaptation Strategy and the Queensland Climate Transition Strategy.</w:t>
            </w:r>
          </w:p>
          <w:p w14:paraId="5761E0BA" w14:textId="77777777" w:rsidR="00A56EE9" w:rsidRPr="00E70A11" w:rsidRDefault="00A56EE9" w:rsidP="00A11869">
            <w:pPr>
              <w:pStyle w:val="ListParagraph"/>
              <w:numPr>
                <w:ilvl w:val="0"/>
                <w:numId w:val="20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All elements of the Reef ecosystem are exposed to, and at risk from, the impacts of climate change, the effects of which are already being seen. There is expected to be flow-on impacts for communities and industries, some of which are occurring already.</w:t>
            </w:r>
          </w:p>
          <w:p w14:paraId="5761E0BB" w14:textId="77777777" w:rsidR="00A56EE9" w:rsidRPr="00E70A11" w:rsidRDefault="00A56EE9" w:rsidP="00A11869">
            <w:pPr>
              <w:pStyle w:val="ListParagraph"/>
              <w:numPr>
                <w:ilvl w:val="0"/>
                <w:numId w:val="20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future of many key species is also under threat (eg. the sex ratio of turtle hatchlings is temperature dependent, and warming conditions could see a significant bias toward females in future populations).</w:t>
            </w:r>
          </w:p>
          <w:p w14:paraId="5761E0BC" w14:textId="77777777" w:rsidR="00A56EE9" w:rsidRPr="00E70A11" w:rsidRDefault="00A56EE9" w:rsidP="00A11869">
            <w:pPr>
              <w:pStyle w:val="ListParagraph"/>
              <w:numPr>
                <w:ilvl w:val="0"/>
                <w:numId w:val="20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Similarly human communities and GBR-dependent industries are also affected by the impacts of climate change on the Reef (eg. commercially important species, such as many fish and prawns, rely on corals, seagrasses or mangroves for some part of their life cycle which are projected to decline under climate change, suggesting that many fisheries may also be significantly affected).</w:t>
            </w:r>
          </w:p>
          <w:p w14:paraId="5761E0BD" w14:textId="77777777" w:rsidR="00A56EE9" w:rsidRDefault="00A56EE9" w:rsidP="00A11869">
            <w:pPr>
              <w:pStyle w:val="ListParagraph"/>
              <w:numPr>
                <w:ilvl w:val="0"/>
                <w:numId w:val="201"/>
              </w:numPr>
              <w:spacing w:after="200" w:line="276" w:lineRule="auto"/>
              <w:rPr>
                <w:rStyle w:val="BookTitle"/>
                <w:rFonts w:ascii="Arial Narrow" w:hAnsi="Arial Narrow"/>
                <w:sz w:val="18"/>
                <w:szCs w:val="18"/>
              </w:rPr>
            </w:pPr>
            <w:r>
              <w:rPr>
                <w:rStyle w:val="BookTitle"/>
                <w:rFonts w:ascii="Arial Narrow" w:hAnsi="Arial Narrow"/>
                <w:sz w:val="18"/>
                <w:szCs w:val="18"/>
              </w:rPr>
              <w:t>C</w:t>
            </w:r>
            <w:r w:rsidRPr="00E70A11">
              <w:rPr>
                <w:rStyle w:val="BookTitle"/>
                <w:rFonts w:ascii="Arial Narrow" w:hAnsi="Arial Narrow"/>
                <w:sz w:val="18"/>
                <w:szCs w:val="18"/>
              </w:rPr>
              <w:t>oral cover for the GBR is declining</w:t>
            </w:r>
          </w:p>
          <w:p w14:paraId="5761E0BE"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Style w:val="BookTitle"/>
                <w:rFonts w:ascii="Arial Narrow" w:hAnsi="Arial Narrow"/>
                <w:sz w:val="18"/>
                <w:szCs w:val="18"/>
              </w:rPr>
              <w:t>Predictions arising from the Vulnerability Assessment regarding climate change impacts to Reef values have proven to be correct since its publication in 2007. The Vulnerability assessment has not been updated since 2007 and back-to-back bleaching events will have impacted on this assessment</w:t>
            </w:r>
          </w:p>
        </w:tc>
        <w:tc>
          <w:tcPr>
            <w:tcW w:w="4464" w:type="dxa"/>
            <w:tcBorders>
              <w:top w:val="single" w:sz="4" w:space="0" w:color="auto"/>
              <w:left w:val="single" w:sz="4" w:space="0" w:color="auto"/>
              <w:bottom w:val="single" w:sz="4" w:space="0" w:color="auto"/>
              <w:right w:val="single" w:sz="4" w:space="0" w:color="auto"/>
            </w:tcBorders>
          </w:tcPr>
          <w:p w14:paraId="5761E0BF"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Outlook Report 2014</w:t>
            </w:r>
          </w:p>
          <w:p w14:paraId="5761E0C0"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Great Barrier Reef Strategic Assessment Report 2014</w:t>
            </w:r>
          </w:p>
          <w:p w14:paraId="5761E0C1"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 xml:space="preserve">Great Barrier Reef Climate Change Adaptation Strategy and Action Plan 2012-2017 </w:t>
            </w:r>
          </w:p>
          <w:p w14:paraId="5761E0C2"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 xml:space="preserve">Biodiversity Conservation Strategy 2013 </w:t>
            </w:r>
          </w:p>
          <w:p w14:paraId="5761E0C3"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 xml:space="preserve">Informing the Outlook for Great Barrier Reef coastal ecosystems </w:t>
            </w:r>
          </w:p>
          <w:p w14:paraId="5761E0C4"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Queensland Climate Adaptation Strategy 2017-2030</w:t>
            </w:r>
          </w:p>
          <w:p w14:paraId="5761E0C5"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Queensland Climate Transition Strategy</w:t>
            </w:r>
          </w:p>
          <w:p w14:paraId="5761E0C6"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State Party Report on the state of conservation of the Great Barrier Reef World Heritage Area (Australia) 2015</w:t>
            </w:r>
          </w:p>
          <w:p w14:paraId="5761E0C7"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Final report: 2016 coral bleaching event on the Great Barrier Reef</w:t>
            </w:r>
          </w:p>
          <w:p w14:paraId="5761E0C8"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Hughes et al 2017 Global warming and recurrent mass bleaching of corals</w:t>
            </w:r>
          </w:p>
          <w:p w14:paraId="5761E0C9"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Heron et al 2017 Impacts of Climate Change on World Heritage Coral Reefs: A First Global Scientific Assessment: http://whc.unesco.org/document/158688</w:t>
            </w:r>
          </w:p>
          <w:p w14:paraId="5761E0CA"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2017 coral bleaching event on the Great Barrier Reef</w:t>
            </w:r>
          </w:p>
          <w:p w14:paraId="5761E0CB" w14:textId="77777777" w:rsidR="00A56EE9" w:rsidRPr="00E70A11" w:rsidRDefault="00A56EE9" w:rsidP="00A11869">
            <w:pPr>
              <w:pStyle w:val="ListParagraph"/>
              <w:numPr>
                <w:ilvl w:val="0"/>
                <w:numId w:val="201"/>
              </w:numPr>
              <w:spacing w:after="200" w:line="276" w:lineRule="auto"/>
              <w:rPr>
                <w:rFonts w:ascii="Arial Narrow" w:hAnsi="Arial Narrow"/>
                <w:sz w:val="18"/>
                <w:szCs w:val="18"/>
              </w:rPr>
            </w:pPr>
            <w:r w:rsidRPr="00E70A11">
              <w:rPr>
                <w:rFonts w:ascii="Arial Narrow" w:hAnsi="Arial Narrow"/>
                <w:sz w:val="18"/>
                <w:szCs w:val="18"/>
              </w:rPr>
              <w:t xml:space="preserve">Climate change and the Great Barrier Reef: A vulnerability assessment </w:t>
            </w:r>
          </w:p>
          <w:p w14:paraId="5761E0CC" w14:textId="77777777" w:rsidR="00A56EE9" w:rsidRPr="00E70A11" w:rsidRDefault="00A56EE9" w:rsidP="00BB6AD5">
            <w:pPr>
              <w:pStyle w:val="ListParagraph"/>
              <w:rPr>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0CD"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0C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0E9"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0D0"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to climate change are known by managers</w:t>
            </w:r>
          </w:p>
        </w:tc>
        <w:tc>
          <w:tcPr>
            <w:tcW w:w="768" w:type="dxa"/>
            <w:tcBorders>
              <w:top w:val="single" w:sz="4" w:space="0" w:color="auto"/>
              <w:left w:val="single" w:sz="4" w:space="0" w:color="auto"/>
              <w:bottom w:val="single" w:sz="4" w:space="0" w:color="auto"/>
              <w:right w:val="single" w:sz="4" w:space="0" w:color="auto"/>
            </w:tcBorders>
            <w:vAlign w:val="center"/>
          </w:tcPr>
          <w:p w14:paraId="5761E0D1"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0D2"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Since the Outlook Report 2014 assessment, the Reef has been subjected to several large-scale disturbances (listed below). The individual and cumulative impacts of these disturbances have negatively affected values, but effects are not fully known.</w:t>
            </w:r>
            <w:r>
              <w:rPr>
                <w:rFonts w:ascii="Arial Narrow" w:hAnsi="Arial Narrow"/>
                <w:sz w:val="18"/>
                <w:szCs w:val="18"/>
              </w:rPr>
              <w:t xml:space="preserve"> </w:t>
            </w:r>
          </w:p>
          <w:p w14:paraId="5761E0D3" w14:textId="77777777" w:rsidR="00A56EE9" w:rsidRPr="00E70A11" w:rsidRDefault="00A56EE9" w:rsidP="00A11869">
            <w:pPr>
              <w:pStyle w:val="ListParagraph"/>
              <w:numPr>
                <w:ilvl w:val="1"/>
                <w:numId w:val="202"/>
              </w:numPr>
              <w:spacing w:after="200" w:line="276" w:lineRule="auto"/>
              <w:rPr>
                <w:rFonts w:ascii="Arial Narrow" w:hAnsi="Arial Narrow"/>
                <w:sz w:val="18"/>
                <w:szCs w:val="18"/>
              </w:rPr>
            </w:pPr>
            <w:r w:rsidRPr="00E70A11">
              <w:rPr>
                <w:rFonts w:ascii="Arial Narrow" w:hAnsi="Arial Narrow"/>
                <w:sz w:val="18"/>
                <w:szCs w:val="18"/>
              </w:rPr>
              <w:t>2014- Tropical Cyclone Ita (category 5) severely affected reefs around the Lizard Island area</w:t>
            </w:r>
          </w:p>
          <w:p w14:paraId="5761E0D4" w14:textId="77777777" w:rsidR="00A56EE9" w:rsidRPr="00E70A11" w:rsidRDefault="00A56EE9" w:rsidP="00A11869">
            <w:pPr>
              <w:pStyle w:val="ListParagraph"/>
              <w:numPr>
                <w:ilvl w:val="1"/>
                <w:numId w:val="202"/>
              </w:numPr>
              <w:spacing w:after="200" w:line="276" w:lineRule="auto"/>
              <w:rPr>
                <w:rFonts w:ascii="Arial Narrow" w:hAnsi="Arial Narrow"/>
                <w:sz w:val="18"/>
                <w:szCs w:val="18"/>
              </w:rPr>
            </w:pPr>
            <w:r w:rsidRPr="00E70A11">
              <w:rPr>
                <w:rFonts w:ascii="Arial Narrow" w:hAnsi="Arial Narrow"/>
                <w:sz w:val="18"/>
                <w:szCs w:val="18"/>
              </w:rPr>
              <w:t>2015-TC Marcia (5) affected reefs in the southern GBR and TC Nathan (4) affected reefs around the Lizard Island area</w:t>
            </w:r>
          </w:p>
          <w:p w14:paraId="5761E0D5" w14:textId="77777777" w:rsidR="00A56EE9" w:rsidRPr="00E70A11" w:rsidRDefault="00A56EE9" w:rsidP="00A11869">
            <w:pPr>
              <w:pStyle w:val="ListParagraph"/>
              <w:numPr>
                <w:ilvl w:val="1"/>
                <w:numId w:val="202"/>
              </w:numPr>
              <w:spacing w:after="200" w:line="276" w:lineRule="auto"/>
              <w:rPr>
                <w:rFonts w:ascii="Arial Narrow" w:hAnsi="Arial Narrow"/>
                <w:sz w:val="18"/>
                <w:szCs w:val="18"/>
              </w:rPr>
            </w:pPr>
            <w:r w:rsidRPr="00E70A11">
              <w:rPr>
                <w:rFonts w:ascii="Arial Narrow" w:hAnsi="Arial Narrow"/>
                <w:sz w:val="18"/>
                <w:szCs w:val="18"/>
              </w:rPr>
              <w:t>2016 -</w:t>
            </w:r>
            <w:r>
              <w:rPr>
                <w:rFonts w:ascii="Arial Narrow" w:hAnsi="Arial Narrow"/>
                <w:sz w:val="18"/>
                <w:szCs w:val="18"/>
              </w:rPr>
              <w:t xml:space="preserve"> </w:t>
            </w:r>
            <w:r w:rsidRPr="00E70A11">
              <w:rPr>
                <w:rFonts w:ascii="Arial Narrow" w:hAnsi="Arial Narrow"/>
                <w:sz w:val="18"/>
                <w:szCs w:val="18"/>
              </w:rPr>
              <w:t>Mass bleaching event affected the northern GBR with an estimated 29 % coral loss</w:t>
            </w:r>
          </w:p>
          <w:p w14:paraId="5761E0D6" w14:textId="77777777" w:rsidR="00A56EE9" w:rsidRPr="00E70A11" w:rsidRDefault="00A56EE9" w:rsidP="00A11869">
            <w:pPr>
              <w:pStyle w:val="ListParagraph"/>
              <w:numPr>
                <w:ilvl w:val="1"/>
                <w:numId w:val="202"/>
              </w:numPr>
              <w:spacing w:after="200" w:line="276" w:lineRule="auto"/>
              <w:rPr>
                <w:rFonts w:ascii="Arial Narrow" w:hAnsi="Arial Narrow"/>
                <w:sz w:val="18"/>
                <w:szCs w:val="18"/>
              </w:rPr>
            </w:pPr>
            <w:r w:rsidRPr="00E70A11">
              <w:rPr>
                <w:rFonts w:ascii="Arial Narrow" w:hAnsi="Arial Narrow"/>
                <w:sz w:val="18"/>
                <w:szCs w:val="18"/>
              </w:rPr>
              <w:t>2017 – Mass bleaching event affect the central section of the GBR. Coral loss has not been estimated. TC Debbie (4) severely affected the Whitsundays area and an estimated 28 % of total Reef area.</w:t>
            </w:r>
          </w:p>
          <w:p w14:paraId="5761E0D7"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The cumulative effects of these Reef health impacts will have hastened the decline in overall condition of the Great Barrier Reef but many elements of biodiversity and habitat condition and functioning have not yet been examined in detail, especially in the wake of back-to-back bleaching</w:t>
            </w:r>
          </w:p>
          <w:p w14:paraId="5761E0D8"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AIMS Long-term monitoring program revealed that over the past 12 months hard coral cover on the Great Barrier Reef declined by about a quarter, bringing average reef-wide coral cover down to 18% (does not include the impact of Tropical Cyclone Debbie or the further intense coral bleaching in 2017 which have not yet been fully assessed.</w:t>
            </w:r>
          </w:p>
          <w:p w14:paraId="5761E0D9"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Integrated Eye on the Reef program and data contained within the platform (now able to view Reef health and Impact survey (and other) data spatially in a way that assists assessment of impacts, trends, risks, and management options.</w:t>
            </w:r>
          </w:p>
          <w:p w14:paraId="5761E0DA"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The Great Barrier Reef’s world and national heritage values are underpinned by the ecosystem and directly affected by changes to it. Climate change is likely to affect the way people interact with the Great Barrier Reef and the economic, social and cultural benefits they derive from it.</w:t>
            </w:r>
          </w:p>
          <w:p w14:paraId="5761E0DB"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The Vulnerability assessment has not been updated since 2007 and back-to-back bleaching events will have impacted on this assessment</w:t>
            </w:r>
          </w:p>
        </w:tc>
        <w:tc>
          <w:tcPr>
            <w:tcW w:w="4464" w:type="dxa"/>
            <w:tcBorders>
              <w:top w:val="single" w:sz="4" w:space="0" w:color="auto"/>
              <w:left w:val="single" w:sz="4" w:space="0" w:color="auto"/>
              <w:bottom w:val="single" w:sz="4" w:space="0" w:color="auto"/>
              <w:right w:val="single" w:sz="4" w:space="0" w:color="auto"/>
            </w:tcBorders>
          </w:tcPr>
          <w:p w14:paraId="5761E0DC"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Outlook Report 2014</w:t>
            </w:r>
          </w:p>
          <w:p w14:paraId="5761E0DD"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Final report: 2016 coral bleaching event on the Great Barrier Reef</w:t>
            </w:r>
          </w:p>
          <w:p w14:paraId="5761E0DE"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2017 coral bleaching event on the Great Barrier Reef</w:t>
            </w:r>
          </w:p>
          <w:p w14:paraId="5761E0DF"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AIMS Long-term Reef Monitoring Program-Annual summary report on coral reef condition for 2016/17 (AIMS update 2017)</w:t>
            </w:r>
          </w:p>
          <w:p w14:paraId="5761E0E0"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 xml:space="preserve">Integrated Eye on the Reef program </w:t>
            </w:r>
          </w:p>
          <w:p w14:paraId="5761E0E1"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 xml:space="preserve">Informing the Outlook for Great Barrier Reef coastal ecosystems </w:t>
            </w:r>
          </w:p>
          <w:p w14:paraId="5761E0E2"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Marine Monitoring Program - Inshore coral reef monitoring</w:t>
            </w:r>
          </w:p>
          <w:p w14:paraId="5761E0E3"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Marine Monitoring Program - Inshore seagrass monitoring</w:t>
            </w:r>
          </w:p>
          <w:p w14:paraId="5761E0E4"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Marine Monitoring Program - Inshore water quality monitoring</w:t>
            </w:r>
          </w:p>
          <w:p w14:paraId="5761E0E5"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Reef 2050 Integrated Monitoring and Reporting Program</w:t>
            </w:r>
          </w:p>
          <w:p w14:paraId="5761E0E6" w14:textId="77777777" w:rsidR="00A56EE9" w:rsidRPr="00E70A11" w:rsidRDefault="00A56EE9" w:rsidP="00A11869">
            <w:pPr>
              <w:pStyle w:val="ListParagraph"/>
              <w:numPr>
                <w:ilvl w:val="0"/>
                <w:numId w:val="202"/>
              </w:numPr>
              <w:spacing w:after="200" w:line="276" w:lineRule="auto"/>
              <w:rPr>
                <w:rFonts w:ascii="Arial Narrow" w:hAnsi="Arial Narrow"/>
                <w:sz w:val="18"/>
                <w:szCs w:val="18"/>
              </w:rPr>
            </w:pPr>
            <w:r w:rsidRPr="00E70A11">
              <w:rPr>
                <w:rFonts w:ascii="Arial Narrow" w:hAnsi="Arial Narrow"/>
                <w:sz w:val="18"/>
                <w:szCs w:val="18"/>
              </w:rPr>
              <w:t>Climate change and the Great Barrier Reef : A vulnerability assessment</w:t>
            </w:r>
          </w:p>
        </w:tc>
        <w:tc>
          <w:tcPr>
            <w:tcW w:w="968" w:type="dxa"/>
            <w:tcBorders>
              <w:top w:val="single" w:sz="4" w:space="0" w:color="auto"/>
              <w:left w:val="single" w:sz="4" w:space="0" w:color="auto"/>
              <w:bottom w:val="single" w:sz="4" w:space="0" w:color="auto"/>
              <w:right w:val="single" w:sz="4" w:space="0" w:color="auto"/>
            </w:tcBorders>
          </w:tcPr>
          <w:p w14:paraId="5761E0E7"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0E8"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111"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0EA"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Impacts (direct, indirect and cumulative) associated with climate change are understood by managers.</w:t>
            </w:r>
          </w:p>
        </w:tc>
        <w:tc>
          <w:tcPr>
            <w:tcW w:w="768" w:type="dxa"/>
            <w:tcBorders>
              <w:top w:val="single" w:sz="4" w:space="0" w:color="auto"/>
              <w:left w:val="single" w:sz="4" w:space="0" w:color="auto"/>
              <w:bottom w:val="single" w:sz="4" w:space="0" w:color="auto"/>
              <w:right w:val="single" w:sz="4" w:space="0" w:color="auto"/>
            </w:tcBorders>
            <w:vAlign w:val="center"/>
          </w:tcPr>
          <w:p w14:paraId="5761E0EB" w14:textId="77777777" w:rsidR="00A56EE9" w:rsidRPr="00E70A11" w:rsidRDefault="00A56EE9" w:rsidP="00BB6AD5">
            <w:pPr>
              <w:pStyle w:val="Tablebulletlist"/>
              <w:jc w:val="center"/>
              <w:rPr>
                <w:rStyle w:val="BookTitle"/>
              </w:rPr>
            </w:pPr>
            <w:r w:rsidRPr="00E70A11">
              <w:rPr>
                <w:rStyle w:val="BookTitle"/>
              </w:rPr>
              <w:t>3</w:t>
            </w:r>
          </w:p>
        </w:tc>
        <w:tc>
          <w:tcPr>
            <w:tcW w:w="4642" w:type="dxa"/>
            <w:tcBorders>
              <w:top w:val="single" w:sz="4" w:space="0" w:color="auto"/>
              <w:left w:val="single" w:sz="4" w:space="0" w:color="auto"/>
              <w:bottom w:val="single" w:sz="4" w:space="0" w:color="auto"/>
              <w:right w:val="single" w:sz="4" w:space="0" w:color="auto"/>
            </w:tcBorders>
          </w:tcPr>
          <w:p w14:paraId="5761E0EC"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Reef 2050 Plan does not explicitly consider the main threat to the Reef (Climate Change), therefore scientific effort (through actions, targets) is not focused on delivering outcomes that would address climate pressures to the reef.</w:t>
            </w:r>
          </w:p>
          <w:p w14:paraId="5761E0ED"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Progress in understanding has slowed considerably since the cessation of the Climate Change group within GBRMPA</w:t>
            </w:r>
          </w:p>
          <w:p w14:paraId="5761E0EE"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In the period since the last assessment, climate change has severely impacted the Reef, however the condition of some species groups and some ecosystem effects are largely unknown.</w:t>
            </w:r>
          </w:p>
          <w:p w14:paraId="5761E0EF"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Reef-wide mass coral bleaching events in 2016 and 2017 affected ~65 % of GBR reefs respectively, with estimates of up to 50% coral loss from both events. (see Hughes et al. 2017 x 2 papers)</w:t>
            </w:r>
          </w:p>
          <w:p w14:paraId="5761E0F0"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 xml:space="preserve">Climate change is already having serious impacts on the Reef’s values and this will only get worse with committed climate change even under the most optimistic emissions reduction pathways. Effects include: </w:t>
            </w:r>
          </w:p>
          <w:p w14:paraId="5761E0F1" w14:textId="77777777" w:rsidR="00A56EE9" w:rsidRPr="00E70A11" w:rsidRDefault="00A56EE9" w:rsidP="00A11869">
            <w:pPr>
              <w:pStyle w:val="ListParagraph"/>
              <w:numPr>
                <w:ilvl w:val="1"/>
                <w:numId w:val="203"/>
              </w:numPr>
              <w:spacing w:after="200" w:line="276" w:lineRule="auto"/>
              <w:ind w:left="1011"/>
              <w:rPr>
                <w:rFonts w:ascii="Arial Narrow" w:hAnsi="Arial Narrow"/>
                <w:sz w:val="18"/>
                <w:szCs w:val="18"/>
              </w:rPr>
            </w:pPr>
            <w:r w:rsidRPr="00E70A11">
              <w:rPr>
                <w:rFonts w:ascii="Arial Narrow" w:hAnsi="Arial Narrow"/>
                <w:sz w:val="18"/>
                <w:szCs w:val="18"/>
              </w:rPr>
              <w:t>increased storm and cyclone severity</w:t>
            </w:r>
          </w:p>
          <w:p w14:paraId="5761E0F2" w14:textId="77777777" w:rsidR="00A56EE9" w:rsidRPr="00E70A11" w:rsidRDefault="00A56EE9" w:rsidP="00A11869">
            <w:pPr>
              <w:pStyle w:val="ListParagraph"/>
              <w:numPr>
                <w:ilvl w:val="1"/>
                <w:numId w:val="203"/>
              </w:numPr>
              <w:spacing w:after="200" w:line="276" w:lineRule="auto"/>
              <w:ind w:left="1011"/>
              <w:rPr>
                <w:rFonts w:ascii="Arial Narrow" w:hAnsi="Arial Narrow"/>
                <w:sz w:val="18"/>
                <w:szCs w:val="18"/>
              </w:rPr>
            </w:pPr>
            <w:r w:rsidRPr="00E70A11">
              <w:rPr>
                <w:rFonts w:ascii="Arial Narrow" w:hAnsi="Arial Narrow"/>
                <w:sz w:val="18"/>
                <w:szCs w:val="18"/>
              </w:rPr>
              <w:t>ocean acidification</w:t>
            </w:r>
          </w:p>
          <w:p w14:paraId="5761E0F3" w14:textId="77777777" w:rsidR="00A56EE9" w:rsidRPr="00E70A11" w:rsidRDefault="00A56EE9" w:rsidP="00A11869">
            <w:pPr>
              <w:pStyle w:val="ListParagraph"/>
              <w:numPr>
                <w:ilvl w:val="1"/>
                <w:numId w:val="203"/>
              </w:numPr>
              <w:spacing w:after="200" w:line="276" w:lineRule="auto"/>
              <w:ind w:left="1011"/>
              <w:rPr>
                <w:rFonts w:ascii="Arial Narrow" w:hAnsi="Arial Narrow"/>
                <w:sz w:val="18"/>
                <w:szCs w:val="18"/>
              </w:rPr>
            </w:pPr>
            <w:proofErr w:type="gramStart"/>
            <w:r w:rsidRPr="00E70A11">
              <w:rPr>
                <w:rFonts w:ascii="Arial Narrow" w:hAnsi="Arial Narrow"/>
                <w:sz w:val="18"/>
                <w:szCs w:val="18"/>
              </w:rPr>
              <w:t>rising</w:t>
            </w:r>
            <w:proofErr w:type="gramEnd"/>
            <w:r w:rsidRPr="00E70A11">
              <w:rPr>
                <w:rFonts w:ascii="Arial Narrow" w:hAnsi="Arial Narrow"/>
                <w:sz w:val="18"/>
                <w:szCs w:val="18"/>
              </w:rPr>
              <w:t xml:space="preserve"> sea temperature. Successive bleaching events are likely to diminish the ability of corals to recover and adapt, seriously threatening the Great Barrier Reef ecosystems.</w:t>
            </w:r>
          </w:p>
          <w:p w14:paraId="5761E0F4" w14:textId="77777777" w:rsidR="00A56EE9" w:rsidRPr="00E70A11" w:rsidRDefault="00A56EE9" w:rsidP="00A11869">
            <w:pPr>
              <w:pStyle w:val="ListParagraph"/>
              <w:numPr>
                <w:ilvl w:val="1"/>
                <w:numId w:val="203"/>
              </w:numPr>
              <w:spacing w:after="200" w:line="276" w:lineRule="auto"/>
              <w:ind w:left="1011"/>
              <w:rPr>
                <w:rFonts w:ascii="Arial Narrow" w:hAnsi="Arial Narrow"/>
                <w:sz w:val="18"/>
                <w:szCs w:val="18"/>
              </w:rPr>
            </w:pPr>
            <w:r w:rsidRPr="00E70A11">
              <w:rPr>
                <w:rFonts w:ascii="Arial Narrow" w:hAnsi="Arial Narrow"/>
                <w:sz w:val="18"/>
                <w:szCs w:val="18"/>
              </w:rPr>
              <w:t>sea level rise</w:t>
            </w:r>
          </w:p>
          <w:p w14:paraId="5761E0F5" w14:textId="77777777" w:rsidR="00A56EE9" w:rsidRPr="00E70A11" w:rsidRDefault="00A56EE9" w:rsidP="00A11869">
            <w:pPr>
              <w:pStyle w:val="ListParagraph"/>
              <w:numPr>
                <w:ilvl w:val="1"/>
                <w:numId w:val="203"/>
              </w:numPr>
              <w:spacing w:after="200" w:line="276" w:lineRule="auto"/>
              <w:ind w:left="1011"/>
              <w:rPr>
                <w:rFonts w:ascii="Arial Narrow" w:hAnsi="Arial Narrow"/>
                <w:sz w:val="18"/>
                <w:szCs w:val="18"/>
              </w:rPr>
            </w:pPr>
            <w:r w:rsidRPr="00E70A11">
              <w:rPr>
                <w:rFonts w:ascii="Arial Narrow" w:hAnsi="Arial Narrow"/>
                <w:sz w:val="18"/>
                <w:szCs w:val="18"/>
              </w:rPr>
              <w:t>changing ocean currents</w:t>
            </w:r>
          </w:p>
          <w:p w14:paraId="5761E0F6"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The implementation of the Queensland Climate Adaptation Strategy includes the development of a Sector Adaptation Plan for biodiversity and ecosystems that will address climate-related issues for the GBR in addition to other marine, freshwater and terrestrial ecosystems but these plans in relation to biodiversity and ecosystems are yet to be developed</w:t>
            </w:r>
          </w:p>
          <w:p w14:paraId="5761E0F7"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In 2017 high incidence of coral diseases affected parts of the Great Barrier Reef. This was anticipated in GBRMPA’s pre-summer risk assessments, given the heat stress affecting Reef waters and the growing body of evidence that warmer ocean temperatures promote the prevalence of some coral diseases.</w:t>
            </w:r>
          </w:p>
          <w:p w14:paraId="5761E0F8"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 xml:space="preserve">NERP/NESP and other work is increasing our rudimentary knowledge of cumulative impacts. NESP research is also studying the linkages between water quality and the thermal tolerance of GBR coral reefs. However, consequential and cumulative impacts associated with climate change are not well understood. New policy work is designed to increase the consideration of cumulative effects by managers. </w:t>
            </w:r>
          </w:p>
          <w:p w14:paraId="5761E0F9"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Concerns for the tourism industry include degradation of reef sites, poor recovery of bleached sites as a result of other stresses, and a loss of marketing appeal as a high-quality reef destination. A healthy and resilient Reef is fundamental to the success of many tourism operations and deteriorating Reef conditions may reduce tourism opportunities and visitor satisfaction, with significant economic repercussions for regional Australia.</w:t>
            </w:r>
          </w:p>
          <w:p w14:paraId="5761E0FA"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Fishing activities are likely to be highly sensitive to climate change, including as a result of projected changes in fish abundance, survivorship, size and distribution, disruptions to shallow-water nurseries and loss of coral reef habitats, as well as changes in cyclone and storm activity. Vulnerability assessments have identified high risks from climate change for Queensland fishery species and their habitats, and several documents provide insights into the associated concerns relating to Queensland’s fisheries and regional Australia.</w:t>
            </w:r>
          </w:p>
          <w:p w14:paraId="5761E0FB"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 xml:space="preserve">Foreshores and coastal infrastructure such as ports, and the benefits communities derive from them, will also be influenced by climate change impacts on the catchment and the Great Barrier Reef Region. QCoast </w:t>
            </w:r>
            <w:r w:rsidRPr="00F31A13">
              <w:rPr>
                <w:rFonts w:ascii="Arial Narrow" w:hAnsi="Arial Narrow"/>
                <w:sz w:val="18"/>
                <w:szCs w:val="18"/>
                <w:vertAlign w:val="subscript"/>
              </w:rPr>
              <w:t>2100</w:t>
            </w:r>
            <w:r w:rsidRPr="00E70A11">
              <w:rPr>
                <w:rFonts w:ascii="Arial Narrow" w:hAnsi="Arial Narrow"/>
                <w:sz w:val="18"/>
                <w:szCs w:val="18"/>
              </w:rPr>
              <w:t xml:space="preserve"> funding program is assisting local government in understanding and planning for these impacts.</w:t>
            </w:r>
          </w:p>
          <w:p w14:paraId="5761E0FC"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Another important value of coral reefs is the physical protection they provide against natural hazards from coastal storms, flooding and rising sea level. In this sense the Great Barrier Reef can be thought of as a living, self-repairing “breakwater” that protects Queensland coastal communities and industries. Combined results across studies show that coral reefs dissipate 97 per cent of the wave energy that would otherwise impact shorelines. This valuable coastal protection could be lost if reefs become heavily degraded and unable to keep up with rising sea levels</w:t>
            </w:r>
          </w:p>
        </w:tc>
        <w:tc>
          <w:tcPr>
            <w:tcW w:w="4464" w:type="dxa"/>
            <w:tcBorders>
              <w:top w:val="single" w:sz="4" w:space="0" w:color="auto"/>
              <w:left w:val="single" w:sz="4" w:space="0" w:color="auto"/>
              <w:bottom w:val="single" w:sz="4" w:space="0" w:color="auto"/>
              <w:right w:val="single" w:sz="4" w:space="0" w:color="auto"/>
            </w:tcBorders>
          </w:tcPr>
          <w:p w14:paraId="5761E0FD"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Workshops and stakeholder interviews</w:t>
            </w:r>
          </w:p>
          <w:p w14:paraId="5761E0FE"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Outlook Report 2014 http://hdl.handle.net/11017/2855</w:t>
            </w:r>
          </w:p>
          <w:p w14:paraId="5761E0FF"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 xml:space="preserve">Great Barrier Reef Strategic Assessment Report, </w:t>
            </w:r>
          </w:p>
          <w:p w14:paraId="5761E100"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Great Barrier Reef Coastal Zone Strategic Assessment 2014</w:t>
            </w:r>
          </w:p>
          <w:p w14:paraId="5761E101"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Hughes et al. (2017a) Global warming and recurrent mass bleaching of corals</w:t>
            </w:r>
          </w:p>
          <w:p w14:paraId="5761E102"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Hughes et al. (2017b) coral reefs in the Anthropocene.</w:t>
            </w:r>
          </w:p>
          <w:p w14:paraId="5761E103"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 xml:space="preserve">Biodiversity Conservation Strategy 2013 </w:t>
            </w:r>
          </w:p>
          <w:p w14:paraId="5761E104"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 xml:space="preserve">Great Barrier Reef Climate Change Adaptation Strategy and Action Plan 2012-2017 </w:t>
            </w:r>
          </w:p>
          <w:p w14:paraId="5761E105"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Reef 2050 Long-Term Sustainability Plan</w:t>
            </w:r>
          </w:p>
          <w:p w14:paraId="5761E106"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Final report: 2016 coral bleaching event on the Great Barrier Reef</w:t>
            </w:r>
          </w:p>
          <w:p w14:paraId="5761E107"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 xml:space="preserve">Hughes, T.P. and Kerry, J. 2017. Back-to-back bleaching has now hit two-thirds of the Great Barrier Reef, The Conversation April 12, 2017 </w:t>
            </w:r>
          </w:p>
          <w:p w14:paraId="5761E108"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Climate change and the Great Barrier Reef : A vulnerability assessment (2007)</w:t>
            </w:r>
          </w:p>
          <w:p w14:paraId="5761E109"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Welch, D.J., Saunders, T., Robins, J., Harry, A., Johnson, J., Maynard, J., Saunders, R., Pecl, G., Sawynok, B. and Tobin, A., 2014. Implications of climate change impacts on fisheries resources of northern Australia. Part 1: Vulnerability assessment and adaptation options.</w:t>
            </w:r>
          </w:p>
          <w:p w14:paraId="5761E10A"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Assessment of the ecological vulnerability of the East Coast Otter Trawl Fishery to climate change http://hdl.handle.net/11017/522</w:t>
            </w:r>
          </w:p>
          <w:p w14:paraId="5761E10B"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 xml:space="preserve">Osborne, K., Thompson, A.A., Cheal, A.J., Emslie, M.J., Johns, K.A., Jonker, M.J., Logan, M., Miller, I.R. and Sweatman, H.P.A. (2017), </w:t>
            </w:r>
            <w:proofErr w:type="gramStart"/>
            <w:r w:rsidRPr="00E70A11">
              <w:rPr>
                <w:rFonts w:ascii="Arial Narrow" w:hAnsi="Arial Narrow"/>
                <w:sz w:val="18"/>
                <w:szCs w:val="18"/>
              </w:rPr>
              <w:t>Delayed</w:t>
            </w:r>
            <w:proofErr w:type="gramEnd"/>
            <w:r w:rsidRPr="00E70A11">
              <w:rPr>
                <w:rFonts w:ascii="Arial Narrow" w:hAnsi="Arial Narrow"/>
                <w:sz w:val="18"/>
                <w:szCs w:val="18"/>
              </w:rPr>
              <w:t xml:space="preserve"> coral recovery in a warming ocean, Global Change Biology doi: 10.1111/gcb.13707.</w:t>
            </w:r>
          </w:p>
          <w:p w14:paraId="5761E10C"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 xml:space="preserve">Vulnerability Assessments </w:t>
            </w:r>
          </w:p>
          <w:p w14:paraId="5761E10D"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Queensland Climate Adaptation Strategy 2017-2030</w:t>
            </w:r>
          </w:p>
          <w:p w14:paraId="5761E10E" w14:textId="77777777" w:rsidR="00A56EE9" w:rsidRPr="00E70A11" w:rsidRDefault="00A56EE9" w:rsidP="00A11869">
            <w:pPr>
              <w:pStyle w:val="ListParagraph"/>
              <w:numPr>
                <w:ilvl w:val="0"/>
                <w:numId w:val="200"/>
              </w:numPr>
              <w:spacing w:after="200" w:line="276" w:lineRule="auto"/>
              <w:rPr>
                <w:rFonts w:ascii="Arial Narrow" w:hAnsi="Arial Narrow"/>
                <w:sz w:val="18"/>
                <w:szCs w:val="18"/>
              </w:rPr>
            </w:pPr>
            <w:r w:rsidRPr="00E70A11">
              <w:rPr>
                <w:rFonts w:ascii="Arial Narrow" w:hAnsi="Arial Narrow"/>
                <w:sz w:val="18"/>
                <w:szCs w:val="18"/>
              </w:rPr>
              <w:t>Queensland Climate Transition Strategy</w:t>
            </w:r>
          </w:p>
        </w:tc>
        <w:tc>
          <w:tcPr>
            <w:tcW w:w="968" w:type="dxa"/>
            <w:tcBorders>
              <w:top w:val="single" w:sz="4" w:space="0" w:color="auto"/>
              <w:left w:val="single" w:sz="4" w:space="0" w:color="auto"/>
              <w:bottom w:val="single" w:sz="4" w:space="0" w:color="auto"/>
              <w:right w:val="single" w:sz="4" w:space="0" w:color="auto"/>
            </w:tcBorders>
          </w:tcPr>
          <w:p w14:paraId="5761E10F"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110"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125"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112"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climate change are understood by managers.</w:t>
            </w:r>
          </w:p>
        </w:tc>
        <w:tc>
          <w:tcPr>
            <w:tcW w:w="768" w:type="dxa"/>
            <w:tcBorders>
              <w:top w:val="single" w:sz="4" w:space="0" w:color="auto"/>
              <w:left w:val="single" w:sz="4" w:space="0" w:color="auto"/>
              <w:bottom w:val="single" w:sz="4" w:space="0" w:color="auto"/>
              <w:right w:val="single" w:sz="4" w:space="0" w:color="auto"/>
            </w:tcBorders>
            <w:vAlign w:val="center"/>
          </w:tcPr>
          <w:p w14:paraId="5761E113" w14:textId="77777777" w:rsidR="00A56EE9" w:rsidRPr="00E70A11" w:rsidRDefault="00A56EE9" w:rsidP="00BB6AD5">
            <w:pPr>
              <w:pStyle w:val="Tablebulletlist"/>
              <w:jc w:val="center"/>
              <w:rPr>
                <w:rStyle w:val="BookTitle"/>
              </w:rPr>
            </w:pPr>
            <w:r w:rsidRPr="00E70A11">
              <w:rPr>
                <w:rStyle w:val="BookTitle"/>
              </w:rPr>
              <w:t>3</w:t>
            </w:r>
          </w:p>
        </w:tc>
        <w:tc>
          <w:tcPr>
            <w:tcW w:w="4642" w:type="dxa"/>
            <w:tcBorders>
              <w:top w:val="single" w:sz="4" w:space="0" w:color="auto"/>
              <w:left w:val="single" w:sz="4" w:space="0" w:color="auto"/>
              <w:bottom w:val="single" w:sz="4" w:space="0" w:color="auto"/>
              <w:right w:val="single" w:sz="4" w:space="0" w:color="auto"/>
            </w:tcBorders>
          </w:tcPr>
          <w:p w14:paraId="5761E114" w14:textId="77777777" w:rsidR="00A56EE9" w:rsidRPr="00E70A11" w:rsidRDefault="00A56EE9" w:rsidP="00A11869">
            <w:pPr>
              <w:pStyle w:val="ListParagraph"/>
              <w:numPr>
                <w:ilvl w:val="0"/>
                <w:numId w:val="20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Strategic Assessment Reports make it clear that managers understand the international and national level influences on climate change relevant to the GBR</w:t>
            </w:r>
          </w:p>
          <w:p w14:paraId="5761E115" w14:textId="77777777" w:rsidR="00A56EE9" w:rsidRPr="00E70A11" w:rsidRDefault="00A56EE9" w:rsidP="00A11869">
            <w:pPr>
              <w:pStyle w:val="ListParagraph"/>
              <w:numPr>
                <w:ilvl w:val="0"/>
                <w:numId w:val="20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AIMS has provided GBR scale projections for climate but assessment of likely environmental, social and economic impacts at this scale is limited</w:t>
            </w:r>
          </w:p>
          <w:p w14:paraId="5761E116" w14:textId="77777777" w:rsidR="00A56EE9" w:rsidRPr="00E70A11" w:rsidRDefault="00A56EE9" w:rsidP="00A11869">
            <w:pPr>
              <w:pStyle w:val="ListParagraph"/>
              <w:numPr>
                <w:ilvl w:val="0"/>
                <w:numId w:val="20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policy and resultant mitigation and adaptation programs remain in a state of flux at national level as is clear in the report of the Senate Enquiry on impacts of climate change on marine fisheries and biodiversity (Australian Senate, 2017)</w:t>
            </w:r>
          </w:p>
          <w:p w14:paraId="5761E117" w14:textId="77777777" w:rsidR="00A56EE9" w:rsidRPr="00E70A11" w:rsidRDefault="00A56EE9" w:rsidP="00A11869">
            <w:pPr>
              <w:pStyle w:val="ListParagraph"/>
              <w:numPr>
                <w:ilvl w:val="0"/>
                <w:numId w:val="20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Knowledge is focussed more on adaptation rather than mitigation</w:t>
            </w:r>
          </w:p>
          <w:p w14:paraId="5761E118"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Style w:val="BookTitle"/>
                <w:rFonts w:ascii="Arial Narrow" w:hAnsi="Arial Narrow"/>
                <w:sz w:val="18"/>
                <w:szCs w:val="18"/>
              </w:rPr>
              <w:t>Concern that despite awareness and knowledge amongst some staff there is a general reduction in understanding and capacity at GBRMPA since the cessation of the Climate Change Action Plan (CCAP)</w:t>
            </w:r>
          </w:p>
        </w:tc>
        <w:tc>
          <w:tcPr>
            <w:tcW w:w="4464" w:type="dxa"/>
            <w:tcBorders>
              <w:top w:val="single" w:sz="4" w:space="0" w:color="auto"/>
              <w:left w:val="single" w:sz="4" w:space="0" w:color="auto"/>
              <w:bottom w:val="single" w:sz="4" w:space="0" w:color="auto"/>
              <w:right w:val="single" w:sz="4" w:space="0" w:color="auto"/>
            </w:tcBorders>
          </w:tcPr>
          <w:p w14:paraId="5761E119"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Workshops and stakeholder interviews</w:t>
            </w:r>
          </w:p>
          <w:p w14:paraId="5761E11A"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Great Barrier Reef Strategic Assessment Report 2014</w:t>
            </w:r>
          </w:p>
          <w:p w14:paraId="5761E11B"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 xml:space="preserve">Great Barrier Reef Climate Change Adaptation Strategy and Action Plan 2012-2017 </w:t>
            </w:r>
          </w:p>
          <w:p w14:paraId="5761E11C"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2017 Pollinate Report</w:t>
            </w:r>
          </w:p>
          <w:p w14:paraId="5761E11D"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Australian Academy of Science report The Science of Climate Change: Questions and Answers</w:t>
            </w:r>
          </w:p>
          <w:p w14:paraId="5761E11E"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Paris Agreement</w:t>
            </w:r>
          </w:p>
          <w:p w14:paraId="5761E11F"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Fact sheet: The Australian Government's action on climate change - 2016</w:t>
            </w:r>
          </w:p>
          <w:p w14:paraId="5761E120"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The Great Barrier Reef Marine Park Authority’s submission to DoEE</w:t>
            </w:r>
          </w:p>
          <w:p w14:paraId="5761E121"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CSIRO climate change website</w:t>
            </w:r>
          </w:p>
          <w:p w14:paraId="5761E122" w14:textId="77777777" w:rsidR="00A56EE9" w:rsidRPr="00E70A11" w:rsidRDefault="00A56EE9" w:rsidP="00A11869">
            <w:pPr>
              <w:pStyle w:val="ListParagraph"/>
              <w:numPr>
                <w:ilvl w:val="0"/>
                <w:numId w:val="203"/>
              </w:numPr>
              <w:spacing w:after="200" w:line="276" w:lineRule="auto"/>
              <w:rPr>
                <w:rFonts w:ascii="Arial Narrow" w:hAnsi="Arial Narrow"/>
                <w:sz w:val="18"/>
                <w:szCs w:val="18"/>
              </w:rPr>
            </w:pPr>
            <w:r w:rsidRPr="00E70A11">
              <w:rPr>
                <w:rFonts w:ascii="Arial Narrow" w:hAnsi="Arial Narrow"/>
                <w:sz w:val="18"/>
                <w:szCs w:val="18"/>
              </w:rPr>
              <w:t>Senate Enquiry (2017) In hot water: the impacts of climate change on marine fisheries and biodiversity</w:t>
            </w:r>
          </w:p>
        </w:tc>
        <w:tc>
          <w:tcPr>
            <w:tcW w:w="968" w:type="dxa"/>
            <w:tcBorders>
              <w:top w:val="single" w:sz="4" w:space="0" w:color="auto"/>
              <w:left w:val="single" w:sz="4" w:space="0" w:color="auto"/>
              <w:bottom w:val="single" w:sz="4" w:space="0" w:color="auto"/>
              <w:right w:val="single" w:sz="4" w:space="0" w:color="auto"/>
            </w:tcBorders>
          </w:tcPr>
          <w:p w14:paraId="5761E123"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12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133"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126"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climate change are well known by managers.</w:t>
            </w:r>
          </w:p>
        </w:tc>
        <w:tc>
          <w:tcPr>
            <w:tcW w:w="768" w:type="dxa"/>
            <w:tcBorders>
              <w:top w:val="single" w:sz="4" w:space="0" w:color="auto"/>
              <w:left w:val="single" w:sz="4" w:space="0" w:color="auto"/>
              <w:bottom w:val="single" w:sz="4" w:space="0" w:color="auto"/>
              <w:right w:val="single" w:sz="4" w:space="0" w:color="auto"/>
            </w:tcBorders>
            <w:vAlign w:val="center"/>
          </w:tcPr>
          <w:p w14:paraId="5761E127" w14:textId="77777777" w:rsidR="00A56EE9" w:rsidRPr="00E70A11" w:rsidRDefault="00A56EE9" w:rsidP="00BB6AD5">
            <w:pPr>
              <w:pStyle w:val="Tablebulletlist"/>
              <w:jc w:val="center"/>
              <w:rPr>
                <w:rStyle w:val="BookTitle"/>
              </w:rPr>
            </w:pPr>
            <w:r w:rsidRPr="00E70A11">
              <w:rPr>
                <w:rStyle w:val="BookTitle"/>
              </w:rPr>
              <w:t>4</w:t>
            </w:r>
          </w:p>
        </w:tc>
        <w:tc>
          <w:tcPr>
            <w:tcW w:w="4642" w:type="dxa"/>
            <w:tcBorders>
              <w:top w:val="single" w:sz="4" w:space="0" w:color="auto"/>
              <w:left w:val="single" w:sz="4" w:space="0" w:color="auto"/>
              <w:bottom w:val="single" w:sz="4" w:space="0" w:color="auto"/>
              <w:right w:val="single" w:sz="4" w:space="0" w:color="auto"/>
            </w:tcBorders>
          </w:tcPr>
          <w:p w14:paraId="5761E128" w14:textId="77777777" w:rsidR="00A56EE9" w:rsidRPr="00E70A11" w:rsidRDefault="00A56EE9" w:rsidP="00A11869">
            <w:pPr>
              <w:pStyle w:val="ListParagraph"/>
              <w:numPr>
                <w:ilvl w:val="0"/>
                <w:numId w:val="204"/>
              </w:numPr>
              <w:spacing w:after="200" w:line="276" w:lineRule="auto"/>
              <w:rPr>
                <w:rFonts w:ascii="Arial Narrow" w:hAnsi="Arial Narrow"/>
                <w:sz w:val="18"/>
                <w:szCs w:val="18"/>
              </w:rPr>
            </w:pPr>
            <w:r w:rsidRPr="00E70A11">
              <w:rPr>
                <w:rFonts w:ascii="Arial Narrow" w:hAnsi="Arial Narrow"/>
                <w:sz w:val="18"/>
                <w:szCs w:val="18"/>
              </w:rPr>
              <w:t xml:space="preserve">Great Barrier Reef Marine Park Authority community surveys show broad level of awareness of climate change issues </w:t>
            </w:r>
          </w:p>
          <w:p w14:paraId="5761E129" w14:textId="77777777" w:rsidR="00A56EE9" w:rsidRPr="00E70A11" w:rsidRDefault="00A56EE9" w:rsidP="00A11869">
            <w:pPr>
              <w:pStyle w:val="ListParagraph"/>
              <w:numPr>
                <w:ilvl w:val="0"/>
                <w:numId w:val="204"/>
              </w:numPr>
              <w:spacing w:after="200" w:line="276" w:lineRule="auto"/>
              <w:rPr>
                <w:rFonts w:ascii="Arial Narrow" w:hAnsi="Arial Narrow"/>
                <w:sz w:val="18"/>
                <w:szCs w:val="18"/>
              </w:rPr>
            </w:pPr>
            <w:r w:rsidRPr="00E70A11">
              <w:rPr>
                <w:rFonts w:ascii="Arial Narrow" w:hAnsi="Arial Narrow"/>
                <w:sz w:val="18"/>
                <w:szCs w:val="18"/>
              </w:rPr>
              <w:t>Tourism operators have workshopped risks and adaptation options to address threats including increasing sea temperatures, sea level rise, ocean acidification, increasing storm intensity, and changes to freshwater inputs, currents and connectivity.</w:t>
            </w:r>
            <w:r>
              <w:rPr>
                <w:rFonts w:ascii="Arial Narrow" w:hAnsi="Arial Narrow"/>
                <w:sz w:val="18"/>
                <w:szCs w:val="18"/>
              </w:rPr>
              <w:t xml:space="preserve"> </w:t>
            </w:r>
          </w:p>
          <w:p w14:paraId="5761E12A" w14:textId="77777777" w:rsidR="00A56EE9" w:rsidRPr="00E70A11" w:rsidRDefault="00A56EE9" w:rsidP="00A11869">
            <w:pPr>
              <w:pStyle w:val="ListParagraph"/>
              <w:numPr>
                <w:ilvl w:val="0"/>
                <w:numId w:val="204"/>
              </w:numPr>
              <w:spacing w:after="200" w:line="276" w:lineRule="auto"/>
              <w:rPr>
                <w:rFonts w:ascii="Arial Narrow" w:hAnsi="Arial Narrow"/>
                <w:sz w:val="18"/>
                <w:szCs w:val="18"/>
              </w:rPr>
            </w:pPr>
            <w:r w:rsidRPr="00E70A11">
              <w:rPr>
                <w:rFonts w:ascii="Arial Narrow" w:hAnsi="Arial Narrow"/>
                <w:sz w:val="18"/>
                <w:szCs w:val="18"/>
              </w:rPr>
              <w:t>Local Marine Advisory Committees provide contact with local stakeholders</w:t>
            </w:r>
          </w:p>
          <w:p w14:paraId="5761E12B" w14:textId="77777777" w:rsidR="00A56EE9" w:rsidRPr="00E70A11" w:rsidRDefault="00A56EE9" w:rsidP="00A11869">
            <w:pPr>
              <w:pStyle w:val="ListParagraph"/>
              <w:numPr>
                <w:ilvl w:val="0"/>
                <w:numId w:val="204"/>
              </w:numPr>
              <w:spacing w:after="200" w:line="276" w:lineRule="auto"/>
              <w:rPr>
                <w:rFonts w:ascii="Arial Narrow" w:hAnsi="Arial Narrow"/>
                <w:sz w:val="18"/>
                <w:szCs w:val="18"/>
              </w:rPr>
            </w:pPr>
            <w:r w:rsidRPr="00E70A11">
              <w:rPr>
                <w:rFonts w:ascii="Arial Narrow" w:hAnsi="Arial Narrow"/>
                <w:sz w:val="18"/>
                <w:szCs w:val="18"/>
              </w:rPr>
              <w:t>Concern expressed by some stakeholders that GBRMPAs voice on this issue has become too quiet.</w:t>
            </w:r>
          </w:p>
        </w:tc>
        <w:tc>
          <w:tcPr>
            <w:tcW w:w="4464" w:type="dxa"/>
            <w:tcBorders>
              <w:top w:val="single" w:sz="4" w:space="0" w:color="auto"/>
              <w:left w:val="single" w:sz="4" w:space="0" w:color="auto"/>
              <w:bottom w:val="single" w:sz="4" w:space="0" w:color="auto"/>
              <w:right w:val="single" w:sz="4" w:space="0" w:color="auto"/>
            </w:tcBorders>
          </w:tcPr>
          <w:p w14:paraId="5761E12C" w14:textId="77777777" w:rsidR="00A56EE9" w:rsidRPr="00E70A11" w:rsidRDefault="00A56EE9" w:rsidP="00A11869">
            <w:pPr>
              <w:pStyle w:val="ListParagraph"/>
              <w:numPr>
                <w:ilvl w:val="0"/>
                <w:numId w:val="204"/>
              </w:numPr>
              <w:spacing w:after="200" w:line="276" w:lineRule="auto"/>
              <w:rPr>
                <w:rFonts w:ascii="Arial Narrow" w:hAnsi="Arial Narrow"/>
                <w:sz w:val="18"/>
                <w:szCs w:val="18"/>
              </w:rPr>
            </w:pPr>
            <w:r w:rsidRPr="00E70A11">
              <w:rPr>
                <w:rFonts w:ascii="Arial Narrow" w:hAnsi="Arial Narrow"/>
                <w:sz w:val="18"/>
                <w:szCs w:val="18"/>
              </w:rPr>
              <w:t>Workshops and stakeholder interviews</w:t>
            </w:r>
          </w:p>
          <w:p w14:paraId="5761E12D" w14:textId="77777777" w:rsidR="00A56EE9" w:rsidRPr="00E70A11" w:rsidRDefault="00A56EE9" w:rsidP="00A11869">
            <w:pPr>
              <w:pStyle w:val="ListParagraph"/>
              <w:numPr>
                <w:ilvl w:val="0"/>
                <w:numId w:val="204"/>
              </w:numPr>
              <w:spacing w:after="200" w:line="276" w:lineRule="auto"/>
              <w:rPr>
                <w:rFonts w:ascii="Arial Narrow" w:hAnsi="Arial Narrow"/>
                <w:sz w:val="18"/>
                <w:szCs w:val="18"/>
              </w:rPr>
            </w:pPr>
            <w:r w:rsidRPr="00E70A11">
              <w:rPr>
                <w:rFonts w:ascii="Arial Narrow" w:hAnsi="Arial Narrow"/>
                <w:sz w:val="18"/>
                <w:szCs w:val="18"/>
              </w:rPr>
              <w:t>Great Barrier Reef Strategic Assessment Report 2014</w:t>
            </w:r>
          </w:p>
          <w:p w14:paraId="5761E12E" w14:textId="77777777" w:rsidR="00A56EE9" w:rsidRPr="00E70A11" w:rsidRDefault="00A56EE9" w:rsidP="00A11869">
            <w:pPr>
              <w:pStyle w:val="ListParagraph"/>
              <w:numPr>
                <w:ilvl w:val="0"/>
                <w:numId w:val="204"/>
              </w:numPr>
              <w:spacing w:after="200" w:line="276" w:lineRule="auto"/>
              <w:rPr>
                <w:rFonts w:ascii="Arial Narrow" w:hAnsi="Arial Narrow"/>
                <w:sz w:val="18"/>
                <w:szCs w:val="18"/>
              </w:rPr>
            </w:pPr>
            <w:r w:rsidRPr="00E70A11">
              <w:rPr>
                <w:rFonts w:ascii="Arial Narrow" w:hAnsi="Arial Narrow"/>
                <w:sz w:val="18"/>
                <w:szCs w:val="18"/>
              </w:rPr>
              <w:t xml:space="preserve">Great Barrier Reef Climate Change Adaptation Strategy and Action Plan 2012-2017 </w:t>
            </w:r>
          </w:p>
          <w:p w14:paraId="5761E12F" w14:textId="77777777" w:rsidR="00A56EE9" w:rsidRPr="00E70A11" w:rsidRDefault="00A56EE9" w:rsidP="00A11869">
            <w:pPr>
              <w:pStyle w:val="ListParagraph"/>
              <w:numPr>
                <w:ilvl w:val="0"/>
                <w:numId w:val="204"/>
              </w:numPr>
              <w:spacing w:after="200" w:line="276" w:lineRule="auto"/>
              <w:rPr>
                <w:rFonts w:ascii="Arial Narrow" w:hAnsi="Arial Narrow"/>
                <w:sz w:val="18"/>
                <w:szCs w:val="18"/>
              </w:rPr>
            </w:pPr>
            <w:r w:rsidRPr="00E70A11">
              <w:rPr>
                <w:rFonts w:ascii="Arial Narrow" w:hAnsi="Arial Narrow"/>
                <w:sz w:val="18"/>
                <w:szCs w:val="18"/>
              </w:rPr>
              <w:t>2017 Pollinate Report</w:t>
            </w:r>
          </w:p>
          <w:p w14:paraId="5761E130" w14:textId="77777777" w:rsidR="00A56EE9" w:rsidRPr="00E70A11" w:rsidRDefault="00A56EE9" w:rsidP="00BB6AD5">
            <w:pPr>
              <w:pStyle w:val="ListParagraph"/>
              <w:rPr>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131"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13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13A"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134" w14:textId="77777777" w:rsidR="00A56EE9" w:rsidRPr="00E70A11" w:rsidRDefault="00A56EE9" w:rsidP="00BB6AD5">
            <w:pPr>
              <w:pStyle w:val="Tablebulletlist"/>
              <w:rPr>
                <w:rStyle w:val="BookTitle"/>
              </w:rPr>
            </w:pPr>
            <w:r w:rsidRPr="00E70A11">
              <w:rPr>
                <w:rStyle w:val="BookTitle"/>
              </w:rPr>
              <w:t>PLANNING</w:t>
            </w:r>
          </w:p>
        </w:tc>
        <w:tc>
          <w:tcPr>
            <w:tcW w:w="768"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761E135" w14:textId="77777777" w:rsidR="00A56EE9" w:rsidRPr="00E70A11" w:rsidRDefault="00A56EE9" w:rsidP="00BB6AD5">
            <w:pPr>
              <w:pStyle w:val="Tablebulletlist"/>
              <w:jc w:val="center"/>
              <w:rPr>
                <w:rStyle w:val="BookTitle"/>
              </w:rPr>
            </w:pPr>
          </w:p>
        </w:tc>
        <w:tc>
          <w:tcPr>
            <w:tcW w:w="464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136" w14:textId="77777777" w:rsidR="00A56EE9" w:rsidRPr="00E70A11" w:rsidRDefault="00A56EE9" w:rsidP="00BB6AD5">
            <w:pPr>
              <w:pStyle w:val="ListParagraph"/>
              <w:ind w:left="360"/>
              <w:rPr>
                <w:rStyle w:val="BookTitle"/>
                <w:rFonts w:ascii="Arial Narrow" w:hAnsi="Arial Narrow"/>
                <w:sz w:val="18"/>
                <w:szCs w:val="18"/>
              </w:rPr>
            </w:pPr>
          </w:p>
        </w:tc>
        <w:tc>
          <w:tcPr>
            <w:tcW w:w="446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137" w14:textId="77777777" w:rsidR="00A56EE9" w:rsidRPr="00E70A11" w:rsidRDefault="00A56EE9" w:rsidP="00BB6AD5">
            <w:pPr>
              <w:pStyle w:val="ListParagraph"/>
              <w:ind w:left="360"/>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138" w14:textId="77777777" w:rsidR="00A56EE9" w:rsidRPr="00E70A11" w:rsidRDefault="00A56EE9" w:rsidP="00BB6AD5">
            <w:pPr>
              <w:pStyle w:val="Tablebulletlist"/>
              <w:rPr>
                <w:rStyle w:val="BookTitle"/>
              </w:rPr>
            </w:pPr>
          </w:p>
        </w:tc>
        <w:tc>
          <w:tcPr>
            <w:tcW w:w="88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139" w14:textId="77777777" w:rsidR="00A56EE9" w:rsidRPr="00E70A11" w:rsidRDefault="00A56EE9" w:rsidP="00BB6AD5">
            <w:pPr>
              <w:pStyle w:val="Tablebulletlist"/>
              <w:rPr>
                <w:rStyle w:val="BookTitle"/>
              </w:rPr>
            </w:pPr>
          </w:p>
        </w:tc>
      </w:tr>
      <w:tr w:rsidR="00A56EE9" w:rsidRPr="00E70A11" w14:paraId="5761E158"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13B"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climate change </w:t>
            </w:r>
          </w:p>
        </w:tc>
        <w:tc>
          <w:tcPr>
            <w:tcW w:w="768" w:type="dxa"/>
            <w:tcBorders>
              <w:top w:val="single" w:sz="4" w:space="0" w:color="auto"/>
              <w:left w:val="single" w:sz="4" w:space="0" w:color="auto"/>
              <w:bottom w:val="single" w:sz="4" w:space="0" w:color="auto"/>
              <w:right w:val="single" w:sz="4" w:space="0" w:color="auto"/>
            </w:tcBorders>
            <w:vAlign w:val="center"/>
          </w:tcPr>
          <w:p w14:paraId="5761E13C"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13D"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Climate Change Adaptation Strategy and Action Plan 2012-2017 was defunded early in the implementation phase and as a result many targets were not met.</w:t>
            </w:r>
          </w:p>
          <w:p w14:paraId="5761E13E"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approach by the </w:t>
            </w:r>
            <w:r w:rsidRPr="00394100">
              <w:rPr>
                <w:rStyle w:val="BookTitle"/>
                <w:rFonts w:ascii="Arial Narrow" w:hAnsi="Arial Narrow"/>
                <w:sz w:val="18"/>
                <w:szCs w:val="18"/>
              </w:rPr>
              <w:t xml:space="preserve">Great Barrier Reef Marine Park </w:t>
            </w:r>
            <w:r w:rsidRPr="00E70A11">
              <w:rPr>
                <w:rStyle w:val="BookTitle"/>
                <w:rFonts w:ascii="Arial Narrow" w:hAnsi="Arial Narrow"/>
                <w:sz w:val="18"/>
                <w:szCs w:val="18"/>
              </w:rPr>
              <w:t>Authority going forward is to integrate climate change-related actions into corporate and operational plans, and the Authority recognises the objectives in the plan remain relevant.</w:t>
            </w:r>
          </w:p>
          <w:p w14:paraId="5761E13F" w14:textId="53BAC9D6"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Climate change </w:t>
            </w:r>
            <w:r w:rsidR="0049203B">
              <w:rPr>
                <w:rStyle w:val="BookTitle"/>
                <w:rFonts w:ascii="Arial Narrow" w:hAnsi="Arial Narrow"/>
                <w:sz w:val="18"/>
                <w:szCs w:val="18"/>
              </w:rPr>
              <w:t>was</w:t>
            </w:r>
            <w:r w:rsidRPr="00E70A11">
              <w:rPr>
                <w:rStyle w:val="BookTitle"/>
                <w:rFonts w:ascii="Arial Narrow" w:hAnsi="Arial Narrow"/>
                <w:sz w:val="18"/>
                <w:szCs w:val="18"/>
              </w:rPr>
              <w:t xml:space="preserve"> not addressed by the </w:t>
            </w:r>
            <w:r w:rsidR="00407498">
              <w:rPr>
                <w:rStyle w:val="BookTitle"/>
                <w:rFonts w:ascii="Arial Narrow" w:hAnsi="Arial Narrow"/>
                <w:sz w:val="18"/>
                <w:szCs w:val="18"/>
              </w:rPr>
              <w:t>original</w:t>
            </w:r>
            <w:r w:rsidR="0049203B">
              <w:rPr>
                <w:rStyle w:val="BookTitle"/>
                <w:rFonts w:ascii="Arial Narrow" w:hAnsi="Arial Narrow"/>
                <w:sz w:val="18"/>
                <w:szCs w:val="18"/>
              </w:rPr>
              <w:t xml:space="preserve"> Reef 2050 P</w:t>
            </w:r>
            <w:r w:rsidRPr="00E70A11">
              <w:rPr>
                <w:rStyle w:val="BookTitle"/>
                <w:rFonts w:ascii="Arial Narrow" w:hAnsi="Arial Narrow"/>
                <w:sz w:val="18"/>
                <w:szCs w:val="18"/>
              </w:rPr>
              <w:t>lan.</w:t>
            </w:r>
            <w:r w:rsidR="0049203B">
              <w:rPr>
                <w:rStyle w:val="BookTitle"/>
                <w:rFonts w:ascii="Arial Narrow" w:hAnsi="Arial Narrow"/>
                <w:sz w:val="18"/>
                <w:szCs w:val="18"/>
              </w:rPr>
              <w:t xml:space="preserve"> The revised Reef 2050 Plan </w:t>
            </w:r>
            <w:r w:rsidR="00407498">
              <w:rPr>
                <w:rStyle w:val="BookTitle"/>
                <w:rFonts w:ascii="Arial Narrow" w:hAnsi="Arial Narrow"/>
                <w:sz w:val="18"/>
                <w:szCs w:val="18"/>
              </w:rPr>
              <w:t>considers Climate change</w:t>
            </w:r>
          </w:p>
          <w:p w14:paraId="5761E140"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Current and future risks of climate change are not being appropriately considered in planning processes in part because of the retrospective nature of most established adaptive management processes. </w:t>
            </w:r>
          </w:p>
          <w:p w14:paraId="5761E141" w14:textId="77777777" w:rsidR="00A56EE9" w:rsidRPr="00E70A11" w:rsidRDefault="00A56EE9" w:rsidP="00A11869">
            <w:pPr>
              <w:pStyle w:val="ListParagraph"/>
              <w:numPr>
                <w:ilvl w:val="0"/>
                <w:numId w:val="205"/>
              </w:numPr>
              <w:spacing w:after="200" w:line="276" w:lineRule="auto"/>
              <w:rPr>
                <w:rFonts w:ascii="Arial Narrow" w:hAnsi="Arial Narrow"/>
                <w:sz w:val="18"/>
                <w:szCs w:val="18"/>
              </w:rPr>
            </w:pPr>
            <w:r w:rsidRPr="00E70A11">
              <w:rPr>
                <w:rStyle w:val="BookTitle"/>
                <w:rFonts w:ascii="Arial Narrow" w:hAnsi="Arial Narrow"/>
                <w:sz w:val="18"/>
                <w:szCs w:val="18"/>
              </w:rPr>
              <w:t>Great Barrier Reef Marine Park Authority's (GBRMPA’s) Reef Health Incident Response System is a strategic framework for responses to reef health incidents. However, contemporary knowledge has not been incorporated into the plans since 2013. Some actions based on the implementation of the plans have occurred but have been limited in scope.</w:t>
            </w:r>
          </w:p>
          <w:p w14:paraId="5761E142"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Department of Environment and Energy’s Australia’s Biodiversity Conservation Strategy 2010-2030 (the Strategy) was released in 2010 as a cross-jurisdictional strategy for Australia. It identified climate change as one of the greatest threats to biodiversity and aimed to manage the impacts of climate change to the extent that the threat to the environment is minimised and any damage is reversed. The Strategy was reviewed in 2016 with the support of three independent experts. Some key findings of the review were:</w:t>
            </w:r>
          </w:p>
          <w:p w14:paraId="5761E143" w14:textId="77777777" w:rsidR="00A56EE9" w:rsidRPr="00E70A11" w:rsidRDefault="00A56EE9" w:rsidP="00A11869">
            <w:pPr>
              <w:pStyle w:val="ListParagraph"/>
              <w:numPr>
                <w:ilvl w:val="1"/>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Strategy includes few outcomes designed to specifically improve the health and resilience of biodiversity in marine and aquatic environments. </w:t>
            </w:r>
          </w:p>
          <w:p w14:paraId="5761E144" w14:textId="77777777" w:rsidR="00A56EE9" w:rsidRPr="00E70A11" w:rsidRDefault="00A56EE9" w:rsidP="00A11869">
            <w:pPr>
              <w:pStyle w:val="ListParagraph"/>
              <w:numPr>
                <w:ilvl w:val="1"/>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Strategy has not effectively influenced biodiversity conservation activities</w:t>
            </w:r>
          </w:p>
          <w:p w14:paraId="5761E145"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Government has established a climate response strategy including a Transition strategy and Adaptation strategy which is in early stages of implementation.</w:t>
            </w:r>
          </w:p>
          <w:p w14:paraId="5761E146"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2017-18 GBRMPA Corporate Plan highlights that responding to the threat of climate change is a key priority but specific targets and actions addressing climate change are lacking.</w:t>
            </w:r>
          </w:p>
          <w:p w14:paraId="5761E147"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Blueprint released in Dec 2017. It is a broad statement of direction and lacks specific details of targets and strategies but may form the basis for a more useful plan to address climate change as it is elaborated into more concrete plans and actions.</w:t>
            </w:r>
          </w:p>
        </w:tc>
        <w:tc>
          <w:tcPr>
            <w:tcW w:w="4464" w:type="dxa"/>
            <w:tcBorders>
              <w:top w:val="single" w:sz="4" w:space="0" w:color="auto"/>
              <w:left w:val="single" w:sz="4" w:space="0" w:color="auto"/>
              <w:bottom w:val="single" w:sz="4" w:space="0" w:color="auto"/>
              <w:right w:val="single" w:sz="4" w:space="0" w:color="auto"/>
            </w:tcBorders>
          </w:tcPr>
          <w:p w14:paraId="5761E148"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149"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Climate Change Adaptation Strategy and Action Plan 2012-2017 </w:t>
            </w:r>
          </w:p>
          <w:p w14:paraId="5761E14A"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Health Incident Response System second edition 2013 and associated plans:</w:t>
            </w:r>
          </w:p>
          <w:p w14:paraId="5761E14B"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Tropical Cyclone Risk and Impact Assessment Plan second edition 2013</w:t>
            </w:r>
          </w:p>
          <w:p w14:paraId="5761E14C"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Coral Bleaching Risk and Impact Assessment Plan second edition 2013 </w:t>
            </w:r>
          </w:p>
          <w:p w14:paraId="5761E14D"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Coral Disease Risk and Impact Assessment Plan second edition 2013</w:t>
            </w:r>
          </w:p>
          <w:p w14:paraId="5761E14E"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Australian National Biodiversity Strategy and Report on the Review of the first five years of Australia’s Biodiversity Conservation Strategy</w:t>
            </w:r>
          </w:p>
          <w:p w14:paraId="5761E14F"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National Climate Resilience and Adaptation Strategy</w:t>
            </w:r>
          </w:p>
          <w:p w14:paraId="5761E150"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E151"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State Planning Policy</w:t>
            </w:r>
          </w:p>
          <w:p w14:paraId="5761E152"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Department of the Environment and Energy - Planning for Climate Change in Natural Resource Management</w:t>
            </w:r>
          </w:p>
          <w:p w14:paraId="5761E153"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NCCARF online tool CoastAdapt</w:t>
            </w:r>
            <w:r>
              <w:rPr>
                <w:rStyle w:val="BookTitle"/>
                <w:rFonts w:ascii="Arial Narrow" w:hAnsi="Arial Narrow"/>
                <w:sz w:val="18"/>
                <w:szCs w:val="18"/>
              </w:rPr>
              <w:t xml:space="preserve"> </w:t>
            </w:r>
          </w:p>
          <w:p w14:paraId="5761E154" w14:textId="77777777" w:rsidR="00A56EE9" w:rsidRPr="00E70A11" w:rsidRDefault="00A56EE9" w:rsidP="00A11869">
            <w:pPr>
              <w:pStyle w:val="ListParagraph"/>
              <w:numPr>
                <w:ilvl w:val="0"/>
                <w:numId w:val="20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Climate Response https://www.qld.gov.au/environment/climate/response</w:t>
            </w:r>
          </w:p>
          <w:p w14:paraId="5761E155"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156"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157"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16C"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159"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climate change addresses the major factors influencing the Great Barrier Reef Region’s values.</w:t>
            </w:r>
          </w:p>
        </w:tc>
        <w:tc>
          <w:tcPr>
            <w:tcW w:w="768" w:type="dxa"/>
            <w:tcBorders>
              <w:top w:val="single" w:sz="4" w:space="0" w:color="auto"/>
              <w:left w:val="single" w:sz="4" w:space="0" w:color="auto"/>
              <w:bottom w:val="single" w:sz="4" w:space="0" w:color="auto"/>
              <w:right w:val="single" w:sz="4" w:space="0" w:color="auto"/>
            </w:tcBorders>
            <w:vAlign w:val="center"/>
          </w:tcPr>
          <w:p w14:paraId="5761E15A"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15B"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Climate Change Adaptation Strategy and Action Plan 2012-2017 was defunded early in the implementation phase and as a result many targets were not met.</w:t>
            </w:r>
          </w:p>
          <w:p w14:paraId="5761E15C"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Climate change </w:t>
            </w:r>
            <w:r>
              <w:rPr>
                <w:rStyle w:val="BookTitle"/>
                <w:rFonts w:ascii="Arial Narrow" w:hAnsi="Arial Narrow"/>
                <w:sz w:val="18"/>
                <w:szCs w:val="18"/>
              </w:rPr>
              <w:t>was not directly</w:t>
            </w:r>
            <w:r w:rsidRPr="00E70A11">
              <w:rPr>
                <w:rStyle w:val="BookTitle"/>
                <w:rFonts w:ascii="Arial Narrow" w:hAnsi="Arial Narrow"/>
                <w:sz w:val="18"/>
                <w:szCs w:val="18"/>
              </w:rPr>
              <w:t xml:space="preserve"> addressed by the Reef 2050 </w:t>
            </w:r>
            <w:r>
              <w:rPr>
                <w:rStyle w:val="BookTitle"/>
                <w:rFonts w:ascii="Arial Narrow" w:hAnsi="Arial Narrow"/>
                <w:sz w:val="18"/>
                <w:szCs w:val="18"/>
              </w:rPr>
              <w:t>P</w:t>
            </w:r>
            <w:r w:rsidRPr="00E70A11">
              <w:rPr>
                <w:rStyle w:val="BookTitle"/>
                <w:rFonts w:ascii="Arial Narrow" w:hAnsi="Arial Narrow"/>
                <w:sz w:val="18"/>
                <w:szCs w:val="18"/>
              </w:rPr>
              <w:t xml:space="preserve">lan </w:t>
            </w:r>
            <w:r>
              <w:rPr>
                <w:rStyle w:val="BookTitle"/>
                <w:rFonts w:ascii="Arial Narrow" w:hAnsi="Arial Narrow"/>
                <w:sz w:val="18"/>
                <w:szCs w:val="18"/>
              </w:rPr>
              <w:t xml:space="preserve">when first released. It has been incorporated in the revision of the plan released in mid 2018. </w:t>
            </w:r>
          </w:p>
          <w:p w14:paraId="5761E15D"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Current and future risks of climate change are not being appropriately considered in planning processes in part because of the retrospective nature of most established adaptive management processes. </w:t>
            </w:r>
          </w:p>
          <w:p w14:paraId="5761E15E"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Considerable efforts are being made under the Reef 2050 Plan to reduce the impacts of other pressures to help reefs cope with or recover from disturbances.</w:t>
            </w:r>
          </w:p>
          <w:p w14:paraId="5761E15F"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Resilience-based management is necessary however the Reef 2050 actions do not adequately aid the assessment of the climate change risk or establish a set of actions that would actually build resilience. </w:t>
            </w:r>
          </w:p>
          <w:p w14:paraId="5761E160"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While these actions to reduce pressures and build resilience remain crucial, environmental management efforts can only compensate for reduced coral reef resilience in the face of climate change to a limited extent and over a limited timeframe.</w:t>
            </w:r>
            <w:r>
              <w:rPr>
                <w:rStyle w:val="BookTitle"/>
                <w:rFonts w:ascii="Arial Narrow" w:hAnsi="Arial Narrow"/>
                <w:sz w:val="18"/>
                <w:szCs w:val="18"/>
              </w:rPr>
              <w:t xml:space="preserve"> </w:t>
            </w:r>
            <w:r w:rsidRPr="00E70A11">
              <w:rPr>
                <w:rStyle w:val="BookTitle"/>
                <w:rFonts w:ascii="Arial Narrow" w:hAnsi="Arial Narrow"/>
                <w:sz w:val="18"/>
                <w:szCs w:val="18"/>
              </w:rPr>
              <w:t>Scientific modelling shows that preserving 10 per cent of coral reefs worldwide would require limiting global warming to below 1.5 degrees Celsius relative to pre-industrial levels.</w:t>
            </w:r>
          </w:p>
          <w:p w14:paraId="5761E161"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Queensland Government has incorporated climate change risk and impacts into the State Planning Policy 2017. </w:t>
            </w:r>
          </w:p>
          <w:p w14:paraId="5761E162"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Blueprint released in Dec 2017. It is a broad statement of direction and lacks specific details of targets and strategies but may form the basis for a more useful plan to address climate change as it is elaborated into more concrete plans and actions.</w:t>
            </w:r>
          </w:p>
        </w:tc>
        <w:tc>
          <w:tcPr>
            <w:tcW w:w="4464" w:type="dxa"/>
            <w:tcBorders>
              <w:top w:val="single" w:sz="4" w:space="0" w:color="auto"/>
              <w:left w:val="single" w:sz="4" w:space="0" w:color="auto"/>
              <w:bottom w:val="single" w:sz="4" w:space="0" w:color="auto"/>
              <w:right w:val="single" w:sz="4" w:space="0" w:color="auto"/>
            </w:tcBorders>
          </w:tcPr>
          <w:p w14:paraId="5761E163"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164"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Climate Change Adaptation Strategy and Action Plan 2012-2017 </w:t>
            </w:r>
          </w:p>
          <w:p w14:paraId="5761E165"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State of the climate 2016</w:t>
            </w:r>
          </w:p>
          <w:p w14:paraId="5761E166"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E167"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State Planning Policy</w:t>
            </w:r>
          </w:p>
          <w:p w14:paraId="5761E168" w14:textId="77777777" w:rsidR="00A56EE9" w:rsidRPr="00E70A11" w:rsidRDefault="00A56EE9" w:rsidP="00A11869">
            <w:pPr>
              <w:pStyle w:val="ListParagraph"/>
              <w:numPr>
                <w:ilvl w:val="0"/>
                <w:numId w:val="20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Frieler K., Meinshausen M., Golly A., Mengel M., Lebek K., Donner S. D. &amp; Hoegh-Guldberg O., 2013. Limiting global warming to 2</w:t>
            </w:r>
            <w:r w:rsidRPr="00E70A11">
              <w:rPr>
                <w:rStyle w:val="BookTitle"/>
                <w:sz w:val="18"/>
                <w:szCs w:val="18"/>
              </w:rPr>
              <w:t> </w:t>
            </w:r>
            <w:r w:rsidRPr="00E70A11">
              <w:rPr>
                <w:rStyle w:val="BookTitle"/>
                <w:rFonts w:ascii="Arial Narrow" w:hAnsi="Arial Narrow" w:cs="Arial Narrow"/>
                <w:sz w:val="18"/>
                <w:szCs w:val="18"/>
              </w:rPr>
              <w:t>°</w:t>
            </w:r>
            <w:r w:rsidRPr="00E70A11">
              <w:rPr>
                <w:rStyle w:val="BookTitle"/>
                <w:rFonts w:ascii="Arial Narrow" w:hAnsi="Arial Narrow"/>
                <w:sz w:val="18"/>
                <w:szCs w:val="18"/>
              </w:rPr>
              <w:t xml:space="preserve">C is unlikely to save most coral reefs. Nature Climate Change. </w:t>
            </w:r>
            <w:proofErr w:type="gramStart"/>
            <w:r w:rsidRPr="00E70A11">
              <w:rPr>
                <w:rStyle w:val="BookTitle"/>
                <w:rFonts w:ascii="Arial Narrow" w:hAnsi="Arial Narrow"/>
                <w:sz w:val="18"/>
                <w:szCs w:val="18"/>
              </w:rPr>
              <w:t>doi</w:t>
            </w:r>
            <w:proofErr w:type="gramEnd"/>
            <w:r w:rsidRPr="00E70A11">
              <w:rPr>
                <w:rStyle w:val="BookTitle"/>
                <w:rFonts w:ascii="Arial Narrow" w:hAnsi="Arial Narrow"/>
                <w:sz w:val="18"/>
                <w:szCs w:val="18"/>
              </w:rPr>
              <w:t xml:space="preserve">: 10.1038/nclimate1674. http://www.nature.com/nclimate/journal/v3/n2/abs/nclimate1674.html. </w:t>
            </w:r>
          </w:p>
          <w:p w14:paraId="5761E169"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16A"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16B"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17F"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16D"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climate change are clearly identified within the plan </w:t>
            </w:r>
          </w:p>
        </w:tc>
        <w:tc>
          <w:tcPr>
            <w:tcW w:w="768" w:type="dxa"/>
            <w:tcBorders>
              <w:top w:val="single" w:sz="4" w:space="0" w:color="auto"/>
              <w:left w:val="single" w:sz="4" w:space="0" w:color="auto"/>
              <w:bottom w:val="single" w:sz="4" w:space="0" w:color="auto"/>
              <w:right w:val="single" w:sz="4" w:space="0" w:color="auto"/>
            </w:tcBorders>
            <w:vAlign w:val="center"/>
          </w:tcPr>
          <w:p w14:paraId="5761E16E"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16F"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Climate Change Adaptation Strategy and Action Plan 2012-2017 was defunded early in the implementation phase and as a result many targets were not met.</w:t>
            </w:r>
          </w:p>
          <w:p w14:paraId="5761E170"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Considering climate change as an external threat to the system is limiting manager’s ability to adapt management to a changing climate.</w:t>
            </w:r>
          </w:p>
          <w:p w14:paraId="5761E171"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recent review by the Reef 2050 Independent Expert Panel indicated that climate change adaptation and mitigation actions are currently lacking in the Reef 2050 Plan and recommended explicitly including them. The 2018 review and update of the Reef 2050 Plan will be one of the avenues for the implementation of local and regional climate change actions. However, climate change risk cannot be adequately addressed without it being incorporated into the structure of the plan at all levels as it poses a catastrophic risk to the outcomes of the plan.</w:t>
            </w:r>
          </w:p>
          <w:p w14:paraId="5761E172"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Blueprint released in Dec 2017. It is a broad statement of direction and lacks specific details of targets and strategies but may form the basis for a more useful plan to address climate change as it is elaborated into more concrete plans and actions.</w:t>
            </w:r>
          </w:p>
          <w:p w14:paraId="5761E173"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Queensland Government has made three key climate change commitments:</w:t>
            </w:r>
          </w:p>
          <w:p w14:paraId="5761E174"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Powering Queensland with 50% renewable energy by 2030</w:t>
            </w:r>
          </w:p>
          <w:p w14:paraId="5761E175"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Doing our fair share in the global effort to arrest damaging climate change by achieving zero net emissions by 2050</w:t>
            </w:r>
          </w:p>
          <w:p w14:paraId="5761E176"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Demonstrating our commitment to reducing carbon pollution by setting an interim emissions reductions target of at least 30% below 2005 levels by 2030.</w:t>
            </w:r>
          </w:p>
        </w:tc>
        <w:tc>
          <w:tcPr>
            <w:tcW w:w="4464" w:type="dxa"/>
            <w:tcBorders>
              <w:top w:val="single" w:sz="4" w:space="0" w:color="auto"/>
              <w:left w:val="single" w:sz="4" w:space="0" w:color="auto"/>
              <w:bottom w:val="single" w:sz="4" w:space="0" w:color="auto"/>
              <w:right w:val="single" w:sz="4" w:space="0" w:color="auto"/>
            </w:tcBorders>
          </w:tcPr>
          <w:p w14:paraId="5761E177"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178"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Climate Change Adaptation Strategy and Action Plan 2012-2017 </w:t>
            </w:r>
          </w:p>
          <w:p w14:paraId="5761E179"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Blueprint</w:t>
            </w:r>
          </w:p>
          <w:p w14:paraId="5761E17A"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Advancing Climate Action in Queensland Making the transition to a low carbon future 2016</w:t>
            </w:r>
          </w:p>
          <w:p w14:paraId="5761E17B"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Pathways to a clean growth economy: Queensland Climate Transition Strategy </w:t>
            </w:r>
          </w:p>
          <w:p w14:paraId="5761E17C" w14:textId="77777777" w:rsidR="00A56EE9" w:rsidRPr="00E70A11" w:rsidRDefault="00A56EE9" w:rsidP="00A11869">
            <w:pPr>
              <w:pStyle w:val="ListParagraph"/>
              <w:numPr>
                <w:ilvl w:val="0"/>
                <w:numId w:val="20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Pathways to a climate resilient Queensland: Queensland Climate Adaptation Strategy 2017–2030</w:t>
            </w:r>
          </w:p>
        </w:tc>
        <w:tc>
          <w:tcPr>
            <w:tcW w:w="968" w:type="dxa"/>
            <w:tcBorders>
              <w:top w:val="single" w:sz="4" w:space="0" w:color="auto"/>
              <w:left w:val="single" w:sz="4" w:space="0" w:color="auto"/>
              <w:bottom w:val="single" w:sz="4" w:space="0" w:color="auto"/>
              <w:right w:val="single" w:sz="4" w:space="0" w:color="auto"/>
            </w:tcBorders>
          </w:tcPr>
          <w:p w14:paraId="5761E17D"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17E"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18E"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180"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climate change have been documented</w:t>
            </w:r>
          </w:p>
        </w:tc>
        <w:tc>
          <w:tcPr>
            <w:tcW w:w="768" w:type="dxa"/>
            <w:tcBorders>
              <w:top w:val="single" w:sz="4" w:space="0" w:color="auto"/>
              <w:left w:val="single" w:sz="4" w:space="0" w:color="auto"/>
              <w:bottom w:val="single" w:sz="4" w:space="0" w:color="auto"/>
              <w:right w:val="single" w:sz="4" w:space="0" w:color="auto"/>
            </w:tcBorders>
            <w:vAlign w:val="center"/>
          </w:tcPr>
          <w:p w14:paraId="5761E181"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182" w14:textId="77777777" w:rsidR="00A56EE9" w:rsidRPr="00E70A11" w:rsidRDefault="00A56EE9" w:rsidP="00A11869">
            <w:pPr>
              <w:pStyle w:val="ListParagraph"/>
              <w:numPr>
                <w:ilvl w:val="0"/>
                <w:numId w:val="20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Climate Change Adaptation Strategy and Action Plan 2012-2017 was defunded early in the implementation phase and as a result many targets were not met.</w:t>
            </w:r>
          </w:p>
          <w:p w14:paraId="5761E183" w14:textId="77777777" w:rsidR="00A56EE9" w:rsidRPr="00E70A11" w:rsidRDefault="00A56EE9" w:rsidP="00A11869">
            <w:pPr>
              <w:pStyle w:val="ListParagraph"/>
              <w:numPr>
                <w:ilvl w:val="0"/>
                <w:numId w:val="20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high-level objectives in the plan remain relevant to future work.</w:t>
            </w:r>
          </w:p>
          <w:p w14:paraId="5761E184" w14:textId="77777777" w:rsidR="00A56EE9" w:rsidRPr="00E70A11" w:rsidRDefault="00A56EE9" w:rsidP="00A11869">
            <w:pPr>
              <w:pStyle w:val="ListParagraph"/>
              <w:numPr>
                <w:ilvl w:val="0"/>
                <w:numId w:val="20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Climate change is not currently addressed by the Reef 2050 plan </w:t>
            </w:r>
          </w:p>
          <w:p w14:paraId="5761E185" w14:textId="77777777" w:rsidR="00A56EE9" w:rsidRPr="00E70A11" w:rsidRDefault="00A56EE9" w:rsidP="00A11869">
            <w:pPr>
              <w:pStyle w:val="ListParagraph"/>
              <w:numPr>
                <w:ilvl w:val="0"/>
                <w:numId w:val="20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2017-18 GBRMPA Corporate Plan highlights that responding to the threat of climate change is a key priority but specific targets and actions addressing climate change are lacking.</w:t>
            </w:r>
          </w:p>
          <w:p w14:paraId="5761E186" w14:textId="77777777" w:rsidR="00A56EE9" w:rsidRPr="00E70A11" w:rsidRDefault="00A56EE9" w:rsidP="00A11869">
            <w:pPr>
              <w:pStyle w:val="ListParagraph"/>
              <w:numPr>
                <w:ilvl w:val="0"/>
                <w:numId w:val="20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Blueprint released in Dec 2017. It is a broad statement of direction and lacks specific details of targets and strategies but may form the basis for a more useful plan to address climate change as it is elaborated into more concrete plans and actions.</w:t>
            </w:r>
          </w:p>
          <w:p w14:paraId="5761E187" w14:textId="77777777" w:rsidR="00A56EE9" w:rsidRPr="00E70A11" w:rsidRDefault="00A56EE9" w:rsidP="00A11869">
            <w:pPr>
              <w:pStyle w:val="ListParagraph"/>
              <w:numPr>
                <w:ilvl w:val="0"/>
                <w:numId w:val="20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Considering climate change as an external threat to the system is limiting manager’s ability to adapt management to a changing climate.</w:t>
            </w:r>
          </w:p>
        </w:tc>
        <w:tc>
          <w:tcPr>
            <w:tcW w:w="4464" w:type="dxa"/>
            <w:tcBorders>
              <w:top w:val="single" w:sz="4" w:space="0" w:color="auto"/>
              <w:left w:val="single" w:sz="4" w:space="0" w:color="auto"/>
              <w:bottom w:val="single" w:sz="4" w:space="0" w:color="auto"/>
              <w:right w:val="single" w:sz="4" w:space="0" w:color="auto"/>
            </w:tcBorders>
          </w:tcPr>
          <w:p w14:paraId="5761E188" w14:textId="77777777" w:rsidR="00A56EE9" w:rsidRPr="00E70A11" w:rsidRDefault="00A56EE9" w:rsidP="00A11869">
            <w:pPr>
              <w:pStyle w:val="ListParagraph"/>
              <w:numPr>
                <w:ilvl w:val="0"/>
                <w:numId w:val="20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189" w14:textId="77777777" w:rsidR="00A56EE9" w:rsidRPr="00E70A11" w:rsidRDefault="00A56EE9" w:rsidP="00A11869">
            <w:pPr>
              <w:pStyle w:val="ListParagraph"/>
              <w:numPr>
                <w:ilvl w:val="0"/>
                <w:numId w:val="20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Climate Change Adaptation Strategy and Action Plan 2012-2017 </w:t>
            </w:r>
          </w:p>
          <w:p w14:paraId="5761E18A" w14:textId="77777777" w:rsidR="00A56EE9" w:rsidRPr="00E70A11" w:rsidRDefault="00A56EE9" w:rsidP="00A11869">
            <w:pPr>
              <w:pStyle w:val="ListParagraph"/>
              <w:numPr>
                <w:ilvl w:val="0"/>
                <w:numId w:val="20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Blueprint</w:t>
            </w:r>
          </w:p>
          <w:p w14:paraId="5761E18B" w14:textId="77777777" w:rsidR="00A56EE9" w:rsidRPr="00E70A11" w:rsidRDefault="00A56EE9" w:rsidP="00A11869">
            <w:pPr>
              <w:pStyle w:val="ListParagraph"/>
              <w:numPr>
                <w:ilvl w:val="0"/>
                <w:numId w:val="20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Corporate Plan 2017-18</w:t>
            </w:r>
          </w:p>
        </w:tc>
        <w:tc>
          <w:tcPr>
            <w:tcW w:w="968" w:type="dxa"/>
            <w:tcBorders>
              <w:top w:val="single" w:sz="4" w:space="0" w:color="auto"/>
              <w:left w:val="single" w:sz="4" w:space="0" w:color="auto"/>
              <w:bottom w:val="single" w:sz="4" w:space="0" w:color="auto"/>
              <w:right w:val="single" w:sz="4" w:space="0" w:color="auto"/>
            </w:tcBorders>
          </w:tcPr>
          <w:p w14:paraId="5761E18C"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18D"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1AC"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18F"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190" w14:textId="77777777" w:rsidR="00A56EE9" w:rsidRPr="00E70A11" w:rsidRDefault="00A56EE9" w:rsidP="00BB6AD5">
            <w:pPr>
              <w:pStyle w:val="Tablebulletlist"/>
              <w:jc w:val="center"/>
              <w:rPr>
                <w:rStyle w:val="BookTitle"/>
              </w:rPr>
            </w:pPr>
            <w:r w:rsidRPr="00E70A11">
              <w:rPr>
                <w:rStyle w:val="BookTitle"/>
              </w:rPr>
              <w:t>3</w:t>
            </w:r>
          </w:p>
        </w:tc>
        <w:tc>
          <w:tcPr>
            <w:tcW w:w="4642" w:type="dxa"/>
            <w:tcBorders>
              <w:top w:val="single" w:sz="4" w:space="0" w:color="auto"/>
              <w:left w:val="single" w:sz="4" w:space="0" w:color="auto"/>
              <w:bottom w:val="single" w:sz="4" w:space="0" w:color="auto"/>
              <w:right w:val="single" w:sz="4" w:space="0" w:color="auto"/>
            </w:tcBorders>
          </w:tcPr>
          <w:p w14:paraId="5761E191"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Climate Change Adaptation Strategy and Action Plan 2012-2017 was defunded early in the implementation phase and as a result many targets were not met.</w:t>
            </w:r>
          </w:p>
          <w:p w14:paraId="5761E192"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Tracking Australia’s Greenhouse Gas Emissions - Australia’s National Greenhouse Accounts are published, which track national emissions from 1990 onwards. Australia's greenhouse gas emissions are estimated as a nation, by state and by industry. The Department of Environment and Energy’s Emissions projections will incorporate mangroves and saltmarshes in GHG calculations per the IPCC recommendations</w:t>
            </w:r>
          </w:p>
          <w:p w14:paraId="5761E193"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monitors and in partnership with QPWS surveys impacts of cyclones, coral bleaching, coral disease and crown-of-thorns predation</w:t>
            </w:r>
            <w:r>
              <w:rPr>
                <w:rStyle w:val="BookTitle"/>
                <w:rFonts w:ascii="Arial Narrow" w:hAnsi="Arial Narrow"/>
                <w:sz w:val="18"/>
                <w:szCs w:val="18"/>
              </w:rPr>
              <w:t xml:space="preserve"> </w:t>
            </w:r>
          </w:p>
          <w:p w14:paraId="5761E194"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partners with the Bureau of Meteorology (BOM) and the US National Oceanic and Atmospheric Administration (NOAA) to monitor environmental conditions that may increase the risk of an impact to the GBR and discuss these risks with science/management/tourism partners to ensure adequate information is gathered. </w:t>
            </w:r>
          </w:p>
          <w:p w14:paraId="5761E195"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Bureau of Meteorology and CSIRO play an important role in monitoring, analysing and communicating observed changes in Australia's climate in the State of the Climate report</w:t>
            </w:r>
          </w:p>
          <w:p w14:paraId="5761E196"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National Environmental Research Programme (2011-2015)</w:t>
            </w:r>
            <w:r>
              <w:rPr>
                <w:rStyle w:val="BookTitle"/>
                <w:rFonts w:ascii="Arial Narrow" w:hAnsi="Arial Narrow"/>
                <w:sz w:val="18"/>
                <w:szCs w:val="18"/>
              </w:rPr>
              <w:t xml:space="preserve"> </w:t>
            </w:r>
          </w:p>
          <w:p w14:paraId="5761E197"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National Environmental Science Program (NESP) projects deliver collaborative, practical and applied research to inform decision making and on-ground action. NESP funding of $145 million over the six years from 2015 to 2021 supports six themed research hubs, along with projects to address emerging environmental research needs. </w:t>
            </w:r>
          </w:p>
          <w:p w14:paraId="5761E198"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proofErr w:type="gramStart"/>
            <w:r w:rsidRPr="00E70A11">
              <w:rPr>
                <w:rStyle w:val="BookTitle"/>
                <w:rFonts w:ascii="Arial Narrow" w:hAnsi="Arial Narrow"/>
                <w:sz w:val="18"/>
                <w:szCs w:val="18"/>
              </w:rPr>
              <w:t>eReefs</w:t>
            </w:r>
            <w:proofErr w:type="gramEnd"/>
            <w:r w:rsidRPr="00E70A11">
              <w:rPr>
                <w:rStyle w:val="BookTitle"/>
                <w:rFonts w:ascii="Arial Narrow" w:hAnsi="Arial Narrow"/>
                <w:sz w:val="18"/>
                <w:szCs w:val="18"/>
              </w:rPr>
              <w:t xml:space="preserve"> is a collaboration between the Great Barrier Reef Foundation, Bureau of Meteorology, Commonwealth Scientific and Industrial Research Organisation (CSIRO), Australian Institute of Marine Science and the Queensland Government. </w:t>
            </w:r>
          </w:p>
          <w:p w14:paraId="5761E199"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Marine Water Quality Dashboard which provides real-time information about water quality, sea temperature and the effects of</w:t>
            </w:r>
            <w:r>
              <w:rPr>
                <w:rStyle w:val="BookTitle"/>
                <w:rFonts w:ascii="Arial Narrow" w:hAnsi="Arial Narrow"/>
                <w:sz w:val="18"/>
                <w:szCs w:val="18"/>
              </w:rPr>
              <w:t xml:space="preserve"> </w:t>
            </w:r>
            <w:r w:rsidRPr="00E70A11">
              <w:rPr>
                <w:rStyle w:val="BookTitle"/>
                <w:rFonts w:ascii="Arial Narrow" w:hAnsi="Arial Narrow"/>
                <w:sz w:val="18"/>
                <w:szCs w:val="18"/>
              </w:rPr>
              <w:t>floods and storms on the Reef and is accessible publicly on the Bureau of Meteorology website.</w:t>
            </w:r>
          </w:p>
          <w:p w14:paraId="5761E19A"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is an aspiration for RIMReP to draw together relevant information to inform management however the realisation of that program will be dependent upon multiple factors including funding and human resourcing.</w:t>
            </w:r>
          </w:p>
          <w:p w14:paraId="5761E19B"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comprehensive monitoring, evaluation and reporting framework for the Queensland Climate Change Response is in development.</w:t>
            </w:r>
          </w:p>
        </w:tc>
        <w:tc>
          <w:tcPr>
            <w:tcW w:w="4464" w:type="dxa"/>
            <w:tcBorders>
              <w:top w:val="single" w:sz="4" w:space="0" w:color="auto"/>
              <w:left w:val="single" w:sz="4" w:space="0" w:color="auto"/>
              <w:bottom w:val="single" w:sz="4" w:space="0" w:color="auto"/>
              <w:right w:val="single" w:sz="4" w:space="0" w:color="auto"/>
            </w:tcBorders>
          </w:tcPr>
          <w:p w14:paraId="5761E19C"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Annual operating plans</w:t>
            </w:r>
          </w:p>
          <w:p w14:paraId="5761E19D"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Long-Term Sustainability Plan</w:t>
            </w:r>
          </w:p>
          <w:p w14:paraId="5761E19E"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State Planning Policy</w:t>
            </w:r>
          </w:p>
          <w:p w14:paraId="5761E19F"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Integrated Monitoring and Reporting Program</w:t>
            </w:r>
          </w:p>
          <w:p w14:paraId="5761E1A0"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Draft - Great Barrier Reef Blueprint for Resilience – internal document</w:t>
            </w:r>
          </w:p>
          <w:p w14:paraId="5761E1A1"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Health Incident Response System</w:t>
            </w:r>
          </w:p>
          <w:p w14:paraId="5761E1A2"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Annual GBRMPA Pre-Summer Workshop </w:t>
            </w:r>
          </w:p>
          <w:p w14:paraId="5761E1A3"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Final report: 2016 coral bleaching event on the Great Barrier Reef</w:t>
            </w:r>
          </w:p>
          <w:p w14:paraId="5761E1A4"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Australia’s emissions projections 2016</w:t>
            </w:r>
          </w:p>
          <w:p w14:paraId="5761E1A5"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BOM/CSIRO State of the Climate 2016</w:t>
            </w:r>
          </w:p>
          <w:p w14:paraId="5761E1A6"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National Environmental Research Program</w:t>
            </w:r>
          </w:p>
          <w:p w14:paraId="5761E1A7"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National Environmental Science Programme</w:t>
            </w:r>
          </w:p>
          <w:p w14:paraId="5761E1A8"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Marine Water Quality Dashboard</w:t>
            </w:r>
          </w:p>
          <w:p w14:paraId="5761E1A9" w14:textId="77777777" w:rsidR="00A56EE9" w:rsidRPr="00E70A11" w:rsidRDefault="00A56EE9" w:rsidP="00A11869">
            <w:pPr>
              <w:pStyle w:val="ListParagraph"/>
              <w:numPr>
                <w:ilvl w:val="0"/>
                <w:numId w:val="20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Climate Adaptation Strategy 2017-2030</w:t>
            </w:r>
          </w:p>
        </w:tc>
        <w:tc>
          <w:tcPr>
            <w:tcW w:w="968" w:type="dxa"/>
            <w:tcBorders>
              <w:top w:val="single" w:sz="4" w:space="0" w:color="auto"/>
              <w:left w:val="single" w:sz="4" w:space="0" w:color="auto"/>
              <w:bottom w:val="single" w:sz="4" w:space="0" w:color="auto"/>
              <w:right w:val="single" w:sz="4" w:space="0" w:color="auto"/>
            </w:tcBorders>
          </w:tcPr>
          <w:p w14:paraId="5761E1AA"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1AB"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1BF"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1AD"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1AE"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1AF"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included several projects designed to engage local stakeholders in plan to adapt to a changing climate. This plan was defunded in 2014 and has significantly reduced engagement capability.</w:t>
            </w:r>
          </w:p>
          <w:p w14:paraId="5761E1B0"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Capacity to engage has declined significantly since</w:t>
            </w:r>
            <w:r w:rsidRPr="00E70A11">
              <w:rPr>
                <w:rFonts w:ascii="Arial Narrow" w:hAnsi="Arial Narrow"/>
                <w:sz w:val="18"/>
                <w:szCs w:val="18"/>
              </w:rPr>
              <w:t xml:space="preserve"> </w:t>
            </w:r>
            <w:r w:rsidRPr="00E70A11">
              <w:rPr>
                <w:rStyle w:val="BookTitle"/>
                <w:rFonts w:ascii="Arial Narrow" w:hAnsi="Arial Narrow"/>
                <w:sz w:val="18"/>
                <w:szCs w:val="18"/>
              </w:rPr>
              <w:t>the cessation of the Climate Change group within GBRMPA</w:t>
            </w:r>
          </w:p>
          <w:p w14:paraId="5761E1B1"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climate change partnership was developed between the Queensland Seafood Industry Association and GBRMPA, and progressed adaptation work with the commercial fishing industry, however this is no longer funded</w:t>
            </w:r>
          </w:p>
          <w:p w14:paraId="5761E1B2"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development of regional plans and local government planning schemes includes statutory consultation requirements to engage stakeholders and the local community.</w:t>
            </w:r>
            <w:r>
              <w:rPr>
                <w:rStyle w:val="BookTitle"/>
                <w:rFonts w:ascii="Arial Narrow" w:hAnsi="Arial Narrow"/>
                <w:sz w:val="18"/>
                <w:szCs w:val="18"/>
              </w:rPr>
              <w:t xml:space="preserve"> </w:t>
            </w:r>
            <w:r w:rsidRPr="00E70A11">
              <w:rPr>
                <w:rStyle w:val="BookTitle"/>
                <w:rFonts w:ascii="Arial Narrow" w:hAnsi="Arial Narrow"/>
                <w:sz w:val="18"/>
                <w:szCs w:val="18"/>
              </w:rPr>
              <w:t>Submissions regarding these plans must be considered prior to finalisation.</w:t>
            </w:r>
          </w:p>
          <w:p w14:paraId="5761E1B3"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Reef-based tourism industry is very concerned about the impacts of climate change on its businesses and livelihoods, including degradation of reef sites, poor recovery of bleached sites as a result of other stresses, and a loss of marketing appeal as a high-quality reef destination</w:t>
            </w:r>
          </w:p>
          <w:p w14:paraId="5761E1B4"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There is a diversity of views </w:t>
            </w:r>
          </w:p>
          <w:p w14:paraId="5761E1B5"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Summit held in May 2017 with the key objective of developing a blueprint for action in response to mass bleaching and cumulative impacts on the Great Barrier Reef. The Summit brought together over 70 regional, national and international delegates, representing marine park managers, government agencies, Traditional Owners, research institutions, Reef users and other stakeholders.</w:t>
            </w:r>
          </w:p>
          <w:p w14:paraId="5761E1B6"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A number of stakeholder interviews across a range of sources indicate that some stakeholders consider that GBRMPA’s “voice” on this issue is absent or too small and that GBRMPA staff have dis-engaged from key processes related to planning to address climate change. </w:t>
            </w:r>
          </w:p>
          <w:p w14:paraId="5761E1B7"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Queensland Climate Change Response includes extensive community engagement and education activities.</w:t>
            </w:r>
          </w:p>
        </w:tc>
        <w:tc>
          <w:tcPr>
            <w:tcW w:w="4464" w:type="dxa"/>
            <w:tcBorders>
              <w:top w:val="single" w:sz="4" w:space="0" w:color="auto"/>
              <w:left w:val="single" w:sz="4" w:space="0" w:color="auto"/>
              <w:bottom w:val="single" w:sz="4" w:space="0" w:color="auto"/>
              <w:right w:val="single" w:sz="4" w:space="0" w:color="auto"/>
            </w:tcBorders>
          </w:tcPr>
          <w:p w14:paraId="5761E1B8"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1B9"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Climate Change Adaptation Strategy and Action Plan 2012-2017 </w:t>
            </w:r>
          </w:p>
          <w:p w14:paraId="5761E1BA"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Blueprint for Resilience</w:t>
            </w:r>
          </w:p>
          <w:p w14:paraId="5761E1BB" w14:textId="77777777" w:rsidR="00A56EE9" w:rsidRPr="00E70A11" w:rsidRDefault="00A56EE9" w:rsidP="00A11869">
            <w:pPr>
              <w:pStyle w:val="ListParagraph"/>
              <w:numPr>
                <w:ilvl w:val="0"/>
                <w:numId w:val="21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Climate Adaptation Strategy 2017-2030</w:t>
            </w:r>
          </w:p>
          <w:p w14:paraId="5761E1BC"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1BD"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1B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1CE"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1C0"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1C1"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1C2" w14:textId="77777777" w:rsidR="00A56EE9" w:rsidRPr="00E70A11" w:rsidRDefault="00A56EE9" w:rsidP="00A11869">
            <w:pPr>
              <w:pStyle w:val="ListParagraph"/>
              <w:numPr>
                <w:ilvl w:val="0"/>
                <w:numId w:val="21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does not explicitly consid</w:t>
            </w:r>
            <w:r>
              <w:rPr>
                <w:rStyle w:val="BookTitle"/>
                <w:rFonts w:ascii="Arial Narrow" w:hAnsi="Arial Narrow"/>
                <w:sz w:val="18"/>
                <w:szCs w:val="18"/>
              </w:rPr>
              <w:t xml:space="preserve">er the main threat to the Reef </w:t>
            </w:r>
            <w:r w:rsidRPr="00E70A11">
              <w:rPr>
                <w:rStyle w:val="BookTitle"/>
                <w:rFonts w:ascii="Arial Narrow" w:hAnsi="Arial Narrow"/>
                <w:sz w:val="18"/>
                <w:szCs w:val="18"/>
              </w:rPr>
              <w:t>(Climate Change), therefore scientific effort (through actions, targets) is not focused on delivering outcomes that would address climate pressures to the reef.</w:t>
            </w:r>
          </w:p>
          <w:p w14:paraId="5761E1C3" w14:textId="77777777" w:rsidR="00A56EE9" w:rsidRPr="00E70A11" w:rsidRDefault="00A56EE9" w:rsidP="00A11869">
            <w:pPr>
              <w:pStyle w:val="ListParagraph"/>
              <w:numPr>
                <w:ilvl w:val="0"/>
                <w:numId w:val="21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policy and resultant mitigation and adaptation programs remain in a state of flux at national level as is clear in the report of the Senate Enquiry on impacts of climate change on marine fisheries and biodiversity (Australian Senate, 2017)</w:t>
            </w:r>
          </w:p>
          <w:p w14:paraId="5761E1C4" w14:textId="77777777" w:rsidR="00A56EE9" w:rsidRPr="00E70A11" w:rsidRDefault="00A56EE9" w:rsidP="00A11869">
            <w:pPr>
              <w:pStyle w:val="ListParagraph"/>
              <w:numPr>
                <w:ilvl w:val="0"/>
                <w:numId w:val="21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change policies at national and state level have fluctuated asynchronously and Australia has not had a settled climate change policy over the long term needed to achieve meaningful mitigation outcomes</w:t>
            </w:r>
          </w:p>
          <w:p w14:paraId="5761E1C5" w14:textId="77777777" w:rsidR="00A56EE9" w:rsidRPr="00E70A11" w:rsidRDefault="00A56EE9" w:rsidP="00A11869">
            <w:pPr>
              <w:pStyle w:val="ListParagraph"/>
              <w:numPr>
                <w:ilvl w:val="0"/>
                <w:numId w:val="21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Fraser et al (2017) conclude that policy settings are inadequate or have not been properly implemented</w:t>
            </w:r>
          </w:p>
          <w:p w14:paraId="5761E1C6" w14:textId="77777777" w:rsidR="00A56EE9" w:rsidRPr="00E70A11" w:rsidRDefault="00A56EE9" w:rsidP="00A11869">
            <w:pPr>
              <w:pStyle w:val="ListParagraph"/>
              <w:numPr>
                <w:ilvl w:val="0"/>
                <w:numId w:val="21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Morrison (2017) notes impact of changing climate policy on governance of the GBR</w:t>
            </w:r>
          </w:p>
        </w:tc>
        <w:tc>
          <w:tcPr>
            <w:tcW w:w="4464" w:type="dxa"/>
            <w:tcBorders>
              <w:top w:val="single" w:sz="4" w:space="0" w:color="auto"/>
              <w:left w:val="single" w:sz="4" w:space="0" w:color="auto"/>
              <w:bottom w:val="single" w:sz="4" w:space="0" w:color="auto"/>
              <w:right w:val="single" w:sz="4" w:space="0" w:color="auto"/>
            </w:tcBorders>
          </w:tcPr>
          <w:p w14:paraId="5761E1C7" w14:textId="77777777" w:rsidR="00A56EE9" w:rsidRPr="00E70A11" w:rsidRDefault="00A56EE9" w:rsidP="00A11869">
            <w:pPr>
              <w:pStyle w:val="ListParagraph"/>
              <w:numPr>
                <w:ilvl w:val="0"/>
                <w:numId w:val="21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1C8" w14:textId="77777777" w:rsidR="00A56EE9" w:rsidRPr="00E70A11" w:rsidRDefault="00A56EE9" w:rsidP="00A11869">
            <w:pPr>
              <w:pStyle w:val="ListParagraph"/>
              <w:numPr>
                <w:ilvl w:val="0"/>
                <w:numId w:val="21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Baranzini, A., van den Bergh, J. C. J. M., Carattini, S., Howarth, R. B., Padilla, E. and Roca, J. (2017), Carbon pricing in climate policy: seven reasons, complementary instruments, and political economy considerations. WIREs Clim Change, 8: </w:t>
            </w:r>
            <w:proofErr w:type="gramStart"/>
            <w:r w:rsidRPr="00E70A11">
              <w:rPr>
                <w:rStyle w:val="BookTitle"/>
                <w:rFonts w:ascii="Arial Narrow" w:hAnsi="Arial Narrow"/>
                <w:sz w:val="18"/>
                <w:szCs w:val="18"/>
              </w:rPr>
              <w:t>n/a</w:t>
            </w:r>
            <w:proofErr w:type="gramEnd"/>
            <w:r w:rsidRPr="00E70A11">
              <w:rPr>
                <w:rStyle w:val="BookTitle"/>
                <w:rFonts w:ascii="Arial Narrow" w:hAnsi="Arial Narrow"/>
                <w:sz w:val="18"/>
                <w:szCs w:val="18"/>
              </w:rPr>
              <w:t>, e462. doi:10.1002/wcc.462</w:t>
            </w:r>
          </w:p>
          <w:p w14:paraId="5761E1C9" w14:textId="77777777" w:rsidR="00A56EE9" w:rsidRPr="00E70A11" w:rsidRDefault="00A56EE9" w:rsidP="00A11869">
            <w:pPr>
              <w:pStyle w:val="ListParagraph"/>
              <w:numPr>
                <w:ilvl w:val="0"/>
                <w:numId w:val="21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Pickering, J. &amp; Mitchell, P. Int Environ Agreements (2017) 17: 107. https://doi.org/10.1007/s10784-016-9346-5</w:t>
            </w:r>
          </w:p>
          <w:p w14:paraId="5761E1CA" w14:textId="77777777" w:rsidR="00A56EE9" w:rsidRPr="00E70A11" w:rsidRDefault="00A56EE9" w:rsidP="00A11869">
            <w:pPr>
              <w:pStyle w:val="ListParagraph"/>
              <w:numPr>
                <w:ilvl w:val="0"/>
                <w:numId w:val="21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Crowley, K. (2017), </w:t>
            </w:r>
            <w:proofErr w:type="gramStart"/>
            <w:r w:rsidRPr="00E70A11">
              <w:rPr>
                <w:rStyle w:val="BookTitle"/>
                <w:rFonts w:ascii="Arial Narrow" w:hAnsi="Arial Narrow"/>
                <w:sz w:val="18"/>
                <w:szCs w:val="18"/>
              </w:rPr>
              <w:t>Up</w:t>
            </w:r>
            <w:proofErr w:type="gramEnd"/>
            <w:r w:rsidRPr="00E70A11">
              <w:rPr>
                <w:rStyle w:val="BookTitle"/>
                <w:rFonts w:ascii="Arial Narrow" w:hAnsi="Arial Narrow"/>
                <w:sz w:val="18"/>
                <w:szCs w:val="18"/>
              </w:rPr>
              <w:t xml:space="preserve"> and down with climate politics 2013–2016: the repeal of carbon pricing in Australia. WIREs Clim Change, 8: </w:t>
            </w:r>
            <w:proofErr w:type="gramStart"/>
            <w:r w:rsidRPr="00E70A11">
              <w:rPr>
                <w:rStyle w:val="BookTitle"/>
                <w:rFonts w:ascii="Arial Narrow" w:hAnsi="Arial Narrow"/>
                <w:sz w:val="18"/>
                <w:szCs w:val="18"/>
              </w:rPr>
              <w:t>n/a</w:t>
            </w:r>
            <w:proofErr w:type="gramEnd"/>
            <w:r w:rsidRPr="00E70A11">
              <w:rPr>
                <w:rStyle w:val="BookTitle"/>
                <w:rFonts w:ascii="Arial Narrow" w:hAnsi="Arial Narrow"/>
                <w:sz w:val="18"/>
                <w:szCs w:val="18"/>
              </w:rPr>
              <w:t>, e458. doi:10.1002/wcc.458</w:t>
            </w:r>
          </w:p>
          <w:p w14:paraId="5761E1CB" w14:textId="77777777" w:rsidR="00A56EE9" w:rsidRPr="00E70A11" w:rsidRDefault="00A56EE9" w:rsidP="00A11869">
            <w:pPr>
              <w:pStyle w:val="ListParagraph"/>
              <w:numPr>
                <w:ilvl w:val="0"/>
                <w:numId w:val="21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Morrison, T. H. (2017). Evolving polycentric governance of the Great Barrier Reef. Proceedings of the National Academy of Sciences.</w:t>
            </w:r>
          </w:p>
        </w:tc>
        <w:tc>
          <w:tcPr>
            <w:tcW w:w="968" w:type="dxa"/>
            <w:tcBorders>
              <w:top w:val="single" w:sz="4" w:space="0" w:color="auto"/>
              <w:left w:val="single" w:sz="4" w:space="0" w:color="auto"/>
              <w:bottom w:val="single" w:sz="4" w:space="0" w:color="auto"/>
              <w:right w:val="single" w:sz="4" w:space="0" w:color="auto"/>
            </w:tcBorders>
          </w:tcPr>
          <w:p w14:paraId="5761E1CC"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1CD" w14:textId="77777777" w:rsidR="00A56EE9" w:rsidRPr="00E70A11" w:rsidRDefault="00A56EE9" w:rsidP="00BB6AD5">
            <w:pPr>
              <w:pStyle w:val="Tablebulletlist"/>
              <w:rPr>
                <w:rStyle w:val="BookTitle"/>
              </w:rPr>
            </w:pPr>
            <w:r>
              <w:rPr>
                <w:rStyle w:val="BookTitle"/>
              </w:rPr>
              <w:t>stable</w:t>
            </w:r>
          </w:p>
        </w:tc>
      </w:tr>
      <w:tr w:rsidR="00A56EE9" w:rsidRPr="00E70A11" w14:paraId="5761E1DB"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shd w:val="clear" w:color="auto" w:fill="FFFFFF"/>
          </w:tcPr>
          <w:p w14:paraId="5761E1CF" w14:textId="77777777" w:rsidR="00A56EE9" w:rsidRPr="00E70A11" w:rsidRDefault="00A56EE9" w:rsidP="00BB6AD5">
            <w:pPr>
              <w:pStyle w:val="Tablebulletlist"/>
              <w:rPr>
                <w:rStyle w:val="BookTitle"/>
              </w:rPr>
            </w:pPr>
            <w:r w:rsidRPr="00E70A11">
              <w:rPr>
                <w:rStyle w:val="BookTitle"/>
              </w:rPr>
              <w:t>PL8 There is consistency across jurisdictions when planning for climate change</w:t>
            </w:r>
          </w:p>
        </w:tc>
        <w:tc>
          <w:tcPr>
            <w:tcW w:w="768" w:type="dxa"/>
            <w:tcBorders>
              <w:top w:val="single" w:sz="4" w:space="0" w:color="auto"/>
              <w:left w:val="single" w:sz="4" w:space="0" w:color="auto"/>
              <w:bottom w:val="single" w:sz="4" w:space="0" w:color="auto"/>
              <w:right w:val="single" w:sz="4" w:space="0" w:color="auto"/>
            </w:tcBorders>
            <w:shd w:val="clear" w:color="auto" w:fill="FFFFFF"/>
            <w:vAlign w:val="center"/>
          </w:tcPr>
          <w:p w14:paraId="5761E1D0"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shd w:val="clear" w:color="auto" w:fill="FFFFFF"/>
          </w:tcPr>
          <w:p w14:paraId="5761E1D1" w14:textId="77777777" w:rsidR="00A56EE9" w:rsidRPr="00E70A11" w:rsidRDefault="00A56EE9" w:rsidP="00A11869">
            <w:pPr>
              <w:pStyle w:val="ListParagraph"/>
              <w:numPr>
                <w:ilvl w:val="0"/>
                <w:numId w:val="21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There are many examples of consistency (eg. complementary zoning, port management plans, defence environmental planning, </w:t>
            </w:r>
            <w:proofErr w:type="gramStart"/>
            <w:r w:rsidRPr="00E70A11">
              <w:rPr>
                <w:rStyle w:val="BookTitle"/>
                <w:rFonts w:ascii="Arial Narrow" w:hAnsi="Arial Narrow"/>
                <w:sz w:val="18"/>
                <w:szCs w:val="18"/>
              </w:rPr>
              <w:t>shipping</w:t>
            </w:r>
            <w:proofErr w:type="gramEnd"/>
            <w:r w:rsidRPr="00E70A11">
              <w:rPr>
                <w:rStyle w:val="BookTitle"/>
                <w:rFonts w:ascii="Arial Narrow" w:hAnsi="Arial Narrow"/>
                <w:sz w:val="18"/>
                <w:szCs w:val="18"/>
              </w:rPr>
              <w:t xml:space="preserve"> planning) but examples also exist of a lack of consistency (eg. Qld Fish Habitat Zone &amp; GBRMPA Habitat Protection Zone).</w:t>
            </w:r>
          </w:p>
          <w:p w14:paraId="5761E1D2" w14:textId="77777777" w:rsidR="00A56EE9" w:rsidRPr="00E70A11" w:rsidRDefault="00A56EE9" w:rsidP="00A11869">
            <w:pPr>
              <w:pStyle w:val="ListParagraph"/>
              <w:numPr>
                <w:ilvl w:val="0"/>
                <w:numId w:val="21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and Federal government are at odds with regards to renewable energy targets and supporting the recommendations of the Finkel Review. Nationally, the focus is on incentives without a regulatory foundation (dale, 2016)</w:t>
            </w:r>
          </w:p>
          <w:p w14:paraId="5761E1D3" w14:textId="77777777" w:rsidR="00A56EE9" w:rsidRPr="00E70A11" w:rsidRDefault="00A56EE9" w:rsidP="00A11869">
            <w:pPr>
              <w:pStyle w:val="ListParagraph"/>
              <w:numPr>
                <w:ilvl w:val="0"/>
                <w:numId w:val="21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Inconsistent in part because Reef 2050 does not explicitly address climate risks, yet it is the greatest threat to the reef.</w:t>
            </w:r>
          </w:p>
          <w:p w14:paraId="5761E1D4" w14:textId="77777777" w:rsidR="00A56EE9" w:rsidRPr="00E70A11" w:rsidRDefault="00A56EE9" w:rsidP="00A11869">
            <w:pPr>
              <w:pStyle w:val="ListParagraph"/>
              <w:numPr>
                <w:ilvl w:val="0"/>
                <w:numId w:val="21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Major inconsistency is between policies across sectors at Federal, State and local level. This inconsistency primarily relates to the requirement for effective mitigation action to ensure that global temperature increase remains below 1.5 </w:t>
            </w:r>
            <w:r w:rsidRPr="00E70A11">
              <w:rPr>
                <w:rStyle w:val="BookTitle"/>
                <w:rFonts w:ascii="Arial Narrow" w:hAnsi="Arial Narrow"/>
                <w:sz w:val="18"/>
                <w:szCs w:val="18"/>
                <w:vertAlign w:val="superscript"/>
              </w:rPr>
              <w:t>o</w:t>
            </w:r>
            <w:r w:rsidRPr="00E70A11">
              <w:rPr>
                <w:rStyle w:val="BookTitle"/>
                <w:rFonts w:ascii="Arial Narrow" w:hAnsi="Arial Narrow"/>
                <w:sz w:val="18"/>
                <w:szCs w:val="18"/>
              </w:rPr>
              <w:t>C. Adaptation efforts within the GBR will be ineffective unless this can be achieved (Dale et al (2016)</w:t>
            </w:r>
          </w:p>
        </w:tc>
        <w:tc>
          <w:tcPr>
            <w:tcW w:w="4464" w:type="dxa"/>
            <w:tcBorders>
              <w:top w:val="single" w:sz="4" w:space="0" w:color="auto"/>
              <w:left w:val="single" w:sz="4" w:space="0" w:color="auto"/>
              <w:bottom w:val="single" w:sz="4" w:space="0" w:color="auto"/>
              <w:right w:val="single" w:sz="4" w:space="0" w:color="auto"/>
            </w:tcBorders>
            <w:shd w:val="clear" w:color="auto" w:fill="FFFFFF"/>
          </w:tcPr>
          <w:p w14:paraId="5761E1D5" w14:textId="77777777" w:rsidR="00A56EE9" w:rsidRPr="00E70A11" w:rsidRDefault="00A56EE9" w:rsidP="00A11869">
            <w:pPr>
              <w:pStyle w:val="ListParagraph"/>
              <w:numPr>
                <w:ilvl w:val="0"/>
                <w:numId w:val="21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Advancing Climate Action in Queensland Making the transition to a low carbon future 2016</w:t>
            </w:r>
          </w:p>
          <w:p w14:paraId="5761E1D6" w14:textId="77777777" w:rsidR="00A56EE9" w:rsidRPr="00E70A11" w:rsidRDefault="00A56EE9" w:rsidP="00A11869">
            <w:pPr>
              <w:pStyle w:val="ListParagraph"/>
              <w:numPr>
                <w:ilvl w:val="0"/>
                <w:numId w:val="21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Pathways to a clean growth economy Queensland Climate Transition Strategy 2017</w:t>
            </w:r>
          </w:p>
          <w:p w14:paraId="5761E1D7" w14:textId="77777777" w:rsidR="00A56EE9" w:rsidRPr="00E70A11" w:rsidRDefault="00A56EE9" w:rsidP="00A11869">
            <w:pPr>
              <w:pStyle w:val="ListParagraph"/>
              <w:numPr>
                <w:ilvl w:val="0"/>
                <w:numId w:val="21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Pathways to a climate resilient Queensland: Queensland Climate Adaptation Strategy 2017–2030</w:t>
            </w:r>
          </w:p>
          <w:p w14:paraId="5761E1D8" w14:textId="77777777" w:rsidR="00A56EE9" w:rsidRPr="00E70A11" w:rsidRDefault="00A56EE9" w:rsidP="00A11869">
            <w:pPr>
              <w:pStyle w:val="ListParagraph"/>
              <w:numPr>
                <w:ilvl w:val="0"/>
                <w:numId w:val="21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Dale, A. P., Vella, K., Pressey, R. L., Brodie, J., Gooch, M., Potts, R. and Eberhard, R. (2016). Risk analysis of the governance system affecting outcomes in the Great Barrier Reef. Journal of Environmental Management 183, Part 3: 712-721.</w:t>
            </w:r>
          </w:p>
        </w:tc>
        <w:tc>
          <w:tcPr>
            <w:tcW w:w="968" w:type="dxa"/>
            <w:tcBorders>
              <w:top w:val="single" w:sz="4" w:space="0" w:color="auto"/>
              <w:left w:val="single" w:sz="4" w:space="0" w:color="auto"/>
              <w:bottom w:val="single" w:sz="4" w:space="0" w:color="auto"/>
              <w:right w:val="single" w:sz="4" w:space="0" w:color="auto"/>
            </w:tcBorders>
            <w:shd w:val="clear" w:color="auto" w:fill="FFFFFF"/>
          </w:tcPr>
          <w:p w14:paraId="5761E1D9"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shd w:val="clear" w:color="auto" w:fill="FFFFFF"/>
          </w:tcPr>
          <w:p w14:paraId="5761E1D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1E6"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shd w:val="clear" w:color="auto" w:fill="auto"/>
          </w:tcPr>
          <w:p w14:paraId="5761E1DC"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climate change provide certainty regarding where uses may occur, the type of activities allowed, conditions under which activities may proceed and circumstances where impacts are likely to be acceptable.</w:t>
            </w:r>
          </w:p>
        </w:tc>
        <w:tc>
          <w:tcPr>
            <w:tcW w:w="768" w:type="dxa"/>
            <w:tcBorders>
              <w:top w:val="single" w:sz="4" w:space="0" w:color="auto"/>
              <w:left w:val="single" w:sz="4" w:space="0" w:color="auto"/>
              <w:bottom w:val="single" w:sz="4" w:space="0" w:color="auto"/>
              <w:right w:val="single" w:sz="4" w:space="0" w:color="auto"/>
            </w:tcBorders>
            <w:vAlign w:val="center"/>
          </w:tcPr>
          <w:p w14:paraId="5761E1DD"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1DE" w14:textId="77777777" w:rsidR="00A56EE9" w:rsidRPr="00E70A11" w:rsidRDefault="00A56EE9" w:rsidP="00A11869">
            <w:pPr>
              <w:pStyle w:val="ListParagraph"/>
              <w:numPr>
                <w:ilvl w:val="0"/>
                <w:numId w:val="21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Regressed since the cessation of funding for the Climate Change Adaptation Strategy and Action Plan.</w:t>
            </w:r>
          </w:p>
          <w:p w14:paraId="5761E1DF" w14:textId="77777777" w:rsidR="00A56EE9" w:rsidRPr="00E70A11" w:rsidRDefault="00A56EE9" w:rsidP="00A11869">
            <w:pPr>
              <w:pStyle w:val="ListParagraph"/>
              <w:numPr>
                <w:ilvl w:val="0"/>
                <w:numId w:val="21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Local government planning schemes identify areas where development may and may not occur, or occur under certain circumstances.</w:t>
            </w:r>
            <w:r>
              <w:rPr>
                <w:rStyle w:val="BookTitle"/>
                <w:rFonts w:ascii="Arial Narrow" w:hAnsi="Arial Narrow"/>
                <w:sz w:val="18"/>
                <w:szCs w:val="18"/>
              </w:rPr>
              <w:t xml:space="preserve"> </w:t>
            </w:r>
            <w:r w:rsidRPr="00E70A11">
              <w:rPr>
                <w:rStyle w:val="BookTitle"/>
                <w:rFonts w:ascii="Arial Narrow" w:hAnsi="Arial Narrow"/>
                <w:sz w:val="18"/>
                <w:szCs w:val="18"/>
              </w:rPr>
              <w:t>The development applications are assessed according to intent for the area/zone, codes of assessment relevant to the area/zone and, if submissions have been made about the proposed development, the issues raised in the submissions.</w:t>
            </w:r>
            <w:r>
              <w:rPr>
                <w:rStyle w:val="BookTitle"/>
                <w:rFonts w:ascii="Arial Narrow" w:hAnsi="Arial Narrow"/>
                <w:sz w:val="18"/>
                <w:szCs w:val="18"/>
              </w:rPr>
              <w:t xml:space="preserve"> </w:t>
            </w:r>
            <w:r w:rsidRPr="00E70A11">
              <w:rPr>
                <w:rStyle w:val="BookTitle"/>
                <w:rFonts w:ascii="Arial Narrow" w:hAnsi="Arial Narrow"/>
                <w:sz w:val="18"/>
                <w:szCs w:val="18"/>
              </w:rPr>
              <w:t>Development applications may have conditions applied by the assessment manager (or concurrence agency if relevant) which have to be met by the applicant before proceeding. However consideration of impacts on the GBR from agricultural and urban development are very limited.</w:t>
            </w:r>
          </w:p>
          <w:p w14:paraId="5761E1E0" w14:textId="77777777" w:rsidR="00A56EE9" w:rsidRPr="00E70A11" w:rsidRDefault="00A56EE9" w:rsidP="00A11869">
            <w:pPr>
              <w:pStyle w:val="ListParagraph"/>
              <w:numPr>
                <w:ilvl w:val="0"/>
                <w:numId w:val="21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Zoning Plans are in place but are relatively fixed and not easily adapted to address immediate climate mediated impacts (e.g. should zoning plans be re-configured in light of severe bleaching, should heavily bleached reefs be closed to fishing or other uses</w:t>
            </w:r>
          </w:p>
          <w:p w14:paraId="5761E1E1" w14:textId="77777777" w:rsidR="00A56EE9" w:rsidRPr="00E70A11" w:rsidRDefault="00A56EE9" w:rsidP="00A11869">
            <w:pPr>
              <w:pStyle w:val="ListParagraph"/>
              <w:numPr>
                <w:ilvl w:val="0"/>
                <w:numId w:val="21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Guidelines: Managing research in the Great Barrier Reef Marine Park express GBRMPA’s expectations regarding the consideration of Reef health and disturbances (e.g. bleaching) in research activities, including where research occurs. Additional or more specific requirements may be included in permission conditions.</w:t>
            </w:r>
          </w:p>
        </w:tc>
        <w:tc>
          <w:tcPr>
            <w:tcW w:w="4464" w:type="dxa"/>
            <w:tcBorders>
              <w:top w:val="single" w:sz="4" w:space="0" w:color="auto"/>
              <w:left w:val="single" w:sz="4" w:space="0" w:color="auto"/>
              <w:bottom w:val="single" w:sz="4" w:space="0" w:color="auto"/>
              <w:right w:val="single" w:sz="4" w:space="0" w:color="auto"/>
            </w:tcBorders>
          </w:tcPr>
          <w:p w14:paraId="5761E1E2" w14:textId="77777777" w:rsidR="00A56EE9" w:rsidRPr="00E70A11" w:rsidRDefault="00A56EE9" w:rsidP="00A11869">
            <w:pPr>
              <w:pStyle w:val="ListParagraph"/>
              <w:numPr>
                <w:ilvl w:val="0"/>
                <w:numId w:val="21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1E3"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1E4"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1E5"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1ED"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1E7" w14:textId="77777777" w:rsidR="00A56EE9" w:rsidRPr="00E70A11" w:rsidRDefault="00A56EE9" w:rsidP="00BB6AD5">
            <w:pPr>
              <w:pStyle w:val="Tablebulletlist"/>
              <w:rPr>
                <w:rStyle w:val="BookTitle"/>
              </w:rPr>
            </w:pPr>
            <w:r w:rsidRPr="00E70A11">
              <w:rPr>
                <w:rStyle w:val="BookTitle"/>
              </w:rPr>
              <w:t>INPUTS</w:t>
            </w:r>
          </w:p>
        </w:tc>
        <w:tc>
          <w:tcPr>
            <w:tcW w:w="768"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761E1E8" w14:textId="77777777" w:rsidR="00A56EE9" w:rsidRPr="00E70A11" w:rsidRDefault="00A56EE9" w:rsidP="00BB6AD5">
            <w:pPr>
              <w:pStyle w:val="Tablebulletlist"/>
              <w:jc w:val="center"/>
              <w:rPr>
                <w:rStyle w:val="BookTitle"/>
              </w:rPr>
            </w:pPr>
          </w:p>
        </w:tc>
        <w:tc>
          <w:tcPr>
            <w:tcW w:w="464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1E9" w14:textId="77777777" w:rsidR="00A56EE9" w:rsidRPr="00E70A11" w:rsidRDefault="00A56EE9" w:rsidP="00BB6AD5">
            <w:pPr>
              <w:pStyle w:val="ListParagraph"/>
              <w:ind w:left="360"/>
              <w:rPr>
                <w:rStyle w:val="BookTitle"/>
                <w:rFonts w:ascii="Arial Narrow" w:hAnsi="Arial Narrow"/>
                <w:sz w:val="18"/>
                <w:szCs w:val="18"/>
              </w:rPr>
            </w:pPr>
          </w:p>
        </w:tc>
        <w:tc>
          <w:tcPr>
            <w:tcW w:w="446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1EA" w14:textId="77777777" w:rsidR="00A56EE9" w:rsidRPr="00E70A11" w:rsidRDefault="00A56EE9" w:rsidP="00BB6AD5">
            <w:pPr>
              <w:pStyle w:val="ListParagraph"/>
              <w:ind w:left="360"/>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1EB" w14:textId="77777777" w:rsidR="00A56EE9" w:rsidRPr="00E70A11" w:rsidRDefault="00A56EE9" w:rsidP="00BB6AD5">
            <w:pPr>
              <w:pStyle w:val="Tablebulletlist"/>
              <w:rPr>
                <w:rStyle w:val="BookTitle"/>
              </w:rPr>
            </w:pPr>
          </w:p>
        </w:tc>
        <w:tc>
          <w:tcPr>
            <w:tcW w:w="88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1EC" w14:textId="77777777" w:rsidR="00A56EE9" w:rsidRPr="00E70A11" w:rsidRDefault="00A56EE9" w:rsidP="00BB6AD5">
            <w:pPr>
              <w:pStyle w:val="Tablebulletlist"/>
              <w:rPr>
                <w:rStyle w:val="BookTitle"/>
              </w:rPr>
            </w:pPr>
          </w:p>
        </w:tc>
      </w:tr>
      <w:tr w:rsidR="00A56EE9" w:rsidRPr="00E70A11" w14:paraId="5761E1FA"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1EE"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climate change </w:t>
            </w:r>
          </w:p>
        </w:tc>
        <w:tc>
          <w:tcPr>
            <w:tcW w:w="768" w:type="dxa"/>
            <w:tcBorders>
              <w:top w:val="single" w:sz="4" w:space="0" w:color="auto"/>
              <w:left w:val="single" w:sz="4" w:space="0" w:color="auto"/>
              <w:bottom w:val="single" w:sz="4" w:space="0" w:color="auto"/>
              <w:right w:val="single" w:sz="4" w:space="0" w:color="auto"/>
            </w:tcBorders>
            <w:vAlign w:val="center"/>
          </w:tcPr>
          <w:p w14:paraId="5761E1EF"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1F0" w14:textId="77777777" w:rsidR="00A56EE9" w:rsidRPr="00E70A11" w:rsidRDefault="00A56EE9" w:rsidP="00A11869">
            <w:pPr>
              <w:pStyle w:val="ListParagraph"/>
              <w:numPr>
                <w:ilvl w:val="0"/>
                <w:numId w:val="21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was defunded in 2014.</w:t>
            </w:r>
          </w:p>
          <w:p w14:paraId="5761E1F1" w14:textId="77777777" w:rsidR="00A56EE9" w:rsidRPr="00E70A11" w:rsidRDefault="00A56EE9" w:rsidP="00A11869">
            <w:pPr>
              <w:pStyle w:val="ListParagraph"/>
              <w:numPr>
                <w:ilvl w:val="0"/>
                <w:numId w:val="21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Significant funding is going into addressing impacts from water quality and COTS that interact with CC impacts but relatively little is going to more CC specific actions</w:t>
            </w:r>
          </w:p>
          <w:p w14:paraId="5761E1F2" w14:textId="77777777" w:rsidR="00A56EE9" w:rsidRPr="00E70A11" w:rsidRDefault="00A56EE9" w:rsidP="00A11869">
            <w:pPr>
              <w:pStyle w:val="ListParagraph"/>
              <w:numPr>
                <w:ilvl w:val="0"/>
                <w:numId w:val="21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Clean Energy Finance Corporation’s Reef Funding Program is a $1 billion investment program targeting clean energy projects in the Reef catchment area. The program makes finance available for clean energy businesses and projects which support the delivery of the Government's Reef 2050 plan, aiming to bring the benefits of clean energy to support the long-term health of the Great Barrier Reef. To date, $345 million in investment commitments to more than 280 projects have been made under this program.</w:t>
            </w:r>
          </w:p>
          <w:p w14:paraId="5761E1F3" w14:textId="77777777" w:rsidR="00A56EE9" w:rsidRPr="00E70A11" w:rsidRDefault="00A56EE9" w:rsidP="00A11869">
            <w:pPr>
              <w:pStyle w:val="ListParagraph"/>
              <w:numPr>
                <w:ilvl w:val="0"/>
                <w:numId w:val="21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Queensland Office of Climate Change was disbanded in 2012 with considerable loss of staff and expertise.</w:t>
            </w:r>
            <w:r>
              <w:rPr>
                <w:rStyle w:val="BookTitle"/>
                <w:rFonts w:ascii="Arial Narrow" w:hAnsi="Arial Narrow"/>
                <w:sz w:val="18"/>
                <w:szCs w:val="18"/>
              </w:rPr>
              <w:t xml:space="preserve"> </w:t>
            </w:r>
            <w:r w:rsidRPr="00E70A11">
              <w:rPr>
                <w:rStyle w:val="BookTitle"/>
                <w:rFonts w:ascii="Arial Narrow" w:hAnsi="Arial Narrow"/>
                <w:sz w:val="18"/>
                <w:szCs w:val="18"/>
              </w:rPr>
              <w:t>The Climate Change Policy Branch in the Department of Environment and Science leads climate policy development in Queensland.</w:t>
            </w:r>
          </w:p>
        </w:tc>
        <w:tc>
          <w:tcPr>
            <w:tcW w:w="4464" w:type="dxa"/>
            <w:tcBorders>
              <w:top w:val="single" w:sz="4" w:space="0" w:color="auto"/>
              <w:left w:val="single" w:sz="4" w:space="0" w:color="auto"/>
              <w:bottom w:val="single" w:sz="4" w:space="0" w:color="auto"/>
              <w:right w:val="single" w:sz="4" w:space="0" w:color="auto"/>
            </w:tcBorders>
          </w:tcPr>
          <w:p w14:paraId="5761E1F4" w14:textId="77777777" w:rsidR="00A56EE9" w:rsidRPr="00E70A11" w:rsidRDefault="00A56EE9" w:rsidP="00A11869">
            <w:pPr>
              <w:pStyle w:val="ListParagraph"/>
              <w:numPr>
                <w:ilvl w:val="0"/>
                <w:numId w:val="21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w:t>
            </w:r>
          </w:p>
          <w:p w14:paraId="5761E1F5" w14:textId="77777777" w:rsidR="00A56EE9" w:rsidRPr="00E70A11" w:rsidRDefault="00A56EE9" w:rsidP="00A11869">
            <w:pPr>
              <w:pStyle w:val="ListParagraph"/>
              <w:numPr>
                <w:ilvl w:val="0"/>
                <w:numId w:val="21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Planning for Climate Change in Natural Resource Management</w:t>
            </w:r>
          </w:p>
          <w:p w14:paraId="5761E1F6" w14:textId="77777777" w:rsidR="00A56EE9" w:rsidRPr="00E70A11" w:rsidRDefault="00A56EE9" w:rsidP="00A11869">
            <w:pPr>
              <w:pStyle w:val="ListParagraph"/>
              <w:numPr>
                <w:ilvl w:val="0"/>
                <w:numId w:val="21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Clean Energy Finance Corp-Reef Funding Program</w:t>
            </w:r>
          </w:p>
          <w:p w14:paraId="5761E1F7" w14:textId="77777777" w:rsidR="00A56EE9" w:rsidRPr="00E70A11" w:rsidRDefault="00A56EE9" w:rsidP="00A11869">
            <w:pPr>
              <w:pStyle w:val="ListParagraph"/>
              <w:numPr>
                <w:ilvl w:val="0"/>
                <w:numId w:val="21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Foundation’s Annual Report 2015</w:t>
            </w:r>
          </w:p>
        </w:tc>
        <w:tc>
          <w:tcPr>
            <w:tcW w:w="968" w:type="dxa"/>
            <w:tcBorders>
              <w:top w:val="single" w:sz="4" w:space="0" w:color="auto"/>
              <w:left w:val="single" w:sz="4" w:space="0" w:color="auto"/>
              <w:bottom w:val="single" w:sz="4" w:space="0" w:color="auto"/>
              <w:right w:val="single" w:sz="4" w:space="0" w:color="auto"/>
            </w:tcBorders>
          </w:tcPr>
          <w:p w14:paraId="5761E1F8"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1F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202"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1FB"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climate change </w:t>
            </w:r>
          </w:p>
        </w:tc>
        <w:tc>
          <w:tcPr>
            <w:tcW w:w="768" w:type="dxa"/>
            <w:tcBorders>
              <w:top w:val="single" w:sz="4" w:space="0" w:color="auto"/>
              <w:left w:val="single" w:sz="4" w:space="0" w:color="auto"/>
              <w:bottom w:val="single" w:sz="4" w:space="0" w:color="auto"/>
              <w:right w:val="single" w:sz="4" w:space="0" w:color="auto"/>
            </w:tcBorders>
            <w:vAlign w:val="center"/>
          </w:tcPr>
          <w:p w14:paraId="5761E1FC"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1FD" w14:textId="77777777" w:rsidR="00A56EE9" w:rsidRPr="00E70A11" w:rsidRDefault="00A56EE9" w:rsidP="00A11869">
            <w:pPr>
              <w:pStyle w:val="ListParagraph"/>
              <w:numPr>
                <w:ilvl w:val="0"/>
                <w:numId w:val="21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was an identified climate change section within GBRMPA coordinating implementation of the Great Barrier Reef Climate Change Action Plan. Through restructuring in 2013 this section no longer exists. This capacity was spread throughout the GBRMPA however there are no longer any staff dedicated to climate change understanding, resilience or adaptation.</w:t>
            </w:r>
          </w:p>
          <w:p w14:paraId="5761E1FE" w14:textId="77777777" w:rsidR="00A56EE9" w:rsidRPr="00E70A11" w:rsidRDefault="00A56EE9" w:rsidP="00A11869">
            <w:pPr>
              <w:pStyle w:val="ListParagraph"/>
              <w:numPr>
                <w:ilvl w:val="0"/>
                <w:numId w:val="21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Some stakeholders report that GBRMPA staff are frequently not present at relevant meetings and discussions relating to climate change management and response </w:t>
            </w:r>
          </w:p>
        </w:tc>
        <w:tc>
          <w:tcPr>
            <w:tcW w:w="4464" w:type="dxa"/>
            <w:tcBorders>
              <w:top w:val="single" w:sz="4" w:space="0" w:color="auto"/>
              <w:left w:val="single" w:sz="4" w:space="0" w:color="auto"/>
              <w:bottom w:val="single" w:sz="4" w:space="0" w:color="auto"/>
              <w:right w:val="single" w:sz="4" w:space="0" w:color="auto"/>
            </w:tcBorders>
          </w:tcPr>
          <w:p w14:paraId="5761E1FF" w14:textId="77777777" w:rsidR="00A56EE9" w:rsidRPr="00E70A11" w:rsidRDefault="00A56EE9" w:rsidP="00A11869">
            <w:pPr>
              <w:pStyle w:val="ListParagraph"/>
              <w:numPr>
                <w:ilvl w:val="0"/>
                <w:numId w:val="21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68" w:type="dxa"/>
            <w:tcBorders>
              <w:top w:val="single" w:sz="4" w:space="0" w:color="auto"/>
              <w:left w:val="single" w:sz="4" w:space="0" w:color="auto"/>
              <w:bottom w:val="single" w:sz="4" w:space="0" w:color="auto"/>
              <w:right w:val="single" w:sz="4" w:space="0" w:color="auto"/>
            </w:tcBorders>
          </w:tcPr>
          <w:p w14:paraId="5761E200"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201"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20C"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03"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04"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205" w14:textId="77777777" w:rsidR="00A56EE9" w:rsidRPr="00E70A11" w:rsidRDefault="00A56EE9" w:rsidP="00A11869">
            <w:pPr>
              <w:pStyle w:val="ListParagraph"/>
              <w:numPr>
                <w:ilvl w:val="0"/>
                <w:numId w:val="21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Contemporary knowledge about climate change, its risks and actions to address these risks is limited within GBRMPA and is not a clear priority for the organisation / workforce planning. </w:t>
            </w:r>
          </w:p>
          <w:p w14:paraId="5761E206" w14:textId="77777777" w:rsidR="00A56EE9" w:rsidRPr="00E70A11" w:rsidRDefault="00A56EE9" w:rsidP="00A11869">
            <w:pPr>
              <w:pStyle w:val="ListParagraph"/>
              <w:numPr>
                <w:ilvl w:val="0"/>
                <w:numId w:val="21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Skill sets/ aging workforce means some areas of skill/knowledge not being transferred to new staff.</w:t>
            </w:r>
            <w:r>
              <w:rPr>
                <w:rStyle w:val="BookTitle"/>
                <w:rFonts w:ascii="Arial Narrow" w:hAnsi="Arial Narrow"/>
                <w:sz w:val="18"/>
                <w:szCs w:val="18"/>
              </w:rPr>
              <w:t xml:space="preserve"> </w:t>
            </w:r>
          </w:p>
          <w:p w14:paraId="5761E207" w14:textId="77777777" w:rsidR="00A56EE9" w:rsidRPr="00E70A11" w:rsidRDefault="00A56EE9" w:rsidP="00A11869">
            <w:pPr>
              <w:pStyle w:val="ListParagraph"/>
              <w:numPr>
                <w:ilvl w:val="0"/>
                <w:numId w:val="21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Management skills required are becoming increasingly sophisticated.</w:t>
            </w:r>
          </w:p>
          <w:p w14:paraId="5761E208" w14:textId="77777777" w:rsidR="00A56EE9" w:rsidRPr="00E70A11" w:rsidRDefault="00A56EE9" w:rsidP="00A11869">
            <w:pPr>
              <w:pStyle w:val="ListParagraph"/>
              <w:numPr>
                <w:ilvl w:val="0"/>
                <w:numId w:val="21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Government agencies are increasingly working together to enhance resources and expertise (e.g. the Climate Change Policy Branch works closely with the Department of Science, Information Technology and Innovation to develop improved climate projection data and information products).</w:t>
            </w:r>
          </w:p>
        </w:tc>
        <w:tc>
          <w:tcPr>
            <w:tcW w:w="4464" w:type="dxa"/>
            <w:tcBorders>
              <w:top w:val="single" w:sz="4" w:space="0" w:color="auto"/>
              <w:left w:val="single" w:sz="4" w:space="0" w:color="auto"/>
              <w:bottom w:val="single" w:sz="4" w:space="0" w:color="auto"/>
              <w:right w:val="single" w:sz="4" w:space="0" w:color="auto"/>
            </w:tcBorders>
          </w:tcPr>
          <w:p w14:paraId="5761E209" w14:textId="77777777" w:rsidR="00A56EE9" w:rsidRPr="00E70A11" w:rsidRDefault="00A56EE9" w:rsidP="00A11869">
            <w:pPr>
              <w:pStyle w:val="ListParagraph"/>
              <w:numPr>
                <w:ilvl w:val="0"/>
                <w:numId w:val="21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68" w:type="dxa"/>
            <w:tcBorders>
              <w:top w:val="single" w:sz="4" w:space="0" w:color="auto"/>
              <w:left w:val="single" w:sz="4" w:space="0" w:color="auto"/>
              <w:bottom w:val="single" w:sz="4" w:space="0" w:color="auto"/>
              <w:right w:val="single" w:sz="4" w:space="0" w:color="auto"/>
            </w:tcBorders>
          </w:tcPr>
          <w:p w14:paraId="5761E20A"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20B"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223"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0D"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0E" w14:textId="77777777" w:rsidR="00A56EE9" w:rsidRPr="00E70A11" w:rsidRDefault="00A56EE9" w:rsidP="00BB6AD5">
            <w:pPr>
              <w:pStyle w:val="Tablebulletlist"/>
              <w:jc w:val="center"/>
              <w:rPr>
                <w:rStyle w:val="BookTitle"/>
              </w:rPr>
            </w:pPr>
            <w:r w:rsidRPr="00E70A11">
              <w:rPr>
                <w:rStyle w:val="BookTitle"/>
              </w:rPr>
              <w:t>3</w:t>
            </w:r>
          </w:p>
        </w:tc>
        <w:tc>
          <w:tcPr>
            <w:tcW w:w="4642" w:type="dxa"/>
            <w:tcBorders>
              <w:top w:val="single" w:sz="4" w:space="0" w:color="auto"/>
              <w:left w:val="single" w:sz="4" w:space="0" w:color="auto"/>
              <w:bottom w:val="single" w:sz="4" w:space="0" w:color="auto"/>
              <w:right w:val="single" w:sz="4" w:space="0" w:color="auto"/>
            </w:tcBorders>
          </w:tcPr>
          <w:p w14:paraId="5761E20F"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Much of the GBR-specific information is available however this is often in disparate datasets. Work is underway as part of RIMReP and through some Great Barrier Reef Foundation funded project work to centralise the necessary data, particularly the consistent long term gathering of environmental exposure as well as ecological information. </w:t>
            </w:r>
          </w:p>
          <w:p w14:paraId="5761E210"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updated its ‘Scientific Information Needs for Management of the GBRMP’ following the 2014 Outlook Report. The Science Strategy and Information Needs 2014-2019 sets out future scientific information needs. It aims to ensure scientific activities are relevant, targeted to address critical management issues, and that scientific outputs are easily accessible. </w:t>
            </w:r>
          </w:p>
          <w:p w14:paraId="5761E211"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ReefTemp Next Generation is an example of an operational tool, developed at the Bureau of Meteorology, monitoring bleaching conditions, and these tools can be used to trigger bleaching response plans and support appropriate management decisions. </w:t>
            </w:r>
          </w:p>
          <w:p w14:paraId="5761E212"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early warning system has become more sophisticated and incorporated new technologies to support improved situational awareness by managers. Further collaborative work is underway to refine tools, develop new tools, and to re-evaluate the thresholds used to determine the risk of bleaching or mortality. </w:t>
            </w:r>
          </w:p>
          <w:p w14:paraId="5761E213"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Bureau of Meteorology and CSIRO play an important role in monitoring, analysing and communicating observed changes in Australia's climate.</w:t>
            </w:r>
          </w:p>
          <w:p w14:paraId="5761E214"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Note that relevant information is frequently evolving as new models or better understanding and data is developed - this means management agencies need to continue to keep in touch with emerging findings so that management decisions are based on the most relevant and recent biophysical information relating to climate change.</w:t>
            </w:r>
          </w:p>
          <w:p w14:paraId="5761E215"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QLD Government’s Regional climate change impact summaries aim to help Queenslanders understand and adapt to our changing climate by providing a snapshot of the climate risks, impacts and responses in each region. They show climate change projections for the years 2030 and 2070 at a statewide level and for 13 Queensland regions.</w:t>
            </w:r>
          </w:p>
          <w:p w14:paraId="5761E216"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Much information is available but key gaps exist (eg. connectivity, trophic interactions, deep water, far north GBR)</w:t>
            </w:r>
          </w:p>
          <w:p w14:paraId="5761E217"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Non-charismatic or taxa of no apparent economic value are poorly known but it is reasonable to expect that back-to-back bleaching will have had flow on consequences for most species</w:t>
            </w:r>
          </w:p>
        </w:tc>
        <w:tc>
          <w:tcPr>
            <w:tcW w:w="4464" w:type="dxa"/>
            <w:tcBorders>
              <w:top w:val="single" w:sz="4" w:space="0" w:color="auto"/>
              <w:left w:val="single" w:sz="4" w:space="0" w:color="auto"/>
              <w:bottom w:val="single" w:sz="4" w:space="0" w:color="auto"/>
              <w:right w:val="single" w:sz="4" w:space="0" w:color="auto"/>
            </w:tcBorders>
          </w:tcPr>
          <w:p w14:paraId="5761E218"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Marine Park Authority Scientific strategy and information needs 2014-2019 </w:t>
            </w:r>
          </w:p>
          <w:p w14:paraId="5761E219"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ReefTemp Next Generation </w:t>
            </w:r>
          </w:p>
          <w:p w14:paraId="5761E21A"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BOM/CSIRO State of the Climate 2016 </w:t>
            </w:r>
          </w:p>
          <w:p w14:paraId="5761E21B"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QLD Regional climate change impact summaries</w:t>
            </w:r>
          </w:p>
          <w:p w14:paraId="5761E21C"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Outlook Report 2014</w:t>
            </w:r>
          </w:p>
          <w:p w14:paraId="5761E21D"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Change in Queensland map application</w:t>
            </w:r>
          </w:p>
          <w:p w14:paraId="5761E21E" w14:textId="77777777" w:rsidR="00A56EE9" w:rsidRDefault="00A56EE9" w:rsidP="00A11869">
            <w:pPr>
              <w:pStyle w:val="ListParagraph"/>
              <w:numPr>
                <w:ilvl w:val="0"/>
                <w:numId w:val="21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High Resolution Climate Change Projection Data for Queensland</w:t>
            </w:r>
          </w:p>
          <w:p w14:paraId="5761E21F" w14:textId="77777777" w:rsidR="00A56EE9" w:rsidRPr="00E70A11" w:rsidRDefault="00A56EE9" w:rsidP="00A11869">
            <w:pPr>
              <w:pStyle w:val="ListParagraph"/>
              <w:numPr>
                <w:ilvl w:val="0"/>
                <w:numId w:val="216"/>
              </w:numPr>
              <w:spacing w:after="200" w:line="276" w:lineRule="auto"/>
              <w:rPr>
                <w:rStyle w:val="BookTitle"/>
                <w:rFonts w:ascii="Arial Narrow" w:hAnsi="Arial Narrow"/>
                <w:sz w:val="18"/>
                <w:szCs w:val="18"/>
              </w:rPr>
            </w:pPr>
            <w:r>
              <w:rPr>
                <w:rStyle w:val="BookTitle"/>
                <w:rFonts w:ascii="Arial Narrow" w:hAnsi="Arial Narrow"/>
                <w:sz w:val="18"/>
                <w:szCs w:val="18"/>
              </w:rPr>
              <w:t>Coral bleaching 2016 and 2017</w:t>
            </w:r>
          </w:p>
          <w:p w14:paraId="5761E220"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221"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222" w14:textId="77777777" w:rsidR="00A56EE9" w:rsidRPr="00E70A11" w:rsidRDefault="00A56EE9" w:rsidP="00BB6AD5">
            <w:pPr>
              <w:pStyle w:val="Tablebulletlist"/>
              <w:rPr>
                <w:rStyle w:val="BookTitle"/>
              </w:rPr>
            </w:pPr>
            <w:r w:rsidRPr="00E70A11">
              <w:rPr>
                <w:rStyle w:val="BookTitle"/>
              </w:rPr>
              <w:t>increasing</w:t>
            </w:r>
          </w:p>
        </w:tc>
      </w:tr>
      <w:tr w:rsidR="00A56EE9" w:rsidRPr="00E70A11" w14:paraId="5761E233"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24"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25" w14:textId="77777777" w:rsidR="00A56EE9" w:rsidRPr="00E70A11" w:rsidRDefault="00A56EE9" w:rsidP="00BB6AD5">
            <w:pPr>
              <w:pStyle w:val="Tablebulletlist"/>
              <w:jc w:val="center"/>
              <w:rPr>
                <w:rStyle w:val="BookTitle"/>
              </w:rPr>
            </w:pPr>
            <w:r w:rsidRPr="00E70A11">
              <w:rPr>
                <w:rStyle w:val="BookTitle"/>
              </w:rPr>
              <w:t>3</w:t>
            </w:r>
          </w:p>
        </w:tc>
        <w:tc>
          <w:tcPr>
            <w:tcW w:w="4642" w:type="dxa"/>
            <w:tcBorders>
              <w:top w:val="single" w:sz="4" w:space="0" w:color="auto"/>
              <w:left w:val="single" w:sz="4" w:space="0" w:color="auto"/>
              <w:bottom w:val="single" w:sz="4" w:space="0" w:color="auto"/>
              <w:right w:val="single" w:sz="4" w:space="0" w:color="auto"/>
            </w:tcBorders>
          </w:tcPr>
          <w:p w14:paraId="5761E226" w14:textId="77777777" w:rsidR="00A56EE9" w:rsidRPr="00E70A11" w:rsidRDefault="00A56EE9" w:rsidP="00A11869">
            <w:pPr>
              <w:pStyle w:val="ListParagraph"/>
              <w:numPr>
                <w:ilvl w:val="0"/>
                <w:numId w:val="21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Socio-economic information is available via SELTMP and updated valuation of the Reef. NCCARF funded projects have also contributed. </w:t>
            </w:r>
          </w:p>
          <w:p w14:paraId="5761E227" w14:textId="77777777" w:rsidR="00A56EE9" w:rsidRPr="00E70A11" w:rsidRDefault="00A56EE9" w:rsidP="00A11869">
            <w:pPr>
              <w:pStyle w:val="ListParagraph"/>
              <w:numPr>
                <w:ilvl w:val="0"/>
                <w:numId w:val="21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changing picture of Reef health has been expanded to include the social and economic changes in the area. GBRMPA partnered with CSIRO to establish the Social and Economic Long Term Monitoring Program (SELTMP) to study social and economic conditions and trends, especially in relation to changing ecological conditions in the Marine Park</w:t>
            </w:r>
          </w:p>
          <w:p w14:paraId="5761E228" w14:textId="77777777" w:rsidR="00A56EE9" w:rsidRPr="00E70A11" w:rsidRDefault="00A56EE9" w:rsidP="00A11869">
            <w:pPr>
              <w:pStyle w:val="ListParagraph"/>
              <w:numPr>
                <w:ilvl w:val="0"/>
                <w:numId w:val="21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Lack of information on recreational use of the marine park and relationships to CC and its effects on ecosystem and social and economic factors for Reef communities.</w:t>
            </w:r>
          </w:p>
          <w:p w14:paraId="5761E229" w14:textId="77777777" w:rsidR="00A56EE9" w:rsidRPr="00E70A11" w:rsidRDefault="00A56EE9" w:rsidP="00A11869">
            <w:pPr>
              <w:pStyle w:val="ListParagraph"/>
              <w:numPr>
                <w:ilvl w:val="0"/>
                <w:numId w:val="21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Access Economics Report on valuing the Reef published in 2017 (Great Barrier Reef Foundation funded).</w:t>
            </w:r>
          </w:p>
          <w:p w14:paraId="5761E22A" w14:textId="77777777" w:rsidR="00A56EE9" w:rsidRPr="00E70A11" w:rsidRDefault="00A56EE9" w:rsidP="00A11869">
            <w:pPr>
              <w:pStyle w:val="ListParagraph"/>
              <w:numPr>
                <w:ilvl w:val="0"/>
                <w:numId w:val="21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Study in the Capricorn coast area examined marine environmental stewardship potential within the local community, with relevance to climate change and Reef resilience. Generally has been an area lacking data, but activities are underway to reduce this deficit to some degree. Awareness within management agencies of the value of relevant S&amp;E information is more visible than it once was.</w:t>
            </w:r>
          </w:p>
          <w:p w14:paraId="5761E22B" w14:textId="77777777" w:rsidR="00A56EE9" w:rsidRPr="00E70A11" w:rsidRDefault="00A56EE9" w:rsidP="00A11869">
            <w:pPr>
              <w:pStyle w:val="ListParagraph"/>
              <w:numPr>
                <w:ilvl w:val="0"/>
                <w:numId w:val="21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Gaps and reliability issues continue to surround data on extractive use, eg. spatial precision of log books, data on recreational extraction</w:t>
            </w:r>
          </w:p>
          <w:p w14:paraId="5761E22C" w14:textId="77777777" w:rsidR="00A56EE9" w:rsidRPr="00E70A11" w:rsidRDefault="00A56EE9" w:rsidP="00A11869">
            <w:pPr>
              <w:pStyle w:val="ListParagraph"/>
              <w:numPr>
                <w:ilvl w:val="0"/>
                <w:numId w:val="21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Inconsistency in spatial information eg. differing grid sizes and mixture of modelled and factual map data</w:t>
            </w:r>
          </w:p>
        </w:tc>
        <w:tc>
          <w:tcPr>
            <w:tcW w:w="4464" w:type="dxa"/>
            <w:tcBorders>
              <w:top w:val="single" w:sz="4" w:space="0" w:color="auto"/>
              <w:left w:val="single" w:sz="4" w:space="0" w:color="auto"/>
              <w:bottom w:val="single" w:sz="4" w:space="0" w:color="auto"/>
              <w:right w:val="single" w:sz="4" w:space="0" w:color="auto"/>
            </w:tcBorders>
          </w:tcPr>
          <w:p w14:paraId="5761E22D" w14:textId="77777777" w:rsidR="00A56EE9" w:rsidRPr="00E70A11" w:rsidRDefault="00A56EE9" w:rsidP="00A11869">
            <w:pPr>
              <w:pStyle w:val="ListParagraph"/>
              <w:numPr>
                <w:ilvl w:val="0"/>
                <w:numId w:val="21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SELTMP project information</w:t>
            </w:r>
          </w:p>
          <w:p w14:paraId="5761E22E" w14:textId="77777777" w:rsidR="00A56EE9" w:rsidRPr="00E70A11" w:rsidRDefault="00A56EE9" w:rsidP="00A11869">
            <w:pPr>
              <w:pStyle w:val="ListParagraph"/>
              <w:numPr>
                <w:ilvl w:val="0"/>
                <w:numId w:val="21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Evans et al. 2013. Limits to climate change adaptation in the Great Barrier Reef: scoping ecological and social limits </w:t>
            </w:r>
          </w:p>
          <w:p w14:paraId="5761E22F" w14:textId="77777777" w:rsidR="00A56EE9" w:rsidRPr="00E70A11" w:rsidRDefault="00A56EE9" w:rsidP="00A11869">
            <w:pPr>
              <w:pStyle w:val="ListParagraph"/>
              <w:numPr>
                <w:ilvl w:val="0"/>
                <w:numId w:val="21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Deloitte Access Economics Report 2017 – At what price? The economic, social and icon value of the Great Barrier Reef</w:t>
            </w:r>
          </w:p>
          <w:p w14:paraId="5761E230"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231"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232" w14:textId="77777777" w:rsidR="00A56EE9" w:rsidRPr="00E70A11" w:rsidRDefault="00A56EE9" w:rsidP="00BB6AD5">
            <w:pPr>
              <w:pStyle w:val="Tablebulletlist"/>
              <w:rPr>
                <w:rStyle w:val="BookTitle"/>
              </w:rPr>
            </w:pPr>
            <w:r w:rsidRPr="00E70A11">
              <w:rPr>
                <w:rStyle w:val="BookTitle"/>
              </w:rPr>
              <w:t>increasing</w:t>
            </w:r>
          </w:p>
        </w:tc>
      </w:tr>
      <w:tr w:rsidR="00A56EE9" w:rsidRPr="00E70A11" w14:paraId="5761E242"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34"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35"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236" w14:textId="77777777" w:rsidR="00A56EE9" w:rsidRPr="00E70A11" w:rsidRDefault="00A56EE9" w:rsidP="00A11869">
            <w:pPr>
              <w:pStyle w:val="ListParagraph"/>
              <w:numPr>
                <w:ilvl w:val="0"/>
                <w:numId w:val="21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TOs involved in coral bleaching reporting in the Far Northern GBR during the 2016 mass bleaching event</w:t>
            </w:r>
          </w:p>
          <w:p w14:paraId="5761E237" w14:textId="77777777" w:rsidR="00A56EE9" w:rsidRPr="00E70A11" w:rsidRDefault="00A56EE9" w:rsidP="00A11869">
            <w:pPr>
              <w:pStyle w:val="ListParagraph"/>
              <w:numPr>
                <w:ilvl w:val="0"/>
                <w:numId w:val="21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Raine Island CC adaptation has very high engagement and information sharing with Traditional Owners. </w:t>
            </w:r>
          </w:p>
          <w:p w14:paraId="5761E238" w14:textId="77777777" w:rsidR="00A56EE9" w:rsidRPr="00E70A11" w:rsidRDefault="00A56EE9" w:rsidP="00A11869">
            <w:pPr>
              <w:pStyle w:val="ListParagraph"/>
              <w:numPr>
                <w:ilvl w:val="0"/>
                <w:numId w:val="21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Wuthathi TUMRA CC considerations. Extent to which 'traditional knowledge' was drawn on in this not clear.</w:t>
            </w:r>
          </w:p>
          <w:p w14:paraId="5761E239" w14:textId="77777777" w:rsidR="00A56EE9" w:rsidRPr="00E70A11" w:rsidRDefault="00A56EE9" w:rsidP="00A11869">
            <w:pPr>
              <w:pStyle w:val="ListParagraph"/>
              <w:numPr>
                <w:ilvl w:val="0"/>
                <w:numId w:val="21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Some traditional knowledge used in development of TUMRA’s and QDPIF work</w:t>
            </w:r>
          </w:p>
          <w:p w14:paraId="5761E23A" w14:textId="77777777" w:rsidR="00A56EE9" w:rsidRPr="00E70A11" w:rsidRDefault="00A56EE9" w:rsidP="00A11869">
            <w:pPr>
              <w:pStyle w:val="ListParagraph"/>
              <w:numPr>
                <w:ilvl w:val="0"/>
                <w:numId w:val="21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Assigning protected area boundaries based on traditional knowledge is rare.</w:t>
            </w:r>
          </w:p>
          <w:p w14:paraId="5761E23B" w14:textId="77777777" w:rsidR="00A56EE9" w:rsidRPr="00E70A11" w:rsidRDefault="00A56EE9" w:rsidP="00A11869">
            <w:pPr>
              <w:pStyle w:val="ListParagraph"/>
              <w:numPr>
                <w:ilvl w:val="0"/>
                <w:numId w:val="21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DMS4 project is establishing options to share Indigenous knowledge relevant to climate change and other pressure on the Reef.</w:t>
            </w:r>
          </w:p>
          <w:p w14:paraId="5761E23C" w14:textId="77777777" w:rsidR="00A56EE9" w:rsidRPr="00E70A11" w:rsidRDefault="00A56EE9" w:rsidP="00A11869">
            <w:pPr>
              <w:pStyle w:val="ListParagraph"/>
              <w:numPr>
                <w:ilvl w:val="0"/>
                <w:numId w:val="21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2016 Girringun Sea Country Forum (funded through the GBRMPA TUMRA program) had a focussed session on the impacts of CC to indigenous heritage</w:t>
            </w:r>
          </w:p>
        </w:tc>
        <w:tc>
          <w:tcPr>
            <w:tcW w:w="4464" w:type="dxa"/>
            <w:tcBorders>
              <w:top w:val="single" w:sz="4" w:space="0" w:color="auto"/>
              <w:left w:val="single" w:sz="4" w:space="0" w:color="auto"/>
              <w:bottom w:val="single" w:sz="4" w:space="0" w:color="auto"/>
              <w:right w:val="single" w:sz="4" w:space="0" w:color="auto"/>
            </w:tcBorders>
          </w:tcPr>
          <w:p w14:paraId="5761E23D" w14:textId="77777777" w:rsidR="00A56EE9" w:rsidRPr="00E70A11" w:rsidRDefault="00A56EE9" w:rsidP="00A11869">
            <w:pPr>
              <w:pStyle w:val="ListParagraph"/>
              <w:numPr>
                <w:ilvl w:val="0"/>
                <w:numId w:val="21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2050 Long Term Sustainability Plan: Indigenous Implementation Plan </w:t>
            </w:r>
          </w:p>
          <w:p w14:paraId="5761E23E" w14:textId="77777777" w:rsidR="00A56EE9" w:rsidRPr="00E70A11" w:rsidRDefault="00A56EE9" w:rsidP="00A11869">
            <w:pPr>
              <w:pStyle w:val="ListParagraph"/>
              <w:numPr>
                <w:ilvl w:val="0"/>
                <w:numId w:val="21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Girringun Sea Country Forum FINAL REPORT</w:t>
            </w:r>
          </w:p>
          <w:p w14:paraId="5761E23F" w14:textId="77777777" w:rsidR="00A56EE9" w:rsidRPr="00E70A11" w:rsidRDefault="00A56EE9" w:rsidP="00BB6AD5">
            <w:pPr>
              <w:ind w:left="360" w:hanging="360"/>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240"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24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24B"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43"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44"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245"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Knowledge of many historic places or events is limited</w:t>
            </w:r>
          </w:p>
          <w:p w14:paraId="5761E246"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Information on the current condition is virtually unknown</w:t>
            </w:r>
          </w:p>
          <w:p w14:paraId="5761E247"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Outlook Report 2014 identified that some historic values (e.g. shipwrecks) had been damaged by cyclones.</w:t>
            </w:r>
          </w:p>
        </w:tc>
        <w:tc>
          <w:tcPr>
            <w:tcW w:w="4464" w:type="dxa"/>
            <w:tcBorders>
              <w:top w:val="single" w:sz="4" w:space="0" w:color="auto"/>
              <w:left w:val="single" w:sz="4" w:space="0" w:color="auto"/>
              <w:bottom w:val="single" w:sz="4" w:space="0" w:color="auto"/>
              <w:right w:val="single" w:sz="4" w:space="0" w:color="auto"/>
            </w:tcBorders>
          </w:tcPr>
          <w:p w14:paraId="5761E248"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68" w:type="dxa"/>
            <w:tcBorders>
              <w:top w:val="single" w:sz="4" w:space="0" w:color="auto"/>
              <w:left w:val="single" w:sz="4" w:space="0" w:color="auto"/>
              <w:bottom w:val="single" w:sz="4" w:space="0" w:color="auto"/>
              <w:right w:val="single" w:sz="4" w:space="0" w:color="auto"/>
            </w:tcBorders>
          </w:tcPr>
          <w:p w14:paraId="5761E249"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24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269"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shd w:val="clear" w:color="auto" w:fill="auto"/>
          </w:tcPr>
          <w:p w14:paraId="5761E24C"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4D" w14:textId="77777777" w:rsidR="00A56EE9" w:rsidRPr="00E70A11" w:rsidRDefault="00A56EE9" w:rsidP="00BB6AD5">
            <w:pPr>
              <w:pStyle w:val="Tablebulletlist"/>
              <w:jc w:val="center"/>
              <w:rPr>
                <w:rStyle w:val="BookTitle"/>
              </w:rPr>
            </w:pPr>
            <w:r w:rsidRPr="00E70A11">
              <w:rPr>
                <w:rStyle w:val="BookTitle"/>
              </w:rPr>
              <w:t>4</w:t>
            </w:r>
          </w:p>
        </w:tc>
        <w:tc>
          <w:tcPr>
            <w:tcW w:w="4642" w:type="dxa"/>
            <w:tcBorders>
              <w:top w:val="single" w:sz="4" w:space="0" w:color="auto"/>
              <w:left w:val="single" w:sz="4" w:space="0" w:color="auto"/>
              <w:bottom w:val="single" w:sz="4" w:space="0" w:color="auto"/>
              <w:right w:val="single" w:sz="4" w:space="0" w:color="auto"/>
            </w:tcBorders>
          </w:tcPr>
          <w:p w14:paraId="5761E24E"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Foundation is major funder of work</w:t>
            </w:r>
          </w:p>
          <w:p w14:paraId="5761E24F"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in conjunction with the QPWS, run the Eye on the Reef Program, an umbrella project which includes several monitoring and assessment methods. This information is gathered in partnership with a range of stakeholders, such as Marine Park rangers, tourism operators, reef visitors, fishers and the broader community. The program was vital in understanding the temporal and spatial distributions of coral bleaching observations during the 2016 and 2017 mass bleaching events.</w:t>
            </w:r>
            <w:r>
              <w:rPr>
                <w:rStyle w:val="BookTitle"/>
                <w:rFonts w:ascii="Arial Narrow" w:hAnsi="Arial Narrow"/>
                <w:sz w:val="18"/>
                <w:szCs w:val="18"/>
              </w:rPr>
              <w:t xml:space="preserve"> </w:t>
            </w:r>
            <w:r w:rsidRPr="00E70A11">
              <w:rPr>
                <w:rStyle w:val="BookTitle"/>
                <w:rFonts w:ascii="Arial Narrow" w:hAnsi="Arial Narrow"/>
                <w:sz w:val="18"/>
                <w:szCs w:val="18"/>
              </w:rPr>
              <w:t>The Eye on the Reef Program collects information through various methods including:</w:t>
            </w:r>
          </w:p>
          <w:p w14:paraId="5761E250"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Sightings Network</w:t>
            </w:r>
          </w:p>
          <w:p w14:paraId="5761E251"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Eyes and Ears Incident Reporting Network</w:t>
            </w:r>
          </w:p>
          <w:p w14:paraId="5761E252"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Rapid Monitoring</w:t>
            </w:r>
          </w:p>
          <w:p w14:paraId="5761E253"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Health and Impact Surveys</w:t>
            </w:r>
          </w:p>
          <w:p w14:paraId="5761E254"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Tourism Weekly Monitoring</w:t>
            </w:r>
          </w:p>
          <w:p w14:paraId="5761E255"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information collected is combined in a data management system to produce a Reef-wide picture of ecosystem health. GBRMPA uses this information to map and assess the impacts of incidents on the Marine Park such as cyclones, flood plumes, coral bleaching, and disease and crown-of-thorns starfish outbreaks under the Reef Health Incident Response System. The data improves our knowledge of Reef ecosystem resilience and the risks to that resilience. A better long-term understanding of Reef impacts and ecosystem function aids the development of actions to support Reef resilience under a changing climate.</w:t>
            </w:r>
          </w:p>
          <w:p w14:paraId="5761E256"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Other volunteer groups and events include:</w:t>
            </w:r>
          </w:p>
          <w:p w14:paraId="5761E257"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 Schools</w:t>
            </w:r>
          </w:p>
          <w:p w14:paraId="5761E258"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NGO’s on RACs</w:t>
            </w:r>
          </w:p>
          <w:p w14:paraId="5761E259"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LMACs</w:t>
            </w:r>
          </w:p>
          <w:p w14:paraId="5761E25A"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fisheries working groups</w:t>
            </w:r>
          </w:p>
          <w:p w14:paraId="5761E25B"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Mackay and district turtle watch</w:t>
            </w:r>
          </w:p>
          <w:p w14:paraId="5761E25C"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O.U.C.H. volunteers</w:t>
            </w:r>
          </w:p>
          <w:p w14:paraId="5761E25D" w14:textId="77777777" w:rsidR="00A56EE9" w:rsidRPr="00E70A11" w:rsidRDefault="00A56EE9" w:rsidP="00A11869">
            <w:pPr>
              <w:pStyle w:val="ListParagraph"/>
              <w:numPr>
                <w:ilvl w:val="1"/>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Beach clean-up days</w:t>
            </w:r>
          </w:p>
          <w:p w14:paraId="5761E25E"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stations are diligent in reporting observations of coral bleaching, disease or cyclone impacts</w:t>
            </w:r>
          </w:p>
          <w:p w14:paraId="5761E25F"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One of the key initiatives in the Blueprint for Resilience is ‘Accelerating actions to address global climate change’ which aims to see the Great Barrier Reef and coral reefs globally as a focus of policy discourse and programs to reduce carbon emissions, and Great Barrier Reef communities and industries demonstrate leadership in emission reduction efforts and climate change adaptation</w:t>
            </w:r>
          </w:p>
        </w:tc>
        <w:tc>
          <w:tcPr>
            <w:tcW w:w="4464" w:type="dxa"/>
            <w:tcBorders>
              <w:top w:val="single" w:sz="4" w:space="0" w:color="auto"/>
              <w:left w:val="single" w:sz="4" w:space="0" w:color="auto"/>
              <w:bottom w:val="single" w:sz="4" w:space="0" w:color="auto"/>
              <w:right w:val="single" w:sz="4" w:space="0" w:color="auto"/>
            </w:tcBorders>
          </w:tcPr>
          <w:p w14:paraId="5761E260"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261"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Stewardship Action Plan 2013 Mitigating Ecological Risk in a Changing Climate </w:t>
            </w:r>
          </w:p>
          <w:p w14:paraId="5761E262"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Provision Reef Stewardship Action Plan h</w:t>
            </w:r>
          </w:p>
          <w:p w14:paraId="5761E263"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w:t>
            </w:r>
            <w:r>
              <w:rPr>
                <w:rStyle w:val="BookTitle"/>
                <w:rFonts w:ascii="Arial Narrow" w:hAnsi="Arial Narrow"/>
                <w:sz w:val="18"/>
                <w:szCs w:val="18"/>
              </w:rPr>
              <w:t xml:space="preserve"> </w:t>
            </w:r>
            <w:r w:rsidRPr="00E70A11">
              <w:rPr>
                <w:rStyle w:val="BookTitle"/>
                <w:rFonts w:ascii="Arial Narrow" w:hAnsi="Arial Narrow"/>
                <w:sz w:val="18"/>
                <w:szCs w:val="18"/>
              </w:rPr>
              <w:t>http://www.gbrmpa.gov.au/our-partners/tourism-industry/eye-on-the-reef</w:t>
            </w:r>
          </w:p>
          <w:p w14:paraId="5761E264"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Guardians program - fishers, farmers, graziers, schools, councils</w:t>
            </w:r>
          </w:p>
          <w:p w14:paraId="5761E265"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foundation – climate change</w:t>
            </w:r>
          </w:p>
          <w:p w14:paraId="5761E266" w14:textId="77777777" w:rsidR="00A56EE9" w:rsidRPr="00E70A11" w:rsidRDefault="00A56EE9" w:rsidP="00A11869">
            <w:pPr>
              <w:pStyle w:val="ListParagraph"/>
              <w:numPr>
                <w:ilvl w:val="0"/>
                <w:numId w:val="21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Blueprint for Resilience</w:t>
            </w:r>
          </w:p>
        </w:tc>
        <w:tc>
          <w:tcPr>
            <w:tcW w:w="968" w:type="dxa"/>
            <w:tcBorders>
              <w:top w:val="single" w:sz="4" w:space="0" w:color="auto"/>
              <w:left w:val="single" w:sz="4" w:space="0" w:color="auto"/>
              <w:bottom w:val="single" w:sz="4" w:space="0" w:color="auto"/>
              <w:right w:val="single" w:sz="4" w:space="0" w:color="auto"/>
            </w:tcBorders>
          </w:tcPr>
          <w:p w14:paraId="5761E267"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26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270"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26A" w14:textId="77777777" w:rsidR="00A56EE9" w:rsidRPr="00E70A11" w:rsidRDefault="00A56EE9" w:rsidP="00BB6AD5">
            <w:pPr>
              <w:pStyle w:val="Tablebulletlist"/>
              <w:rPr>
                <w:rStyle w:val="BookTitle"/>
              </w:rPr>
            </w:pPr>
            <w:r w:rsidRPr="00E70A11">
              <w:rPr>
                <w:rStyle w:val="BookTitle"/>
              </w:rPr>
              <w:t>PROCESSES</w:t>
            </w:r>
          </w:p>
        </w:tc>
        <w:tc>
          <w:tcPr>
            <w:tcW w:w="768"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761E26B" w14:textId="77777777" w:rsidR="00A56EE9" w:rsidRPr="00E70A11" w:rsidRDefault="00A56EE9" w:rsidP="00BB6AD5">
            <w:pPr>
              <w:pStyle w:val="Tablebulletlist"/>
              <w:jc w:val="center"/>
              <w:rPr>
                <w:rStyle w:val="BookTitle"/>
              </w:rPr>
            </w:pPr>
          </w:p>
        </w:tc>
        <w:tc>
          <w:tcPr>
            <w:tcW w:w="464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26C" w14:textId="77777777" w:rsidR="00A56EE9" w:rsidRPr="00E70A11" w:rsidRDefault="00A56EE9" w:rsidP="00BB6AD5">
            <w:pPr>
              <w:pStyle w:val="ListParagraph"/>
              <w:ind w:left="360"/>
              <w:rPr>
                <w:rStyle w:val="BookTitle"/>
                <w:rFonts w:ascii="Arial Narrow" w:hAnsi="Arial Narrow"/>
                <w:sz w:val="18"/>
                <w:szCs w:val="18"/>
              </w:rPr>
            </w:pPr>
          </w:p>
        </w:tc>
        <w:tc>
          <w:tcPr>
            <w:tcW w:w="446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26D" w14:textId="77777777" w:rsidR="00A56EE9" w:rsidRPr="00E70A11" w:rsidRDefault="00A56EE9" w:rsidP="00BB6AD5">
            <w:pPr>
              <w:pStyle w:val="ListParagraph"/>
              <w:ind w:left="360"/>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26E" w14:textId="77777777" w:rsidR="00A56EE9" w:rsidRPr="00E70A11" w:rsidRDefault="00A56EE9" w:rsidP="00BB6AD5">
            <w:pPr>
              <w:pStyle w:val="Tablebulletlist"/>
              <w:rPr>
                <w:rStyle w:val="BookTitle"/>
              </w:rPr>
            </w:pPr>
          </w:p>
        </w:tc>
        <w:tc>
          <w:tcPr>
            <w:tcW w:w="88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26F" w14:textId="77777777" w:rsidR="00A56EE9" w:rsidRPr="00E70A11" w:rsidRDefault="00A56EE9" w:rsidP="00BB6AD5">
            <w:pPr>
              <w:pStyle w:val="Tablebulletlist"/>
              <w:rPr>
                <w:rStyle w:val="BookTitle"/>
              </w:rPr>
            </w:pPr>
          </w:p>
        </w:tc>
      </w:tr>
      <w:tr w:rsidR="00A56EE9" w:rsidRPr="00E70A11" w14:paraId="5761E283"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71"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72" w14:textId="77777777" w:rsidR="00A56EE9" w:rsidRPr="00E70A11" w:rsidRDefault="00A56EE9" w:rsidP="00BB6AD5">
            <w:pPr>
              <w:pStyle w:val="Tablebulletlist"/>
              <w:jc w:val="center"/>
              <w:rPr>
                <w:rStyle w:val="BookTitle"/>
              </w:rPr>
            </w:pPr>
            <w:r w:rsidRPr="00E70A11">
              <w:rPr>
                <w:rStyle w:val="BookTitle"/>
              </w:rPr>
              <w:t>3</w:t>
            </w:r>
          </w:p>
        </w:tc>
        <w:tc>
          <w:tcPr>
            <w:tcW w:w="4642" w:type="dxa"/>
            <w:tcBorders>
              <w:top w:val="single" w:sz="4" w:space="0" w:color="auto"/>
              <w:left w:val="single" w:sz="4" w:space="0" w:color="auto"/>
              <w:bottom w:val="single" w:sz="4" w:space="0" w:color="auto"/>
              <w:right w:val="single" w:sz="4" w:space="0" w:color="auto"/>
            </w:tcBorders>
          </w:tcPr>
          <w:p w14:paraId="5761E273"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no longer has staff specifically addressing climate change and hence engagement with stakeholders has declined</w:t>
            </w:r>
          </w:p>
          <w:p w14:paraId="5761E274"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did include several activities designed to engage local stakeholders in plan to adapt to a changing climate and support ecosystem resilience, but was not fully implemented due to withdrawal of funding early in the implementation phase. This is limited since the cessation of the CCAP.</w:t>
            </w:r>
          </w:p>
          <w:p w14:paraId="5761E275"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SELTMP engages with stakeholders and monitors human use of and dependency on the GBR, human and community well-being (as they relate to the GBR), as well as a range of socio-cultural drivers such as perceptions, values, attitudes and behaviours.</w:t>
            </w:r>
          </w:p>
          <w:p w14:paraId="5761E276"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For the marine aquarium industry, this is through their peak body (Pro-vision Reef) Stewardship Action Plan - which articulates climate change response strategies and stewardship activities. This included a self-imposed moratorium on coral collection in areas heavily impacted by bleaching in 2016. </w:t>
            </w:r>
          </w:p>
          <w:p w14:paraId="5761E277"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 Program: GBRMPA, in conjunction with the QPWS, run the Eye on the Reef Program, an umbrella project which includes several monitoring and assessment methods. The Eye on the Reef Program provides status snapshots and early warning information on water quality, the presence of protected and iconic species and the health of the Reef. This information is gathered in partnership with a range of stakeholders, such as Marine Park rangers, tourism operators, reef visitors, fishers and the broader community.</w:t>
            </w:r>
          </w:p>
          <w:p w14:paraId="5761E278"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holds annual pre-summer workshops to bring together key researchers and stakeholders to discuss the outlook for the summer, especially around bleaching risk etc.</w:t>
            </w:r>
          </w:p>
        </w:tc>
        <w:tc>
          <w:tcPr>
            <w:tcW w:w="4464" w:type="dxa"/>
            <w:tcBorders>
              <w:top w:val="single" w:sz="4" w:space="0" w:color="auto"/>
              <w:left w:val="single" w:sz="4" w:space="0" w:color="auto"/>
              <w:bottom w:val="single" w:sz="4" w:space="0" w:color="auto"/>
              <w:right w:val="single" w:sz="4" w:space="0" w:color="auto"/>
            </w:tcBorders>
          </w:tcPr>
          <w:p w14:paraId="5761E279"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27A"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Climate Change Adaptation Strategy and Action Plan 2012-2017 </w:t>
            </w:r>
          </w:p>
          <w:p w14:paraId="5761E27B"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Social and Economic Long Term Monitoring Program (SELTMP) 2014 Commercial Fishing in the Great Barrier Reef </w:t>
            </w:r>
          </w:p>
          <w:p w14:paraId="5761E27C"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Marine Aquarium Collectors Reef Stewardship Action Plan </w:t>
            </w:r>
          </w:p>
          <w:p w14:paraId="5761E27D"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 http://www.gbrmpa.gov.au/about-the-reef/how-the-reefs-managed/our-monitoring-and-assessment-programs/eye-on-the-reef</w:t>
            </w:r>
          </w:p>
          <w:p w14:paraId="5761E27E"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Pre-summer workshop</w:t>
            </w:r>
          </w:p>
          <w:p w14:paraId="5761E27F"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Water Quality Improvement Plan 2017-2022</w:t>
            </w:r>
          </w:p>
          <w:p w14:paraId="5761E280" w14:textId="77777777" w:rsidR="00A56EE9" w:rsidRPr="00E70A11" w:rsidRDefault="00A56EE9" w:rsidP="00A11869">
            <w:pPr>
              <w:pStyle w:val="ListParagraph"/>
              <w:numPr>
                <w:ilvl w:val="0"/>
                <w:numId w:val="22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Q-CAS Partners</w:t>
            </w:r>
          </w:p>
        </w:tc>
        <w:tc>
          <w:tcPr>
            <w:tcW w:w="968" w:type="dxa"/>
            <w:tcBorders>
              <w:top w:val="single" w:sz="4" w:space="0" w:color="auto"/>
              <w:left w:val="single" w:sz="4" w:space="0" w:color="auto"/>
              <w:bottom w:val="single" w:sz="4" w:space="0" w:color="auto"/>
              <w:right w:val="single" w:sz="4" w:space="0" w:color="auto"/>
            </w:tcBorders>
          </w:tcPr>
          <w:p w14:paraId="5761E281"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282"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28F"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84"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85"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286"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Engagement has been limited since the cessation of the CCAP and loss of staff in the climate change section of GBRMPA</w:t>
            </w:r>
          </w:p>
          <w:p w14:paraId="5761E287"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 schools program highlights impact of climate change</w:t>
            </w:r>
            <w:r>
              <w:rPr>
                <w:rStyle w:val="BookTitle"/>
                <w:rFonts w:ascii="Arial Narrow" w:hAnsi="Arial Narrow"/>
                <w:sz w:val="18"/>
                <w:szCs w:val="18"/>
              </w:rPr>
              <w:t>. There are 297 schools involved in Reef Guardian Schools</w:t>
            </w:r>
          </w:p>
          <w:p w14:paraId="5761E288"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Other Reef Guardian programs have been less active and not made substantial progress (e.g. </w:t>
            </w:r>
            <w:r>
              <w:rPr>
                <w:rStyle w:val="BookTitle"/>
                <w:rFonts w:ascii="Arial Narrow" w:hAnsi="Arial Narrow"/>
                <w:sz w:val="18"/>
                <w:szCs w:val="18"/>
              </w:rPr>
              <w:t>24</w:t>
            </w:r>
            <w:r w:rsidRPr="00E70A11">
              <w:rPr>
                <w:rStyle w:val="BookTitle"/>
                <w:rFonts w:ascii="Arial Narrow" w:hAnsi="Arial Narrow"/>
                <w:sz w:val="18"/>
                <w:szCs w:val="18"/>
              </w:rPr>
              <w:t xml:space="preserve"> fishers, </w:t>
            </w:r>
            <w:r>
              <w:rPr>
                <w:rStyle w:val="BookTitle"/>
                <w:rFonts w:ascii="Arial Narrow" w:hAnsi="Arial Narrow"/>
                <w:sz w:val="18"/>
                <w:szCs w:val="18"/>
              </w:rPr>
              <w:t xml:space="preserve">29 </w:t>
            </w:r>
            <w:r w:rsidRPr="00E70A11">
              <w:rPr>
                <w:rStyle w:val="BookTitle"/>
                <w:rFonts w:ascii="Arial Narrow" w:hAnsi="Arial Narrow"/>
                <w:sz w:val="18"/>
                <w:szCs w:val="18"/>
              </w:rPr>
              <w:t>farmers and graziers)</w:t>
            </w:r>
          </w:p>
          <w:p w14:paraId="5761E289"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Local government participates widely in Reef Guardians but some Councils report that their involvement makes limited difference on the ground. Limited resources flow to Councils to assist them to meet responsibilities under Reef 2050 and in general in relation to the GBR</w:t>
            </w:r>
          </w:p>
        </w:tc>
        <w:tc>
          <w:tcPr>
            <w:tcW w:w="4464" w:type="dxa"/>
            <w:tcBorders>
              <w:top w:val="single" w:sz="4" w:space="0" w:color="auto"/>
              <w:left w:val="single" w:sz="4" w:space="0" w:color="auto"/>
              <w:bottom w:val="single" w:sz="4" w:space="0" w:color="auto"/>
              <w:right w:val="single" w:sz="4" w:space="0" w:color="auto"/>
            </w:tcBorders>
          </w:tcPr>
          <w:p w14:paraId="5761E28A"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28B"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Climate Change Adaptation Strategy and Action Plan 2012-2017 </w:t>
            </w:r>
          </w:p>
          <w:p w14:paraId="5761E28C"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28D"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28E"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2A2"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90"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There is a sound governance system in place to address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91"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292"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number of studies highlight the impacts of governance changes and their impact on capacity and effectiveness of Reef Management, especially in relation to climate change (Morrison, 2017)</w:t>
            </w:r>
          </w:p>
          <w:p w14:paraId="5761E293"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Dale et al.</w:t>
            </w:r>
            <w:r>
              <w:rPr>
                <w:rStyle w:val="BookTitle"/>
                <w:rFonts w:ascii="Arial Narrow" w:hAnsi="Arial Narrow"/>
                <w:sz w:val="18"/>
                <w:szCs w:val="18"/>
              </w:rPr>
              <w:t xml:space="preserve"> </w:t>
            </w:r>
            <w:r w:rsidRPr="00E70A11">
              <w:rPr>
                <w:rStyle w:val="BookTitle"/>
                <w:rFonts w:ascii="Arial Narrow" w:hAnsi="Arial Narrow"/>
                <w:sz w:val="18"/>
                <w:szCs w:val="18"/>
              </w:rPr>
              <w:t>(2016) found that three primary governance failures present significant risks for GBR outcomes:</w:t>
            </w:r>
          </w:p>
          <w:p w14:paraId="5761E294" w14:textId="77777777" w:rsidR="00A56EE9" w:rsidRPr="00E70A11" w:rsidRDefault="00A56EE9" w:rsidP="00A11869">
            <w:pPr>
              <w:pStyle w:val="ListParagraph"/>
              <w:numPr>
                <w:ilvl w:val="1"/>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Internal governance challenges to Long-term sustainability plan</w:t>
            </w:r>
          </w:p>
          <w:p w14:paraId="5761E295" w14:textId="77777777" w:rsidR="00A56EE9" w:rsidRPr="00E70A11" w:rsidRDefault="00A56EE9" w:rsidP="00A11869">
            <w:pPr>
              <w:pStyle w:val="ListParagraph"/>
              <w:numPr>
                <w:ilvl w:val="1"/>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Implementation failure in relation to water quality</w:t>
            </w:r>
          </w:p>
          <w:p w14:paraId="5761E296" w14:textId="77777777" w:rsidR="00A56EE9" w:rsidRPr="00E70A11" w:rsidRDefault="00A56EE9" w:rsidP="00A11869">
            <w:pPr>
              <w:pStyle w:val="ListParagraph"/>
              <w:numPr>
                <w:ilvl w:val="1"/>
                <w:numId w:val="221"/>
              </w:numPr>
              <w:spacing w:after="200" w:line="276" w:lineRule="auto"/>
              <w:jc w:val="both"/>
              <w:rPr>
                <w:rStyle w:val="BookTitle"/>
                <w:rFonts w:ascii="Arial Narrow" w:hAnsi="Arial Narrow"/>
                <w:sz w:val="18"/>
                <w:szCs w:val="18"/>
              </w:rPr>
            </w:pPr>
            <w:r w:rsidRPr="00E70A11">
              <w:rPr>
                <w:rStyle w:val="BookTitle"/>
                <w:rFonts w:ascii="Arial Narrow" w:hAnsi="Arial Narrow"/>
                <w:sz w:val="18"/>
                <w:szCs w:val="18"/>
              </w:rPr>
              <w:t>Failure of long term sustainability plan to address greenhouse gas emissions</w:t>
            </w:r>
          </w:p>
          <w:p w14:paraId="5761E297"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Concern expressed by many stakeholders that DOEE-centric policy concerns have dominated policy development and reduced more reef-centric voices and impacts on policies and programs to address climate change impacts on the GBR.</w:t>
            </w:r>
          </w:p>
          <w:p w14:paraId="5761E298"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2050 does not explicitly consider or address climate change risks or provide clear guidance on how to mitigate them. </w:t>
            </w:r>
          </w:p>
          <w:p w14:paraId="5761E299"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governance of climate change risks within GBRMPA has been depleted since the cessation of CCAP. </w:t>
            </w:r>
          </w:p>
          <w:p w14:paraId="5761E29A"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Governance arrangements for the Queensland Climate Change Response include the Queensland Climate Advisory Council, The Climate Interdepartmental Committee and the Q-CAS Partners group.</w:t>
            </w:r>
          </w:p>
        </w:tc>
        <w:tc>
          <w:tcPr>
            <w:tcW w:w="4464" w:type="dxa"/>
            <w:tcBorders>
              <w:top w:val="single" w:sz="4" w:space="0" w:color="auto"/>
              <w:left w:val="single" w:sz="4" w:space="0" w:color="auto"/>
              <w:bottom w:val="single" w:sz="4" w:space="0" w:color="auto"/>
              <w:right w:val="single" w:sz="4" w:space="0" w:color="auto"/>
            </w:tcBorders>
          </w:tcPr>
          <w:p w14:paraId="5761E29B"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29C"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w:t>
            </w:r>
          </w:p>
          <w:p w14:paraId="5761E29D"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Morrison (2017) Evolving polycentric governance of the Great Barrier Reef, PNAS, www.pnas.org/cgi/doi/10.1073/pnas.1620830114</w:t>
            </w:r>
          </w:p>
          <w:p w14:paraId="5761E29E" w14:textId="77777777" w:rsidR="00A56EE9" w:rsidRPr="00E70A11" w:rsidRDefault="00A56EE9" w:rsidP="00A11869">
            <w:pPr>
              <w:pStyle w:val="ListParagraph"/>
              <w:numPr>
                <w:ilvl w:val="0"/>
                <w:numId w:val="22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Dale et al. (2016) Risk analysis of the governance system affecting outcomes in the Great Barrier Reef. </w:t>
            </w:r>
            <w:r w:rsidRPr="00E70A11">
              <w:rPr>
                <w:rStyle w:val="BookTitle"/>
                <w:rFonts w:ascii="Arial Narrow" w:hAnsi="Arial Narrow"/>
                <w:i/>
                <w:sz w:val="18"/>
                <w:szCs w:val="18"/>
              </w:rPr>
              <w:t>Journal of Environmental Management</w:t>
            </w:r>
            <w:r w:rsidRPr="00E70A11">
              <w:rPr>
                <w:rStyle w:val="BookTitle"/>
                <w:rFonts w:ascii="Arial Narrow" w:hAnsi="Arial Narrow"/>
                <w:sz w:val="18"/>
                <w:szCs w:val="18"/>
              </w:rPr>
              <w:t xml:space="preserve"> 183 (2016) 712e721</w:t>
            </w:r>
          </w:p>
          <w:p w14:paraId="5761E29F"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2A0"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2A1"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2B3"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A3"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A4"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2A5" w14:textId="77777777" w:rsidR="00A56EE9" w:rsidRPr="00E70A11" w:rsidRDefault="00A56EE9" w:rsidP="00A11869">
            <w:pPr>
              <w:pStyle w:val="ListParagraph"/>
              <w:numPr>
                <w:ilvl w:val="0"/>
                <w:numId w:val="22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was defunded in 2014 and staff allocated to specifically address climate change have reduced to zero. This has impacted on GBRMPAs capacity and focus on this issue and has meant that the actions and their effectiveness in addressing CC risks to the Reef has diminished across the GBRMPA.</w:t>
            </w:r>
          </w:p>
          <w:p w14:paraId="5761E2A6" w14:textId="77777777" w:rsidR="00A56EE9" w:rsidRPr="00E70A11" w:rsidRDefault="00A56EE9" w:rsidP="00A11869">
            <w:pPr>
              <w:pStyle w:val="ListParagraph"/>
              <w:numPr>
                <w:ilvl w:val="0"/>
                <w:numId w:val="22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change is not explicitly considered in Reef 2050 plan. Hence the RIMREP and other performance monitoring around Reef 2050 do not currently address climate change explicitly</w:t>
            </w:r>
          </w:p>
          <w:p w14:paraId="5761E2A7" w14:textId="77777777" w:rsidR="00A56EE9" w:rsidRPr="00E70A11" w:rsidRDefault="00A56EE9" w:rsidP="00A11869">
            <w:pPr>
              <w:pStyle w:val="ListParagraph"/>
              <w:numPr>
                <w:ilvl w:val="0"/>
                <w:numId w:val="22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Other more general monitoring processes exist at State and Commonwealth level around climate change mitigation and adaptation</w:t>
            </w:r>
          </w:p>
          <w:p w14:paraId="5761E2A8" w14:textId="77777777" w:rsidR="00A56EE9" w:rsidRPr="00E70A11" w:rsidRDefault="00A56EE9" w:rsidP="00A11869">
            <w:pPr>
              <w:pStyle w:val="ListParagraph"/>
              <w:numPr>
                <w:ilvl w:val="0"/>
                <w:numId w:val="22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comprehensive monitoring, evaluation and reporting framework for the Queensland Climate Change Response is in development.</w:t>
            </w:r>
          </w:p>
          <w:p w14:paraId="5761E2A9" w14:textId="77777777" w:rsidR="00A56EE9" w:rsidRPr="00E70A11" w:rsidRDefault="00A56EE9" w:rsidP="00A11869">
            <w:pPr>
              <w:pStyle w:val="ListParagraph"/>
              <w:numPr>
                <w:ilvl w:val="0"/>
                <w:numId w:val="22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partnership with research agencies and researchers, there is monitoring of impacts of climate change on some aspects of the GBR (extent of bleaching) but many biological and socio-economic aspects are not monitored or reported in a timely way</w:t>
            </w:r>
          </w:p>
        </w:tc>
        <w:tc>
          <w:tcPr>
            <w:tcW w:w="4464" w:type="dxa"/>
            <w:tcBorders>
              <w:top w:val="single" w:sz="4" w:space="0" w:color="auto"/>
              <w:left w:val="single" w:sz="4" w:space="0" w:color="auto"/>
              <w:bottom w:val="single" w:sz="4" w:space="0" w:color="auto"/>
              <w:right w:val="single" w:sz="4" w:space="0" w:color="auto"/>
            </w:tcBorders>
          </w:tcPr>
          <w:p w14:paraId="5761E2AA" w14:textId="77777777" w:rsidR="00A56EE9" w:rsidRPr="00E70A11" w:rsidRDefault="00A56EE9" w:rsidP="00A11869">
            <w:pPr>
              <w:pStyle w:val="ListParagraph"/>
              <w:numPr>
                <w:ilvl w:val="0"/>
                <w:numId w:val="22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Climate Change Adaptation Strategy and Action Plan 2012-2017 </w:t>
            </w:r>
          </w:p>
          <w:p w14:paraId="5761E2AB" w14:textId="77777777" w:rsidR="00A56EE9" w:rsidRPr="00E70A11" w:rsidRDefault="00A56EE9" w:rsidP="00A11869">
            <w:pPr>
              <w:pStyle w:val="ListParagraph"/>
              <w:numPr>
                <w:ilvl w:val="0"/>
                <w:numId w:val="22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See GBRMPA Corporate Plan 2017-18</w:t>
            </w:r>
          </w:p>
          <w:p w14:paraId="5761E2AC" w14:textId="77777777" w:rsidR="00A56EE9" w:rsidRPr="00E70A11" w:rsidRDefault="00A56EE9" w:rsidP="00A11869">
            <w:pPr>
              <w:pStyle w:val="ListParagraph"/>
              <w:numPr>
                <w:ilvl w:val="0"/>
                <w:numId w:val="22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Final report: 2016 coral bleaching event on the Great Barrier Reef</w:t>
            </w:r>
          </w:p>
          <w:p w14:paraId="5761E2AD" w14:textId="77777777" w:rsidR="00A56EE9" w:rsidRPr="00E70A11" w:rsidRDefault="00A56EE9" w:rsidP="00A11869">
            <w:pPr>
              <w:pStyle w:val="ListParagraph"/>
              <w:numPr>
                <w:ilvl w:val="0"/>
                <w:numId w:val="22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coral bleaching event on the Great Barrier Reef</w:t>
            </w:r>
          </w:p>
          <w:p w14:paraId="5761E2AE" w14:textId="77777777" w:rsidR="00A56EE9" w:rsidRPr="00E70A11" w:rsidRDefault="00A56EE9" w:rsidP="00A11869">
            <w:pPr>
              <w:pStyle w:val="ListParagraph"/>
              <w:numPr>
                <w:ilvl w:val="0"/>
                <w:numId w:val="22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AIMS Long-term Reef Monitoring Program-Annual summary report on coral reef condition for 2016/17 (AIMS update 2017)</w:t>
            </w:r>
          </w:p>
          <w:p w14:paraId="5761E2AF" w14:textId="77777777" w:rsidR="00A56EE9" w:rsidRPr="00E70A11" w:rsidRDefault="00A56EE9" w:rsidP="00A11869">
            <w:pPr>
              <w:pStyle w:val="ListParagraph"/>
              <w:numPr>
                <w:ilvl w:val="0"/>
                <w:numId w:val="22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Integrated Eye on the Reef program </w:t>
            </w:r>
          </w:p>
          <w:p w14:paraId="5761E2B0"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2B1"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2B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2BD"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B4"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B5"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2B6" w14:textId="77777777" w:rsidR="00A56EE9" w:rsidRPr="00E70A11" w:rsidRDefault="00A56EE9" w:rsidP="00A11869">
            <w:pPr>
              <w:pStyle w:val="ListParagraph"/>
              <w:numPr>
                <w:ilvl w:val="0"/>
                <w:numId w:val="22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 training program in place (face to face plus online materials) as a tool to consistently detect impacts to the Reef</w:t>
            </w:r>
          </w:p>
          <w:p w14:paraId="5761E2B7" w14:textId="77777777" w:rsidR="00A56EE9" w:rsidRPr="00E70A11" w:rsidRDefault="00A56EE9" w:rsidP="00A11869">
            <w:pPr>
              <w:pStyle w:val="ListParagraph"/>
              <w:numPr>
                <w:ilvl w:val="0"/>
                <w:numId w:val="22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was defunded in 2014 and staff allocated to specifically address climate change have reduced to zero. This has impacted on GBRMPAs capacity and focus on this issue and has meant that the actions and their effectiveness in addressing CC risks to the Reef has diminished across the GBRMPA. Capacity for informal training and awareness raising would have therefore diminished</w:t>
            </w:r>
          </w:p>
          <w:p w14:paraId="5761E2B8" w14:textId="77777777" w:rsidR="00A56EE9" w:rsidRPr="00E70A11" w:rsidRDefault="00A56EE9" w:rsidP="00A11869">
            <w:pPr>
              <w:pStyle w:val="ListParagraph"/>
              <w:numPr>
                <w:ilvl w:val="0"/>
                <w:numId w:val="22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Some stakeholders report that management agency staff are missing from key research planning meetings regarding climate change impacts and responses</w:t>
            </w:r>
          </w:p>
        </w:tc>
        <w:tc>
          <w:tcPr>
            <w:tcW w:w="4464" w:type="dxa"/>
            <w:tcBorders>
              <w:top w:val="single" w:sz="4" w:space="0" w:color="auto"/>
              <w:left w:val="single" w:sz="4" w:space="0" w:color="auto"/>
              <w:bottom w:val="single" w:sz="4" w:space="0" w:color="auto"/>
              <w:right w:val="single" w:sz="4" w:space="0" w:color="auto"/>
            </w:tcBorders>
          </w:tcPr>
          <w:p w14:paraId="5761E2B9" w14:textId="77777777" w:rsidR="00A56EE9" w:rsidRPr="00E70A11" w:rsidRDefault="00A56EE9" w:rsidP="00A11869">
            <w:pPr>
              <w:pStyle w:val="ListParagraph"/>
              <w:numPr>
                <w:ilvl w:val="0"/>
                <w:numId w:val="22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2BA" w14:textId="77777777" w:rsidR="00A56EE9" w:rsidRPr="00E70A11" w:rsidRDefault="00A56EE9" w:rsidP="00A11869">
            <w:pPr>
              <w:pStyle w:val="ListParagraph"/>
              <w:numPr>
                <w:ilvl w:val="0"/>
                <w:numId w:val="22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Climate Adaptation Strategy 2017-2030</w:t>
            </w:r>
          </w:p>
        </w:tc>
        <w:tc>
          <w:tcPr>
            <w:tcW w:w="968" w:type="dxa"/>
            <w:tcBorders>
              <w:top w:val="single" w:sz="4" w:space="0" w:color="auto"/>
              <w:left w:val="single" w:sz="4" w:space="0" w:color="auto"/>
              <w:bottom w:val="single" w:sz="4" w:space="0" w:color="auto"/>
              <w:right w:val="single" w:sz="4" w:space="0" w:color="auto"/>
            </w:tcBorders>
          </w:tcPr>
          <w:p w14:paraId="5761E2BB"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2BC"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2C8"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BE"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climate change is consistently implemented across the relevant jurisdictions</w:t>
            </w:r>
          </w:p>
        </w:tc>
        <w:tc>
          <w:tcPr>
            <w:tcW w:w="768" w:type="dxa"/>
            <w:tcBorders>
              <w:top w:val="single" w:sz="4" w:space="0" w:color="auto"/>
              <w:left w:val="single" w:sz="4" w:space="0" w:color="auto"/>
              <w:bottom w:val="single" w:sz="4" w:space="0" w:color="auto"/>
              <w:right w:val="single" w:sz="4" w:space="0" w:color="auto"/>
            </w:tcBorders>
            <w:vAlign w:val="center"/>
          </w:tcPr>
          <w:p w14:paraId="5761E2BF"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2C0"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management of climate change has varied as government priorities have changed at State and Federal level</w:t>
            </w:r>
          </w:p>
          <w:p w14:paraId="5761E2C1"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was defunded in 2014 and staff allocated to specifically address climate change have reduced to zero. This has impacted on GBRMPAs capacity and focus on this issue and has meant that the actions and their effectiveness in addressing CC risks to the Reef has diminished across the GBRMPA.</w:t>
            </w:r>
          </w:p>
          <w:p w14:paraId="5761E2C2"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change is not explicitly considered in Reef 2050 plan which is currently directing much of the response of governments to management of the GBR</w:t>
            </w:r>
          </w:p>
        </w:tc>
        <w:tc>
          <w:tcPr>
            <w:tcW w:w="4464" w:type="dxa"/>
            <w:tcBorders>
              <w:top w:val="single" w:sz="4" w:space="0" w:color="auto"/>
              <w:left w:val="single" w:sz="4" w:space="0" w:color="auto"/>
              <w:bottom w:val="single" w:sz="4" w:space="0" w:color="auto"/>
              <w:right w:val="single" w:sz="4" w:space="0" w:color="auto"/>
            </w:tcBorders>
          </w:tcPr>
          <w:p w14:paraId="5761E2C3"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2C4"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Climate Change Adaptation Strategy and Action Plan 2012-2017 </w:t>
            </w:r>
          </w:p>
          <w:p w14:paraId="5761E2C5"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tc>
        <w:tc>
          <w:tcPr>
            <w:tcW w:w="968" w:type="dxa"/>
            <w:tcBorders>
              <w:top w:val="single" w:sz="4" w:space="0" w:color="auto"/>
              <w:left w:val="single" w:sz="4" w:space="0" w:color="auto"/>
              <w:bottom w:val="single" w:sz="4" w:space="0" w:color="auto"/>
              <w:right w:val="single" w:sz="4" w:space="0" w:color="auto"/>
            </w:tcBorders>
          </w:tcPr>
          <w:p w14:paraId="5761E2C6"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2C7"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2D7"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C9"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CA"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2CB"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Lack of clear policy and programs at national level make this difficult to assess</w:t>
            </w:r>
          </w:p>
          <w:p w14:paraId="5761E2CC"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Nationally, government attention addressing climate change has declined as focus has shifted to energy security and affordability</w:t>
            </w:r>
          </w:p>
          <w:p w14:paraId="5761E2CD"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policy and resultant mitigation and adaptation programs remain in a state of flux at national level as is clear in the report of the Senate Enquiry on impacts of climate change on marine fisheries and biodiversity (Australian Senate, 2017)</w:t>
            </w:r>
          </w:p>
          <w:p w14:paraId="5761E2CE"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Considerable disagreement politically and in community concerning Australia’s efforts to address climate change </w:t>
            </w:r>
          </w:p>
          <w:p w14:paraId="5761E2CF"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Processes to manage the issue within a Reef context are likely to be overwhelmed by risks that fall outside these processes</w:t>
            </w:r>
            <w:r>
              <w:rPr>
                <w:rStyle w:val="BookTitle"/>
                <w:rFonts w:ascii="Arial Narrow" w:hAnsi="Arial Narrow"/>
                <w:sz w:val="18"/>
                <w:szCs w:val="18"/>
              </w:rPr>
              <w:t xml:space="preserve"> </w:t>
            </w:r>
            <w:r w:rsidRPr="00E70A11">
              <w:rPr>
                <w:rStyle w:val="BookTitle"/>
                <w:rFonts w:ascii="Arial Narrow" w:hAnsi="Arial Narrow"/>
                <w:sz w:val="18"/>
                <w:szCs w:val="18"/>
              </w:rPr>
              <w:t>(Dale et al, 2016) “Greenhouse Gas Emission Management: This subdomain is significant in that there is currently no assurance that the unfolding global approach to managing emissions will sufficiently curb global temperature rises and ocean acidification to levels that will prevent continuing declines in the ecological health of the GBR, regardless of other initiatives”</w:t>
            </w:r>
          </w:p>
        </w:tc>
        <w:tc>
          <w:tcPr>
            <w:tcW w:w="4464" w:type="dxa"/>
            <w:tcBorders>
              <w:top w:val="single" w:sz="4" w:space="0" w:color="auto"/>
              <w:left w:val="single" w:sz="4" w:space="0" w:color="auto"/>
              <w:bottom w:val="single" w:sz="4" w:space="0" w:color="auto"/>
              <w:right w:val="single" w:sz="4" w:space="0" w:color="auto"/>
            </w:tcBorders>
          </w:tcPr>
          <w:p w14:paraId="5761E2D0"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2D1"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Senate Enquiry (2017) In hot water: the impacts of climate change on marine fisheries and biodiversity</w:t>
            </w:r>
          </w:p>
          <w:p w14:paraId="5761E2D2"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“Australia's greenhouse gas emissions soar in latest figures” - https://www.theguardian.com/australia-news/2017/aug/04/australias-greenhouse-gas-emissions-soar-in-latest-figures</w:t>
            </w:r>
          </w:p>
          <w:p w14:paraId="5761E2D3" w14:textId="77777777" w:rsidR="00A56EE9" w:rsidRPr="00E70A11" w:rsidRDefault="00A56EE9" w:rsidP="00A11869">
            <w:pPr>
              <w:pStyle w:val="ListParagraph"/>
              <w:numPr>
                <w:ilvl w:val="0"/>
                <w:numId w:val="2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Dale et al. (2016) Risk analysis of the governance system affecting outcomes in the Great Barrier Reef. Journal of Environmental Management 183 (2016) 712e721</w:t>
            </w:r>
          </w:p>
          <w:p w14:paraId="5761E2D4"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2D5"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2D6"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2EA"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D8"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climate change are appropriately considered.</w:t>
            </w:r>
          </w:p>
        </w:tc>
        <w:tc>
          <w:tcPr>
            <w:tcW w:w="768" w:type="dxa"/>
            <w:tcBorders>
              <w:top w:val="single" w:sz="4" w:space="0" w:color="auto"/>
              <w:left w:val="single" w:sz="4" w:space="0" w:color="auto"/>
              <w:bottom w:val="single" w:sz="4" w:space="0" w:color="auto"/>
              <w:right w:val="single" w:sz="4" w:space="0" w:color="auto"/>
            </w:tcBorders>
            <w:vAlign w:val="center"/>
          </w:tcPr>
          <w:p w14:paraId="5761E2D9"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2DA"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change is recognised as the most significant risk to the GBR and direct impacts are monitored by management and research agencies and others</w:t>
            </w:r>
          </w:p>
          <w:p w14:paraId="5761E2DB"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Extent to which climate change impacts (both direct and indirect) are “appropriately considered” is debateable. They are not considered explicitly in the Reef 2050 plan and the Great Barrier Reef Climate Change Adaptation Strategy and Action Plan 2012-2017 has been defunded and staff devoted to addressing this issue have been reduced to zero – all impacting on capacity to consider climate change in decisions and actions. </w:t>
            </w:r>
          </w:p>
          <w:p w14:paraId="5761E2DC"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Federal Government policy on climate change is heavily contested with many scientists and others concerned that current national climate policy is inadequate (Mackenzie, 2018, Kumarasiri, 2016, Downie and Bamsey, 2016) and hence not appropriately considered in decision making</w:t>
            </w:r>
          </w:p>
          <w:p w14:paraId="5761E2DD"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Cumulative impacts assessment is attempted through EIA processes, but is still done on a case by case basis (i.e. as applications are received) -</w:t>
            </w:r>
            <w:r>
              <w:rPr>
                <w:rStyle w:val="BookTitle"/>
                <w:rFonts w:ascii="Arial Narrow" w:hAnsi="Arial Narrow"/>
                <w:sz w:val="18"/>
                <w:szCs w:val="18"/>
              </w:rPr>
              <w:t xml:space="preserve"> </w:t>
            </w:r>
            <w:r w:rsidRPr="00E70A11">
              <w:rPr>
                <w:rStyle w:val="BookTitle"/>
                <w:rFonts w:ascii="Arial Narrow" w:hAnsi="Arial Narrow"/>
                <w:sz w:val="18"/>
                <w:szCs w:val="18"/>
              </w:rPr>
              <w:t>otherwise are not generally well considered</w:t>
            </w:r>
          </w:p>
        </w:tc>
        <w:tc>
          <w:tcPr>
            <w:tcW w:w="4464" w:type="dxa"/>
            <w:tcBorders>
              <w:top w:val="single" w:sz="4" w:space="0" w:color="auto"/>
              <w:left w:val="single" w:sz="4" w:space="0" w:color="auto"/>
              <w:bottom w:val="single" w:sz="4" w:space="0" w:color="auto"/>
              <w:right w:val="single" w:sz="4" w:space="0" w:color="auto"/>
            </w:tcBorders>
          </w:tcPr>
          <w:p w14:paraId="5761E2DE"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2DF"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Climate Change Adaptation Strategy and Action Plan 2012-2017 </w:t>
            </w:r>
          </w:p>
          <w:p w14:paraId="5761E2E0"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Final report: 2016 coral bleaching event on the Great Barrier Reef</w:t>
            </w:r>
          </w:p>
          <w:p w14:paraId="5761E2E1"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coral bleaching event on the Great Barrier Reef</w:t>
            </w:r>
          </w:p>
          <w:p w14:paraId="5761E2E2"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AIMS Long-term Reef Monitoring Program-Annual summary report on coral reef condition for 2016/17 (AIMS update 2017)</w:t>
            </w:r>
          </w:p>
          <w:p w14:paraId="5761E2E3"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Integrated Eye on the Reef program </w:t>
            </w:r>
          </w:p>
          <w:p w14:paraId="5761E2E4"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MacKenzie, I (2018) Australia’s Emissions Reduction Fund is almost empty. It shouldn’t be refilled </w:t>
            </w:r>
            <w:r w:rsidRPr="00E70A11">
              <w:rPr>
                <w:rStyle w:val="BookTitle"/>
                <w:rFonts w:ascii="Arial Narrow" w:hAnsi="Arial Narrow"/>
                <w:i/>
                <w:sz w:val="18"/>
                <w:szCs w:val="18"/>
              </w:rPr>
              <w:t>The Conversation 26</w:t>
            </w:r>
            <w:r w:rsidRPr="00E70A11">
              <w:rPr>
                <w:rStyle w:val="BookTitle"/>
                <w:rFonts w:ascii="Arial Narrow" w:hAnsi="Arial Narrow"/>
                <w:i/>
                <w:sz w:val="18"/>
                <w:szCs w:val="18"/>
                <w:vertAlign w:val="superscript"/>
              </w:rPr>
              <w:t>th</w:t>
            </w:r>
            <w:r w:rsidRPr="00E70A11">
              <w:rPr>
                <w:rStyle w:val="BookTitle"/>
                <w:rFonts w:ascii="Arial Narrow" w:hAnsi="Arial Narrow"/>
                <w:i/>
                <w:sz w:val="18"/>
                <w:szCs w:val="18"/>
              </w:rPr>
              <w:t xml:space="preserve"> Feb 2018 https://theconversation.com/australias-emissions-reduction-fund-is-almost-empty-it-shouldnt-be-refilled-92283</w:t>
            </w:r>
          </w:p>
          <w:p w14:paraId="5761E2E5"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Kumarasiri, J (2016) Policy uncertainty continues to hamper carbon emissions management. The Conversation 14 November 2016 https://theconversation.com/policy-uncertainty-continues-to-hamper-carbon-emissions-management-68565</w:t>
            </w:r>
          </w:p>
          <w:p w14:paraId="5761E2E6" w14:textId="77777777" w:rsidR="00A56EE9" w:rsidRPr="00E70A11" w:rsidRDefault="00A56EE9" w:rsidP="00A11869">
            <w:pPr>
              <w:pStyle w:val="ListParagraph"/>
              <w:numPr>
                <w:ilvl w:val="0"/>
                <w:numId w:val="2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Dwney, C and Bamsey, H (2016) Election 2016: do we need to re-establish a department of climate change? The Conversation 23 May, 2016. https://theconversation.com/election-2016-do-we-need-to-re-establish-a-department-of-climate-change-59679</w:t>
            </w:r>
          </w:p>
          <w:p w14:paraId="5761E2E7"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2E8"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2E9"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2FA"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EB"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EC" w14:textId="77777777" w:rsidR="00A56EE9" w:rsidRPr="00E70A11" w:rsidRDefault="00A56EE9" w:rsidP="00BB6AD5">
            <w:pPr>
              <w:pStyle w:val="Tablebulletlist"/>
              <w:jc w:val="center"/>
              <w:rPr>
                <w:rStyle w:val="BookTitle"/>
              </w:rPr>
            </w:pPr>
            <w:r w:rsidRPr="00E70A11">
              <w:rPr>
                <w:rStyle w:val="BookTitle"/>
              </w:rPr>
              <w:t>3</w:t>
            </w:r>
          </w:p>
        </w:tc>
        <w:tc>
          <w:tcPr>
            <w:tcW w:w="4642" w:type="dxa"/>
            <w:tcBorders>
              <w:top w:val="single" w:sz="4" w:space="0" w:color="auto"/>
              <w:left w:val="single" w:sz="4" w:space="0" w:color="auto"/>
              <w:bottom w:val="single" w:sz="4" w:space="0" w:color="auto"/>
              <w:right w:val="single" w:sz="4" w:space="0" w:color="auto"/>
            </w:tcBorders>
          </w:tcPr>
          <w:p w14:paraId="5761E2ED"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BoM, CSIRO and NOAA provide a range of relevant climate information</w:t>
            </w:r>
          </w:p>
          <w:p w14:paraId="5761E2EE"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Information from ReefTemp and NOAA Coral Reef Watch is used to inform the annual planning</w:t>
            </w:r>
          </w:p>
          <w:p w14:paraId="5761E2EF"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Considerable research from research institutions and researchers but mostly focussed on coral</w:t>
            </w:r>
          </w:p>
          <w:p w14:paraId="5761E2F0"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Blueprint for Resilience was developed in response to the declining condition of the Reef including from bleaching.</w:t>
            </w:r>
          </w:p>
          <w:p w14:paraId="5761E2F1"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High-resolution climate datasets for Queensland are publicly available via the Terrestrial Ecosystem Research Network (TERN) portal.</w:t>
            </w:r>
          </w:p>
          <w:p w14:paraId="5761E2F2"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Loss of climate change specialist staff in GBRMPA has diminished capacity to take account of relevant information in decision making</w:t>
            </w:r>
          </w:p>
        </w:tc>
        <w:tc>
          <w:tcPr>
            <w:tcW w:w="4464" w:type="dxa"/>
            <w:tcBorders>
              <w:top w:val="single" w:sz="4" w:space="0" w:color="auto"/>
              <w:left w:val="single" w:sz="4" w:space="0" w:color="auto"/>
              <w:bottom w:val="single" w:sz="4" w:space="0" w:color="auto"/>
              <w:right w:val="single" w:sz="4" w:space="0" w:color="auto"/>
            </w:tcBorders>
          </w:tcPr>
          <w:p w14:paraId="5761E2F3"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2F4"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ReefTemp project</w:t>
            </w:r>
          </w:p>
          <w:p w14:paraId="5761E2F5"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NOAA Coral Reef Watch</w:t>
            </w:r>
          </w:p>
          <w:p w14:paraId="5761E2F6"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Blueprint for Resilience</w:t>
            </w:r>
          </w:p>
          <w:p w14:paraId="5761E2F7"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High Resolution Climate Change Projection Data for Queensland</w:t>
            </w:r>
          </w:p>
        </w:tc>
        <w:tc>
          <w:tcPr>
            <w:tcW w:w="968" w:type="dxa"/>
            <w:tcBorders>
              <w:top w:val="single" w:sz="4" w:space="0" w:color="auto"/>
              <w:left w:val="single" w:sz="4" w:space="0" w:color="auto"/>
              <w:bottom w:val="single" w:sz="4" w:space="0" w:color="auto"/>
              <w:right w:val="single" w:sz="4" w:space="0" w:color="auto"/>
            </w:tcBorders>
          </w:tcPr>
          <w:p w14:paraId="5761E2F8"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2F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304"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2FB"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2FC"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2FD"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2017 GBRMPA commissioned a socio-economic long-term monitoring program (SELTMP) to collect and interpret socio-economic data</w:t>
            </w:r>
          </w:p>
          <w:p w14:paraId="5761E2FE"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Loss of climate change specialist staff in GBRMPA has diminished capacity to take account of relevant information in decision making</w:t>
            </w:r>
          </w:p>
          <w:p w14:paraId="5761E2FF"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Back-to-back bleaching events are likely to have had significant impacts on social and economic factors but are less researched that biophysical aspects</w:t>
            </w:r>
          </w:p>
        </w:tc>
        <w:tc>
          <w:tcPr>
            <w:tcW w:w="4464" w:type="dxa"/>
            <w:tcBorders>
              <w:top w:val="single" w:sz="4" w:space="0" w:color="auto"/>
              <w:left w:val="single" w:sz="4" w:space="0" w:color="auto"/>
              <w:bottom w:val="single" w:sz="4" w:space="0" w:color="auto"/>
              <w:right w:val="single" w:sz="4" w:space="0" w:color="auto"/>
            </w:tcBorders>
          </w:tcPr>
          <w:p w14:paraId="5761E300"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01" w14:textId="77777777" w:rsidR="00A56EE9" w:rsidRPr="00E70A11" w:rsidRDefault="00A56EE9" w:rsidP="00A11869">
            <w:pPr>
              <w:pStyle w:val="ListParagraph"/>
              <w:numPr>
                <w:ilvl w:val="0"/>
                <w:numId w:val="22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Marshall, N.A., Bohensky, E., Curnock, M., Goldberg, J., Gooch, M., Pert, P.L., Scherl, L., Stone-Jovicich, S., Tobin, R.C. (2013) A Social and Economic Long Term Monitoring Program for the Great Barrier Reef. Key Findings 2013. Report to the National Environmental Research Program.</w:t>
            </w:r>
            <w:r>
              <w:rPr>
                <w:rStyle w:val="BookTitle"/>
                <w:rFonts w:ascii="Arial Narrow" w:hAnsi="Arial Narrow"/>
                <w:sz w:val="18"/>
                <w:szCs w:val="18"/>
              </w:rPr>
              <w:t xml:space="preserve"> </w:t>
            </w:r>
            <w:r w:rsidRPr="00E70A11">
              <w:rPr>
                <w:rStyle w:val="BookTitle"/>
                <w:rFonts w:ascii="Arial Narrow" w:hAnsi="Arial Narrow"/>
                <w:sz w:val="18"/>
                <w:szCs w:val="18"/>
              </w:rPr>
              <w:t>Reef and Rainforest Research Centre Limited, Cairns</w:t>
            </w:r>
          </w:p>
        </w:tc>
        <w:tc>
          <w:tcPr>
            <w:tcW w:w="968" w:type="dxa"/>
            <w:tcBorders>
              <w:top w:val="single" w:sz="4" w:space="0" w:color="auto"/>
              <w:left w:val="single" w:sz="4" w:space="0" w:color="auto"/>
              <w:bottom w:val="single" w:sz="4" w:space="0" w:color="auto"/>
              <w:right w:val="single" w:sz="4" w:space="0" w:color="auto"/>
            </w:tcBorders>
          </w:tcPr>
          <w:p w14:paraId="5761E302"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30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311"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05"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306"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307"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Limited</w:t>
            </w:r>
          </w:p>
          <w:p w14:paraId="5761E308"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TOs involved in coral bleaching reporting in the Far Northern GBR during the 2016 mass bleaching event</w:t>
            </w:r>
          </w:p>
          <w:p w14:paraId="5761E309"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Raine Island CC adaptation has very high engagement and information sharing with Traditional Owners. </w:t>
            </w:r>
          </w:p>
          <w:p w14:paraId="5761E30A"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Wuthathi TUMRA CC considerations. Extent to which 'traditional knowledge' was drawn on in this not clear.</w:t>
            </w:r>
          </w:p>
          <w:p w14:paraId="5761E30B"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Some traditional knowledge used in development of TUMRA’s and QDPIF work</w:t>
            </w:r>
          </w:p>
        </w:tc>
        <w:tc>
          <w:tcPr>
            <w:tcW w:w="4464" w:type="dxa"/>
            <w:tcBorders>
              <w:top w:val="single" w:sz="4" w:space="0" w:color="auto"/>
              <w:left w:val="single" w:sz="4" w:space="0" w:color="auto"/>
              <w:bottom w:val="single" w:sz="4" w:space="0" w:color="auto"/>
              <w:right w:val="single" w:sz="4" w:space="0" w:color="auto"/>
            </w:tcBorders>
          </w:tcPr>
          <w:p w14:paraId="5761E30C"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0D"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2050 Long Term Sustainability Plan: Indigenous Implementation Plan </w:t>
            </w:r>
          </w:p>
          <w:p w14:paraId="5761E30E"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0F"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31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31B"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12"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313"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314"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Knowledge of many historic places or events is limited</w:t>
            </w:r>
          </w:p>
          <w:p w14:paraId="5761E315"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Information on the current condition is virtually unknown</w:t>
            </w:r>
          </w:p>
          <w:p w14:paraId="5761E316" w14:textId="77777777" w:rsidR="00A56EE9" w:rsidRPr="00E70A11" w:rsidRDefault="00A56EE9" w:rsidP="00BB6AD5">
            <w:pPr>
              <w:rPr>
                <w:rStyle w:val="BookTitle"/>
                <w:rFonts w:ascii="Arial Narrow" w:hAnsi="Arial Narrow"/>
                <w:sz w:val="18"/>
                <w:szCs w:val="18"/>
              </w:rPr>
            </w:pPr>
          </w:p>
        </w:tc>
        <w:tc>
          <w:tcPr>
            <w:tcW w:w="4464" w:type="dxa"/>
            <w:tcBorders>
              <w:top w:val="single" w:sz="4" w:space="0" w:color="auto"/>
              <w:left w:val="single" w:sz="4" w:space="0" w:color="auto"/>
              <w:bottom w:val="single" w:sz="4" w:space="0" w:color="auto"/>
              <w:right w:val="single" w:sz="4" w:space="0" w:color="auto"/>
            </w:tcBorders>
          </w:tcPr>
          <w:p w14:paraId="5761E317"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18"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19"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31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32B"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shd w:val="clear" w:color="auto" w:fill="auto"/>
          </w:tcPr>
          <w:p w14:paraId="5761E31C"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31D"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31E"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change is not considered in Reef 2050 plan</w:t>
            </w:r>
          </w:p>
          <w:p w14:paraId="5761E31F"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was defunded in 2014</w:t>
            </w:r>
          </w:p>
          <w:p w14:paraId="5761E320"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Corporate plan targets relating to Climate change are more about identification and planning (i.e a position statement) rather than explicit standards in relation to climate change mitigation or adaptation</w:t>
            </w:r>
          </w:p>
          <w:p w14:paraId="5761E321"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Many stakeholders have expressed view that management agencies, especially GBRMPA have withdrawn significantly from work on this topic</w:t>
            </w:r>
          </w:p>
          <w:p w14:paraId="5761E322"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Tourism eco-certification includes a CC mitigation component</w:t>
            </w:r>
          </w:p>
        </w:tc>
        <w:tc>
          <w:tcPr>
            <w:tcW w:w="4464" w:type="dxa"/>
            <w:tcBorders>
              <w:top w:val="single" w:sz="4" w:space="0" w:color="auto"/>
              <w:left w:val="single" w:sz="4" w:space="0" w:color="auto"/>
              <w:bottom w:val="single" w:sz="4" w:space="0" w:color="auto"/>
              <w:right w:val="single" w:sz="4" w:space="0" w:color="auto"/>
            </w:tcBorders>
          </w:tcPr>
          <w:p w14:paraId="5761E323"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24"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w:t>
            </w:r>
          </w:p>
          <w:p w14:paraId="5761E325"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Corporate Plan 2017-18</w:t>
            </w:r>
          </w:p>
          <w:p w14:paraId="5761E326"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E327" w14:textId="77777777" w:rsidR="00A56EE9" w:rsidRPr="00E70A11" w:rsidRDefault="00A56EE9" w:rsidP="00A11869">
            <w:pPr>
              <w:pStyle w:val="ListParagraph"/>
              <w:numPr>
                <w:ilvl w:val="0"/>
                <w:numId w:val="22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https://www.ecotourism.org.au/our-certification-programs/eco-certification-3/</w:t>
            </w:r>
          </w:p>
          <w:p w14:paraId="5761E328"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29"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32A"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36"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2C"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Targets have been established to benchmark management performance for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32D"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32E" w14:textId="77777777" w:rsidR="00A56EE9" w:rsidRPr="00E70A11" w:rsidRDefault="00A56EE9" w:rsidP="00A11869">
            <w:pPr>
              <w:pStyle w:val="ListParagraph"/>
              <w:numPr>
                <w:ilvl w:val="0"/>
                <w:numId w:val="22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Nationally greenhouse gas emissions continue to rise (Belot, 2017) with considerable contention around whether Australia will meet its emissions targets under the Paris Agreement</w:t>
            </w:r>
          </w:p>
          <w:p w14:paraId="5761E32F" w14:textId="77777777" w:rsidR="00A56EE9" w:rsidRPr="00E70A11" w:rsidRDefault="00A56EE9" w:rsidP="00A11869">
            <w:pPr>
              <w:pStyle w:val="ListParagraph"/>
              <w:numPr>
                <w:ilvl w:val="0"/>
                <w:numId w:val="22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was defunded in 2014</w:t>
            </w:r>
          </w:p>
          <w:p w14:paraId="5761E330" w14:textId="77777777" w:rsidR="00A56EE9" w:rsidRPr="00E70A11" w:rsidRDefault="00A56EE9" w:rsidP="00A11869">
            <w:pPr>
              <w:pStyle w:val="ListParagraph"/>
              <w:numPr>
                <w:ilvl w:val="0"/>
                <w:numId w:val="22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does not set objectives and targets relating to climate change</w:t>
            </w:r>
          </w:p>
        </w:tc>
        <w:tc>
          <w:tcPr>
            <w:tcW w:w="4464" w:type="dxa"/>
            <w:tcBorders>
              <w:top w:val="single" w:sz="4" w:space="0" w:color="auto"/>
              <w:left w:val="single" w:sz="4" w:space="0" w:color="auto"/>
              <w:bottom w:val="single" w:sz="4" w:space="0" w:color="auto"/>
              <w:right w:val="single" w:sz="4" w:space="0" w:color="auto"/>
            </w:tcBorders>
          </w:tcPr>
          <w:p w14:paraId="5761E331" w14:textId="77777777" w:rsidR="00A56EE9" w:rsidRPr="00E70A11" w:rsidRDefault="00A56EE9" w:rsidP="00A11869">
            <w:pPr>
              <w:pStyle w:val="ListParagraph"/>
              <w:numPr>
                <w:ilvl w:val="0"/>
                <w:numId w:val="22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32" w14:textId="77777777" w:rsidR="00A56EE9" w:rsidRPr="00E70A11" w:rsidRDefault="00A56EE9" w:rsidP="00A11869">
            <w:pPr>
              <w:pStyle w:val="ListParagraph"/>
              <w:numPr>
                <w:ilvl w:val="0"/>
                <w:numId w:val="22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Belot (2017) Australia's greenhouse gas emissions increase for third consecutive year http://www.abc.net.au/news/2017-12-19/greenhouse-gas-emissions-increase-third-consecutive-year/9271176</w:t>
            </w:r>
          </w:p>
          <w:p w14:paraId="5761E333"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34"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335"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3D"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337" w14:textId="77777777" w:rsidR="00A56EE9" w:rsidRPr="00E70A11" w:rsidRDefault="00A56EE9" w:rsidP="00BB6AD5">
            <w:pPr>
              <w:pStyle w:val="Tablebulletlist"/>
              <w:rPr>
                <w:rStyle w:val="BookTitle"/>
              </w:rPr>
            </w:pPr>
            <w:r w:rsidRPr="00E70A11">
              <w:rPr>
                <w:rStyle w:val="BookTitle"/>
              </w:rPr>
              <w:t>OUTPUTS</w:t>
            </w:r>
          </w:p>
        </w:tc>
        <w:tc>
          <w:tcPr>
            <w:tcW w:w="768"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761E338" w14:textId="77777777" w:rsidR="00A56EE9" w:rsidRPr="00E70A11" w:rsidRDefault="00A56EE9" w:rsidP="00BB6AD5">
            <w:pPr>
              <w:pStyle w:val="Tablebulletlist"/>
              <w:jc w:val="center"/>
              <w:rPr>
                <w:rStyle w:val="BookTitle"/>
              </w:rPr>
            </w:pPr>
          </w:p>
        </w:tc>
        <w:tc>
          <w:tcPr>
            <w:tcW w:w="464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339" w14:textId="77777777" w:rsidR="00A56EE9" w:rsidRPr="00E70A11" w:rsidRDefault="00A56EE9" w:rsidP="00BB6AD5">
            <w:pPr>
              <w:pStyle w:val="ListParagraph"/>
              <w:ind w:left="360"/>
              <w:rPr>
                <w:rStyle w:val="BookTitle"/>
                <w:rFonts w:ascii="Arial Narrow" w:hAnsi="Arial Narrow"/>
                <w:sz w:val="18"/>
                <w:szCs w:val="18"/>
              </w:rPr>
            </w:pPr>
          </w:p>
        </w:tc>
        <w:tc>
          <w:tcPr>
            <w:tcW w:w="446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33A" w14:textId="77777777" w:rsidR="00A56EE9" w:rsidRPr="00E70A11" w:rsidRDefault="00A56EE9" w:rsidP="00BB6AD5">
            <w:pPr>
              <w:pStyle w:val="ListParagraph"/>
              <w:ind w:left="360"/>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33B" w14:textId="77777777" w:rsidR="00A56EE9" w:rsidRPr="00E70A11" w:rsidRDefault="00A56EE9" w:rsidP="00BB6AD5">
            <w:pPr>
              <w:pStyle w:val="Tablebulletlist"/>
              <w:rPr>
                <w:rStyle w:val="BookTitle"/>
              </w:rPr>
            </w:pPr>
          </w:p>
        </w:tc>
        <w:tc>
          <w:tcPr>
            <w:tcW w:w="88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33C" w14:textId="77777777" w:rsidR="00A56EE9" w:rsidRPr="00E70A11" w:rsidRDefault="00A56EE9" w:rsidP="00BB6AD5">
            <w:pPr>
              <w:pStyle w:val="Tablebulletlist"/>
              <w:rPr>
                <w:rStyle w:val="BookTitle"/>
              </w:rPr>
            </w:pPr>
          </w:p>
        </w:tc>
      </w:tr>
      <w:tr w:rsidR="00A56EE9" w:rsidRPr="00E70A11" w14:paraId="5761E348"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3E"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climate change </w:t>
            </w:r>
          </w:p>
        </w:tc>
        <w:tc>
          <w:tcPr>
            <w:tcW w:w="768" w:type="dxa"/>
            <w:tcBorders>
              <w:top w:val="single" w:sz="4" w:space="0" w:color="auto"/>
              <w:left w:val="single" w:sz="4" w:space="0" w:color="auto"/>
              <w:bottom w:val="single" w:sz="4" w:space="0" w:color="auto"/>
              <w:right w:val="single" w:sz="4" w:space="0" w:color="auto"/>
            </w:tcBorders>
            <w:vAlign w:val="center"/>
          </w:tcPr>
          <w:p w14:paraId="5761E33F"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340"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Climate Change Adaptation Strategy and Action Plan 2012-2017 was defunded early in the implementation phase and as a result many targets were not met.</w:t>
            </w:r>
          </w:p>
          <w:p w14:paraId="5761E341"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staff focussed on climate change reduced to zero</w:t>
            </w:r>
          </w:p>
          <w:p w14:paraId="5761E342"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does not set objectives and targets relating to climate change</w:t>
            </w:r>
          </w:p>
          <w:p w14:paraId="5761E343"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Many stakeholders have expressed view that management agencies, especially GBRMPA have withdrawn significantly from work on this topic</w:t>
            </w:r>
          </w:p>
        </w:tc>
        <w:tc>
          <w:tcPr>
            <w:tcW w:w="4464" w:type="dxa"/>
            <w:tcBorders>
              <w:top w:val="single" w:sz="4" w:space="0" w:color="auto"/>
              <w:left w:val="single" w:sz="4" w:space="0" w:color="auto"/>
              <w:bottom w:val="single" w:sz="4" w:space="0" w:color="auto"/>
              <w:right w:val="single" w:sz="4" w:space="0" w:color="auto"/>
            </w:tcBorders>
          </w:tcPr>
          <w:p w14:paraId="5761E344"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45"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46"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347"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55"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49"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climate change have progressed in accordance with timeframes specified in those documents</w:t>
            </w:r>
          </w:p>
        </w:tc>
        <w:tc>
          <w:tcPr>
            <w:tcW w:w="768" w:type="dxa"/>
            <w:tcBorders>
              <w:top w:val="single" w:sz="4" w:space="0" w:color="auto"/>
              <w:left w:val="single" w:sz="4" w:space="0" w:color="auto"/>
              <w:bottom w:val="single" w:sz="4" w:space="0" w:color="auto"/>
              <w:right w:val="single" w:sz="4" w:space="0" w:color="auto"/>
            </w:tcBorders>
            <w:vAlign w:val="center"/>
          </w:tcPr>
          <w:p w14:paraId="5761E34A"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34B"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Climate Change Adaptation Strategy and Action Plan 2012-2017 was defunded early in the implementation phase and as a result many targets were not met.</w:t>
            </w:r>
          </w:p>
          <w:p w14:paraId="5761E34C"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staff focussed on climate change reduced to zero</w:t>
            </w:r>
          </w:p>
          <w:p w14:paraId="5761E34D"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approach by the Authority going forward is to integrate climate change-related actions into corporate and operational plans.</w:t>
            </w:r>
          </w:p>
          <w:p w14:paraId="5761E34E"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does not set objectives and targets relating to climate change</w:t>
            </w:r>
          </w:p>
          <w:p w14:paraId="5761E34F"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Resilience work is progressing under other plans including Reef 2050 Plan and the Joint Field management Program (Raine Island project, COTS surveillance).</w:t>
            </w:r>
          </w:p>
        </w:tc>
        <w:tc>
          <w:tcPr>
            <w:tcW w:w="4464" w:type="dxa"/>
            <w:tcBorders>
              <w:top w:val="single" w:sz="4" w:space="0" w:color="auto"/>
              <w:left w:val="single" w:sz="4" w:space="0" w:color="auto"/>
              <w:bottom w:val="single" w:sz="4" w:space="0" w:color="auto"/>
              <w:right w:val="single" w:sz="4" w:space="0" w:color="auto"/>
            </w:tcBorders>
          </w:tcPr>
          <w:p w14:paraId="5761E350"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51" w14:textId="77777777" w:rsidR="00A56EE9" w:rsidRPr="00E70A11" w:rsidRDefault="00A56EE9" w:rsidP="00A11869">
            <w:pPr>
              <w:pStyle w:val="ListParagraph"/>
              <w:numPr>
                <w:ilvl w:val="0"/>
                <w:numId w:val="2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w:t>
            </w:r>
          </w:p>
          <w:p w14:paraId="5761E352"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53"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354"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61"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56"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357"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358"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change remains the principal threat to the GBR</w:t>
            </w:r>
          </w:p>
          <w:p w14:paraId="5761E359"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2012-2017objectives of reducing climate risk and building resilience have not been achieved – risk has increased and resilience declined</w:t>
            </w:r>
          </w:p>
          <w:p w14:paraId="5761E35A"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While ultimately the fate of the world’s reef will be determined by the global community’s actions to reduce greenhouse gas emissions, the future for coral reefs is also dependent upon actions to enhance the resilience of coral reefs.</w:t>
            </w:r>
          </w:p>
          <w:p w14:paraId="5761E35B"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Current condition of GBR</w:t>
            </w:r>
            <w:r>
              <w:rPr>
                <w:rStyle w:val="BookTitle"/>
                <w:rFonts w:ascii="Arial Narrow" w:hAnsi="Arial Narrow"/>
                <w:sz w:val="18"/>
                <w:szCs w:val="18"/>
              </w:rPr>
              <w:t xml:space="preserve"> </w:t>
            </w:r>
            <w:r w:rsidRPr="00E70A11">
              <w:rPr>
                <w:rStyle w:val="BookTitle"/>
                <w:rFonts w:ascii="Arial Narrow" w:hAnsi="Arial Narrow"/>
                <w:sz w:val="18"/>
                <w:szCs w:val="18"/>
              </w:rPr>
              <w:t>is poor and continues to decline</w:t>
            </w:r>
          </w:p>
        </w:tc>
        <w:tc>
          <w:tcPr>
            <w:tcW w:w="4464" w:type="dxa"/>
            <w:tcBorders>
              <w:top w:val="single" w:sz="4" w:space="0" w:color="auto"/>
              <w:left w:val="single" w:sz="4" w:space="0" w:color="auto"/>
              <w:bottom w:val="single" w:sz="4" w:space="0" w:color="auto"/>
              <w:right w:val="single" w:sz="4" w:space="0" w:color="auto"/>
            </w:tcBorders>
          </w:tcPr>
          <w:p w14:paraId="5761E35C"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5D"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w:t>
            </w:r>
          </w:p>
          <w:p w14:paraId="5761E35E"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5F" w14:textId="77777777" w:rsidR="00A56EE9" w:rsidRPr="00E70A11" w:rsidRDefault="00A56EE9" w:rsidP="00BB6AD5">
            <w:pPr>
              <w:pStyle w:val="Tablebulletlist"/>
              <w:rPr>
                <w:rStyle w:val="BookTitle"/>
              </w:rPr>
            </w:pPr>
            <w:r w:rsidRPr="00E70A11">
              <w:rPr>
                <w:rStyle w:val="BookTitle"/>
              </w:rPr>
              <w:t xml:space="preserve">adequate </w:t>
            </w:r>
          </w:p>
        </w:tc>
        <w:tc>
          <w:tcPr>
            <w:tcW w:w="889" w:type="dxa"/>
            <w:tcBorders>
              <w:top w:val="single" w:sz="4" w:space="0" w:color="auto"/>
              <w:left w:val="single" w:sz="4" w:space="0" w:color="auto"/>
              <w:bottom w:val="single" w:sz="4" w:space="0" w:color="auto"/>
              <w:right w:val="single" w:sz="4" w:space="0" w:color="auto"/>
            </w:tcBorders>
          </w:tcPr>
          <w:p w14:paraId="5761E360"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6D"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62"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climate change</w:t>
            </w:r>
          </w:p>
        </w:tc>
        <w:tc>
          <w:tcPr>
            <w:tcW w:w="768" w:type="dxa"/>
            <w:tcBorders>
              <w:top w:val="single" w:sz="4" w:space="0" w:color="auto"/>
              <w:left w:val="single" w:sz="4" w:space="0" w:color="auto"/>
              <w:bottom w:val="single" w:sz="4" w:space="0" w:color="auto"/>
              <w:right w:val="single" w:sz="4" w:space="0" w:color="auto"/>
            </w:tcBorders>
            <w:vAlign w:val="center"/>
          </w:tcPr>
          <w:p w14:paraId="5761E363"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364"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2012-2017objectives of reducing climate risk and building resilience have not been achieved – risk has increased and resilience declined</w:t>
            </w:r>
          </w:p>
          <w:p w14:paraId="5761E365"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Health Impact Surveys (RHIS) conducted by GBRMPA staff, stakeholders and the Joint Field management Program. In 2015-16 the Joint Field management Program conducted 1982 RHIS Surveys across 183 reefs, including 655 RHIS assessments associated with crown-of-thorns starfish (COTS) response and 561 associated with 2016 coral bleaching response and response plans. In 14-15, 1,392 RHIS assessments were conducted. </w:t>
            </w:r>
          </w:p>
          <w:p w14:paraId="5761E366"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Crown-of-thorns control program eventuated out of the CCAP and is extending its capability through increased funding</w:t>
            </w:r>
          </w:p>
          <w:p w14:paraId="5761E367"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Drafted Reef Health impact summary report: 2016-2017 cumulative impacts has not been released. This limits the capacity of the GBRMPA to understand coral reef condition, report through Outlook and guide management actions.</w:t>
            </w:r>
          </w:p>
        </w:tc>
        <w:tc>
          <w:tcPr>
            <w:tcW w:w="4464" w:type="dxa"/>
            <w:tcBorders>
              <w:top w:val="single" w:sz="4" w:space="0" w:color="auto"/>
              <w:left w:val="single" w:sz="4" w:space="0" w:color="auto"/>
              <w:bottom w:val="single" w:sz="4" w:space="0" w:color="auto"/>
              <w:right w:val="single" w:sz="4" w:space="0" w:color="auto"/>
            </w:tcBorders>
          </w:tcPr>
          <w:p w14:paraId="5761E368"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69" w14:textId="77777777" w:rsidR="00A56EE9" w:rsidRPr="00E70A11" w:rsidRDefault="00A56EE9" w:rsidP="00A11869">
            <w:pPr>
              <w:pStyle w:val="ListParagraph"/>
              <w:numPr>
                <w:ilvl w:val="0"/>
                <w:numId w:val="230"/>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w:t>
            </w:r>
          </w:p>
          <w:p w14:paraId="5761E36A"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6B"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36C"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77"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shd w:val="clear" w:color="auto" w:fill="auto"/>
          </w:tcPr>
          <w:p w14:paraId="5761E36E"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climate change are in place within agencies</w:t>
            </w:r>
          </w:p>
        </w:tc>
        <w:tc>
          <w:tcPr>
            <w:tcW w:w="768" w:type="dxa"/>
            <w:tcBorders>
              <w:top w:val="single" w:sz="4" w:space="0" w:color="auto"/>
              <w:left w:val="single" w:sz="4" w:space="0" w:color="auto"/>
              <w:bottom w:val="single" w:sz="4" w:space="0" w:color="auto"/>
              <w:right w:val="single" w:sz="4" w:space="0" w:color="auto"/>
            </w:tcBorders>
            <w:vAlign w:val="center"/>
          </w:tcPr>
          <w:p w14:paraId="5761E36F"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370" w14:textId="77777777" w:rsidR="00A56EE9" w:rsidRPr="00E70A11" w:rsidRDefault="00A56EE9" w:rsidP="00A11869">
            <w:pPr>
              <w:pStyle w:val="ListParagraph"/>
              <w:numPr>
                <w:ilvl w:val="0"/>
                <w:numId w:val="23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Progress and new initiatives have regressed since the cessation of the CCAP and team.</w:t>
            </w:r>
          </w:p>
          <w:p w14:paraId="5761E371" w14:textId="77777777" w:rsidR="00A56EE9" w:rsidRPr="00E70A11" w:rsidRDefault="00A56EE9" w:rsidP="00A11869">
            <w:pPr>
              <w:pStyle w:val="ListParagraph"/>
              <w:numPr>
                <w:ilvl w:val="0"/>
                <w:numId w:val="23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Integrated Monitoring and Reporting Program is expected to meet some of this need, however this is inadequately resourced and has been very slow to become operational</w:t>
            </w:r>
          </w:p>
        </w:tc>
        <w:tc>
          <w:tcPr>
            <w:tcW w:w="4464" w:type="dxa"/>
            <w:tcBorders>
              <w:top w:val="single" w:sz="4" w:space="0" w:color="auto"/>
              <w:left w:val="single" w:sz="4" w:space="0" w:color="auto"/>
              <w:bottom w:val="single" w:sz="4" w:space="0" w:color="auto"/>
              <w:right w:val="single" w:sz="4" w:space="0" w:color="auto"/>
            </w:tcBorders>
          </w:tcPr>
          <w:p w14:paraId="5761E372" w14:textId="77777777" w:rsidR="00A56EE9" w:rsidRPr="00E70A11" w:rsidRDefault="00A56EE9" w:rsidP="00A11869">
            <w:pPr>
              <w:pStyle w:val="ListParagraph"/>
              <w:numPr>
                <w:ilvl w:val="0"/>
                <w:numId w:val="23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73" w14:textId="77777777" w:rsidR="00A56EE9" w:rsidRPr="00E70A11" w:rsidRDefault="00A56EE9" w:rsidP="00A11869">
            <w:pPr>
              <w:pStyle w:val="ListParagraph"/>
              <w:numPr>
                <w:ilvl w:val="0"/>
                <w:numId w:val="23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w:t>
            </w:r>
          </w:p>
          <w:p w14:paraId="5761E374"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75"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376"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83"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78"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climate change with the community</w:t>
            </w:r>
          </w:p>
        </w:tc>
        <w:tc>
          <w:tcPr>
            <w:tcW w:w="768" w:type="dxa"/>
            <w:tcBorders>
              <w:top w:val="single" w:sz="4" w:space="0" w:color="auto"/>
              <w:left w:val="single" w:sz="4" w:space="0" w:color="auto"/>
              <w:bottom w:val="single" w:sz="4" w:space="0" w:color="auto"/>
              <w:right w:val="single" w:sz="4" w:space="0" w:color="auto"/>
            </w:tcBorders>
            <w:vAlign w:val="center"/>
          </w:tcPr>
          <w:p w14:paraId="5761E379"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37A" w14:textId="77777777" w:rsidR="00A56EE9" w:rsidRPr="00E70A11" w:rsidRDefault="00A56EE9" w:rsidP="00A11869">
            <w:pPr>
              <w:pStyle w:val="ListParagraph"/>
              <w:numPr>
                <w:ilvl w:val="0"/>
                <w:numId w:val="23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LMAC/RAC updates on coral bleaching events</w:t>
            </w:r>
          </w:p>
          <w:p w14:paraId="5761E37B" w14:textId="77777777" w:rsidR="00A56EE9" w:rsidRPr="00E70A11" w:rsidRDefault="00A56EE9" w:rsidP="00A11869">
            <w:pPr>
              <w:pStyle w:val="ListParagraph"/>
              <w:numPr>
                <w:ilvl w:val="0"/>
                <w:numId w:val="23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media releases, web pages, reports on mass coral bleaching</w:t>
            </w:r>
          </w:p>
          <w:p w14:paraId="5761E37C" w14:textId="77777777" w:rsidR="00A56EE9" w:rsidRPr="00E70A11" w:rsidRDefault="00A56EE9" w:rsidP="00A11869">
            <w:pPr>
              <w:pStyle w:val="ListParagraph"/>
              <w:numPr>
                <w:ilvl w:val="0"/>
                <w:numId w:val="23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Integrated Monitoring and Reporting Program is expected to meet some of this need, however this is inadequately resourced and has been very slow to become operational</w:t>
            </w:r>
          </w:p>
          <w:p w14:paraId="5761E37D" w14:textId="77777777" w:rsidR="00A56EE9" w:rsidRPr="00E70A11" w:rsidRDefault="00A56EE9" w:rsidP="00A11869">
            <w:pPr>
              <w:pStyle w:val="ListParagraph"/>
              <w:numPr>
                <w:ilvl w:val="0"/>
                <w:numId w:val="23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2017 </w:t>
            </w:r>
            <w:r>
              <w:rPr>
                <w:rStyle w:val="BookTitle"/>
                <w:rFonts w:ascii="Arial Narrow" w:hAnsi="Arial Narrow"/>
                <w:sz w:val="18"/>
                <w:szCs w:val="18"/>
              </w:rPr>
              <w:t>G</w:t>
            </w:r>
            <w:r w:rsidRPr="00E70A11">
              <w:rPr>
                <w:rStyle w:val="BookTitle"/>
                <w:rFonts w:ascii="Arial Narrow" w:hAnsi="Arial Narrow"/>
                <w:sz w:val="18"/>
                <w:szCs w:val="18"/>
              </w:rPr>
              <w:t>BRMPA report on coral bleaching and on impacts of Cyclone Debbie are yet to be released</w:t>
            </w:r>
          </w:p>
        </w:tc>
        <w:tc>
          <w:tcPr>
            <w:tcW w:w="4464" w:type="dxa"/>
            <w:tcBorders>
              <w:top w:val="single" w:sz="4" w:space="0" w:color="auto"/>
              <w:left w:val="single" w:sz="4" w:space="0" w:color="auto"/>
              <w:bottom w:val="single" w:sz="4" w:space="0" w:color="auto"/>
              <w:right w:val="single" w:sz="4" w:space="0" w:color="auto"/>
            </w:tcBorders>
          </w:tcPr>
          <w:p w14:paraId="5761E37E" w14:textId="77777777" w:rsidR="00A56EE9" w:rsidRPr="00E70A11" w:rsidRDefault="00A56EE9" w:rsidP="00A11869">
            <w:pPr>
              <w:pStyle w:val="ListParagraph"/>
              <w:numPr>
                <w:ilvl w:val="0"/>
                <w:numId w:val="23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7F" w14:textId="77777777" w:rsidR="00A56EE9" w:rsidRPr="00E70A11" w:rsidRDefault="00A56EE9" w:rsidP="00A11869">
            <w:pPr>
              <w:pStyle w:val="ListParagraph"/>
              <w:numPr>
                <w:ilvl w:val="0"/>
                <w:numId w:val="23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website</w:t>
            </w:r>
          </w:p>
          <w:p w14:paraId="5761E380"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81"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382"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8A"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384" w14:textId="77777777" w:rsidR="00A56EE9" w:rsidRPr="00E70A11" w:rsidRDefault="00A56EE9" w:rsidP="00BB6AD5">
            <w:pPr>
              <w:pStyle w:val="Tablebulletlist"/>
              <w:rPr>
                <w:rStyle w:val="BookTitle"/>
              </w:rPr>
            </w:pPr>
            <w:r w:rsidRPr="00E70A11">
              <w:rPr>
                <w:rStyle w:val="BookTitle"/>
              </w:rPr>
              <w:t>OUTCOMES</w:t>
            </w:r>
          </w:p>
        </w:tc>
        <w:tc>
          <w:tcPr>
            <w:tcW w:w="768"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761E385" w14:textId="77777777" w:rsidR="00A56EE9" w:rsidRPr="00E70A11" w:rsidRDefault="00A56EE9" w:rsidP="00BB6AD5">
            <w:pPr>
              <w:pStyle w:val="Tablebulletlist"/>
              <w:jc w:val="center"/>
              <w:rPr>
                <w:rStyle w:val="BookTitle"/>
              </w:rPr>
            </w:pPr>
          </w:p>
        </w:tc>
        <w:tc>
          <w:tcPr>
            <w:tcW w:w="464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386" w14:textId="77777777" w:rsidR="00A56EE9" w:rsidRPr="00E70A11" w:rsidRDefault="00A56EE9" w:rsidP="00BB6AD5">
            <w:pPr>
              <w:pStyle w:val="ListParagraph"/>
              <w:ind w:left="360"/>
              <w:rPr>
                <w:rStyle w:val="BookTitle"/>
                <w:rFonts w:ascii="Arial Narrow" w:hAnsi="Arial Narrow"/>
                <w:sz w:val="18"/>
                <w:szCs w:val="18"/>
              </w:rPr>
            </w:pPr>
          </w:p>
        </w:tc>
        <w:tc>
          <w:tcPr>
            <w:tcW w:w="446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387" w14:textId="77777777" w:rsidR="00A56EE9" w:rsidRPr="00E70A11" w:rsidRDefault="00A56EE9" w:rsidP="00BB6AD5">
            <w:pPr>
              <w:pStyle w:val="ListParagraph"/>
              <w:ind w:left="360"/>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388" w14:textId="77777777" w:rsidR="00A56EE9" w:rsidRPr="00E70A11" w:rsidRDefault="00A56EE9" w:rsidP="00BB6AD5">
            <w:pPr>
              <w:pStyle w:val="Tablebulletlist"/>
              <w:rPr>
                <w:rStyle w:val="BookTitle"/>
              </w:rPr>
            </w:pPr>
          </w:p>
        </w:tc>
        <w:tc>
          <w:tcPr>
            <w:tcW w:w="88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389" w14:textId="77777777" w:rsidR="00A56EE9" w:rsidRPr="00E70A11" w:rsidRDefault="00A56EE9" w:rsidP="00BB6AD5">
            <w:pPr>
              <w:pStyle w:val="Tablebulletlist"/>
              <w:rPr>
                <w:rStyle w:val="BookTitle"/>
              </w:rPr>
            </w:pPr>
          </w:p>
        </w:tc>
      </w:tr>
      <w:tr w:rsidR="00A56EE9" w:rsidRPr="00E70A11" w14:paraId="5761E397"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8B"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climate change and moving towards the attainment of the desired outcomes.</w:t>
            </w:r>
          </w:p>
        </w:tc>
        <w:tc>
          <w:tcPr>
            <w:tcW w:w="768" w:type="dxa"/>
            <w:tcBorders>
              <w:top w:val="single" w:sz="4" w:space="0" w:color="auto"/>
              <w:left w:val="single" w:sz="4" w:space="0" w:color="auto"/>
              <w:bottom w:val="single" w:sz="4" w:space="0" w:color="auto"/>
              <w:right w:val="single" w:sz="4" w:space="0" w:color="auto"/>
            </w:tcBorders>
            <w:vAlign w:val="center"/>
          </w:tcPr>
          <w:p w14:paraId="5761E38C"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38D"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objectives of reducing climate risk and building resilience have not been achieved – risk has increased and resilience declined</w:t>
            </w:r>
          </w:p>
          <w:p w14:paraId="5761E38E"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Governmental focus on climate change risks and adaptation shifted to strengthening ecosystem resilience. This does not proactively adequately address the risks posed by climate change to the Reef.</w:t>
            </w:r>
          </w:p>
          <w:p w14:paraId="5761E38F"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Nationally greenhouse gas emissions continue to rise (Belot, 2017) with considerable contention around whether Australia will meet its emissions targets under the Paris Agreement</w:t>
            </w:r>
          </w:p>
          <w:p w14:paraId="5761E390"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Dale et al (2016) conclude that potential governance failures relating to climate change heighten the risk of catastrophic impact on the Reef</w:t>
            </w:r>
          </w:p>
        </w:tc>
        <w:tc>
          <w:tcPr>
            <w:tcW w:w="4464" w:type="dxa"/>
            <w:tcBorders>
              <w:top w:val="single" w:sz="4" w:space="0" w:color="auto"/>
              <w:left w:val="single" w:sz="4" w:space="0" w:color="auto"/>
              <w:bottom w:val="single" w:sz="4" w:space="0" w:color="auto"/>
              <w:right w:val="single" w:sz="4" w:space="0" w:color="auto"/>
            </w:tcBorders>
          </w:tcPr>
          <w:p w14:paraId="5761E391"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92"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Belot (2017) Australia's greenhouse gas emissions increase for third consecutive year http://www.abc.net.au/news/2017-12-19/greenhouse-gas-emissions-increase-third-consecutive-year/9271176</w:t>
            </w:r>
          </w:p>
          <w:p w14:paraId="5761E393"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Dale et al. (2016) Risk analysis of the governance system affecting outcomes in the Great Barrier Reef. Journal of Environmental Management 183 (2016) 712e721</w:t>
            </w:r>
          </w:p>
          <w:p w14:paraId="5761E394"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95"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396"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A5"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98"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climate change are on track to ensure the values of the Great Barrier Reef are protected (refer CO1)</w:t>
            </w:r>
          </w:p>
        </w:tc>
        <w:tc>
          <w:tcPr>
            <w:tcW w:w="768" w:type="dxa"/>
            <w:tcBorders>
              <w:top w:val="single" w:sz="4" w:space="0" w:color="auto"/>
              <w:left w:val="single" w:sz="4" w:space="0" w:color="auto"/>
              <w:bottom w:val="single" w:sz="4" w:space="0" w:color="auto"/>
              <w:right w:val="single" w:sz="4" w:space="0" w:color="auto"/>
            </w:tcBorders>
            <w:vAlign w:val="center"/>
          </w:tcPr>
          <w:p w14:paraId="5761E399"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39A"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defunded and actions have not proceeded</w:t>
            </w:r>
          </w:p>
          <w:p w14:paraId="5761E39B"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Nationally greenhouse gas emissions continue to rise (Belot, 2017) with considerable contention around whether Australia will meet its emissions targets under the Paris Agreement</w:t>
            </w:r>
          </w:p>
          <w:p w14:paraId="5761E39C"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Back-to-back bleaching events have impacted on values across almost the entire extent of the Reef</w:t>
            </w:r>
          </w:p>
          <w:p w14:paraId="5761E39D"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While progress has been made reducing local pressures, until global emissions start to decrease the major risk to the Great Barrier Reef ecosystem will continue to be climate change impacts. Under current scenarios these impacts are forecast become more frequent and severe and eclipse all other pressures affecting the GBRWHA</w:t>
            </w:r>
          </w:p>
          <w:p w14:paraId="5761E39E" w14:textId="77777777" w:rsidR="00A56EE9" w:rsidRPr="00E70A11" w:rsidRDefault="00A56EE9" w:rsidP="00BB6AD5">
            <w:pPr>
              <w:pStyle w:val="ListParagraph"/>
              <w:rPr>
                <w:rStyle w:val="BookTitle"/>
                <w:rFonts w:ascii="Arial Narrow" w:hAnsi="Arial Narrow"/>
                <w:sz w:val="18"/>
                <w:szCs w:val="18"/>
              </w:rPr>
            </w:pPr>
          </w:p>
        </w:tc>
        <w:tc>
          <w:tcPr>
            <w:tcW w:w="4464" w:type="dxa"/>
            <w:tcBorders>
              <w:top w:val="single" w:sz="4" w:space="0" w:color="auto"/>
              <w:left w:val="single" w:sz="4" w:space="0" w:color="auto"/>
              <w:bottom w:val="single" w:sz="4" w:space="0" w:color="auto"/>
              <w:right w:val="single" w:sz="4" w:space="0" w:color="auto"/>
            </w:tcBorders>
          </w:tcPr>
          <w:p w14:paraId="5761E39F"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A0"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Belot (2017) Australia's greenhouse gas emissions increase for third consecutive year http://www.abc.net.au/news/2017-12-19/greenhouse-gas-emissions-increase-third-consecutive-year/9271176</w:t>
            </w:r>
          </w:p>
          <w:p w14:paraId="5761E3A1"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T.P. and Kerry, J. 2017. Back-to-back bleaching has now hit two-thirds of the Great Barrier Reef, The Conversation April 12, 2017</w:t>
            </w:r>
          </w:p>
          <w:p w14:paraId="5761E3A2"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A3"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3A4"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B1"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A6"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climate change are reducing the major risks and the threats to the Great Barrier Reef</w:t>
            </w:r>
          </w:p>
        </w:tc>
        <w:tc>
          <w:tcPr>
            <w:tcW w:w="768" w:type="dxa"/>
            <w:tcBorders>
              <w:top w:val="single" w:sz="4" w:space="0" w:color="auto"/>
              <w:left w:val="single" w:sz="4" w:space="0" w:color="auto"/>
              <w:bottom w:val="single" w:sz="4" w:space="0" w:color="auto"/>
              <w:right w:val="single" w:sz="4" w:space="0" w:color="auto"/>
            </w:tcBorders>
            <w:vAlign w:val="center"/>
          </w:tcPr>
          <w:p w14:paraId="5761E3A7"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3A8"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Climate Change Adaptation Strategy and Action Plan 2012-2017 objectives of reducing climate risk and building resilience have not been achieved – risk has increased and resilience declined</w:t>
            </w:r>
          </w:p>
          <w:p w14:paraId="5761E3A9"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Governmental focus on climate change risks and adaptation shifted to strengthening ecosystem resilience. This does not proactively adequately address the risks posed by climate change to the Reef.</w:t>
            </w:r>
          </w:p>
          <w:p w14:paraId="5761E3AA"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While actions to reduce pressures and build resilience remain crucial, environmental management efforts can only compensate for reduced coral reef resilience in the face of climate change to a limited extent and over a limited timeframe.</w:t>
            </w:r>
          </w:p>
          <w:p w14:paraId="5761E3AB" w14:textId="77777777" w:rsidR="00A56EE9" w:rsidRPr="00E70A11" w:rsidRDefault="00A56EE9" w:rsidP="00BB6AD5">
            <w:pPr>
              <w:pStyle w:val="ListParagraph"/>
              <w:rPr>
                <w:rStyle w:val="BookTitle"/>
                <w:rFonts w:ascii="Arial Narrow" w:hAnsi="Arial Narrow"/>
                <w:sz w:val="18"/>
                <w:szCs w:val="18"/>
              </w:rPr>
            </w:pPr>
          </w:p>
        </w:tc>
        <w:tc>
          <w:tcPr>
            <w:tcW w:w="4464" w:type="dxa"/>
            <w:tcBorders>
              <w:top w:val="single" w:sz="4" w:space="0" w:color="auto"/>
              <w:left w:val="single" w:sz="4" w:space="0" w:color="auto"/>
              <w:bottom w:val="single" w:sz="4" w:space="0" w:color="auto"/>
              <w:right w:val="single" w:sz="4" w:space="0" w:color="auto"/>
            </w:tcBorders>
          </w:tcPr>
          <w:p w14:paraId="5761E3AC"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AD" w14:textId="77777777" w:rsidR="00A56EE9" w:rsidRPr="00E70A11" w:rsidRDefault="00A56EE9" w:rsidP="00A11869">
            <w:pPr>
              <w:pStyle w:val="ListParagraph"/>
              <w:numPr>
                <w:ilvl w:val="0"/>
                <w:numId w:val="2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T.P. and Kerry, J. 2017. Back-to-back bleaching has now hit two-thirds of the Great Barrier Reef, The Conversation April 12, 2017</w:t>
            </w:r>
          </w:p>
          <w:p w14:paraId="5761E3AE" w14:textId="77777777" w:rsidR="00A56EE9" w:rsidRPr="00E70A11" w:rsidRDefault="00A56EE9" w:rsidP="00BB6AD5">
            <w:pPr>
              <w:pStyle w:val="ListParagraph"/>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AF"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3B0"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BE"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B2"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climate change is demonstrably environmentally sustainable</w:t>
            </w:r>
          </w:p>
        </w:tc>
        <w:tc>
          <w:tcPr>
            <w:tcW w:w="768" w:type="dxa"/>
            <w:tcBorders>
              <w:top w:val="single" w:sz="4" w:space="0" w:color="auto"/>
              <w:left w:val="single" w:sz="4" w:space="0" w:color="auto"/>
              <w:bottom w:val="single" w:sz="4" w:space="0" w:color="auto"/>
              <w:right w:val="single" w:sz="4" w:space="0" w:color="auto"/>
            </w:tcBorders>
            <w:vAlign w:val="center"/>
          </w:tcPr>
          <w:p w14:paraId="5761E3B3"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3B4"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Back-to-back coral bleaching events</w:t>
            </w:r>
          </w:p>
          <w:p w14:paraId="5761E3B5"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Continued frequency of cyclonic weather</w:t>
            </w:r>
          </w:p>
          <w:p w14:paraId="5761E3B6"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Unknown impacts of bleaching on other species and ecosystems within the Reef</w:t>
            </w:r>
          </w:p>
          <w:p w14:paraId="5761E3B7"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Evidence of climate change impacts on other coral reefs worldwide</w:t>
            </w:r>
          </w:p>
        </w:tc>
        <w:tc>
          <w:tcPr>
            <w:tcW w:w="4464" w:type="dxa"/>
            <w:tcBorders>
              <w:top w:val="single" w:sz="4" w:space="0" w:color="auto"/>
              <w:left w:val="single" w:sz="4" w:space="0" w:color="auto"/>
              <w:bottom w:val="single" w:sz="4" w:space="0" w:color="auto"/>
              <w:right w:val="single" w:sz="4" w:space="0" w:color="auto"/>
            </w:tcBorders>
          </w:tcPr>
          <w:p w14:paraId="5761E3B8"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B9"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T.P. and Kerry, J. 2017. Back-to-back bleaching has now hit two-thirds of the Great Barrier Reef, The Conversation April 12, 2017</w:t>
            </w:r>
          </w:p>
          <w:p w14:paraId="5761E3BA"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et al. (2017a) Global warming and recurrent mass bleaching of corals</w:t>
            </w:r>
          </w:p>
          <w:p w14:paraId="5761E3BB"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et al. (2017b) coral reefs in the Anthropocene.</w:t>
            </w:r>
          </w:p>
        </w:tc>
        <w:tc>
          <w:tcPr>
            <w:tcW w:w="968" w:type="dxa"/>
            <w:tcBorders>
              <w:top w:val="single" w:sz="4" w:space="0" w:color="auto"/>
              <w:left w:val="single" w:sz="4" w:space="0" w:color="auto"/>
              <w:bottom w:val="single" w:sz="4" w:space="0" w:color="auto"/>
              <w:right w:val="single" w:sz="4" w:space="0" w:color="auto"/>
            </w:tcBorders>
          </w:tcPr>
          <w:p w14:paraId="5761E3BC" w14:textId="77777777" w:rsidR="00A56EE9" w:rsidRPr="00E70A11" w:rsidRDefault="00A56EE9" w:rsidP="00BB6AD5">
            <w:pPr>
              <w:pStyle w:val="Tablebulletlist"/>
              <w:rPr>
                <w:rStyle w:val="BookTitle"/>
              </w:rPr>
            </w:pPr>
            <w:r w:rsidRPr="00E70A11">
              <w:rPr>
                <w:rStyle w:val="BookTitle"/>
              </w:rPr>
              <w:t>adequate</w:t>
            </w:r>
          </w:p>
        </w:tc>
        <w:tc>
          <w:tcPr>
            <w:tcW w:w="889" w:type="dxa"/>
            <w:tcBorders>
              <w:top w:val="single" w:sz="4" w:space="0" w:color="auto"/>
              <w:left w:val="single" w:sz="4" w:space="0" w:color="auto"/>
              <w:bottom w:val="single" w:sz="4" w:space="0" w:color="auto"/>
              <w:right w:val="single" w:sz="4" w:space="0" w:color="auto"/>
            </w:tcBorders>
          </w:tcPr>
          <w:p w14:paraId="5761E3BD"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CC"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BF"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climate change is demonstrably economically sustainable</w:t>
            </w:r>
          </w:p>
        </w:tc>
        <w:tc>
          <w:tcPr>
            <w:tcW w:w="768" w:type="dxa"/>
            <w:tcBorders>
              <w:top w:val="single" w:sz="4" w:space="0" w:color="auto"/>
              <w:left w:val="single" w:sz="4" w:space="0" w:color="auto"/>
              <w:bottom w:val="single" w:sz="4" w:space="0" w:color="auto"/>
              <w:right w:val="single" w:sz="4" w:space="0" w:color="auto"/>
            </w:tcBorders>
            <w:vAlign w:val="center"/>
          </w:tcPr>
          <w:p w14:paraId="5761E3C0" w14:textId="77777777" w:rsidR="00A56EE9" w:rsidRPr="00E70A11" w:rsidRDefault="00A56EE9" w:rsidP="00BB6AD5">
            <w:pPr>
              <w:pStyle w:val="Tablebulletlist"/>
              <w:jc w:val="center"/>
              <w:rPr>
                <w:rStyle w:val="BookTitle"/>
              </w:rPr>
            </w:pPr>
            <w:r w:rsidRPr="00E70A11">
              <w:rPr>
                <w:rStyle w:val="BookTitle"/>
              </w:rPr>
              <w:t>1</w:t>
            </w:r>
          </w:p>
        </w:tc>
        <w:tc>
          <w:tcPr>
            <w:tcW w:w="4642" w:type="dxa"/>
            <w:tcBorders>
              <w:top w:val="single" w:sz="4" w:space="0" w:color="auto"/>
              <w:left w:val="single" w:sz="4" w:space="0" w:color="auto"/>
              <w:bottom w:val="single" w:sz="4" w:space="0" w:color="auto"/>
              <w:right w:val="single" w:sz="4" w:space="0" w:color="auto"/>
            </w:tcBorders>
          </w:tcPr>
          <w:p w14:paraId="5761E3C1"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Climate change impacts are already having an impact on fisheries and tourism</w:t>
            </w:r>
          </w:p>
          <w:p w14:paraId="5761E3C2"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Continued frequent bleaching events across much of the reef will likely have major social and economic impacts in the region and for Australia</w:t>
            </w:r>
          </w:p>
        </w:tc>
        <w:tc>
          <w:tcPr>
            <w:tcW w:w="4464" w:type="dxa"/>
            <w:tcBorders>
              <w:top w:val="single" w:sz="4" w:space="0" w:color="auto"/>
              <w:left w:val="single" w:sz="4" w:space="0" w:color="auto"/>
              <w:bottom w:val="single" w:sz="4" w:space="0" w:color="auto"/>
              <w:right w:val="single" w:sz="4" w:space="0" w:color="auto"/>
            </w:tcBorders>
          </w:tcPr>
          <w:p w14:paraId="5761E3C3"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1E3C4"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T.P. and Kerry, J. 2017. Back-to-back bleaching has now hit two-thirds of the Great Barrier Reef, The Conversation April 12, 2017</w:t>
            </w:r>
          </w:p>
          <w:p w14:paraId="5761E3C5"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et al. (2017a) Global warming and recurrent mass bleaching of corals</w:t>
            </w:r>
          </w:p>
          <w:p w14:paraId="5761E3C6"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Hughes et al. (2017b) coral reefs in the Anthropocene.</w:t>
            </w:r>
          </w:p>
          <w:p w14:paraId="5761E3C7"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Welch, D.J., Saunders, T., Robins, J., Harry, A., Johnson, J., Maynard, J., Saunders, R., Pecl, G., Sawynok, B. and Tobin, A., 2014. Implications of climate change impacts on fisheries resources of northern Australia. Part 1: Vulnerability assessment and adaptation options.</w:t>
            </w:r>
          </w:p>
          <w:p w14:paraId="5761E3C8"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Assessment of the ecological vulnerability of the East Coast Otter Trawl Fishery to climate change http://hdl.handle.net/11017/522</w:t>
            </w:r>
          </w:p>
          <w:p w14:paraId="5761E3C9" w14:textId="77777777" w:rsidR="00A56EE9" w:rsidRPr="00E70A11" w:rsidRDefault="00A56EE9" w:rsidP="00A11869">
            <w:pPr>
              <w:pStyle w:val="ListParagraph"/>
              <w:numPr>
                <w:ilvl w:val="0"/>
                <w:numId w:val="23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Osborne, K., Thompson, A.A., Cheal, A.J., Emslie, M.J., Johns, K.A., Jonker, M.J., Logan, M., Miller, I.R. and Sweatman, H.P.A. (2017), </w:t>
            </w:r>
            <w:proofErr w:type="gramStart"/>
            <w:r w:rsidRPr="00E70A11">
              <w:rPr>
                <w:rStyle w:val="BookTitle"/>
                <w:rFonts w:ascii="Arial Narrow" w:hAnsi="Arial Narrow"/>
                <w:sz w:val="18"/>
                <w:szCs w:val="18"/>
              </w:rPr>
              <w:t>Delayed</w:t>
            </w:r>
            <w:proofErr w:type="gramEnd"/>
            <w:r w:rsidRPr="00E70A11">
              <w:rPr>
                <w:rStyle w:val="BookTitle"/>
                <w:rFonts w:ascii="Arial Narrow" w:hAnsi="Arial Narrow"/>
                <w:sz w:val="18"/>
                <w:szCs w:val="18"/>
              </w:rPr>
              <w:t xml:space="preserve"> coral recovery in a warming ocean, Global Change Biology doi: 10.1111/gcb.13707.</w:t>
            </w:r>
          </w:p>
        </w:tc>
        <w:tc>
          <w:tcPr>
            <w:tcW w:w="968" w:type="dxa"/>
            <w:tcBorders>
              <w:top w:val="single" w:sz="4" w:space="0" w:color="auto"/>
              <w:left w:val="single" w:sz="4" w:space="0" w:color="auto"/>
              <w:bottom w:val="single" w:sz="4" w:space="0" w:color="auto"/>
              <w:right w:val="single" w:sz="4" w:space="0" w:color="auto"/>
            </w:tcBorders>
          </w:tcPr>
          <w:p w14:paraId="5761E3CA"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3CB"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1E3D3"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CD"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climate change is demonstrably socially sustainable understanding and/or enjoyment</w:t>
            </w:r>
          </w:p>
        </w:tc>
        <w:tc>
          <w:tcPr>
            <w:tcW w:w="768" w:type="dxa"/>
            <w:tcBorders>
              <w:top w:val="single" w:sz="4" w:space="0" w:color="auto"/>
              <w:left w:val="single" w:sz="4" w:space="0" w:color="auto"/>
              <w:bottom w:val="single" w:sz="4" w:space="0" w:color="auto"/>
              <w:right w:val="single" w:sz="4" w:space="0" w:color="auto"/>
            </w:tcBorders>
            <w:vAlign w:val="center"/>
          </w:tcPr>
          <w:p w14:paraId="5761E3CE" w14:textId="77777777" w:rsidR="00A56EE9" w:rsidRPr="00E70A11" w:rsidRDefault="00A56EE9" w:rsidP="00BB6AD5">
            <w:pPr>
              <w:pStyle w:val="Tablebulletlist"/>
              <w:jc w:val="center"/>
              <w:rPr>
                <w:rStyle w:val="BookTitle"/>
              </w:rPr>
            </w:pPr>
            <w:r w:rsidRPr="00E70A11">
              <w:rPr>
                <w:rStyle w:val="BookTitle"/>
              </w:rPr>
              <w:t>N/A</w:t>
            </w:r>
          </w:p>
        </w:tc>
        <w:tc>
          <w:tcPr>
            <w:tcW w:w="4642" w:type="dxa"/>
            <w:tcBorders>
              <w:top w:val="single" w:sz="4" w:space="0" w:color="auto"/>
              <w:left w:val="single" w:sz="4" w:space="0" w:color="auto"/>
              <w:bottom w:val="single" w:sz="4" w:space="0" w:color="auto"/>
              <w:right w:val="single" w:sz="4" w:space="0" w:color="auto"/>
            </w:tcBorders>
          </w:tcPr>
          <w:p w14:paraId="5761E3CF" w14:textId="77777777" w:rsidR="00A56EE9" w:rsidRPr="00E70A11" w:rsidRDefault="00A56EE9" w:rsidP="00BB6AD5">
            <w:pPr>
              <w:pStyle w:val="ListParagraph"/>
              <w:ind w:left="360"/>
              <w:rPr>
                <w:rStyle w:val="BookTitle"/>
                <w:rFonts w:ascii="Arial Narrow" w:hAnsi="Arial Narrow"/>
                <w:sz w:val="18"/>
                <w:szCs w:val="18"/>
              </w:rPr>
            </w:pPr>
          </w:p>
        </w:tc>
        <w:tc>
          <w:tcPr>
            <w:tcW w:w="4464" w:type="dxa"/>
            <w:tcBorders>
              <w:top w:val="single" w:sz="4" w:space="0" w:color="auto"/>
              <w:left w:val="single" w:sz="4" w:space="0" w:color="auto"/>
              <w:bottom w:val="single" w:sz="4" w:space="0" w:color="auto"/>
              <w:right w:val="single" w:sz="4" w:space="0" w:color="auto"/>
            </w:tcBorders>
          </w:tcPr>
          <w:p w14:paraId="5761E3D0" w14:textId="77777777" w:rsidR="00A56EE9" w:rsidRPr="00E70A11" w:rsidRDefault="00A56EE9" w:rsidP="00BB6AD5">
            <w:pPr>
              <w:pStyle w:val="ListParagraph"/>
              <w:ind w:left="360"/>
              <w:rPr>
                <w:rStyle w:val="BookTitle"/>
                <w:rFonts w:ascii="Arial Narrow" w:hAnsi="Arial Narrow"/>
                <w:sz w:val="18"/>
                <w:szCs w:val="18"/>
              </w:rPr>
            </w:pPr>
          </w:p>
        </w:tc>
        <w:tc>
          <w:tcPr>
            <w:tcW w:w="968" w:type="dxa"/>
            <w:tcBorders>
              <w:top w:val="single" w:sz="4" w:space="0" w:color="auto"/>
              <w:left w:val="single" w:sz="4" w:space="0" w:color="auto"/>
              <w:bottom w:val="single" w:sz="4" w:space="0" w:color="auto"/>
              <w:right w:val="single" w:sz="4" w:space="0" w:color="auto"/>
            </w:tcBorders>
          </w:tcPr>
          <w:p w14:paraId="5761E3D1" w14:textId="77777777" w:rsidR="00A56EE9" w:rsidRPr="00E70A11" w:rsidRDefault="00A56EE9" w:rsidP="00BB6AD5">
            <w:pPr>
              <w:pStyle w:val="Tablebulletlist"/>
              <w:rPr>
                <w:rStyle w:val="BookTitle"/>
              </w:rPr>
            </w:pPr>
          </w:p>
        </w:tc>
        <w:tc>
          <w:tcPr>
            <w:tcW w:w="889" w:type="dxa"/>
            <w:tcBorders>
              <w:top w:val="single" w:sz="4" w:space="0" w:color="auto"/>
              <w:left w:val="single" w:sz="4" w:space="0" w:color="auto"/>
              <w:bottom w:val="single" w:sz="4" w:space="0" w:color="auto"/>
              <w:right w:val="single" w:sz="4" w:space="0" w:color="auto"/>
            </w:tcBorders>
          </w:tcPr>
          <w:p w14:paraId="5761E3D2" w14:textId="77777777" w:rsidR="00A56EE9" w:rsidRPr="00E70A11" w:rsidRDefault="00A56EE9" w:rsidP="00BB6AD5">
            <w:pPr>
              <w:pStyle w:val="Tablebulletlist"/>
              <w:rPr>
                <w:rStyle w:val="BookTitle"/>
              </w:rPr>
            </w:pPr>
          </w:p>
        </w:tc>
      </w:tr>
      <w:tr w:rsidR="00A56EE9" w:rsidRPr="00E70A11" w14:paraId="5761E3E1" w14:textId="77777777" w:rsidTr="00BB6AD5">
        <w:trPr>
          <w:trHeight w:val="170"/>
        </w:trPr>
        <w:tc>
          <w:tcPr>
            <w:tcW w:w="2831" w:type="dxa"/>
            <w:tcBorders>
              <w:top w:val="single" w:sz="4" w:space="0" w:color="auto"/>
              <w:left w:val="single" w:sz="4" w:space="0" w:color="auto"/>
              <w:bottom w:val="single" w:sz="4" w:space="0" w:color="auto"/>
              <w:right w:val="single" w:sz="4" w:space="0" w:color="auto"/>
            </w:tcBorders>
          </w:tcPr>
          <w:p w14:paraId="5761E3D4"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climate change </w:t>
            </w:r>
          </w:p>
        </w:tc>
        <w:tc>
          <w:tcPr>
            <w:tcW w:w="768" w:type="dxa"/>
            <w:tcBorders>
              <w:top w:val="single" w:sz="4" w:space="0" w:color="auto"/>
              <w:left w:val="single" w:sz="4" w:space="0" w:color="auto"/>
              <w:bottom w:val="single" w:sz="4" w:space="0" w:color="auto"/>
              <w:right w:val="single" w:sz="4" w:space="0" w:color="auto"/>
            </w:tcBorders>
            <w:vAlign w:val="center"/>
          </w:tcPr>
          <w:p w14:paraId="5761E3D5" w14:textId="77777777" w:rsidR="00A56EE9" w:rsidRPr="00E70A11" w:rsidRDefault="00A56EE9" w:rsidP="00BB6AD5">
            <w:pPr>
              <w:pStyle w:val="Tablebulletlist"/>
              <w:jc w:val="center"/>
              <w:rPr>
                <w:rStyle w:val="BookTitle"/>
              </w:rPr>
            </w:pPr>
            <w:r w:rsidRPr="00E70A11">
              <w:rPr>
                <w:rStyle w:val="BookTitle"/>
              </w:rPr>
              <w:t>2</w:t>
            </w:r>
          </w:p>
        </w:tc>
        <w:tc>
          <w:tcPr>
            <w:tcW w:w="4642" w:type="dxa"/>
            <w:tcBorders>
              <w:top w:val="single" w:sz="4" w:space="0" w:color="auto"/>
              <w:left w:val="single" w:sz="4" w:space="0" w:color="auto"/>
              <w:bottom w:val="single" w:sz="4" w:space="0" w:color="auto"/>
              <w:right w:val="single" w:sz="4" w:space="0" w:color="auto"/>
            </w:tcBorders>
          </w:tcPr>
          <w:p w14:paraId="5761E3D6" w14:textId="77777777" w:rsidR="00A56EE9" w:rsidRPr="00E70A11" w:rsidRDefault="00A56EE9" w:rsidP="00A11869">
            <w:pPr>
              <w:pStyle w:val="ListParagraph"/>
              <w:numPr>
                <w:ilvl w:val="0"/>
                <w:numId w:val="23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Overall ability to engage has decreased since cessation of Great Barrier Reef Climate Change Adaptation Strategy and Action Plan 2012-2017 and the loss of staff in this area</w:t>
            </w:r>
          </w:p>
          <w:p w14:paraId="5761E3D7" w14:textId="77777777" w:rsidR="00A56EE9" w:rsidRPr="00E70A11" w:rsidRDefault="00A56EE9" w:rsidP="00A11869">
            <w:pPr>
              <w:pStyle w:val="ListParagraph"/>
              <w:numPr>
                <w:ilvl w:val="0"/>
                <w:numId w:val="23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Science Teaching Units (available online) specifically focus on this threat through multiple year levels. These education documents are available publically. </w:t>
            </w:r>
          </w:p>
          <w:p w14:paraId="5761E3D8" w14:textId="77777777" w:rsidR="00A56EE9" w:rsidRPr="00E70A11" w:rsidRDefault="00A56EE9" w:rsidP="00A11869">
            <w:pPr>
              <w:pStyle w:val="ListParagraph"/>
              <w:numPr>
                <w:ilvl w:val="0"/>
                <w:numId w:val="23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Annual events such as the Future Leaders Eco Challenge focus on this threat. </w:t>
            </w:r>
          </w:p>
          <w:p w14:paraId="5761E3D9" w14:textId="77777777" w:rsidR="00A56EE9" w:rsidRPr="00E70A11" w:rsidRDefault="00A56EE9" w:rsidP="00A11869">
            <w:pPr>
              <w:pStyle w:val="ListParagraph"/>
              <w:numPr>
                <w:ilvl w:val="0"/>
                <w:numId w:val="23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Reefbeat education series refers to this threat. </w:t>
            </w:r>
          </w:p>
          <w:p w14:paraId="5761E3DA" w14:textId="77777777" w:rsidR="00A56EE9" w:rsidRPr="00E70A11" w:rsidRDefault="00A56EE9" w:rsidP="00A11869">
            <w:pPr>
              <w:pStyle w:val="ListParagraph"/>
              <w:numPr>
                <w:ilvl w:val="0"/>
                <w:numId w:val="234"/>
              </w:numPr>
              <w:spacing w:after="200" w:line="276" w:lineRule="auto"/>
              <w:rPr>
                <w:rStyle w:val="BookTitle"/>
                <w:rFonts w:ascii="Arial Narrow" w:hAnsi="Arial Narrow"/>
                <w:sz w:val="18"/>
                <w:szCs w:val="18"/>
              </w:rPr>
            </w:pPr>
            <w:proofErr w:type="gramStart"/>
            <w:r w:rsidRPr="00E70A11">
              <w:rPr>
                <w:rStyle w:val="BookTitle"/>
                <w:rFonts w:ascii="Arial Narrow" w:hAnsi="Arial Narrow"/>
                <w:sz w:val="18"/>
                <w:szCs w:val="18"/>
              </w:rPr>
              <w:t>Reef Guardian Schools</w:t>
            </w:r>
            <w:proofErr w:type="gramEnd"/>
            <w:r w:rsidRPr="00E70A11">
              <w:rPr>
                <w:rStyle w:val="BookTitle"/>
                <w:rFonts w:ascii="Arial Narrow" w:hAnsi="Arial Narrow"/>
                <w:sz w:val="18"/>
                <w:szCs w:val="18"/>
              </w:rPr>
              <w:t xml:space="preserve"> action plans specify projects in schools in relation to this threat. </w:t>
            </w:r>
          </w:p>
          <w:p w14:paraId="5761E3DB" w14:textId="77777777" w:rsidR="00A56EE9" w:rsidRPr="00E70A11" w:rsidRDefault="00A56EE9" w:rsidP="00A11869">
            <w:pPr>
              <w:pStyle w:val="ListParagraph"/>
              <w:numPr>
                <w:ilvl w:val="0"/>
                <w:numId w:val="23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w:t>
            </w:r>
          </w:p>
        </w:tc>
        <w:tc>
          <w:tcPr>
            <w:tcW w:w="4464" w:type="dxa"/>
            <w:tcBorders>
              <w:top w:val="single" w:sz="4" w:space="0" w:color="auto"/>
              <w:left w:val="single" w:sz="4" w:space="0" w:color="auto"/>
              <w:bottom w:val="single" w:sz="4" w:space="0" w:color="auto"/>
              <w:right w:val="single" w:sz="4" w:space="0" w:color="auto"/>
            </w:tcBorders>
          </w:tcPr>
          <w:p w14:paraId="5761E3DC" w14:textId="77777777" w:rsidR="00A56EE9" w:rsidRPr="00E70A11" w:rsidRDefault="00A56EE9" w:rsidP="00A11869">
            <w:pPr>
              <w:pStyle w:val="ListParagraph"/>
              <w:numPr>
                <w:ilvl w:val="0"/>
                <w:numId w:val="23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Online resources, reporting documents (Reef Guardians)</w:t>
            </w:r>
          </w:p>
          <w:p w14:paraId="5761E3DD" w14:textId="77777777" w:rsidR="00A56EE9" w:rsidRPr="00E70A11" w:rsidRDefault="00A56EE9" w:rsidP="00A11869">
            <w:pPr>
              <w:pStyle w:val="ListParagraph"/>
              <w:numPr>
                <w:ilvl w:val="0"/>
                <w:numId w:val="23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beat education series</w:t>
            </w:r>
          </w:p>
          <w:p w14:paraId="5761E3DE" w14:textId="77777777" w:rsidR="00A56EE9" w:rsidRPr="00E70A11" w:rsidRDefault="00A56EE9" w:rsidP="00A11869">
            <w:pPr>
              <w:pStyle w:val="ListParagraph"/>
              <w:numPr>
                <w:ilvl w:val="0"/>
                <w:numId w:val="23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 Schools</w:t>
            </w:r>
          </w:p>
        </w:tc>
        <w:tc>
          <w:tcPr>
            <w:tcW w:w="968" w:type="dxa"/>
            <w:tcBorders>
              <w:top w:val="single" w:sz="4" w:space="0" w:color="auto"/>
              <w:left w:val="single" w:sz="4" w:space="0" w:color="auto"/>
              <w:bottom w:val="single" w:sz="4" w:space="0" w:color="auto"/>
              <w:right w:val="single" w:sz="4" w:space="0" w:color="auto"/>
            </w:tcBorders>
          </w:tcPr>
          <w:p w14:paraId="5761E3DF" w14:textId="77777777" w:rsidR="00A56EE9" w:rsidRPr="00E70A11" w:rsidRDefault="00A56EE9" w:rsidP="00BB6AD5">
            <w:pPr>
              <w:pStyle w:val="Tablebulletlist"/>
              <w:rPr>
                <w:rStyle w:val="BookTitle"/>
              </w:rPr>
            </w:pPr>
            <w:r w:rsidRPr="00E70A11">
              <w:rPr>
                <w:rStyle w:val="BookTitle"/>
              </w:rPr>
              <w:t>Limited</w:t>
            </w:r>
          </w:p>
        </w:tc>
        <w:tc>
          <w:tcPr>
            <w:tcW w:w="889" w:type="dxa"/>
            <w:tcBorders>
              <w:top w:val="single" w:sz="4" w:space="0" w:color="auto"/>
              <w:left w:val="single" w:sz="4" w:space="0" w:color="auto"/>
              <w:bottom w:val="single" w:sz="4" w:space="0" w:color="auto"/>
              <w:right w:val="single" w:sz="4" w:space="0" w:color="auto"/>
            </w:tcBorders>
          </w:tcPr>
          <w:p w14:paraId="5761E3E0" w14:textId="77777777" w:rsidR="00A56EE9" w:rsidRPr="00E70A11" w:rsidRDefault="00A56EE9" w:rsidP="00BB6AD5">
            <w:pPr>
              <w:pStyle w:val="Tablebulletlist"/>
              <w:rPr>
                <w:rStyle w:val="BookTitle"/>
              </w:rPr>
            </w:pPr>
            <w:r w:rsidRPr="00E70A11">
              <w:rPr>
                <w:rStyle w:val="BookTitle"/>
              </w:rPr>
              <w:t>declining</w:t>
            </w:r>
          </w:p>
        </w:tc>
      </w:tr>
    </w:tbl>
    <w:p w14:paraId="5761E3E2" w14:textId="77777777" w:rsidR="00A56EE9" w:rsidRPr="00E70A11" w:rsidRDefault="00A56EE9" w:rsidP="00BB6AD5">
      <w:pPr>
        <w:rPr>
          <w:rFonts w:ascii="Arial Narrow" w:hAnsi="Arial Narrow"/>
          <w:sz w:val="18"/>
          <w:szCs w:val="18"/>
        </w:rPr>
      </w:pPr>
    </w:p>
    <w:p w14:paraId="5761E3E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br w:type="page"/>
      </w:r>
    </w:p>
    <w:p w14:paraId="5761E3E4" w14:textId="76D00363" w:rsidR="00A56EE9" w:rsidRPr="00E70A11" w:rsidRDefault="00A56EE9" w:rsidP="009C7D6F">
      <w:pPr>
        <w:pStyle w:val="Heading4"/>
      </w:pPr>
      <w:bookmarkStart w:id="178" w:name="_Toc369686743"/>
      <w:bookmarkStart w:id="179" w:name="_Toc519867865"/>
      <w:bookmarkStart w:id="180" w:name="_Toc520127177"/>
      <w:bookmarkStart w:id="181" w:name="_Toc522531119"/>
      <w:bookmarkStart w:id="182" w:name="_Toc522532001"/>
      <w:bookmarkStart w:id="183" w:name="_Toc525654468"/>
      <w:r w:rsidRPr="00E70A11">
        <w:t xml:space="preserve">Table </w:t>
      </w:r>
      <w:r>
        <w:rPr>
          <w:noProof/>
        </w:rPr>
        <w:fldChar w:fldCharType="begin"/>
      </w:r>
      <w:r>
        <w:rPr>
          <w:noProof/>
        </w:rPr>
        <w:instrText xml:space="preserve"> SEQ Table \* ARABIC </w:instrText>
      </w:r>
      <w:r>
        <w:rPr>
          <w:noProof/>
        </w:rPr>
        <w:fldChar w:fldCharType="separate"/>
      </w:r>
      <w:r w:rsidR="00A4170C">
        <w:rPr>
          <w:noProof/>
        </w:rPr>
        <w:t>23</w:t>
      </w:r>
      <w:r>
        <w:rPr>
          <w:noProof/>
        </w:rPr>
        <w:fldChar w:fldCharType="end"/>
      </w:r>
      <w:r w:rsidRPr="00E70A11">
        <w:t xml:space="preserve"> Calculation of grades for coastal development</w:t>
      </w:r>
      <w:bookmarkEnd w:id="178"/>
      <w:bookmarkEnd w:id="179"/>
      <w:bookmarkEnd w:id="180"/>
      <w:bookmarkEnd w:id="181"/>
      <w:bookmarkEnd w:id="182"/>
      <w:bookmarkEnd w:id="18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23 Calculation of grades for coastal development"/>
        <w:tblDescription w:val="Table showing the ratings,  justificaiton and evidence for each of the components for the management effectiveness for coastal development. Confidence in the assessment and trend since Outlook 2014 is also provided."/>
      </w:tblPr>
      <w:tblGrid>
        <w:gridCol w:w="2179"/>
        <w:gridCol w:w="668"/>
        <w:gridCol w:w="5111"/>
        <w:gridCol w:w="4569"/>
        <w:gridCol w:w="974"/>
        <w:gridCol w:w="1061"/>
      </w:tblGrid>
      <w:tr w:rsidR="00A56EE9" w:rsidRPr="00E70A11" w14:paraId="5761E3EB"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3E5" w14:textId="77777777" w:rsidR="00A56EE9" w:rsidRPr="00E70A11" w:rsidRDefault="00A56EE9" w:rsidP="00BB6AD5">
            <w:pPr>
              <w:pStyle w:val="Tablebulletlist"/>
              <w:rPr>
                <w:rStyle w:val="BookTitle"/>
              </w:rPr>
            </w:pPr>
            <w:r w:rsidRPr="00E70A11">
              <w:rPr>
                <w:rStyle w:val="BookTitle"/>
              </w:rPr>
              <w:t>Component of Management</w:t>
            </w:r>
          </w:p>
        </w:tc>
        <w:tc>
          <w:tcPr>
            <w:tcW w:w="668" w:type="dxa"/>
            <w:tcBorders>
              <w:top w:val="single" w:sz="4" w:space="0" w:color="auto"/>
              <w:left w:val="single" w:sz="4" w:space="0" w:color="auto"/>
              <w:bottom w:val="single" w:sz="4" w:space="0" w:color="auto"/>
              <w:right w:val="single" w:sz="4" w:space="0" w:color="auto"/>
            </w:tcBorders>
          </w:tcPr>
          <w:p w14:paraId="5761E3E6" w14:textId="77777777" w:rsidR="00A56EE9" w:rsidRPr="00E70A11" w:rsidRDefault="00A56EE9" w:rsidP="00BB6AD5">
            <w:pPr>
              <w:pStyle w:val="Tablebulletlist"/>
              <w:rPr>
                <w:rStyle w:val="BookTitle"/>
              </w:rPr>
            </w:pPr>
            <w:r w:rsidRPr="00E70A11">
              <w:rPr>
                <w:rStyle w:val="BookTitle"/>
              </w:rPr>
              <w:t>Rating</w:t>
            </w:r>
          </w:p>
        </w:tc>
        <w:tc>
          <w:tcPr>
            <w:tcW w:w="5111" w:type="dxa"/>
            <w:tcBorders>
              <w:top w:val="single" w:sz="4" w:space="0" w:color="auto"/>
              <w:left w:val="single" w:sz="4" w:space="0" w:color="auto"/>
              <w:bottom w:val="single" w:sz="4" w:space="0" w:color="auto"/>
              <w:right w:val="single" w:sz="4" w:space="0" w:color="auto"/>
            </w:tcBorders>
          </w:tcPr>
          <w:p w14:paraId="5761E3E7" w14:textId="77777777" w:rsidR="00A56EE9" w:rsidRPr="00E70A11" w:rsidRDefault="00A56EE9" w:rsidP="00BB6AD5">
            <w:pPr>
              <w:pStyle w:val="Tablebulletlist"/>
              <w:rPr>
                <w:rStyle w:val="BookTitle"/>
              </w:rPr>
            </w:pPr>
            <w:r w:rsidRPr="00E70A11">
              <w:rPr>
                <w:rStyle w:val="BookTitle"/>
              </w:rPr>
              <w:t>Justification</w:t>
            </w:r>
          </w:p>
        </w:tc>
        <w:tc>
          <w:tcPr>
            <w:tcW w:w="4569" w:type="dxa"/>
            <w:tcBorders>
              <w:top w:val="single" w:sz="4" w:space="0" w:color="auto"/>
              <w:left w:val="single" w:sz="4" w:space="0" w:color="auto"/>
              <w:bottom w:val="single" w:sz="4" w:space="0" w:color="auto"/>
              <w:right w:val="single" w:sz="4" w:space="0" w:color="auto"/>
            </w:tcBorders>
          </w:tcPr>
          <w:p w14:paraId="5761E3E8" w14:textId="77777777" w:rsidR="00A56EE9" w:rsidRPr="00E70A11" w:rsidRDefault="00A56EE9" w:rsidP="00BB6AD5">
            <w:pPr>
              <w:pStyle w:val="Tablebulletlist"/>
              <w:rPr>
                <w:rStyle w:val="BookTitle"/>
              </w:rPr>
            </w:pPr>
            <w:r w:rsidRPr="00E70A11">
              <w:rPr>
                <w:rStyle w:val="BookTitle"/>
              </w:rPr>
              <w:t>Evidence/sources</w:t>
            </w:r>
          </w:p>
        </w:tc>
        <w:tc>
          <w:tcPr>
            <w:tcW w:w="974" w:type="dxa"/>
            <w:tcBorders>
              <w:top w:val="single" w:sz="4" w:space="0" w:color="auto"/>
              <w:left w:val="single" w:sz="4" w:space="0" w:color="auto"/>
              <w:bottom w:val="single" w:sz="4" w:space="0" w:color="auto"/>
              <w:right w:val="single" w:sz="4" w:space="0" w:color="auto"/>
            </w:tcBorders>
          </w:tcPr>
          <w:p w14:paraId="5761E3E9" w14:textId="77777777" w:rsidR="00A56EE9" w:rsidRPr="00E70A11" w:rsidRDefault="00A56EE9" w:rsidP="00BB6AD5">
            <w:pPr>
              <w:pStyle w:val="Tablebulletlist"/>
              <w:rPr>
                <w:rStyle w:val="BookTitle"/>
              </w:rPr>
            </w:pPr>
            <w:r w:rsidRPr="00E70A11">
              <w:rPr>
                <w:rStyle w:val="BookTitle"/>
              </w:rPr>
              <w:t>Confidence</w:t>
            </w:r>
          </w:p>
        </w:tc>
        <w:tc>
          <w:tcPr>
            <w:tcW w:w="1061" w:type="dxa"/>
            <w:tcBorders>
              <w:top w:val="single" w:sz="4" w:space="0" w:color="auto"/>
              <w:left w:val="single" w:sz="4" w:space="0" w:color="auto"/>
              <w:bottom w:val="single" w:sz="4" w:space="0" w:color="auto"/>
              <w:right w:val="single" w:sz="4" w:space="0" w:color="auto"/>
            </w:tcBorders>
          </w:tcPr>
          <w:p w14:paraId="5761E3EA"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1E3F2" w14:textId="77777777" w:rsidTr="00BB6AD5">
        <w:trPr>
          <w:trHeight w:val="279"/>
        </w:trPr>
        <w:tc>
          <w:tcPr>
            <w:tcW w:w="2179" w:type="dxa"/>
            <w:tcBorders>
              <w:top w:val="single" w:sz="4" w:space="0" w:color="auto"/>
              <w:left w:val="single" w:sz="4" w:space="0" w:color="auto"/>
              <w:bottom w:val="single" w:sz="4" w:space="0" w:color="auto"/>
              <w:right w:val="single" w:sz="4" w:space="0" w:color="auto"/>
            </w:tcBorders>
            <w:shd w:val="clear" w:color="auto" w:fill="EEECE1"/>
          </w:tcPr>
          <w:p w14:paraId="5761E3EC" w14:textId="77777777" w:rsidR="00A56EE9" w:rsidRPr="00E70A11" w:rsidRDefault="00A56EE9" w:rsidP="00BB6AD5">
            <w:pPr>
              <w:pStyle w:val="Tablebulletlist"/>
              <w:rPr>
                <w:rStyle w:val="BookTitle"/>
              </w:rPr>
            </w:pPr>
            <w:r w:rsidRPr="00E70A11">
              <w:rPr>
                <w:rStyle w:val="BookTitle"/>
              </w:rPr>
              <w:t>CONTEXT</w:t>
            </w:r>
          </w:p>
        </w:tc>
        <w:tc>
          <w:tcPr>
            <w:tcW w:w="668" w:type="dxa"/>
            <w:tcBorders>
              <w:top w:val="single" w:sz="4" w:space="0" w:color="auto"/>
              <w:left w:val="single" w:sz="4" w:space="0" w:color="auto"/>
              <w:bottom w:val="single" w:sz="4" w:space="0" w:color="auto"/>
              <w:right w:val="single" w:sz="4" w:space="0" w:color="auto"/>
            </w:tcBorders>
            <w:shd w:val="clear" w:color="auto" w:fill="EEECE1"/>
          </w:tcPr>
          <w:p w14:paraId="5761E3ED" w14:textId="77777777" w:rsidR="00A56EE9" w:rsidRPr="00E70A11" w:rsidRDefault="00A56EE9" w:rsidP="00BB6AD5">
            <w:pPr>
              <w:pStyle w:val="Tablebulletlist"/>
              <w:rPr>
                <w:rStyle w:val="BookTitle"/>
              </w:rPr>
            </w:pPr>
          </w:p>
        </w:tc>
        <w:tc>
          <w:tcPr>
            <w:tcW w:w="5111" w:type="dxa"/>
            <w:tcBorders>
              <w:top w:val="single" w:sz="4" w:space="0" w:color="auto"/>
              <w:left w:val="single" w:sz="4" w:space="0" w:color="auto"/>
              <w:bottom w:val="single" w:sz="4" w:space="0" w:color="auto"/>
              <w:right w:val="single" w:sz="4" w:space="0" w:color="auto"/>
            </w:tcBorders>
            <w:shd w:val="clear" w:color="auto" w:fill="EEECE1"/>
          </w:tcPr>
          <w:p w14:paraId="5761E3EE" w14:textId="77777777" w:rsidR="00A56EE9" w:rsidRPr="00E70A11" w:rsidRDefault="00A56EE9" w:rsidP="00BB6AD5">
            <w:pPr>
              <w:pStyle w:val="Tablebulletlist"/>
              <w:rPr>
                <w:rStyle w:val="BookTitle"/>
              </w:rPr>
            </w:pPr>
          </w:p>
        </w:tc>
        <w:tc>
          <w:tcPr>
            <w:tcW w:w="4569" w:type="dxa"/>
            <w:tcBorders>
              <w:top w:val="single" w:sz="4" w:space="0" w:color="auto"/>
              <w:left w:val="single" w:sz="4" w:space="0" w:color="auto"/>
              <w:bottom w:val="single" w:sz="4" w:space="0" w:color="auto"/>
              <w:right w:val="single" w:sz="4" w:space="0" w:color="auto"/>
            </w:tcBorders>
            <w:shd w:val="clear" w:color="auto" w:fill="EEECE1"/>
          </w:tcPr>
          <w:p w14:paraId="5761E3EF" w14:textId="77777777" w:rsidR="00A56EE9" w:rsidRPr="00E70A11" w:rsidRDefault="00A56EE9" w:rsidP="00BB6AD5">
            <w:pPr>
              <w:pStyle w:val="Tablebulletlist"/>
              <w:rPr>
                <w:rStyle w:val="BookTitle"/>
              </w:rPr>
            </w:pPr>
          </w:p>
        </w:tc>
        <w:tc>
          <w:tcPr>
            <w:tcW w:w="974" w:type="dxa"/>
            <w:tcBorders>
              <w:top w:val="single" w:sz="4" w:space="0" w:color="auto"/>
              <w:left w:val="single" w:sz="4" w:space="0" w:color="auto"/>
              <w:bottom w:val="single" w:sz="4" w:space="0" w:color="auto"/>
              <w:right w:val="single" w:sz="4" w:space="0" w:color="auto"/>
            </w:tcBorders>
            <w:shd w:val="clear" w:color="auto" w:fill="EEECE1"/>
          </w:tcPr>
          <w:p w14:paraId="5761E3F0"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EECE1"/>
          </w:tcPr>
          <w:p w14:paraId="5761E3F1" w14:textId="77777777" w:rsidR="00A56EE9" w:rsidRPr="00E70A11" w:rsidRDefault="00A56EE9" w:rsidP="00BB6AD5">
            <w:pPr>
              <w:pStyle w:val="Tablebulletlist"/>
              <w:rPr>
                <w:rStyle w:val="BookTitle"/>
              </w:rPr>
            </w:pPr>
          </w:p>
        </w:tc>
      </w:tr>
      <w:tr w:rsidR="00A56EE9" w:rsidRPr="00E70A11" w14:paraId="5761E404"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3F3" w14:textId="77777777" w:rsidR="00A56EE9" w:rsidRPr="00E70A11" w:rsidRDefault="00A56EE9" w:rsidP="00BB6AD5">
            <w:pPr>
              <w:pStyle w:val="Tablebulletlist"/>
              <w:rPr>
                <w:rStyle w:val="BookTitle"/>
              </w:rPr>
            </w:pPr>
            <w:r w:rsidRPr="00E70A11">
              <w:rPr>
                <w:rStyle w:val="BookTitle"/>
              </w:rPr>
              <w:t>CO1</w:t>
            </w:r>
            <w:r>
              <w:rPr>
                <w:rStyle w:val="BookTitle"/>
              </w:rPr>
              <w:t xml:space="preserve"> </w:t>
            </w:r>
            <w:r w:rsidRPr="00E70A11">
              <w:rPr>
                <w:rStyle w:val="BookTitle"/>
              </w:rPr>
              <w:t>The values of the Great Barrier Reef relevant to coastal development are understood by managers</w:t>
            </w:r>
          </w:p>
        </w:tc>
        <w:tc>
          <w:tcPr>
            <w:tcW w:w="668" w:type="dxa"/>
            <w:tcBorders>
              <w:top w:val="single" w:sz="4" w:space="0" w:color="auto"/>
              <w:left w:val="single" w:sz="4" w:space="0" w:color="auto"/>
              <w:bottom w:val="single" w:sz="4" w:space="0" w:color="auto"/>
              <w:right w:val="single" w:sz="4" w:space="0" w:color="auto"/>
            </w:tcBorders>
          </w:tcPr>
          <w:p w14:paraId="5761E3F4"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3F5" w14:textId="77777777" w:rsidR="00A56EE9" w:rsidRPr="00E70A11" w:rsidRDefault="00A56EE9" w:rsidP="00A11869">
            <w:pPr>
              <w:pStyle w:val="ListParagraph"/>
              <w:numPr>
                <w:ilvl w:val="0"/>
                <w:numId w:val="240"/>
              </w:numPr>
              <w:spacing w:after="200" w:line="276" w:lineRule="auto"/>
              <w:rPr>
                <w:rFonts w:ascii="Arial Narrow" w:hAnsi="Arial Narrow"/>
                <w:sz w:val="18"/>
                <w:szCs w:val="18"/>
              </w:rPr>
            </w:pPr>
            <w:r w:rsidRPr="00E70A11">
              <w:rPr>
                <w:rFonts w:ascii="Arial Narrow" w:hAnsi="Arial Narrow"/>
                <w:sz w:val="18"/>
                <w:szCs w:val="18"/>
              </w:rPr>
              <w:t xml:space="preserve">Values of the GBR relevant to coastal development are clearly articulated in the </w:t>
            </w:r>
            <w:r w:rsidRPr="00E70A11">
              <w:rPr>
                <w:rFonts w:ascii="Arial Narrow" w:hAnsi="Arial Narrow"/>
                <w:i/>
                <w:sz w:val="18"/>
                <w:szCs w:val="18"/>
              </w:rPr>
              <w:t xml:space="preserve">Informing the Outlook for Great Barrier Reef coastal ecosystems </w:t>
            </w:r>
            <w:r w:rsidRPr="00E70A11">
              <w:rPr>
                <w:rFonts w:ascii="Arial Narrow" w:hAnsi="Arial Narrow"/>
                <w:sz w:val="18"/>
                <w:szCs w:val="18"/>
              </w:rPr>
              <w:t>document, the Great Barrier Reef Strategic Assessment, and the Scientific Consensus Statement</w:t>
            </w:r>
          </w:p>
          <w:p w14:paraId="5761E3F6" w14:textId="77777777" w:rsidR="00A56EE9" w:rsidRPr="00E70A11" w:rsidRDefault="00A56EE9" w:rsidP="00A11869">
            <w:pPr>
              <w:pStyle w:val="ListParagraph"/>
              <w:numPr>
                <w:ilvl w:val="0"/>
                <w:numId w:val="240"/>
              </w:numPr>
              <w:spacing w:after="200" w:line="276" w:lineRule="auto"/>
              <w:rPr>
                <w:rFonts w:ascii="Arial Narrow" w:hAnsi="Arial Narrow"/>
                <w:sz w:val="18"/>
                <w:szCs w:val="18"/>
                <w:lang w:val="en-US"/>
              </w:rPr>
            </w:pPr>
            <w:r w:rsidRPr="00E70A11">
              <w:rPr>
                <w:rFonts w:ascii="Arial Narrow" w:hAnsi="Arial Narrow"/>
                <w:sz w:val="18"/>
                <w:szCs w:val="18"/>
                <w:lang w:val="en-US"/>
              </w:rPr>
              <w:t>The coastal ecosystem position statement identifies significant environmental values and functions of coastal ecosystems</w:t>
            </w:r>
          </w:p>
          <w:p w14:paraId="5761E3F7" w14:textId="77777777" w:rsidR="00A56EE9" w:rsidRPr="00E70A11" w:rsidRDefault="00A56EE9" w:rsidP="00A11869">
            <w:pPr>
              <w:pStyle w:val="ListParagraph"/>
              <w:numPr>
                <w:ilvl w:val="0"/>
                <w:numId w:val="240"/>
              </w:numPr>
              <w:spacing w:after="200" w:line="276" w:lineRule="auto"/>
              <w:rPr>
                <w:rFonts w:ascii="Arial Narrow" w:hAnsi="Arial Narrow"/>
                <w:sz w:val="18"/>
                <w:szCs w:val="18"/>
                <w:lang w:val="en-US"/>
              </w:rPr>
            </w:pPr>
            <w:r w:rsidRPr="00E70A11">
              <w:rPr>
                <w:rFonts w:ascii="Arial Narrow" w:hAnsi="Arial Narrow"/>
                <w:sz w:val="18"/>
                <w:szCs w:val="18"/>
                <w:lang w:val="en-US"/>
              </w:rPr>
              <w:t xml:space="preserve">The </w:t>
            </w:r>
            <w:hyperlink r:id="rId88" w:history="1">
              <w:r w:rsidRPr="00E70A11">
                <w:rPr>
                  <w:rStyle w:val="Hyperlink"/>
                  <w:rFonts w:ascii="Arial Narrow" w:hAnsi="Arial Narrow"/>
                  <w:sz w:val="18"/>
                  <w:szCs w:val="18"/>
                  <w:lang w:val="en-US"/>
                </w:rPr>
                <w:t>Reef Water Quality Improvement Plan</w:t>
              </w:r>
            </w:hyperlink>
            <w:r w:rsidRPr="00E70A11">
              <w:rPr>
                <w:rFonts w:ascii="Arial Narrow" w:hAnsi="Arial Narrow"/>
                <w:sz w:val="18"/>
                <w:szCs w:val="18"/>
                <w:lang w:val="en-US"/>
              </w:rPr>
              <w:t xml:space="preserve"> and Healthy Waters Management Plans (HWMPs) specified in section 24 of the </w:t>
            </w:r>
            <w:hyperlink r:id="rId89" w:tgtFrame="_blank" w:history="1">
              <w:r w:rsidRPr="00E70A11">
                <w:rPr>
                  <w:rStyle w:val="Hyperlink"/>
                  <w:rFonts w:ascii="Arial Narrow" w:hAnsi="Arial Narrow"/>
                  <w:sz w:val="18"/>
                  <w:szCs w:val="18"/>
                  <w:lang w:val="en-US"/>
                </w:rPr>
                <w:t>Environmental Protection (Water) Policy 2009 (EPP (Water)).</w:t>
              </w:r>
            </w:hyperlink>
          </w:p>
          <w:p w14:paraId="5761E3F8" w14:textId="77777777" w:rsidR="00A56EE9" w:rsidRPr="00E70A11" w:rsidRDefault="00A56EE9" w:rsidP="00A11869">
            <w:pPr>
              <w:pStyle w:val="ListParagraph"/>
              <w:numPr>
                <w:ilvl w:val="0"/>
                <w:numId w:val="240"/>
              </w:numPr>
              <w:spacing w:after="200" w:line="276" w:lineRule="auto"/>
              <w:rPr>
                <w:rFonts w:ascii="Arial Narrow" w:hAnsi="Arial Narrow"/>
                <w:sz w:val="18"/>
                <w:szCs w:val="18"/>
                <w:u w:val="single"/>
              </w:rPr>
            </w:pPr>
            <w:r w:rsidRPr="00E70A11">
              <w:rPr>
                <w:rFonts w:ascii="Arial Narrow" w:hAnsi="Arial Narrow"/>
                <w:sz w:val="18"/>
                <w:szCs w:val="18"/>
              </w:rPr>
              <w:t xml:space="preserve">The </w:t>
            </w:r>
            <w:hyperlink r:id="rId90" w:history="1">
              <w:r w:rsidRPr="00E70A11">
                <w:rPr>
                  <w:rStyle w:val="Hyperlink"/>
                  <w:rFonts w:ascii="Arial Narrow" w:hAnsi="Arial Narrow"/>
                  <w:sz w:val="18"/>
                  <w:szCs w:val="18"/>
                </w:rPr>
                <w:t>2017 Scientific Consensus Statement</w:t>
              </w:r>
            </w:hyperlink>
            <w:r w:rsidRPr="00E70A11">
              <w:rPr>
                <w:rFonts w:ascii="Arial Narrow" w:hAnsi="Arial Narrow"/>
                <w:sz w:val="18"/>
                <w:szCs w:val="18"/>
              </w:rPr>
              <w:t xml:space="preserve"> summarises that poor water quality is continuing to have a detrimental effect on reef health. Chapter 4 assesses the likelihood of exposure to pollutant pressures on floodplains and wetlands</w:t>
            </w:r>
          </w:p>
          <w:p w14:paraId="5761E3F9" w14:textId="77777777" w:rsidR="00A56EE9" w:rsidRPr="00E70A11" w:rsidRDefault="008B5998" w:rsidP="00A11869">
            <w:pPr>
              <w:pStyle w:val="ListParagraph"/>
              <w:numPr>
                <w:ilvl w:val="0"/>
                <w:numId w:val="240"/>
              </w:numPr>
              <w:spacing w:after="200" w:line="276" w:lineRule="auto"/>
              <w:rPr>
                <w:rFonts w:ascii="Arial Narrow" w:hAnsi="Arial Narrow"/>
                <w:sz w:val="18"/>
                <w:szCs w:val="18"/>
              </w:rPr>
            </w:pPr>
            <w:hyperlink r:id="rId91" w:history="1">
              <w:r w:rsidR="00A56EE9" w:rsidRPr="00E70A11">
                <w:rPr>
                  <w:rStyle w:val="Hyperlink"/>
                  <w:rFonts w:ascii="Arial Narrow" w:hAnsi="Arial Narrow"/>
                  <w:sz w:val="18"/>
                  <w:szCs w:val="18"/>
                </w:rPr>
                <w:t>Storymaps by wetlands program</w:t>
              </w:r>
            </w:hyperlink>
            <w:r w:rsidR="00A56EE9" w:rsidRPr="00E70A11">
              <w:rPr>
                <w:rFonts w:ascii="Arial Narrow" w:hAnsi="Arial Narrow"/>
                <w:sz w:val="18"/>
                <w:szCs w:val="18"/>
              </w:rPr>
              <w:t xml:space="preserve"> and NRM groups tell the story of how smaller catchments work</w:t>
            </w:r>
          </w:p>
          <w:p w14:paraId="5761E3FA" w14:textId="77777777" w:rsidR="00A56EE9" w:rsidRPr="00E70A11" w:rsidRDefault="00A56EE9" w:rsidP="00A11869">
            <w:pPr>
              <w:pStyle w:val="ListParagraph"/>
              <w:numPr>
                <w:ilvl w:val="0"/>
                <w:numId w:val="240"/>
              </w:numPr>
              <w:spacing w:after="200" w:line="276" w:lineRule="auto"/>
              <w:rPr>
                <w:rFonts w:ascii="Arial Narrow" w:hAnsi="Arial Narrow"/>
                <w:sz w:val="18"/>
                <w:szCs w:val="18"/>
              </w:rPr>
            </w:pPr>
            <w:r w:rsidRPr="00E70A11">
              <w:rPr>
                <w:rFonts w:ascii="Arial Narrow" w:hAnsi="Arial Narrow"/>
                <w:sz w:val="18"/>
                <w:szCs w:val="18"/>
              </w:rPr>
              <w:t xml:space="preserve">Assessments and prioritisations for waterway barrier removal have been done for many areas for barrier removal including in the </w:t>
            </w:r>
            <w:hyperlink r:id="rId92" w:history="1">
              <w:r w:rsidRPr="00E70A11">
                <w:rPr>
                  <w:rStyle w:val="Hyperlink"/>
                  <w:rFonts w:ascii="Arial Narrow" w:hAnsi="Arial Narrow"/>
                  <w:sz w:val="18"/>
                  <w:szCs w:val="18"/>
                </w:rPr>
                <w:t>Burdekin</w:t>
              </w:r>
            </w:hyperlink>
            <w:r w:rsidRPr="00E70A11">
              <w:rPr>
                <w:rFonts w:ascii="Arial Narrow" w:hAnsi="Arial Narrow"/>
                <w:sz w:val="18"/>
                <w:szCs w:val="18"/>
              </w:rPr>
              <w:t xml:space="preserve"> and </w:t>
            </w:r>
            <w:hyperlink r:id="rId93" w:history="1">
              <w:r w:rsidRPr="00E70A11">
                <w:rPr>
                  <w:rStyle w:val="Hyperlink"/>
                  <w:rFonts w:ascii="Arial Narrow" w:hAnsi="Arial Narrow"/>
                  <w:sz w:val="18"/>
                  <w:szCs w:val="18"/>
                </w:rPr>
                <w:t>Mackay Whitsunday</w:t>
              </w:r>
            </w:hyperlink>
          </w:p>
        </w:tc>
        <w:tc>
          <w:tcPr>
            <w:tcW w:w="4569" w:type="dxa"/>
            <w:tcBorders>
              <w:top w:val="single" w:sz="4" w:space="0" w:color="auto"/>
              <w:left w:val="single" w:sz="4" w:space="0" w:color="auto"/>
              <w:bottom w:val="single" w:sz="4" w:space="0" w:color="auto"/>
              <w:right w:val="single" w:sz="4" w:space="0" w:color="auto"/>
            </w:tcBorders>
          </w:tcPr>
          <w:p w14:paraId="5761E3FB" w14:textId="77777777" w:rsidR="00A56EE9" w:rsidRPr="00E70A11" w:rsidRDefault="008B5998" w:rsidP="00A11869">
            <w:pPr>
              <w:pStyle w:val="ListParagraph"/>
              <w:numPr>
                <w:ilvl w:val="0"/>
                <w:numId w:val="240"/>
              </w:numPr>
              <w:spacing w:after="200" w:line="276" w:lineRule="auto"/>
              <w:rPr>
                <w:rFonts w:ascii="Arial Narrow" w:hAnsi="Arial Narrow"/>
                <w:sz w:val="18"/>
                <w:szCs w:val="18"/>
              </w:rPr>
            </w:pPr>
            <w:hyperlink r:id="rId94" w:history="1">
              <w:r w:rsidR="00A56EE9" w:rsidRPr="00E70A11">
                <w:rPr>
                  <w:rStyle w:val="Hyperlink"/>
                  <w:rFonts w:ascii="Arial Narrow" w:hAnsi="Arial Narrow"/>
                  <w:sz w:val="18"/>
                  <w:szCs w:val="18"/>
                </w:rPr>
                <w:t>Draft Reef 2050 WQIP Report Cards</w:t>
              </w:r>
            </w:hyperlink>
          </w:p>
          <w:p w14:paraId="5761E3FC" w14:textId="77777777" w:rsidR="00A56EE9" w:rsidRPr="00E70A11" w:rsidRDefault="008B5998" w:rsidP="00A11869">
            <w:pPr>
              <w:pStyle w:val="ListParagraph"/>
              <w:numPr>
                <w:ilvl w:val="0"/>
                <w:numId w:val="240"/>
              </w:numPr>
              <w:spacing w:after="200" w:line="276" w:lineRule="auto"/>
              <w:rPr>
                <w:rFonts w:ascii="Arial Narrow" w:hAnsi="Arial Narrow"/>
                <w:sz w:val="18"/>
                <w:szCs w:val="18"/>
              </w:rPr>
            </w:pPr>
            <w:hyperlink r:id="rId95" w:history="1">
              <w:r w:rsidR="00A56EE9" w:rsidRPr="00E70A11">
                <w:rPr>
                  <w:rStyle w:val="Hyperlink"/>
                  <w:rFonts w:ascii="Arial Narrow" w:hAnsi="Arial Narrow"/>
                  <w:sz w:val="18"/>
                  <w:szCs w:val="18"/>
                </w:rPr>
                <w:t>2017 Scientific Consensus Statement</w:t>
              </w:r>
            </w:hyperlink>
          </w:p>
          <w:p w14:paraId="5761E3FD" w14:textId="77777777" w:rsidR="00A56EE9" w:rsidRPr="00E70A11" w:rsidRDefault="008B5998" w:rsidP="00A11869">
            <w:pPr>
              <w:pStyle w:val="ListParagraph"/>
              <w:numPr>
                <w:ilvl w:val="0"/>
                <w:numId w:val="240"/>
              </w:numPr>
              <w:spacing w:after="200" w:line="276" w:lineRule="auto"/>
              <w:rPr>
                <w:rFonts w:ascii="Arial Narrow" w:hAnsi="Arial Narrow"/>
                <w:sz w:val="18"/>
                <w:szCs w:val="18"/>
              </w:rPr>
            </w:pPr>
            <w:hyperlink r:id="rId96" w:history="1">
              <w:r w:rsidR="00A56EE9" w:rsidRPr="00E70A11">
                <w:rPr>
                  <w:rStyle w:val="Hyperlink"/>
                  <w:rFonts w:ascii="Arial Narrow" w:hAnsi="Arial Narrow"/>
                  <w:sz w:val="18"/>
                  <w:szCs w:val="18"/>
                </w:rPr>
                <w:t>Reef 2050 Water Quality Improvement Plan</w:t>
              </w:r>
            </w:hyperlink>
          </w:p>
          <w:p w14:paraId="5761E3FE" w14:textId="77777777" w:rsidR="00A56EE9" w:rsidRPr="00E70A11" w:rsidRDefault="00A56EE9" w:rsidP="00A11869">
            <w:pPr>
              <w:pStyle w:val="ListParagraph"/>
              <w:numPr>
                <w:ilvl w:val="0"/>
                <w:numId w:val="240"/>
              </w:numPr>
              <w:spacing w:after="200" w:line="276" w:lineRule="auto"/>
              <w:rPr>
                <w:rFonts w:ascii="Arial Narrow" w:hAnsi="Arial Narrow"/>
                <w:sz w:val="18"/>
                <w:szCs w:val="18"/>
              </w:rPr>
            </w:pPr>
            <w:r w:rsidRPr="00E70A11">
              <w:rPr>
                <w:rFonts w:ascii="Arial Narrow" w:hAnsi="Arial Narrow"/>
                <w:sz w:val="18"/>
                <w:szCs w:val="18"/>
              </w:rPr>
              <w:t xml:space="preserve">Draft </w:t>
            </w:r>
            <w:hyperlink r:id="rId97" w:history="1">
              <w:r w:rsidRPr="00E70A11">
                <w:rPr>
                  <w:rStyle w:val="Hyperlink"/>
                  <w:rFonts w:ascii="Arial Narrow" w:hAnsi="Arial Narrow"/>
                  <w:sz w:val="18"/>
                  <w:szCs w:val="18"/>
                </w:rPr>
                <w:t>Coastal Ecosystem – position statement</w:t>
              </w:r>
            </w:hyperlink>
            <w:r w:rsidRPr="00E70A11">
              <w:rPr>
                <w:rFonts w:ascii="Arial Narrow" w:hAnsi="Arial Narrow"/>
                <w:sz w:val="18"/>
                <w:szCs w:val="18"/>
              </w:rPr>
              <w:t xml:space="preserve"> public consultation</w:t>
            </w:r>
          </w:p>
          <w:p w14:paraId="5761E3FF" w14:textId="77777777" w:rsidR="00A56EE9" w:rsidRPr="00E70A11" w:rsidRDefault="008B5998" w:rsidP="00A11869">
            <w:pPr>
              <w:pStyle w:val="ListParagraph"/>
              <w:numPr>
                <w:ilvl w:val="0"/>
                <w:numId w:val="240"/>
              </w:numPr>
              <w:spacing w:after="200" w:line="276" w:lineRule="auto"/>
              <w:rPr>
                <w:rFonts w:ascii="Arial Narrow" w:hAnsi="Arial Narrow"/>
                <w:sz w:val="18"/>
                <w:szCs w:val="18"/>
              </w:rPr>
            </w:pPr>
            <w:hyperlink r:id="rId98" w:history="1">
              <w:r w:rsidR="00A56EE9" w:rsidRPr="00E70A11">
                <w:rPr>
                  <w:rStyle w:val="Hyperlink"/>
                  <w:rFonts w:ascii="Arial Narrow" w:hAnsi="Arial Narrow"/>
                  <w:sz w:val="18"/>
                  <w:szCs w:val="18"/>
                </w:rPr>
                <w:t>Storymaps by wetlands program</w:t>
              </w:r>
            </w:hyperlink>
            <w:r w:rsidR="00A56EE9" w:rsidRPr="00E70A11">
              <w:rPr>
                <w:rFonts w:ascii="Arial Narrow" w:hAnsi="Arial Narrow"/>
                <w:sz w:val="18"/>
                <w:szCs w:val="18"/>
              </w:rPr>
              <w:t xml:space="preserve"> and NRM groups tell the story of how smaller catchments work</w:t>
            </w:r>
          </w:p>
          <w:p w14:paraId="5761E400" w14:textId="77777777" w:rsidR="00A56EE9" w:rsidRPr="00E70A11" w:rsidRDefault="00A56EE9" w:rsidP="00A11869">
            <w:pPr>
              <w:pStyle w:val="ListParagraph"/>
              <w:numPr>
                <w:ilvl w:val="0"/>
                <w:numId w:val="240"/>
              </w:numPr>
              <w:spacing w:after="200" w:line="276" w:lineRule="auto"/>
              <w:rPr>
                <w:rFonts w:ascii="Arial Narrow" w:hAnsi="Arial Narrow"/>
                <w:sz w:val="18"/>
                <w:szCs w:val="18"/>
              </w:rPr>
            </w:pPr>
            <w:r w:rsidRPr="00E70A11">
              <w:rPr>
                <w:rFonts w:ascii="Arial Narrow" w:hAnsi="Arial Narrow"/>
                <w:i/>
                <w:sz w:val="18"/>
                <w:szCs w:val="18"/>
                <w:lang w:val="en-US"/>
              </w:rPr>
              <w:t>Informing the Outlook for Great Barrier Reef coastal ecosystems</w:t>
            </w:r>
          </w:p>
          <w:p w14:paraId="5761E401" w14:textId="77777777" w:rsidR="00A56EE9" w:rsidRPr="00E70A11" w:rsidRDefault="00A56EE9" w:rsidP="00BB6AD5">
            <w:pPr>
              <w:pStyle w:val="ListParagraph"/>
              <w:ind w:left="360"/>
              <w:rPr>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402"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E40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411"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05"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to coastal development are known by managers</w:t>
            </w:r>
          </w:p>
        </w:tc>
        <w:tc>
          <w:tcPr>
            <w:tcW w:w="668" w:type="dxa"/>
            <w:tcBorders>
              <w:top w:val="single" w:sz="4" w:space="0" w:color="auto"/>
              <w:left w:val="single" w:sz="4" w:space="0" w:color="auto"/>
              <w:bottom w:val="single" w:sz="4" w:space="0" w:color="auto"/>
              <w:right w:val="single" w:sz="4" w:space="0" w:color="auto"/>
            </w:tcBorders>
          </w:tcPr>
          <w:p w14:paraId="5761E406"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07" w14:textId="77777777" w:rsidR="00A56EE9" w:rsidRPr="00E70A11" w:rsidRDefault="00A56EE9" w:rsidP="00A11869">
            <w:pPr>
              <w:pStyle w:val="ListParagraph"/>
              <w:numPr>
                <w:ilvl w:val="0"/>
                <w:numId w:val="240"/>
              </w:numPr>
              <w:spacing w:after="200" w:line="276" w:lineRule="auto"/>
              <w:rPr>
                <w:rFonts w:ascii="Arial Narrow" w:hAnsi="Arial Narrow"/>
                <w:sz w:val="18"/>
                <w:szCs w:val="18"/>
                <w:lang w:val="en-US"/>
              </w:rPr>
            </w:pPr>
            <w:r w:rsidRPr="00E70A11">
              <w:rPr>
                <w:rFonts w:ascii="Arial Narrow" w:hAnsi="Arial Narrow"/>
                <w:sz w:val="18"/>
                <w:szCs w:val="18"/>
                <w:lang w:val="en-US"/>
              </w:rPr>
              <w:t>The Informing the Outlook for Great Barrier Reef coastal ecosystems is a technical report on the current status of the catchment and the threats it faces.</w:t>
            </w:r>
          </w:p>
          <w:p w14:paraId="5761E408" w14:textId="77777777" w:rsidR="00A56EE9" w:rsidRPr="00E70A11" w:rsidRDefault="00A56EE9" w:rsidP="00A11869">
            <w:pPr>
              <w:pStyle w:val="ListParagraph"/>
              <w:numPr>
                <w:ilvl w:val="0"/>
                <w:numId w:val="240"/>
              </w:numPr>
              <w:spacing w:after="200" w:line="276" w:lineRule="auto"/>
              <w:rPr>
                <w:rFonts w:ascii="Arial Narrow" w:hAnsi="Arial Narrow"/>
                <w:sz w:val="18"/>
                <w:szCs w:val="18"/>
              </w:rPr>
            </w:pPr>
            <w:r w:rsidRPr="00E70A11">
              <w:rPr>
                <w:rFonts w:ascii="Arial Narrow" w:hAnsi="Arial Narrow"/>
                <w:sz w:val="18"/>
                <w:szCs w:val="18"/>
              </w:rPr>
              <w:t>The Scientific Consensus statement also looks at the trends of values associated with coastal ecosystems</w:t>
            </w:r>
          </w:p>
          <w:p w14:paraId="5761E409" w14:textId="77777777" w:rsidR="00A56EE9" w:rsidRPr="00E70A11" w:rsidRDefault="00A56EE9" w:rsidP="00A11869">
            <w:pPr>
              <w:pStyle w:val="ListParagraph"/>
              <w:numPr>
                <w:ilvl w:val="0"/>
                <w:numId w:val="240"/>
              </w:numPr>
              <w:spacing w:after="200" w:line="276" w:lineRule="auto"/>
              <w:rPr>
                <w:rFonts w:ascii="Arial Narrow" w:hAnsi="Arial Narrow"/>
                <w:sz w:val="18"/>
                <w:szCs w:val="18"/>
              </w:rPr>
            </w:pPr>
            <w:r w:rsidRPr="00E70A11">
              <w:rPr>
                <w:rFonts w:ascii="Arial Narrow" w:hAnsi="Arial Narrow"/>
                <w:sz w:val="18"/>
                <w:szCs w:val="18"/>
              </w:rPr>
              <w:t>The Report cards provides data on condition and trend of wetlands</w:t>
            </w:r>
          </w:p>
          <w:p w14:paraId="5761E40A" w14:textId="77777777" w:rsidR="00A56EE9" w:rsidRPr="00E70A11" w:rsidRDefault="00A56EE9" w:rsidP="00A11869">
            <w:pPr>
              <w:pStyle w:val="ListParagraph"/>
              <w:numPr>
                <w:ilvl w:val="0"/>
                <w:numId w:val="240"/>
              </w:numPr>
              <w:spacing w:after="200" w:line="276" w:lineRule="auto"/>
              <w:rPr>
                <w:rFonts w:ascii="Arial Narrow" w:hAnsi="Arial Narrow"/>
                <w:sz w:val="18"/>
                <w:szCs w:val="18"/>
              </w:rPr>
            </w:pPr>
            <w:r w:rsidRPr="00E70A11">
              <w:rPr>
                <w:rFonts w:ascii="Arial Narrow" w:hAnsi="Arial Narrow"/>
                <w:sz w:val="18"/>
                <w:szCs w:val="18"/>
              </w:rPr>
              <w:t>The SLATS report provides data on the rates of clearing.</w:t>
            </w:r>
          </w:p>
        </w:tc>
        <w:tc>
          <w:tcPr>
            <w:tcW w:w="4569" w:type="dxa"/>
            <w:tcBorders>
              <w:top w:val="single" w:sz="4" w:space="0" w:color="auto"/>
              <w:left w:val="single" w:sz="4" w:space="0" w:color="auto"/>
              <w:bottom w:val="single" w:sz="4" w:space="0" w:color="auto"/>
              <w:right w:val="single" w:sz="4" w:space="0" w:color="auto"/>
            </w:tcBorders>
          </w:tcPr>
          <w:p w14:paraId="5761E40B" w14:textId="77777777" w:rsidR="00A56EE9" w:rsidRPr="00E70A11" w:rsidRDefault="008B5998" w:rsidP="00A11869">
            <w:pPr>
              <w:pStyle w:val="ListParagraph"/>
              <w:numPr>
                <w:ilvl w:val="0"/>
                <w:numId w:val="240"/>
              </w:numPr>
              <w:spacing w:after="200" w:line="276" w:lineRule="auto"/>
              <w:rPr>
                <w:rFonts w:ascii="Arial Narrow" w:hAnsi="Arial Narrow"/>
                <w:sz w:val="18"/>
                <w:szCs w:val="18"/>
              </w:rPr>
            </w:pPr>
            <w:hyperlink r:id="rId99" w:history="1">
              <w:r w:rsidR="00A56EE9" w:rsidRPr="00E70A11">
                <w:rPr>
                  <w:rStyle w:val="Hyperlink"/>
                  <w:rFonts w:ascii="Arial Narrow" w:hAnsi="Arial Narrow"/>
                  <w:sz w:val="18"/>
                  <w:szCs w:val="18"/>
                </w:rPr>
                <w:t>Draft Reef 2050 WQIP Report Cards</w:t>
              </w:r>
            </w:hyperlink>
          </w:p>
          <w:p w14:paraId="5761E40C" w14:textId="77777777" w:rsidR="00A56EE9" w:rsidRPr="00E70A11" w:rsidRDefault="008B5998" w:rsidP="00A11869">
            <w:pPr>
              <w:pStyle w:val="ListParagraph"/>
              <w:numPr>
                <w:ilvl w:val="0"/>
                <w:numId w:val="240"/>
              </w:numPr>
              <w:spacing w:after="200" w:line="276" w:lineRule="auto"/>
              <w:rPr>
                <w:rFonts w:ascii="Arial Narrow" w:hAnsi="Arial Narrow"/>
                <w:sz w:val="18"/>
                <w:szCs w:val="18"/>
              </w:rPr>
            </w:pPr>
            <w:hyperlink r:id="rId100" w:history="1">
              <w:r w:rsidR="00A56EE9" w:rsidRPr="00E70A11">
                <w:rPr>
                  <w:rStyle w:val="Hyperlink"/>
                  <w:rFonts w:ascii="Arial Narrow" w:hAnsi="Arial Narrow"/>
                  <w:sz w:val="18"/>
                  <w:szCs w:val="18"/>
                </w:rPr>
                <w:t>2017 Scientific Consensus Statement</w:t>
              </w:r>
            </w:hyperlink>
          </w:p>
          <w:p w14:paraId="5761E40D" w14:textId="77777777" w:rsidR="00A56EE9" w:rsidRPr="00E70A11" w:rsidRDefault="008B5998" w:rsidP="00A11869">
            <w:pPr>
              <w:pStyle w:val="ListParagraph"/>
              <w:numPr>
                <w:ilvl w:val="0"/>
                <w:numId w:val="240"/>
              </w:numPr>
              <w:spacing w:after="200" w:line="276" w:lineRule="auto"/>
              <w:rPr>
                <w:rFonts w:ascii="Arial Narrow" w:hAnsi="Arial Narrow"/>
                <w:sz w:val="18"/>
                <w:szCs w:val="18"/>
              </w:rPr>
            </w:pPr>
            <w:hyperlink r:id="rId101" w:history="1">
              <w:r w:rsidR="00A56EE9" w:rsidRPr="00E70A11">
                <w:rPr>
                  <w:rStyle w:val="Hyperlink"/>
                  <w:rFonts w:ascii="Arial Narrow" w:hAnsi="Arial Narrow"/>
                  <w:sz w:val="18"/>
                  <w:szCs w:val="18"/>
                </w:rPr>
                <w:t>Reef Water Quality Improvement Plan</w:t>
              </w:r>
            </w:hyperlink>
          </w:p>
          <w:p w14:paraId="5761E40E" w14:textId="77777777" w:rsidR="00A56EE9" w:rsidRPr="00E70A11" w:rsidRDefault="00A56EE9" w:rsidP="00A11869">
            <w:pPr>
              <w:pStyle w:val="ListParagraph"/>
              <w:numPr>
                <w:ilvl w:val="0"/>
                <w:numId w:val="240"/>
              </w:numPr>
              <w:spacing w:after="200" w:line="276" w:lineRule="auto"/>
              <w:rPr>
                <w:rFonts w:ascii="Arial Narrow" w:hAnsi="Arial Narrow"/>
                <w:sz w:val="18"/>
                <w:szCs w:val="18"/>
              </w:rPr>
            </w:pPr>
            <w:r w:rsidRPr="00E70A11">
              <w:rPr>
                <w:rFonts w:ascii="Arial Narrow" w:hAnsi="Arial Narrow"/>
                <w:sz w:val="18"/>
                <w:szCs w:val="18"/>
              </w:rPr>
              <w:t xml:space="preserve">Queensland Department of Science, Information Technology and Innovation. 2017. </w:t>
            </w:r>
            <w:hyperlink r:id="rId102" w:history="1">
              <w:r w:rsidRPr="00E70A11">
                <w:rPr>
                  <w:rStyle w:val="Hyperlink"/>
                  <w:rFonts w:ascii="Arial Narrow" w:hAnsi="Arial Narrow"/>
                  <w:sz w:val="18"/>
                  <w:szCs w:val="18"/>
                </w:rPr>
                <w:t>Land cover change in Queensland 2015–16: a Statewide Landcover and Trees Study (SLATS) report</w:t>
              </w:r>
            </w:hyperlink>
            <w:r w:rsidRPr="00E70A11">
              <w:rPr>
                <w:rFonts w:ascii="Arial Narrow" w:hAnsi="Arial Narrow"/>
                <w:sz w:val="18"/>
                <w:szCs w:val="18"/>
              </w:rPr>
              <w:t>. DSITI, Brisbane.</w:t>
            </w:r>
          </w:p>
        </w:tc>
        <w:tc>
          <w:tcPr>
            <w:tcW w:w="974" w:type="dxa"/>
            <w:tcBorders>
              <w:top w:val="single" w:sz="4" w:space="0" w:color="auto"/>
              <w:left w:val="single" w:sz="4" w:space="0" w:color="auto"/>
              <w:bottom w:val="single" w:sz="4" w:space="0" w:color="auto"/>
              <w:right w:val="single" w:sz="4" w:space="0" w:color="auto"/>
            </w:tcBorders>
          </w:tcPr>
          <w:p w14:paraId="5761E40F"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10"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41E"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12"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Impacts (direct, indirect and cumulative) associated with coastal development are understood by managers.</w:t>
            </w:r>
          </w:p>
        </w:tc>
        <w:tc>
          <w:tcPr>
            <w:tcW w:w="668" w:type="dxa"/>
            <w:tcBorders>
              <w:top w:val="single" w:sz="4" w:space="0" w:color="auto"/>
              <w:left w:val="single" w:sz="4" w:space="0" w:color="auto"/>
              <w:bottom w:val="single" w:sz="4" w:space="0" w:color="auto"/>
              <w:right w:val="single" w:sz="4" w:space="0" w:color="auto"/>
            </w:tcBorders>
          </w:tcPr>
          <w:p w14:paraId="5761E413"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14" w14:textId="77777777" w:rsidR="00A56EE9" w:rsidRPr="00E70A11" w:rsidRDefault="00A56EE9" w:rsidP="00A11869">
            <w:pPr>
              <w:pStyle w:val="ListParagraph"/>
              <w:numPr>
                <w:ilvl w:val="0"/>
                <w:numId w:val="239"/>
              </w:numPr>
              <w:spacing w:after="200" w:line="276" w:lineRule="auto"/>
              <w:rPr>
                <w:rFonts w:ascii="Arial Narrow" w:hAnsi="Arial Narrow"/>
                <w:sz w:val="18"/>
                <w:szCs w:val="18"/>
                <w:lang w:val="en-US"/>
              </w:rPr>
            </w:pPr>
            <w:r w:rsidRPr="00E70A11">
              <w:rPr>
                <w:rFonts w:ascii="Arial Narrow" w:hAnsi="Arial Narrow"/>
                <w:sz w:val="18"/>
                <w:szCs w:val="18"/>
                <w:lang w:val="en-US"/>
              </w:rPr>
              <w:t xml:space="preserve">Cumulative impacts are not well understood, but are considered in depth in the </w:t>
            </w:r>
            <w:r w:rsidRPr="00E70A11">
              <w:rPr>
                <w:rFonts w:ascii="Arial Narrow" w:hAnsi="Arial Narrow"/>
                <w:i/>
                <w:sz w:val="18"/>
                <w:szCs w:val="18"/>
                <w:lang w:val="en-US"/>
              </w:rPr>
              <w:t>Informing the Outlook for Great Barrier Reef coastal ecosystems</w:t>
            </w:r>
            <w:r w:rsidRPr="00E70A11">
              <w:rPr>
                <w:rFonts w:ascii="Arial Narrow" w:hAnsi="Arial Narrow"/>
                <w:b/>
                <w:i/>
                <w:sz w:val="18"/>
                <w:szCs w:val="18"/>
                <w:lang w:val="en-US"/>
              </w:rPr>
              <w:t xml:space="preserve"> </w:t>
            </w:r>
            <w:r w:rsidRPr="00E70A11">
              <w:rPr>
                <w:rFonts w:ascii="Arial Narrow" w:hAnsi="Arial Narrow"/>
                <w:sz w:val="18"/>
                <w:szCs w:val="18"/>
                <w:lang w:val="en-US"/>
              </w:rPr>
              <w:t xml:space="preserve">document </w:t>
            </w:r>
          </w:p>
          <w:p w14:paraId="5761E415" w14:textId="77777777" w:rsidR="00A56EE9" w:rsidRPr="00E70A11" w:rsidRDefault="00A56EE9" w:rsidP="00A11869">
            <w:pPr>
              <w:pStyle w:val="ListParagraph"/>
              <w:numPr>
                <w:ilvl w:val="0"/>
                <w:numId w:val="239"/>
              </w:numPr>
              <w:spacing w:after="200" w:line="276" w:lineRule="auto"/>
              <w:rPr>
                <w:rFonts w:ascii="Arial Narrow" w:hAnsi="Arial Narrow"/>
                <w:sz w:val="18"/>
                <w:szCs w:val="18"/>
                <w:lang w:val="en-US"/>
              </w:rPr>
            </w:pPr>
            <w:r w:rsidRPr="00E70A11">
              <w:rPr>
                <w:rFonts w:ascii="Arial Narrow" w:hAnsi="Arial Narrow"/>
                <w:sz w:val="18"/>
                <w:szCs w:val="18"/>
                <w:lang w:val="en-US"/>
              </w:rPr>
              <w:t>Vulnerability assessments have also been developed for at-risk coastal ecosystems to identify priority areas and ways to reduce threats.</w:t>
            </w:r>
          </w:p>
          <w:p w14:paraId="5761E416"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 xml:space="preserve">The </w:t>
            </w:r>
            <w:hyperlink r:id="rId103" w:history="1">
              <w:r w:rsidRPr="00E70A11">
                <w:rPr>
                  <w:rStyle w:val="Hyperlink"/>
                  <w:rFonts w:ascii="Arial Narrow" w:hAnsi="Arial Narrow"/>
                  <w:sz w:val="18"/>
                  <w:szCs w:val="18"/>
                </w:rPr>
                <w:t>coastal ecosystem position statement</w:t>
              </w:r>
            </w:hyperlink>
            <w:r w:rsidRPr="00E70A11">
              <w:rPr>
                <w:rFonts w:ascii="Arial Narrow" w:hAnsi="Arial Narrow"/>
                <w:sz w:val="18"/>
                <w:szCs w:val="18"/>
              </w:rPr>
              <w:t xml:space="preserve"> outlines the impacts coastal development has had on coastal ecosystems and provides guidelines for managing and restoring them.</w:t>
            </w:r>
          </w:p>
          <w:p w14:paraId="5761E417" w14:textId="77777777" w:rsidR="00A56EE9" w:rsidRPr="00E70A11" w:rsidRDefault="00A56EE9" w:rsidP="00A11869">
            <w:pPr>
              <w:pStyle w:val="ListParagraph"/>
              <w:numPr>
                <w:ilvl w:val="0"/>
                <w:numId w:val="239"/>
              </w:numPr>
              <w:spacing w:after="200" w:line="276" w:lineRule="auto"/>
              <w:rPr>
                <w:rFonts w:ascii="Arial Narrow" w:hAnsi="Arial Narrow"/>
                <w:sz w:val="18"/>
                <w:szCs w:val="18"/>
                <w:u w:val="single"/>
              </w:rPr>
            </w:pPr>
            <w:r w:rsidRPr="00E70A11">
              <w:rPr>
                <w:rFonts w:ascii="Arial Narrow" w:hAnsi="Arial Narrow"/>
                <w:sz w:val="18"/>
                <w:szCs w:val="18"/>
              </w:rPr>
              <w:t xml:space="preserve">The </w:t>
            </w:r>
            <w:hyperlink r:id="rId104" w:history="1">
              <w:r w:rsidRPr="00E70A11">
                <w:rPr>
                  <w:rStyle w:val="Hyperlink"/>
                  <w:rFonts w:ascii="Arial Narrow" w:hAnsi="Arial Narrow"/>
                  <w:sz w:val="18"/>
                  <w:szCs w:val="18"/>
                </w:rPr>
                <w:t>2017 Scientific Consensus Statement</w:t>
              </w:r>
            </w:hyperlink>
            <w:r w:rsidRPr="00E70A11">
              <w:rPr>
                <w:rFonts w:ascii="Arial Narrow" w:hAnsi="Arial Narrow"/>
                <w:sz w:val="18"/>
                <w:szCs w:val="18"/>
              </w:rPr>
              <w:t xml:space="preserve"> is a synthesis of current knowledge pertaining to the water quality issues (including coastal development) in the Great Barrier Reef to inform a common understanding amongst managers of key ecosystems, associated values, condition, risks and status of efforts to protect values impacted by water quality.</w:t>
            </w:r>
          </w:p>
        </w:tc>
        <w:tc>
          <w:tcPr>
            <w:tcW w:w="4569" w:type="dxa"/>
            <w:tcBorders>
              <w:top w:val="single" w:sz="4" w:space="0" w:color="auto"/>
              <w:left w:val="single" w:sz="4" w:space="0" w:color="auto"/>
              <w:bottom w:val="single" w:sz="4" w:space="0" w:color="auto"/>
              <w:right w:val="single" w:sz="4" w:space="0" w:color="auto"/>
            </w:tcBorders>
          </w:tcPr>
          <w:p w14:paraId="5761E418" w14:textId="77777777" w:rsidR="00A56EE9" w:rsidRPr="00E70A11" w:rsidRDefault="00A56EE9" w:rsidP="00A11869">
            <w:pPr>
              <w:pStyle w:val="ListParagraph"/>
              <w:numPr>
                <w:ilvl w:val="0"/>
                <w:numId w:val="239"/>
              </w:numPr>
              <w:spacing w:after="200" w:line="276" w:lineRule="auto"/>
              <w:rPr>
                <w:rFonts w:ascii="Arial Narrow" w:hAnsi="Arial Narrow"/>
                <w:b/>
                <w:i/>
                <w:sz w:val="18"/>
                <w:szCs w:val="18"/>
                <w:u w:val="single"/>
              </w:rPr>
            </w:pPr>
            <w:r w:rsidRPr="00E70A11">
              <w:rPr>
                <w:rFonts w:ascii="Arial Narrow" w:hAnsi="Arial Narrow"/>
                <w:sz w:val="18"/>
                <w:szCs w:val="18"/>
              </w:rPr>
              <w:t>The Coastal Ecosystems Assessment Framework</w:t>
            </w:r>
          </w:p>
          <w:p w14:paraId="5761E419" w14:textId="34A0ED17" w:rsidR="00A56EE9" w:rsidRPr="00E70A11" w:rsidRDefault="008B5998" w:rsidP="00A11869">
            <w:pPr>
              <w:pStyle w:val="ListParagraph"/>
              <w:numPr>
                <w:ilvl w:val="0"/>
                <w:numId w:val="239"/>
              </w:numPr>
              <w:spacing w:after="200" w:line="276" w:lineRule="auto"/>
              <w:rPr>
                <w:rFonts w:ascii="Arial Narrow" w:hAnsi="Arial Narrow"/>
                <w:sz w:val="18"/>
                <w:szCs w:val="18"/>
              </w:rPr>
            </w:pPr>
            <w:hyperlink r:id="rId105" w:tooltip="document link" w:history="1">
              <w:r w:rsidR="00A56EE9" w:rsidRPr="00E70A11">
                <w:rPr>
                  <w:rFonts w:ascii="Arial Narrow" w:hAnsi="Arial Narrow"/>
                  <w:sz w:val="18"/>
                  <w:szCs w:val="18"/>
                </w:rPr>
                <w:t>http://www.gbrmpa.gov.au/__data/assets/pdf_file/0003/28254/Coastal-Ecosystems-Assessment-Framework.pdf</w:t>
              </w:r>
            </w:hyperlink>
            <w:r w:rsidR="00A56EE9" w:rsidRPr="00E70A11">
              <w:rPr>
                <w:rFonts w:ascii="Arial Narrow" w:hAnsi="Arial Narrow"/>
                <w:sz w:val="18"/>
                <w:szCs w:val="18"/>
              </w:rPr>
              <w:t xml:space="preserve"> </w:t>
            </w:r>
          </w:p>
          <w:p w14:paraId="5761E41A"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Informing the Outlook for Great Barrier Reef coastal ecosystems</w:t>
            </w:r>
          </w:p>
          <w:p w14:paraId="5761E41B" w14:textId="77777777" w:rsidR="00A56EE9" w:rsidRPr="00E70A11" w:rsidRDefault="00A56EE9" w:rsidP="00BB6AD5">
            <w:pPr>
              <w:pStyle w:val="ListParagraph"/>
              <w:rPr>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41C"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1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42C"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1F"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coastal development are understood by managers.</w:t>
            </w:r>
          </w:p>
        </w:tc>
        <w:tc>
          <w:tcPr>
            <w:tcW w:w="668" w:type="dxa"/>
            <w:tcBorders>
              <w:top w:val="single" w:sz="4" w:space="0" w:color="auto"/>
              <w:left w:val="single" w:sz="4" w:space="0" w:color="auto"/>
              <w:bottom w:val="single" w:sz="4" w:space="0" w:color="auto"/>
              <w:right w:val="single" w:sz="4" w:space="0" w:color="auto"/>
            </w:tcBorders>
          </w:tcPr>
          <w:p w14:paraId="5761E420" w14:textId="77777777" w:rsidR="00A56EE9" w:rsidRPr="00E70A11" w:rsidRDefault="00A56EE9" w:rsidP="00BB6AD5">
            <w:pPr>
              <w:pStyle w:val="Tablebulletlist"/>
              <w:rPr>
                <w:rStyle w:val="BookTitle"/>
              </w:rPr>
            </w:pPr>
            <w:r w:rsidRPr="00E70A11">
              <w:rPr>
                <w:rStyle w:val="BookTitle"/>
              </w:rPr>
              <w:t>4</w:t>
            </w:r>
          </w:p>
        </w:tc>
        <w:tc>
          <w:tcPr>
            <w:tcW w:w="5111" w:type="dxa"/>
            <w:tcBorders>
              <w:top w:val="single" w:sz="4" w:space="0" w:color="auto"/>
              <w:left w:val="single" w:sz="4" w:space="0" w:color="auto"/>
              <w:bottom w:val="single" w:sz="4" w:space="0" w:color="auto"/>
              <w:right w:val="single" w:sz="4" w:space="0" w:color="auto"/>
            </w:tcBorders>
          </w:tcPr>
          <w:p w14:paraId="5761E421" w14:textId="77777777" w:rsidR="00A56EE9" w:rsidRPr="00E70A11" w:rsidRDefault="00A56EE9" w:rsidP="00A11869">
            <w:pPr>
              <w:pStyle w:val="ListParagraph"/>
              <w:numPr>
                <w:ilvl w:val="0"/>
                <w:numId w:val="239"/>
              </w:numPr>
              <w:spacing w:after="200" w:line="276" w:lineRule="auto"/>
              <w:rPr>
                <w:rFonts w:ascii="Arial Narrow" w:hAnsi="Arial Narrow"/>
                <w:sz w:val="18"/>
                <w:szCs w:val="18"/>
                <w:lang w:val="en-US"/>
              </w:rPr>
            </w:pPr>
            <w:r w:rsidRPr="00E70A11">
              <w:rPr>
                <w:rFonts w:ascii="Arial Narrow" w:hAnsi="Arial Narrow"/>
                <w:sz w:val="18"/>
                <w:szCs w:val="18"/>
                <w:lang w:val="en-US"/>
              </w:rPr>
              <w:t>The State Party report to World Heritage Committee reflects thorough understanding of national and international influences</w:t>
            </w:r>
          </w:p>
          <w:p w14:paraId="5761E422"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There are a range of conventions, partnerships, agreements, legislation and strategies that relate to the protection and management of waterbirds and their habitats, such as</w:t>
            </w:r>
            <w:r>
              <w:rPr>
                <w:rFonts w:ascii="Arial Narrow" w:hAnsi="Arial Narrow"/>
                <w:sz w:val="18"/>
                <w:szCs w:val="18"/>
              </w:rPr>
              <w:t xml:space="preserve"> </w:t>
            </w:r>
            <w:r w:rsidRPr="00E70A11">
              <w:rPr>
                <w:rFonts w:ascii="Arial Narrow" w:hAnsi="Arial Narrow"/>
                <w:sz w:val="18"/>
                <w:szCs w:val="18"/>
                <w:lang w:val="en-US"/>
              </w:rPr>
              <w:t>Bonn, JAMBA, CAMBA., RAMSAR</w:t>
            </w:r>
          </w:p>
          <w:p w14:paraId="5761E423" w14:textId="77777777" w:rsidR="00A56EE9" w:rsidRPr="00E70A11" w:rsidRDefault="00A56EE9" w:rsidP="00BB6AD5">
            <w:pPr>
              <w:pStyle w:val="ListParagraph"/>
              <w:ind w:left="360"/>
              <w:rPr>
                <w:rFonts w:ascii="Arial Narrow" w:hAnsi="Arial Narrow"/>
                <w:sz w:val="18"/>
                <w:szCs w:val="18"/>
              </w:rPr>
            </w:pPr>
          </w:p>
        </w:tc>
        <w:tc>
          <w:tcPr>
            <w:tcW w:w="4569" w:type="dxa"/>
            <w:tcBorders>
              <w:top w:val="single" w:sz="4" w:space="0" w:color="auto"/>
              <w:left w:val="single" w:sz="4" w:space="0" w:color="auto"/>
              <w:bottom w:val="single" w:sz="4" w:space="0" w:color="auto"/>
              <w:right w:val="single" w:sz="4" w:space="0" w:color="auto"/>
            </w:tcBorders>
          </w:tcPr>
          <w:p w14:paraId="5761E424"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lang w:val="en-US"/>
              </w:rPr>
              <w:t>The State Party report to World Heritage Committee http://www.environment.gov.au/system/files/resources/dc76d91a-938d-4b4a-86d7-78bdc90f3a41/files/gbr-state-party-report-2014-hi.pdf</w:t>
            </w:r>
          </w:p>
          <w:p w14:paraId="5761E425"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bCs/>
                <w:sz w:val="18"/>
                <w:szCs w:val="18"/>
              </w:rPr>
              <w:t>Agreement between the Government of Australia and the Government of Japan for the Protection of Migratory Birds in Danger of Extinction and their Environment</w:t>
            </w:r>
          </w:p>
          <w:p w14:paraId="5761E426" w14:textId="2A16549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 xml:space="preserve"> </w:t>
            </w:r>
            <w:hyperlink r:id="rId106" w:tooltip="document link" w:history="1">
              <w:r w:rsidRPr="00E70A11">
                <w:rPr>
                  <w:rStyle w:val="Hyperlink"/>
                  <w:rFonts w:ascii="Arial Narrow" w:hAnsi="Arial Narrow"/>
                  <w:sz w:val="18"/>
                  <w:szCs w:val="18"/>
                </w:rPr>
                <w:t>http://www.austlii.edu.au/au/other/dfat/treaties/1981/6.html</w:t>
              </w:r>
            </w:hyperlink>
          </w:p>
          <w:p w14:paraId="5761E427"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bCs/>
                <w:sz w:val="18"/>
                <w:szCs w:val="18"/>
              </w:rPr>
              <w:t>Agreement between the Government of Australia and the Government of the People's Republic of China for the Protection of Migratory Birds and their Environment</w:t>
            </w:r>
          </w:p>
          <w:p w14:paraId="5761E428" w14:textId="29FE9B8F" w:rsidR="00A56EE9" w:rsidRPr="00E70A11" w:rsidRDefault="008B5998" w:rsidP="00A11869">
            <w:pPr>
              <w:pStyle w:val="ListParagraph"/>
              <w:numPr>
                <w:ilvl w:val="0"/>
                <w:numId w:val="239"/>
              </w:numPr>
              <w:spacing w:after="200" w:line="276" w:lineRule="auto"/>
              <w:rPr>
                <w:rFonts w:ascii="Arial Narrow" w:hAnsi="Arial Narrow"/>
                <w:sz w:val="18"/>
                <w:szCs w:val="18"/>
              </w:rPr>
            </w:pPr>
            <w:hyperlink r:id="rId107" w:tooltip="document link" w:history="1">
              <w:r w:rsidR="00A56EE9" w:rsidRPr="00E70A11">
                <w:rPr>
                  <w:rStyle w:val="Hyperlink"/>
                  <w:rFonts w:ascii="Arial Narrow" w:hAnsi="Arial Narrow"/>
                  <w:sz w:val="18"/>
                  <w:szCs w:val="18"/>
                </w:rPr>
                <w:t>http://www.environment.gov.au/water/wetlands/ramsar</w:t>
              </w:r>
            </w:hyperlink>
          </w:p>
          <w:p w14:paraId="5761E429"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Convention on the Conservation of Migratory Species of Wild Animals</w:t>
            </w:r>
          </w:p>
        </w:tc>
        <w:tc>
          <w:tcPr>
            <w:tcW w:w="974" w:type="dxa"/>
            <w:tcBorders>
              <w:top w:val="single" w:sz="4" w:space="0" w:color="auto"/>
              <w:left w:val="single" w:sz="4" w:space="0" w:color="auto"/>
              <w:bottom w:val="single" w:sz="4" w:space="0" w:color="auto"/>
              <w:right w:val="single" w:sz="4" w:space="0" w:color="auto"/>
            </w:tcBorders>
          </w:tcPr>
          <w:p w14:paraId="5761E42A"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2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449"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2D"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coastal development are well known by managers.</w:t>
            </w:r>
          </w:p>
        </w:tc>
        <w:tc>
          <w:tcPr>
            <w:tcW w:w="668" w:type="dxa"/>
            <w:tcBorders>
              <w:top w:val="single" w:sz="4" w:space="0" w:color="auto"/>
              <w:left w:val="single" w:sz="4" w:space="0" w:color="auto"/>
              <w:bottom w:val="single" w:sz="4" w:space="0" w:color="auto"/>
              <w:right w:val="single" w:sz="4" w:space="0" w:color="auto"/>
            </w:tcBorders>
          </w:tcPr>
          <w:p w14:paraId="5761E42E" w14:textId="77777777" w:rsidR="00A56EE9" w:rsidRPr="00E70A11" w:rsidRDefault="00A56EE9" w:rsidP="00BB6AD5">
            <w:pPr>
              <w:pStyle w:val="Tablebulletlist"/>
              <w:rPr>
                <w:rStyle w:val="BookTitle"/>
              </w:rPr>
            </w:pPr>
            <w:r w:rsidRPr="00E70A11">
              <w:rPr>
                <w:rStyle w:val="BookTitle"/>
              </w:rPr>
              <w:t>4</w:t>
            </w:r>
          </w:p>
        </w:tc>
        <w:tc>
          <w:tcPr>
            <w:tcW w:w="5111" w:type="dxa"/>
            <w:tcBorders>
              <w:top w:val="single" w:sz="4" w:space="0" w:color="auto"/>
              <w:left w:val="single" w:sz="4" w:space="0" w:color="auto"/>
              <w:bottom w:val="single" w:sz="4" w:space="0" w:color="auto"/>
              <w:right w:val="single" w:sz="4" w:space="0" w:color="auto"/>
            </w:tcBorders>
          </w:tcPr>
          <w:p w14:paraId="5761E42F"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The Reef 2050 Advisory Committee meets regularly to provide strategic advice on the implementation of Reef 2050 actions, stakeholder priorities, and highlight any emerging cross sectoral issues that need to be addressed.</w:t>
            </w:r>
          </w:p>
          <w:p w14:paraId="5761E430"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Local Marine Advisory Committees provide contact with stakeholder groups at regional level</w:t>
            </w:r>
          </w:p>
          <w:p w14:paraId="5761E431"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Extensive ongoing engagement with industry (fisheries, defence, tourism, etc)</w:t>
            </w:r>
          </w:p>
          <w:p w14:paraId="5761E432"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Reef Guardian Schools</w:t>
            </w:r>
          </w:p>
          <w:p w14:paraId="5761E433"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Reef Check</w:t>
            </w:r>
          </w:p>
          <w:p w14:paraId="5761E434"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Seagrass watch</w:t>
            </w:r>
          </w:p>
          <w:p w14:paraId="5761E435"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Regional Offices (GBRMPA CPG)</w:t>
            </w:r>
          </w:p>
          <w:p w14:paraId="5761E436"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GBR Ministerial Council</w:t>
            </w:r>
          </w:p>
          <w:p w14:paraId="5761E437"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Local government</w:t>
            </w:r>
          </w:p>
        </w:tc>
        <w:tc>
          <w:tcPr>
            <w:tcW w:w="4569" w:type="dxa"/>
            <w:tcBorders>
              <w:top w:val="single" w:sz="4" w:space="0" w:color="auto"/>
              <w:left w:val="single" w:sz="4" w:space="0" w:color="auto"/>
              <w:bottom w:val="single" w:sz="4" w:space="0" w:color="auto"/>
              <w:right w:val="single" w:sz="4" w:space="0" w:color="auto"/>
            </w:tcBorders>
          </w:tcPr>
          <w:p w14:paraId="5761E438" w14:textId="77777777" w:rsidR="00A56EE9" w:rsidRPr="00E70A11" w:rsidRDefault="008B5998" w:rsidP="00A11869">
            <w:pPr>
              <w:pStyle w:val="ListParagraph"/>
              <w:numPr>
                <w:ilvl w:val="0"/>
                <w:numId w:val="239"/>
              </w:numPr>
              <w:spacing w:after="200" w:line="276" w:lineRule="auto"/>
              <w:rPr>
                <w:rFonts w:ascii="Arial Narrow" w:hAnsi="Arial Narrow"/>
                <w:sz w:val="18"/>
                <w:szCs w:val="18"/>
                <w:u w:val="single"/>
              </w:rPr>
            </w:pPr>
            <w:hyperlink r:id="rId108" w:history="1">
              <w:r w:rsidR="00A56EE9" w:rsidRPr="00E70A11">
                <w:rPr>
                  <w:rStyle w:val="Hyperlink"/>
                  <w:rFonts w:ascii="Arial Narrow" w:hAnsi="Arial Narrow"/>
                  <w:sz w:val="18"/>
                  <w:szCs w:val="18"/>
                </w:rPr>
                <w:t>Reef 2050 Advisory Committee</w:t>
              </w:r>
            </w:hyperlink>
          </w:p>
          <w:p w14:paraId="5761E439" w14:textId="77777777" w:rsidR="00A56EE9" w:rsidRPr="00E70A11" w:rsidRDefault="008B5998" w:rsidP="00A11869">
            <w:pPr>
              <w:pStyle w:val="ListParagraph"/>
              <w:numPr>
                <w:ilvl w:val="0"/>
                <w:numId w:val="239"/>
              </w:numPr>
              <w:spacing w:after="200" w:line="276" w:lineRule="auto"/>
              <w:rPr>
                <w:rFonts w:ascii="Arial Narrow" w:hAnsi="Arial Narrow"/>
                <w:sz w:val="18"/>
                <w:szCs w:val="18"/>
              </w:rPr>
            </w:pPr>
            <w:hyperlink r:id="rId109" w:history="1">
              <w:r w:rsidR="00A56EE9" w:rsidRPr="00E70A11">
                <w:rPr>
                  <w:rStyle w:val="Hyperlink"/>
                  <w:rFonts w:ascii="Arial Narrow" w:hAnsi="Arial Narrow"/>
                  <w:sz w:val="18"/>
                  <w:szCs w:val="18"/>
                </w:rPr>
                <w:t>Reef Advisory Committees</w:t>
              </w:r>
            </w:hyperlink>
          </w:p>
          <w:p w14:paraId="5761E43A" w14:textId="77777777" w:rsidR="00A56EE9" w:rsidRPr="00E70A11" w:rsidRDefault="008B5998" w:rsidP="00A11869">
            <w:pPr>
              <w:pStyle w:val="ListParagraph"/>
              <w:numPr>
                <w:ilvl w:val="0"/>
                <w:numId w:val="239"/>
              </w:numPr>
              <w:spacing w:after="200" w:line="276" w:lineRule="auto"/>
              <w:rPr>
                <w:rFonts w:ascii="Arial Narrow" w:hAnsi="Arial Narrow"/>
                <w:sz w:val="18"/>
                <w:szCs w:val="18"/>
              </w:rPr>
            </w:pPr>
            <w:hyperlink r:id="rId110" w:history="1">
              <w:r w:rsidR="00A56EE9" w:rsidRPr="00E70A11">
                <w:rPr>
                  <w:rStyle w:val="Hyperlink"/>
                  <w:rFonts w:ascii="Arial Narrow" w:hAnsi="Arial Narrow"/>
                  <w:sz w:val="18"/>
                  <w:szCs w:val="18"/>
                </w:rPr>
                <w:t>Local Marine Advisory Committees</w:t>
              </w:r>
            </w:hyperlink>
            <w:r w:rsidR="00A56EE9" w:rsidRPr="00E70A11">
              <w:rPr>
                <w:rFonts w:ascii="Arial Narrow" w:hAnsi="Arial Narrow"/>
                <w:sz w:val="18"/>
                <w:szCs w:val="18"/>
              </w:rPr>
              <w:t xml:space="preserve"> </w:t>
            </w:r>
          </w:p>
          <w:p w14:paraId="5761E43B" w14:textId="77777777" w:rsidR="00A56EE9" w:rsidRPr="00E70A11" w:rsidRDefault="008B5998" w:rsidP="00A11869">
            <w:pPr>
              <w:pStyle w:val="ListParagraph"/>
              <w:numPr>
                <w:ilvl w:val="0"/>
                <w:numId w:val="239"/>
              </w:numPr>
              <w:spacing w:after="200" w:line="276" w:lineRule="auto"/>
              <w:rPr>
                <w:rFonts w:ascii="Arial Narrow" w:hAnsi="Arial Narrow"/>
                <w:sz w:val="18"/>
                <w:szCs w:val="18"/>
              </w:rPr>
            </w:pPr>
            <w:hyperlink r:id="rId111" w:history="1">
              <w:r w:rsidR="00A56EE9" w:rsidRPr="00E70A11">
                <w:rPr>
                  <w:rStyle w:val="Hyperlink"/>
                  <w:rFonts w:ascii="Arial Narrow" w:hAnsi="Arial Narrow"/>
                  <w:sz w:val="18"/>
                  <w:szCs w:val="18"/>
                </w:rPr>
                <w:t>Reef Guardians</w:t>
              </w:r>
            </w:hyperlink>
          </w:p>
          <w:p w14:paraId="5761E43C" w14:textId="77777777" w:rsidR="00A56EE9" w:rsidRPr="00E70A11" w:rsidRDefault="008B5998" w:rsidP="00A11869">
            <w:pPr>
              <w:pStyle w:val="ListParagraph"/>
              <w:numPr>
                <w:ilvl w:val="0"/>
                <w:numId w:val="239"/>
              </w:numPr>
              <w:spacing w:after="200" w:line="276" w:lineRule="auto"/>
              <w:rPr>
                <w:rFonts w:ascii="Arial Narrow" w:hAnsi="Arial Narrow"/>
                <w:sz w:val="18"/>
                <w:szCs w:val="18"/>
              </w:rPr>
            </w:pPr>
            <w:hyperlink r:id="rId112" w:history="1">
              <w:r w:rsidR="00A56EE9" w:rsidRPr="00E70A11">
                <w:rPr>
                  <w:rStyle w:val="Hyperlink"/>
                  <w:rFonts w:ascii="Arial Narrow" w:hAnsi="Arial Narrow"/>
                  <w:sz w:val="18"/>
                  <w:szCs w:val="18"/>
                </w:rPr>
                <w:t>Our partners</w:t>
              </w:r>
            </w:hyperlink>
            <w:r w:rsidR="00A56EE9" w:rsidRPr="00E70A11">
              <w:rPr>
                <w:rFonts w:ascii="Arial Narrow" w:hAnsi="Arial Narrow"/>
                <w:sz w:val="18"/>
                <w:szCs w:val="18"/>
              </w:rPr>
              <w:t xml:space="preserve"> </w:t>
            </w:r>
          </w:p>
          <w:p w14:paraId="5761E43D" w14:textId="77777777" w:rsidR="00A56EE9" w:rsidRPr="00E70A11" w:rsidRDefault="008B5998" w:rsidP="00A11869">
            <w:pPr>
              <w:pStyle w:val="ListParagraph"/>
              <w:numPr>
                <w:ilvl w:val="0"/>
                <w:numId w:val="239"/>
              </w:numPr>
              <w:spacing w:after="200" w:line="276" w:lineRule="auto"/>
              <w:rPr>
                <w:rFonts w:ascii="Arial Narrow" w:hAnsi="Arial Narrow"/>
                <w:sz w:val="18"/>
                <w:szCs w:val="18"/>
              </w:rPr>
            </w:pPr>
            <w:hyperlink r:id="rId113" w:history="1">
              <w:r w:rsidR="00A56EE9" w:rsidRPr="00E70A11">
                <w:rPr>
                  <w:rStyle w:val="Hyperlink"/>
                  <w:rFonts w:ascii="Arial Narrow" w:hAnsi="Arial Narrow"/>
                  <w:sz w:val="18"/>
                  <w:szCs w:val="18"/>
                </w:rPr>
                <w:t>Reef 2050 Integrated Monitoring and Reporting Program</w:t>
              </w:r>
            </w:hyperlink>
          </w:p>
          <w:p w14:paraId="5761E43E" w14:textId="77777777" w:rsidR="00A56EE9" w:rsidRPr="00E70A11" w:rsidRDefault="008B5998" w:rsidP="00A11869">
            <w:pPr>
              <w:pStyle w:val="ListParagraph"/>
              <w:numPr>
                <w:ilvl w:val="0"/>
                <w:numId w:val="239"/>
              </w:numPr>
              <w:spacing w:after="200" w:line="276" w:lineRule="auto"/>
              <w:rPr>
                <w:rFonts w:ascii="Arial Narrow" w:hAnsi="Arial Narrow"/>
                <w:sz w:val="18"/>
                <w:szCs w:val="18"/>
                <w:lang w:val="en-GB"/>
              </w:rPr>
            </w:pPr>
            <w:hyperlink r:id="rId114" w:history="1">
              <w:r w:rsidR="00A56EE9" w:rsidRPr="00E70A11">
                <w:rPr>
                  <w:rStyle w:val="Hyperlink"/>
                  <w:rFonts w:ascii="Arial Narrow" w:hAnsi="Arial Narrow"/>
                  <w:sz w:val="18"/>
                  <w:szCs w:val="18"/>
                  <w:lang w:val="en-GB"/>
                </w:rPr>
                <w:t>Coastal management plans and strategies</w:t>
              </w:r>
            </w:hyperlink>
          </w:p>
          <w:p w14:paraId="5761E43F"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 xml:space="preserve">Draft </w:t>
            </w:r>
            <w:hyperlink r:id="rId115" w:history="1">
              <w:r w:rsidRPr="00E70A11">
                <w:rPr>
                  <w:rStyle w:val="Hyperlink"/>
                  <w:rFonts w:ascii="Arial Narrow" w:hAnsi="Arial Narrow"/>
                  <w:sz w:val="18"/>
                  <w:szCs w:val="18"/>
                </w:rPr>
                <w:t>Coastal Ecosystem – position statement</w:t>
              </w:r>
            </w:hyperlink>
            <w:r w:rsidRPr="00E70A11">
              <w:rPr>
                <w:rFonts w:ascii="Arial Narrow" w:hAnsi="Arial Narrow"/>
                <w:sz w:val="18"/>
                <w:szCs w:val="18"/>
              </w:rPr>
              <w:t xml:space="preserve"> public consultation</w:t>
            </w:r>
          </w:p>
          <w:p w14:paraId="5761E440" w14:textId="77777777" w:rsidR="00A56EE9" w:rsidRPr="00E70A11" w:rsidRDefault="00A56EE9" w:rsidP="00A11869">
            <w:pPr>
              <w:pStyle w:val="ListParagraph"/>
              <w:numPr>
                <w:ilvl w:val="0"/>
                <w:numId w:val="239"/>
              </w:numPr>
              <w:spacing w:after="200" w:line="276" w:lineRule="auto"/>
              <w:rPr>
                <w:rFonts w:ascii="Arial Narrow" w:hAnsi="Arial Narrow"/>
                <w:sz w:val="18"/>
                <w:szCs w:val="18"/>
              </w:rPr>
            </w:pPr>
            <w:r w:rsidRPr="00E70A11">
              <w:rPr>
                <w:rFonts w:ascii="Arial Narrow" w:hAnsi="Arial Narrow"/>
                <w:sz w:val="18"/>
                <w:szCs w:val="18"/>
              </w:rPr>
              <w:t>GBR NRM groups</w:t>
            </w:r>
          </w:p>
          <w:p w14:paraId="5761E441" w14:textId="77777777" w:rsidR="00A56EE9" w:rsidRPr="00E70A11" w:rsidRDefault="008B5998" w:rsidP="00A11869">
            <w:pPr>
              <w:pStyle w:val="ListParagraph"/>
              <w:numPr>
                <w:ilvl w:val="0"/>
                <w:numId w:val="239"/>
              </w:numPr>
              <w:spacing w:after="200" w:line="276" w:lineRule="auto"/>
              <w:rPr>
                <w:rFonts w:ascii="Arial Narrow" w:hAnsi="Arial Narrow"/>
                <w:sz w:val="18"/>
                <w:szCs w:val="18"/>
                <w:lang w:val="en-US"/>
              </w:rPr>
            </w:pPr>
            <w:hyperlink r:id="rId116" w:tgtFrame="_blank" w:history="1">
              <w:r w:rsidR="00A56EE9" w:rsidRPr="00E70A11">
                <w:rPr>
                  <w:rStyle w:val="Hyperlink"/>
                  <w:rFonts w:ascii="Arial Narrow" w:hAnsi="Arial Narrow"/>
                  <w:sz w:val="18"/>
                  <w:szCs w:val="18"/>
                  <w:lang w:val="en-US"/>
                </w:rPr>
                <w:t>Burnett Mary Regional Group</w:t>
              </w:r>
            </w:hyperlink>
          </w:p>
          <w:p w14:paraId="5761E442" w14:textId="77777777" w:rsidR="00A56EE9" w:rsidRPr="00E70A11" w:rsidRDefault="008B5998" w:rsidP="00A11869">
            <w:pPr>
              <w:pStyle w:val="ListParagraph"/>
              <w:numPr>
                <w:ilvl w:val="0"/>
                <w:numId w:val="239"/>
              </w:numPr>
              <w:spacing w:after="200" w:line="276" w:lineRule="auto"/>
              <w:rPr>
                <w:rFonts w:ascii="Arial Narrow" w:hAnsi="Arial Narrow"/>
                <w:sz w:val="18"/>
                <w:szCs w:val="18"/>
                <w:lang w:val="en-US"/>
              </w:rPr>
            </w:pPr>
            <w:hyperlink r:id="rId117" w:tgtFrame="_blank" w:history="1">
              <w:r w:rsidR="00A56EE9" w:rsidRPr="00E70A11">
                <w:rPr>
                  <w:rStyle w:val="Hyperlink"/>
                  <w:rFonts w:ascii="Arial Narrow" w:hAnsi="Arial Narrow"/>
                  <w:sz w:val="18"/>
                  <w:szCs w:val="18"/>
                  <w:lang w:val="en-US"/>
                </w:rPr>
                <w:t>Cape York NRM</w:t>
              </w:r>
            </w:hyperlink>
          </w:p>
          <w:p w14:paraId="5761E443" w14:textId="77777777" w:rsidR="00A56EE9" w:rsidRPr="00E70A11" w:rsidRDefault="008B5998" w:rsidP="00A11869">
            <w:pPr>
              <w:pStyle w:val="ListParagraph"/>
              <w:numPr>
                <w:ilvl w:val="0"/>
                <w:numId w:val="239"/>
              </w:numPr>
              <w:spacing w:after="200" w:line="276" w:lineRule="auto"/>
              <w:rPr>
                <w:rFonts w:ascii="Arial Narrow" w:hAnsi="Arial Narrow"/>
                <w:sz w:val="18"/>
                <w:szCs w:val="18"/>
                <w:lang w:val="en-US"/>
              </w:rPr>
            </w:pPr>
            <w:hyperlink r:id="rId118" w:tgtFrame="_blank" w:history="1">
              <w:r w:rsidR="00A56EE9" w:rsidRPr="00E70A11">
                <w:rPr>
                  <w:rStyle w:val="Hyperlink"/>
                  <w:rFonts w:ascii="Arial Narrow" w:hAnsi="Arial Narrow"/>
                  <w:sz w:val="18"/>
                  <w:szCs w:val="18"/>
                  <w:lang w:val="en-US"/>
                </w:rPr>
                <w:t>Fitzroy Basin Association</w:t>
              </w:r>
            </w:hyperlink>
          </w:p>
          <w:p w14:paraId="5761E444" w14:textId="77777777" w:rsidR="00A56EE9" w:rsidRPr="00E70A11" w:rsidRDefault="008B5998" w:rsidP="00A11869">
            <w:pPr>
              <w:pStyle w:val="ListParagraph"/>
              <w:numPr>
                <w:ilvl w:val="0"/>
                <w:numId w:val="239"/>
              </w:numPr>
              <w:spacing w:after="200" w:line="276" w:lineRule="auto"/>
              <w:rPr>
                <w:rFonts w:ascii="Arial Narrow" w:hAnsi="Arial Narrow"/>
                <w:sz w:val="18"/>
                <w:szCs w:val="18"/>
                <w:lang w:val="en-US"/>
              </w:rPr>
            </w:pPr>
            <w:hyperlink r:id="rId119" w:tgtFrame="_blank" w:history="1">
              <w:r w:rsidR="00A56EE9" w:rsidRPr="00E70A11">
                <w:rPr>
                  <w:rStyle w:val="Hyperlink"/>
                  <w:rFonts w:ascii="Arial Narrow" w:hAnsi="Arial Narrow"/>
                  <w:sz w:val="18"/>
                  <w:szCs w:val="18"/>
                  <w:lang w:val="en-US"/>
                </w:rPr>
                <w:t>NQ Dry Tropics</w:t>
              </w:r>
            </w:hyperlink>
          </w:p>
          <w:p w14:paraId="5761E445" w14:textId="77777777" w:rsidR="00A56EE9" w:rsidRPr="00E70A11" w:rsidRDefault="008B5998" w:rsidP="00A11869">
            <w:pPr>
              <w:pStyle w:val="ListParagraph"/>
              <w:numPr>
                <w:ilvl w:val="0"/>
                <w:numId w:val="239"/>
              </w:numPr>
              <w:spacing w:after="200" w:line="276" w:lineRule="auto"/>
              <w:rPr>
                <w:rFonts w:ascii="Arial Narrow" w:hAnsi="Arial Narrow"/>
                <w:sz w:val="18"/>
                <w:szCs w:val="18"/>
                <w:lang w:val="en-US"/>
              </w:rPr>
            </w:pPr>
            <w:hyperlink r:id="rId120" w:tgtFrame="_blank" w:history="1">
              <w:r w:rsidR="00A56EE9" w:rsidRPr="00E70A11">
                <w:rPr>
                  <w:rStyle w:val="Hyperlink"/>
                  <w:rFonts w:ascii="Arial Narrow" w:hAnsi="Arial Narrow"/>
                  <w:sz w:val="18"/>
                  <w:szCs w:val="18"/>
                  <w:lang w:val="en-US"/>
                </w:rPr>
                <w:t>Reef Catchments (Mackay Whitsunday Isaac)</w:t>
              </w:r>
            </w:hyperlink>
          </w:p>
          <w:p w14:paraId="5761E446" w14:textId="77777777" w:rsidR="00A56EE9" w:rsidRPr="00E70A11" w:rsidRDefault="008B5998" w:rsidP="00A11869">
            <w:pPr>
              <w:pStyle w:val="ListParagraph"/>
              <w:numPr>
                <w:ilvl w:val="0"/>
                <w:numId w:val="239"/>
              </w:numPr>
              <w:spacing w:after="200" w:line="276" w:lineRule="auto"/>
              <w:rPr>
                <w:rFonts w:ascii="Arial Narrow" w:hAnsi="Arial Narrow"/>
                <w:sz w:val="18"/>
                <w:szCs w:val="18"/>
              </w:rPr>
            </w:pPr>
            <w:hyperlink r:id="rId121" w:tgtFrame="_blank" w:history="1">
              <w:r w:rsidR="00A56EE9" w:rsidRPr="00E70A11">
                <w:rPr>
                  <w:rStyle w:val="Hyperlink"/>
                  <w:rFonts w:ascii="Arial Narrow" w:hAnsi="Arial Narrow"/>
                  <w:sz w:val="18"/>
                  <w:szCs w:val="18"/>
                  <w:lang w:val="en-US"/>
                </w:rPr>
                <w:t>Terrain NRM</w:t>
              </w:r>
            </w:hyperlink>
          </w:p>
        </w:tc>
        <w:tc>
          <w:tcPr>
            <w:tcW w:w="974" w:type="dxa"/>
            <w:tcBorders>
              <w:top w:val="single" w:sz="4" w:space="0" w:color="auto"/>
              <w:left w:val="single" w:sz="4" w:space="0" w:color="auto"/>
              <w:bottom w:val="single" w:sz="4" w:space="0" w:color="auto"/>
              <w:right w:val="single" w:sz="4" w:space="0" w:color="auto"/>
            </w:tcBorders>
          </w:tcPr>
          <w:p w14:paraId="5761E447"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4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450"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4A" w14:textId="77777777" w:rsidR="00A56EE9" w:rsidRPr="00E70A11" w:rsidRDefault="00A56EE9" w:rsidP="00BB6AD5">
            <w:pPr>
              <w:pStyle w:val="Tablebulletlist"/>
              <w:rPr>
                <w:rStyle w:val="BookTitle"/>
              </w:rPr>
            </w:pPr>
            <w:r w:rsidRPr="00E70A11">
              <w:rPr>
                <w:rStyle w:val="BookTitle"/>
              </w:rPr>
              <w:t>PLANNING</w:t>
            </w:r>
          </w:p>
        </w:tc>
        <w:tc>
          <w:tcPr>
            <w:tcW w:w="6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4B" w14:textId="77777777" w:rsidR="00A56EE9" w:rsidRPr="00E70A11" w:rsidRDefault="00A56EE9" w:rsidP="00BB6AD5">
            <w:pPr>
              <w:pStyle w:val="Tablebulletlist"/>
              <w:rPr>
                <w:rStyle w:val="BookTitle"/>
              </w:rPr>
            </w:pPr>
          </w:p>
        </w:tc>
        <w:tc>
          <w:tcPr>
            <w:tcW w:w="511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4C" w14:textId="77777777" w:rsidR="00A56EE9" w:rsidRPr="00E70A11" w:rsidRDefault="00A56EE9" w:rsidP="00BB6AD5">
            <w:pPr>
              <w:pStyle w:val="ListParagraph"/>
              <w:ind w:left="360"/>
              <w:rPr>
                <w:rStyle w:val="BookTitle"/>
                <w:rFonts w:ascii="Arial Narrow" w:hAnsi="Arial Narrow"/>
                <w:sz w:val="18"/>
                <w:szCs w:val="18"/>
              </w:rPr>
            </w:pPr>
          </w:p>
        </w:tc>
        <w:tc>
          <w:tcPr>
            <w:tcW w:w="456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4D" w14:textId="77777777" w:rsidR="00A56EE9" w:rsidRPr="00E70A11" w:rsidRDefault="00A56EE9" w:rsidP="00BB6AD5">
            <w:pPr>
              <w:pStyle w:val="ListParagraph"/>
              <w:ind w:left="360"/>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4E"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4F" w14:textId="77777777" w:rsidR="00A56EE9" w:rsidRPr="00E70A11" w:rsidRDefault="00A56EE9" w:rsidP="00BB6AD5">
            <w:pPr>
              <w:pStyle w:val="Tablebulletlist"/>
              <w:rPr>
                <w:rStyle w:val="BookTitle"/>
              </w:rPr>
            </w:pPr>
          </w:p>
        </w:tc>
      </w:tr>
      <w:tr w:rsidR="00A56EE9" w:rsidRPr="00E70A11" w14:paraId="5761E46F"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51"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coastal development </w:t>
            </w:r>
          </w:p>
        </w:tc>
        <w:tc>
          <w:tcPr>
            <w:tcW w:w="668" w:type="dxa"/>
            <w:tcBorders>
              <w:top w:val="single" w:sz="4" w:space="0" w:color="auto"/>
              <w:left w:val="single" w:sz="4" w:space="0" w:color="auto"/>
              <w:bottom w:val="single" w:sz="4" w:space="0" w:color="auto"/>
              <w:right w:val="single" w:sz="4" w:space="0" w:color="auto"/>
            </w:tcBorders>
          </w:tcPr>
          <w:p w14:paraId="5761E452"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53" w14:textId="77777777" w:rsidR="00A56EE9" w:rsidRPr="00E70A11" w:rsidRDefault="00A56EE9" w:rsidP="00A11869">
            <w:pPr>
              <w:pStyle w:val="ListParagraph"/>
              <w:numPr>
                <w:ilvl w:val="0"/>
                <w:numId w:val="238"/>
              </w:numPr>
              <w:spacing w:after="200" w:line="276" w:lineRule="auto"/>
              <w:rPr>
                <w:rFonts w:ascii="Arial Narrow" w:hAnsi="Arial Narrow"/>
                <w:sz w:val="18"/>
                <w:szCs w:val="18"/>
              </w:rPr>
            </w:pPr>
            <w:r w:rsidRPr="00E70A11">
              <w:rPr>
                <w:rFonts w:ascii="Arial Narrow" w:hAnsi="Arial Narrow"/>
                <w:sz w:val="18"/>
                <w:szCs w:val="18"/>
              </w:rPr>
              <w:t xml:space="preserve">Since 2014, a number of local governments in the Region have drafted and adopted new planning schemes. </w:t>
            </w:r>
          </w:p>
          <w:p w14:paraId="5761E454" w14:textId="77777777" w:rsidR="00A56EE9" w:rsidRPr="00E70A11" w:rsidRDefault="00A56EE9" w:rsidP="00A11869">
            <w:pPr>
              <w:pStyle w:val="ListParagraph"/>
              <w:numPr>
                <w:ilvl w:val="0"/>
                <w:numId w:val="238"/>
              </w:numPr>
              <w:spacing w:after="200" w:line="276" w:lineRule="auto"/>
              <w:rPr>
                <w:rFonts w:ascii="Arial Narrow" w:hAnsi="Arial Narrow"/>
                <w:sz w:val="18"/>
                <w:szCs w:val="18"/>
                <w:lang w:val="en-GB"/>
              </w:rPr>
            </w:pPr>
            <w:r w:rsidRPr="00E70A11">
              <w:rPr>
                <w:rFonts w:ascii="Arial Narrow" w:hAnsi="Arial Narrow"/>
                <w:sz w:val="18"/>
                <w:szCs w:val="18"/>
                <w:lang w:val="en-GB"/>
              </w:rPr>
              <w:t xml:space="preserve">The </w:t>
            </w:r>
            <w:r w:rsidRPr="00E70A11">
              <w:rPr>
                <w:rFonts w:ascii="Arial Narrow" w:hAnsi="Arial Narrow"/>
                <w:i/>
                <w:sz w:val="18"/>
                <w:szCs w:val="18"/>
                <w:lang w:val="en-GB"/>
              </w:rPr>
              <w:t>Planning Act 2016</w:t>
            </w:r>
            <w:r w:rsidRPr="00E70A11">
              <w:rPr>
                <w:rFonts w:ascii="Arial Narrow" w:hAnsi="Arial Narrow"/>
                <w:sz w:val="18"/>
                <w:szCs w:val="18"/>
                <w:lang w:val="en-GB"/>
              </w:rPr>
              <w:t xml:space="preserve"> (Qld) sets a </w:t>
            </w:r>
            <w:hyperlink r:id="rId122" w:history="1">
              <w:r w:rsidRPr="00E70A11">
                <w:rPr>
                  <w:rStyle w:val="Hyperlink"/>
                  <w:rFonts w:ascii="Arial Narrow" w:hAnsi="Arial Narrow"/>
                  <w:sz w:val="18"/>
                  <w:szCs w:val="18"/>
                </w:rPr>
                <w:t>statutory policy framework</w:t>
              </w:r>
            </w:hyperlink>
            <w:r w:rsidRPr="00E70A11">
              <w:rPr>
                <w:rFonts w:ascii="Arial Narrow" w:hAnsi="Arial Narrow"/>
                <w:sz w:val="18"/>
                <w:szCs w:val="18"/>
                <w:lang w:val="en-GB"/>
              </w:rPr>
              <w:t xml:space="preserve"> for land-based development in the GBR catchment. </w:t>
            </w:r>
          </w:p>
          <w:p w14:paraId="5761E455" w14:textId="77777777" w:rsidR="00A56EE9" w:rsidRPr="00E70A11" w:rsidRDefault="00A56EE9" w:rsidP="00A11869">
            <w:pPr>
              <w:pStyle w:val="ListParagraph"/>
              <w:numPr>
                <w:ilvl w:val="0"/>
                <w:numId w:val="238"/>
              </w:numPr>
              <w:spacing w:after="200" w:line="276" w:lineRule="auto"/>
              <w:rPr>
                <w:rFonts w:ascii="Arial Narrow" w:hAnsi="Arial Narrow"/>
                <w:sz w:val="18"/>
                <w:szCs w:val="18"/>
              </w:rPr>
            </w:pPr>
            <w:r w:rsidRPr="00E70A11">
              <w:rPr>
                <w:rFonts w:ascii="Arial Narrow" w:hAnsi="Arial Narrow"/>
                <w:sz w:val="18"/>
                <w:szCs w:val="18"/>
              </w:rPr>
              <w:t xml:space="preserve">The adopted planning reform package included a review of the </w:t>
            </w:r>
            <w:hyperlink r:id="rId123" w:history="1">
              <w:r w:rsidRPr="00E70A11">
                <w:rPr>
                  <w:rStyle w:val="Hyperlink"/>
                  <w:rFonts w:ascii="Arial Narrow" w:hAnsi="Arial Narrow"/>
                  <w:sz w:val="18"/>
                  <w:szCs w:val="18"/>
                </w:rPr>
                <w:t>State Planning Policy July 2017</w:t>
              </w:r>
            </w:hyperlink>
            <w:r w:rsidRPr="00E70A11">
              <w:rPr>
                <w:rFonts w:ascii="Arial Narrow" w:hAnsi="Arial Narrow"/>
                <w:sz w:val="18"/>
                <w:szCs w:val="18"/>
                <w:u w:val="single"/>
              </w:rPr>
              <w:t xml:space="preserve"> (SPP) </w:t>
            </w:r>
            <w:r w:rsidRPr="00E70A11">
              <w:rPr>
                <w:rFonts w:ascii="Arial Narrow" w:hAnsi="Arial Narrow"/>
                <w:sz w:val="18"/>
                <w:szCs w:val="18"/>
              </w:rPr>
              <w:t xml:space="preserve">and </w:t>
            </w:r>
            <w:hyperlink r:id="rId124" w:history="1">
              <w:r w:rsidRPr="00E70A11">
                <w:rPr>
                  <w:rStyle w:val="Hyperlink"/>
                  <w:rFonts w:ascii="Arial Narrow" w:hAnsi="Arial Narrow"/>
                  <w:sz w:val="18"/>
                  <w:szCs w:val="18"/>
                  <w:lang w:val="en"/>
                </w:rPr>
                <w:t>State development assessment provisions</w:t>
              </w:r>
            </w:hyperlink>
            <w:r w:rsidRPr="00E70A11">
              <w:rPr>
                <w:rFonts w:ascii="Arial Narrow" w:hAnsi="Arial Narrow"/>
                <w:sz w:val="18"/>
                <w:szCs w:val="18"/>
                <w:lang w:val="en-GB"/>
              </w:rPr>
              <w:t xml:space="preserve"> (SDAP)</w:t>
            </w:r>
            <w:r w:rsidRPr="00E70A11">
              <w:rPr>
                <w:rFonts w:ascii="Arial Narrow" w:hAnsi="Arial Narrow"/>
                <w:sz w:val="18"/>
                <w:szCs w:val="18"/>
              </w:rPr>
              <w:t>. GBRMPA were part of the industry review team providing meaningful input to the reform.</w:t>
            </w:r>
            <w:r>
              <w:rPr>
                <w:rFonts w:ascii="Arial Narrow" w:hAnsi="Arial Narrow"/>
                <w:sz w:val="18"/>
                <w:szCs w:val="18"/>
              </w:rPr>
              <w:t xml:space="preserve"> </w:t>
            </w:r>
          </w:p>
          <w:p w14:paraId="5761E456" w14:textId="77777777" w:rsidR="00A56EE9" w:rsidRPr="00E70A11" w:rsidRDefault="00A56EE9" w:rsidP="00A11869">
            <w:pPr>
              <w:pStyle w:val="ListParagraph"/>
              <w:numPr>
                <w:ilvl w:val="0"/>
                <w:numId w:val="238"/>
              </w:numPr>
              <w:spacing w:after="200" w:line="276" w:lineRule="auto"/>
              <w:rPr>
                <w:rFonts w:ascii="Arial Narrow" w:hAnsi="Arial Narrow"/>
                <w:sz w:val="18"/>
                <w:szCs w:val="18"/>
                <w:lang w:val="en-GB"/>
              </w:rPr>
            </w:pPr>
            <w:r w:rsidRPr="00E70A11">
              <w:rPr>
                <w:rFonts w:ascii="Arial Narrow" w:hAnsi="Arial Narrow"/>
                <w:sz w:val="18"/>
                <w:szCs w:val="18"/>
                <w:lang w:val="en-GB"/>
              </w:rPr>
              <w:t>SDAP are statutory State codes. It is noted since 2014, the State Planning Regulatory Provisions (SPRP) have been superseded by the SDAP or incorporated into the Planning Regulations 2016. Relevant SDAP to coastal development management include State Code 8 Coastal Development and tidal works State Code 7 Maritime Safety and State Code 12 Development in a declared fish habitat area.</w:t>
            </w:r>
          </w:p>
          <w:p w14:paraId="5761E457" w14:textId="77777777" w:rsidR="00A56EE9" w:rsidRPr="00E70A11" w:rsidRDefault="00A56EE9" w:rsidP="00A11869">
            <w:pPr>
              <w:pStyle w:val="ListParagraph"/>
              <w:numPr>
                <w:ilvl w:val="0"/>
                <w:numId w:val="238"/>
              </w:numPr>
              <w:spacing w:after="200" w:line="276" w:lineRule="auto"/>
              <w:rPr>
                <w:rFonts w:ascii="Arial Narrow" w:hAnsi="Arial Narrow"/>
                <w:sz w:val="18"/>
                <w:szCs w:val="18"/>
                <w:lang w:val="en-GB"/>
              </w:rPr>
            </w:pPr>
            <w:r w:rsidRPr="00E70A11">
              <w:rPr>
                <w:rFonts w:ascii="Arial Narrow" w:hAnsi="Arial Narrow"/>
                <w:sz w:val="18"/>
                <w:szCs w:val="18"/>
                <w:lang w:val="en"/>
              </w:rPr>
              <w:t xml:space="preserve">The Qld planning department has an extensive suite of State codes aimed at controlling coastal development. Implementation from an environmental best practice point of you is on a case by case basis. </w:t>
            </w:r>
            <w:hyperlink r:id="rId125" w:history="1">
              <w:r w:rsidRPr="00E70A11">
                <w:rPr>
                  <w:rStyle w:val="Hyperlink"/>
                  <w:rFonts w:ascii="Arial Narrow" w:hAnsi="Arial Narrow"/>
                  <w:sz w:val="18"/>
                  <w:szCs w:val="18"/>
                  <w:lang w:val="en"/>
                </w:rPr>
                <w:t>DILGP v2.1 link</w:t>
              </w:r>
            </w:hyperlink>
            <w:r w:rsidRPr="00E70A11">
              <w:rPr>
                <w:rFonts w:ascii="Arial Narrow" w:hAnsi="Arial Narrow"/>
                <w:sz w:val="18"/>
                <w:szCs w:val="18"/>
                <w:lang w:val="en"/>
              </w:rPr>
              <w:t xml:space="preserve"> to SDAP Codes: </w:t>
            </w:r>
          </w:p>
          <w:p w14:paraId="5761E458" w14:textId="77777777" w:rsidR="00A56EE9" w:rsidRPr="00E70A11" w:rsidRDefault="00A56EE9" w:rsidP="00A11869">
            <w:pPr>
              <w:pStyle w:val="ListParagraph"/>
              <w:numPr>
                <w:ilvl w:val="1"/>
                <w:numId w:val="238"/>
              </w:numPr>
              <w:spacing w:after="200" w:line="276" w:lineRule="auto"/>
              <w:rPr>
                <w:rFonts w:ascii="Arial Narrow" w:hAnsi="Arial Narrow"/>
                <w:sz w:val="18"/>
                <w:szCs w:val="18"/>
                <w:lang w:val="en-GB"/>
              </w:rPr>
            </w:pPr>
            <w:r w:rsidRPr="00E70A11">
              <w:rPr>
                <w:rFonts w:ascii="Arial Narrow" w:hAnsi="Arial Narrow"/>
                <w:sz w:val="18"/>
                <w:szCs w:val="18"/>
                <w:lang w:val="en"/>
              </w:rPr>
              <w:t xml:space="preserve">9 - </w:t>
            </w:r>
            <w:r w:rsidRPr="00E70A11">
              <w:rPr>
                <w:rFonts w:ascii="Arial Narrow" w:hAnsi="Arial Narrow"/>
                <w:sz w:val="18"/>
                <w:szCs w:val="18"/>
              </w:rPr>
              <w:t>Great Barrier Reef wetland protection areas</w:t>
            </w:r>
            <w:r w:rsidRPr="00E70A11">
              <w:rPr>
                <w:rFonts w:ascii="Arial Narrow" w:hAnsi="Arial Narrow"/>
                <w:sz w:val="18"/>
                <w:szCs w:val="18"/>
                <w:lang w:val="en"/>
              </w:rPr>
              <w:t>.</w:t>
            </w:r>
          </w:p>
          <w:p w14:paraId="5761E459" w14:textId="77777777" w:rsidR="00A56EE9" w:rsidRPr="00E70A11" w:rsidRDefault="00A56EE9" w:rsidP="00A11869">
            <w:pPr>
              <w:pStyle w:val="ListParagraph"/>
              <w:numPr>
                <w:ilvl w:val="1"/>
                <w:numId w:val="238"/>
              </w:numPr>
              <w:spacing w:after="200" w:line="276" w:lineRule="auto"/>
              <w:rPr>
                <w:rFonts w:ascii="Arial Narrow" w:hAnsi="Arial Narrow"/>
                <w:sz w:val="18"/>
                <w:szCs w:val="18"/>
              </w:rPr>
            </w:pPr>
            <w:r w:rsidRPr="00E70A11">
              <w:rPr>
                <w:rFonts w:ascii="Arial Narrow" w:hAnsi="Arial Narrow"/>
                <w:sz w:val="18"/>
                <w:szCs w:val="18"/>
              </w:rPr>
              <w:t xml:space="preserve">Aquaculture state code </w:t>
            </w:r>
          </w:p>
          <w:p w14:paraId="5761E45A" w14:textId="77777777" w:rsidR="00A56EE9" w:rsidRPr="00E70A11" w:rsidRDefault="00A56EE9" w:rsidP="00A11869">
            <w:pPr>
              <w:pStyle w:val="ListParagraph"/>
              <w:numPr>
                <w:ilvl w:val="1"/>
                <w:numId w:val="238"/>
              </w:numPr>
              <w:spacing w:after="200" w:line="276" w:lineRule="auto"/>
              <w:rPr>
                <w:rFonts w:ascii="Arial Narrow" w:hAnsi="Arial Narrow"/>
                <w:sz w:val="18"/>
                <w:szCs w:val="18"/>
              </w:rPr>
            </w:pPr>
            <w:r w:rsidRPr="00E70A11">
              <w:rPr>
                <w:rFonts w:ascii="Arial Narrow" w:hAnsi="Arial Narrow"/>
                <w:sz w:val="18"/>
                <w:szCs w:val="18"/>
              </w:rPr>
              <w:t xml:space="preserve">Constructing or raising waterway barrier works in fish habitats state code </w:t>
            </w:r>
          </w:p>
          <w:p w14:paraId="5761E45B" w14:textId="77777777" w:rsidR="00A56EE9" w:rsidRPr="00E70A11" w:rsidRDefault="00A56EE9" w:rsidP="00A11869">
            <w:pPr>
              <w:pStyle w:val="ListParagraph"/>
              <w:numPr>
                <w:ilvl w:val="1"/>
                <w:numId w:val="238"/>
              </w:numPr>
              <w:spacing w:after="200" w:line="276" w:lineRule="auto"/>
              <w:rPr>
                <w:rFonts w:ascii="Arial Narrow" w:hAnsi="Arial Narrow"/>
                <w:sz w:val="18"/>
                <w:szCs w:val="18"/>
              </w:rPr>
            </w:pPr>
            <w:r w:rsidRPr="00E70A11">
              <w:rPr>
                <w:rFonts w:ascii="Arial Narrow" w:hAnsi="Arial Narrow"/>
                <w:sz w:val="18"/>
                <w:szCs w:val="18"/>
              </w:rPr>
              <w:t xml:space="preserve">Development in a declared fish habitat area state code </w:t>
            </w:r>
          </w:p>
          <w:p w14:paraId="5761E45C" w14:textId="77777777" w:rsidR="00A56EE9" w:rsidRPr="00E70A11" w:rsidRDefault="00A56EE9" w:rsidP="00A11869">
            <w:pPr>
              <w:pStyle w:val="ListParagraph"/>
              <w:numPr>
                <w:ilvl w:val="1"/>
                <w:numId w:val="238"/>
              </w:numPr>
              <w:spacing w:after="200" w:line="276" w:lineRule="auto"/>
              <w:rPr>
                <w:rFonts w:ascii="Arial Narrow" w:hAnsi="Arial Narrow"/>
                <w:sz w:val="18"/>
                <w:szCs w:val="18"/>
              </w:rPr>
            </w:pPr>
            <w:r w:rsidRPr="00E70A11">
              <w:rPr>
                <w:rFonts w:ascii="Arial Narrow" w:hAnsi="Arial Narrow"/>
                <w:sz w:val="18"/>
                <w:szCs w:val="18"/>
              </w:rPr>
              <w:t xml:space="preserve">Particular development on strategic cropping land state code </w:t>
            </w:r>
          </w:p>
          <w:p w14:paraId="5761E45D" w14:textId="77777777" w:rsidR="00A56EE9" w:rsidRPr="00E70A11" w:rsidRDefault="00A56EE9" w:rsidP="00A11869">
            <w:pPr>
              <w:pStyle w:val="ListParagraph"/>
              <w:numPr>
                <w:ilvl w:val="1"/>
                <w:numId w:val="238"/>
              </w:numPr>
              <w:spacing w:after="200" w:line="276" w:lineRule="auto"/>
              <w:rPr>
                <w:rFonts w:ascii="Arial Narrow" w:hAnsi="Arial Narrow"/>
                <w:sz w:val="18"/>
                <w:szCs w:val="18"/>
              </w:rPr>
            </w:pPr>
            <w:r w:rsidRPr="00E70A11">
              <w:rPr>
                <w:rFonts w:ascii="Arial Narrow" w:hAnsi="Arial Narrow"/>
                <w:sz w:val="18"/>
                <w:szCs w:val="18"/>
              </w:rPr>
              <w:t xml:space="preserve">Queensland vegetation management state code </w:t>
            </w:r>
          </w:p>
          <w:p w14:paraId="5761E45E" w14:textId="77777777" w:rsidR="00A56EE9" w:rsidRPr="00E70A11" w:rsidRDefault="00A56EE9" w:rsidP="00A11869">
            <w:pPr>
              <w:pStyle w:val="ListParagraph"/>
              <w:numPr>
                <w:ilvl w:val="1"/>
                <w:numId w:val="238"/>
              </w:numPr>
              <w:spacing w:after="200" w:line="276" w:lineRule="auto"/>
              <w:rPr>
                <w:rFonts w:ascii="Arial Narrow" w:hAnsi="Arial Narrow"/>
                <w:sz w:val="18"/>
                <w:szCs w:val="18"/>
              </w:rPr>
            </w:pPr>
            <w:r w:rsidRPr="00E70A11">
              <w:rPr>
                <w:rFonts w:ascii="Arial Narrow" w:hAnsi="Arial Narrow"/>
                <w:sz w:val="18"/>
                <w:szCs w:val="18"/>
              </w:rPr>
              <w:t xml:space="preserve">Queensland vegetation management state code </w:t>
            </w:r>
          </w:p>
          <w:p w14:paraId="5761E45F" w14:textId="77777777" w:rsidR="00A56EE9" w:rsidRPr="00E70A11" w:rsidRDefault="00A56EE9" w:rsidP="00A11869">
            <w:pPr>
              <w:pStyle w:val="ListParagraph"/>
              <w:numPr>
                <w:ilvl w:val="1"/>
                <w:numId w:val="238"/>
              </w:numPr>
              <w:spacing w:after="200" w:line="276" w:lineRule="auto"/>
              <w:rPr>
                <w:rFonts w:ascii="Arial Narrow" w:hAnsi="Arial Narrow"/>
                <w:sz w:val="18"/>
                <w:szCs w:val="18"/>
              </w:rPr>
            </w:pPr>
            <w:r w:rsidRPr="00E70A11">
              <w:rPr>
                <w:rFonts w:ascii="Arial Narrow" w:hAnsi="Arial Narrow"/>
                <w:sz w:val="18"/>
                <w:szCs w:val="18"/>
              </w:rPr>
              <w:t xml:space="preserve">Referrable dams state code </w:t>
            </w:r>
          </w:p>
          <w:p w14:paraId="5761E460" w14:textId="77777777" w:rsidR="00A56EE9" w:rsidRPr="00E70A11" w:rsidRDefault="00A56EE9" w:rsidP="00A11869">
            <w:pPr>
              <w:pStyle w:val="ListParagraph"/>
              <w:numPr>
                <w:ilvl w:val="1"/>
                <w:numId w:val="238"/>
              </w:numPr>
              <w:spacing w:after="200" w:line="276" w:lineRule="auto"/>
              <w:rPr>
                <w:rFonts w:ascii="Arial Narrow" w:hAnsi="Arial Narrow"/>
                <w:sz w:val="18"/>
                <w:szCs w:val="18"/>
              </w:rPr>
            </w:pPr>
            <w:r w:rsidRPr="00E70A11">
              <w:rPr>
                <w:rFonts w:ascii="Arial Narrow" w:hAnsi="Arial Narrow"/>
                <w:sz w:val="18"/>
                <w:szCs w:val="18"/>
              </w:rPr>
              <w:t xml:space="preserve">Removal, destruction or damage of marine plants state code </w:t>
            </w:r>
          </w:p>
          <w:p w14:paraId="5761E461" w14:textId="77777777" w:rsidR="00A56EE9" w:rsidRPr="00E70A11" w:rsidRDefault="00A56EE9" w:rsidP="00A11869">
            <w:pPr>
              <w:pStyle w:val="ListParagraph"/>
              <w:numPr>
                <w:ilvl w:val="1"/>
                <w:numId w:val="238"/>
              </w:numPr>
              <w:spacing w:after="200" w:line="276" w:lineRule="auto"/>
              <w:rPr>
                <w:rFonts w:ascii="Arial Narrow" w:hAnsi="Arial Narrow"/>
                <w:sz w:val="18"/>
                <w:szCs w:val="18"/>
              </w:rPr>
            </w:pPr>
            <w:r w:rsidRPr="00E70A11">
              <w:rPr>
                <w:rFonts w:ascii="Arial Narrow" w:hAnsi="Arial Narrow"/>
                <w:sz w:val="18"/>
                <w:szCs w:val="18"/>
              </w:rPr>
              <w:t xml:space="preserve">Stormwater and drainage impacts on state transport infrastructure state code </w:t>
            </w:r>
          </w:p>
          <w:p w14:paraId="5761E462" w14:textId="77777777" w:rsidR="00A56EE9" w:rsidRPr="00E70A11" w:rsidRDefault="00A56EE9" w:rsidP="00A11869">
            <w:pPr>
              <w:pStyle w:val="ListParagraph"/>
              <w:numPr>
                <w:ilvl w:val="1"/>
                <w:numId w:val="238"/>
              </w:numPr>
              <w:spacing w:after="200" w:line="276" w:lineRule="auto"/>
              <w:rPr>
                <w:rFonts w:ascii="Arial Narrow" w:hAnsi="Arial Narrow"/>
                <w:sz w:val="18"/>
                <w:szCs w:val="18"/>
              </w:rPr>
            </w:pPr>
            <w:r w:rsidRPr="00E70A11">
              <w:rPr>
                <w:rFonts w:ascii="Arial Narrow" w:hAnsi="Arial Narrow"/>
                <w:sz w:val="18"/>
                <w:szCs w:val="18"/>
              </w:rPr>
              <w:t xml:space="preserve">Tidal works, or development in the coastal management district state code </w:t>
            </w:r>
          </w:p>
          <w:p w14:paraId="5761E463" w14:textId="77777777" w:rsidR="00A56EE9" w:rsidRPr="00E70A11" w:rsidRDefault="00A56EE9" w:rsidP="00A11869">
            <w:pPr>
              <w:pStyle w:val="ListParagraph"/>
              <w:numPr>
                <w:ilvl w:val="1"/>
                <w:numId w:val="238"/>
              </w:numPr>
              <w:spacing w:after="200" w:line="276" w:lineRule="auto"/>
              <w:rPr>
                <w:rFonts w:ascii="Arial Narrow" w:hAnsi="Arial Narrow"/>
                <w:sz w:val="18"/>
                <w:szCs w:val="18"/>
              </w:rPr>
            </w:pPr>
            <w:r w:rsidRPr="00E70A11">
              <w:rPr>
                <w:rFonts w:ascii="Arial Narrow" w:hAnsi="Arial Narrow"/>
                <w:sz w:val="18"/>
                <w:szCs w:val="18"/>
              </w:rPr>
              <w:t xml:space="preserve">Wetland protection area state code </w:t>
            </w:r>
          </w:p>
          <w:p w14:paraId="5761E464" w14:textId="77777777" w:rsidR="00A56EE9" w:rsidRPr="00E70A11" w:rsidRDefault="00A56EE9" w:rsidP="00A11869">
            <w:pPr>
              <w:pStyle w:val="ListParagraph"/>
              <w:numPr>
                <w:ilvl w:val="0"/>
                <w:numId w:val="238"/>
              </w:numPr>
              <w:spacing w:after="200" w:line="276" w:lineRule="auto"/>
              <w:rPr>
                <w:rFonts w:ascii="Arial Narrow" w:hAnsi="Arial Narrow"/>
                <w:sz w:val="18"/>
                <w:szCs w:val="18"/>
                <w:lang w:val="en-GB"/>
              </w:rPr>
            </w:pPr>
            <w:r w:rsidRPr="00E70A11">
              <w:rPr>
                <w:rFonts w:ascii="Arial Narrow" w:hAnsi="Arial Narrow"/>
                <w:sz w:val="18"/>
                <w:szCs w:val="18"/>
                <w:lang w:val="en-GB"/>
              </w:rPr>
              <w:t xml:space="preserve">The </w:t>
            </w:r>
            <w:hyperlink r:id="rId126" w:history="1">
              <w:r w:rsidRPr="00E70A11">
                <w:rPr>
                  <w:rStyle w:val="Hyperlink"/>
                  <w:rFonts w:ascii="Arial Narrow" w:hAnsi="Arial Narrow"/>
                  <w:sz w:val="18"/>
                  <w:szCs w:val="18"/>
                </w:rPr>
                <w:t>State Planning Policy July 2017</w:t>
              </w:r>
            </w:hyperlink>
            <w:r w:rsidRPr="00E70A11">
              <w:rPr>
                <w:rFonts w:ascii="Arial Narrow" w:hAnsi="Arial Narrow"/>
                <w:sz w:val="18"/>
                <w:szCs w:val="18"/>
                <w:u w:val="single"/>
              </w:rPr>
              <w:t xml:space="preserve"> (SPP) </w:t>
            </w:r>
            <w:r w:rsidRPr="00E70A11">
              <w:rPr>
                <w:rFonts w:ascii="Arial Narrow" w:hAnsi="Arial Narrow"/>
                <w:sz w:val="18"/>
                <w:szCs w:val="18"/>
                <w:lang w:val="en-GB"/>
              </w:rPr>
              <w:t>commenced on 3 July 2017 and replaces State Planning Policy April 2016. The SPP is applied only to regional planning or local government planning scheme making, and in the main not relevant to individual development applications.</w:t>
            </w:r>
            <w:r>
              <w:rPr>
                <w:rFonts w:ascii="Arial Narrow" w:hAnsi="Arial Narrow"/>
                <w:sz w:val="18"/>
                <w:szCs w:val="18"/>
                <w:lang w:val="en-GB"/>
              </w:rPr>
              <w:t xml:space="preserve"> </w:t>
            </w:r>
          </w:p>
          <w:p w14:paraId="5761E465" w14:textId="77777777" w:rsidR="00A56EE9" w:rsidRPr="00E70A11" w:rsidRDefault="00A56EE9" w:rsidP="00A11869">
            <w:pPr>
              <w:pStyle w:val="ListParagraph"/>
              <w:numPr>
                <w:ilvl w:val="0"/>
                <w:numId w:val="238"/>
              </w:numPr>
              <w:spacing w:after="200" w:line="276" w:lineRule="auto"/>
              <w:rPr>
                <w:rFonts w:ascii="Arial Narrow" w:hAnsi="Arial Narrow"/>
                <w:sz w:val="18"/>
                <w:szCs w:val="18"/>
              </w:rPr>
            </w:pPr>
            <w:r w:rsidRPr="00E70A11">
              <w:rPr>
                <w:rFonts w:ascii="Arial Narrow" w:hAnsi="Arial Narrow"/>
                <w:sz w:val="18"/>
                <w:szCs w:val="18"/>
              </w:rPr>
              <w:t>Many of the planning schemes in the GBR coasdtline comply with the State Planning policy in that they include coastal management overlays and codes.</w:t>
            </w:r>
            <w:r>
              <w:rPr>
                <w:rFonts w:ascii="Arial Narrow" w:hAnsi="Arial Narrow"/>
                <w:sz w:val="18"/>
                <w:szCs w:val="18"/>
              </w:rPr>
              <w:t xml:space="preserve"> </w:t>
            </w:r>
            <w:r w:rsidRPr="00E70A11">
              <w:rPr>
                <w:rFonts w:ascii="Arial Narrow" w:hAnsi="Arial Narrow"/>
                <w:sz w:val="18"/>
                <w:szCs w:val="18"/>
              </w:rPr>
              <w:t>In addition, the State assesses coastal development in a declared Coastal Management District as a concurrence agency, considering the impact of development on coastal environment and coastal processes.</w:t>
            </w:r>
          </w:p>
          <w:p w14:paraId="5761E466" w14:textId="77777777" w:rsidR="00A56EE9" w:rsidRPr="00E70A11" w:rsidRDefault="008B5998" w:rsidP="00A11869">
            <w:pPr>
              <w:pStyle w:val="ListParagraph"/>
              <w:numPr>
                <w:ilvl w:val="0"/>
                <w:numId w:val="238"/>
              </w:numPr>
              <w:spacing w:after="200" w:line="276" w:lineRule="auto"/>
              <w:rPr>
                <w:rFonts w:ascii="Arial Narrow" w:hAnsi="Arial Narrow"/>
                <w:sz w:val="18"/>
                <w:szCs w:val="18"/>
                <w:lang w:val="en-GB"/>
              </w:rPr>
            </w:pPr>
            <w:hyperlink r:id="rId127" w:history="1">
              <w:r w:rsidR="00A56EE9" w:rsidRPr="00E70A11">
                <w:rPr>
                  <w:rStyle w:val="Hyperlink"/>
                  <w:rFonts w:ascii="Arial Narrow" w:hAnsi="Arial Narrow"/>
                  <w:sz w:val="18"/>
                  <w:szCs w:val="18"/>
                </w:rPr>
                <w:t>Six regional planning areas</w:t>
              </w:r>
            </w:hyperlink>
            <w:r w:rsidR="00A56EE9" w:rsidRPr="00E70A11">
              <w:rPr>
                <w:rFonts w:ascii="Arial Narrow" w:hAnsi="Arial Narrow"/>
                <w:sz w:val="18"/>
                <w:szCs w:val="18"/>
                <w:lang w:val="en-GB"/>
              </w:rPr>
              <w:t xml:space="preserve"> under the Planning Act affect the Region, of which only the North Queensland region has not adopted a regional plan. The</w:t>
            </w:r>
            <w:r w:rsidR="00A56EE9" w:rsidRPr="00E70A11">
              <w:rPr>
                <w:rFonts w:ascii="Arial Narrow" w:hAnsi="Arial Narrow"/>
                <w:sz w:val="18"/>
                <w:szCs w:val="18"/>
                <w:u w:val="single"/>
              </w:rPr>
              <w:t xml:space="preserve"> </w:t>
            </w:r>
            <w:hyperlink r:id="rId128" w:history="1">
              <w:r w:rsidR="00A56EE9" w:rsidRPr="00E70A11">
                <w:rPr>
                  <w:rStyle w:val="Hyperlink"/>
                  <w:rFonts w:ascii="Arial Narrow" w:hAnsi="Arial Narrow"/>
                  <w:sz w:val="18"/>
                  <w:szCs w:val="18"/>
                </w:rPr>
                <w:t>North Queensland regional plan</w:t>
              </w:r>
            </w:hyperlink>
            <w:r w:rsidR="00A56EE9" w:rsidRPr="00E70A11">
              <w:rPr>
                <w:rFonts w:ascii="Arial Narrow" w:hAnsi="Arial Narrow"/>
                <w:sz w:val="18"/>
                <w:szCs w:val="18"/>
                <w:lang w:val="en-GB"/>
              </w:rPr>
              <w:t xml:space="preserve"> is anticipated to be publically advertised by the end of 2017. No major revisions have been made or are proposed for the other </w:t>
            </w:r>
            <w:r w:rsidR="00A56EE9" w:rsidRPr="00E70A11">
              <w:rPr>
                <w:rFonts w:ascii="Arial Narrow" w:hAnsi="Arial Narrow"/>
                <w:sz w:val="18"/>
                <w:szCs w:val="18"/>
              </w:rPr>
              <w:t xml:space="preserve">regional plans. </w:t>
            </w:r>
          </w:p>
          <w:p w14:paraId="5761E467" w14:textId="77777777" w:rsidR="00A56EE9" w:rsidRPr="00E70A11" w:rsidRDefault="00A56EE9" w:rsidP="00A11869">
            <w:pPr>
              <w:pStyle w:val="ListParagraph"/>
              <w:numPr>
                <w:ilvl w:val="0"/>
                <w:numId w:val="238"/>
              </w:numPr>
              <w:spacing w:after="200" w:line="276" w:lineRule="auto"/>
              <w:rPr>
                <w:rFonts w:ascii="Arial Narrow" w:hAnsi="Arial Narrow"/>
                <w:sz w:val="18"/>
                <w:szCs w:val="18"/>
                <w:lang w:val="en-GB"/>
              </w:rPr>
            </w:pPr>
            <w:r w:rsidRPr="00E70A11">
              <w:rPr>
                <w:rFonts w:ascii="Arial Narrow" w:hAnsi="Arial Narrow"/>
                <w:sz w:val="18"/>
                <w:szCs w:val="18"/>
                <w:lang w:val="en-GB"/>
              </w:rPr>
              <w:t xml:space="preserve">The </w:t>
            </w:r>
            <w:r w:rsidRPr="00E70A11">
              <w:rPr>
                <w:rFonts w:ascii="Arial Narrow" w:hAnsi="Arial Narrow"/>
                <w:i/>
                <w:sz w:val="18"/>
                <w:szCs w:val="18"/>
              </w:rPr>
              <w:t>Wetlands in the Great Barrier Reef Catchments Management Strategy 2016-2021</w:t>
            </w:r>
            <w:r w:rsidRPr="00E70A11">
              <w:rPr>
                <w:rFonts w:ascii="Arial Narrow" w:hAnsi="Arial Narrow"/>
                <w:sz w:val="18"/>
                <w:szCs w:val="18"/>
              </w:rPr>
              <w:t xml:space="preserve"> outlines an integrated approach to catchment and coastal environment management that considers the multiple values of wetlands and the role they play in ecosystem health of the World Heritage Area.</w:t>
            </w:r>
          </w:p>
          <w:p w14:paraId="5761E468" w14:textId="77777777" w:rsidR="00A56EE9" w:rsidRPr="00E70A11" w:rsidRDefault="00A56EE9" w:rsidP="00A11869">
            <w:pPr>
              <w:pStyle w:val="ListParagraph"/>
              <w:numPr>
                <w:ilvl w:val="0"/>
                <w:numId w:val="23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Reef 2050 Plan includes a number of actions that are relevant to coastal development.</w:t>
            </w:r>
          </w:p>
        </w:tc>
        <w:tc>
          <w:tcPr>
            <w:tcW w:w="4569" w:type="dxa"/>
            <w:tcBorders>
              <w:top w:val="single" w:sz="4" w:space="0" w:color="auto"/>
              <w:left w:val="single" w:sz="4" w:space="0" w:color="auto"/>
              <w:bottom w:val="single" w:sz="4" w:space="0" w:color="auto"/>
              <w:right w:val="single" w:sz="4" w:space="0" w:color="auto"/>
            </w:tcBorders>
          </w:tcPr>
          <w:p w14:paraId="5761E469" w14:textId="77777777" w:rsidR="00A56EE9" w:rsidRPr="00E70A11" w:rsidRDefault="008B5998" w:rsidP="00A11869">
            <w:pPr>
              <w:pStyle w:val="ListParagraph"/>
              <w:numPr>
                <w:ilvl w:val="0"/>
                <w:numId w:val="238"/>
              </w:numPr>
              <w:spacing w:after="200" w:line="276" w:lineRule="auto"/>
              <w:rPr>
                <w:rFonts w:ascii="Arial Narrow" w:hAnsi="Arial Narrow"/>
                <w:sz w:val="18"/>
                <w:szCs w:val="18"/>
              </w:rPr>
            </w:pPr>
            <w:hyperlink r:id="rId129" w:history="1">
              <w:r w:rsidR="00A56EE9" w:rsidRPr="00E70A11">
                <w:rPr>
                  <w:rStyle w:val="Hyperlink"/>
                  <w:rFonts w:ascii="Arial Narrow" w:hAnsi="Arial Narrow"/>
                  <w:sz w:val="18"/>
                  <w:szCs w:val="18"/>
                </w:rPr>
                <w:t>State Development Assessment Provisions version 2.1 (effective 11 August 2017)</w:t>
              </w:r>
            </w:hyperlink>
          </w:p>
          <w:p w14:paraId="5761E46A" w14:textId="77777777" w:rsidR="00A56EE9" w:rsidRPr="00E70A11" w:rsidRDefault="008B5998" w:rsidP="00A11869">
            <w:pPr>
              <w:pStyle w:val="ListParagraph"/>
              <w:numPr>
                <w:ilvl w:val="0"/>
                <w:numId w:val="238"/>
              </w:numPr>
              <w:spacing w:after="200" w:line="276" w:lineRule="auto"/>
              <w:rPr>
                <w:rFonts w:ascii="Arial Narrow" w:hAnsi="Arial Narrow"/>
                <w:sz w:val="18"/>
                <w:szCs w:val="18"/>
              </w:rPr>
            </w:pPr>
            <w:hyperlink r:id="rId130" w:history="1">
              <w:r w:rsidR="00A56EE9" w:rsidRPr="00E70A11">
                <w:rPr>
                  <w:rStyle w:val="Hyperlink"/>
                  <w:rFonts w:ascii="Arial Narrow" w:hAnsi="Arial Narrow"/>
                  <w:sz w:val="18"/>
                  <w:szCs w:val="18"/>
                  <w:lang w:val="en"/>
                </w:rPr>
                <w:t>Guideline: State Development Assessment Provisions, State Code 12: Development in a declared fish habitat area</w:t>
              </w:r>
            </w:hyperlink>
          </w:p>
          <w:p w14:paraId="5761E46B" w14:textId="77777777" w:rsidR="00A56EE9" w:rsidRPr="00E70A11" w:rsidRDefault="008B5998" w:rsidP="00A11869">
            <w:pPr>
              <w:pStyle w:val="ListParagraph"/>
              <w:numPr>
                <w:ilvl w:val="0"/>
                <w:numId w:val="238"/>
              </w:numPr>
              <w:spacing w:after="200" w:line="276" w:lineRule="auto"/>
              <w:rPr>
                <w:rFonts w:ascii="Arial Narrow" w:hAnsi="Arial Narrow"/>
                <w:sz w:val="18"/>
                <w:szCs w:val="18"/>
              </w:rPr>
            </w:pPr>
            <w:hyperlink r:id="rId131" w:history="1">
              <w:r w:rsidR="00A56EE9" w:rsidRPr="00E70A11">
                <w:rPr>
                  <w:rStyle w:val="Hyperlink"/>
                  <w:rFonts w:ascii="Arial Narrow" w:hAnsi="Arial Narrow"/>
                  <w:sz w:val="18"/>
                  <w:szCs w:val="18"/>
                </w:rPr>
                <w:t>Wetlands in the GBR catchments, Management Strategy 2016-21</w:t>
              </w:r>
            </w:hyperlink>
          </w:p>
          <w:p w14:paraId="5761E46C" w14:textId="77777777" w:rsidR="00A56EE9" w:rsidRPr="00E70A11" w:rsidRDefault="00A56EE9" w:rsidP="00A11869">
            <w:pPr>
              <w:pStyle w:val="ListParagraph"/>
              <w:numPr>
                <w:ilvl w:val="0"/>
                <w:numId w:val="238"/>
              </w:numPr>
              <w:spacing w:after="200" w:line="276" w:lineRule="auto"/>
              <w:rPr>
                <w:rStyle w:val="BookTitle"/>
                <w:rFonts w:ascii="Arial Narrow" w:hAnsi="Arial Narrow"/>
                <w:sz w:val="18"/>
                <w:szCs w:val="18"/>
              </w:rPr>
            </w:pPr>
            <w:r w:rsidRPr="00E70A11">
              <w:rPr>
                <w:rFonts w:ascii="Arial Narrow" w:hAnsi="Arial Narrow"/>
                <w:i/>
                <w:sz w:val="18"/>
                <w:szCs w:val="18"/>
                <w:lang w:val="en-GB"/>
              </w:rPr>
              <w:t>Planning Act 2016</w:t>
            </w:r>
            <w:r w:rsidRPr="00E70A11">
              <w:rPr>
                <w:rFonts w:ascii="Arial Narrow" w:hAnsi="Arial Narrow"/>
                <w:sz w:val="18"/>
                <w:szCs w:val="18"/>
                <w:lang w:val="en-GB"/>
              </w:rPr>
              <w:t xml:space="preserve"> (Qld)</w:t>
            </w:r>
          </w:p>
        </w:tc>
        <w:tc>
          <w:tcPr>
            <w:tcW w:w="974" w:type="dxa"/>
            <w:tcBorders>
              <w:top w:val="single" w:sz="4" w:space="0" w:color="auto"/>
              <w:left w:val="single" w:sz="4" w:space="0" w:color="auto"/>
              <w:bottom w:val="single" w:sz="4" w:space="0" w:color="auto"/>
              <w:right w:val="single" w:sz="4" w:space="0" w:color="auto"/>
            </w:tcBorders>
          </w:tcPr>
          <w:p w14:paraId="5761E46D"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6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47F"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70"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coastal development addresses the major factors influencing the Great Barrier Reef Region’s values.</w:t>
            </w:r>
          </w:p>
        </w:tc>
        <w:tc>
          <w:tcPr>
            <w:tcW w:w="668" w:type="dxa"/>
            <w:tcBorders>
              <w:top w:val="single" w:sz="4" w:space="0" w:color="auto"/>
              <w:left w:val="single" w:sz="4" w:space="0" w:color="auto"/>
              <w:bottom w:val="single" w:sz="4" w:space="0" w:color="auto"/>
              <w:right w:val="single" w:sz="4" w:space="0" w:color="auto"/>
            </w:tcBorders>
          </w:tcPr>
          <w:p w14:paraId="5761E471"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72" w14:textId="77777777" w:rsidR="00A56EE9" w:rsidRPr="00E70A11" w:rsidRDefault="00A56EE9" w:rsidP="00A11869">
            <w:pPr>
              <w:pStyle w:val="ListParagraph"/>
              <w:numPr>
                <w:ilvl w:val="0"/>
                <w:numId w:val="238"/>
              </w:numPr>
              <w:spacing w:after="200" w:line="276" w:lineRule="auto"/>
              <w:rPr>
                <w:rFonts w:ascii="Arial Narrow" w:hAnsi="Arial Narrow"/>
                <w:sz w:val="18"/>
                <w:szCs w:val="18"/>
                <w:lang w:val="en-GB"/>
              </w:rPr>
            </w:pPr>
            <w:r w:rsidRPr="00E70A11">
              <w:rPr>
                <w:rFonts w:ascii="Arial Narrow" w:hAnsi="Arial Narrow"/>
                <w:sz w:val="18"/>
                <w:szCs w:val="18"/>
                <w:lang w:val="en-GB"/>
              </w:rPr>
              <w:t xml:space="preserve">The </w:t>
            </w:r>
            <w:hyperlink r:id="rId132" w:history="1">
              <w:r w:rsidRPr="00E70A11">
                <w:rPr>
                  <w:rStyle w:val="Hyperlink"/>
                  <w:rFonts w:ascii="Arial Narrow" w:hAnsi="Arial Narrow"/>
                  <w:sz w:val="18"/>
                  <w:szCs w:val="18"/>
                </w:rPr>
                <w:t>State Planning Policy July 2017</w:t>
              </w:r>
            </w:hyperlink>
            <w:r w:rsidRPr="00E70A11">
              <w:rPr>
                <w:rFonts w:ascii="Arial Narrow" w:hAnsi="Arial Narrow"/>
                <w:sz w:val="18"/>
                <w:szCs w:val="18"/>
                <w:u w:val="single"/>
              </w:rPr>
              <w:t xml:space="preserve"> (SPP) </w:t>
            </w:r>
            <w:r w:rsidRPr="00E70A11">
              <w:rPr>
                <w:rFonts w:ascii="Arial Narrow" w:hAnsi="Arial Narrow"/>
                <w:sz w:val="18"/>
                <w:szCs w:val="18"/>
                <w:lang w:val="en-GB"/>
              </w:rPr>
              <w:t>commenced on 3 July 2017 and replaces State Planning Policy April 2016. The SPP is applied only to regional planning or local government planning scheme making, and in the main not relevant to individual development applications.</w:t>
            </w:r>
            <w:r>
              <w:rPr>
                <w:rFonts w:ascii="Arial Narrow" w:hAnsi="Arial Narrow"/>
                <w:sz w:val="18"/>
                <w:szCs w:val="18"/>
                <w:lang w:val="en-GB"/>
              </w:rPr>
              <w:t xml:space="preserve"> </w:t>
            </w:r>
            <w:r w:rsidRPr="00E70A11">
              <w:rPr>
                <w:rFonts w:ascii="Arial Narrow" w:hAnsi="Arial Narrow"/>
                <w:sz w:val="18"/>
                <w:szCs w:val="18"/>
                <w:lang w:val="en-GB"/>
              </w:rPr>
              <w:t>This includes fisheries species protection</w:t>
            </w:r>
          </w:p>
          <w:p w14:paraId="5761E473" w14:textId="77777777" w:rsidR="00A56EE9" w:rsidRPr="00E70A11" w:rsidRDefault="00A56EE9" w:rsidP="00A11869">
            <w:pPr>
              <w:pStyle w:val="ListParagraph"/>
              <w:numPr>
                <w:ilvl w:val="0"/>
                <w:numId w:val="238"/>
              </w:numPr>
              <w:spacing w:after="200" w:line="276" w:lineRule="auto"/>
              <w:rPr>
                <w:rFonts w:ascii="Arial Narrow" w:hAnsi="Arial Narrow"/>
                <w:sz w:val="18"/>
                <w:szCs w:val="18"/>
              </w:rPr>
            </w:pPr>
            <w:r w:rsidRPr="00E70A11">
              <w:rPr>
                <w:rFonts w:ascii="Arial Narrow" w:hAnsi="Arial Narrow"/>
                <w:sz w:val="18"/>
                <w:szCs w:val="18"/>
                <w:lang w:val="en-GB"/>
              </w:rPr>
              <w:t>The Coastal Ecosystems position statement prioritises areas for protection and restoration to improve ecosystem services</w:t>
            </w:r>
            <w:r w:rsidRPr="00E70A11">
              <w:rPr>
                <w:rFonts w:ascii="Arial Narrow" w:eastAsia="Times New Roman" w:hAnsi="Arial Narrow"/>
                <w:sz w:val="18"/>
                <w:szCs w:val="18"/>
                <w:lang w:eastAsia="en-AU"/>
              </w:rPr>
              <w:t xml:space="preserve"> </w:t>
            </w:r>
          </w:p>
          <w:p w14:paraId="5761E474" w14:textId="77777777" w:rsidR="00A56EE9" w:rsidRPr="00E70A11" w:rsidRDefault="00A56EE9" w:rsidP="00A11869">
            <w:pPr>
              <w:pStyle w:val="ListParagraph"/>
              <w:numPr>
                <w:ilvl w:val="0"/>
                <w:numId w:val="238"/>
              </w:numPr>
              <w:spacing w:after="200" w:line="276" w:lineRule="auto"/>
              <w:rPr>
                <w:rFonts w:ascii="Arial Narrow" w:hAnsi="Arial Narrow"/>
                <w:sz w:val="18"/>
                <w:szCs w:val="18"/>
              </w:rPr>
            </w:pPr>
            <w:r w:rsidRPr="00E70A11">
              <w:rPr>
                <w:rFonts w:ascii="Arial Narrow" w:hAnsi="Arial Narrow"/>
                <w:sz w:val="18"/>
                <w:szCs w:val="18"/>
              </w:rPr>
              <w:t>The 2016 Reef 2050 Policy Guideline for Decision Makers is for all government, community and industry decision makers who are updating or creating policies, plans, strategies, program or partnerships that affect the Great Barrier Reef. The purpose of the Guideline is to provide assistance to these decision makers to understand the Reef 2050 Plan and consider its targets and objectives in their decisions.</w:t>
            </w:r>
          </w:p>
          <w:p w14:paraId="5761E475" w14:textId="77777777" w:rsidR="00A56EE9" w:rsidRPr="00E70A11" w:rsidRDefault="00A56EE9" w:rsidP="00BB6AD5">
            <w:pPr>
              <w:pStyle w:val="ListParagraph"/>
              <w:rPr>
                <w:rStyle w:val="BookTitle"/>
                <w:rFonts w:ascii="Arial Narrow" w:hAnsi="Arial Narrow"/>
                <w:sz w:val="18"/>
                <w:szCs w:val="18"/>
              </w:rPr>
            </w:pPr>
          </w:p>
        </w:tc>
        <w:tc>
          <w:tcPr>
            <w:tcW w:w="4569" w:type="dxa"/>
            <w:tcBorders>
              <w:top w:val="single" w:sz="4" w:space="0" w:color="auto"/>
              <w:left w:val="single" w:sz="4" w:space="0" w:color="auto"/>
              <w:bottom w:val="single" w:sz="4" w:space="0" w:color="auto"/>
              <w:right w:val="single" w:sz="4" w:space="0" w:color="auto"/>
            </w:tcBorders>
          </w:tcPr>
          <w:p w14:paraId="5761E476" w14:textId="77777777" w:rsidR="00A56EE9" w:rsidRPr="00E70A11" w:rsidRDefault="008B5998" w:rsidP="00A11869">
            <w:pPr>
              <w:pStyle w:val="ListParagraph"/>
              <w:numPr>
                <w:ilvl w:val="0"/>
                <w:numId w:val="238"/>
              </w:numPr>
              <w:spacing w:after="200" w:line="276" w:lineRule="auto"/>
              <w:rPr>
                <w:rStyle w:val="Hyperlink"/>
                <w:rFonts w:ascii="Arial Narrow" w:hAnsi="Arial Narrow"/>
                <w:sz w:val="18"/>
                <w:szCs w:val="18"/>
              </w:rPr>
            </w:pPr>
            <w:hyperlink r:id="rId133" w:history="1">
              <w:r w:rsidR="00A56EE9" w:rsidRPr="00E70A11">
                <w:rPr>
                  <w:rStyle w:val="Hyperlink"/>
                  <w:rFonts w:ascii="Arial Narrow" w:hAnsi="Arial Narrow"/>
                  <w:sz w:val="18"/>
                  <w:szCs w:val="18"/>
                </w:rPr>
                <w:t>State Planning Policy July 2017</w:t>
              </w:r>
            </w:hyperlink>
          </w:p>
          <w:p w14:paraId="5761E477" w14:textId="77777777" w:rsidR="00A56EE9" w:rsidRPr="00E70A11" w:rsidRDefault="00A56EE9" w:rsidP="00A11869">
            <w:pPr>
              <w:pStyle w:val="ListParagraph"/>
              <w:numPr>
                <w:ilvl w:val="0"/>
                <w:numId w:val="238"/>
              </w:numPr>
              <w:spacing w:after="200" w:line="276" w:lineRule="auto"/>
              <w:rPr>
                <w:rFonts w:ascii="Arial Narrow" w:hAnsi="Arial Narrow"/>
                <w:sz w:val="18"/>
                <w:szCs w:val="18"/>
              </w:rPr>
            </w:pPr>
            <w:r w:rsidRPr="00E70A11">
              <w:rPr>
                <w:rFonts w:ascii="Arial Narrow" w:hAnsi="Arial Narrow"/>
                <w:i/>
                <w:color w:val="0000FF"/>
                <w:sz w:val="18"/>
                <w:szCs w:val="18"/>
                <w:u w:val="single"/>
                <w:lang w:val="en-GB"/>
              </w:rPr>
              <w:t>Planning Act 2016</w:t>
            </w:r>
            <w:r w:rsidRPr="00E70A11">
              <w:rPr>
                <w:rFonts w:ascii="Arial Narrow" w:hAnsi="Arial Narrow"/>
                <w:color w:val="0000FF"/>
                <w:sz w:val="18"/>
                <w:szCs w:val="18"/>
                <w:u w:val="single"/>
                <w:lang w:val="en-GB"/>
              </w:rPr>
              <w:t xml:space="preserve"> (Qld)</w:t>
            </w:r>
          </w:p>
          <w:p w14:paraId="5761E478" w14:textId="77777777" w:rsidR="00A56EE9" w:rsidRPr="00E70A11" w:rsidRDefault="008B5998" w:rsidP="00A11869">
            <w:pPr>
              <w:pStyle w:val="ListParagraph"/>
              <w:numPr>
                <w:ilvl w:val="0"/>
                <w:numId w:val="238"/>
              </w:numPr>
              <w:spacing w:after="200" w:line="276" w:lineRule="auto"/>
              <w:rPr>
                <w:rFonts w:ascii="Arial Narrow" w:hAnsi="Arial Narrow"/>
                <w:sz w:val="18"/>
                <w:szCs w:val="18"/>
              </w:rPr>
            </w:pPr>
            <w:hyperlink r:id="rId134" w:history="1">
              <w:r w:rsidR="00A56EE9" w:rsidRPr="00E70A11">
                <w:rPr>
                  <w:rStyle w:val="Hyperlink"/>
                  <w:rFonts w:ascii="Arial Narrow" w:hAnsi="Arial Narrow"/>
                  <w:sz w:val="18"/>
                  <w:szCs w:val="18"/>
                </w:rPr>
                <w:t>Reef 2050 Long-Term Sustainability Plan</w:t>
              </w:r>
            </w:hyperlink>
          </w:p>
          <w:p w14:paraId="5761E479" w14:textId="77777777" w:rsidR="00A56EE9" w:rsidRPr="00E70A11" w:rsidRDefault="00A56EE9" w:rsidP="00A11869">
            <w:pPr>
              <w:pStyle w:val="ListParagraph"/>
              <w:numPr>
                <w:ilvl w:val="0"/>
                <w:numId w:val="238"/>
              </w:numPr>
              <w:spacing w:after="200" w:line="276" w:lineRule="auto"/>
              <w:rPr>
                <w:rFonts w:ascii="Arial Narrow" w:hAnsi="Arial Narrow"/>
                <w:sz w:val="18"/>
                <w:szCs w:val="18"/>
              </w:rPr>
            </w:pPr>
            <w:r w:rsidRPr="00E70A11">
              <w:rPr>
                <w:rFonts w:ascii="Arial Narrow" w:hAnsi="Arial Narrow"/>
                <w:sz w:val="18"/>
                <w:szCs w:val="18"/>
              </w:rPr>
              <w:t xml:space="preserve">Draft </w:t>
            </w:r>
            <w:hyperlink r:id="rId135" w:history="1">
              <w:r w:rsidRPr="00E70A11">
                <w:rPr>
                  <w:rStyle w:val="Hyperlink"/>
                  <w:rFonts w:ascii="Arial Narrow" w:hAnsi="Arial Narrow"/>
                  <w:sz w:val="18"/>
                  <w:szCs w:val="18"/>
                </w:rPr>
                <w:t>Coastal Ecosystem – position statement</w:t>
              </w:r>
            </w:hyperlink>
            <w:r w:rsidRPr="00E70A11">
              <w:rPr>
                <w:rFonts w:ascii="Arial Narrow" w:hAnsi="Arial Narrow"/>
                <w:sz w:val="18"/>
                <w:szCs w:val="18"/>
              </w:rPr>
              <w:t xml:space="preserve"> public consultation</w:t>
            </w:r>
          </w:p>
          <w:p w14:paraId="5761E47A" w14:textId="77777777" w:rsidR="00A56EE9" w:rsidRPr="00E70A11" w:rsidRDefault="008B5998" w:rsidP="00A11869">
            <w:pPr>
              <w:pStyle w:val="ListParagraph"/>
              <w:numPr>
                <w:ilvl w:val="0"/>
                <w:numId w:val="238"/>
              </w:numPr>
              <w:spacing w:after="200" w:line="276" w:lineRule="auto"/>
              <w:rPr>
                <w:rStyle w:val="Hyperlink"/>
                <w:rFonts w:ascii="Arial Narrow" w:hAnsi="Arial Narrow"/>
                <w:sz w:val="18"/>
                <w:szCs w:val="18"/>
              </w:rPr>
            </w:pPr>
            <w:hyperlink r:id="rId136" w:history="1">
              <w:r w:rsidR="00A56EE9" w:rsidRPr="00E70A11">
                <w:rPr>
                  <w:rStyle w:val="Hyperlink"/>
                  <w:rFonts w:ascii="Arial Narrow" w:hAnsi="Arial Narrow"/>
                  <w:iCs/>
                  <w:sz w:val="18"/>
                  <w:szCs w:val="18"/>
                  <w:lang w:val="en"/>
                </w:rPr>
                <w:t>Reef 2050 Policy Guideline for Decision Makers</w:t>
              </w:r>
            </w:hyperlink>
          </w:p>
          <w:p w14:paraId="5761E47B" w14:textId="77777777" w:rsidR="00A56EE9" w:rsidRPr="00E70A11" w:rsidRDefault="008B5998" w:rsidP="00A11869">
            <w:pPr>
              <w:pStyle w:val="ListParagraph"/>
              <w:numPr>
                <w:ilvl w:val="0"/>
                <w:numId w:val="238"/>
              </w:numPr>
              <w:spacing w:after="200" w:line="276" w:lineRule="auto"/>
              <w:rPr>
                <w:rFonts w:ascii="Arial Narrow" w:hAnsi="Arial Narrow"/>
                <w:iCs/>
                <w:color w:val="0000FF"/>
                <w:sz w:val="18"/>
                <w:szCs w:val="18"/>
                <w:u w:val="single"/>
              </w:rPr>
            </w:pPr>
            <w:hyperlink r:id="rId137" w:history="1">
              <w:r w:rsidR="00A56EE9" w:rsidRPr="00E70A11">
                <w:rPr>
                  <w:rStyle w:val="Hyperlink"/>
                  <w:rFonts w:ascii="Arial Narrow" w:hAnsi="Arial Narrow"/>
                  <w:iCs/>
                  <w:sz w:val="18"/>
                  <w:szCs w:val="18"/>
                </w:rPr>
                <w:t>Wetlands in the GBR catchments, Management Strategy 2016-21</w:t>
              </w:r>
            </w:hyperlink>
          </w:p>
          <w:p w14:paraId="5761E47C" w14:textId="77777777" w:rsidR="00A56EE9" w:rsidRPr="00E70A11" w:rsidRDefault="00A56EE9" w:rsidP="00BB6AD5">
            <w:pPr>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47D"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7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493"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80"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coastal development are clearly identified within the plan </w:t>
            </w:r>
          </w:p>
        </w:tc>
        <w:tc>
          <w:tcPr>
            <w:tcW w:w="668" w:type="dxa"/>
            <w:tcBorders>
              <w:top w:val="single" w:sz="4" w:space="0" w:color="auto"/>
              <w:left w:val="single" w:sz="4" w:space="0" w:color="auto"/>
              <w:bottom w:val="single" w:sz="4" w:space="0" w:color="auto"/>
              <w:right w:val="single" w:sz="4" w:space="0" w:color="auto"/>
            </w:tcBorders>
          </w:tcPr>
          <w:p w14:paraId="5761E481"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82" w14:textId="77777777" w:rsidR="00A56EE9" w:rsidRPr="00E70A11" w:rsidRDefault="00A56EE9" w:rsidP="00A11869">
            <w:pPr>
              <w:pStyle w:val="ListParagraph"/>
              <w:numPr>
                <w:ilvl w:val="0"/>
                <w:numId w:val="23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State Planning policy clearly identifies actions for implementation regarding coastal development.</w:t>
            </w:r>
          </w:p>
          <w:p w14:paraId="5761E483" w14:textId="77777777" w:rsidR="00A56EE9" w:rsidRPr="00E70A11" w:rsidRDefault="00A56EE9" w:rsidP="00A11869">
            <w:pPr>
              <w:pStyle w:val="ListParagraph"/>
              <w:numPr>
                <w:ilvl w:val="0"/>
                <w:numId w:val="237"/>
              </w:numPr>
              <w:spacing w:after="200" w:line="276" w:lineRule="auto"/>
              <w:rPr>
                <w:rFonts w:ascii="Arial Narrow" w:hAnsi="Arial Narrow"/>
                <w:sz w:val="18"/>
                <w:szCs w:val="18"/>
              </w:rPr>
            </w:pPr>
            <w:r w:rsidRPr="00E70A11">
              <w:rPr>
                <w:rFonts w:ascii="Arial Narrow" w:hAnsi="Arial Narrow"/>
                <w:sz w:val="18"/>
                <w:szCs w:val="18"/>
              </w:rPr>
              <w:t xml:space="preserve">State development area development schemes do not clearly identify actions for implementation but plan for management of impacts and have assessment processes in place that manage impacts that arise from coastal development. Pursuant to the </w:t>
            </w:r>
            <w:r w:rsidRPr="00E70A11">
              <w:rPr>
                <w:rFonts w:ascii="Arial Narrow" w:hAnsi="Arial Narrow"/>
                <w:i/>
                <w:sz w:val="18"/>
                <w:szCs w:val="18"/>
              </w:rPr>
              <w:t>State Development and Public Works Organisation Act 1971</w:t>
            </w:r>
            <w:r w:rsidRPr="00E70A11">
              <w:rPr>
                <w:rFonts w:ascii="Arial Narrow" w:hAnsi="Arial Narrow"/>
                <w:sz w:val="18"/>
                <w:szCs w:val="18"/>
              </w:rPr>
              <w:t xml:space="preserve"> (Qld) declared state development area establishes a framework of compliance and management in accordance with conditions of approval.</w:t>
            </w:r>
          </w:p>
          <w:p w14:paraId="5761E484" w14:textId="77777777" w:rsidR="00A56EE9" w:rsidRPr="00E70A11" w:rsidRDefault="00A56EE9" w:rsidP="00A11869">
            <w:pPr>
              <w:pStyle w:val="ListParagraph"/>
              <w:numPr>
                <w:ilvl w:val="0"/>
                <w:numId w:val="237"/>
              </w:numPr>
              <w:spacing w:after="200" w:line="276" w:lineRule="auto"/>
              <w:rPr>
                <w:rFonts w:ascii="Arial Narrow" w:hAnsi="Arial Narrow"/>
                <w:b/>
                <w:sz w:val="18"/>
                <w:szCs w:val="18"/>
                <w:u w:val="single"/>
              </w:rPr>
            </w:pPr>
            <w:r w:rsidRPr="00E70A11">
              <w:rPr>
                <w:rFonts w:ascii="Arial Narrow" w:hAnsi="Arial Narrow"/>
                <w:sz w:val="18"/>
                <w:szCs w:val="18"/>
              </w:rPr>
              <w:t>Coastal Ecosystems Assessment Framework defines each coastal ecosystem and document the vulnerabilities to known pressures identify present management tools and appropriate and practical management actions that could be taken to mitigate risk and enhance coastal ecosystem resilience</w:t>
            </w:r>
          </w:p>
          <w:p w14:paraId="5761E485" w14:textId="77777777" w:rsidR="00A56EE9" w:rsidRPr="00E70A11" w:rsidRDefault="00A56EE9" w:rsidP="00A11869">
            <w:pPr>
              <w:pStyle w:val="ListParagraph"/>
              <w:numPr>
                <w:ilvl w:val="0"/>
                <w:numId w:val="237"/>
              </w:numPr>
              <w:spacing w:after="200" w:line="276" w:lineRule="auto"/>
              <w:rPr>
                <w:rFonts w:ascii="Arial Narrow" w:hAnsi="Arial Narrow"/>
                <w:sz w:val="18"/>
                <w:szCs w:val="18"/>
              </w:rPr>
            </w:pPr>
            <w:r w:rsidRPr="00E70A11">
              <w:rPr>
                <w:rFonts w:ascii="Arial Narrow" w:hAnsi="Arial Narrow"/>
                <w:sz w:val="18"/>
                <w:szCs w:val="18"/>
              </w:rPr>
              <w:t>Reef 2050 Plan – presents actions to protect the values, health and resilience, while allowing ecological sustainable use.</w:t>
            </w:r>
          </w:p>
          <w:p w14:paraId="5761E486" w14:textId="77777777" w:rsidR="00A56EE9" w:rsidRPr="00E70A11" w:rsidRDefault="00A56EE9" w:rsidP="00A11869">
            <w:pPr>
              <w:pStyle w:val="ListParagraph"/>
              <w:numPr>
                <w:ilvl w:val="0"/>
                <w:numId w:val="237"/>
              </w:numPr>
              <w:spacing w:after="200" w:line="276" w:lineRule="auto"/>
              <w:rPr>
                <w:rFonts w:ascii="Arial Narrow" w:hAnsi="Arial Narrow"/>
                <w:sz w:val="18"/>
                <w:szCs w:val="18"/>
              </w:rPr>
            </w:pPr>
            <w:r w:rsidRPr="00E70A11">
              <w:rPr>
                <w:rFonts w:ascii="Arial Narrow" w:hAnsi="Arial Narrow"/>
                <w:sz w:val="18"/>
                <w:szCs w:val="18"/>
              </w:rPr>
              <w:t>Coastal ecosystems position statement outlines specific principles and actions that protect, restore and manage functions of coastal ecosystems</w:t>
            </w:r>
          </w:p>
          <w:p w14:paraId="5761E487" w14:textId="77777777" w:rsidR="00A56EE9" w:rsidRPr="00E70A11" w:rsidRDefault="00A56EE9" w:rsidP="00A11869">
            <w:pPr>
              <w:pStyle w:val="ListParagraph"/>
              <w:numPr>
                <w:ilvl w:val="0"/>
                <w:numId w:val="23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Wetlands in the Great Barrier Reef</w:t>
            </w:r>
            <w:r>
              <w:rPr>
                <w:rStyle w:val="BookTitle"/>
                <w:rFonts w:ascii="Arial Narrow" w:hAnsi="Arial Narrow"/>
                <w:sz w:val="18"/>
                <w:szCs w:val="18"/>
              </w:rPr>
              <w:t xml:space="preserve"> </w:t>
            </w:r>
            <w:r w:rsidRPr="00E70A11">
              <w:rPr>
                <w:rStyle w:val="BookTitle"/>
                <w:rFonts w:ascii="Arial Narrow" w:hAnsi="Arial Narrow"/>
                <w:sz w:val="18"/>
                <w:szCs w:val="18"/>
              </w:rPr>
              <w:t>Catchments Management Strategy 2016-2021 identifies actions and assist in decision making, on-ground activities and monitoring and evaluation</w:t>
            </w:r>
          </w:p>
        </w:tc>
        <w:tc>
          <w:tcPr>
            <w:tcW w:w="4569" w:type="dxa"/>
            <w:tcBorders>
              <w:top w:val="single" w:sz="4" w:space="0" w:color="auto"/>
              <w:left w:val="single" w:sz="4" w:space="0" w:color="auto"/>
              <w:bottom w:val="single" w:sz="4" w:space="0" w:color="auto"/>
              <w:right w:val="single" w:sz="4" w:space="0" w:color="auto"/>
            </w:tcBorders>
          </w:tcPr>
          <w:p w14:paraId="5761E488" w14:textId="77777777" w:rsidR="00A56EE9" w:rsidRPr="00E70A11" w:rsidRDefault="00A56EE9" w:rsidP="00A11869">
            <w:pPr>
              <w:pStyle w:val="ListParagraph"/>
              <w:numPr>
                <w:ilvl w:val="0"/>
                <w:numId w:val="237"/>
              </w:numPr>
              <w:spacing w:after="200" w:line="276" w:lineRule="auto"/>
              <w:rPr>
                <w:rFonts w:ascii="Arial Narrow" w:hAnsi="Arial Narrow"/>
                <w:sz w:val="18"/>
                <w:szCs w:val="18"/>
              </w:rPr>
            </w:pPr>
            <w:r w:rsidRPr="00E70A11">
              <w:rPr>
                <w:rFonts w:ascii="Arial Narrow" w:hAnsi="Arial Narrow"/>
                <w:sz w:val="18"/>
                <w:szCs w:val="18"/>
              </w:rPr>
              <w:t xml:space="preserve">State </w:t>
            </w:r>
            <w:hyperlink r:id="rId138" w:history="1">
              <w:r w:rsidRPr="00E70A11">
                <w:rPr>
                  <w:rStyle w:val="Hyperlink"/>
                  <w:rFonts w:ascii="Arial Narrow" w:hAnsi="Arial Narrow"/>
                  <w:sz w:val="18"/>
                  <w:szCs w:val="18"/>
                </w:rPr>
                <w:t>Progress report on government election commitments 2016-2017</w:t>
              </w:r>
            </w:hyperlink>
            <w:r w:rsidRPr="00E70A11">
              <w:rPr>
                <w:rFonts w:ascii="Arial Narrow" w:hAnsi="Arial Narrow"/>
                <w:sz w:val="18"/>
                <w:szCs w:val="18"/>
              </w:rPr>
              <w:t xml:space="preserve"> </w:t>
            </w:r>
          </w:p>
          <w:p w14:paraId="5761E489" w14:textId="77777777" w:rsidR="00A56EE9" w:rsidRPr="00E70A11" w:rsidRDefault="008B5998" w:rsidP="00A11869">
            <w:pPr>
              <w:pStyle w:val="ListParagraph"/>
              <w:numPr>
                <w:ilvl w:val="0"/>
                <w:numId w:val="237"/>
              </w:numPr>
              <w:spacing w:after="200" w:line="276" w:lineRule="auto"/>
              <w:rPr>
                <w:rFonts w:ascii="Arial Narrow" w:hAnsi="Arial Narrow"/>
                <w:sz w:val="18"/>
                <w:szCs w:val="18"/>
              </w:rPr>
            </w:pPr>
            <w:hyperlink r:id="rId139" w:history="1">
              <w:r w:rsidR="00A56EE9" w:rsidRPr="00E70A11">
                <w:rPr>
                  <w:rStyle w:val="Hyperlink"/>
                  <w:rFonts w:ascii="Arial Narrow" w:hAnsi="Arial Narrow"/>
                  <w:sz w:val="18"/>
                  <w:szCs w:val="18"/>
                </w:rPr>
                <w:t>Reef 2050 Long-Term Sustainability Plan</w:t>
              </w:r>
            </w:hyperlink>
          </w:p>
          <w:p w14:paraId="5761E48A" w14:textId="77777777" w:rsidR="00A56EE9" w:rsidRPr="00E70A11" w:rsidRDefault="008B5998" w:rsidP="00A11869">
            <w:pPr>
              <w:pStyle w:val="ListParagraph"/>
              <w:numPr>
                <w:ilvl w:val="0"/>
                <w:numId w:val="237"/>
              </w:numPr>
              <w:spacing w:after="200" w:line="276" w:lineRule="auto"/>
              <w:rPr>
                <w:rFonts w:ascii="Arial Narrow" w:hAnsi="Arial Narrow"/>
                <w:sz w:val="18"/>
                <w:szCs w:val="18"/>
              </w:rPr>
            </w:pPr>
            <w:hyperlink r:id="rId140" w:history="1">
              <w:r w:rsidR="00A56EE9" w:rsidRPr="00E70A11">
                <w:rPr>
                  <w:rStyle w:val="Hyperlink"/>
                  <w:rFonts w:ascii="Arial Narrow" w:hAnsi="Arial Narrow"/>
                  <w:sz w:val="18"/>
                  <w:szCs w:val="18"/>
                </w:rPr>
                <w:t>Informing the Outlook for Great Barrier Reef coastal ecosystems</w:t>
              </w:r>
            </w:hyperlink>
          </w:p>
          <w:p w14:paraId="5761E48B" w14:textId="77777777" w:rsidR="00A56EE9" w:rsidRPr="00E70A11" w:rsidRDefault="008B5998" w:rsidP="00A11869">
            <w:pPr>
              <w:pStyle w:val="ListParagraph"/>
              <w:numPr>
                <w:ilvl w:val="0"/>
                <w:numId w:val="237"/>
              </w:numPr>
              <w:spacing w:after="200" w:line="276" w:lineRule="auto"/>
              <w:rPr>
                <w:rFonts w:ascii="Arial Narrow" w:hAnsi="Arial Narrow"/>
                <w:sz w:val="18"/>
                <w:szCs w:val="18"/>
              </w:rPr>
            </w:pPr>
            <w:hyperlink r:id="rId141" w:history="1">
              <w:r w:rsidR="00A56EE9" w:rsidRPr="00E70A11">
                <w:rPr>
                  <w:rStyle w:val="Hyperlink"/>
                  <w:rFonts w:ascii="Arial Narrow" w:hAnsi="Arial Narrow"/>
                  <w:sz w:val="18"/>
                  <w:szCs w:val="18"/>
                </w:rPr>
                <w:t>State Planning Policy July 2017</w:t>
              </w:r>
            </w:hyperlink>
          </w:p>
          <w:p w14:paraId="5761E48C" w14:textId="77777777" w:rsidR="00A56EE9" w:rsidRPr="00E70A11" w:rsidRDefault="008B5998" w:rsidP="00A11869">
            <w:pPr>
              <w:pStyle w:val="ListParagraph"/>
              <w:numPr>
                <w:ilvl w:val="0"/>
                <w:numId w:val="237"/>
              </w:numPr>
              <w:spacing w:after="200" w:line="276" w:lineRule="auto"/>
              <w:rPr>
                <w:rFonts w:ascii="Arial Narrow" w:hAnsi="Arial Narrow"/>
                <w:sz w:val="18"/>
                <w:szCs w:val="18"/>
              </w:rPr>
            </w:pPr>
            <w:hyperlink r:id="rId142" w:history="1">
              <w:r w:rsidR="00A56EE9" w:rsidRPr="00E70A11">
                <w:rPr>
                  <w:rStyle w:val="Hyperlink"/>
                  <w:rFonts w:ascii="Arial Narrow" w:hAnsi="Arial Narrow"/>
                  <w:sz w:val="18"/>
                  <w:szCs w:val="18"/>
                </w:rPr>
                <w:t>Reef 2050 Long-Term Sustainability Plan</w:t>
              </w:r>
            </w:hyperlink>
          </w:p>
          <w:p w14:paraId="5761E48D" w14:textId="77777777" w:rsidR="00A56EE9" w:rsidRPr="00E70A11" w:rsidRDefault="00A56EE9" w:rsidP="00A11869">
            <w:pPr>
              <w:pStyle w:val="ListParagraph"/>
              <w:numPr>
                <w:ilvl w:val="0"/>
                <w:numId w:val="237"/>
              </w:numPr>
              <w:spacing w:after="200" w:line="276" w:lineRule="auto"/>
              <w:rPr>
                <w:rFonts w:ascii="Arial Narrow" w:hAnsi="Arial Narrow"/>
                <w:sz w:val="18"/>
                <w:szCs w:val="18"/>
              </w:rPr>
            </w:pPr>
            <w:r w:rsidRPr="00E70A11">
              <w:rPr>
                <w:rFonts w:ascii="Arial Narrow" w:hAnsi="Arial Narrow"/>
                <w:sz w:val="18"/>
                <w:szCs w:val="18"/>
              </w:rPr>
              <w:t xml:space="preserve">Draft </w:t>
            </w:r>
            <w:hyperlink r:id="rId143" w:history="1">
              <w:r w:rsidRPr="00E70A11">
                <w:rPr>
                  <w:rStyle w:val="Hyperlink"/>
                  <w:rFonts w:ascii="Arial Narrow" w:hAnsi="Arial Narrow"/>
                  <w:sz w:val="18"/>
                  <w:szCs w:val="18"/>
                </w:rPr>
                <w:t>Coastal Ecosystem – position statement</w:t>
              </w:r>
            </w:hyperlink>
            <w:r w:rsidRPr="00E70A11">
              <w:rPr>
                <w:rFonts w:ascii="Arial Narrow" w:hAnsi="Arial Narrow"/>
                <w:sz w:val="18"/>
                <w:szCs w:val="18"/>
              </w:rPr>
              <w:t xml:space="preserve"> public consultation</w:t>
            </w:r>
          </w:p>
          <w:p w14:paraId="5761E48E" w14:textId="77777777" w:rsidR="00A56EE9" w:rsidRPr="00E70A11" w:rsidRDefault="008B5998" w:rsidP="00A11869">
            <w:pPr>
              <w:pStyle w:val="ListParagraph"/>
              <w:numPr>
                <w:ilvl w:val="0"/>
                <w:numId w:val="237"/>
              </w:numPr>
              <w:spacing w:after="200" w:line="276" w:lineRule="auto"/>
              <w:rPr>
                <w:rFonts w:ascii="Arial Narrow" w:hAnsi="Arial Narrow"/>
                <w:sz w:val="18"/>
                <w:szCs w:val="18"/>
              </w:rPr>
            </w:pPr>
            <w:hyperlink r:id="rId144" w:history="1">
              <w:r w:rsidR="00A56EE9" w:rsidRPr="00E70A11">
                <w:rPr>
                  <w:rStyle w:val="Hyperlink"/>
                  <w:rFonts w:ascii="Arial Narrow" w:hAnsi="Arial Narrow"/>
                  <w:sz w:val="18"/>
                  <w:szCs w:val="18"/>
                </w:rPr>
                <w:t>Wetlands in the GBR catchments, Management Strategy 2016-21</w:t>
              </w:r>
            </w:hyperlink>
          </w:p>
          <w:p w14:paraId="5761E48F" w14:textId="77777777" w:rsidR="00A56EE9" w:rsidRPr="00E70A11" w:rsidRDefault="00A56EE9" w:rsidP="00A11869">
            <w:pPr>
              <w:pStyle w:val="ListParagraph"/>
              <w:numPr>
                <w:ilvl w:val="0"/>
                <w:numId w:val="237"/>
              </w:numPr>
              <w:spacing w:after="200" w:line="276" w:lineRule="auto"/>
              <w:rPr>
                <w:rFonts w:ascii="Arial Narrow" w:hAnsi="Arial Narrow"/>
                <w:sz w:val="18"/>
                <w:szCs w:val="18"/>
              </w:rPr>
            </w:pPr>
            <w:r w:rsidRPr="00E70A11">
              <w:rPr>
                <w:rFonts w:ascii="Arial Narrow" w:hAnsi="Arial Narrow"/>
                <w:sz w:val="18"/>
                <w:szCs w:val="18"/>
                <w:lang w:val="en"/>
              </w:rPr>
              <w:t xml:space="preserve">Draft </w:t>
            </w:r>
            <w:hyperlink r:id="rId145" w:history="1">
              <w:r w:rsidRPr="00E70A11">
                <w:rPr>
                  <w:rStyle w:val="Hyperlink"/>
                  <w:rFonts w:ascii="Arial Narrow" w:hAnsi="Arial Narrow"/>
                  <w:sz w:val="18"/>
                  <w:szCs w:val="18"/>
                  <w:lang w:val="en"/>
                </w:rPr>
                <w:t>Reef 2050 Water Quality Improvement Plan 2017-2022</w:t>
              </w:r>
            </w:hyperlink>
          </w:p>
          <w:p w14:paraId="5761E490"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491"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9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4A2"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94"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coastal development have been documented</w:t>
            </w:r>
          </w:p>
        </w:tc>
        <w:tc>
          <w:tcPr>
            <w:tcW w:w="668" w:type="dxa"/>
            <w:tcBorders>
              <w:top w:val="single" w:sz="4" w:space="0" w:color="auto"/>
              <w:left w:val="single" w:sz="4" w:space="0" w:color="auto"/>
              <w:bottom w:val="single" w:sz="4" w:space="0" w:color="auto"/>
              <w:right w:val="single" w:sz="4" w:space="0" w:color="auto"/>
            </w:tcBorders>
          </w:tcPr>
          <w:p w14:paraId="5761E495"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96" w14:textId="77777777" w:rsidR="00A56EE9" w:rsidRPr="00E70A11" w:rsidRDefault="00A56EE9" w:rsidP="00A11869">
            <w:pPr>
              <w:pStyle w:val="ListParagraph"/>
              <w:numPr>
                <w:ilvl w:val="0"/>
                <w:numId w:val="237"/>
              </w:numPr>
              <w:spacing w:after="200" w:line="276" w:lineRule="auto"/>
              <w:rPr>
                <w:rFonts w:ascii="Arial Narrow" w:hAnsi="Arial Narrow"/>
                <w:sz w:val="18"/>
                <w:szCs w:val="18"/>
              </w:rPr>
            </w:pPr>
            <w:r w:rsidRPr="00E70A11">
              <w:rPr>
                <w:rFonts w:ascii="Arial Narrow" w:hAnsi="Arial Narrow"/>
                <w:sz w:val="18"/>
                <w:szCs w:val="18"/>
              </w:rPr>
              <w:t>Through the Reef 2050 Plan and the GBR Coastal Zone Strategic Assessment the QLD government committed to ensuring the development in the GBR coastal zones occurs in an ecologically sustainable manner and that negative impacts are avoided. Reef 2050 outlines a number of clear, measurable and appropriate objectives.</w:t>
            </w:r>
          </w:p>
          <w:p w14:paraId="5761E497" w14:textId="77777777" w:rsidR="00A56EE9" w:rsidRPr="00E70A11" w:rsidRDefault="00A56EE9" w:rsidP="00A11869">
            <w:pPr>
              <w:pStyle w:val="ListParagraph"/>
              <w:numPr>
                <w:ilvl w:val="0"/>
                <w:numId w:val="237"/>
              </w:numPr>
              <w:spacing w:after="200" w:line="276" w:lineRule="auto"/>
              <w:rPr>
                <w:rFonts w:ascii="Arial Narrow" w:hAnsi="Arial Narrow"/>
                <w:sz w:val="18"/>
                <w:szCs w:val="18"/>
              </w:rPr>
            </w:pPr>
            <w:r w:rsidRPr="00E70A11">
              <w:rPr>
                <w:rFonts w:ascii="Arial Narrow" w:hAnsi="Arial Narrow"/>
                <w:sz w:val="18"/>
                <w:szCs w:val="18"/>
              </w:rPr>
              <w:t>Qld Environment Protection (Water) Policy provides environmental values and water quality objectives for Queensland waters to guide development and decision making.</w:t>
            </w:r>
          </w:p>
          <w:p w14:paraId="5761E498" w14:textId="77777777" w:rsidR="00A56EE9" w:rsidRPr="00E70A11" w:rsidRDefault="00A56EE9" w:rsidP="00A11869">
            <w:pPr>
              <w:pStyle w:val="ListParagraph"/>
              <w:numPr>
                <w:ilvl w:val="0"/>
                <w:numId w:val="23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State Planning Policy and its associated SDAPs outline objectives for sustainable development and protection of coastal ecosystems</w:t>
            </w:r>
          </w:p>
        </w:tc>
        <w:tc>
          <w:tcPr>
            <w:tcW w:w="4569" w:type="dxa"/>
            <w:tcBorders>
              <w:top w:val="single" w:sz="4" w:space="0" w:color="auto"/>
              <w:left w:val="single" w:sz="4" w:space="0" w:color="auto"/>
              <w:bottom w:val="single" w:sz="4" w:space="0" w:color="auto"/>
              <w:right w:val="single" w:sz="4" w:space="0" w:color="auto"/>
            </w:tcBorders>
          </w:tcPr>
          <w:p w14:paraId="5761E499" w14:textId="77777777" w:rsidR="00A56EE9" w:rsidRPr="00E70A11" w:rsidRDefault="008B5998" w:rsidP="00A11869">
            <w:pPr>
              <w:pStyle w:val="ListParagraph"/>
              <w:numPr>
                <w:ilvl w:val="0"/>
                <w:numId w:val="237"/>
              </w:numPr>
              <w:spacing w:after="200" w:line="276" w:lineRule="auto"/>
              <w:rPr>
                <w:rFonts w:ascii="Arial Narrow" w:hAnsi="Arial Narrow"/>
                <w:sz w:val="18"/>
                <w:szCs w:val="18"/>
              </w:rPr>
            </w:pPr>
            <w:hyperlink r:id="rId146" w:history="1">
              <w:r w:rsidR="00A56EE9" w:rsidRPr="00E70A11">
                <w:rPr>
                  <w:rStyle w:val="Hyperlink"/>
                  <w:rFonts w:ascii="Arial Narrow" w:hAnsi="Arial Narrow"/>
                  <w:sz w:val="18"/>
                  <w:szCs w:val="18"/>
                </w:rPr>
                <w:t>Reef 2050 Long-Term Sustainability Plan</w:t>
              </w:r>
            </w:hyperlink>
          </w:p>
          <w:p w14:paraId="5761E49A" w14:textId="77777777" w:rsidR="00A56EE9" w:rsidRPr="00E70A11" w:rsidRDefault="008B5998" w:rsidP="00A11869">
            <w:pPr>
              <w:pStyle w:val="ListParagraph"/>
              <w:numPr>
                <w:ilvl w:val="0"/>
                <w:numId w:val="237"/>
              </w:numPr>
              <w:spacing w:after="200" w:line="276" w:lineRule="auto"/>
              <w:rPr>
                <w:rFonts w:ascii="Arial Narrow" w:hAnsi="Arial Narrow"/>
                <w:sz w:val="18"/>
                <w:szCs w:val="18"/>
              </w:rPr>
            </w:pPr>
            <w:hyperlink r:id="rId147" w:history="1">
              <w:r w:rsidR="00A56EE9" w:rsidRPr="00E70A11">
                <w:rPr>
                  <w:rStyle w:val="Hyperlink"/>
                  <w:rFonts w:ascii="Arial Narrow" w:hAnsi="Arial Narrow"/>
                  <w:sz w:val="18"/>
                  <w:szCs w:val="18"/>
                </w:rPr>
                <w:t>Great Barrier Reef Coastal Zone Strategic Assessment</w:t>
              </w:r>
            </w:hyperlink>
            <w:r w:rsidR="00A56EE9" w:rsidRPr="00E70A11">
              <w:rPr>
                <w:rFonts w:ascii="Arial Narrow" w:hAnsi="Arial Narrow"/>
                <w:sz w:val="18"/>
                <w:szCs w:val="18"/>
              </w:rPr>
              <w:t xml:space="preserve"> 2014</w:t>
            </w:r>
          </w:p>
          <w:p w14:paraId="5761E49B" w14:textId="77777777" w:rsidR="00A56EE9" w:rsidRPr="00E70A11" w:rsidRDefault="008B5998" w:rsidP="00A11869">
            <w:pPr>
              <w:pStyle w:val="ListParagraph"/>
              <w:numPr>
                <w:ilvl w:val="0"/>
                <w:numId w:val="237"/>
              </w:numPr>
              <w:spacing w:after="200" w:line="276" w:lineRule="auto"/>
              <w:rPr>
                <w:rFonts w:ascii="Arial Narrow" w:hAnsi="Arial Narrow"/>
                <w:sz w:val="18"/>
                <w:szCs w:val="18"/>
                <w:u w:val="single"/>
              </w:rPr>
            </w:pPr>
            <w:hyperlink r:id="rId148" w:history="1">
              <w:r w:rsidR="00A56EE9" w:rsidRPr="00E70A11">
                <w:rPr>
                  <w:rStyle w:val="Hyperlink"/>
                  <w:rFonts w:ascii="Arial Narrow" w:hAnsi="Arial Narrow"/>
                  <w:sz w:val="18"/>
                  <w:szCs w:val="18"/>
                </w:rPr>
                <w:t>Reef 2050 WQIP</w:t>
              </w:r>
            </w:hyperlink>
            <w:r w:rsidR="00A56EE9" w:rsidRPr="00E70A11">
              <w:rPr>
                <w:rFonts w:ascii="Arial Narrow" w:hAnsi="Arial Narrow"/>
                <w:sz w:val="18"/>
                <w:szCs w:val="18"/>
              </w:rPr>
              <w:t xml:space="preserve"> </w:t>
            </w:r>
          </w:p>
          <w:p w14:paraId="5761E49C" w14:textId="77777777" w:rsidR="00A56EE9" w:rsidRPr="00E70A11" w:rsidRDefault="008B5998" w:rsidP="00A11869">
            <w:pPr>
              <w:pStyle w:val="ListParagraph"/>
              <w:numPr>
                <w:ilvl w:val="0"/>
                <w:numId w:val="237"/>
              </w:numPr>
              <w:spacing w:after="200" w:line="276" w:lineRule="auto"/>
              <w:rPr>
                <w:rFonts w:ascii="Arial Narrow" w:hAnsi="Arial Narrow"/>
                <w:sz w:val="18"/>
                <w:szCs w:val="18"/>
              </w:rPr>
            </w:pPr>
            <w:hyperlink r:id="rId149" w:history="1">
              <w:r w:rsidR="00A56EE9" w:rsidRPr="00E70A11">
                <w:rPr>
                  <w:rStyle w:val="Hyperlink"/>
                  <w:rFonts w:ascii="Arial Narrow" w:hAnsi="Arial Narrow"/>
                  <w:sz w:val="18"/>
                  <w:szCs w:val="18"/>
                </w:rPr>
                <w:t>Informing the Outlook for Great Barrier Reef coastal ecosystems</w:t>
              </w:r>
            </w:hyperlink>
          </w:p>
          <w:p w14:paraId="5761E49D" w14:textId="77777777" w:rsidR="00A56EE9" w:rsidRPr="00E70A11" w:rsidRDefault="008B5998" w:rsidP="00A11869">
            <w:pPr>
              <w:pStyle w:val="ListParagraph"/>
              <w:numPr>
                <w:ilvl w:val="0"/>
                <w:numId w:val="237"/>
              </w:numPr>
              <w:spacing w:after="200" w:line="276" w:lineRule="auto"/>
              <w:rPr>
                <w:rFonts w:ascii="Arial Narrow" w:hAnsi="Arial Narrow"/>
                <w:sz w:val="18"/>
                <w:szCs w:val="18"/>
              </w:rPr>
            </w:pPr>
            <w:hyperlink r:id="rId150" w:history="1">
              <w:r w:rsidR="00A56EE9" w:rsidRPr="00E70A11">
                <w:rPr>
                  <w:rStyle w:val="Hyperlink"/>
                  <w:rFonts w:ascii="Arial Narrow" w:hAnsi="Arial Narrow"/>
                  <w:sz w:val="18"/>
                  <w:szCs w:val="18"/>
                </w:rPr>
                <w:t>Environmental Protection Policy (Water)</w:t>
              </w:r>
            </w:hyperlink>
          </w:p>
          <w:p w14:paraId="5761E49E" w14:textId="77777777" w:rsidR="00A56EE9" w:rsidRPr="00E70A11" w:rsidRDefault="008B5998" w:rsidP="00A11869">
            <w:pPr>
              <w:pStyle w:val="ListParagraph"/>
              <w:numPr>
                <w:ilvl w:val="0"/>
                <w:numId w:val="237"/>
              </w:numPr>
              <w:spacing w:after="200" w:line="276" w:lineRule="auto"/>
              <w:rPr>
                <w:rFonts w:ascii="Arial Narrow" w:hAnsi="Arial Narrow"/>
                <w:sz w:val="18"/>
                <w:szCs w:val="18"/>
              </w:rPr>
            </w:pPr>
            <w:hyperlink r:id="rId151" w:history="1">
              <w:r w:rsidR="00A56EE9" w:rsidRPr="00E70A11">
                <w:rPr>
                  <w:rStyle w:val="Hyperlink"/>
                  <w:rFonts w:ascii="Arial Narrow" w:hAnsi="Arial Narrow"/>
                  <w:sz w:val="18"/>
                  <w:szCs w:val="18"/>
                </w:rPr>
                <w:t>State Planning Policy July 2017</w:t>
              </w:r>
            </w:hyperlink>
          </w:p>
          <w:p w14:paraId="5761E49F"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4A0"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A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4AD"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A3"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coastal development</w:t>
            </w:r>
          </w:p>
        </w:tc>
        <w:tc>
          <w:tcPr>
            <w:tcW w:w="668" w:type="dxa"/>
            <w:tcBorders>
              <w:top w:val="single" w:sz="4" w:space="0" w:color="auto"/>
              <w:left w:val="single" w:sz="4" w:space="0" w:color="auto"/>
              <w:bottom w:val="single" w:sz="4" w:space="0" w:color="auto"/>
              <w:right w:val="single" w:sz="4" w:space="0" w:color="auto"/>
            </w:tcBorders>
          </w:tcPr>
          <w:p w14:paraId="5761E4A4"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A5" w14:textId="77777777" w:rsidR="00A56EE9" w:rsidRPr="00E70A11" w:rsidRDefault="00A56EE9" w:rsidP="00A11869">
            <w:pPr>
              <w:pStyle w:val="ListParagraph"/>
              <w:numPr>
                <w:ilvl w:val="0"/>
                <w:numId w:val="235"/>
              </w:numPr>
              <w:spacing w:after="200" w:line="276" w:lineRule="auto"/>
              <w:rPr>
                <w:rFonts w:ascii="Arial Narrow" w:hAnsi="Arial Narrow"/>
                <w:sz w:val="18"/>
                <w:szCs w:val="18"/>
              </w:rPr>
            </w:pPr>
            <w:r w:rsidRPr="00E70A11">
              <w:rPr>
                <w:rFonts w:ascii="Arial Narrow" w:hAnsi="Arial Narrow"/>
                <w:sz w:val="18"/>
                <w:szCs w:val="18"/>
              </w:rPr>
              <w:t>Paddock to Reef integrated monitoring and reporting program provides regular assessments of changes in paddocks and catchment water quality.</w:t>
            </w:r>
          </w:p>
          <w:p w14:paraId="5761E4A6" w14:textId="77777777" w:rsidR="00A56EE9" w:rsidRPr="00E70A11" w:rsidRDefault="00A56EE9" w:rsidP="00A11869">
            <w:pPr>
              <w:pStyle w:val="ListParagraph"/>
              <w:numPr>
                <w:ilvl w:val="0"/>
                <w:numId w:val="235"/>
              </w:numPr>
              <w:spacing w:after="200" w:line="276" w:lineRule="auto"/>
              <w:rPr>
                <w:rFonts w:ascii="Arial Narrow" w:hAnsi="Arial Narrow"/>
                <w:sz w:val="18"/>
                <w:szCs w:val="18"/>
              </w:rPr>
            </w:pPr>
            <w:r w:rsidRPr="00E70A11">
              <w:rPr>
                <w:rFonts w:ascii="Arial Narrow" w:hAnsi="Arial Narrow"/>
                <w:sz w:val="18"/>
                <w:szCs w:val="18"/>
              </w:rPr>
              <w:t xml:space="preserve">Regional ecosystem, essential habitat and wetland mapping is regularly reviewed and updated, which is used to measure the change in extent of these environmental values </w:t>
            </w:r>
          </w:p>
          <w:p w14:paraId="5761E4A7" w14:textId="77777777" w:rsidR="00A56EE9" w:rsidRPr="00E70A11" w:rsidRDefault="00A56EE9" w:rsidP="00A11869">
            <w:pPr>
              <w:pStyle w:val="ListParagraph"/>
              <w:numPr>
                <w:ilvl w:val="0"/>
                <w:numId w:val="235"/>
              </w:numPr>
              <w:spacing w:after="200" w:line="276" w:lineRule="auto"/>
              <w:rPr>
                <w:rFonts w:ascii="Arial Narrow" w:hAnsi="Arial Narrow"/>
                <w:sz w:val="18"/>
                <w:szCs w:val="18"/>
              </w:rPr>
            </w:pPr>
            <w:r w:rsidRPr="00E70A11">
              <w:rPr>
                <w:rFonts w:ascii="Arial Narrow" w:hAnsi="Arial Narrow"/>
                <w:sz w:val="18"/>
                <w:szCs w:val="18"/>
              </w:rPr>
              <w:t>Reef 2050 Plan has a regular reporting program in place</w:t>
            </w:r>
          </w:p>
          <w:p w14:paraId="5761E4A8" w14:textId="77777777" w:rsidR="00A56EE9" w:rsidRPr="00E70A11" w:rsidRDefault="00A56EE9" w:rsidP="00BB6AD5">
            <w:pPr>
              <w:pStyle w:val="ListParagraph"/>
              <w:ind w:left="360"/>
              <w:rPr>
                <w:rStyle w:val="BookTitle"/>
                <w:rFonts w:ascii="Arial Narrow" w:hAnsi="Arial Narrow"/>
                <w:sz w:val="18"/>
                <w:szCs w:val="18"/>
              </w:rPr>
            </w:pPr>
          </w:p>
        </w:tc>
        <w:tc>
          <w:tcPr>
            <w:tcW w:w="4569" w:type="dxa"/>
            <w:tcBorders>
              <w:top w:val="single" w:sz="4" w:space="0" w:color="auto"/>
              <w:left w:val="single" w:sz="4" w:space="0" w:color="auto"/>
              <w:bottom w:val="single" w:sz="4" w:space="0" w:color="auto"/>
              <w:right w:val="single" w:sz="4" w:space="0" w:color="auto"/>
            </w:tcBorders>
          </w:tcPr>
          <w:p w14:paraId="5761E4A9" w14:textId="77777777" w:rsidR="00A56EE9" w:rsidRPr="00E70A11" w:rsidRDefault="00A56EE9" w:rsidP="00A11869">
            <w:pPr>
              <w:pStyle w:val="ListParagraph"/>
              <w:numPr>
                <w:ilvl w:val="0"/>
                <w:numId w:val="235"/>
              </w:numPr>
              <w:spacing w:after="200" w:line="276" w:lineRule="auto"/>
              <w:rPr>
                <w:rFonts w:ascii="Arial Narrow" w:hAnsi="Arial Narrow"/>
                <w:sz w:val="18"/>
                <w:szCs w:val="18"/>
              </w:rPr>
            </w:pPr>
            <w:r w:rsidRPr="00E70A11">
              <w:rPr>
                <w:rStyle w:val="BookTitle"/>
                <w:rFonts w:ascii="Arial Narrow" w:hAnsi="Arial Narrow"/>
                <w:sz w:val="18"/>
                <w:szCs w:val="18"/>
              </w:rPr>
              <w:t xml:space="preserve">Paddock to Reef </w:t>
            </w:r>
            <w:r w:rsidRPr="00E70A11">
              <w:rPr>
                <w:rFonts w:ascii="Arial Narrow" w:hAnsi="Arial Narrow"/>
                <w:sz w:val="18"/>
                <w:szCs w:val="18"/>
              </w:rPr>
              <w:t>Integrated Monitoring and Reporting program</w:t>
            </w:r>
          </w:p>
          <w:p w14:paraId="5761E4AA" w14:textId="77777777" w:rsidR="00A56EE9" w:rsidRPr="00E70A11" w:rsidRDefault="00A56EE9" w:rsidP="00A11869">
            <w:pPr>
              <w:pStyle w:val="ListParagraph"/>
              <w:numPr>
                <w:ilvl w:val="0"/>
                <w:numId w:val="235"/>
              </w:numPr>
              <w:spacing w:after="200" w:line="276" w:lineRule="auto"/>
              <w:rPr>
                <w:rStyle w:val="BookTitle"/>
                <w:rFonts w:ascii="Arial Narrow" w:hAnsi="Arial Narrow"/>
                <w:sz w:val="18"/>
                <w:szCs w:val="18"/>
              </w:rPr>
            </w:pPr>
            <w:r w:rsidRPr="00E70A11">
              <w:rPr>
                <w:rFonts w:ascii="Arial Narrow" w:hAnsi="Arial Narrow"/>
                <w:sz w:val="18"/>
                <w:szCs w:val="18"/>
              </w:rPr>
              <w:t>Reef 2050 Plan reporting</w:t>
            </w:r>
          </w:p>
        </w:tc>
        <w:tc>
          <w:tcPr>
            <w:tcW w:w="974" w:type="dxa"/>
            <w:tcBorders>
              <w:top w:val="single" w:sz="4" w:space="0" w:color="auto"/>
              <w:left w:val="single" w:sz="4" w:space="0" w:color="auto"/>
              <w:bottom w:val="single" w:sz="4" w:space="0" w:color="auto"/>
              <w:right w:val="single" w:sz="4" w:space="0" w:color="auto"/>
            </w:tcBorders>
          </w:tcPr>
          <w:p w14:paraId="5761E4AB"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A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4BC"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AE"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coastal development</w:t>
            </w:r>
          </w:p>
        </w:tc>
        <w:tc>
          <w:tcPr>
            <w:tcW w:w="668" w:type="dxa"/>
            <w:tcBorders>
              <w:top w:val="single" w:sz="4" w:space="0" w:color="auto"/>
              <w:left w:val="single" w:sz="4" w:space="0" w:color="auto"/>
              <w:bottom w:val="single" w:sz="4" w:space="0" w:color="auto"/>
              <w:right w:val="single" w:sz="4" w:space="0" w:color="auto"/>
            </w:tcBorders>
          </w:tcPr>
          <w:p w14:paraId="5761E4AF"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B0" w14:textId="77777777" w:rsidR="00A56EE9" w:rsidRPr="00E70A11" w:rsidRDefault="00A56EE9" w:rsidP="00A11869">
            <w:pPr>
              <w:pStyle w:val="ListParagraph"/>
              <w:numPr>
                <w:ilvl w:val="0"/>
                <w:numId w:val="235"/>
              </w:numPr>
              <w:spacing w:after="200" w:line="276" w:lineRule="auto"/>
              <w:rPr>
                <w:rFonts w:ascii="Arial Narrow" w:hAnsi="Arial Narrow"/>
                <w:sz w:val="18"/>
                <w:szCs w:val="18"/>
              </w:rPr>
            </w:pPr>
            <w:r w:rsidRPr="00E70A11">
              <w:rPr>
                <w:rFonts w:ascii="Arial Narrow" w:hAnsi="Arial Narrow"/>
                <w:sz w:val="18"/>
                <w:szCs w:val="18"/>
              </w:rPr>
              <w:t xml:space="preserve">Protection and management of the Great Barrier Reef is a partnership between many government agencies, stakeholders and community members, with activities both on the water and in the catchment. </w:t>
            </w:r>
          </w:p>
          <w:p w14:paraId="5761E4B1" w14:textId="77777777" w:rsidR="00A56EE9" w:rsidRPr="00E70A11" w:rsidRDefault="00A56EE9" w:rsidP="00A11869">
            <w:pPr>
              <w:pStyle w:val="ListParagraph"/>
              <w:numPr>
                <w:ilvl w:val="0"/>
                <w:numId w:val="235"/>
              </w:numPr>
              <w:spacing w:after="200" w:line="276" w:lineRule="auto"/>
              <w:rPr>
                <w:rFonts w:ascii="Arial Narrow" w:hAnsi="Arial Narrow"/>
                <w:sz w:val="18"/>
                <w:szCs w:val="18"/>
              </w:rPr>
            </w:pPr>
            <w:r w:rsidRPr="00E70A11">
              <w:rPr>
                <w:rFonts w:ascii="Arial Narrow" w:hAnsi="Arial Narrow"/>
                <w:sz w:val="18"/>
                <w:szCs w:val="18"/>
              </w:rPr>
              <w:t xml:space="preserve">GBRMPA works with local governments through the </w:t>
            </w:r>
            <w:hyperlink r:id="rId152" w:history="1">
              <w:r w:rsidRPr="00E70A11">
                <w:rPr>
                  <w:rFonts w:ascii="Arial Narrow" w:hAnsi="Arial Narrow"/>
                  <w:sz w:val="18"/>
                  <w:szCs w:val="18"/>
                </w:rPr>
                <w:t>Reef Guardian Councils</w:t>
              </w:r>
            </w:hyperlink>
            <w:r w:rsidRPr="00E70A11">
              <w:rPr>
                <w:rFonts w:ascii="Arial Narrow" w:hAnsi="Arial Narrow"/>
                <w:sz w:val="18"/>
                <w:szCs w:val="18"/>
              </w:rPr>
              <w:t xml:space="preserve"> to effectively manage Great Barrier Reef coastal ecosystems.</w:t>
            </w:r>
          </w:p>
          <w:p w14:paraId="5761E4B2" w14:textId="77777777" w:rsidR="00A56EE9" w:rsidRPr="00E70A11" w:rsidRDefault="00A56EE9" w:rsidP="00A11869">
            <w:pPr>
              <w:pStyle w:val="ListParagraph"/>
              <w:numPr>
                <w:ilvl w:val="0"/>
                <w:numId w:val="235"/>
              </w:numPr>
              <w:spacing w:after="200" w:line="276" w:lineRule="auto"/>
              <w:rPr>
                <w:rFonts w:ascii="Arial Narrow" w:hAnsi="Arial Narrow"/>
                <w:sz w:val="18"/>
                <w:szCs w:val="18"/>
              </w:rPr>
            </w:pPr>
            <w:r w:rsidRPr="00E70A11">
              <w:rPr>
                <w:rFonts w:ascii="Arial Narrow" w:hAnsi="Arial Narrow"/>
                <w:sz w:val="18"/>
                <w:szCs w:val="18"/>
              </w:rPr>
              <w:t>Primary audience of the coastal ecosystem position statement is natural resource managers, decision makers (Commonwealth, Queensland and local governments). Secondary audience is Traditional Owners, private and public industry, landholders and land managers, research and educational institutions and members of the community.</w:t>
            </w:r>
          </w:p>
          <w:p w14:paraId="5761E4B3" w14:textId="77777777" w:rsidR="00A56EE9" w:rsidRPr="00E70A11" w:rsidRDefault="00A56EE9" w:rsidP="00A11869">
            <w:pPr>
              <w:pStyle w:val="ListParagraph"/>
              <w:numPr>
                <w:ilvl w:val="0"/>
                <w:numId w:val="235"/>
              </w:numPr>
              <w:spacing w:after="200" w:line="276" w:lineRule="auto"/>
              <w:rPr>
                <w:rStyle w:val="BookTitle"/>
                <w:rFonts w:ascii="Arial Narrow" w:hAnsi="Arial Narrow"/>
                <w:sz w:val="18"/>
                <w:szCs w:val="18"/>
              </w:rPr>
            </w:pPr>
            <w:r w:rsidRPr="00E70A11">
              <w:rPr>
                <w:rFonts w:ascii="Arial Narrow" w:hAnsi="Arial Narrow"/>
                <w:sz w:val="18"/>
                <w:szCs w:val="18"/>
              </w:rPr>
              <w:t>RIMREP have established a number of expert working groups under the program design. These groups are working to understand the links between environmental drivers, external impacts. Stakeholders involved in these groups include GBRF, BOM, CSIRO, research institutions, universities, GBRMPA. Internal document can be provided.</w:t>
            </w:r>
          </w:p>
        </w:tc>
        <w:tc>
          <w:tcPr>
            <w:tcW w:w="4569" w:type="dxa"/>
            <w:tcBorders>
              <w:top w:val="single" w:sz="4" w:space="0" w:color="auto"/>
              <w:left w:val="single" w:sz="4" w:space="0" w:color="auto"/>
              <w:bottom w:val="single" w:sz="4" w:space="0" w:color="auto"/>
              <w:right w:val="single" w:sz="4" w:space="0" w:color="auto"/>
            </w:tcBorders>
          </w:tcPr>
          <w:p w14:paraId="5761E4B4" w14:textId="77777777" w:rsidR="00A56EE9" w:rsidRPr="00E70A11" w:rsidRDefault="008B5998" w:rsidP="00A11869">
            <w:pPr>
              <w:pStyle w:val="ListParagraph"/>
              <w:numPr>
                <w:ilvl w:val="0"/>
                <w:numId w:val="235"/>
              </w:numPr>
              <w:spacing w:after="200" w:line="276" w:lineRule="auto"/>
              <w:rPr>
                <w:rFonts w:ascii="Arial Narrow" w:hAnsi="Arial Narrow"/>
                <w:sz w:val="18"/>
                <w:szCs w:val="18"/>
              </w:rPr>
            </w:pPr>
            <w:hyperlink r:id="rId153" w:history="1">
              <w:r w:rsidR="00A56EE9" w:rsidRPr="00E70A11">
                <w:rPr>
                  <w:rStyle w:val="Hyperlink"/>
                  <w:rFonts w:ascii="Arial Narrow" w:hAnsi="Arial Narrow"/>
                  <w:sz w:val="18"/>
                  <w:szCs w:val="18"/>
                </w:rPr>
                <w:t>Reef Guardians</w:t>
              </w:r>
            </w:hyperlink>
          </w:p>
          <w:p w14:paraId="5761E4B5" w14:textId="77777777" w:rsidR="00A56EE9" w:rsidRPr="00E70A11" w:rsidRDefault="008B5998" w:rsidP="00A11869">
            <w:pPr>
              <w:pStyle w:val="ListParagraph"/>
              <w:numPr>
                <w:ilvl w:val="0"/>
                <w:numId w:val="235"/>
              </w:numPr>
              <w:spacing w:after="200" w:line="276" w:lineRule="auto"/>
              <w:rPr>
                <w:rFonts w:ascii="Arial Narrow" w:hAnsi="Arial Narrow"/>
                <w:sz w:val="18"/>
                <w:szCs w:val="18"/>
                <w:u w:val="single"/>
              </w:rPr>
            </w:pPr>
            <w:hyperlink r:id="rId154" w:history="1">
              <w:r w:rsidR="00A56EE9" w:rsidRPr="00E70A11">
                <w:rPr>
                  <w:rStyle w:val="Hyperlink"/>
                  <w:rFonts w:ascii="Arial Narrow" w:hAnsi="Arial Narrow"/>
                  <w:sz w:val="18"/>
                  <w:szCs w:val="18"/>
                </w:rPr>
                <w:t>Reef 2050 WQIP</w:t>
              </w:r>
            </w:hyperlink>
            <w:r w:rsidR="00A56EE9" w:rsidRPr="00E70A11">
              <w:rPr>
                <w:rFonts w:ascii="Arial Narrow" w:hAnsi="Arial Narrow"/>
                <w:sz w:val="18"/>
                <w:szCs w:val="18"/>
              </w:rPr>
              <w:t xml:space="preserve"> </w:t>
            </w:r>
          </w:p>
          <w:p w14:paraId="5761E4B6" w14:textId="77777777" w:rsidR="00A56EE9" w:rsidRPr="00E70A11" w:rsidRDefault="00A56EE9" w:rsidP="00A11869">
            <w:pPr>
              <w:pStyle w:val="ListParagraph"/>
              <w:numPr>
                <w:ilvl w:val="0"/>
                <w:numId w:val="235"/>
              </w:numPr>
              <w:spacing w:after="200" w:line="276" w:lineRule="auto"/>
              <w:rPr>
                <w:rFonts w:ascii="Arial Narrow" w:hAnsi="Arial Narrow"/>
                <w:sz w:val="18"/>
                <w:szCs w:val="18"/>
                <w:u w:val="single"/>
              </w:rPr>
            </w:pPr>
            <w:r w:rsidRPr="00E70A11">
              <w:rPr>
                <w:rFonts w:ascii="Arial Narrow" w:hAnsi="Arial Narrow"/>
                <w:sz w:val="18"/>
                <w:szCs w:val="18"/>
              </w:rPr>
              <w:t xml:space="preserve"> </w:t>
            </w:r>
            <w:hyperlink r:id="rId155" w:history="1">
              <w:r w:rsidRPr="00E70A11">
                <w:rPr>
                  <w:rStyle w:val="Hyperlink"/>
                  <w:rFonts w:ascii="Arial Narrow" w:hAnsi="Arial Narrow"/>
                  <w:sz w:val="18"/>
                  <w:szCs w:val="18"/>
                </w:rPr>
                <w:t>Reef 2050 Integrated Monitoring and Reporting Program</w:t>
              </w:r>
            </w:hyperlink>
          </w:p>
          <w:p w14:paraId="5761E4B7" w14:textId="77777777" w:rsidR="00A56EE9" w:rsidRPr="00E70A11" w:rsidRDefault="008B5998" w:rsidP="00A11869">
            <w:pPr>
              <w:pStyle w:val="ListParagraph"/>
              <w:numPr>
                <w:ilvl w:val="0"/>
                <w:numId w:val="235"/>
              </w:numPr>
              <w:spacing w:after="200" w:line="276" w:lineRule="auto"/>
              <w:rPr>
                <w:rFonts w:ascii="Arial Narrow" w:hAnsi="Arial Narrow"/>
                <w:sz w:val="18"/>
                <w:szCs w:val="18"/>
              </w:rPr>
            </w:pPr>
            <w:hyperlink r:id="rId156" w:history="1">
              <w:r w:rsidR="00A56EE9" w:rsidRPr="00E70A11">
                <w:rPr>
                  <w:rStyle w:val="Hyperlink"/>
                  <w:rFonts w:ascii="Arial Narrow" w:hAnsi="Arial Narrow"/>
                  <w:sz w:val="18"/>
                  <w:szCs w:val="18"/>
                </w:rPr>
                <w:t>Register of management arrangements</w:t>
              </w:r>
            </w:hyperlink>
          </w:p>
          <w:p w14:paraId="5761E4B8" w14:textId="77777777" w:rsidR="00A56EE9" w:rsidRPr="00E70A11" w:rsidRDefault="00A56EE9" w:rsidP="00A11869">
            <w:pPr>
              <w:pStyle w:val="ListParagraph"/>
              <w:numPr>
                <w:ilvl w:val="0"/>
                <w:numId w:val="235"/>
              </w:numPr>
              <w:spacing w:after="200" w:line="276" w:lineRule="auto"/>
              <w:rPr>
                <w:rFonts w:ascii="Arial Narrow" w:hAnsi="Arial Narrow"/>
                <w:sz w:val="18"/>
                <w:szCs w:val="18"/>
              </w:rPr>
            </w:pPr>
            <w:r w:rsidRPr="00E70A11">
              <w:rPr>
                <w:rFonts w:ascii="Arial Narrow" w:hAnsi="Arial Narrow"/>
                <w:sz w:val="18"/>
                <w:szCs w:val="18"/>
              </w:rPr>
              <w:t xml:space="preserve">Draft </w:t>
            </w:r>
            <w:hyperlink r:id="rId157" w:history="1">
              <w:r w:rsidRPr="00E70A11">
                <w:rPr>
                  <w:rStyle w:val="Hyperlink"/>
                  <w:rFonts w:ascii="Arial Narrow" w:hAnsi="Arial Narrow"/>
                  <w:sz w:val="18"/>
                  <w:szCs w:val="18"/>
                </w:rPr>
                <w:t>Coastal Ecosystem – position statement</w:t>
              </w:r>
            </w:hyperlink>
            <w:r w:rsidRPr="00E70A11">
              <w:rPr>
                <w:rFonts w:ascii="Arial Narrow" w:hAnsi="Arial Narrow"/>
                <w:sz w:val="18"/>
                <w:szCs w:val="18"/>
              </w:rPr>
              <w:t xml:space="preserve"> public consultation</w:t>
            </w:r>
          </w:p>
          <w:p w14:paraId="5761E4B9"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4BA"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B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4CA"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BD"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coastal development</w:t>
            </w:r>
          </w:p>
        </w:tc>
        <w:tc>
          <w:tcPr>
            <w:tcW w:w="668" w:type="dxa"/>
            <w:tcBorders>
              <w:top w:val="single" w:sz="4" w:space="0" w:color="auto"/>
              <w:left w:val="single" w:sz="4" w:space="0" w:color="auto"/>
              <w:bottom w:val="single" w:sz="4" w:space="0" w:color="auto"/>
              <w:right w:val="single" w:sz="4" w:space="0" w:color="auto"/>
            </w:tcBorders>
          </w:tcPr>
          <w:p w14:paraId="5761E4BE"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BF" w14:textId="77777777" w:rsidR="00A56EE9" w:rsidRPr="00E70A11" w:rsidRDefault="00A56EE9" w:rsidP="00A11869">
            <w:pPr>
              <w:pStyle w:val="ListParagraph"/>
              <w:numPr>
                <w:ilvl w:val="0"/>
                <w:numId w:val="236"/>
              </w:numPr>
              <w:spacing w:after="200" w:line="276" w:lineRule="auto"/>
              <w:rPr>
                <w:rFonts w:ascii="Arial Narrow" w:hAnsi="Arial Narrow"/>
                <w:sz w:val="18"/>
                <w:szCs w:val="18"/>
              </w:rPr>
            </w:pPr>
            <w:r w:rsidRPr="00E70A11">
              <w:rPr>
                <w:rFonts w:ascii="Arial Narrow" w:hAnsi="Arial Narrow"/>
                <w:sz w:val="18"/>
                <w:szCs w:val="18"/>
                <w:lang w:val="en"/>
              </w:rPr>
              <w:t>Queensland’s State Planning Policy has a wide range of planning and development policies that have statutory support under SPA that aim to minimise impacts on the natural environment in the GBR coastal zone region.</w:t>
            </w:r>
          </w:p>
          <w:p w14:paraId="5761E4C0" w14:textId="77777777" w:rsidR="00A56EE9" w:rsidRPr="00E70A11" w:rsidRDefault="00A56EE9" w:rsidP="00A11869">
            <w:pPr>
              <w:pStyle w:val="ListParagraph"/>
              <w:numPr>
                <w:ilvl w:val="0"/>
                <w:numId w:val="236"/>
              </w:numPr>
              <w:spacing w:after="200" w:line="276" w:lineRule="auto"/>
              <w:rPr>
                <w:rStyle w:val="BookTitle"/>
                <w:rFonts w:ascii="Arial Narrow" w:hAnsi="Arial Narrow"/>
                <w:sz w:val="18"/>
                <w:szCs w:val="18"/>
              </w:rPr>
            </w:pPr>
            <w:r w:rsidRPr="00E70A11">
              <w:rPr>
                <w:rFonts w:ascii="Arial Narrow" w:hAnsi="Arial Narrow"/>
                <w:sz w:val="18"/>
                <w:szCs w:val="18"/>
                <w:lang w:val="en"/>
              </w:rPr>
              <w:t xml:space="preserve">GBRMPA also has a number of policies and draft policies that address coastal development. </w:t>
            </w:r>
          </w:p>
        </w:tc>
        <w:tc>
          <w:tcPr>
            <w:tcW w:w="4569" w:type="dxa"/>
            <w:tcBorders>
              <w:top w:val="single" w:sz="4" w:space="0" w:color="auto"/>
              <w:left w:val="single" w:sz="4" w:space="0" w:color="auto"/>
              <w:bottom w:val="single" w:sz="4" w:space="0" w:color="auto"/>
              <w:right w:val="single" w:sz="4" w:space="0" w:color="auto"/>
            </w:tcBorders>
          </w:tcPr>
          <w:p w14:paraId="5761E4C1" w14:textId="77777777" w:rsidR="00A56EE9" w:rsidRPr="00E70A11" w:rsidRDefault="008B5998" w:rsidP="00A11869">
            <w:pPr>
              <w:pStyle w:val="ListParagraph"/>
              <w:numPr>
                <w:ilvl w:val="0"/>
                <w:numId w:val="236"/>
              </w:numPr>
              <w:spacing w:after="200" w:line="276" w:lineRule="auto"/>
              <w:rPr>
                <w:rFonts w:ascii="Arial Narrow" w:hAnsi="Arial Narrow"/>
                <w:sz w:val="18"/>
                <w:szCs w:val="18"/>
              </w:rPr>
            </w:pPr>
            <w:hyperlink r:id="rId158" w:history="1">
              <w:r w:rsidR="00A56EE9" w:rsidRPr="00E70A11">
                <w:rPr>
                  <w:rFonts w:ascii="Arial Narrow" w:hAnsi="Arial Narrow"/>
                  <w:sz w:val="18"/>
                  <w:szCs w:val="18"/>
                </w:rPr>
                <w:t>Cumulative impact management policy: Draft for public consultation</w:t>
              </w:r>
            </w:hyperlink>
            <w:r w:rsidR="00A56EE9" w:rsidRPr="00E70A11">
              <w:rPr>
                <w:rFonts w:ascii="Arial Narrow" w:hAnsi="Arial Narrow"/>
                <w:sz w:val="18"/>
                <w:szCs w:val="18"/>
              </w:rPr>
              <w:t>, GBRMPA, Townsville.</w:t>
            </w:r>
          </w:p>
          <w:p w14:paraId="5761E4C2" w14:textId="77777777" w:rsidR="00A56EE9" w:rsidRPr="00E70A11" w:rsidRDefault="008B5998" w:rsidP="00A11869">
            <w:pPr>
              <w:pStyle w:val="ListParagraph"/>
              <w:numPr>
                <w:ilvl w:val="0"/>
                <w:numId w:val="236"/>
              </w:numPr>
              <w:spacing w:after="200" w:line="276" w:lineRule="auto"/>
              <w:rPr>
                <w:rFonts w:ascii="Arial Narrow" w:hAnsi="Arial Narrow"/>
                <w:sz w:val="18"/>
                <w:szCs w:val="18"/>
              </w:rPr>
            </w:pPr>
            <w:hyperlink r:id="rId159" w:history="1">
              <w:r w:rsidR="00A56EE9" w:rsidRPr="00E70A11">
                <w:rPr>
                  <w:rFonts w:ascii="Arial Narrow" w:hAnsi="Arial Narrow"/>
                  <w:sz w:val="18"/>
                  <w:szCs w:val="18"/>
                </w:rPr>
                <w:t>State Planning Policy July 2017</w:t>
              </w:r>
            </w:hyperlink>
          </w:p>
          <w:p w14:paraId="5761E4C3" w14:textId="77777777" w:rsidR="00A56EE9" w:rsidRPr="00E70A11" w:rsidRDefault="008B5998" w:rsidP="00A11869">
            <w:pPr>
              <w:pStyle w:val="ListParagraph"/>
              <w:numPr>
                <w:ilvl w:val="0"/>
                <w:numId w:val="236"/>
              </w:numPr>
              <w:spacing w:after="200" w:line="276" w:lineRule="auto"/>
              <w:rPr>
                <w:rFonts w:ascii="Arial Narrow" w:hAnsi="Arial Narrow"/>
                <w:sz w:val="18"/>
                <w:szCs w:val="18"/>
              </w:rPr>
            </w:pPr>
            <w:hyperlink r:id="rId160" w:history="1">
              <w:r w:rsidR="00A56EE9" w:rsidRPr="00E70A11">
                <w:rPr>
                  <w:rFonts w:ascii="Arial Narrow" w:hAnsi="Arial Narrow"/>
                  <w:sz w:val="18"/>
                  <w:szCs w:val="18"/>
                </w:rPr>
                <w:t>Reef 2050 Long-Term Sustainability Plan</w:t>
              </w:r>
            </w:hyperlink>
          </w:p>
          <w:p w14:paraId="5761E4C4" w14:textId="77777777" w:rsidR="00A56EE9" w:rsidRPr="00E70A11" w:rsidRDefault="00A56EE9" w:rsidP="00A11869">
            <w:pPr>
              <w:pStyle w:val="ListParagraph"/>
              <w:numPr>
                <w:ilvl w:val="0"/>
                <w:numId w:val="236"/>
              </w:numPr>
              <w:spacing w:after="200" w:line="276" w:lineRule="auto"/>
              <w:rPr>
                <w:rFonts w:ascii="Arial Narrow" w:hAnsi="Arial Narrow"/>
                <w:sz w:val="18"/>
                <w:szCs w:val="18"/>
              </w:rPr>
            </w:pPr>
            <w:r w:rsidRPr="00E70A11">
              <w:rPr>
                <w:rFonts w:ascii="Arial Narrow" w:hAnsi="Arial Narrow"/>
                <w:sz w:val="18"/>
                <w:szCs w:val="18"/>
              </w:rPr>
              <w:t xml:space="preserve">Draft </w:t>
            </w:r>
            <w:hyperlink r:id="rId161" w:history="1">
              <w:r w:rsidRPr="00E70A11">
                <w:rPr>
                  <w:rFonts w:ascii="Arial Narrow" w:hAnsi="Arial Narrow"/>
                  <w:sz w:val="18"/>
                  <w:szCs w:val="18"/>
                </w:rPr>
                <w:t>Coastal Ecosystem – position statement</w:t>
              </w:r>
            </w:hyperlink>
            <w:r w:rsidRPr="00E70A11">
              <w:rPr>
                <w:rFonts w:ascii="Arial Narrow" w:hAnsi="Arial Narrow"/>
                <w:sz w:val="18"/>
                <w:szCs w:val="18"/>
              </w:rPr>
              <w:t xml:space="preserve"> public consultation</w:t>
            </w:r>
          </w:p>
          <w:p w14:paraId="5761E4C5" w14:textId="77777777" w:rsidR="00A56EE9" w:rsidRPr="00E70A11" w:rsidRDefault="008B5998" w:rsidP="00A11869">
            <w:pPr>
              <w:pStyle w:val="ListParagraph"/>
              <w:numPr>
                <w:ilvl w:val="0"/>
                <w:numId w:val="236"/>
              </w:numPr>
              <w:spacing w:after="200" w:line="276" w:lineRule="auto"/>
              <w:rPr>
                <w:rFonts w:ascii="Arial Narrow" w:hAnsi="Arial Narrow"/>
                <w:sz w:val="18"/>
                <w:szCs w:val="18"/>
              </w:rPr>
            </w:pPr>
            <w:hyperlink r:id="rId162" w:history="1">
              <w:r w:rsidR="00A56EE9" w:rsidRPr="00E70A11">
                <w:rPr>
                  <w:rFonts w:ascii="Arial Narrow" w:hAnsi="Arial Narrow"/>
                  <w:sz w:val="18"/>
                  <w:szCs w:val="18"/>
                </w:rPr>
                <w:t>Wetlands in the GBR catchments, Management Strategy 2016-21</w:t>
              </w:r>
            </w:hyperlink>
          </w:p>
          <w:p w14:paraId="5761E4C6" w14:textId="77777777" w:rsidR="00A56EE9" w:rsidRPr="00E70A11" w:rsidRDefault="00A56EE9" w:rsidP="00A11869">
            <w:pPr>
              <w:pStyle w:val="ListParagraph"/>
              <w:numPr>
                <w:ilvl w:val="0"/>
                <w:numId w:val="236"/>
              </w:numPr>
              <w:spacing w:after="200" w:line="276" w:lineRule="auto"/>
              <w:rPr>
                <w:rFonts w:ascii="Arial Narrow" w:hAnsi="Arial Narrow"/>
                <w:sz w:val="18"/>
                <w:szCs w:val="18"/>
              </w:rPr>
            </w:pPr>
            <w:r w:rsidRPr="00E70A11">
              <w:rPr>
                <w:rFonts w:ascii="Arial Narrow" w:hAnsi="Arial Narrow"/>
                <w:sz w:val="18"/>
                <w:szCs w:val="18"/>
              </w:rPr>
              <w:t xml:space="preserve">Draft </w:t>
            </w:r>
            <w:hyperlink r:id="rId163" w:history="1">
              <w:r w:rsidRPr="00E70A11">
                <w:rPr>
                  <w:rFonts w:ascii="Arial Narrow" w:hAnsi="Arial Narrow"/>
                  <w:sz w:val="18"/>
                  <w:szCs w:val="18"/>
                </w:rPr>
                <w:t>Reef 2050 Water Quality Improvement Plan 2017-2022</w:t>
              </w:r>
            </w:hyperlink>
          </w:p>
          <w:p w14:paraId="5761E4C7"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4C8"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C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4D4"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shd w:val="clear" w:color="auto" w:fill="FFFFFF"/>
          </w:tcPr>
          <w:p w14:paraId="5761E4CB" w14:textId="77777777" w:rsidR="00A56EE9" w:rsidRPr="00E70A11" w:rsidRDefault="00A56EE9" w:rsidP="00BB6AD5">
            <w:pPr>
              <w:pStyle w:val="Tablebulletlist"/>
              <w:rPr>
                <w:rStyle w:val="BookTitle"/>
              </w:rPr>
            </w:pPr>
            <w:r w:rsidRPr="00E70A11">
              <w:rPr>
                <w:rStyle w:val="BookTitle"/>
              </w:rPr>
              <w:t>PL8 There is consistency across jurisdictions when planning for coastal development</w:t>
            </w:r>
          </w:p>
        </w:tc>
        <w:tc>
          <w:tcPr>
            <w:tcW w:w="668" w:type="dxa"/>
            <w:tcBorders>
              <w:top w:val="single" w:sz="4" w:space="0" w:color="auto"/>
              <w:left w:val="single" w:sz="4" w:space="0" w:color="auto"/>
              <w:bottom w:val="single" w:sz="4" w:space="0" w:color="auto"/>
              <w:right w:val="single" w:sz="4" w:space="0" w:color="auto"/>
            </w:tcBorders>
            <w:shd w:val="clear" w:color="auto" w:fill="FFFFFF"/>
          </w:tcPr>
          <w:p w14:paraId="5761E4CC"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shd w:val="clear" w:color="auto" w:fill="FFFFFF"/>
          </w:tcPr>
          <w:p w14:paraId="5761E4CD" w14:textId="77777777" w:rsidR="00A56EE9" w:rsidRPr="00E70A11" w:rsidRDefault="00A56EE9" w:rsidP="00A11869">
            <w:pPr>
              <w:pStyle w:val="ListParagraph"/>
              <w:numPr>
                <w:ilvl w:val="0"/>
                <w:numId w:val="236"/>
              </w:numPr>
              <w:spacing w:after="200" w:line="276" w:lineRule="auto"/>
              <w:rPr>
                <w:rFonts w:ascii="Arial Narrow" w:hAnsi="Arial Narrow"/>
                <w:sz w:val="18"/>
                <w:szCs w:val="18"/>
              </w:rPr>
            </w:pPr>
            <w:r w:rsidRPr="00E70A11">
              <w:rPr>
                <w:rFonts w:ascii="Arial Narrow" w:hAnsi="Arial Narrow"/>
                <w:sz w:val="18"/>
                <w:szCs w:val="18"/>
              </w:rPr>
              <w:t>Poor linkage between major programs (e.g. Queensland Wetland Program) and key management agencies (e.g. Department of Mining and Energy, Department of Tourism, Regional Development and Industry) exists.</w:t>
            </w:r>
          </w:p>
          <w:p w14:paraId="5761E4CE" w14:textId="14D85DBC" w:rsidR="00A56EE9" w:rsidRPr="00E70A11" w:rsidRDefault="00A56EE9" w:rsidP="00A11869">
            <w:pPr>
              <w:pStyle w:val="ListParagraph"/>
              <w:numPr>
                <w:ilvl w:val="0"/>
                <w:numId w:val="236"/>
              </w:numPr>
              <w:spacing w:after="200" w:line="276" w:lineRule="auto"/>
              <w:rPr>
                <w:rFonts w:ascii="Arial Narrow" w:hAnsi="Arial Narrow"/>
                <w:sz w:val="18"/>
                <w:szCs w:val="18"/>
              </w:rPr>
            </w:pPr>
            <w:r w:rsidRPr="00E70A11">
              <w:rPr>
                <w:rFonts w:ascii="Arial Narrow" w:hAnsi="Arial Narrow"/>
                <w:sz w:val="18"/>
                <w:szCs w:val="18"/>
              </w:rPr>
              <w:t>Jurisdictional limitation across territories creates a complexity and add to potential uncertainty of minimising impacts to the Reef.</w:t>
            </w:r>
            <w:r w:rsidR="00242993">
              <w:rPr>
                <w:rFonts w:ascii="Arial Narrow" w:hAnsi="Arial Narrow"/>
                <w:sz w:val="18"/>
                <w:szCs w:val="18"/>
              </w:rPr>
              <w:t xml:space="preserve"> </w:t>
            </w:r>
          </w:p>
          <w:p w14:paraId="5761E4CF" w14:textId="77777777" w:rsidR="00A56EE9" w:rsidRPr="00E70A11" w:rsidRDefault="008B5998" w:rsidP="00A11869">
            <w:pPr>
              <w:pStyle w:val="ListParagraph"/>
              <w:numPr>
                <w:ilvl w:val="0"/>
                <w:numId w:val="236"/>
              </w:numPr>
              <w:spacing w:after="200" w:line="276" w:lineRule="auto"/>
              <w:rPr>
                <w:rFonts w:ascii="Arial Narrow" w:hAnsi="Arial Narrow"/>
                <w:sz w:val="18"/>
                <w:szCs w:val="18"/>
                <w:lang w:val="en"/>
              </w:rPr>
            </w:pPr>
            <w:hyperlink r:id="rId164" w:history="1">
              <w:r w:rsidR="00A56EE9" w:rsidRPr="00E70A11">
                <w:rPr>
                  <w:rStyle w:val="Hyperlink"/>
                  <w:rFonts w:ascii="Arial Narrow" w:hAnsi="Arial Narrow"/>
                  <w:sz w:val="18"/>
                  <w:szCs w:val="18"/>
                  <w:lang w:val="en"/>
                </w:rPr>
                <w:t>Great Barrier Reef Intergovernmental Agreement 2009</w:t>
              </w:r>
            </w:hyperlink>
            <w:r w:rsidR="00A56EE9" w:rsidRPr="00E70A11">
              <w:rPr>
                <w:rFonts w:ascii="Arial Narrow" w:hAnsi="Arial Narrow"/>
                <w:sz w:val="18"/>
                <w:szCs w:val="18"/>
                <w:lang w:val="en"/>
              </w:rPr>
              <w:t>, signed by the Prime Minister and Queensland Premier (June 2009), provides a framework for the Australian and Queensland governments to work together to protect the Great Barrier Reef. The MOU is currently under review and is anticipated to be settled by mid-2018.</w:t>
            </w:r>
          </w:p>
          <w:p w14:paraId="5761E4D0" w14:textId="77777777" w:rsidR="00A56EE9" w:rsidRPr="00E70A11" w:rsidRDefault="00A56EE9" w:rsidP="00A11869">
            <w:pPr>
              <w:pStyle w:val="ListParagraph"/>
              <w:numPr>
                <w:ilvl w:val="0"/>
                <w:numId w:val="236"/>
              </w:numPr>
              <w:spacing w:after="200" w:line="276" w:lineRule="auto"/>
              <w:rPr>
                <w:rStyle w:val="BookTitle"/>
                <w:rFonts w:ascii="Arial Narrow" w:hAnsi="Arial Narrow"/>
                <w:sz w:val="18"/>
                <w:szCs w:val="18"/>
              </w:rPr>
            </w:pPr>
            <w:r w:rsidRPr="00E70A11">
              <w:rPr>
                <w:rFonts w:ascii="Arial Narrow" w:hAnsi="Arial Narrow"/>
                <w:sz w:val="18"/>
                <w:szCs w:val="18"/>
              </w:rPr>
              <w:t>Australian and Queensland governments development outcome policies aligned, significant impacts to be avoided, or minimised and offset</w:t>
            </w:r>
          </w:p>
        </w:tc>
        <w:tc>
          <w:tcPr>
            <w:tcW w:w="4569" w:type="dxa"/>
            <w:tcBorders>
              <w:top w:val="single" w:sz="4" w:space="0" w:color="auto"/>
              <w:left w:val="single" w:sz="4" w:space="0" w:color="auto"/>
              <w:bottom w:val="single" w:sz="4" w:space="0" w:color="auto"/>
              <w:right w:val="single" w:sz="4" w:space="0" w:color="auto"/>
            </w:tcBorders>
            <w:shd w:val="clear" w:color="auto" w:fill="FFFFFF"/>
          </w:tcPr>
          <w:p w14:paraId="5761E4D1" w14:textId="77777777" w:rsidR="00A56EE9" w:rsidRPr="00E70A11" w:rsidRDefault="00A56EE9" w:rsidP="00A11869">
            <w:pPr>
              <w:pStyle w:val="ListParagraph"/>
              <w:numPr>
                <w:ilvl w:val="0"/>
                <w:numId w:val="23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and Qld Government workshops and discussions</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5761E4D2"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shd w:val="clear" w:color="auto" w:fill="FFFFFF"/>
          </w:tcPr>
          <w:p w14:paraId="5761E4D3"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4DD"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shd w:val="clear" w:color="auto" w:fill="auto"/>
          </w:tcPr>
          <w:p w14:paraId="5761E4D5"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coastal development provide certainty regarding where uses may occur, the type of activities allowed, conditions under which activities may proceed and circumstances where impacts are likely to be acceptable.</w:t>
            </w:r>
          </w:p>
        </w:tc>
        <w:tc>
          <w:tcPr>
            <w:tcW w:w="668" w:type="dxa"/>
            <w:tcBorders>
              <w:top w:val="single" w:sz="4" w:space="0" w:color="auto"/>
              <w:left w:val="single" w:sz="4" w:space="0" w:color="auto"/>
              <w:bottom w:val="single" w:sz="4" w:space="0" w:color="auto"/>
              <w:right w:val="single" w:sz="4" w:space="0" w:color="auto"/>
            </w:tcBorders>
          </w:tcPr>
          <w:p w14:paraId="5761E4D6"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D7" w14:textId="77777777" w:rsidR="00A56EE9" w:rsidRPr="00E70A11" w:rsidRDefault="00A56EE9" w:rsidP="00A11869">
            <w:pPr>
              <w:pStyle w:val="ListParagraph"/>
              <w:numPr>
                <w:ilvl w:val="0"/>
                <w:numId w:val="236"/>
              </w:numPr>
              <w:spacing w:after="200" w:line="276" w:lineRule="auto"/>
              <w:rPr>
                <w:rFonts w:ascii="Arial Narrow" w:hAnsi="Arial Narrow"/>
                <w:sz w:val="18"/>
                <w:szCs w:val="18"/>
              </w:rPr>
            </w:pPr>
            <w:r w:rsidRPr="00E70A11">
              <w:rPr>
                <w:rFonts w:ascii="Arial Narrow" w:hAnsi="Arial Narrow"/>
                <w:sz w:val="18"/>
                <w:szCs w:val="18"/>
              </w:rPr>
              <w:t xml:space="preserve">State Development and Public Works Organisation Act 1971 (Qld) – State development area development schemes provide guidance (through maps) and supporting text about suitable locations for different activities and policies to support their assessment. Prohibited development is prescribed. </w:t>
            </w:r>
          </w:p>
          <w:p w14:paraId="5761E4D8" w14:textId="77777777" w:rsidR="00A56EE9" w:rsidRPr="00E70A11" w:rsidRDefault="00A56EE9" w:rsidP="00A11869">
            <w:pPr>
              <w:pStyle w:val="ListParagraph"/>
              <w:numPr>
                <w:ilvl w:val="0"/>
                <w:numId w:val="236"/>
              </w:numPr>
              <w:spacing w:after="200" w:line="276" w:lineRule="auto"/>
              <w:rPr>
                <w:rStyle w:val="BookTitle"/>
                <w:rFonts w:ascii="Arial Narrow" w:hAnsi="Arial Narrow"/>
                <w:sz w:val="18"/>
                <w:szCs w:val="18"/>
              </w:rPr>
            </w:pPr>
            <w:r w:rsidRPr="00E70A11">
              <w:rPr>
                <w:rFonts w:ascii="Arial Narrow" w:hAnsi="Arial Narrow"/>
                <w:sz w:val="18"/>
                <w:szCs w:val="18"/>
              </w:rPr>
              <w:t xml:space="preserve">Planning Act – governs coastal development in accordance with the SPP. Coastal hazard areas that are considered not appropriate for development are incorporated into local government planning schemes via overlays. Prohibited development is generally not prescribed planning schemes; applications are assessed on merit at discretion of assessment managers. Assessment of appropriate uses is often coupled with ecological assessments given the sensitive nature of coastal and tidal areas. </w:t>
            </w:r>
          </w:p>
        </w:tc>
        <w:tc>
          <w:tcPr>
            <w:tcW w:w="4569" w:type="dxa"/>
            <w:tcBorders>
              <w:top w:val="single" w:sz="4" w:space="0" w:color="auto"/>
              <w:left w:val="single" w:sz="4" w:space="0" w:color="auto"/>
              <w:bottom w:val="single" w:sz="4" w:space="0" w:color="auto"/>
              <w:right w:val="single" w:sz="4" w:space="0" w:color="auto"/>
            </w:tcBorders>
          </w:tcPr>
          <w:p w14:paraId="5761E4D9" w14:textId="77777777" w:rsidR="00A56EE9" w:rsidRPr="00E70A11" w:rsidRDefault="00A56EE9" w:rsidP="00A11869">
            <w:pPr>
              <w:pStyle w:val="ListParagraph"/>
              <w:numPr>
                <w:ilvl w:val="0"/>
                <w:numId w:val="236"/>
              </w:numPr>
              <w:spacing w:after="200" w:line="276" w:lineRule="auto"/>
              <w:rPr>
                <w:rFonts w:ascii="Arial Narrow" w:hAnsi="Arial Narrow"/>
                <w:sz w:val="18"/>
                <w:szCs w:val="18"/>
              </w:rPr>
            </w:pPr>
            <w:r w:rsidRPr="00E70A11">
              <w:rPr>
                <w:rFonts w:ascii="Arial Narrow" w:hAnsi="Arial Narrow"/>
                <w:i/>
                <w:sz w:val="18"/>
                <w:szCs w:val="18"/>
              </w:rPr>
              <w:t>State Development and Public Works Organisation Act 1971</w:t>
            </w:r>
            <w:r w:rsidRPr="00E70A11">
              <w:rPr>
                <w:rFonts w:ascii="Arial Narrow" w:hAnsi="Arial Narrow"/>
                <w:sz w:val="18"/>
                <w:szCs w:val="18"/>
              </w:rPr>
              <w:t xml:space="preserve"> (Qld)</w:t>
            </w:r>
          </w:p>
          <w:p w14:paraId="5761E4DA" w14:textId="77777777" w:rsidR="00A56EE9" w:rsidRPr="00E70A11" w:rsidRDefault="00A56EE9" w:rsidP="00A11869">
            <w:pPr>
              <w:pStyle w:val="ListParagraph"/>
              <w:numPr>
                <w:ilvl w:val="0"/>
                <w:numId w:val="236"/>
              </w:numPr>
              <w:spacing w:after="200" w:line="276" w:lineRule="auto"/>
              <w:rPr>
                <w:rStyle w:val="BookTitle"/>
                <w:rFonts w:ascii="Arial Narrow" w:hAnsi="Arial Narrow"/>
                <w:sz w:val="18"/>
                <w:szCs w:val="18"/>
              </w:rPr>
            </w:pPr>
            <w:r w:rsidRPr="00E70A11">
              <w:rPr>
                <w:rFonts w:ascii="Arial Narrow" w:hAnsi="Arial Narrow"/>
                <w:i/>
                <w:sz w:val="18"/>
                <w:szCs w:val="18"/>
                <w:lang w:val="en-GB"/>
              </w:rPr>
              <w:t>Planning Act 2016</w:t>
            </w:r>
            <w:r w:rsidRPr="00E70A11">
              <w:rPr>
                <w:rFonts w:ascii="Arial Narrow" w:hAnsi="Arial Narrow"/>
                <w:sz w:val="18"/>
                <w:szCs w:val="18"/>
                <w:lang w:val="en-GB"/>
              </w:rPr>
              <w:t xml:space="preserve"> (Qld)</w:t>
            </w:r>
          </w:p>
        </w:tc>
        <w:tc>
          <w:tcPr>
            <w:tcW w:w="974" w:type="dxa"/>
            <w:tcBorders>
              <w:top w:val="single" w:sz="4" w:space="0" w:color="auto"/>
              <w:left w:val="single" w:sz="4" w:space="0" w:color="auto"/>
              <w:bottom w:val="single" w:sz="4" w:space="0" w:color="auto"/>
              <w:right w:val="single" w:sz="4" w:space="0" w:color="auto"/>
            </w:tcBorders>
          </w:tcPr>
          <w:p w14:paraId="5761E4DB"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DC"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4E4"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DE" w14:textId="77777777" w:rsidR="00A56EE9" w:rsidRPr="00E70A11" w:rsidRDefault="00A56EE9" w:rsidP="00BB6AD5">
            <w:pPr>
              <w:pStyle w:val="Tablebulletlist"/>
              <w:rPr>
                <w:rStyle w:val="BookTitle"/>
              </w:rPr>
            </w:pPr>
            <w:r w:rsidRPr="00E70A11">
              <w:rPr>
                <w:rStyle w:val="BookTitle"/>
              </w:rPr>
              <w:t>INPUTS</w:t>
            </w:r>
          </w:p>
        </w:tc>
        <w:tc>
          <w:tcPr>
            <w:tcW w:w="6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DF" w14:textId="77777777" w:rsidR="00A56EE9" w:rsidRPr="00E70A11" w:rsidRDefault="00A56EE9" w:rsidP="00BB6AD5">
            <w:pPr>
              <w:pStyle w:val="Tablebulletlist"/>
              <w:rPr>
                <w:rStyle w:val="BookTitle"/>
              </w:rPr>
            </w:pPr>
          </w:p>
        </w:tc>
        <w:tc>
          <w:tcPr>
            <w:tcW w:w="511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E0" w14:textId="77777777" w:rsidR="00A56EE9" w:rsidRPr="00E70A11" w:rsidRDefault="00A56EE9" w:rsidP="00BB6AD5">
            <w:pPr>
              <w:pStyle w:val="ListParagraph"/>
              <w:ind w:left="360"/>
              <w:rPr>
                <w:rStyle w:val="BookTitle"/>
                <w:rFonts w:ascii="Arial Narrow" w:hAnsi="Arial Narrow"/>
                <w:sz w:val="18"/>
                <w:szCs w:val="18"/>
              </w:rPr>
            </w:pPr>
          </w:p>
        </w:tc>
        <w:tc>
          <w:tcPr>
            <w:tcW w:w="456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E1" w14:textId="77777777" w:rsidR="00A56EE9" w:rsidRPr="00E70A11" w:rsidRDefault="00A56EE9" w:rsidP="00BB6AD5">
            <w:pPr>
              <w:pStyle w:val="ListParagraph"/>
              <w:ind w:left="360"/>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E2"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4E3" w14:textId="77777777" w:rsidR="00A56EE9" w:rsidRPr="00E70A11" w:rsidRDefault="00A56EE9" w:rsidP="00BB6AD5">
            <w:pPr>
              <w:pStyle w:val="Tablebulletlist"/>
              <w:rPr>
                <w:rStyle w:val="BookTitle"/>
              </w:rPr>
            </w:pPr>
          </w:p>
        </w:tc>
      </w:tr>
      <w:tr w:rsidR="00A56EE9" w:rsidRPr="00E70A11" w14:paraId="5761E4EE"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E5"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coastal development </w:t>
            </w:r>
          </w:p>
        </w:tc>
        <w:tc>
          <w:tcPr>
            <w:tcW w:w="668" w:type="dxa"/>
            <w:tcBorders>
              <w:top w:val="single" w:sz="4" w:space="0" w:color="auto"/>
              <w:left w:val="single" w:sz="4" w:space="0" w:color="auto"/>
              <w:bottom w:val="single" w:sz="4" w:space="0" w:color="auto"/>
              <w:right w:val="single" w:sz="4" w:space="0" w:color="auto"/>
            </w:tcBorders>
          </w:tcPr>
          <w:p w14:paraId="5761E4E6"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E7" w14:textId="77777777" w:rsidR="00A56EE9" w:rsidRPr="00E70A11" w:rsidRDefault="00A56EE9" w:rsidP="00A11869">
            <w:pPr>
              <w:pStyle w:val="ListParagraph"/>
              <w:numPr>
                <w:ilvl w:val="0"/>
                <w:numId w:val="241"/>
              </w:numPr>
              <w:spacing w:after="200" w:line="276" w:lineRule="auto"/>
              <w:rPr>
                <w:rFonts w:ascii="Arial Narrow" w:hAnsi="Arial Narrow"/>
                <w:sz w:val="18"/>
                <w:szCs w:val="18"/>
              </w:rPr>
            </w:pPr>
            <w:r w:rsidRPr="00E70A11">
              <w:rPr>
                <w:rFonts w:ascii="Arial Narrow" w:hAnsi="Arial Narrow"/>
                <w:sz w:val="18"/>
                <w:szCs w:val="18"/>
              </w:rPr>
              <w:t>Queensland has the primary legislative responsibility for management of coastal ecosystems.</w:t>
            </w:r>
          </w:p>
          <w:p w14:paraId="5761E4E8" w14:textId="77777777" w:rsidR="00A56EE9" w:rsidRPr="00E70A11" w:rsidRDefault="00A56EE9" w:rsidP="00A11869">
            <w:pPr>
              <w:pStyle w:val="ListParagraph"/>
              <w:numPr>
                <w:ilvl w:val="0"/>
                <w:numId w:val="241"/>
              </w:numPr>
              <w:spacing w:after="200" w:line="276" w:lineRule="auto"/>
              <w:rPr>
                <w:rFonts w:ascii="Arial Narrow" w:hAnsi="Arial Narrow"/>
                <w:sz w:val="18"/>
                <w:szCs w:val="18"/>
              </w:rPr>
            </w:pPr>
            <w:r w:rsidRPr="00E70A11">
              <w:rPr>
                <w:rFonts w:ascii="Arial Narrow" w:hAnsi="Arial Narrow"/>
                <w:sz w:val="18"/>
                <w:szCs w:val="18"/>
              </w:rPr>
              <w:t xml:space="preserve">Resources have been reallocated within the Agency based on the fact that: GBRMPA now has a </w:t>
            </w:r>
            <w:hyperlink r:id="rId165" w:history="1">
              <w:r w:rsidRPr="00E70A11">
                <w:rPr>
                  <w:rStyle w:val="Hyperlink"/>
                  <w:rFonts w:ascii="Arial Narrow" w:hAnsi="Arial Narrow"/>
                  <w:sz w:val="18"/>
                  <w:szCs w:val="18"/>
                </w:rPr>
                <w:t>position statement on coastal ecosystems</w:t>
              </w:r>
            </w:hyperlink>
            <w:r w:rsidRPr="00E70A11">
              <w:rPr>
                <w:rFonts w:ascii="Arial Narrow" w:hAnsi="Arial Narrow"/>
                <w:sz w:val="18"/>
                <w:szCs w:val="18"/>
              </w:rPr>
              <w:t xml:space="preserve"> (public consultation); BlueMaps has been adopted and operationalised by the Qld Govt through </w:t>
            </w:r>
            <w:hyperlink r:id="rId166" w:history="1">
              <w:r w:rsidRPr="00E70A11">
                <w:rPr>
                  <w:rStyle w:val="Hyperlink"/>
                  <w:rFonts w:ascii="Arial Narrow" w:hAnsi="Arial Narrow"/>
                  <w:sz w:val="18"/>
                  <w:szCs w:val="18"/>
                </w:rPr>
                <w:t>Qspatial</w:t>
              </w:r>
            </w:hyperlink>
            <w:r w:rsidRPr="00E70A11">
              <w:rPr>
                <w:rFonts w:ascii="Arial Narrow" w:hAnsi="Arial Narrow"/>
                <w:sz w:val="18"/>
                <w:szCs w:val="18"/>
              </w:rPr>
              <w:t xml:space="preserve"> and Aquatic Biodiversity Assessment Mapping Method</w:t>
            </w:r>
          </w:p>
          <w:p w14:paraId="5761E4E9" w14:textId="77777777" w:rsidR="00A56EE9" w:rsidRPr="00E70A11" w:rsidRDefault="00A56EE9" w:rsidP="00A11869">
            <w:pPr>
              <w:pStyle w:val="ListParagraph"/>
              <w:numPr>
                <w:ilvl w:val="0"/>
                <w:numId w:val="241"/>
              </w:numPr>
              <w:spacing w:after="200" w:line="276" w:lineRule="auto"/>
              <w:rPr>
                <w:rStyle w:val="BookTitle"/>
                <w:rFonts w:ascii="Arial Narrow" w:hAnsi="Arial Narrow"/>
                <w:sz w:val="18"/>
                <w:szCs w:val="18"/>
              </w:rPr>
            </w:pPr>
            <w:r w:rsidRPr="00E70A11">
              <w:rPr>
                <w:rFonts w:ascii="Arial Narrow" w:hAnsi="Arial Narrow"/>
                <w:sz w:val="18"/>
                <w:szCs w:val="18"/>
              </w:rPr>
              <w:t>Queensland Government has committed to $12 million investment partnership delivered by the Local Government Association of Queensland (LGAQ), providing funding, tools and technical support to enable coastal local governments, including Reef councils, to develop adaptation strategies to address climate change related coastal hazard risks over the long-term</w:t>
            </w:r>
          </w:p>
        </w:tc>
        <w:tc>
          <w:tcPr>
            <w:tcW w:w="4569" w:type="dxa"/>
            <w:tcBorders>
              <w:top w:val="single" w:sz="4" w:space="0" w:color="auto"/>
              <w:left w:val="single" w:sz="4" w:space="0" w:color="auto"/>
              <w:bottom w:val="single" w:sz="4" w:space="0" w:color="auto"/>
              <w:right w:val="single" w:sz="4" w:space="0" w:color="auto"/>
            </w:tcBorders>
          </w:tcPr>
          <w:p w14:paraId="5761E4EA" w14:textId="6D7DA53C" w:rsidR="00A56EE9" w:rsidRPr="00E70A11" w:rsidRDefault="008B5998" w:rsidP="00A11869">
            <w:pPr>
              <w:pStyle w:val="ListParagraph"/>
              <w:numPr>
                <w:ilvl w:val="0"/>
                <w:numId w:val="241"/>
              </w:numPr>
              <w:spacing w:after="200" w:line="276" w:lineRule="auto"/>
              <w:rPr>
                <w:rStyle w:val="BookTitle"/>
                <w:rFonts w:ascii="Arial Narrow" w:hAnsi="Arial Narrow"/>
                <w:sz w:val="18"/>
                <w:szCs w:val="18"/>
              </w:rPr>
            </w:pPr>
            <w:hyperlink r:id="rId167" w:tooltip="document link" w:history="1">
              <w:r w:rsidR="00A56EE9" w:rsidRPr="00E70A11">
                <w:rPr>
                  <w:rStyle w:val="Hyperlink"/>
                  <w:rFonts w:ascii="Arial Narrow" w:hAnsi="Arial Narrow"/>
                  <w:sz w:val="18"/>
                  <w:szCs w:val="18"/>
                </w:rPr>
                <w:t>http://www.qcoast2100.com.au/</w:t>
              </w:r>
            </w:hyperlink>
            <w:r w:rsidR="00A56EE9" w:rsidRPr="00E70A11">
              <w:rPr>
                <w:rStyle w:val="BookTitle"/>
                <w:rFonts w:ascii="Arial Narrow" w:hAnsi="Arial Narrow"/>
                <w:sz w:val="18"/>
                <w:szCs w:val="18"/>
              </w:rPr>
              <w:t xml:space="preserve"> </w:t>
            </w:r>
          </w:p>
          <w:p w14:paraId="5761E4EB" w14:textId="77777777" w:rsidR="00A56EE9" w:rsidRPr="00E70A11" w:rsidRDefault="00A56EE9" w:rsidP="00A11869">
            <w:pPr>
              <w:pStyle w:val="ListParagraph"/>
              <w:numPr>
                <w:ilvl w:val="0"/>
                <w:numId w:val="241"/>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w:t>
            </w:r>
          </w:p>
        </w:tc>
        <w:tc>
          <w:tcPr>
            <w:tcW w:w="974" w:type="dxa"/>
            <w:tcBorders>
              <w:top w:val="single" w:sz="4" w:space="0" w:color="auto"/>
              <w:left w:val="single" w:sz="4" w:space="0" w:color="auto"/>
              <w:bottom w:val="single" w:sz="4" w:space="0" w:color="auto"/>
              <w:right w:val="single" w:sz="4" w:space="0" w:color="auto"/>
            </w:tcBorders>
          </w:tcPr>
          <w:p w14:paraId="5761E4EC"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ED"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4F8"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EF"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coastal development </w:t>
            </w:r>
          </w:p>
        </w:tc>
        <w:tc>
          <w:tcPr>
            <w:tcW w:w="668" w:type="dxa"/>
            <w:tcBorders>
              <w:top w:val="single" w:sz="4" w:space="0" w:color="auto"/>
              <w:left w:val="single" w:sz="4" w:space="0" w:color="auto"/>
              <w:bottom w:val="single" w:sz="4" w:space="0" w:color="auto"/>
              <w:right w:val="single" w:sz="4" w:space="0" w:color="auto"/>
            </w:tcBorders>
          </w:tcPr>
          <w:p w14:paraId="5761E4F0"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F1" w14:textId="77777777" w:rsidR="00A56EE9" w:rsidRPr="00E70A11" w:rsidRDefault="00A56EE9" w:rsidP="00A11869">
            <w:pPr>
              <w:pStyle w:val="ListParagraph"/>
              <w:numPr>
                <w:ilvl w:val="0"/>
                <w:numId w:val="241"/>
              </w:numPr>
              <w:spacing w:after="200" w:line="276" w:lineRule="auto"/>
              <w:rPr>
                <w:rFonts w:ascii="Arial Narrow" w:hAnsi="Arial Narrow"/>
                <w:sz w:val="18"/>
                <w:szCs w:val="18"/>
              </w:rPr>
            </w:pPr>
            <w:r w:rsidRPr="00E70A11">
              <w:rPr>
                <w:rFonts w:ascii="Arial Narrow" w:hAnsi="Arial Narrow"/>
                <w:sz w:val="18"/>
                <w:szCs w:val="18"/>
              </w:rPr>
              <w:t>Qld Government reports it has limited but adequate resources to address coastal development.</w:t>
            </w:r>
          </w:p>
          <w:p w14:paraId="5761E4F2" w14:textId="77777777" w:rsidR="00A56EE9" w:rsidRPr="00E70A11" w:rsidRDefault="00A56EE9" w:rsidP="00A11869">
            <w:pPr>
              <w:pStyle w:val="ListParagraph"/>
              <w:numPr>
                <w:ilvl w:val="0"/>
                <w:numId w:val="241"/>
              </w:numPr>
              <w:spacing w:after="200" w:line="276" w:lineRule="auto"/>
              <w:rPr>
                <w:rFonts w:ascii="Arial Narrow" w:hAnsi="Arial Narrow"/>
                <w:sz w:val="18"/>
                <w:szCs w:val="18"/>
              </w:rPr>
            </w:pPr>
            <w:r w:rsidRPr="00E70A11">
              <w:rPr>
                <w:rFonts w:ascii="Arial Narrow" w:hAnsi="Arial Narrow"/>
                <w:sz w:val="18"/>
                <w:szCs w:val="18"/>
              </w:rPr>
              <w:t>Local Government has responsibility in many areas, and is resourced to address planning issues</w:t>
            </w:r>
          </w:p>
          <w:p w14:paraId="5761E4F3" w14:textId="77777777" w:rsidR="00A56EE9" w:rsidRPr="00E70A11" w:rsidRDefault="00A56EE9" w:rsidP="00A11869">
            <w:pPr>
              <w:pStyle w:val="ListParagraph"/>
              <w:numPr>
                <w:ilvl w:val="0"/>
                <w:numId w:val="241"/>
              </w:numPr>
              <w:spacing w:after="200" w:line="276" w:lineRule="auto"/>
              <w:rPr>
                <w:rStyle w:val="BookTitle"/>
                <w:rFonts w:ascii="Arial Narrow" w:hAnsi="Arial Narrow"/>
                <w:sz w:val="18"/>
                <w:szCs w:val="18"/>
              </w:rPr>
            </w:pPr>
            <w:r w:rsidRPr="00E70A11">
              <w:rPr>
                <w:rFonts w:ascii="Arial Narrow" w:hAnsi="Arial Narrow"/>
                <w:sz w:val="18"/>
                <w:szCs w:val="18"/>
              </w:rPr>
              <w:t xml:space="preserve">Current resource levels in the GBRMPA Environment Assessment and Protection area and planning in the Agency are limited when address the increase in coastal development/marine development and changes to the EBPC/GBRMP/Coastal Planning (i.e. more high level assessments have arisen for GBRMPA (since 2009) with the GBRMP being made a matter of NES). </w:t>
            </w:r>
          </w:p>
        </w:tc>
        <w:tc>
          <w:tcPr>
            <w:tcW w:w="4569" w:type="dxa"/>
            <w:tcBorders>
              <w:top w:val="single" w:sz="4" w:space="0" w:color="auto"/>
              <w:left w:val="single" w:sz="4" w:space="0" w:color="auto"/>
              <w:bottom w:val="single" w:sz="4" w:space="0" w:color="auto"/>
              <w:right w:val="single" w:sz="4" w:space="0" w:color="auto"/>
            </w:tcBorders>
          </w:tcPr>
          <w:p w14:paraId="5761E4F4" w14:textId="77777777" w:rsidR="00A56EE9" w:rsidRPr="00E70A11" w:rsidRDefault="00A56EE9" w:rsidP="00A11869">
            <w:pPr>
              <w:pStyle w:val="ListParagraph"/>
              <w:numPr>
                <w:ilvl w:val="0"/>
                <w:numId w:val="241"/>
              </w:numPr>
              <w:spacing w:after="200" w:line="276" w:lineRule="auto"/>
              <w:rPr>
                <w:rFonts w:ascii="Arial Narrow" w:hAnsi="Arial Narrow"/>
                <w:sz w:val="18"/>
                <w:szCs w:val="18"/>
              </w:rPr>
            </w:pPr>
            <w:r w:rsidRPr="00E70A11">
              <w:rPr>
                <w:rFonts w:ascii="Arial Narrow" w:hAnsi="Arial Narrow"/>
                <w:sz w:val="18"/>
                <w:szCs w:val="18"/>
              </w:rPr>
              <w:t xml:space="preserve">Workshop discussions </w:t>
            </w:r>
          </w:p>
          <w:p w14:paraId="5761E4F5" w14:textId="77777777" w:rsidR="00A56EE9" w:rsidRPr="00E70A11" w:rsidRDefault="00A56EE9" w:rsidP="00A11869">
            <w:pPr>
              <w:pStyle w:val="ListParagraph"/>
              <w:numPr>
                <w:ilvl w:val="0"/>
                <w:numId w:val="241"/>
              </w:numPr>
              <w:spacing w:after="200" w:line="276" w:lineRule="auto"/>
              <w:rPr>
                <w:rStyle w:val="BookTitle"/>
                <w:rFonts w:ascii="Arial Narrow" w:hAnsi="Arial Narrow"/>
                <w:sz w:val="18"/>
                <w:szCs w:val="18"/>
              </w:rPr>
            </w:pPr>
            <w:r w:rsidRPr="00E70A11">
              <w:rPr>
                <w:rFonts w:ascii="Arial Narrow" w:hAnsi="Arial Narrow"/>
                <w:sz w:val="18"/>
                <w:szCs w:val="18"/>
              </w:rPr>
              <w:t>GBRMPA Annual Operating Plan 2017-2018</w:t>
            </w:r>
          </w:p>
        </w:tc>
        <w:tc>
          <w:tcPr>
            <w:tcW w:w="974" w:type="dxa"/>
            <w:tcBorders>
              <w:top w:val="single" w:sz="4" w:space="0" w:color="auto"/>
              <w:left w:val="single" w:sz="4" w:space="0" w:color="auto"/>
              <w:bottom w:val="single" w:sz="4" w:space="0" w:color="auto"/>
              <w:right w:val="single" w:sz="4" w:space="0" w:color="auto"/>
            </w:tcBorders>
          </w:tcPr>
          <w:p w14:paraId="5761E4F6"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F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4FF"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4F9"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coastal development</w:t>
            </w:r>
          </w:p>
        </w:tc>
        <w:tc>
          <w:tcPr>
            <w:tcW w:w="668" w:type="dxa"/>
            <w:tcBorders>
              <w:top w:val="single" w:sz="4" w:space="0" w:color="auto"/>
              <w:left w:val="single" w:sz="4" w:space="0" w:color="auto"/>
              <w:bottom w:val="single" w:sz="4" w:space="0" w:color="auto"/>
              <w:right w:val="single" w:sz="4" w:space="0" w:color="auto"/>
            </w:tcBorders>
          </w:tcPr>
          <w:p w14:paraId="5761E4FA"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4FB" w14:textId="77777777" w:rsidR="00A56EE9" w:rsidRPr="00E70A11" w:rsidRDefault="00A56EE9" w:rsidP="00A11869">
            <w:pPr>
              <w:pStyle w:val="ListParagraph"/>
              <w:numPr>
                <w:ilvl w:val="0"/>
                <w:numId w:val="242"/>
              </w:numPr>
              <w:spacing w:after="200" w:line="276" w:lineRule="auto"/>
              <w:rPr>
                <w:rStyle w:val="BookTitle"/>
                <w:rFonts w:ascii="Arial Narrow" w:hAnsi="Arial Narrow"/>
                <w:sz w:val="18"/>
                <w:szCs w:val="18"/>
              </w:rPr>
            </w:pPr>
            <w:r w:rsidRPr="00E70A11">
              <w:rPr>
                <w:rFonts w:ascii="Arial Narrow" w:hAnsi="Arial Narrow"/>
                <w:sz w:val="18"/>
                <w:szCs w:val="18"/>
              </w:rPr>
              <w:t xml:space="preserve">Qld government has good knowledge and expertise in coastal erosion and wetland management </w:t>
            </w:r>
          </w:p>
        </w:tc>
        <w:tc>
          <w:tcPr>
            <w:tcW w:w="4569" w:type="dxa"/>
            <w:tcBorders>
              <w:top w:val="single" w:sz="4" w:space="0" w:color="auto"/>
              <w:left w:val="single" w:sz="4" w:space="0" w:color="auto"/>
              <w:bottom w:val="single" w:sz="4" w:space="0" w:color="auto"/>
              <w:right w:val="single" w:sz="4" w:space="0" w:color="auto"/>
            </w:tcBorders>
          </w:tcPr>
          <w:p w14:paraId="5761E4FC" w14:textId="77777777" w:rsidR="00A56EE9" w:rsidRPr="00E70A11" w:rsidRDefault="00A56EE9" w:rsidP="00A11869">
            <w:pPr>
              <w:pStyle w:val="ListParagraph"/>
              <w:numPr>
                <w:ilvl w:val="0"/>
                <w:numId w:val="24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Workshop discussions </w:t>
            </w:r>
          </w:p>
        </w:tc>
        <w:tc>
          <w:tcPr>
            <w:tcW w:w="974" w:type="dxa"/>
            <w:tcBorders>
              <w:top w:val="single" w:sz="4" w:space="0" w:color="auto"/>
              <w:left w:val="single" w:sz="4" w:space="0" w:color="auto"/>
              <w:bottom w:val="single" w:sz="4" w:space="0" w:color="auto"/>
              <w:right w:val="single" w:sz="4" w:space="0" w:color="auto"/>
            </w:tcBorders>
          </w:tcPr>
          <w:p w14:paraId="5761E4FD"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4FE" w14:textId="77777777" w:rsidR="00A56EE9" w:rsidRPr="00E70A11" w:rsidRDefault="00A56EE9" w:rsidP="00BB6AD5">
            <w:pPr>
              <w:pStyle w:val="Tablebulletlist"/>
              <w:rPr>
                <w:rStyle w:val="BookTitle"/>
              </w:rPr>
            </w:pPr>
            <w:r w:rsidRPr="00E70A11">
              <w:rPr>
                <w:rStyle w:val="BookTitle"/>
              </w:rPr>
              <w:t xml:space="preserve">Stable </w:t>
            </w:r>
          </w:p>
        </w:tc>
      </w:tr>
      <w:tr w:rsidR="00A56EE9" w:rsidRPr="00E70A11" w14:paraId="5761E511"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00"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coastal development</w:t>
            </w:r>
          </w:p>
        </w:tc>
        <w:tc>
          <w:tcPr>
            <w:tcW w:w="668" w:type="dxa"/>
            <w:tcBorders>
              <w:top w:val="single" w:sz="4" w:space="0" w:color="auto"/>
              <w:left w:val="single" w:sz="4" w:space="0" w:color="auto"/>
              <w:bottom w:val="single" w:sz="4" w:space="0" w:color="auto"/>
              <w:right w:val="single" w:sz="4" w:space="0" w:color="auto"/>
            </w:tcBorders>
          </w:tcPr>
          <w:p w14:paraId="5761E501"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02" w14:textId="77777777" w:rsidR="00A56EE9" w:rsidRPr="00E70A11" w:rsidRDefault="00A56EE9" w:rsidP="00A11869">
            <w:pPr>
              <w:pStyle w:val="ListParagraph"/>
              <w:numPr>
                <w:ilvl w:val="0"/>
                <w:numId w:val="242"/>
              </w:numPr>
              <w:spacing w:after="200" w:line="276" w:lineRule="auto"/>
              <w:rPr>
                <w:rFonts w:ascii="Arial Narrow" w:hAnsi="Arial Narrow"/>
                <w:sz w:val="18"/>
                <w:szCs w:val="18"/>
              </w:rPr>
            </w:pPr>
            <w:r w:rsidRPr="00E70A11">
              <w:rPr>
                <w:rFonts w:ascii="Arial Narrow" w:hAnsi="Arial Narrow"/>
                <w:sz w:val="18"/>
                <w:szCs w:val="18"/>
              </w:rPr>
              <w:t>The Strategic Assessments, Scientific Consensus Statement 2017, Outlook Report 09, 14, vulnerability assessments, basin assessments, informing the Outlook for the GBR Coastal ecosystems, have all complied latest information and made it accessible to managers.</w:t>
            </w:r>
          </w:p>
          <w:p w14:paraId="5761E503" w14:textId="77777777" w:rsidR="00A56EE9" w:rsidRPr="00E70A11" w:rsidRDefault="00A56EE9" w:rsidP="00A11869">
            <w:pPr>
              <w:pStyle w:val="ListParagraph"/>
              <w:numPr>
                <w:ilvl w:val="0"/>
                <w:numId w:val="242"/>
              </w:numPr>
              <w:spacing w:after="200" w:line="276" w:lineRule="auto"/>
              <w:rPr>
                <w:rFonts w:ascii="Arial Narrow" w:hAnsi="Arial Narrow"/>
                <w:sz w:val="18"/>
                <w:szCs w:val="18"/>
              </w:rPr>
            </w:pPr>
            <w:r w:rsidRPr="00E70A11">
              <w:rPr>
                <w:rFonts w:ascii="Arial Narrow" w:hAnsi="Arial Narrow"/>
                <w:sz w:val="18"/>
                <w:szCs w:val="18"/>
              </w:rPr>
              <w:t>Mapping of terrestrial habitats exists and regional ecosystem and wetlands data is of high reliability.</w:t>
            </w:r>
          </w:p>
          <w:p w14:paraId="5761E504" w14:textId="77777777" w:rsidR="00A56EE9" w:rsidRPr="00E70A11" w:rsidRDefault="008B5998" w:rsidP="00A11869">
            <w:pPr>
              <w:pStyle w:val="ListParagraph"/>
              <w:numPr>
                <w:ilvl w:val="0"/>
                <w:numId w:val="242"/>
              </w:numPr>
              <w:spacing w:after="200" w:line="276" w:lineRule="auto"/>
              <w:rPr>
                <w:rFonts w:ascii="Arial Narrow" w:hAnsi="Arial Narrow"/>
                <w:sz w:val="18"/>
                <w:szCs w:val="18"/>
              </w:rPr>
            </w:pPr>
            <w:hyperlink r:id="rId168" w:history="1">
              <w:r w:rsidR="00A56EE9" w:rsidRPr="00E70A11">
                <w:rPr>
                  <w:rStyle w:val="Hyperlink"/>
                  <w:rFonts w:ascii="Arial Narrow" w:hAnsi="Arial Narrow"/>
                  <w:sz w:val="18"/>
                  <w:szCs w:val="18"/>
                </w:rPr>
                <w:t>Groundwater Dependant Ecosystem</w:t>
              </w:r>
            </w:hyperlink>
            <w:r w:rsidR="00A56EE9" w:rsidRPr="00E70A11">
              <w:rPr>
                <w:rFonts w:ascii="Arial Narrow" w:hAnsi="Arial Narrow"/>
                <w:sz w:val="18"/>
                <w:szCs w:val="18"/>
              </w:rPr>
              <w:t xml:space="preserve"> conceptual models and interactive mapping has been completed for large parts of the catchment</w:t>
            </w:r>
          </w:p>
          <w:p w14:paraId="5761E505" w14:textId="77777777" w:rsidR="00A56EE9" w:rsidRPr="00E70A11" w:rsidRDefault="00A56EE9" w:rsidP="00A11869">
            <w:pPr>
              <w:pStyle w:val="ListParagraph"/>
              <w:numPr>
                <w:ilvl w:val="0"/>
                <w:numId w:val="242"/>
              </w:numPr>
              <w:spacing w:after="200" w:line="276" w:lineRule="auto"/>
              <w:rPr>
                <w:rFonts w:ascii="Arial Narrow" w:hAnsi="Arial Narrow"/>
                <w:sz w:val="18"/>
                <w:szCs w:val="18"/>
              </w:rPr>
            </w:pPr>
            <w:r w:rsidRPr="00E70A11">
              <w:rPr>
                <w:rFonts w:ascii="Arial Narrow" w:hAnsi="Arial Narrow"/>
                <w:sz w:val="18"/>
                <w:szCs w:val="18"/>
              </w:rPr>
              <w:t>Walking the landscape processes have been run with GBRMPA, EHP and NRM groups to understand the influence of geology and land use on hydrological flows and prioritisation of actions in line with the Queensland Wetlands Strategy are being developed by many NRM groups</w:t>
            </w:r>
          </w:p>
          <w:p w14:paraId="5761E506" w14:textId="77777777" w:rsidR="00A56EE9" w:rsidRPr="00E70A11" w:rsidRDefault="00A56EE9" w:rsidP="00A11869">
            <w:pPr>
              <w:pStyle w:val="ListParagraph"/>
              <w:numPr>
                <w:ilvl w:val="0"/>
                <w:numId w:val="242"/>
              </w:numPr>
              <w:spacing w:after="200" w:line="276" w:lineRule="auto"/>
              <w:rPr>
                <w:rStyle w:val="BookTitle"/>
                <w:rFonts w:ascii="Arial Narrow" w:hAnsi="Arial Narrow"/>
                <w:sz w:val="18"/>
                <w:szCs w:val="18"/>
              </w:rPr>
            </w:pPr>
            <w:r w:rsidRPr="00E70A11">
              <w:rPr>
                <w:rFonts w:ascii="Arial Narrow" w:hAnsi="Arial Narrow"/>
                <w:sz w:val="18"/>
                <w:szCs w:val="18"/>
              </w:rPr>
              <w:t>Paddock to Reef program is dedicated to monitoring catchment loads, paddock monitoring and modelling, marine monitoring, wetlands and ground cover and provides an opportunity for adaptive management.</w:t>
            </w:r>
          </w:p>
        </w:tc>
        <w:tc>
          <w:tcPr>
            <w:tcW w:w="4569" w:type="dxa"/>
            <w:tcBorders>
              <w:top w:val="single" w:sz="4" w:space="0" w:color="auto"/>
              <w:left w:val="single" w:sz="4" w:space="0" w:color="auto"/>
              <w:bottom w:val="single" w:sz="4" w:space="0" w:color="auto"/>
              <w:right w:val="single" w:sz="4" w:space="0" w:color="auto"/>
            </w:tcBorders>
          </w:tcPr>
          <w:p w14:paraId="5761E507" w14:textId="77777777" w:rsidR="00A56EE9" w:rsidRPr="00E70A11" w:rsidRDefault="008B5998" w:rsidP="00A11869">
            <w:pPr>
              <w:pStyle w:val="ListParagraph"/>
              <w:numPr>
                <w:ilvl w:val="0"/>
                <w:numId w:val="242"/>
              </w:numPr>
              <w:spacing w:after="200" w:line="276" w:lineRule="auto"/>
              <w:rPr>
                <w:rFonts w:ascii="Arial Narrow" w:hAnsi="Arial Narrow"/>
                <w:sz w:val="18"/>
                <w:szCs w:val="18"/>
                <w:u w:val="single"/>
              </w:rPr>
            </w:pPr>
            <w:hyperlink r:id="rId169" w:history="1">
              <w:r w:rsidR="00A56EE9" w:rsidRPr="00E70A11">
                <w:rPr>
                  <w:rStyle w:val="Hyperlink"/>
                  <w:rFonts w:ascii="Arial Narrow" w:hAnsi="Arial Narrow"/>
                  <w:sz w:val="18"/>
                  <w:szCs w:val="18"/>
                </w:rPr>
                <w:t>2017 Scientific Consensus Statement</w:t>
              </w:r>
            </w:hyperlink>
          </w:p>
          <w:p w14:paraId="5761E508" w14:textId="77777777" w:rsidR="00A56EE9" w:rsidRPr="00E70A11" w:rsidRDefault="008B5998" w:rsidP="00A11869">
            <w:pPr>
              <w:pStyle w:val="ListParagraph"/>
              <w:numPr>
                <w:ilvl w:val="0"/>
                <w:numId w:val="242"/>
              </w:numPr>
              <w:spacing w:after="200" w:line="276" w:lineRule="auto"/>
              <w:rPr>
                <w:rFonts w:ascii="Arial Narrow" w:hAnsi="Arial Narrow"/>
                <w:sz w:val="18"/>
                <w:szCs w:val="18"/>
              </w:rPr>
            </w:pPr>
            <w:hyperlink r:id="rId170" w:history="1">
              <w:r w:rsidR="00A56EE9" w:rsidRPr="00E70A11">
                <w:rPr>
                  <w:rStyle w:val="Hyperlink"/>
                  <w:rFonts w:ascii="Arial Narrow" w:hAnsi="Arial Narrow"/>
                  <w:sz w:val="18"/>
                  <w:szCs w:val="18"/>
                </w:rPr>
                <w:t>Chapter 4</w:t>
              </w:r>
            </w:hyperlink>
            <w:r w:rsidR="00A56EE9" w:rsidRPr="00E70A11">
              <w:rPr>
                <w:rFonts w:ascii="Arial Narrow" w:hAnsi="Arial Narrow"/>
                <w:sz w:val="18"/>
                <w:szCs w:val="18"/>
              </w:rPr>
              <w:t xml:space="preserve"> of the Consensus Statement considers management of the risks</w:t>
            </w:r>
          </w:p>
          <w:p w14:paraId="5761E509" w14:textId="77777777" w:rsidR="00A56EE9" w:rsidRPr="00E70A11" w:rsidRDefault="008B5998" w:rsidP="00A11869">
            <w:pPr>
              <w:pStyle w:val="ListParagraph"/>
              <w:numPr>
                <w:ilvl w:val="0"/>
                <w:numId w:val="242"/>
              </w:numPr>
              <w:spacing w:after="200" w:line="276" w:lineRule="auto"/>
              <w:rPr>
                <w:rFonts w:ascii="Arial Narrow" w:hAnsi="Arial Narrow"/>
                <w:sz w:val="18"/>
                <w:szCs w:val="18"/>
              </w:rPr>
            </w:pPr>
            <w:hyperlink r:id="rId171" w:history="1">
              <w:r w:rsidR="00A56EE9" w:rsidRPr="00E70A11">
                <w:rPr>
                  <w:rStyle w:val="Hyperlink"/>
                  <w:rFonts w:ascii="Arial Narrow" w:hAnsi="Arial Narrow"/>
                  <w:sz w:val="18"/>
                  <w:szCs w:val="18"/>
                </w:rPr>
                <w:t>Great Barrier Reef Strategic Assessment Report</w:t>
              </w:r>
            </w:hyperlink>
            <w:r w:rsidR="00A56EE9" w:rsidRPr="00E70A11">
              <w:rPr>
                <w:rFonts w:ascii="Arial Narrow" w:hAnsi="Arial Narrow"/>
                <w:sz w:val="18"/>
                <w:szCs w:val="18"/>
              </w:rPr>
              <w:t xml:space="preserve">, </w:t>
            </w:r>
          </w:p>
          <w:p w14:paraId="5761E50A" w14:textId="77777777" w:rsidR="00A56EE9" w:rsidRPr="00E70A11" w:rsidRDefault="008B5998" w:rsidP="00A11869">
            <w:pPr>
              <w:pStyle w:val="ListParagraph"/>
              <w:numPr>
                <w:ilvl w:val="0"/>
                <w:numId w:val="242"/>
              </w:numPr>
              <w:spacing w:after="200" w:line="276" w:lineRule="auto"/>
              <w:rPr>
                <w:rFonts w:ascii="Arial Narrow" w:hAnsi="Arial Narrow"/>
                <w:sz w:val="18"/>
                <w:szCs w:val="18"/>
              </w:rPr>
            </w:pPr>
            <w:hyperlink r:id="rId172" w:history="1">
              <w:r w:rsidR="00A56EE9" w:rsidRPr="00E70A11">
                <w:rPr>
                  <w:rStyle w:val="Hyperlink"/>
                  <w:rFonts w:ascii="Arial Narrow" w:hAnsi="Arial Narrow"/>
                  <w:sz w:val="18"/>
                  <w:szCs w:val="18"/>
                </w:rPr>
                <w:t>Great Barrier Reef Coastal Zone Strategic Assessment</w:t>
              </w:r>
            </w:hyperlink>
            <w:r w:rsidR="00A56EE9" w:rsidRPr="00E70A11">
              <w:rPr>
                <w:rFonts w:ascii="Arial Narrow" w:hAnsi="Arial Narrow"/>
                <w:sz w:val="18"/>
                <w:szCs w:val="18"/>
              </w:rPr>
              <w:t xml:space="preserve"> 2014</w:t>
            </w:r>
          </w:p>
          <w:p w14:paraId="5761E50B" w14:textId="77777777" w:rsidR="00A56EE9" w:rsidRPr="00E70A11" w:rsidRDefault="008B5998" w:rsidP="00A11869">
            <w:pPr>
              <w:pStyle w:val="ListParagraph"/>
              <w:numPr>
                <w:ilvl w:val="0"/>
                <w:numId w:val="242"/>
              </w:numPr>
              <w:spacing w:after="200" w:line="276" w:lineRule="auto"/>
              <w:rPr>
                <w:rFonts w:ascii="Arial Narrow" w:hAnsi="Arial Narrow"/>
                <w:sz w:val="18"/>
                <w:szCs w:val="18"/>
              </w:rPr>
            </w:pPr>
            <w:hyperlink r:id="rId173" w:history="1">
              <w:r w:rsidR="00A56EE9" w:rsidRPr="00E70A11">
                <w:rPr>
                  <w:rStyle w:val="Hyperlink"/>
                  <w:rFonts w:ascii="Arial Narrow" w:hAnsi="Arial Narrow"/>
                  <w:sz w:val="18"/>
                  <w:szCs w:val="18"/>
                </w:rPr>
                <w:t>Coastal Ecosystem – position statement</w:t>
              </w:r>
            </w:hyperlink>
          </w:p>
          <w:p w14:paraId="5761E50C" w14:textId="77777777" w:rsidR="00A56EE9" w:rsidRPr="00E70A11" w:rsidRDefault="00A56EE9" w:rsidP="00A11869">
            <w:pPr>
              <w:pStyle w:val="ListParagraph"/>
              <w:numPr>
                <w:ilvl w:val="0"/>
                <w:numId w:val="242"/>
              </w:numPr>
              <w:spacing w:after="200" w:line="276" w:lineRule="auto"/>
              <w:rPr>
                <w:rFonts w:ascii="Arial Narrow" w:hAnsi="Arial Narrow"/>
                <w:sz w:val="18"/>
                <w:szCs w:val="18"/>
              </w:rPr>
            </w:pPr>
            <w:r w:rsidRPr="00E70A11">
              <w:rPr>
                <w:rFonts w:ascii="Arial Narrow" w:hAnsi="Arial Narrow"/>
                <w:sz w:val="18"/>
                <w:szCs w:val="18"/>
              </w:rPr>
              <w:t>Walthm and Sheaves,</w:t>
            </w:r>
            <w:hyperlink r:id="rId174" w:history="1">
              <w:r w:rsidRPr="00E70A11">
                <w:rPr>
                  <w:rStyle w:val="Hyperlink"/>
                  <w:rFonts w:ascii="Arial Narrow" w:hAnsi="Arial Narrow"/>
                  <w:sz w:val="18"/>
                  <w:szCs w:val="18"/>
                </w:rPr>
                <w:t xml:space="preserve"> Expanding coastal urban and industrial seascape in the Great Barrier Reef World Heritage Area: Critical need for coordinated planning and polic</w:t>
              </w:r>
            </w:hyperlink>
            <w:r w:rsidRPr="00E70A11">
              <w:rPr>
                <w:rFonts w:ascii="Arial Narrow" w:hAnsi="Arial Narrow"/>
                <w:sz w:val="18"/>
                <w:szCs w:val="18"/>
              </w:rPr>
              <w:t>y, Marine Policy</w:t>
            </w:r>
          </w:p>
          <w:p w14:paraId="5761E50D" w14:textId="47F4CEBE" w:rsidR="00A56EE9" w:rsidRPr="00E70A11" w:rsidRDefault="00A56EE9" w:rsidP="00A11869">
            <w:pPr>
              <w:pStyle w:val="ListParagraph"/>
              <w:numPr>
                <w:ilvl w:val="0"/>
                <w:numId w:val="242"/>
              </w:numPr>
              <w:spacing w:after="200" w:line="276" w:lineRule="auto"/>
              <w:rPr>
                <w:rFonts w:ascii="Arial Narrow" w:hAnsi="Arial Narrow"/>
                <w:sz w:val="18"/>
                <w:szCs w:val="18"/>
              </w:rPr>
            </w:pPr>
            <w:r w:rsidRPr="00E70A11">
              <w:rPr>
                <w:rFonts w:ascii="Arial Narrow" w:hAnsi="Arial Narrow"/>
                <w:sz w:val="18"/>
                <w:szCs w:val="18"/>
              </w:rPr>
              <w:t>Wetland</w:t>
            </w:r>
            <w:r w:rsidRPr="00E70A11">
              <w:rPr>
                <w:rFonts w:ascii="Arial Narrow" w:hAnsi="Arial Narrow"/>
                <w:i/>
                <w:sz w:val="18"/>
                <w:szCs w:val="18"/>
              </w:rPr>
              <w:t xml:space="preserve">info </w:t>
            </w:r>
            <w:r w:rsidRPr="00E70A11">
              <w:rPr>
                <w:rFonts w:ascii="Arial Narrow" w:hAnsi="Arial Narrow"/>
                <w:sz w:val="18"/>
                <w:szCs w:val="18"/>
              </w:rPr>
              <w:t xml:space="preserve">and NRM group catchment story maps </w:t>
            </w:r>
            <w:hyperlink r:id="rId175" w:tooltip="document link" w:history="1">
              <w:r w:rsidRPr="00E70A11">
                <w:rPr>
                  <w:rStyle w:val="Hyperlink"/>
                  <w:rFonts w:ascii="Arial Narrow" w:hAnsi="Arial Narrow"/>
                  <w:sz w:val="18"/>
                  <w:szCs w:val="18"/>
                </w:rPr>
                <w:t>https://wetlandinfo.ehp.qld.gov.au/wetlands/ecology/processes-systems/water/catchment-stories/</w:t>
              </w:r>
            </w:hyperlink>
            <w:r w:rsidRPr="00E70A11">
              <w:rPr>
                <w:rFonts w:ascii="Arial Narrow" w:hAnsi="Arial Narrow"/>
                <w:sz w:val="18"/>
                <w:szCs w:val="18"/>
              </w:rPr>
              <w:t xml:space="preserve"> </w:t>
            </w:r>
          </w:p>
          <w:p w14:paraId="5761E50E" w14:textId="09B3D8AB" w:rsidR="00A56EE9" w:rsidRPr="00E70A11" w:rsidRDefault="00A56EE9" w:rsidP="00A11869">
            <w:pPr>
              <w:pStyle w:val="ListParagraph"/>
              <w:numPr>
                <w:ilvl w:val="0"/>
                <w:numId w:val="242"/>
              </w:numPr>
              <w:spacing w:after="200" w:line="276" w:lineRule="auto"/>
              <w:rPr>
                <w:rStyle w:val="BookTitle"/>
                <w:rFonts w:ascii="Arial Narrow" w:hAnsi="Arial Narrow"/>
                <w:sz w:val="18"/>
                <w:szCs w:val="18"/>
              </w:rPr>
            </w:pPr>
            <w:r w:rsidRPr="00E70A11">
              <w:rPr>
                <w:rFonts w:ascii="Arial Narrow" w:hAnsi="Arial Narrow"/>
                <w:sz w:val="18"/>
                <w:szCs w:val="18"/>
              </w:rPr>
              <w:t xml:space="preserve">Groundwater Dependant Ecosystems conceptual models </w:t>
            </w:r>
            <w:hyperlink r:id="rId176" w:tooltip="document link" w:history="1">
              <w:r w:rsidRPr="00E70A11">
                <w:rPr>
                  <w:rStyle w:val="Hyperlink"/>
                  <w:rFonts w:ascii="Arial Narrow" w:hAnsi="Arial Narrow"/>
                  <w:sz w:val="18"/>
                  <w:szCs w:val="18"/>
                </w:rPr>
                <w:t>https://wetlandinfo.ehp.qld.gov.au/wetlands/ecology/aquatic-ecosystems-natural/groundwater-dependent/</w:t>
              </w:r>
            </w:hyperlink>
          </w:p>
        </w:tc>
        <w:tc>
          <w:tcPr>
            <w:tcW w:w="974" w:type="dxa"/>
            <w:tcBorders>
              <w:top w:val="single" w:sz="4" w:space="0" w:color="auto"/>
              <w:left w:val="single" w:sz="4" w:space="0" w:color="auto"/>
              <w:bottom w:val="single" w:sz="4" w:space="0" w:color="auto"/>
              <w:right w:val="single" w:sz="4" w:space="0" w:color="auto"/>
            </w:tcBorders>
          </w:tcPr>
          <w:p w14:paraId="5761E50F"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E510"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51A"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12"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coastal development</w:t>
            </w:r>
          </w:p>
        </w:tc>
        <w:tc>
          <w:tcPr>
            <w:tcW w:w="668" w:type="dxa"/>
            <w:tcBorders>
              <w:top w:val="single" w:sz="4" w:space="0" w:color="auto"/>
              <w:left w:val="single" w:sz="4" w:space="0" w:color="auto"/>
              <w:bottom w:val="single" w:sz="4" w:space="0" w:color="auto"/>
              <w:right w:val="single" w:sz="4" w:space="0" w:color="auto"/>
            </w:tcBorders>
          </w:tcPr>
          <w:p w14:paraId="5761E513"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14" w14:textId="77777777" w:rsidR="00A56EE9" w:rsidRPr="00E70A11" w:rsidRDefault="00A56EE9" w:rsidP="00A11869">
            <w:pPr>
              <w:pStyle w:val="ListParagraph"/>
              <w:numPr>
                <w:ilvl w:val="0"/>
                <w:numId w:val="243"/>
              </w:numPr>
              <w:spacing w:after="200" w:line="276" w:lineRule="auto"/>
              <w:rPr>
                <w:rFonts w:ascii="Arial Narrow" w:hAnsi="Arial Narrow"/>
                <w:sz w:val="18"/>
                <w:szCs w:val="18"/>
              </w:rPr>
            </w:pPr>
            <w:r w:rsidRPr="00E70A11">
              <w:rPr>
                <w:rFonts w:ascii="Arial Narrow" w:hAnsi="Arial Narrow"/>
                <w:sz w:val="18"/>
                <w:szCs w:val="18"/>
              </w:rPr>
              <w:t>Government Statistician, Queensland Treasury and Trade, provides population, projections and other demographic and socio-economic data over time for regional areas of Queensland, enabling measurement of socio-economic implications of coastal development.</w:t>
            </w:r>
          </w:p>
          <w:p w14:paraId="5761E515" w14:textId="77777777" w:rsidR="00A56EE9" w:rsidRPr="00E70A11" w:rsidRDefault="00A56EE9" w:rsidP="00A11869">
            <w:pPr>
              <w:pStyle w:val="ListParagraph"/>
              <w:numPr>
                <w:ilvl w:val="0"/>
                <w:numId w:val="243"/>
              </w:numPr>
              <w:spacing w:after="200" w:line="276" w:lineRule="auto"/>
              <w:rPr>
                <w:rStyle w:val="BookTitle"/>
                <w:rFonts w:ascii="Arial Narrow" w:hAnsi="Arial Narrow"/>
                <w:sz w:val="18"/>
                <w:szCs w:val="18"/>
              </w:rPr>
            </w:pPr>
            <w:r w:rsidRPr="00E70A11">
              <w:rPr>
                <w:rFonts w:ascii="Arial Narrow" w:hAnsi="Arial Narrow"/>
                <w:sz w:val="18"/>
                <w:szCs w:val="18"/>
              </w:rPr>
              <w:t>SELTMP 2014 Coastal Communities report depicts the current state of coastal community characteristics and relationships with the GBR, and drivers of change.</w:t>
            </w:r>
          </w:p>
        </w:tc>
        <w:tc>
          <w:tcPr>
            <w:tcW w:w="4569" w:type="dxa"/>
            <w:tcBorders>
              <w:top w:val="single" w:sz="4" w:space="0" w:color="auto"/>
              <w:left w:val="single" w:sz="4" w:space="0" w:color="auto"/>
              <w:bottom w:val="single" w:sz="4" w:space="0" w:color="auto"/>
              <w:right w:val="single" w:sz="4" w:space="0" w:color="auto"/>
            </w:tcBorders>
          </w:tcPr>
          <w:p w14:paraId="5761E516" w14:textId="77777777" w:rsidR="00A56EE9" w:rsidRPr="00E70A11" w:rsidRDefault="00A56EE9" w:rsidP="00A11869">
            <w:pPr>
              <w:pStyle w:val="ListParagraph"/>
              <w:numPr>
                <w:ilvl w:val="0"/>
                <w:numId w:val="243"/>
              </w:numPr>
              <w:spacing w:after="200" w:line="276" w:lineRule="auto"/>
              <w:rPr>
                <w:rFonts w:ascii="Arial Narrow" w:hAnsi="Arial Narrow"/>
                <w:sz w:val="18"/>
                <w:szCs w:val="18"/>
              </w:rPr>
            </w:pPr>
            <w:r w:rsidRPr="00E70A11">
              <w:rPr>
                <w:rFonts w:ascii="Arial Narrow" w:hAnsi="Arial Narrow"/>
                <w:sz w:val="18"/>
                <w:szCs w:val="18"/>
              </w:rPr>
              <w:t>Bohensky, E., Marshall, N., Currnock, M., Gillet, S., Goldberg, J., Gooch, M., Pert, P., Scherl, L., Stone-Jovicich, S., Tobin, R. (2014) The Social and Economic Long Term Monitoring Program (SELTMP) 2013, Coastal Communities in the Great Barrier Reef. Report to the National Environmental Research Program. Reef and Rainforest Research Centre Limited, Cairns (35pp.).</w:t>
            </w:r>
          </w:p>
          <w:p w14:paraId="5761E517"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518"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19"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521"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1B"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coastal development</w:t>
            </w:r>
          </w:p>
        </w:tc>
        <w:tc>
          <w:tcPr>
            <w:tcW w:w="668" w:type="dxa"/>
            <w:tcBorders>
              <w:top w:val="single" w:sz="4" w:space="0" w:color="auto"/>
              <w:left w:val="single" w:sz="4" w:space="0" w:color="auto"/>
              <w:bottom w:val="single" w:sz="4" w:space="0" w:color="auto"/>
              <w:right w:val="single" w:sz="4" w:space="0" w:color="auto"/>
            </w:tcBorders>
          </w:tcPr>
          <w:p w14:paraId="5761E51C" w14:textId="77777777" w:rsidR="00A56EE9" w:rsidRPr="00E70A11" w:rsidRDefault="00A56EE9" w:rsidP="00BB6AD5">
            <w:pPr>
              <w:pStyle w:val="Tablebulletlist"/>
              <w:rPr>
                <w:rStyle w:val="BookTitle"/>
              </w:rPr>
            </w:pPr>
            <w:r w:rsidRPr="00E70A11">
              <w:rPr>
                <w:rStyle w:val="BookTitle"/>
              </w:rPr>
              <w:t>2</w:t>
            </w:r>
          </w:p>
        </w:tc>
        <w:tc>
          <w:tcPr>
            <w:tcW w:w="5111" w:type="dxa"/>
            <w:tcBorders>
              <w:top w:val="single" w:sz="4" w:space="0" w:color="auto"/>
              <w:left w:val="single" w:sz="4" w:space="0" w:color="auto"/>
              <w:bottom w:val="single" w:sz="4" w:space="0" w:color="auto"/>
              <w:right w:val="single" w:sz="4" w:space="0" w:color="auto"/>
            </w:tcBorders>
          </w:tcPr>
          <w:p w14:paraId="5761E51D" w14:textId="77777777" w:rsidR="00A56EE9" w:rsidRPr="00E70A11" w:rsidRDefault="00A56EE9" w:rsidP="00A11869">
            <w:pPr>
              <w:pStyle w:val="ListParagraph"/>
              <w:numPr>
                <w:ilvl w:val="0"/>
                <w:numId w:val="243"/>
              </w:numPr>
              <w:spacing w:after="200" w:line="276" w:lineRule="auto"/>
              <w:rPr>
                <w:rStyle w:val="BookTitle"/>
                <w:rFonts w:ascii="Arial Narrow" w:hAnsi="Arial Narrow"/>
                <w:sz w:val="18"/>
                <w:szCs w:val="18"/>
              </w:rPr>
            </w:pPr>
            <w:r w:rsidRPr="00E70A11">
              <w:rPr>
                <w:rFonts w:ascii="Arial Narrow" w:hAnsi="Arial Narrow"/>
                <w:sz w:val="18"/>
                <w:szCs w:val="18"/>
                <w:lang w:val="en-US"/>
              </w:rPr>
              <w:t>Coastal planning processes have included engagement with Traditional Owners</w:t>
            </w:r>
          </w:p>
        </w:tc>
        <w:tc>
          <w:tcPr>
            <w:tcW w:w="4569" w:type="dxa"/>
            <w:tcBorders>
              <w:top w:val="single" w:sz="4" w:space="0" w:color="auto"/>
              <w:left w:val="single" w:sz="4" w:space="0" w:color="auto"/>
              <w:bottom w:val="single" w:sz="4" w:space="0" w:color="auto"/>
              <w:right w:val="single" w:sz="4" w:space="0" w:color="auto"/>
            </w:tcBorders>
          </w:tcPr>
          <w:p w14:paraId="5761E51E" w14:textId="77777777" w:rsidR="00A56EE9" w:rsidRPr="00E70A11" w:rsidRDefault="00A56EE9" w:rsidP="00A11869">
            <w:pPr>
              <w:pStyle w:val="ListParagraph"/>
              <w:numPr>
                <w:ilvl w:val="0"/>
                <w:numId w:val="24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w:t>
            </w:r>
          </w:p>
        </w:tc>
        <w:tc>
          <w:tcPr>
            <w:tcW w:w="974" w:type="dxa"/>
            <w:tcBorders>
              <w:top w:val="single" w:sz="4" w:space="0" w:color="auto"/>
              <w:left w:val="single" w:sz="4" w:space="0" w:color="auto"/>
              <w:bottom w:val="single" w:sz="4" w:space="0" w:color="auto"/>
              <w:right w:val="single" w:sz="4" w:space="0" w:color="auto"/>
            </w:tcBorders>
          </w:tcPr>
          <w:p w14:paraId="5761E51F"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20"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528"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22"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coastal development</w:t>
            </w:r>
          </w:p>
        </w:tc>
        <w:tc>
          <w:tcPr>
            <w:tcW w:w="668" w:type="dxa"/>
            <w:tcBorders>
              <w:top w:val="single" w:sz="4" w:space="0" w:color="auto"/>
              <w:left w:val="single" w:sz="4" w:space="0" w:color="auto"/>
              <w:bottom w:val="single" w:sz="4" w:space="0" w:color="auto"/>
              <w:right w:val="single" w:sz="4" w:space="0" w:color="auto"/>
            </w:tcBorders>
          </w:tcPr>
          <w:p w14:paraId="5761E523"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24" w14:textId="77777777" w:rsidR="00A56EE9" w:rsidRPr="00E70A11" w:rsidRDefault="00A56EE9" w:rsidP="00A11869">
            <w:pPr>
              <w:pStyle w:val="ListParagraph"/>
              <w:numPr>
                <w:ilvl w:val="0"/>
                <w:numId w:val="24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Coastal planning takes historic heritage into consideration</w:t>
            </w:r>
          </w:p>
        </w:tc>
        <w:tc>
          <w:tcPr>
            <w:tcW w:w="4569" w:type="dxa"/>
            <w:tcBorders>
              <w:top w:val="single" w:sz="4" w:space="0" w:color="auto"/>
              <w:left w:val="single" w:sz="4" w:space="0" w:color="auto"/>
              <w:bottom w:val="single" w:sz="4" w:space="0" w:color="auto"/>
              <w:right w:val="single" w:sz="4" w:space="0" w:color="auto"/>
            </w:tcBorders>
          </w:tcPr>
          <w:p w14:paraId="5761E525" w14:textId="77777777" w:rsidR="00A56EE9" w:rsidRPr="00E70A11" w:rsidRDefault="00A56EE9" w:rsidP="00A11869">
            <w:pPr>
              <w:pStyle w:val="ListParagraph"/>
              <w:numPr>
                <w:ilvl w:val="0"/>
                <w:numId w:val="243"/>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w:t>
            </w:r>
          </w:p>
        </w:tc>
        <w:tc>
          <w:tcPr>
            <w:tcW w:w="974" w:type="dxa"/>
            <w:tcBorders>
              <w:top w:val="single" w:sz="4" w:space="0" w:color="auto"/>
              <w:left w:val="single" w:sz="4" w:space="0" w:color="auto"/>
              <w:bottom w:val="single" w:sz="4" w:space="0" w:color="auto"/>
              <w:right w:val="single" w:sz="4" w:space="0" w:color="auto"/>
            </w:tcBorders>
          </w:tcPr>
          <w:p w14:paraId="5761E526"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2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547"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shd w:val="clear" w:color="auto" w:fill="auto"/>
          </w:tcPr>
          <w:p w14:paraId="5761E529"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coastal development</w:t>
            </w:r>
          </w:p>
        </w:tc>
        <w:tc>
          <w:tcPr>
            <w:tcW w:w="668" w:type="dxa"/>
            <w:tcBorders>
              <w:top w:val="single" w:sz="4" w:space="0" w:color="auto"/>
              <w:left w:val="single" w:sz="4" w:space="0" w:color="auto"/>
              <w:bottom w:val="single" w:sz="4" w:space="0" w:color="auto"/>
              <w:right w:val="single" w:sz="4" w:space="0" w:color="auto"/>
            </w:tcBorders>
          </w:tcPr>
          <w:p w14:paraId="5761E52A"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2B" w14:textId="77777777" w:rsidR="00A56EE9" w:rsidRPr="00E70A11" w:rsidRDefault="00A56EE9" w:rsidP="00A11869">
            <w:pPr>
              <w:pStyle w:val="ListParagraph"/>
              <w:numPr>
                <w:ilvl w:val="0"/>
                <w:numId w:val="243"/>
              </w:numPr>
              <w:spacing w:after="200" w:line="276" w:lineRule="auto"/>
              <w:rPr>
                <w:rFonts w:ascii="Arial Narrow" w:hAnsi="Arial Narrow"/>
                <w:sz w:val="18"/>
                <w:szCs w:val="18"/>
                <w:lang w:val="en"/>
              </w:rPr>
            </w:pPr>
            <w:r w:rsidRPr="00E70A11">
              <w:rPr>
                <w:rFonts w:ascii="Arial Narrow" w:hAnsi="Arial Narrow"/>
                <w:sz w:val="18"/>
                <w:szCs w:val="18"/>
                <w:lang w:val="en"/>
              </w:rPr>
              <w:t>There are a number of volunteer organisations that input in various ways to address coastal development. These include:</w:t>
            </w:r>
          </w:p>
          <w:p w14:paraId="5761E52C" w14:textId="19BBDE95"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77" w:tgtFrame="_blank" w:tooltip="document link" w:history="1">
              <w:r w:rsidR="00A56EE9" w:rsidRPr="00E70A11">
                <w:rPr>
                  <w:rStyle w:val="Hyperlink"/>
                  <w:rFonts w:ascii="Arial Narrow" w:hAnsi="Arial Narrow"/>
                  <w:sz w:val="18"/>
                  <w:szCs w:val="18"/>
                  <w:lang w:val="en"/>
                </w:rPr>
                <w:t>Landcare Australia</w:t>
              </w:r>
            </w:hyperlink>
          </w:p>
          <w:p w14:paraId="5761E52D" w14:textId="06800001"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78" w:tgtFrame="_blank" w:tooltip="document link" w:history="1">
              <w:r w:rsidR="00A56EE9" w:rsidRPr="00E70A11">
                <w:rPr>
                  <w:rStyle w:val="Hyperlink"/>
                  <w:rFonts w:ascii="Arial Narrow" w:hAnsi="Arial Narrow"/>
                  <w:sz w:val="18"/>
                  <w:szCs w:val="18"/>
                  <w:lang w:val="en"/>
                </w:rPr>
                <w:t>Conservation Volunteers Australia</w:t>
              </w:r>
            </w:hyperlink>
          </w:p>
          <w:p w14:paraId="5761E52E" w14:textId="38533714"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79" w:tgtFrame="_blank" w:tooltip="document link" w:history="1">
              <w:r w:rsidR="00A56EE9" w:rsidRPr="00E70A11">
                <w:rPr>
                  <w:rStyle w:val="Hyperlink"/>
                  <w:rFonts w:ascii="Arial Narrow" w:hAnsi="Arial Narrow"/>
                  <w:sz w:val="18"/>
                  <w:szCs w:val="18"/>
                  <w:lang w:val="en"/>
                </w:rPr>
                <w:t>Seagrass Watch</w:t>
              </w:r>
            </w:hyperlink>
          </w:p>
          <w:p w14:paraId="5761E52F" w14:textId="48F0C41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80" w:tgtFrame="_blank" w:tooltip="document link" w:history="1">
              <w:r w:rsidR="00A56EE9" w:rsidRPr="00E70A11">
                <w:rPr>
                  <w:rStyle w:val="Hyperlink"/>
                  <w:rFonts w:ascii="Arial Narrow" w:hAnsi="Arial Narrow"/>
                  <w:sz w:val="18"/>
                  <w:szCs w:val="18"/>
                  <w:lang w:val="en"/>
                </w:rPr>
                <w:t>Wildlife Preservation Society of Queensland</w:t>
              </w:r>
            </w:hyperlink>
          </w:p>
          <w:p w14:paraId="5761E530" w14:textId="69F667BC"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81" w:tgtFrame="_blank" w:tooltip="document link" w:history="1">
              <w:r w:rsidR="00A56EE9" w:rsidRPr="00E70A11">
                <w:rPr>
                  <w:rStyle w:val="Hyperlink"/>
                  <w:rFonts w:ascii="Arial Narrow" w:hAnsi="Arial Narrow"/>
                  <w:sz w:val="18"/>
                  <w:szCs w:val="18"/>
                  <w:lang w:val="en"/>
                </w:rPr>
                <w:t>Coastcare</w:t>
              </w:r>
            </w:hyperlink>
          </w:p>
          <w:p w14:paraId="5761E531" w14:textId="09C1D0FB"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82" w:tgtFrame="_blank" w:tooltip="document link" w:history="1">
              <w:r w:rsidR="00A56EE9" w:rsidRPr="00E70A11">
                <w:rPr>
                  <w:rStyle w:val="Hyperlink"/>
                  <w:rFonts w:ascii="Arial Narrow" w:hAnsi="Arial Narrow"/>
                  <w:sz w:val="18"/>
                  <w:szCs w:val="18"/>
                  <w:lang w:val="en"/>
                </w:rPr>
                <w:t>Queensland Conservation Council</w:t>
              </w:r>
            </w:hyperlink>
          </w:p>
          <w:p w14:paraId="5761E532" w14:textId="2140E1D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83" w:tgtFrame="_blank" w:tooltip="document link" w:history="1">
              <w:r w:rsidR="00A56EE9" w:rsidRPr="00E70A11">
                <w:rPr>
                  <w:rStyle w:val="Hyperlink"/>
                  <w:rFonts w:ascii="Arial Narrow" w:hAnsi="Arial Narrow"/>
                  <w:sz w:val="18"/>
                  <w:szCs w:val="18"/>
                  <w:lang w:val="en"/>
                </w:rPr>
                <w:t>Queensland Water and Land Carers</w:t>
              </w:r>
            </w:hyperlink>
          </w:p>
          <w:p w14:paraId="5761E533" w14:textId="2841A07C"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84" w:tgtFrame="_blank" w:tooltip="document link" w:history="1">
              <w:r w:rsidR="00A56EE9" w:rsidRPr="00E70A11">
                <w:rPr>
                  <w:rStyle w:val="Hyperlink"/>
                  <w:rFonts w:ascii="Arial Narrow" w:hAnsi="Arial Narrow"/>
                  <w:sz w:val="18"/>
                  <w:szCs w:val="18"/>
                  <w:lang w:val="en"/>
                </w:rPr>
                <w:t>Greening Australia</w:t>
              </w:r>
            </w:hyperlink>
          </w:p>
          <w:p w14:paraId="5761E534" w14:textId="75F37346"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85" w:tgtFrame="_blank" w:tooltip="document link" w:history="1">
              <w:r w:rsidR="00A56EE9" w:rsidRPr="00E70A11">
                <w:rPr>
                  <w:rStyle w:val="Hyperlink"/>
                  <w:rFonts w:ascii="Arial Narrow" w:hAnsi="Arial Narrow"/>
                  <w:sz w:val="18"/>
                  <w:szCs w:val="18"/>
                  <w:lang w:val="en"/>
                </w:rPr>
                <w:t>Sunfish</w:t>
              </w:r>
            </w:hyperlink>
          </w:p>
          <w:p w14:paraId="5761E535" w14:textId="6B14925A"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86" w:tgtFrame="_blank" w:tooltip="document link" w:history="1">
              <w:r w:rsidR="00A56EE9" w:rsidRPr="00E70A11">
                <w:rPr>
                  <w:rStyle w:val="Hyperlink"/>
                  <w:rFonts w:ascii="Arial Narrow" w:hAnsi="Arial Narrow"/>
                  <w:sz w:val="18"/>
                  <w:szCs w:val="18"/>
                  <w:lang w:val="en"/>
                </w:rPr>
                <w:t>Clean Up Australia Day</w:t>
              </w:r>
            </w:hyperlink>
          </w:p>
          <w:p w14:paraId="5761E536" w14:textId="033E4DD6" w:rsidR="00A56EE9" w:rsidRPr="00E70A11" w:rsidRDefault="008B5998" w:rsidP="00A11869">
            <w:pPr>
              <w:pStyle w:val="ListParagraph"/>
              <w:numPr>
                <w:ilvl w:val="0"/>
                <w:numId w:val="243"/>
              </w:numPr>
              <w:spacing w:after="200" w:line="276" w:lineRule="auto"/>
              <w:rPr>
                <w:rFonts w:ascii="Arial Narrow" w:hAnsi="Arial Narrow"/>
                <w:b/>
                <w:sz w:val="18"/>
                <w:szCs w:val="18"/>
                <w:u w:val="single"/>
              </w:rPr>
            </w:pPr>
            <w:hyperlink r:id="rId187" w:tooltip="document link" w:history="1">
              <w:r w:rsidR="00A56EE9" w:rsidRPr="00E70A11">
                <w:rPr>
                  <w:rStyle w:val="Hyperlink"/>
                  <w:rFonts w:ascii="Arial Narrow" w:hAnsi="Arial Narrow"/>
                  <w:sz w:val="18"/>
                  <w:szCs w:val="18"/>
                  <w:lang w:val="en"/>
                </w:rPr>
                <w:t>Reef Guardian</w:t>
              </w:r>
            </w:hyperlink>
            <w:r w:rsidR="00A56EE9" w:rsidRPr="00E70A11">
              <w:rPr>
                <w:rFonts w:ascii="Arial Narrow" w:hAnsi="Arial Narrow"/>
                <w:sz w:val="18"/>
                <w:szCs w:val="18"/>
                <w:u w:val="single"/>
                <w:lang w:val="en"/>
              </w:rPr>
              <w:t xml:space="preserve"> Program</w:t>
            </w:r>
            <w:r w:rsidR="00A56EE9" w:rsidRPr="00E70A11">
              <w:rPr>
                <w:rFonts w:ascii="Arial Narrow" w:hAnsi="Arial Narrow"/>
                <w:sz w:val="18"/>
                <w:szCs w:val="18"/>
                <w:lang w:val="en"/>
              </w:rPr>
              <w:t xml:space="preserve"> includes schools, councils, farmers and fishers.</w:t>
            </w:r>
          </w:p>
          <w:p w14:paraId="5761E537" w14:textId="77777777" w:rsidR="00A56EE9" w:rsidRPr="00E70A11" w:rsidRDefault="00A56EE9" w:rsidP="00A11869">
            <w:pPr>
              <w:pStyle w:val="ListParagraph"/>
              <w:numPr>
                <w:ilvl w:val="0"/>
                <w:numId w:val="243"/>
              </w:numPr>
              <w:spacing w:after="200" w:line="276" w:lineRule="auto"/>
              <w:rPr>
                <w:rStyle w:val="BookTitle"/>
                <w:rFonts w:ascii="Arial Narrow" w:hAnsi="Arial Narrow"/>
                <w:sz w:val="18"/>
                <w:szCs w:val="18"/>
              </w:rPr>
            </w:pPr>
            <w:r w:rsidRPr="00E70A11">
              <w:rPr>
                <w:rFonts w:ascii="Arial Narrow" w:hAnsi="Arial Narrow"/>
                <w:sz w:val="18"/>
                <w:szCs w:val="18"/>
              </w:rPr>
              <w:t>There are mechanisms into planning legislation (i.e. EPBC Act and State legislation) which allows third parties intervention i.e. Adani and Australian Conservation Society</w:t>
            </w:r>
          </w:p>
        </w:tc>
        <w:tc>
          <w:tcPr>
            <w:tcW w:w="4569" w:type="dxa"/>
            <w:tcBorders>
              <w:top w:val="single" w:sz="4" w:space="0" w:color="auto"/>
              <w:left w:val="single" w:sz="4" w:space="0" w:color="auto"/>
              <w:bottom w:val="single" w:sz="4" w:space="0" w:color="auto"/>
              <w:right w:val="single" w:sz="4" w:space="0" w:color="auto"/>
            </w:tcBorders>
          </w:tcPr>
          <w:p w14:paraId="5761E538" w14:textId="77777777" w:rsidR="00A56EE9" w:rsidRPr="00E70A11" w:rsidRDefault="00A56EE9" w:rsidP="00A11869">
            <w:pPr>
              <w:pStyle w:val="ListParagraph"/>
              <w:numPr>
                <w:ilvl w:val="0"/>
                <w:numId w:val="243"/>
              </w:numPr>
              <w:spacing w:after="200" w:line="276" w:lineRule="auto"/>
              <w:rPr>
                <w:rFonts w:ascii="Arial Narrow" w:hAnsi="Arial Narrow"/>
                <w:sz w:val="18"/>
                <w:szCs w:val="18"/>
              </w:rPr>
            </w:pPr>
            <w:r w:rsidRPr="00E70A11">
              <w:rPr>
                <w:rFonts w:ascii="Arial Narrow" w:hAnsi="Arial Narrow"/>
                <w:sz w:val="18"/>
                <w:szCs w:val="18"/>
              </w:rPr>
              <w:t xml:space="preserve">GBRMPA webpage </w:t>
            </w:r>
            <w:hyperlink r:id="rId188" w:history="1">
              <w:r w:rsidRPr="00E70A11">
                <w:rPr>
                  <w:rStyle w:val="Hyperlink"/>
                  <w:rFonts w:ascii="Arial Narrow" w:hAnsi="Arial Narrow"/>
                  <w:sz w:val="18"/>
                  <w:szCs w:val="18"/>
                  <w:lang w:val="en"/>
                </w:rPr>
                <w:t>Join a community organisation</w:t>
              </w:r>
            </w:hyperlink>
            <w:r w:rsidRPr="00E70A11">
              <w:rPr>
                <w:rFonts w:ascii="Arial Narrow" w:hAnsi="Arial Narrow"/>
                <w:sz w:val="18"/>
                <w:szCs w:val="18"/>
              </w:rPr>
              <w:t xml:space="preserve"> includes several links</w:t>
            </w:r>
            <w:r w:rsidRPr="00E70A11">
              <w:rPr>
                <w:rFonts w:ascii="Arial Narrow" w:hAnsi="Arial Narrow"/>
                <w:bCs/>
                <w:sz w:val="18"/>
                <w:szCs w:val="18"/>
                <w:lang w:val="en"/>
              </w:rPr>
              <w:t xml:space="preserve">: </w:t>
            </w:r>
          </w:p>
          <w:p w14:paraId="5761E539" w14:textId="38F10083"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89" w:tgtFrame="_blank" w:tooltip="document link" w:history="1">
              <w:r w:rsidR="00A56EE9" w:rsidRPr="00E70A11">
                <w:rPr>
                  <w:rStyle w:val="Hyperlink"/>
                  <w:rFonts w:ascii="Arial Narrow" w:hAnsi="Arial Narrow"/>
                  <w:sz w:val="18"/>
                  <w:szCs w:val="18"/>
                  <w:lang w:val="en"/>
                </w:rPr>
                <w:t>ReefCheck Australia</w:t>
              </w:r>
            </w:hyperlink>
          </w:p>
          <w:p w14:paraId="5761E53A" w14:textId="7777777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90" w:tgtFrame="_blank" w:history="1">
              <w:r w:rsidR="00A56EE9" w:rsidRPr="00E70A11">
                <w:rPr>
                  <w:rStyle w:val="Hyperlink"/>
                  <w:rFonts w:ascii="Arial Narrow" w:hAnsi="Arial Narrow"/>
                  <w:sz w:val="18"/>
                  <w:szCs w:val="18"/>
                  <w:lang w:val="en"/>
                </w:rPr>
                <w:t>Landcare Australia</w:t>
              </w:r>
            </w:hyperlink>
          </w:p>
          <w:p w14:paraId="5761E53B" w14:textId="7777777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91" w:tgtFrame="_blank" w:history="1">
              <w:r w:rsidR="00A56EE9" w:rsidRPr="00E70A11">
                <w:rPr>
                  <w:rStyle w:val="Hyperlink"/>
                  <w:rFonts w:ascii="Arial Narrow" w:hAnsi="Arial Narrow"/>
                  <w:sz w:val="18"/>
                  <w:szCs w:val="18"/>
                  <w:lang w:val="en"/>
                </w:rPr>
                <w:t>Conservation Volunteers Australia</w:t>
              </w:r>
            </w:hyperlink>
          </w:p>
          <w:p w14:paraId="5761E53C" w14:textId="7777777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92" w:tgtFrame="_blank" w:history="1">
              <w:r w:rsidR="00A56EE9" w:rsidRPr="00E70A11">
                <w:rPr>
                  <w:rStyle w:val="Hyperlink"/>
                  <w:rFonts w:ascii="Arial Narrow" w:hAnsi="Arial Narrow"/>
                  <w:sz w:val="18"/>
                  <w:szCs w:val="18"/>
                  <w:lang w:val="en"/>
                </w:rPr>
                <w:t>Seagrass Watch</w:t>
              </w:r>
            </w:hyperlink>
          </w:p>
          <w:p w14:paraId="5761E53D" w14:textId="7777777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93" w:tgtFrame="_blank" w:history="1">
              <w:r w:rsidR="00A56EE9" w:rsidRPr="00E70A11">
                <w:rPr>
                  <w:rStyle w:val="Hyperlink"/>
                  <w:rFonts w:ascii="Arial Narrow" w:hAnsi="Arial Narrow"/>
                  <w:sz w:val="18"/>
                  <w:szCs w:val="18"/>
                  <w:lang w:val="en"/>
                </w:rPr>
                <w:t>Wildlife Preservation Society of Queensland</w:t>
              </w:r>
            </w:hyperlink>
          </w:p>
          <w:p w14:paraId="5761E53E" w14:textId="7777777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94" w:tgtFrame="_blank" w:history="1">
              <w:r w:rsidR="00A56EE9" w:rsidRPr="00E70A11">
                <w:rPr>
                  <w:rStyle w:val="Hyperlink"/>
                  <w:rFonts w:ascii="Arial Narrow" w:hAnsi="Arial Narrow"/>
                  <w:sz w:val="18"/>
                  <w:szCs w:val="18"/>
                  <w:lang w:val="en"/>
                </w:rPr>
                <w:t>Coastcare</w:t>
              </w:r>
            </w:hyperlink>
          </w:p>
          <w:p w14:paraId="5761E53F" w14:textId="7777777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95" w:tgtFrame="_blank" w:history="1">
              <w:r w:rsidR="00A56EE9" w:rsidRPr="00E70A11">
                <w:rPr>
                  <w:rStyle w:val="Hyperlink"/>
                  <w:rFonts w:ascii="Arial Narrow" w:hAnsi="Arial Narrow"/>
                  <w:sz w:val="18"/>
                  <w:szCs w:val="18"/>
                  <w:lang w:val="en"/>
                </w:rPr>
                <w:t>Queensland Conservation Council</w:t>
              </w:r>
            </w:hyperlink>
          </w:p>
          <w:p w14:paraId="5761E540" w14:textId="7777777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96" w:tgtFrame="_blank" w:history="1">
              <w:r w:rsidR="00A56EE9" w:rsidRPr="00E70A11">
                <w:rPr>
                  <w:rStyle w:val="Hyperlink"/>
                  <w:rFonts w:ascii="Arial Narrow" w:hAnsi="Arial Narrow"/>
                  <w:sz w:val="18"/>
                  <w:szCs w:val="18"/>
                  <w:lang w:val="en"/>
                </w:rPr>
                <w:t>Queensland Water and Land Carers</w:t>
              </w:r>
            </w:hyperlink>
          </w:p>
          <w:p w14:paraId="5761E541" w14:textId="7777777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97" w:tgtFrame="_blank" w:history="1">
              <w:r w:rsidR="00A56EE9" w:rsidRPr="00E70A11">
                <w:rPr>
                  <w:rStyle w:val="Hyperlink"/>
                  <w:rFonts w:ascii="Arial Narrow" w:hAnsi="Arial Narrow"/>
                  <w:sz w:val="18"/>
                  <w:szCs w:val="18"/>
                  <w:lang w:val="en"/>
                </w:rPr>
                <w:t>Greening Australia</w:t>
              </w:r>
            </w:hyperlink>
          </w:p>
          <w:p w14:paraId="5761E542" w14:textId="7777777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98" w:tgtFrame="_blank" w:history="1">
              <w:r w:rsidR="00A56EE9" w:rsidRPr="00E70A11">
                <w:rPr>
                  <w:rStyle w:val="Hyperlink"/>
                  <w:rFonts w:ascii="Arial Narrow" w:hAnsi="Arial Narrow"/>
                  <w:sz w:val="18"/>
                  <w:szCs w:val="18"/>
                  <w:lang w:val="en"/>
                </w:rPr>
                <w:t>Sunfish</w:t>
              </w:r>
            </w:hyperlink>
          </w:p>
          <w:p w14:paraId="5761E543" w14:textId="77777777" w:rsidR="00A56EE9" w:rsidRPr="00E70A11" w:rsidRDefault="008B5998" w:rsidP="00A11869">
            <w:pPr>
              <w:pStyle w:val="ListParagraph"/>
              <w:numPr>
                <w:ilvl w:val="0"/>
                <w:numId w:val="243"/>
              </w:numPr>
              <w:spacing w:after="200" w:line="276" w:lineRule="auto"/>
              <w:rPr>
                <w:rFonts w:ascii="Arial Narrow" w:hAnsi="Arial Narrow"/>
                <w:sz w:val="18"/>
                <w:szCs w:val="18"/>
                <w:u w:val="single"/>
                <w:lang w:val="en"/>
              </w:rPr>
            </w:pPr>
            <w:hyperlink r:id="rId199" w:tgtFrame="_blank" w:history="1">
              <w:r w:rsidR="00A56EE9" w:rsidRPr="00E70A11">
                <w:rPr>
                  <w:rStyle w:val="Hyperlink"/>
                  <w:rFonts w:ascii="Arial Narrow" w:hAnsi="Arial Narrow"/>
                  <w:sz w:val="18"/>
                  <w:szCs w:val="18"/>
                  <w:lang w:val="en"/>
                </w:rPr>
                <w:t>Clean Up Australia Day</w:t>
              </w:r>
            </w:hyperlink>
          </w:p>
          <w:p w14:paraId="5761E544" w14:textId="77777777" w:rsidR="00A56EE9" w:rsidRPr="00E70A11" w:rsidRDefault="008B5998" w:rsidP="00A11869">
            <w:pPr>
              <w:pStyle w:val="ListParagraph"/>
              <w:numPr>
                <w:ilvl w:val="0"/>
                <w:numId w:val="243"/>
              </w:numPr>
              <w:spacing w:after="200" w:line="276" w:lineRule="auto"/>
              <w:rPr>
                <w:rStyle w:val="BookTitle"/>
                <w:rFonts w:ascii="Arial Narrow" w:hAnsi="Arial Narrow"/>
                <w:sz w:val="18"/>
                <w:szCs w:val="18"/>
              </w:rPr>
            </w:pPr>
            <w:hyperlink r:id="rId200" w:history="1">
              <w:r w:rsidR="00A56EE9" w:rsidRPr="00E70A11">
                <w:rPr>
                  <w:rStyle w:val="Hyperlink"/>
                  <w:rFonts w:ascii="Arial Narrow" w:hAnsi="Arial Narrow"/>
                  <w:sz w:val="18"/>
                  <w:szCs w:val="18"/>
                  <w:lang w:val="en"/>
                </w:rPr>
                <w:t>Reef Guardian</w:t>
              </w:r>
            </w:hyperlink>
            <w:r w:rsidR="00A56EE9" w:rsidRPr="00E70A11">
              <w:rPr>
                <w:rFonts w:ascii="Arial Narrow" w:hAnsi="Arial Narrow"/>
                <w:sz w:val="18"/>
                <w:szCs w:val="18"/>
                <w:u w:val="single"/>
                <w:lang w:val="en"/>
              </w:rPr>
              <w:t xml:space="preserve"> Program</w:t>
            </w:r>
          </w:p>
        </w:tc>
        <w:tc>
          <w:tcPr>
            <w:tcW w:w="974" w:type="dxa"/>
            <w:tcBorders>
              <w:top w:val="single" w:sz="4" w:space="0" w:color="auto"/>
              <w:left w:val="single" w:sz="4" w:space="0" w:color="auto"/>
              <w:bottom w:val="single" w:sz="4" w:space="0" w:color="auto"/>
              <w:right w:val="single" w:sz="4" w:space="0" w:color="auto"/>
            </w:tcBorders>
          </w:tcPr>
          <w:p w14:paraId="5761E545"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46"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54E"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48" w14:textId="77777777" w:rsidR="00A56EE9" w:rsidRPr="00E70A11" w:rsidRDefault="00A56EE9" w:rsidP="00BB6AD5">
            <w:pPr>
              <w:pStyle w:val="Tablebulletlist"/>
              <w:rPr>
                <w:rStyle w:val="BookTitle"/>
              </w:rPr>
            </w:pPr>
            <w:r w:rsidRPr="00E70A11">
              <w:rPr>
                <w:rStyle w:val="BookTitle"/>
              </w:rPr>
              <w:t>PROCESSES</w:t>
            </w:r>
          </w:p>
        </w:tc>
        <w:tc>
          <w:tcPr>
            <w:tcW w:w="6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49" w14:textId="77777777" w:rsidR="00A56EE9" w:rsidRPr="00E70A11" w:rsidRDefault="00A56EE9" w:rsidP="00BB6AD5">
            <w:pPr>
              <w:pStyle w:val="Tablebulletlist"/>
              <w:rPr>
                <w:rStyle w:val="BookTitle"/>
              </w:rPr>
            </w:pPr>
          </w:p>
        </w:tc>
        <w:tc>
          <w:tcPr>
            <w:tcW w:w="511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4A" w14:textId="77777777" w:rsidR="00A56EE9" w:rsidRPr="00E70A11" w:rsidRDefault="00A56EE9" w:rsidP="00BB6AD5">
            <w:pPr>
              <w:pStyle w:val="ListParagraph"/>
              <w:ind w:left="360"/>
              <w:rPr>
                <w:rStyle w:val="BookTitle"/>
                <w:rFonts w:ascii="Arial Narrow" w:hAnsi="Arial Narrow"/>
                <w:sz w:val="18"/>
                <w:szCs w:val="18"/>
              </w:rPr>
            </w:pPr>
          </w:p>
        </w:tc>
        <w:tc>
          <w:tcPr>
            <w:tcW w:w="456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4B" w14:textId="77777777" w:rsidR="00A56EE9" w:rsidRPr="00E70A11" w:rsidRDefault="00A56EE9" w:rsidP="00BB6AD5">
            <w:pPr>
              <w:pStyle w:val="ListParagraph"/>
              <w:ind w:left="360"/>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4C"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4D" w14:textId="77777777" w:rsidR="00A56EE9" w:rsidRPr="00E70A11" w:rsidRDefault="00A56EE9" w:rsidP="00BB6AD5">
            <w:pPr>
              <w:pStyle w:val="Tablebulletlist"/>
              <w:rPr>
                <w:rStyle w:val="BookTitle"/>
              </w:rPr>
            </w:pPr>
          </w:p>
        </w:tc>
      </w:tr>
      <w:tr w:rsidR="00A56EE9" w:rsidRPr="00E70A11" w14:paraId="5761E55A"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4F"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coastal development</w:t>
            </w:r>
          </w:p>
        </w:tc>
        <w:tc>
          <w:tcPr>
            <w:tcW w:w="668" w:type="dxa"/>
            <w:tcBorders>
              <w:top w:val="single" w:sz="4" w:space="0" w:color="auto"/>
              <w:left w:val="single" w:sz="4" w:space="0" w:color="auto"/>
              <w:bottom w:val="single" w:sz="4" w:space="0" w:color="auto"/>
              <w:right w:val="single" w:sz="4" w:space="0" w:color="auto"/>
            </w:tcBorders>
          </w:tcPr>
          <w:p w14:paraId="5761E550"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51" w14:textId="77777777" w:rsidR="00A56EE9" w:rsidRPr="00E70A11" w:rsidRDefault="00A56EE9" w:rsidP="00A11869">
            <w:pPr>
              <w:pStyle w:val="ListParagraph"/>
              <w:numPr>
                <w:ilvl w:val="0"/>
                <w:numId w:val="244"/>
              </w:numPr>
              <w:spacing w:after="200" w:line="276" w:lineRule="auto"/>
              <w:rPr>
                <w:rStyle w:val="BookTitle"/>
                <w:rFonts w:ascii="Arial Narrow" w:hAnsi="Arial Narrow"/>
                <w:sz w:val="18"/>
                <w:szCs w:val="18"/>
              </w:rPr>
            </w:pPr>
            <w:r w:rsidRPr="00E70A11">
              <w:rPr>
                <w:rFonts w:ascii="Arial Narrow" w:hAnsi="Arial Narrow"/>
                <w:sz w:val="18"/>
                <w:szCs w:val="18"/>
                <w:lang w:val="en-US"/>
              </w:rPr>
              <w:t>There is good engagement of stakeholders through Reef Guardian Famers, Schools and Councils, Qld Wetlands Program, Reef Advisory Committees, the Authority’s regional offices, NRM bodies</w:t>
            </w:r>
          </w:p>
        </w:tc>
        <w:tc>
          <w:tcPr>
            <w:tcW w:w="4569" w:type="dxa"/>
            <w:tcBorders>
              <w:top w:val="single" w:sz="4" w:space="0" w:color="auto"/>
              <w:left w:val="single" w:sz="4" w:space="0" w:color="auto"/>
              <w:bottom w:val="single" w:sz="4" w:space="0" w:color="auto"/>
              <w:right w:val="single" w:sz="4" w:space="0" w:color="auto"/>
            </w:tcBorders>
          </w:tcPr>
          <w:p w14:paraId="5761E552" w14:textId="77777777" w:rsidR="00A56EE9" w:rsidRPr="00E70A11" w:rsidRDefault="00A56EE9" w:rsidP="00A11869">
            <w:pPr>
              <w:pStyle w:val="ListParagraph"/>
              <w:numPr>
                <w:ilvl w:val="0"/>
                <w:numId w:val="244"/>
              </w:numPr>
              <w:spacing w:after="200" w:line="276" w:lineRule="auto"/>
              <w:rPr>
                <w:rFonts w:ascii="Arial Narrow" w:hAnsi="Arial Narrow"/>
                <w:sz w:val="18"/>
                <w:szCs w:val="18"/>
                <w:lang w:val="en-US"/>
              </w:rPr>
            </w:pPr>
            <w:r w:rsidRPr="00E70A11">
              <w:rPr>
                <w:rFonts w:ascii="Arial Narrow" w:hAnsi="Arial Narrow"/>
                <w:sz w:val="18"/>
                <w:szCs w:val="18"/>
                <w:lang w:val="en-US"/>
              </w:rPr>
              <w:t xml:space="preserve">Australian Government </w:t>
            </w:r>
            <w:hyperlink r:id="rId201" w:history="1">
              <w:r w:rsidRPr="00E70A11">
                <w:rPr>
                  <w:rStyle w:val="Hyperlink"/>
                  <w:rFonts w:ascii="Arial Narrow" w:hAnsi="Arial Narrow"/>
                  <w:sz w:val="18"/>
                  <w:szCs w:val="18"/>
                  <w:lang w:val="en-US"/>
                </w:rPr>
                <w:t>Reef Trust IV</w:t>
              </w:r>
            </w:hyperlink>
            <w:r w:rsidRPr="00E70A11">
              <w:rPr>
                <w:rFonts w:ascii="Arial Narrow" w:hAnsi="Arial Narrow"/>
                <w:sz w:val="18"/>
                <w:szCs w:val="18"/>
                <w:lang w:val="en-US"/>
              </w:rPr>
              <w:t xml:space="preserve"> – Gully and Stream Bank Erosion Control </w:t>
            </w:r>
            <w:hyperlink r:id="rId202" w:history="1">
              <w:r w:rsidRPr="00E70A11">
                <w:rPr>
                  <w:rStyle w:val="Hyperlink"/>
                  <w:rFonts w:ascii="Arial Narrow" w:hAnsi="Arial Narrow"/>
                  <w:sz w:val="18"/>
                  <w:szCs w:val="18"/>
                  <w:lang w:val="en-US"/>
                </w:rPr>
                <w:t>Program</w:t>
              </w:r>
            </w:hyperlink>
            <w:r w:rsidRPr="00E70A11">
              <w:rPr>
                <w:rFonts w:ascii="Arial Narrow" w:hAnsi="Arial Narrow"/>
                <w:sz w:val="18"/>
                <w:szCs w:val="18"/>
                <w:lang w:val="en-US"/>
              </w:rPr>
              <w:t>.</w:t>
            </w:r>
          </w:p>
          <w:p w14:paraId="5761E553" w14:textId="77777777" w:rsidR="00A56EE9" w:rsidRPr="00E70A11" w:rsidRDefault="008B5998" w:rsidP="00A11869">
            <w:pPr>
              <w:pStyle w:val="ListParagraph"/>
              <w:numPr>
                <w:ilvl w:val="0"/>
                <w:numId w:val="244"/>
              </w:numPr>
              <w:spacing w:after="200" w:line="276" w:lineRule="auto"/>
              <w:rPr>
                <w:rFonts w:ascii="Arial Narrow" w:hAnsi="Arial Narrow"/>
                <w:sz w:val="18"/>
                <w:szCs w:val="18"/>
                <w:lang w:val="en-US"/>
              </w:rPr>
            </w:pPr>
            <w:hyperlink r:id="rId203" w:history="1">
              <w:r w:rsidR="00A56EE9" w:rsidRPr="00E70A11">
                <w:rPr>
                  <w:rStyle w:val="Hyperlink"/>
                  <w:rFonts w:ascii="Arial Narrow" w:hAnsi="Arial Narrow"/>
                  <w:sz w:val="18"/>
                  <w:szCs w:val="18"/>
                </w:rPr>
                <w:t>regional natural resource management investment program </w:t>
              </w:r>
            </w:hyperlink>
          </w:p>
          <w:p w14:paraId="5761E554" w14:textId="77777777" w:rsidR="00A56EE9" w:rsidRPr="00E70A11" w:rsidRDefault="00A56EE9" w:rsidP="00A11869">
            <w:pPr>
              <w:pStyle w:val="ListParagraph"/>
              <w:numPr>
                <w:ilvl w:val="0"/>
                <w:numId w:val="244"/>
              </w:numPr>
              <w:spacing w:after="200" w:line="276" w:lineRule="auto"/>
              <w:rPr>
                <w:rFonts w:ascii="Arial Narrow" w:hAnsi="Arial Narrow"/>
                <w:sz w:val="18"/>
                <w:szCs w:val="18"/>
                <w:lang w:val="en-US"/>
              </w:rPr>
            </w:pPr>
            <w:r w:rsidRPr="00E70A11">
              <w:rPr>
                <w:rFonts w:ascii="Arial Narrow" w:hAnsi="Arial Narrow"/>
                <w:sz w:val="18"/>
                <w:szCs w:val="18"/>
                <w:u w:val="single"/>
              </w:rPr>
              <w:t>Regional Natural Resource Management Investment Program progress report 2016</w:t>
            </w:r>
          </w:p>
          <w:p w14:paraId="5761E555" w14:textId="77777777" w:rsidR="00A56EE9" w:rsidRPr="00E70A11" w:rsidRDefault="008B5998" w:rsidP="00A11869">
            <w:pPr>
              <w:pStyle w:val="ListParagraph"/>
              <w:numPr>
                <w:ilvl w:val="0"/>
                <w:numId w:val="244"/>
              </w:numPr>
              <w:spacing w:after="200" w:line="276" w:lineRule="auto"/>
              <w:rPr>
                <w:rFonts w:ascii="Arial Narrow" w:hAnsi="Arial Narrow"/>
                <w:sz w:val="18"/>
                <w:szCs w:val="18"/>
                <w:lang w:val="en-US"/>
              </w:rPr>
            </w:pPr>
            <w:hyperlink r:id="rId204" w:history="1">
              <w:r w:rsidR="00A56EE9" w:rsidRPr="00E70A11">
                <w:rPr>
                  <w:rStyle w:val="Hyperlink"/>
                  <w:rFonts w:ascii="Arial Narrow" w:hAnsi="Arial Narrow"/>
                  <w:sz w:val="18"/>
                  <w:szCs w:val="18"/>
                </w:rPr>
                <w:t>Grazing Best Management Practice Program</w:t>
              </w:r>
            </w:hyperlink>
          </w:p>
          <w:p w14:paraId="5761E556" w14:textId="77777777" w:rsidR="00A56EE9" w:rsidRPr="00E70A11" w:rsidRDefault="008B5998" w:rsidP="00A11869">
            <w:pPr>
              <w:pStyle w:val="ListParagraph"/>
              <w:numPr>
                <w:ilvl w:val="0"/>
                <w:numId w:val="244"/>
              </w:numPr>
              <w:spacing w:after="200" w:line="276" w:lineRule="auto"/>
              <w:rPr>
                <w:rFonts w:ascii="Arial Narrow" w:hAnsi="Arial Narrow"/>
                <w:sz w:val="18"/>
                <w:szCs w:val="18"/>
                <w:lang w:val="en-US"/>
              </w:rPr>
            </w:pPr>
            <w:hyperlink r:id="rId205" w:history="1">
              <w:r w:rsidR="00A56EE9" w:rsidRPr="00E70A11">
                <w:rPr>
                  <w:rStyle w:val="Hyperlink"/>
                  <w:rFonts w:ascii="Arial Narrow" w:hAnsi="Arial Narrow"/>
                  <w:sz w:val="18"/>
                  <w:szCs w:val="18"/>
                  <w:lang w:val="en"/>
                </w:rPr>
                <w:t>Reef Guardian</w:t>
              </w:r>
            </w:hyperlink>
            <w:r w:rsidR="00A56EE9" w:rsidRPr="00E70A11">
              <w:rPr>
                <w:rFonts w:ascii="Arial Narrow" w:hAnsi="Arial Narrow"/>
                <w:sz w:val="18"/>
                <w:szCs w:val="18"/>
                <w:u w:val="single"/>
                <w:lang w:val="en"/>
              </w:rPr>
              <w:t xml:space="preserve"> Program</w:t>
            </w:r>
          </w:p>
          <w:p w14:paraId="5761E557" w14:textId="77777777" w:rsidR="00A56EE9" w:rsidRPr="00E70A11" w:rsidRDefault="008B5998" w:rsidP="00A11869">
            <w:pPr>
              <w:pStyle w:val="ListParagraph"/>
              <w:numPr>
                <w:ilvl w:val="0"/>
                <w:numId w:val="244"/>
              </w:numPr>
              <w:spacing w:after="200" w:line="276" w:lineRule="auto"/>
              <w:rPr>
                <w:rStyle w:val="BookTitle"/>
                <w:rFonts w:ascii="Arial Narrow" w:hAnsi="Arial Narrow"/>
                <w:sz w:val="18"/>
                <w:szCs w:val="18"/>
              </w:rPr>
            </w:pPr>
            <w:hyperlink r:id="rId206" w:history="1">
              <w:r w:rsidR="00A56EE9" w:rsidRPr="00E70A11">
                <w:rPr>
                  <w:rStyle w:val="Hyperlink"/>
                  <w:rFonts w:ascii="Arial Narrow" w:hAnsi="Arial Narrow"/>
                  <w:sz w:val="18"/>
                  <w:szCs w:val="18"/>
                </w:rPr>
                <w:t>Qld Wetlands Program</w:t>
              </w:r>
            </w:hyperlink>
          </w:p>
        </w:tc>
        <w:tc>
          <w:tcPr>
            <w:tcW w:w="974" w:type="dxa"/>
            <w:tcBorders>
              <w:top w:val="single" w:sz="4" w:space="0" w:color="auto"/>
              <w:left w:val="single" w:sz="4" w:space="0" w:color="auto"/>
              <w:bottom w:val="single" w:sz="4" w:space="0" w:color="auto"/>
              <w:right w:val="single" w:sz="4" w:space="0" w:color="auto"/>
            </w:tcBorders>
          </w:tcPr>
          <w:p w14:paraId="5761E558"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5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566"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5B"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coastal development</w:t>
            </w:r>
          </w:p>
        </w:tc>
        <w:tc>
          <w:tcPr>
            <w:tcW w:w="668" w:type="dxa"/>
            <w:tcBorders>
              <w:top w:val="single" w:sz="4" w:space="0" w:color="auto"/>
              <w:left w:val="single" w:sz="4" w:space="0" w:color="auto"/>
              <w:bottom w:val="single" w:sz="4" w:space="0" w:color="auto"/>
              <w:right w:val="single" w:sz="4" w:space="0" w:color="auto"/>
            </w:tcBorders>
          </w:tcPr>
          <w:p w14:paraId="5761E55C"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5D" w14:textId="77777777" w:rsidR="00A56EE9" w:rsidRPr="00E70A11" w:rsidRDefault="00A56EE9" w:rsidP="00A11869">
            <w:pPr>
              <w:pStyle w:val="ListParagraph"/>
              <w:numPr>
                <w:ilvl w:val="0"/>
                <w:numId w:val="244"/>
              </w:numPr>
              <w:spacing w:after="200" w:line="276" w:lineRule="auto"/>
              <w:rPr>
                <w:rStyle w:val="BookTitle"/>
                <w:rFonts w:ascii="Arial Narrow" w:hAnsi="Arial Narrow"/>
                <w:sz w:val="18"/>
                <w:szCs w:val="18"/>
              </w:rPr>
            </w:pPr>
            <w:r w:rsidRPr="00E70A11">
              <w:rPr>
                <w:rFonts w:ascii="Arial Narrow" w:hAnsi="Arial Narrow"/>
                <w:sz w:val="18"/>
                <w:szCs w:val="18"/>
              </w:rPr>
              <w:t>There are several WQIPs in place and local NRM regions and/or Council (in the Townsville urban example) have ongoing programs reporting to community and holding various forums</w:t>
            </w:r>
            <w:r>
              <w:rPr>
                <w:rFonts w:ascii="Arial Narrow" w:hAnsi="Arial Narrow"/>
                <w:sz w:val="18"/>
                <w:szCs w:val="18"/>
              </w:rPr>
              <w:t xml:space="preserve"> for example, Major Integrated Projects</w:t>
            </w:r>
          </w:p>
        </w:tc>
        <w:tc>
          <w:tcPr>
            <w:tcW w:w="4569" w:type="dxa"/>
            <w:tcBorders>
              <w:top w:val="single" w:sz="4" w:space="0" w:color="auto"/>
              <w:left w:val="single" w:sz="4" w:space="0" w:color="auto"/>
              <w:bottom w:val="single" w:sz="4" w:space="0" w:color="auto"/>
              <w:right w:val="single" w:sz="4" w:space="0" w:color="auto"/>
            </w:tcBorders>
          </w:tcPr>
          <w:p w14:paraId="5761E55E" w14:textId="77777777" w:rsidR="00A56EE9" w:rsidRPr="00E70A11" w:rsidRDefault="008B5998" w:rsidP="00A11869">
            <w:pPr>
              <w:pStyle w:val="ListParagraph"/>
              <w:numPr>
                <w:ilvl w:val="0"/>
                <w:numId w:val="244"/>
              </w:numPr>
              <w:spacing w:after="200" w:line="276" w:lineRule="auto"/>
              <w:rPr>
                <w:rFonts w:ascii="Arial Narrow" w:hAnsi="Arial Narrow"/>
                <w:sz w:val="18"/>
                <w:szCs w:val="18"/>
              </w:rPr>
            </w:pPr>
            <w:hyperlink r:id="rId207" w:history="1">
              <w:r w:rsidR="00A56EE9" w:rsidRPr="00E70A11">
                <w:rPr>
                  <w:rStyle w:val="Hyperlink"/>
                  <w:rFonts w:ascii="Arial Narrow" w:hAnsi="Arial Narrow"/>
                  <w:sz w:val="18"/>
                  <w:szCs w:val="18"/>
                </w:rPr>
                <w:t>Water quality Improvement Plans (WQIPs) and Healthy Waters Management Plans (HWMPs</w:t>
              </w:r>
            </w:hyperlink>
            <w:r w:rsidR="00A56EE9" w:rsidRPr="00E70A11">
              <w:rPr>
                <w:rFonts w:ascii="Arial Narrow" w:hAnsi="Arial Narrow"/>
                <w:sz w:val="18"/>
                <w:szCs w:val="18"/>
              </w:rPr>
              <w:t>)</w:t>
            </w:r>
          </w:p>
          <w:p w14:paraId="5761E55F" w14:textId="77777777" w:rsidR="00A56EE9" w:rsidRPr="00E70A11" w:rsidRDefault="008B5998" w:rsidP="00A11869">
            <w:pPr>
              <w:pStyle w:val="ListParagraph"/>
              <w:numPr>
                <w:ilvl w:val="0"/>
                <w:numId w:val="244"/>
              </w:numPr>
              <w:spacing w:after="200" w:line="276" w:lineRule="auto"/>
              <w:rPr>
                <w:rFonts w:ascii="Arial Narrow" w:hAnsi="Arial Narrow"/>
                <w:sz w:val="18"/>
                <w:szCs w:val="18"/>
              </w:rPr>
            </w:pPr>
            <w:hyperlink r:id="rId208" w:history="1">
              <w:r w:rsidR="00A56EE9" w:rsidRPr="00E70A11">
                <w:rPr>
                  <w:rStyle w:val="Hyperlink"/>
                  <w:rFonts w:ascii="Arial Narrow" w:hAnsi="Arial Narrow"/>
                  <w:sz w:val="18"/>
                  <w:szCs w:val="18"/>
                </w:rPr>
                <w:t>Wet Tropics WQIP</w:t>
              </w:r>
            </w:hyperlink>
          </w:p>
          <w:p w14:paraId="5761E560" w14:textId="77777777" w:rsidR="00A56EE9" w:rsidRPr="00E70A11" w:rsidRDefault="008B5998" w:rsidP="00A11869">
            <w:pPr>
              <w:pStyle w:val="ListParagraph"/>
              <w:numPr>
                <w:ilvl w:val="0"/>
                <w:numId w:val="244"/>
              </w:numPr>
              <w:spacing w:after="200" w:line="276" w:lineRule="auto"/>
              <w:rPr>
                <w:rFonts w:ascii="Arial Narrow" w:hAnsi="Arial Narrow"/>
                <w:sz w:val="18"/>
                <w:szCs w:val="18"/>
              </w:rPr>
            </w:pPr>
            <w:hyperlink r:id="rId209" w:history="1">
              <w:r w:rsidR="00A56EE9" w:rsidRPr="00E70A11">
                <w:rPr>
                  <w:rStyle w:val="Hyperlink"/>
                  <w:rFonts w:ascii="Arial Narrow" w:hAnsi="Arial Narrow"/>
                  <w:sz w:val="18"/>
                  <w:szCs w:val="18"/>
                </w:rPr>
                <w:t>FBA WQIP</w:t>
              </w:r>
            </w:hyperlink>
          </w:p>
          <w:p w14:paraId="5761E561" w14:textId="77777777" w:rsidR="00A56EE9" w:rsidRPr="00E70A11" w:rsidRDefault="008B5998" w:rsidP="00A11869">
            <w:pPr>
              <w:pStyle w:val="ListParagraph"/>
              <w:numPr>
                <w:ilvl w:val="0"/>
                <w:numId w:val="244"/>
              </w:numPr>
              <w:spacing w:after="200" w:line="276" w:lineRule="auto"/>
              <w:rPr>
                <w:rFonts w:ascii="Arial Narrow" w:hAnsi="Arial Narrow"/>
                <w:sz w:val="18"/>
                <w:szCs w:val="18"/>
              </w:rPr>
            </w:pPr>
            <w:hyperlink r:id="rId210" w:history="1">
              <w:r w:rsidR="00A56EE9" w:rsidRPr="00E70A11">
                <w:rPr>
                  <w:rStyle w:val="Hyperlink"/>
                  <w:rFonts w:ascii="Arial Narrow" w:hAnsi="Arial Narrow"/>
                  <w:sz w:val="18"/>
                  <w:szCs w:val="18"/>
                </w:rPr>
                <w:t>Eastern Cape York Water Quality Improvement Plan</w:t>
              </w:r>
            </w:hyperlink>
          </w:p>
          <w:p w14:paraId="5761E562" w14:textId="77777777" w:rsidR="00A56EE9" w:rsidRPr="00E70A11" w:rsidRDefault="008B5998" w:rsidP="00A11869">
            <w:pPr>
              <w:pStyle w:val="ListParagraph"/>
              <w:numPr>
                <w:ilvl w:val="0"/>
                <w:numId w:val="244"/>
              </w:numPr>
              <w:spacing w:after="200" w:line="276" w:lineRule="auto"/>
              <w:rPr>
                <w:rFonts w:ascii="Arial Narrow" w:hAnsi="Arial Narrow"/>
                <w:sz w:val="18"/>
                <w:szCs w:val="18"/>
              </w:rPr>
            </w:pPr>
            <w:hyperlink r:id="rId211" w:history="1">
              <w:r w:rsidR="00A56EE9" w:rsidRPr="00E70A11">
                <w:rPr>
                  <w:rStyle w:val="Hyperlink"/>
                  <w:rFonts w:ascii="Arial Narrow" w:hAnsi="Arial Narrow"/>
                  <w:sz w:val="18"/>
                  <w:szCs w:val="18"/>
                </w:rPr>
                <w:t>Townsville WQIP</w:t>
              </w:r>
            </w:hyperlink>
          </w:p>
          <w:p w14:paraId="5761E563" w14:textId="77777777" w:rsidR="00A56EE9" w:rsidRPr="00E70A11" w:rsidRDefault="008B5998" w:rsidP="00A11869">
            <w:pPr>
              <w:pStyle w:val="ListParagraph"/>
              <w:numPr>
                <w:ilvl w:val="0"/>
                <w:numId w:val="244"/>
              </w:numPr>
              <w:spacing w:after="200" w:line="276" w:lineRule="auto"/>
              <w:rPr>
                <w:rStyle w:val="BookTitle"/>
                <w:rFonts w:ascii="Arial Narrow" w:hAnsi="Arial Narrow"/>
                <w:sz w:val="18"/>
                <w:szCs w:val="18"/>
              </w:rPr>
            </w:pPr>
            <w:hyperlink r:id="rId212" w:history="1">
              <w:r w:rsidR="00A56EE9" w:rsidRPr="00E70A11">
                <w:rPr>
                  <w:rStyle w:val="Hyperlink"/>
                  <w:rFonts w:ascii="Arial Narrow" w:hAnsi="Arial Narrow"/>
                  <w:sz w:val="18"/>
                  <w:szCs w:val="18"/>
                </w:rPr>
                <w:t>Burdekin Dry Tropics WQIP</w:t>
              </w:r>
            </w:hyperlink>
          </w:p>
        </w:tc>
        <w:tc>
          <w:tcPr>
            <w:tcW w:w="974" w:type="dxa"/>
            <w:tcBorders>
              <w:top w:val="single" w:sz="4" w:space="0" w:color="auto"/>
              <w:left w:val="single" w:sz="4" w:space="0" w:color="auto"/>
              <w:bottom w:val="single" w:sz="4" w:space="0" w:color="auto"/>
              <w:right w:val="single" w:sz="4" w:space="0" w:color="auto"/>
            </w:tcBorders>
          </w:tcPr>
          <w:p w14:paraId="5761E564"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6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56F"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67"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There is a sound governance system in place to address coastal development</w:t>
            </w:r>
          </w:p>
        </w:tc>
        <w:tc>
          <w:tcPr>
            <w:tcW w:w="668" w:type="dxa"/>
            <w:tcBorders>
              <w:top w:val="single" w:sz="4" w:space="0" w:color="auto"/>
              <w:left w:val="single" w:sz="4" w:space="0" w:color="auto"/>
              <w:bottom w:val="single" w:sz="4" w:space="0" w:color="auto"/>
              <w:right w:val="single" w:sz="4" w:space="0" w:color="auto"/>
            </w:tcBorders>
          </w:tcPr>
          <w:p w14:paraId="5761E568" w14:textId="77777777" w:rsidR="00A56EE9" w:rsidRPr="00E70A11" w:rsidRDefault="00A56EE9" w:rsidP="00BB6AD5">
            <w:pPr>
              <w:pStyle w:val="Tablebulletlist"/>
              <w:rPr>
                <w:rFonts w:eastAsiaTheme="minorHAnsi"/>
              </w:rPr>
            </w:pPr>
            <w:r w:rsidRPr="00E70A11">
              <w:rPr>
                <w:rFonts w:eastAsiaTheme="minorHAnsi"/>
              </w:rPr>
              <w:t>3</w:t>
            </w:r>
          </w:p>
        </w:tc>
        <w:tc>
          <w:tcPr>
            <w:tcW w:w="5111" w:type="dxa"/>
            <w:tcBorders>
              <w:top w:val="single" w:sz="4" w:space="0" w:color="auto"/>
              <w:left w:val="single" w:sz="4" w:space="0" w:color="auto"/>
              <w:bottom w:val="single" w:sz="4" w:space="0" w:color="auto"/>
              <w:right w:val="single" w:sz="4" w:space="0" w:color="auto"/>
            </w:tcBorders>
          </w:tcPr>
          <w:p w14:paraId="5761E569" w14:textId="77777777" w:rsidR="00A56EE9" w:rsidRPr="00E70A11" w:rsidRDefault="008B5998" w:rsidP="00A11869">
            <w:pPr>
              <w:pStyle w:val="ListParagraph"/>
              <w:numPr>
                <w:ilvl w:val="0"/>
                <w:numId w:val="244"/>
              </w:numPr>
              <w:spacing w:after="200" w:line="276" w:lineRule="auto"/>
              <w:rPr>
                <w:rFonts w:ascii="Arial Narrow" w:hAnsi="Arial Narrow"/>
                <w:sz w:val="18"/>
                <w:szCs w:val="18"/>
              </w:rPr>
            </w:pPr>
            <w:hyperlink r:id="rId213" w:history="1">
              <w:r w:rsidR="00A56EE9" w:rsidRPr="00E70A11">
                <w:rPr>
                  <w:rFonts w:ascii="Arial Narrow" w:hAnsi="Arial Narrow"/>
                  <w:sz w:val="18"/>
                  <w:szCs w:val="18"/>
                </w:rPr>
                <w:t>Reef 2050 WQIP</w:t>
              </w:r>
            </w:hyperlink>
            <w:r w:rsidR="00A56EE9" w:rsidRPr="00E70A11">
              <w:rPr>
                <w:rFonts w:ascii="Arial Narrow" w:hAnsi="Arial Narrow"/>
                <w:sz w:val="18"/>
                <w:szCs w:val="18"/>
              </w:rPr>
              <w:t xml:space="preserve"> and the Reef 2050 Plan provides an integrated approach to water quality improvement and has developed efficient institutional arrangements that will ensure actions are implemented in a timely and coordinated manner across agencies and programs</w:t>
            </w:r>
          </w:p>
          <w:p w14:paraId="5761E56A" w14:textId="77777777" w:rsidR="00A56EE9" w:rsidRPr="00E70A11" w:rsidRDefault="00A56EE9" w:rsidP="00A11869">
            <w:pPr>
              <w:pStyle w:val="ListParagraph"/>
              <w:numPr>
                <w:ilvl w:val="0"/>
                <w:numId w:val="244"/>
              </w:numPr>
              <w:spacing w:after="200" w:line="276" w:lineRule="auto"/>
              <w:rPr>
                <w:rFonts w:ascii="Arial Narrow" w:hAnsi="Arial Narrow"/>
                <w:sz w:val="18"/>
                <w:szCs w:val="18"/>
              </w:rPr>
            </w:pPr>
            <w:r w:rsidRPr="00E70A11">
              <w:rPr>
                <w:rFonts w:ascii="Arial Narrow" w:hAnsi="Arial Narrow"/>
                <w:sz w:val="18"/>
                <w:szCs w:val="18"/>
              </w:rPr>
              <w:t>Governance of coastal development domain is highlighted as an issue by Dale et al 2006</w:t>
            </w:r>
          </w:p>
        </w:tc>
        <w:tc>
          <w:tcPr>
            <w:tcW w:w="4569" w:type="dxa"/>
            <w:tcBorders>
              <w:top w:val="single" w:sz="4" w:space="0" w:color="auto"/>
              <w:left w:val="single" w:sz="4" w:space="0" w:color="auto"/>
              <w:bottom w:val="single" w:sz="4" w:space="0" w:color="auto"/>
              <w:right w:val="single" w:sz="4" w:space="0" w:color="auto"/>
            </w:tcBorders>
          </w:tcPr>
          <w:p w14:paraId="5761E56B" w14:textId="77777777" w:rsidR="00A56EE9" w:rsidRPr="00E70A11" w:rsidRDefault="00A56EE9" w:rsidP="00A11869">
            <w:pPr>
              <w:pStyle w:val="ListParagraph"/>
              <w:numPr>
                <w:ilvl w:val="0"/>
                <w:numId w:val="24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and draft Reef 2050 WQIP</w:t>
            </w:r>
          </w:p>
          <w:p w14:paraId="5761E56C" w14:textId="77777777" w:rsidR="00A56EE9" w:rsidRPr="00E70A11" w:rsidRDefault="00A56EE9" w:rsidP="00A11869">
            <w:pPr>
              <w:pStyle w:val="ListParagraph"/>
              <w:numPr>
                <w:ilvl w:val="0"/>
                <w:numId w:val="244"/>
              </w:numPr>
              <w:spacing w:after="200" w:line="276" w:lineRule="auto"/>
              <w:rPr>
                <w:rStyle w:val="BookTitle"/>
                <w:rFonts w:ascii="Arial Narrow" w:hAnsi="Arial Narrow"/>
                <w:sz w:val="18"/>
                <w:szCs w:val="18"/>
              </w:rPr>
            </w:pPr>
            <w:r w:rsidRPr="00E70A11">
              <w:rPr>
                <w:rFonts w:ascii="Arial Narrow" w:hAnsi="Arial Narrow"/>
                <w:sz w:val="18"/>
                <w:szCs w:val="18"/>
              </w:rPr>
              <w:t xml:space="preserve">Dale et al, 2016 </w:t>
            </w:r>
            <w:r w:rsidRPr="00E70A11">
              <w:rPr>
                <w:rFonts w:ascii="Arial Narrow" w:hAnsi="Arial Narrow"/>
                <w:i/>
                <w:sz w:val="18"/>
                <w:szCs w:val="18"/>
              </w:rPr>
              <w:t xml:space="preserve">Avoiding implementation failure in catchment landscapes: A case study in Governance of the GBR, </w:t>
            </w:r>
            <w:r w:rsidRPr="00E70A11">
              <w:rPr>
                <w:rFonts w:ascii="Arial Narrow" w:hAnsi="Arial Narrow"/>
                <w:sz w:val="18"/>
                <w:szCs w:val="18"/>
              </w:rPr>
              <w:t>Environmental Management</w:t>
            </w:r>
          </w:p>
        </w:tc>
        <w:tc>
          <w:tcPr>
            <w:tcW w:w="974" w:type="dxa"/>
            <w:tcBorders>
              <w:top w:val="single" w:sz="4" w:space="0" w:color="auto"/>
              <w:left w:val="single" w:sz="4" w:space="0" w:color="auto"/>
              <w:bottom w:val="single" w:sz="4" w:space="0" w:color="auto"/>
              <w:right w:val="single" w:sz="4" w:space="0" w:color="auto"/>
            </w:tcBorders>
          </w:tcPr>
          <w:p w14:paraId="5761E56D"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6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578"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70"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coastal development</w:t>
            </w:r>
          </w:p>
        </w:tc>
        <w:tc>
          <w:tcPr>
            <w:tcW w:w="668" w:type="dxa"/>
            <w:tcBorders>
              <w:top w:val="single" w:sz="4" w:space="0" w:color="auto"/>
              <w:left w:val="single" w:sz="4" w:space="0" w:color="auto"/>
              <w:bottom w:val="single" w:sz="4" w:space="0" w:color="auto"/>
              <w:right w:val="single" w:sz="4" w:space="0" w:color="auto"/>
            </w:tcBorders>
          </w:tcPr>
          <w:p w14:paraId="5761E571"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72" w14:textId="77777777" w:rsidR="00A56EE9" w:rsidRPr="00E70A11" w:rsidRDefault="008B5998" w:rsidP="00A11869">
            <w:pPr>
              <w:pStyle w:val="ListParagraph"/>
              <w:numPr>
                <w:ilvl w:val="0"/>
                <w:numId w:val="244"/>
              </w:numPr>
              <w:spacing w:after="200" w:line="276" w:lineRule="auto"/>
              <w:rPr>
                <w:rFonts w:ascii="Arial Narrow" w:hAnsi="Arial Narrow"/>
                <w:sz w:val="18"/>
                <w:szCs w:val="18"/>
                <w:u w:val="single"/>
              </w:rPr>
            </w:pPr>
            <w:hyperlink r:id="rId214" w:history="1">
              <w:r w:rsidR="00A56EE9" w:rsidRPr="00E70A11">
                <w:rPr>
                  <w:rStyle w:val="Hyperlink"/>
                  <w:rFonts w:ascii="Arial Narrow" w:hAnsi="Arial Narrow"/>
                  <w:sz w:val="18"/>
                  <w:szCs w:val="18"/>
                </w:rPr>
                <w:t>Reef 2050 WQIP</w:t>
              </w:r>
            </w:hyperlink>
            <w:r w:rsidR="00A56EE9" w:rsidRPr="00E70A11">
              <w:rPr>
                <w:rFonts w:ascii="Arial Narrow" w:hAnsi="Arial Narrow"/>
                <w:sz w:val="18"/>
                <w:szCs w:val="18"/>
              </w:rPr>
              <w:t xml:space="preserve"> and Reef 2050 Plan have clear water quality targets, and catchment and land management targets. Lead organisations are responsible for coordinating implementation and reporting progress to ensure actions are completed and milestones met. </w:t>
            </w:r>
          </w:p>
          <w:p w14:paraId="5761E573" w14:textId="77777777" w:rsidR="00A56EE9" w:rsidRPr="00E70A11" w:rsidRDefault="00A56EE9" w:rsidP="00A11869">
            <w:pPr>
              <w:pStyle w:val="ListParagraph"/>
              <w:numPr>
                <w:ilvl w:val="0"/>
                <w:numId w:val="244"/>
              </w:numPr>
              <w:spacing w:after="200" w:line="276" w:lineRule="auto"/>
              <w:rPr>
                <w:rStyle w:val="BookTitle"/>
                <w:rFonts w:ascii="Arial Narrow" w:hAnsi="Arial Narrow"/>
                <w:sz w:val="18"/>
                <w:szCs w:val="18"/>
                <w:u w:val="single"/>
              </w:rPr>
            </w:pPr>
            <w:r w:rsidRPr="00E70A11">
              <w:rPr>
                <w:rStyle w:val="BookTitle"/>
                <w:rFonts w:ascii="Arial Narrow" w:hAnsi="Arial Narrow"/>
                <w:sz w:val="18"/>
                <w:szCs w:val="18"/>
                <w:u w:val="single"/>
              </w:rPr>
              <w:t>State Land and Trees Report monitors the extent of vegetation clearing in GBR catchments</w:t>
            </w:r>
          </w:p>
        </w:tc>
        <w:tc>
          <w:tcPr>
            <w:tcW w:w="4569" w:type="dxa"/>
            <w:tcBorders>
              <w:top w:val="single" w:sz="4" w:space="0" w:color="auto"/>
              <w:left w:val="single" w:sz="4" w:space="0" w:color="auto"/>
              <w:bottom w:val="single" w:sz="4" w:space="0" w:color="auto"/>
              <w:right w:val="single" w:sz="4" w:space="0" w:color="auto"/>
            </w:tcBorders>
          </w:tcPr>
          <w:p w14:paraId="5761E574" w14:textId="77777777" w:rsidR="00A56EE9" w:rsidRPr="00E70A11" w:rsidRDefault="00A56EE9" w:rsidP="00A11869">
            <w:pPr>
              <w:pStyle w:val="ListParagraph"/>
              <w:numPr>
                <w:ilvl w:val="0"/>
                <w:numId w:val="244"/>
              </w:numPr>
              <w:spacing w:after="200" w:line="276" w:lineRule="auto"/>
              <w:rPr>
                <w:rFonts w:ascii="Arial Narrow" w:hAnsi="Arial Narrow"/>
                <w:sz w:val="18"/>
                <w:szCs w:val="18"/>
              </w:rPr>
            </w:pPr>
            <w:r w:rsidRPr="00E70A11">
              <w:rPr>
                <w:rFonts w:ascii="Arial Narrow" w:hAnsi="Arial Narrow"/>
                <w:sz w:val="18"/>
                <w:szCs w:val="18"/>
              </w:rPr>
              <w:t xml:space="preserve">Reef 2050 Plan </w:t>
            </w:r>
          </w:p>
          <w:p w14:paraId="5761E575" w14:textId="77777777" w:rsidR="00A56EE9" w:rsidRPr="00E70A11" w:rsidRDefault="00A56EE9" w:rsidP="00A11869">
            <w:pPr>
              <w:pStyle w:val="ListParagraph"/>
              <w:numPr>
                <w:ilvl w:val="0"/>
                <w:numId w:val="244"/>
              </w:numPr>
              <w:spacing w:after="200" w:line="276" w:lineRule="auto"/>
              <w:rPr>
                <w:rStyle w:val="BookTitle"/>
                <w:rFonts w:ascii="Arial Narrow" w:hAnsi="Arial Narrow"/>
                <w:sz w:val="18"/>
                <w:szCs w:val="18"/>
              </w:rPr>
            </w:pPr>
            <w:r w:rsidRPr="00E70A11">
              <w:rPr>
                <w:rFonts w:ascii="Arial Narrow" w:hAnsi="Arial Narrow"/>
                <w:sz w:val="18"/>
                <w:szCs w:val="18"/>
              </w:rPr>
              <w:t>Reef 2050 WQIP</w:t>
            </w:r>
          </w:p>
        </w:tc>
        <w:tc>
          <w:tcPr>
            <w:tcW w:w="974" w:type="dxa"/>
            <w:tcBorders>
              <w:top w:val="single" w:sz="4" w:space="0" w:color="auto"/>
              <w:left w:val="single" w:sz="4" w:space="0" w:color="auto"/>
              <w:bottom w:val="single" w:sz="4" w:space="0" w:color="auto"/>
              <w:right w:val="single" w:sz="4" w:space="0" w:color="auto"/>
            </w:tcBorders>
          </w:tcPr>
          <w:p w14:paraId="5761E576"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77"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580"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79"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coastal development</w:t>
            </w:r>
          </w:p>
        </w:tc>
        <w:tc>
          <w:tcPr>
            <w:tcW w:w="668" w:type="dxa"/>
            <w:tcBorders>
              <w:top w:val="single" w:sz="4" w:space="0" w:color="auto"/>
              <w:left w:val="single" w:sz="4" w:space="0" w:color="auto"/>
              <w:bottom w:val="single" w:sz="4" w:space="0" w:color="auto"/>
              <w:right w:val="single" w:sz="4" w:space="0" w:color="auto"/>
            </w:tcBorders>
          </w:tcPr>
          <w:p w14:paraId="5761E57A"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7B" w14:textId="77777777" w:rsidR="00A56EE9" w:rsidRPr="00E70A11" w:rsidRDefault="00A56EE9" w:rsidP="00A11869">
            <w:pPr>
              <w:pStyle w:val="ListParagraph"/>
              <w:numPr>
                <w:ilvl w:val="0"/>
                <w:numId w:val="245"/>
              </w:numPr>
              <w:spacing w:after="200" w:line="276" w:lineRule="auto"/>
              <w:rPr>
                <w:rFonts w:ascii="Arial Narrow" w:hAnsi="Arial Narrow"/>
                <w:sz w:val="18"/>
                <w:szCs w:val="18"/>
              </w:rPr>
            </w:pPr>
            <w:r w:rsidRPr="00E70A11">
              <w:rPr>
                <w:rFonts w:ascii="Arial Narrow" w:hAnsi="Arial Narrow"/>
                <w:sz w:val="18"/>
                <w:szCs w:val="18"/>
              </w:rPr>
              <w:t>Although there is no specifically targeted program of training for staff, opportunities are available for staff to participate in general training as well as attending workshops, seminars and conferences related to land based run-off</w:t>
            </w:r>
            <w:r>
              <w:rPr>
                <w:rFonts w:ascii="Arial Narrow" w:hAnsi="Arial Narrow"/>
                <w:sz w:val="18"/>
                <w:szCs w:val="18"/>
              </w:rPr>
              <w:t xml:space="preserve"> </w:t>
            </w:r>
            <w:r w:rsidRPr="00E70A11">
              <w:rPr>
                <w:rFonts w:ascii="Arial Narrow" w:hAnsi="Arial Narrow"/>
                <w:sz w:val="18"/>
                <w:szCs w:val="18"/>
              </w:rPr>
              <w:t>and coastal development in the GBR</w:t>
            </w:r>
          </w:p>
          <w:p w14:paraId="5761E57C" w14:textId="77777777" w:rsidR="00A56EE9" w:rsidRPr="00E70A11" w:rsidRDefault="00A56EE9" w:rsidP="00A11869">
            <w:pPr>
              <w:pStyle w:val="ListParagraph"/>
              <w:numPr>
                <w:ilvl w:val="0"/>
                <w:numId w:val="245"/>
              </w:numPr>
              <w:spacing w:after="200" w:line="276" w:lineRule="auto"/>
              <w:rPr>
                <w:rStyle w:val="BookTitle"/>
                <w:rFonts w:ascii="Arial Narrow" w:hAnsi="Arial Narrow"/>
                <w:sz w:val="18"/>
                <w:szCs w:val="18"/>
              </w:rPr>
            </w:pPr>
            <w:r w:rsidRPr="00E70A11">
              <w:rPr>
                <w:rFonts w:ascii="Arial Narrow" w:hAnsi="Arial Narrow"/>
                <w:sz w:val="18"/>
                <w:szCs w:val="18"/>
              </w:rPr>
              <w:t>There are training opportunities for water sensitive design and planning</w:t>
            </w:r>
          </w:p>
        </w:tc>
        <w:tc>
          <w:tcPr>
            <w:tcW w:w="4569" w:type="dxa"/>
            <w:tcBorders>
              <w:top w:val="single" w:sz="4" w:space="0" w:color="auto"/>
              <w:left w:val="single" w:sz="4" w:space="0" w:color="auto"/>
              <w:bottom w:val="single" w:sz="4" w:space="0" w:color="auto"/>
              <w:right w:val="single" w:sz="4" w:space="0" w:color="auto"/>
            </w:tcBorders>
          </w:tcPr>
          <w:p w14:paraId="5761E57D" w14:textId="77777777" w:rsidR="00A56EE9" w:rsidRPr="00E70A11" w:rsidRDefault="00A56EE9" w:rsidP="00A11869">
            <w:pPr>
              <w:pStyle w:val="ListParagraph"/>
              <w:numPr>
                <w:ilvl w:val="0"/>
                <w:numId w:val="2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w:t>
            </w:r>
          </w:p>
        </w:tc>
        <w:tc>
          <w:tcPr>
            <w:tcW w:w="974" w:type="dxa"/>
            <w:tcBorders>
              <w:top w:val="single" w:sz="4" w:space="0" w:color="auto"/>
              <w:left w:val="single" w:sz="4" w:space="0" w:color="auto"/>
              <w:bottom w:val="single" w:sz="4" w:space="0" w:color="auto"/>
              <w:right w:val="single" w:sz="4" w:space="0" w:color="auto"/>
            </w:tcBorders>
          </w:tcPr>
          <w:p w14:paraId="5761E57E"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7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58B"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81"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coastal development is consistently implemented across the relevant jurisdictions</w:t>
            </w:r>
          </w:p>
        </w:tc>
        <w:tc>
          <w:tcPr>
            <w:tcW w:w="668" w:type="dxa"/>
            <w:tcBorders>
              <w:top w:val="single" w:sz="4" w:space="0" w:color="auto"/>
              <w:left w:val="single" w:sz="4" w:space="0" w:color="auto"/>
              <w:bottom w:val="single" w:sz="4" w:space="0" w:color="auto"/>
              <w:right w:val="single" w:sz="4" w:space="0" w:color="auto"/>
            </w:tcBorders>
          </w:tcPr>
          <w:p w14:paraId="5761E582"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83" w14:textId="77777777" w:rsidR="00A56EE9" w:rsidRPr="00E70A11" w:rsidRDefault="00A56EE9" w:rsidP="00A11869">
            <w:pPr>
              <w:pStyle w:val="ListParagraph"/>
              <w:numPr>
                <w:ilvl w:val="0"/>
                <w:numId w:val="245"/>
              </w:numPr>
              <w:spacing w:after="200" w:line="276" w:lineRule="auto"/>
              <w:rPr>
                <w:rFonts w:ascii="Arial Narrow" w:hAnsi="Arial Narrow"/>
                <w:sz w:val="18"/>
                <w:szCs w:val="18"/>
              </w:rPr>
            </w:pPr>
            <w:r w:rsidRPr="00E70A11">
              <w:rPr>
                <w:rFonts w:ascii="Arial Narrow" w:hAnsi="Arial Narrow"/>
                <w:sz w:val="18"/>
                <w:szCs w:val="18"/>
                <w:lang w:val="en-US"/>
              </w:rPr>
              <w:t>There is good cooperation between jurisdictions with the Reef 2050 Plan,</w:t>
            </w:r>
          </w:p>
          <w:p w14:paraId="5761E584" w14:textId="77777777" w:rsidR="00A56EE9" w:rsidRPr="00E70A11" w:rsidRDefault="00A56EE9" w:rsidP="00BB6AD5">
            <w:pPr>
              <w:rPr>
                <w:rStyle w:val="BookTitle"/>
                <w:rFonts w:ascii="Arial Narrow" w:hAnsi="Arial Narrow"/>
                <w:sz w:val="18"/>
                <w:szCs w:val="18"/>
              </w:rPr>
            </w:pPr>
          </w:p>
        </w:tc>
        <w:tc>
          <w:tcPr>
            <w:tcW w:w="4569" w:type="dxa"/>
            <w:tcBorders>
              <w:top w:val="single" w:sz="4" w:space="0" w:color="auto"/>
              <w:left w:val="single" w:sz="4" w:space="0" w:color="auto"/>
              <w:bottom w:val="single" w:sz="4" w:space="0" w:color="auto"/>
              <w:right w:val="single" w:sz="4" w:space="0" w:color="auto"/>
            </w:tcBorders>
          </w:tcPr>
          <w:p w14:paraId="5761E585" w14:textId="77777777" w:rsidR="00A56EE9" w:rsidRPr="00E70A11" w:rsidRDefault="008B5998" w:rsidP="00A11869">
            <w:pPr>
              <w:pStyle w:val="ListParagraph"/>
              <w:numPr>
                <w:ilvl w:val="0"/>
                <w:numId w:val="245"/>
              </w:numPr>
              <w:spacing w:after="200" w:line="276" w:lineRule="auto"/>
              <w:rPr>
                <w:rFonts w:ascii="Arial Narrow" w:hAnsi="Arial Narrow"/>
                <w:sz w:val="18"/>
                <w:szCs w:val="18"/>
                <w:u w:val="single"/>
              </w:rPr>
            </w:pPr>
            <w:hyperlink r:id="rId215" w:history="1">
              <w:r w:rsidR="00A56EE9" w:rsidRPr="00E70A11">
                <w:rPr>
                  <w:rStyle w:val="Hyperlink"/>
                  <w:rFonts w:ascii="Arial Narrow" w:hAnsi="Arial Narrow"/>
                  <w:sz w:val="18"/>
                  <w:szCs w:val="18"/>
                </w:rPr>
                <w:t>Reef 2050 WQIP</w:t>
              </w:r>
            </w:hyperlink>
            <w:r w:rsidR="00A56EE9" w:rsidRPr="00E70A11">
              <w:rPr>
                <w:rFonts w:ascii="Arial Narrow" w:hAnsi="Arial Narrow"/>
                <w:sz w:val="18"/>
                <w:szCs w:val="18"/>
              </w:rPr>
              <w:t xml:space="preserve"> </w:t>
            </w:r>
          </w:p>
          <w:p w14:paraId="5761E586" w14:textId="77777777" w:rsidR="00A56EE9" w:rsidRPr="00E70A11" w:rsidRDefault="00A56EE9" w:rsidP="00A11869">
            <w:pPr>
              <w:pStyle w:val="ListParagraph"/>
              <w:numPr>
                <w:ilvl w:val="0"/>
                <w:numId w:val="245"/>
              </w:numPr>
              <w:spacing w:after="200" w:line="276" w:lineRule="auto"/>
              <w:rPr>
                <w:rFonts w:ascii="Arial Narrow" w:hAnsi="Arial Narrow"/>
                <w:b/>
                <w:sz w:val="18"/>
                <w:szCs w:val="18"/>
              </w:rPr>
            </w:pPr>
            <w:r w:rsidRPr="00E70A11">
              <w:rPr>
                <w:rFonts w:ascii="Arial Narrow" w:hAnsi="Arial Narrow"/>
                <w:sz w:val="18"/>
                <w:szCs w:val="18"/>
              </w:rPr>
              <w:t xml:space="preserve"> </w:t>
            </w:r>
            <w:hyperlink r:id="rId216" w:history="1">
              <w:r w:rsidRPr="00E70A11">
                <w:rPr>
                  <w:rStyle w:val="Hyperlink"/>
                  <w:rFonts w:ascii="Arial Narrow" w:hAnsi="Arial Narrow"/>
                  <w:sz w:val="18"/>
                  <w:szCs w:val="18"/>
                </w:rPr>
                <w:t>Great Barrier Reef Gully and Streambank Joint Program</w:t>
              </w:r>
            </w:hyperlink>
          </w:p>
          <w:p w14:paraId="5761E587" w14:textId="77777777" w:rsidR="00A56EE9" w:rsidRPr="00E70A11" w:rsidRDefault="008B5998" w:rsidP="00A11869">
            <w:pPr>
              <w:pStyle w:val="ListParagraph"/>
              <w:numPr>
                <w:ilvl w:val="0"/>
                <w:numId w:val="245"/>
              </w:numPr>
              <w:spacing w:after="200" w:line="276" w:lineRule="auto"/>
              <w:rPr>
                <w:rFonts w:ascii="Arial Narrow" w:hAnsi="Arial Narrow"/>
                <w:sz w:val="18"/>
                <w:szCs w:val="18"/>
              </w:rPr>
            </w:pPr>
            <w:hyperlink r:id="rId217" w:history="1">
              <w:r w:rsidR="00A56EE9" w:rsidRPr="00E70A11">
                <w:rPr>
                  <w:rStyle w:val="Hyperlink"/>
                  <w:rFonts w:ascii="Arial Narrow" w:hAnsi="Arial Narrow"/>
                  <w:sz w:val="18"/>
                  <w:szCs w:val="18"/>
                </w:rPr>
                <w:t>Great Barrier Reef Intergovernmental Agreement</w:t>
              </w:r>
            </w:hyperlink>
          </w:p>
          <w:p w14:paraId="5761E588"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589"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8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597"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8C"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coastal development</w:t>
            </w:r>
          </w:p>
        </w:tc>
        <w:tc>
          <w:tcPr>
            <w:tcW w:w="668" w:type="dxa"/>
            <w:tcBorders>
              <w:top w:val="single" w:sz="4" w:space="0" w:color="auto"/>
              <w:left w:val="single" w:sz="4" w:space="0" w:color="auto"/>
              <w:bottom w:val="single" w:sz="4" w:space="0" w:color="auto"/>
              <w:right w:val="single" w:sz="4" w:space="0" w:color="auto"/>
            </w:tcBorders>
          </w:tcPr>
          <w:p w14:paraId="5761E58D"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8E" w14:textId="77777777" w:rsidR="00A56EE9" w:rsidRPr="00E70A11" w:rsidRDefault="00A56EE9" w:rsidP="00A11869">
            <w:pPr>
              <w:pStyle w:val="ListParagraph"/>
              <w:numPr>
                <w:ilvl w:val="0"/>
                <w:numId w:val="245"/>
              </w:numPr>
              <w:spacing w:after="200" w:line="276" w:lineRule="auto"/>
              <w:rPr>
                <w:rFonts w:ascii="Arial Narrow" w:hAnsi="Arial Narrow"/>
                <w:sz w:val="18"/>
                <w:szCs w:val="18"/>
                <w:lang w:val="en-US"/>
              </w:rPr>
            </w:pPr>
            <w:r w:rsidRPr="00E70A11">
              <w:rPr>
                <w:rFonts w:ascii="Arial Narrow" w:hAnsi="Arial Narrow"/>
                <w:sz w:val="18"/>
                <w:szCs w:val="18"/>
                <w:lang w:val="en-US"/>
              </w:rPr>
              <w:t>All policies have to go through a Regulatory Impact Statement where appropriate</w:t>
            </w:r>
          </w:p>
          <w:p w14:paraId="5761E58F" w14:textId="77777777" w:rsidR="00A56EE9" w:rsidRPr="00E70A11" w:rsidRDefault="00A56EE9" w:rsidP="00A11869">
            <w:pPr>
              <w:pStyle w:val="ListParagraph"/>
              <w:numPr>
                <w:ilvl w:val="0"/>
                <w:numId w:val="245"/>
              </w:numPr>
              <w:spacing w:after="200" w:line="276" w:lineRule="auto"/>
              <w:rPr>
                <w:rFonts w:ascii="Arial Narrow" w:hAnsi="Arial Narrow"/>
                <w:sz w:val="18"/>
                <w:szCs w:val="18"/>
              </w:rPr>
            </w:pPr>
            <w:r w:rsidRPr="00E70A11">
              <w:rPr>
                <w:rFonts w:ascii="Arial Narrow" w:hAnsi="Arial Narrow"/>
                <w:sz w:val="18"/>
                <w:szCs w:val="18"/>
                <w:lang w:val="en-US"/>
              </w:rPr>
              <w:t>Administrative Appeal Tribunal open to applicants wanting to request review of all Authority’s permit decision</w:t>
            </w:r>
          </w:p>
          <w:p w14:paraId="5761E590" w14:textId="77777777" w:rsidR="00A56EE9" w:rsidRPr="00E70A11" w:rsidRDefault="00A56EE9" w:rsidP="00A11869">
            <w:pPr>
              <w:pStyle w:val="ListParagraph"/>
              <w:numPr>
                <w:ilvl w:val="0"/>
                <w:numId w:val="245"/>
              </w:numPr>
              <w:spacing w:after="200" w:line="276" w:lineRule="auto"/>
              <w:rPr>
                <w:rStyle w:val="BookTitle"/>
                <w:rFonts w:ascii="Arial Narrow" w:hAnsi="Arial Narrow"/>
                <w:sz w:val="18"/>
                <w:szCs w:val="18"/>
              </w:rPr>
            </w:pPr>
            <w:r w:rsidRPr="00E70A11">
              <w:rPr>
                <w:rFonts w:ascii="Arial Narrow" w:hAnsi="Arial Narrow"/>
                <w:sz w:val="18"/>
                <w:szCs w:val="18"/>
              </w:rPr>
              <w:t>There are mechanisms in planning legislation (i.e. EPBC Act and State legislation) which allows third parties intervention i.e. Adani and Australian Conservation Society</w:t>
            </w:r>
          </w:p>
        </w:tc>
        <w:tc>
          <w:tcPr>
            <w:tcW w:w="4569" w:type="dxa"/>
            <w:tcBorders>
              <w:top w:val="single" w:sz="4" w:space="0" w:color="auto"/>
              <w:left w:val="single" w:sz="4" w:space="0" w:color="auto"/>
              <w:bottom w:val="single" w:sz="4" w:space="0" w:color="auto"/>
              <w:right w:val="single" w:sz="4" w:space="0" w:color="auto"/>
            </w:tcBorders>
          </w:tcPr>
          <w:p w14:paraId="5761E591" w14:textId="77777777" w:rsidR="00A56EE9" w:rsidRPr="00E70A11" w:rsidRDefault="008B5998" w:rsidP="00A11869">
            <w:pPr>
              <w:pStyle w:val="ListParagraph"/>
              <w:numPr>
                <w:ilvl w:val="0"/>
                <w:numId w:val="245"/>
              </w:numPr>
              <w:spacing w:after="200" w:line="276" w:lineRule="auto"/>
              <w:rPr>
                <w:rFonts w:ascii="Arial Narrow" w:hAnsi="Arial Narrow"/>
                <w:sz w:val="18"/>
                <w:szCs w:val="18"/>
              </w:rPr>
            </w:pPr>
            <w:hyperlink r:id="rId218" w:history="1">
              <w:r w:rsidR="00A56EE9" w:rsidRPr="00E70A11">
                <w:rPr>
                  <w:rStyle w:val="Hyperlink"/>
                  <w:rFonts w:ascii="Arial Narrow" w:hAnsi="Arial Narrow"/>
                  <w:sz w:val="18"/>
                  <w:szCs w:val="18"/>
                </w:rPr>
                <w:t>joint Marine Parks permit process</w:t>
              </w:r>
            </w:hyperlink>
          </w:p>
          <w:p w14:paraId="5761E592" w14:textId="77777777" w:rsidR="00A56EE9" w:rsidRPr="00E70A11" w:rsidRDefault="00A56EE9" w:rsidP="00A11869">
            <w:pPr>
              <w:pStyle w:val="ListParagraph"/>
              <w:numPr>
                <w:ilvl w:val="0"/>
                <w:numId w:val="245"/>
              </w:numPr>
              <w:spacing w:after="200" w:line="276" w:lineRule="auto"/>
              <w:rPr>
                <w:rFonts w:ascii="Arial Narrow" w:hAnsi="Arial Narrow"/>
                <w:i/>
                <w:sz w:val="18"/>
                <w:szCs w:val="18"/>
              </w:rPr>
            </w:pPr>
            <w:r w:rsidRPr="00E70A11">
              <w:rPr>
                <w:rFonts w:ascii="Arial Narrow" w:hAnsi="Arial Narrow"/>
                <w:i/>
                <w:sz w:val="18"/>
                <w:szCs w:val="18"/>
              </w:rPr>
              <w:t>R</w:t>
            </w:r>
            <w:r w:rsidRPr="00E70A11">
              <w:rPr>
                <w:rFonts w:ascii="Arial Narrow" w:hAnsi="Arial Narrow"/>
                <w:i/>
                <w:iCs/>
                <w:sz w:val="18"/>
                <w:szCs w:val="18"/>
                <w:lang w:val="en-GB"/>
              </w:rPr>
              <w:t>egional Planning Interests Act 2014</w:t>
            </w:r>
          </w:p>
          <w:p w14:paraId="5761E593" w14:textId="77777777" w:rsidR="00A56EE9" w:rsidRPr="00E70A11" w:rsidRDefault="00A56EE9" w:rsidP="00A11869">
            <w:pPr>
              <w:pStyle w:val="ListParagraph"/>
              <w:numPr>
                <w:ilvl w:val="0"/>
                <w:numId w:val="245"/>
              </w:numPr>
              <w:spacing w:after="200" w:line="276" w:lineRule="auto"/>
              <w:rPr>
                <w:rFonts w:ascii="Arial Narrow" w:hAnsi="Arial Narrow"/>
                <w:sz w:val="18"/>
                <w:szCs w:val="18"/>
              </w:rPr>
            </w:pPr>
            <w:r w:rsidRPr="00E70A11">
              <w:rPr>
                <w:rFonts w:ascii="Arial Narrow" w:hAnsi="Arial Narrow"/>
                <w:i/>
                <w:sz w:val="18"/>
                <w:szCs w:val="18"/>
              </w:rPr>
              <w:t>State Development and Public Works Organisation Act 1971</w:t>
            </w:r>
            <w:r w:rsidRPr="00E70A11">
              <w:rPr>
                <w:rFonts w:ascii="Arial Narrow" w:hAnsi="Arial Narrow"/>
                <w:sz w:val="18"/>
                <w:szCs w:val="18"/>
              </w:rPr>
              <w:t xml:space="preserve"> (Qld),</w:t>
            </w:r>
          </w:p>
          <w:p w14:paraId="5761E594" w14:textId="77777777" w:rsidR="00A56EE9" w:rsidRPr="00E70A11" w:rsidRDefault="00A56EE9" w:rsidP="00A11869">
            <w:pPr>
              <w:pStyle w:val="ListParagraph"/>
              <w:numPr>
                <w:ilvl w:val="0"/>
                <w:numId w:val="245"/>
              </w:numPr>
              <w:spacing w:after="200" w:line="276" w:lineRule="auto"/>
              <w:rPr>
                <w:rStyle w:val="BookTitle"/>
                <w:rFonts w:ascii="Arial Narrow" w:hAnsi="Arial Narrow"/>
                <w:sz w:val="18"/>
                <w:szCs w:val="18"/>
              </w:rPr>
            </w:pPr>
            <w:r w:rsidRPr="00E70A11">
              <w:rPr>
                <w:rFonts w:ascii="Arial Narrow" w:hAnsi="Arial Narrow"/>
                <w:i/>
                <w:sz w:val="18"/>
                <w:szCs w:val="18"/>
              </w:rPr>
              <w:t>Environmental Protection Act 1994,</w:t>
            </w:r>
          </w:p>
        </w:tc>
        <w:tc>
          <w:tcPr>
            <w:tcW w:w="974" w:type="dxa"/>
            <w:tcBorders>
              <w:top w:val="single" w:sz="4" w:space="0" w:color="auto"/>
              <w:left w:val="single" w:sz="4" w:space="0" w:color="auto"/>
              <w:bottom w:val="single" w:sz="4" w:space="0" w:color="auto"/>
              <w:right w:val="single" w:sz="4" w:space="0" w:color="auto"/>
            </w:tcBorders>
          </w:tcPr>
          <w:p w14:paraId="5761E595"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96"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5A1"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98"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coastal development are appropriately considered.</w:t>
            </w:r>
          </w:p>
        </w:tc>
        <w:tc>
          <w:tcPr>
            <w:tcW w:w="668" w:type="dxa"/>
            <w:tcBorders>
              <w:top w:val="single" w:sz="4" w:space="0" w:color="auto"/>
              <w:left w:val="single" w:sz="4" w:space="0" w:color="auto"/>
              <w:bottom w:val="single" w:sz="4" w:space="0" w:color="auto"/>
              <w:right w:val="single" w:sz="4" w:space="0" w:color="auto"/>
            </w:tcBorders>
          </w:tcPr>
          <w:p w14:paraId="5761E599"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9A" w14:textId="77777777" w:rsidR="00A56EE9" w:rsidRPr="00E70A11" w:rsidRDefault="00A56EE9" w:rsidP="00A11869">
            <w:pPr>
              <w:pStyle w:val="ListParagraph"/>
              <w:numPr>
                <w:ilvl w:val="0"/>
                <w:numId w:val="245"/>
              </w:numPr>
              <w:spacing w:after="200" w:line="276" w:lineRule="auto"/>
              <w:rPr>
                <w:rFonts w:ascii="Arial Narrow" w:hAnsi="Arial Narrow"/>
                <w:sz w:val="18"/>
                <w:szCs w:val="18"/>
              </w:rPr>
            </w:pPr>
            <w:r w:rsidRPr="00E70A11">
              <w:rPr>
                <w:rFonts w:ascii="Arial Narrow" w:hAnsi="Arial Narrow"/>
                <w:sz w:val="18"/>
                <w:szCs w:val="18"/>
              </w:rPr>
              <w:t>At a development assessment level (external to major projects that trigger EIS), the practicality to impose cumulative impacts and net benefit assessment exists under Qld legislation.</w:t>
            </w:r>
          </w:p>
          <w:p w14:paraId="5761E59B" w14:textId="77777777" w:rsidR="00A56EE9" w:rsidRPr="00E70A11" w:rsidRDefault="00A56EE9" w:rsidP="00A11869">
            <w:pPr>
              <w:pStyle w:val="ListParagraph"/>
              <w:numPr>
                <w:ilvl w:val="0"/>
                <w:numId w:val="245"/>
              </w:numPr>
              <w:spacing w:after="200" w:line="276" w:lineRule="auto"/>
              <w:rPr>
                <w:rFonts w:ascii="Arial Narrow" w:hAnsi="Arial Narrow"/>
                <w:sz w:val="18"/>
                <w:szCs w:val="18"/>
                <w:lang w:val="en-US"/>
              </w:rPr>
            </w:pPr>
            <w:r w:rsidRPr="00E70A11">
              <w:rPr>
                <w:rFonts w:ascii="Arial Narrow" w:hAnsi="Arial Narrow"/>
                <w:sz w:val="18"/>
                <w:szCs w:val="18"/>
                <w:lang w:val="en-US"/>
              </w:rPr>
              <w:t>GBRMP Regulations 88Q and 88R (assessment criteria for identifying and analysing impacts) provides the head of power to assess all potential impacts which would include cumulative.</w:t>
            </w:r>
            <w:r>
              <w:rPr>
                <w:rFonts w:ascii="Arial Narrow" w:hAnsi="Arial Narrow"/>
                <w:sz w:val="18"/>
                <w:szCs w:val="18"/>
                <w:lang w:val="en-US"/>
              </w:rPr>
              <w:t xml:space="preserve"> </w:t>
            </w:r>
          </w:p>
          <w:p w14:paraId="5761E59C" w14:textId="77777777" w:rsidR="00A56EE9" w:rsidRPr="00E70A11" w:rsidRDefault="00A56EE9" w:rsidP="00A11869">
            <w:pPr>
              <w:pStyle w:val="ListParagraph"/>
              <w:numPr>
                <w:ilvl w:val="0"/>
                <w:numId w:val="245"/>
              </w:numPr>
              <w:spacing w:after="200" w:line="276" w:lineRule="auto"/>
              <w:rPr>
                <w:rStyle w:val="BookTitle"/>
                <w:rFonts w:ascii="Arial Narrow" w:hAnsi="Arial Narrow"/>
                <w:sz w:val="18"/>
                <w:szCs w:val="18"/>
              </w:rPr>
            </w:pPr>
            <w:r w:rsidRPr="00E70A11">
              <w:rPr>
                <w:rFonts w:ascii="Arial Narrow" w:hAnsi="Arial Narrow"/>
                <w:sz w:val="18"/>
                <w:szCs w:val="18"/>
              </w:rPr>
              <w:t xml:space="preserve">The State Planning Policy, the </w:t>
            </w:r>
            <w:r w:rsidRPr="00E70A11">
              <w:rPr>
                <w:rFonts w:ascii="Arial Narrow" w:hAnsi="Arial Narrow"/>
                <w:i/>
                <w:sz w:val="18"/>
                <w:szCs w:val="18"/>
              </w:rPr>
              <w:t xml:space="preserve">Wetlands in the Great Barrier Reef Catchments Management Strategy 2016-2021 </w:t>
            </w:r>
            <w:r w:rsidRPr="00E70A11">
              <w:rPr>
                <w:rFonts w:ascii="Arial Narrow" w:hAnsi="Arial Narrow"/>
                <w:sz w:val="18"/>
                <w:szCs w:val="18"/>
              </w:rPr>
              <w:t>consider impacts associated with coastal development</w:t>
            </w:r>
          </w:p>
        </w:tc>
        <w:tc>
          <w:tcPr>
            <w:tcW w:w="4569" w:type="dxa"/>
            <w:tcBorders>
              <w:top w:val="single" w:sz="4" w:space="0" w:color="auto"/>
              <w:left w:val="single" w:sz="4" w:space="0" w:color="auto"/>
              <w:bottom w:val="single" w:sz="4" w:space="0" w:color="auto"/>
              <w:right w:val="single" w:sz="4" w:space="0" w:color="auto"/>
            </w:tcBorders>
          </w:tcPr>
          <w:p w14:paraId="5761E59D" w14:textId="77777777" w:rsidR="00A56EE9" w:rsidRPr="00E70A11" w:rsidRDefault="00A56EE9" w:rsidP="00A11869">
            <w:pPr>
              <w:pStyle w:val="ListParagraph"/>
              <w:numPr>
                <w:ilvl w:val="0"/>
                <w:numId w:val="245"/>
              </w:numPr>
              <w:spacing w:after="200" w:line="276" w:lineRule="auto"/>
              <w:rPr>
                <w:rFonts w:ascii="Arial Narrow" w:hAnsi="Arial Narrow"/>
                <w:sz w:val="18"/>
                <w:szCs w:val="18"/>
              </w:rPr>
            </w:pPr>
            <w:r w:rsidRPr="00E70A11">
              <w:rPr>
                <w:rFonts w:ascii="Arial Narrow" w:hAnsi="Arial Narrow"/>
                <w:sz w:val="18"/>
                <w:szCs w:val="18"/>
              </w:rPr>
              <w:t>State Planning Policy</w:t>
            </w:r>
          </w:p>
          <w:p w14:paraId="5761E59E" w14:textId="77777777" w:rsidR="00A56EE9" w:rsidRPr="00E70A11" w:rsidRDefault="00A56EE9" w:rsidP="00A11869">
            <w:pPr>
              <w:pStyle w:val="ListParagraph"/>
              <w:numPr>
                <w:ilvl w:val="0"/>
                <w:numId w:val="245"/>
              </w:numPr>
              <w:spacing w:after="200" w:line="276" w:lineRule="auto"/>
              <w:rPr>
                <w:rStyle w:val="BookTitle"/>
                <w:rFonts w:ascii="Arial Narrow" w:hAnsi="Arial Narrow"/>
                <w:sz w:val="18"/>
                <w:szCs w:val="18"/>
              </w:rPr>
            </w:pPr>
            <w:r w:rsidRPr="00E70A11">
              <w:rPr>
                <w:rFonts w:ascii="Arial Narrow" w:hAnsi="Arial Narrow"/>
                <w:i/>
                <w:sz w:val="18"/>
                <w:szCs w:val="18"/>
              </w:rPr>
              <w:t>Wetlands in the Great Barrier Reef Catchments Management Strategy 2016-2021</w:t>
            </w:r>
          </w:p>
        </w:tc>
        <w:tc>
          <w:tcPr>
            <w:tcW w:w="974" w:type="dxa"/>
            <w:tcBorders>
              <w:top w:val="single" w:sz="4" w:space="0" w:color="auto"/>
              <w:left w:val="single" w:sz="4" w:space="0" w:color="auto"/>
              <w:bottom w:val="single" w:sz="4" w:space="0" w:color="auto"/>
              <w:right w:val="single" w:sz="4" w:space="0" w:color="auto"/>
            </w:tcBorders>
          </w:tcPr>
          <w:p w14:paraId="5761E59F"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A0"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5AF"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A2"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coastal development</w:t>
            </w:r>
          </w:p>
        </w:tc>
        <w:tc>
          <w:tcPr>
            <w:tcW w:w="668" w:type="dxa"/>
            <w:tcBorders>
              <w:top w:val="single" w:sz="4" w:space="0" w:color="auto"/>
              <w:left w:val="single" w:sz="4" w:space="0" w:color="auto"/>
              <w:bottom w:val="single" w:sz="4" w:space="0" w:color="auto"/>
              <w:right w:val="single" w:sz="4" w:space="0" w:color="auto"/>
            </w:tcBorders>
          </w:tcPr>
          <w:p w14:paraId="5761E5A3"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A4" w14:textId="77777777" w:rsidR="00A56EE9" w:rsidRPr="00E70A11" w:rsidRDefault="00A56EE9" w:rsidP="00A11869">
            <w:pPr>
              <w:pStyle w:val="ListParagraph"/>
              <w:numPr>
                <w:ilvl w:val="0"/>
                <w:numId w:val="245"/>
              </w:numPr>
              <w:spacing w:after="200" w:line="276" w:lineRule="auto"/>
              <w:rPr>
                <w:rFonts w:ascii="Arial Narrow" w:hAnsi="Arial Narrow"/>
                <w:b/>
                <w:sz w:val="18"/>
                <w:szCs w:val="18"/>
              </w:rPr>
            </w:pPr>
            <w:r w:rsidRPr="00E70A11">
              <w:rPr>
                <w:rFonts w:ascii="Arial Narrow" w:hAnsi="Arial Narrow"/>
                <w:sz w:val="18"/>
                <w:szCs w:val="18"/>
              </w:rPr>
              <w:t>Information is available however it could be consolidated better</w:t>
            </w:r>
          </w:p>
          <w:p w14:paraId="5761E5A5" w14:textId="77777777" w:rsidR="00A56EE9" w:rsidRPr="00E70A11" w:rsidRDefault="00A56EE9" w:rsidP="00A11869">
            <w:pPr>
              <w:pStyle w:val="ListParagraph"/>
              <w:numPr>
                <w:ilvl w:val="0"/>
                <w:numId w:val="245"/>
              </w:numPr>
              <w:spacing w:after="200" w:line="276" w:lineRule="auto"/>
              <w:rPr>
                <w:rFonts w:ascii="Arial Narrow" w:hAnsi="Arial Narrow"/>
                <w:sz w:val="18"/>
                <w:szCs w:val="18"/>
                <w:u w:val="single"/>
              </w:rPr>
            </w:pPr>
            <w:r w:rsidRPr="00E70A11">
              <w:rPr>
                <w:rFonts w:ascii="Arial Narrow" w:hAnsi="Arial Narrow"/>
                <w:sz w:val="18"/>
                <w:szCs w:val="18"/>
              </w:rPr>
              <w:t xml:space="preserve">The </w:t>
            </w:r>
            <w:hyperlink r:id="rId219" w:history="1">
              <w:r w:rsidRPr="00E70A11">
                <w:rPr>
                  <w:rStyle w:val="Hyperlink"/>
                  <w:rFonts w:ascii="Arial Narrow" w:hAnsi="Arial Narrow"/>
                  <w:sz w:val="18"/>
                  <w:szCs w:val="18"/>
                </w:rPr>
                <w:t>2017 Scientific Consensus Statement</w:t>
              </w:r>
            </w:hyperlink>
            <w:r w:rsidRPr="00E70A11">
              <w:rPr>
                <w:rFonts w:ascii="Arial Narrow" w:hAnsi="Arial Narrow"/>
                <w:sz w:val="18"/>
                <w:szCs w:val="18"/>
              </w:rPr>
              <w:t xml:space="preserve"> is a synthesis of current knowledge pertaining to the water quality issues (including coastal development) in the Great Barrier Reef to inform a common understanding amongst managers of key ecosystems, associated values, condition, risks and status of efforts to protect values impacted by water quality.</w:t>
            </w:r>
          </w:p>
          <w:p w14:paraId="5761E5A6" w14:textId="77777777" w:rsidR="00A56EE9" w:rsidRPr="00E70A11" w:rsidRDefault="00A56EE9" w:rsidP="00A11869">
            <w:pPr>
              <w:pStyle w:val="ListParagraph"/>
              <w:numPr>
                <w:ilvl w:val="0"/>
                <w:numId w:val="245"/>
              </w:numPr>
              <w:spacing w:after="200" w:line="276" w:lineRule="auto"/>
              <w:rPr>
                <w:rStyle w:val="BookTitle"/>
                <w:rFonts w:ascii="Arial Narrow" w:hAnsi="Arial Narrow"/>
                <w:sz w:val="18"/>
                <w:szCs w:val="18"/>
                <w:u w:val="single"/>
              </w:rPr>
            </w:pPr>
            <w:r w:rsidRPr="00E70A11">
              <w:rPr>
                <w:rFonts w:ascii="Arial Narrow" w:hAnsi="Arial Narrow"/>
                <w:sz w:val="18"/>
                <w:szCs w:val="18"/>
              </w:rPr>
              <w:t xml:space="preserve">The Paddock to Reef program provides data that has been used to adaptively improve the management decisions. </w:t>
            </w:r>
          </w:p>
        </w:tc>
        <w:tc>
          <w:tcPr>
            <w:tcW w:w="4569" w:type="dxa"/>
            <w:tcBorders>
              <w:top w:val="single" w:sz="4" w:space="0" w:color="auto"/>
              <w:left w:val="single" w:sz="4" w:space="0" w:color="auto"/>
              <w:bottom w:val="single" w:sz="4" w:space="0" w:color="auto"/>
              <w:right w:val="single" w:sz="4" w:space="0" w:color="auto"/>
            </w:tcBorders>
          </w:tcPr>
          <w:p w14:paraId="5761E5A7" w14:textId="77777777" w:rsidR="00A56EE9" w:rsidRPr="00E70A11" w:rsidRDefault="008B5998" w:rsidP="00A11869">
            <w:pPr>
              <w:pStyle w:val="ListParagraph"/>
              <w:numPr>
                <w:ilvl w:val="0"/>
                <w:numId w:val="245"/>
              </w:numPr>
              <w:spacing w:after="200" w:line="276" w:lineRule="auto"/>
              <w:rPr>
                <w:rFonts w:ascii="Arial Narrow" w:hAnsi="Arial Narrow"/>
                <w:sz w:val="18"/>
                <w:szCs w:val="18"/>
                <w:u w:val="single"/>
              </w:rPr>
            </w:pPr>
            <w:hyperlink r:id="rId220" w:history="1">
              <w:r w:rsidR="00A56EE9" w:rsidRPr="00E70A11">
                <w:rPr>
                  <w:rStyle w:val="Hyperlink"/>
                  <w:rFonts w:ascii="Arial Narrow" w:hAnsi="Arial Narrow"/>
                  <w:sz w:val="18"/>
                  <w:szCs w:val="18"/>
                </w:rPr>
                <w:t>Reef 2050 WQIP</w:t>
              </w:r>
            </w:hyperlink>
            <w:r w:rsidR="00A56EE9" w:rsidRPr="00E70A11">
              <w:rPr>
                <w:rFonts w:ascii="Arial Narrow" w:hAnsi="Arial Narrow"/>
                <w:sz w:val="18"/>
                <w:szCs w:val="18"/>
              </w:rPr>
              <w:t xml:space="preserve"> </w:t>
            </w:r>
          </w:p>
          <w:p w14:paraId="5761E5A8" w14:textId="77777777" w:rsidR="00A56EE9" w:rsidRPr="00E70A11" w:rsidRDefault="00A56EE9" w:rsidP="00A11869">
            <w:pPr>
              <w:pStyle w:val="ListParagraph"/>
              <w:numPr>
                <w:ilvl w:val="0"/>
                <w:numId w:val="245"/>
              </w:numPr>
              <w:spacing w:after="200" w:line="276" w:lineRule="auto"/>
              <w:rPr>
                <w:rFonts w:ascii="Arial Narrow" w:hAnsi="Arial Narrow"/>
                <w:sz w:val="18"/>
                <w:szCs w:val="18"/>
              </w:rPr>
            </w:pPr>
            <w:r w:rsidRPr="00E70A11">
              <w:rPr>
                <w:rFonts w:ascii="Arial Narrow" w:hAnsi="Arial Narrow"/>
                <w:sz w:val="18"/>
                <w:szCs w:val="18"/>
              </w:rPr>
              <w:t xml:space="preserve"> </w:t>
            </w:r>
            <w:hyperlink r:id="rId221" w:history="1">
              <w:r w:rsidRPr="00E70A11">
                <w:rPr>
                  <w:rStyle w:val="Hyperlink"/>
                  <w:rFonts w:ascii="Arial Narrow" w:hAnsi="Arial Narrow"/>
                  <w:sz w:val="18"/>
                  <w:szCs w:val="18"/>
                </w:rPr>
                <w:t>Queensland Wetlands program</w:t>
              </w:r>
            </w:hyperlink>
          </w:p>
          <w:p w14:paraId="5761E5A9" w14:textId="77777777" w:rsidR="00A56EE9" w:rsidRPr="00E70A11" w:rsidRDefault="008B5998" w:rsidP="00A11869">
            <w:pPr>
              <w:pStyle w:val="ListParagraph"/>
              <w:numPr>
                <w:ilvl w:val="0"/>
                <w:numId w:val="245"/>
              </w:numPr>
              <w:spacing w:after="200" w:line="276" w:lineRule="auto"/>
              <w:rPr>
                <w:rFonts w:ascii="Arial Narrow" w:hAnsi="Arial Narrow"/>
                <w:sz w:val="18"/>
                <w:szCs w:val="18"/>
              </w:rPr>
            </w:pPr>
            <w:hyperlink r:id="rId222" w:history="1">
              <w:r w:rsidR="00A56EE9" w:rsidRPr="00E70A11">
                <w:rPr>
                  <w:rStyle w:val="Hyperlink"/>
                  <w:rFonts w:ascii="Arial Narrow" w:hAnsi="Arial Narrow"/>
                  <w:sz w:val="18"/>
                  <w:szCs w:val="18"/>
                </w:rPr>
                <w:t>Queensland Herbarium</w:t>
              </w:r>
            </w:hyperlink>
          </w:p>
          <w:p w14:paraId="5761E5AA" w14:textId="77777777" w:rsidR="00A56EE9" w:rsidRPr="00E70A11" w:rsidRDefault="008B5998" w:rsidP="00A11869">
            <w:pPr>
              <w:pStyle w:val="ListParagraph"/>
              <w:numPr>
                <w:ilvl w:val="0"/>
                <w:numId w:val="245"/>
              </w:numPr>
              <w:spacing w:after="200" w:line="276" w:lineRule="auto"/>
              <w:rPr>
                <w:rFonts w:ascii="Arial Narrow" w:hAnsi="Arial Narrow"/>
                <w:sz w:val="18"/>
                <w:szCs w:val="18"/>
              </w:rPr>
            </w:pPr>
            <w:hyperlink r:id="rId223" w:history="1">
              <w:r w:rsidR="00A56EE9" w:rsidRPr="00E70A11">
                <w:rPr>
                  <w:rStyle w:val="Hyperlink"/>
                  <w:rFonts w:ascii="Arial Narrow" w:hAnsi="Arial Narrow"/>
                  <w:sz w:val="18"/>
                  <w:szCs w:val="18"/>
                </w:rPr>
                <w:t>NESP</w:t>
              </w:r>
            </w:hyperlink>
          </w:p>
          <w:p w14:paraId="5761E5AB" w14:textId="77777777" w:rsidR="00A56EE9" w:rsidRPr="00E70A11" w:rsidRDefault="008B5998" w:rsidP="00A11869">
            <w:pPr>
              <w:pStyle w:val="ListParagraph"/>
              <w:numPr>
                <w:ilvl w:val="0"/>
                <w:numId w:val="245"/>
              </w:numPr>
              <w:spacing w:after="200" w:line="276" w:lineRule="auto"/>
              <w:rPr>
                <w:rFonts w:ascii="Arial Narrow" w:hAnsi="Arial Narrow"/>
                <w:sz w:val="18"/>
                <w:szCs w:val="18"/>
              </w:rPr>
            </w:pPr>
            <w:hyperlink r:id="rId224" w:history="1">
              <w:r w:rsidR="00A56EE9" w:rsidRPr="00E70A11">
                <w:rPr>
                  <w:rStyle w:val="Hyperlink"/>
                  <w:rFonts w:ascii="Arial Narrow" w:hAnsi="Arial Narrow"/>
                  <w:sz w:val="18"/>
                  <w:szCs w:val="18"/>
                </w:rPr>
                <w:t>2017 Scientific Consensus Statement</w:t>
              </w:r>
            </w:hyperlink>
          </w:p>
          <w:p w14:paraId="5761E5AC" w14:textId="77777777" w:rsidR="00A56EE9" w:rsidRPr="00E70A11" w:rsidRDefault="00A56EE9" w:rsidP="00A11869">
            <w:pPr>
              <w:pStyle w:val="ListParagraph"/>
              <w:numPr>
                <w:ilvl w:val="0"/>
                <w:numId w:val="24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Paddock to Reef Program</w:t>
            </w:r>
          </w:p>
        </w:tc>
        <w:tc>
          <w:tcPr>
            <w:tcW w:w="974" w:type="dxa"/>
            <w:tcBorders>
              <w:top w:val="single" w:sz="4" w:space="0" w:color="auto"/>
              <w:left w:val="single" w:sz="4" w:space="0" w:color="auto"/>
              <w:bottom w:val="single" w:sz="4" w:space="0" w:color="auto"/>
              <w:right w:val="single" w:sz="4" w:space="0" w:color="auto"/>
            </w:tcBorders>
          </w:tcPr>
          <w:p w14:paraId="5761E5AD"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AE"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5BB"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B0"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coastal development</w:t>
            </w:r>
          </w:p>
        </w:tc>
        <w:tc>
          <w:tcPr>
            <w:tcW w:w="668" w:type="dxa"/>
            <w:tcBorders>
              <w:top w:val="single" w:sz="4" w:space="0" w:color="auto"/>
              <w:left w:val="single" w:sz="4" w:space="0" w:color="auto"/>
              <w:bottom w:val="single" w:sz="4" w:space="0" w:color="auto"/>
              <w:right w:val="single" w:sz="4" w:space="0" w:color="auto"/>
            </w:tcBorders>
          </w:tcPr>
          <w:p w14:paraId="5761E5B1"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B2" w14:textId="77777777" w:rsidR="00A56EE9" w:rsidRPr="00E70A11" w:rsidRDefault="00A56EE9" w:rsidP="00A11869">
            <w:pPr>
              <w:pStyle w:val="ListParagraph"/>
              <w:numPr>
                <w:ilvl w:val="0"/>
                <w:numId w:val="246"/>
              </w:numPr>
              <w:spacing w:after="200" w:line="276" w:lineRule="auto"/>
              <w:rPr>
                <w:rFonts w:ascii="Arial Narrow" w:hAnsi="Arial Narrow"/>
                <w:sz w:val="18"/>
                <w:szCs w:val="18"/>
                <w:lang w:val="en-US"/>
              </w:rPr>
            </w:pPr>
            <w:r w:rsidRPr="00E70A11">
              <w:rPr>
                <w:rFonts w:ascii="Arial Narrow" w:hAnsi="Arial Narrow"/>
                <w:sz w:val="18"/>
                <w:szCs w:val="18"/>
                <w:lang w:val="en-US"/>
              </w:rPr>
              <w:t>Socio-economic issues are taken account of permit decisions and available information was used in RAP process</w:t>
            </w:r>
          </w:p>
          <w:p w14:paraId="5761E5B3" w14:textId="77777777" w:rsidR="00A56EE9" w:rsidRPr="00E70A11" w:rsidRDefault="00A56EE9" w:rsidP="00A11869">
            <w:pPr>
              <w:pStyle w:val="ListParagraph"/>
              <w:numPr>
                <w:ilvl w:val="0"/>
                <w:numId w:val="246"/>
              </w:numPr>
              <w:spacing w:after="200" w:line="276" w:lineRule="auto"/>
              <w:rPr>
                <w:rFonts w:ascii="Arial Narrow" w:hAnsi="Arial Narrow"/>
                <w:sz w:val="18"/>
                <w:szCs w:val="18"/>
              </w:rPr>
            </w:pPr>
            <w:r w:rsidRPr="00E70A11">
              <w:rPr>
                <w:rFonts w:ascii="Arial Narrow" w:hAnsi="Arial Narrow"/>
                <w:sz w:val="18"/>
                <w:szCs w:val="18"/>
              </w:rPr>
              <w:t>Socio and economic research is being brought into the RIMREP Human Dimensions expert working group to inform the RIMREP Program design</w:t>
            </w:r>
          </w:p>
          <w:p w14:paraId="5761E5B4" w14:textId="77777777" w:rsidR="00A56EE9" w:rsidRPr="00E70A11" w:rsidRDefault="00A56EE9" w:rsidP="00A11869">
            <w:pPr>
              <w:pStyle w:val="ListParagraph"/>
              <w:numPr>
                <w:ilvl w:val="0"/>
                <w:numId w:val="246"/>
              </w:numPr>
              <w:spacing w:after="200" w:line="276" w:lineRule="auto"/>
              <w:rPr>
                <w:rFonts w:ascii="Arial Narrow" w:hAnsi="Arial Narrow"/>
                <w:sz w:val="18"/>
                <w:szCs w:val="18"/>
              </w:rPr>
            </w:pPr>
            <w:r w:rsidRPr="00E70A11">
              <w:rPr>
                <w:rFonts w:ascii="Arial Narrow" w:hAnsi="Arial Narrow"/>
                <w:sz w:val="18"/>
                <w:szCs w:val="18"/>
              </w:rPr>
              <w:t>SELTMP 2014 Coastal Communities report depicts the current state of coastal community characteristics and relationships with the GBR, and drivers of change.</w:t>
            </w:r>
          </w:p>
          <w:p w14:paraId="5761E5B5" w14:textId="77777777" w:rsidR="00A56EE9" w:rsidRPr="00E70A11" w:rsidRDefault="00A56EE9" w:rsidP="00A11869">
            <w:pPr>
              <w:pStyle w:val="ListParagraph"/>
              <w:numPr>
                <w:ilvl w:val="0"/>
                <w:numId w:val="246"/>
              </w:numPr>
              <w:spacing w:after="200" w:line="276" w:lineRule="auto"/>
              <w:rPr>
                <w:rStyle w:val="BookTitle"/>
                <w:rFonts w:ascii="Arial Narrow" w:hAnsi="Arial Narrow"/>
                <w:sz w:val="18"/>
                <w:szCs w:val="18"/>
                <w:lang w:val="en-US"/>
              </w:rPr>
            </w:pPr>
            <w:r w:rsidRPr="00E70A11">
              <w:rPr>
                <w:rFonts w:ascii="Arial Narrow" w:hAnsi="Arial Narrow"/>
                <w:sz w:val="18"/>
                <w:szCs w:val="18"/>
                <w:lang w:val="en-US"/>
              </w:rPr>
              <w:t>Linkage to socio-economic data to management of coastal ecosystems is less developed then for issues such as tourism and fishing</w:t>
            </w:r>
          </w:p>
        </w:tc>
        <w:tc>
          <w:tcPr>
            <w:tcW w:w="4569" w:type="dxa"/>
            <w:tcBorders>
              <w:top w:val="single" w:sz="4" w:space="0" w:color="auto"/>
              <w:left w:val="single" w:sz="4" w:space="0" w:color="auto"/>
              <w:bottom w:val="single" w:sz="4" w:space="0" w:color="auto"/>
              <w:right w:val="single" w:sz="4" w:space="0" w:color="auto"/>
            </w:tcBorders>
          </w:tcPr>
          <w:p w14:paraId="5761E5B6" w14:textId="77777777" w:rsidR="00A56EE9" w:rsidRPr="00E70A11" w:rsidRDefault="008B5998" w:rsidP="00A11869">
            <w:pPr>
              <w:pStyle w:val="ListParagraph"/>
              <w:numPr>
                <w:ilvl w:val="0"/>
                <w:numId w:val="246"/>
              </w:numPr>
              <w:spacing w:after="200" w:line="276" w:lineRule="auto"/>
              <w:rPr>
                <w:rFonts w:ascii="Arial Narrow" w:hAnsi="Arial Narrow"/>
                <w:sz w:val="18"/>
                <w:szCs w:val="18"/>
                <w:lang w:val="en"/>
              </w:rPr>
            </w:pPr>
            <w:hyperlink r:id="rId225" w:history="1">
              <w:r w:rsidR="00A56EE9" w:rsidRPr="00E70A11">
                <w:rPr>
                  <w:rStyle w:val="Hyperlink"/>
                  <w:rFonts w:ascii="Arial Narrow" w:hAnsi="Arial Narrow"/>
                  <w:sz w:val="18"/>
                  <w:szCs w:val="18"/>
                  <w:lang w:val="en"/>
                </w:rPr>
                <w:t>Deloitte Access Economics Report</w:t>
              </w:r>
            </w:hyperlink>
            <w:r w:rsidR="00A56EE9" w:rsidRPr="00E70A11">
              <w:rPr>
                <w:rFonts w:ascii="Arial Narrow" w:hAnsi="Arial Narrow"/>
                <w:sz w:val="18"/>
                <w:szCs w:val="18"/>
                <w:lang w:val="en"/>
              </w:rPr>
              <w:t xml:space="preserve"> 2017 – At what price? The economic, social and icon value of the Great Barrier Reef</w:t>
            </w:r>
          </w:p>
          <w:p w14:paraId="5761E5B7" w14:textId="77777777" w:rsidR="00A56EE9" w:rsidRPr="00E70A11" w:rsidRDefault="00A56EE9" w:rsidP="00A11869">
            <w:pPr>
              <w:pStyle w:val="ListParagraph"/>
              <w:numPr>
                <w:ilvl w:val="0"/>
                <w:numId w:val="246"/>
              </w:numPr>
              <w:spacing w:after="200" w:line="276" w:lineRule="auto"/>
              <w:rPr>
                <w:rFonts w:ascii="Arial Narrow" w:hAnsi="Arial Narrow"/>
                <w:sz w:val="18"/>
                <w:szCs w:val="18"/>
              </w:rPr>
            </w:pPr>
            <w:r w:rsidRPr="00E70A11">
              <w:rPr>
                <w:rFonts w:ascii="Arial Narrow" w:hAnsi="Arial Narrow"/>
                <w:sz w:val="18"/>
                <w:szCs w:val="18"/>
              </w:rPr>
              <w:t xml:space="preserve">Gooch et al. 2017 Assessment and Promotion of the Great Barrier Reef’s Human Dimensions through Collaboration. </w:t>
            </w:r>
            <w:r w:rsidRPr="00E70A11">
              <w:rPr>
                <w:rFonts w:ascii="Arial Narrow" w:hAnsi="Arial Narrow"/>
                <w:i/>
                <w:sz w:val="18"/>
                <w:szCs w:val="18"/>
              </w:rPr>
              <w:t>Coastal Management</w:t>
            </w:r>
            <w:r w:rsidRPr="00E70A11">
              <w:rPr>
                <w:rFonts w:ascii="Arial Narrow" w:hAnsi="Arial Narrow"/>
                <w:sz w:val="18"/>
                <w:szCs w:val="18"/>
              </w:rPr>
              <w:t>, DOI: 10.1080/08920753.2017.1373455</w:t>
            </w:r>
          </w:p>
          <w:p w14:paraId="5761E5B8" w14:textId="77777777" w:rsidR="00A56EE9" w:rsidRPr="00E70A11" w:rsidRDefault="00A56EE9" w:rsidP="00A11869">
            <w:pPr>
              <w:pStyle w:val="ListParagraph"/>
              <w:numPr>
                <w:ilvl w:val="0"/>
                <w:numId w:val="246"/>
              </w:numPr>
              <w:spacing w:after="200" w:line="276" w:lineRule="auto"/>
              <w:rPr>
                <w:rStyle w:val="BookTitle"/>
                <w:rFonts w:ascii="Arial Narrow" w:hAnsi="Arial Narrow"/>
                <w:sz w:val="18"/>
                <w:szCs w:val="18"/>
              </w:rPr>
            </w:pPr>
            <w:r w:rsidRPr="00E70A11">
              <w:rPr>
                <w:rFonts w:ascii="Arial Narrow" w:hAnsi="Arial Narrow"/>
                <w:sz w:val="18"/>
                <w:szCs w:val="18"/>
              </w:rPr>
              <w:t>Bohensky, E., Marshall, N., Currnock, M., Gillet, S., Goldberg, J., Gooch, M., Pert, P., Scherl, L., Stone-Jovicich, S., Tobin, R. (2014) The Social and Economic Long Term Monitoring Program (SELTMP) 2013, Coastal Communities in the Great Barrier Reef. Report to the National Environmental Research Program. Reef and Rainforest Research Centre Limited, Cairns (35pp.).</w:t>
            </w:r>
          </w:p>
        </w:tc>
        <w:tc>
          <w:tcPr>
            <w:tcW w:w="974" w:type="dxa"/>
            <w:tcBorders>
              <w:top w:val="single" w:sz="4" w:space="0" w:color="auto"/>
              <w:left w:val="single" w:sz="4" w:space="0" w:color="auto"/>
              <w:bottom w:val="single" w:sz="4" w:space="0" w:color="auto"/>
              <w:right w:val="single" w:sz="4" w:space="0" w:color="auto"/>
            </w:tcBorders>
          </w:tcPr>
          <w:p w14:paraId="5761E5B9"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BA"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5C4"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BC"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coastal development</w:t>
            </w:r>
          </w:p>
        </w:tc>
        <w:tc>
          <w:tcPr>
            <w:tcW w:w="668" w:type="dxa"/>
            <w:tcBorders>
              <w:top w:val="single" w:sz="4" w:space="0" w:color="auto"/>
              <w:left w:val="single" w:sz="4" w:space="0" w:color="auto"/>
              <w:bottom w:val="single" w:sz="4" w:space="0" w:color="auto"/>
              <w:right w:val="single" w:sz="4" w:space="0" w:color="auto"/>
            </w:tcBorders>
          </w:tcPr>
          <w:p w14:paraId="5761E5BD" w14:textId="77777777" w:rsidR="00A56EE9" w:rsidRPr="00E70A11" w:rsidRDefault="00A56EE9" w:rsidP="00BB6AD5">
            <w:pPr>
              <w:pStyle w:val="Tablebulletlist"/>
              <w:rPr>
                <w:rStyle w:val="BookTitle"/>
              </w:rPr>
            </w:pPr>
            <w:r w:rsidRPr="00E70A11">
              <w:rPr>
                <w:rStyle w:val="BookTitle"/>
              </w:rPr>
              <w:t>2</w:t>
            </w:r>
          </w:p>
        </w:tc>
        <w:tc>
          <w:tcPr>
            <w:tcW w:w="5111" w:type="dxa"/>
            <w:tcBorders>
              <w:top w:val="single" w:sz="4" w:space="0" w:color="auto"/>
              <w:left w:val="single" w:sz="4" w:space="0" w:color="auto"/>
              <w:bottom w:val="single" w:sz="4" w:space="0" w:color="auto"/>
              <w:right w:val="single" w:sz="4" w:space="0" w:color="auto"/>
            </w:tcBorders>
          </w:tcPr>
          <w:p w14:paraId="5761E5BE" w14:textId="77777777" w:rsidR="00A56EE9" w:rsidRPr="00E70A11" w:rsidRDefault="00A56EE9" w:rsidP="00A11869">
            <w:pPr>
              <w:pStyle w:val="ListParagraph"/>
              <w:numPr>
                <w:ilvl w:val="0"/>
                <w:numId w:val="246"/>
              </w:numPr>
              <w:spacing w:after="200" w:line="276" w:lineRule="auto"/>
              <w:rPr>
                <w:rFonts w:ascii="Arial Narrow" w:hAnsi="Arial Narrow"/>
                <w:sz w:val="18"/>
                <w:szCs w:val="18"/>
              </w:rPr>
            </w:pPr>
            <w:r w:rsidRPr="00E70A11">
              <w:rPr>
                <w:rFonts w:ascii="Arial Narrow" w:hAnsi="Arial Narrow"/>
                <w:sz w:val="18"/>
                <w:szCs w:val="18"/>
              </w:rPr>
              <w:t>There is a need to better develop and integrate Traditional ecological knowledge and stakeholder knowledge into management of coastal ecosystems.</w:t>
            </w:r>
          </w:p>
          <w:p w14:paraId="5761E5BF" w14:textId="77777777" w:rsidR="00A56EE9" w:rsidRPr="00E70A11" w:rsidRDefault="00A56EE9" w:rsidP="00A11869">
            <w:pPr>
              <w:pStyle w:val="ListParagraph"/>
              <w:numPr>
                <w:ilvl w:val="0"/>
                <w:numId w:val="246"/>
              </w:numPr>
              <w:spacing w:after="200" w:line="276" w:lineRule="auto"/>
              <w:rPr>
                <w:rStyle w:val="BookTitle"/>
                <w:rFonts w:ascii="Arial Narrow" w:hAnsi="Arial Narrow"/>
                <w:sz w:val="18"/>
                <w:szCs w:val="18"/>
                <w:lang w:val="en-US"/>
              </w:rPr>
            </w:pPr>
            <w:r w:rsidRPr="00E70A11">
              <w:rPr>
                <w:rFonts w:ascii="Arial Narrow" w:hAnsi="Arial Narrow"/>
                <w:sz w:val="18"/>
                <w:szCs w:val="18"/>
                <w:lang w:val="en-US"/>
              </w:rPr>
              <w:t>Indigenous knowledge is taken account of in permit decisions where relevance is obvious but not routinely addressed in planning and management of coastal ecosystems</w:t>
            </w:r>
          </w:p>
        </w:tc>
        <w:tc>
          <w:tcPr>
            <w:tcW w:w="4569" w:type="dxa"/>
            <w:tcBorders>
              <w:top w:val="single" w:sz="4" w:space="0" w:color="auto"/>
              <w:left w:val="single" w:sz="4" w:space="0" w:color="auto"/>
              <w:bottom w:val="single" w:sz="4" w:space="0" w:color="auto"/>
              <w:right w:val="single" w:sz="4" w:space="0" w:color="auto"/>
            </w:tcBorders>
          </w:tcPr>
          <w:p w14:paraId="5761E5C0" w14:textId="77777777" w:rsidR="00A56EE9" w:rsidRPr="00E70A11" w:rsidRDefault="00A56EE9" w:rsidP="00A11869">
            <w:pPr>
              <w:pStyle w:val="ListParagraph"/>
              <w:numPr>
                <w:ilvl w:val="0"/>
                <w:numId w:val="2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w:t>
            </w:r>
          </w:p>
          <w:p w14:paraId="5761E5C1"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5C2"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C3"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5CB"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C5"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coastal development</w:t>
            </w:r>
          </w:p>
        </w:tc>
        <w:tc>
          <w:tcPr>
            <w:tcW w:w="668" w:type="dxa"/>
            <w:tcBorders>
              <w:top w:val="single" w:sz="4" w:space="0" w:color="auto"/>
              <w:left w:val="single" w:sz="4" w:space="0" w:color="auto"/>
              <w:bottom w:val="single" w:sz="4" w:space="0" w:color="auto"/>
              <w:right w:val="single" w:sz="4" w:space="0" w:color="auto"/>
            </w:tcBorders>
          </w:tcPr>
          <w:p w14:paraId="5761E5C6" w14:textId="77777777" w:rsidR="00A56EE9" w:rsidRPr="00E70A11" w:rsidRDefault="00A56EE9" w:rsidP="00BB6AD5">
            <w:pPr>
              <w:pStyle w:val="Tablebulletlist"/>
              <w:rPr>
                <w:rStyle w:val="BookTitle"/>
              </w:rPr>
            </w:pPr>
            <w:r w:rsidRPr="00E70A11">
              <w:rPr>
                <w:rStyle w:val="BookTitle"/>
              </w:rPr>
              <w:t>2</w:t>
            </w:r>
          </w:p>
        </w:tc>
        <w:tc>
          <w:tcPr>
            <w:tcW w:w="5111" w:type="dxa"/>
            <w:tcBorders>
              <w:top w:val="single" w:sz="4" w:space="0" w:color="auto"/>
              <w:left w:val="single" w:sz="4" w:space="0" w:color="auto"/>
              <w:bottom w:val="single" w:sz="4" w:space="0" w:color="auto"/>
              <w:right w:val="single" w:sz="4" w:space="0" w:color="auto"/>
            </w:tcBorders>
          </w:tcPr>
          <w:p w14:paraId="5761E5C7" w14:textId="77777777" w:rsidR="00A56EE9" w:rsidRPr="00E70A11" w:rsidRDefault="00A56EE9" w:rsidP="00A11869">
            <w:pPr>
              <w:pStyle w:val="ListParagraph"/>
              <w:numPr>
                <w:ilvl w:val="0"/>
                <w:numId w:val="2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is a need to better develop and integrate historic heritage into the management of coastal ecosystems</w:t>
            </w:r>
          </w:p>
        </w:tc>
        <w:tc>
          <w:tcPr>
            <w:tcW w:w="4569" w:type="dxa"/>
            <w:tcBorders>
              <w:top w:val="single" w:sz="4" w:space="0" w:color="auto"/>
              <w:left w:val="single" w:sz="4" w:space="0" w:color="auto"/>
              <w:bottom w:val="single" w:sz="4" w:space="0" w:color="auto"/>
              <w:right w:val="single" w:sz="4" w:space="0" w:color="auto"/>
            </w:tcBorders>
          </w:tcPr>
          <w:p w14:paraId="5761E5C8" w14:textId="77777777" w:rsidR="00A56EE9" w:rsidRPr="00E70A11" w:rsidRDefault="00A56EE9" w:rsidP="00A11869">
            <w:pPr>
              <w:pStyle w:val="ListParagraph"/>
              <w:numPr>
                <w:ilvl w:val="0"/>
                <w:numId w:val="24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w:t>
            </w:r>
          </w:p>
        </w:tc>
        <w:tc>
          <w:tcPr>
            <w:tcW w:w="974" w:type="dxa"/>
            <w:tcBorders>
              <w:top w:val="single" w:sz="4" w:space="0" w:color="auto"/>
              <w:left w:val="single" w:sz="4" w:space="0" w:color="auto"/>
              <w:bottom w:val="single" w:sz="4" w:space="0" w:color="auto"/>
              <w:right w:val="single" w:sz="4" w:space="0" w:color="auto"/>
            </w:tcBorders>
          </w:tcPr>
          <w:p w14:paraId="5761E5C9"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C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5D4"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shd w:val="clear" w:color="auto" w:fill="auto"/>
          </w:tcPr>
          <w:p w14:paraId="5761E5CC"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coastal development</w:t>
            </w:r>
          </w:p>
        </w:tc>
        <w:tc>
          <w:tcPr>
            <w:tcW w:w="668" w:type="dxa"/>
            <w:tcBorders>
              <w:top w:val="single" w:sz="4" w:space="0" w:color="auto"/>
              <w:left w:val="single" w:sz="4" w:space="0" w:color="auto"/>
              <w:bottom w:val="single" w:sz="4" w:space="0" w:color="auto"/>
              <w:right w:val="single" w:sz="4" w:space="0" w:color="auto"/>
            </w:tcBorders>
          </w:tcPr>
          <w:p w14:paraId="5761E5CD"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CE" w14:textId="77777777" w:rsidR="00A56EE9" w:rsidRPr="00E70A11" w:rsidRDefault="00A56EE9" w:rsidP="00A11869">
            <w:pPr>
              <w:pStyle w:val="ListParagraph"/>
              <w:numPr>
                <w:ilvl w:val="0"/>
                <w:numId w:val="247"/>
              </w:numPr>
              <w:spacing w:after="200" w:line="276" w:lineRule="auto"/>
              <w:rPr>
                <w:rStyle w:val="BookTitle"/>
                <w:rFonts w:ascii="Arial Narrow" w:hAnsi="Arial Narrow"/>
                <w:sz w:val="18"/>
                <w:szCs w:val="18"/>
                <w:u w:val="single"/>
              </w:rPr>
            </w:pPr>
            <w:r w:rsidRPr="00E70A11">
              <w:rPr>
                <w:rFonts w:ascii="Arial Narrow" w:hAnsi="Arial Narrow"/>
                <w:sz w:val="18"/>
                <w:szCs w:val="18"/>
              </w:rPr>
              <w:t xml:space="preserve">GBRMPA water quality guidelines and their role in reporting on progress towards </w:t>
            </w:r>
            <w:hyperlink r:id="rId226" w:history="1">
              <w:r w:rsidRPr="00E70A11">
                <w:rPr>
                  <w:rStyle w:val="Hyperlink"/>
                  <w:rFonts w:ascii="Arial Narrow" w:hAnsi="Arial Narrow"/>
                  <w:sz w:val="18"/>
                  <w:szCs w:val="18"/>
                </w:rPr>
                <w:t>Reef 2050 WQIP</w:t>
              </w:r>
            </w:hyperlink>
            <w:r w:rsidRPr="00E70A11">
              <w:rPr>
                <w:rFonts w:ascii="Arial Narrow" w:hAnsi="Arial Narrow"/>
                <w:sz w:val="18"/>
                <w:szCs w:val="18"/>
              </w:rPr>
              <w:t xml:space="preserve"> goal and targets and links to additional WQIP.</w:t>
            </w:r>
            <w:r>
              <w:rPr>
                <w:rFonts w:ascii="Arial Narrow" w:hAnsi="Arial Narrow"/>
                <w:sz w:val="18"/>
                <w:szCs w:val="18"/>
              </w:rPr>
              <w:t xml:space="preserve"> </w:t>
            </w:r>
            <w:r w:rsidRPr="00E70A11">
              <w:rPr>
                <w:rFonts w:ascii="Arial Narrow" w:hAnsi="Arial Narrow"/>
                <w:sz w:val="18"/>
                <w:szCs w:val="18"/>
              </w:rPr>
              <w:t>There has also been substantial work with DEHP in scheduling these as Water Quality Objectives and Environmental Values in a number of Regions since 2009 under the EP Water Policy. These EVs and WQOs must be met in further decision making processes including the development of Stormwater Management Plan. Sewage Management Plans etc.</w:t>
            </w:r>
          </w:p>
        </w:tc>
        <w:tc>
          <w:tcPr>
            <w:tcW w:w="4569" w:type="dxa"/>
            <w:tcBorders>
              <w:top w:val="single" w:sz="4" w:space="0" w:color="auto"/>
              <w:left w:val="single" w:sz="4" w:space="0" w:color="auto"/>
              <w:bottom w:val="single" w:sz="4" w:space="0" w:color="auto"/>
              <w:right w:val="single" w:sz="4" w:space="0" w:color="auto"/>
            </w:tcBorders>
          </w:tcPr>
          <w:p w14:paraId="5761E5CF" w14:textId="77777777" w:rsidR="00A56EE9" w:rsidRPr="00E70A11" w:rsidRDefault="008B5998" w:rsidP="00A11869">
            <w:pPr>
              <w:pStyle w:val="ListParagraph"/>
              <w:numPr>
                <w:ilvl w:val="0"/>
                <w:numId w:val="247"/>
              </w:numPr>
              <w:spacing w:after="200" w:line="276" w:lineRule="auto"/>
              <w:rPr>
                <w:rFonts w:ascii="Arial Narrow" w:hAnsi="Arial Narrow"/>
                <w:sz w:val="18"/>
                <w:szCs w:val="18"/>
              </w:rPr>
            </w:pPr>
            <w:hyperlink r:id="rId227" w:history="1">
              <w:r w:rsidR="00A56EE9" w:rsidRPr="00E70A11">
                <w:rPr>
                  <w:rStyle w:val="Hyperlink"/>
                  <w:rFonts w:ascii="Arial Narrow" w:hAnsi="Arial Narrow"/>
                  <w:sz w:val="18"/>
                  <w:szCs w:val="18"/>
                </w:rPr>
                <w:t>State Planning Policy July 2017</w:t>
              </w:r>
            </w:hyperlink>
          </w:p>
          <w:p w14:paraId="5761E5D0" w14:textId="77777777" w:rsidR="00A56EE9" w:rsidRPr="00E70A11" w:rsidRDefault="00A56EE9" w:rsidP="00A11869">
            <w:pPr>
              <w:pStyle w:val="ListParagraph"/>
              <w:numPr>
                <w:ilvl w:val="0"/>
                <w:numId w:val="247"/>
              </w:numPr>
              <w:spacing w:after="200" w:line="276" w:lineRule="auto"/>
              <w:rPr>
                <w:rFonts w:ascii="Arial Narrow" w:hAnsi="Arial Narrow"/>
                <w:sz w:val="18"/>
                <w:szCs w:val="18"/>
              </w:rPr>
            </w:pPr>
            <w:r w:rsidRPr="00E70A11">
              <w:rPr>
                <w:rFonts w:ascii="Arial Narrow" w:hAnsi="Arial Narrow"/>
                <w:sz w:val="18"/>
                <w:szCs w:val="18"/>
              </w:rPr>
              <w:t xml:space="preserve">Draft </w:t>
            </w:r>
            <w:hyperlink r:id="rId228" w:history="1">
              <w:r w:rsidRPr="00E70A11">
                <w:rPr>
                  <w:rStyle w:val="Hyperlink"/>
                  <w:rFonts w:ascii="Arial Narrow" w:hAnsi="Arial Narrow"/>
                  <w:sz w:val="18"/>
                  <w:szCs w:val="18"/>
                </w:rPr>
                <w:t>Coastal Ecosystem – position statement</w:t>
              </w:r>
            </w:hyperlink>
            <w:r w:rsidRPr="00E70A11">
              <w:rPr>
                <w:rFonts w:ascii="Arial Narrow" w:hAnsi="Arial Narrow"/>
                <w:sz w:val="18"/>
                <w:szCs w:val="18"/>
              </w:rPr>
              <w:t xml:space="preserve"> public consultation</w:t>
            </w:r>
          </w:p>
          <w:p w14:paraId="5761E5D1" w14:textId="77777777" w:rsidR="00A56EE9" w:rsidRPr="00E70A11" w:rsidRDefault="008B5998" w:rsidP="00A11869">
            <w:pPr>
              <w:pStyle w:val="ListParagraph"/>
              <w:numPr>
                <w:ilvl w:val="0"/>
                <w:numId w:val="247"/>
              </w:numPr>
              <w:spacing w:after="200" w:line="276" w:lineRule="auto"/>
              <w:rPr>
                <w:rStyle w:val="BookTitle"/>
                <w:rFonts w:ascii="Arial Narrow" w:hAnsi="Arial Narrow"/>
                <w:sz w:val="18"/>
                <w:szCs w:val="18"/>
              </w:rPr>
            </w:pPr>
            <w:hyperlink r:id="rId229" w:history="1">
              <w:r w:rsidR="00A56EE9" w:rsidRPr="00E70A11">
                <w:rPr>
                  <w:rStyle w:val="Hyperlink"/>
                  <w:rFonts w:ascii="Arial Narrow" w:hAnsi="Arial Narrow"/>
                  <w:sz w:val="18"/>
                  <w:szCs w:val="18"/>
                </w:rPr>
                <w:t>Reef 2050 Plan Annual Report and implementation Strategy</w:t>
              </w:r>
            </w:hyperlink>
          </w:p>
        </w:tc>
        <w:tc>
          <w:tcPr>
            <w:tcW w:w="974" w:type="dxa"/>
            <w:tcBorders>
              <w:top w:val="single" w:sz="4" w:space="0" w:color="auto"/>
              <w:left w:val="single" w:sz="4" w:space="0" w:color="auto"/>
              <w:bottom w:val="single" w:sz="4" w:space="0" w:color="auto"/>
              <w:right w:val="single" w:sz="4" w:space="0" w:color="auto"/>
            </w:tcBorders>
          </w:tcPr>
          <w:p w14:paraId="5761E5D2"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D3"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5E2"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D5"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Targets have been established to benchmark management performance for coastal development</w:t>
            </w:r>
          </w:p>
        </w:tc>
        <w:tc>
          <w:tcPr>
            <w:tcW w:w="668" w:type="dxa"/>
            <w:tcBorders>
              <w:top w:val="single" w:sz="4" w:space="0" w:color="auto"/>
              <w:left w:val="single" w:sz="4" w:space="0" w:color="auto"/>
              <w:bottom w:val="single" w:sz="4" w:space="0" w:color="auto"/>
              <w:right w:val="single" w:sz="4" w:space="0" w:color="auto"/>
            </w:tcBorders>
          </w:tcPr>
          <w:p w14:paraId="5761E5D6"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D7" w14:textId="77777777" w:rsidR="00A56EE9" w:rsidRPr="00E70A11" w:rsidRDefault="00A56EE9" w:rsidP="00A11869">
            <w:pPr>
              <w:pStyle w:val="ListParagraph"/>
              <w:numPr>
                <w:ilvl w:val="0"/>
                <w:numId w:val="247"/>
              </w:numPr>
              <w:spacing w:after="200" w:line="276" w:lineRule="auto"/>
              <w:rPr>
                <w:rFonts w:ascii="Arial Narrow" w:hAnsi="Arial Narrow"/>
                <w:sz w:val="18"/>
                <w:szCs w:val="18"/>
                <w:u w:val="single"/>
              </w:rPr>
            </w:pPr>
            <w:r w:rsidRPr="00E70A11">
              <w:rPr>
                <w:rFonts w:ascii="Arial Narrow" w:hAnsi="Arial Narrow"/>
                <w:sz w:val="18"/>
                <w:szCs w:val="18"/>
              </w:rPr>
              <w:t>State Planning policy provides an overall benchmark (i.e. health and resilience of biodiversity is maintained or enhanced to support ecological integrity</w:t>
            </w:r>
          </w:p>
          <w:p w14:paraId="5761E5D8" w14:textId="77777777" w:rsidR="00A56EE9" w:rsidRPr="00E70A11" w:rsidRDefault="00A56EE9" w:rsidP="00A11869">
            <w:pPr>
              <w:pStyle w:val="ListParagraph"/>
              <w:numPr>
                <w:ilvl w:val="0"/>
                <w:numId w:val="247"/>
              </w:numPr>
              <w:spacing w:after="200" w:line="276" w:lineRule="auto"/>
              <w:rPr>
                <w:rStyle w:val="BookTitle"/>
                <w:rFonts w:ascii="Arial Narrow" w:hAnsi="Arial Narrow"/>
                <w:sz w:val="18"/>
                <w:szCs w:val="18"/>
              </w:rPr>
            </w:pPr>
            <w:r w:rsidRPr="00E70A11">
              <w:rPr>
                <w:rFonts w:ascii="Arial Narrow" w:hAnsi="Arial Narrow"/>
                <w:sz w:val="18"/>
                <w:szCs w:val="18"/>
              </w:rPr>
              <w:t>Reef 2050 plan sets clear actions, targets, objectives and outcomes to drive and guide the short, medium and long-term management of the Reef. The Plan firmly responds to the pressures facing the Reef and will address cumulative impacts and increase the Reef’s resilience to longer term threats such as climate change.</w:t>
            </w:r>
          </w:p>
        </w:tc>
        <w:tc>
          <w:tcPr>
            <w:tcW w:w="4569" w:type="dxa"/>
            <w:tcBorders>
              <w:top w:val="single" w:sz="4" w:space="0" w:color="auto"/>
              <w:left w:val="single" w:sz="4" w:space="0" w:color="auto"/>
              <w:bottom w:val="single" w:sz="4" w:space="0" w:color="auto"/>
              <w:right w:val="single" w:sz="4" w:space="0" w:color="auto"/>
            </w:tcBorders>
          </w:tcPr>
          <w:p w14:paraId="5761E5D9" w14:textId="77777777" w:rsidR="00A56EE9" w:rsidRPr="00E70A11" w:rsidRDefault="008B5998" w:rsidP="00A11869">
            <w:pPr>
              <w:pStyle w:val="ListParagraph"/>
              <w:numPr>
                <w:ilvl w:val="0"/>
                <w:numId w:val="247"/>
              </w:numPr>
              <w:spacing w:after="200" w:line="276" w:lineRule="auto"/>
              <w:rPr>
                <w:rFonts w:ascii="Arial Narrow" w:hAnsi="Arial Narrow"/>
                <w:sz w:val="18"/>
                <w:szCs w:val="18"/>
              </w:rPr>
            </w:pPr>
            <w:hyperlink r:id="rId230" w:history="1">
              <w:r w:rsidR="00A56EE9" w:rsidRPr="00E70A11">
                <w:rPr>
                  <w:rStyle w:val="Hyperlink"/>
                  <w:rFonts w:ascii="Arial Narrow" w:hAnsi="Arial Narrow"/>
                  <w:sz w:val="18"/>
                  <w:szCs w:val="18"/>
                </w:rPr>
                <w:t>State Planning Policy July 2017</w:t>
              </w:r>
            </w:hyperlink>
          </w:p>
          <w:p w14:paraId="5761E5DA" w14:textId="77777777" w:rsidR="00A56EE9" w:rsidRPr="00E70A11" w:rsidRDefault="008B5998" w:rsidP="00A11869">
            <w:pPr>
              <w:pStyle w:val="ListParagraph"/>
              <w:numPr>
                <w:ilvl w:val="0"/>
                <w:numId w:val="247"/>
              </w:numPr>
              <w:spacing w:after="200" w:line="276" w:lineRule="auto"/>
              <w:rPr>
                <w:rFonts w:ascii="Arial Narrow" w:hAnsi="Arial Narrow"/>
                <w:sz w:val="18"/>
                <w:szCs w:val="18"/>
              </w:rPr>
            </w:pPr>
            <w:hyperlink r:id="rId231" w:history="1">
              <w:r w:rsidR="00A56EE9" w:rsidRPr="00E70A11">
                <w:rPr>
                  <w:rStyle w:val="Hyperlink"/>
                  <w:rFonts w:ascii="Arial Narrow" w:hAnsi="Arial Narrow"/>
                  <w:sz w:val="18"/>
                  <w:szCs w:val="18"/>
                </w:rPr>
                <w:t>Reef 2050 Long-Term Sustainability Plan</w:t>
              </w:r>
            </w:hyperlink>
          </w:p>
          <w:p w14:paraId="5761E5DB" w14:textId="77777777" w:rsidR="00A56EE9" w:rsidRPr="00E70A11" w:rsidRDefault="008B5998" w:rsidP="00A11869">
            <w:pPr>
              <w:pStyle w:val="ListParagraph"/>
              <w:numPr>
                <w:ilvl w:val="0"/>
                <w:numId w:val="247"/>
              </w:numPr>
              <w:spacing w:after="200" w:line="276" w:lineRule="auto"/>
              <w:rPr>
                <w:rFonts w:ascii="Arial Narrow" w:hAnsi="Arial Narrow"/>
                <w:sz w:val="18"/>
                <w:szCs w:val="18"/>
                <w:u w:val="single"/>
              </w:rPr>
            </w:pPr>
            <w:hyperlink r:id="rId232" w:history="1">
              <w:r w:rsidR="00A56EE9" w:rsidRPr="00E70A11">
                <w:rPr>
                  <w:rStyle w:val="Hyperlink"/>
                  <w:rFonts w:ascii="Arial Narrow" w:hAnsi="Arial Narrow"/>
                  <w:sz w:val="18"/>
                  <w:szCs w:val="18"/>
                </w:rPr>
                <w:t>Reef 2050 WQIP</w:t>
              </w:r>
            </w:hyperlink>
            <w:r w:rsidR="00A56EE9" w:rsidRPr="00E70A11">
              <w:rPr>
                <w:rFonts w:ascii="Arial Narrow" w:hAnsi="Arial Narrow"/>
                <w:sz w:val="18"/>
                <w:szCs w:val="18"/>
              </w:rPr>
              <w:t xml:space="preserve"> </w:t>
            </w:r>
          </w:p>
          <w:p w14:paraId="5761E5DC" w14:textId="77777777" w:rsidR="00A56EE9" w:rsidRPr="00E70A11" w:rsidRDefault="00A56EE9" w:rsidP="00A11869">
            <w:pPr>
              <w:pStyle w:val="ListParagraph"/>
              <w:numPr>
                <w:ilvl w:val="0"/>
                <w:numId w:val="247"/>
              </w:numPr>
              <w:spacing w:after="200" w:line="276" w:lineRule="auto"/>
              <w:rPr>
                <w:rFonts w:ascii="Arial Narrow" w:hAnsi="Arial Narrow"/>
                <w:sz w:val="18"/>
                <w:szCs w:val="18"/>
              </w:rPr>
            </w:pPr>
            <w:r w:rsidRPr="00E70A11">
              <w:rPr>
                <w:rFonts w:ascii="Arial Narrow" w:hAnsi="Arial Narrow"/>
                <w:sz w:val="18"/>
                <w:szCs w:val="18"/>
              </w:rPr>
              <w:t xml:space="preserve"> </w:t>
            </w:r>
            <w:hyperlink r:id="rId233" w:history="1">
              <w:r w:rsidRPr="00E70A11">
                <w:rPr>
                  <w:rStyle w:val="Hyperlink"/>
                  <w:rFonts w:ascii="Arial Narrow" w:hAnsi="Arial Narrow"/>
                  <w:sz w:val="18"/>
                  <w:szCs w:val="18"/>
                </w:rPr>
                <w:t>Chapter 4</w:t>
              </w:r>
            </w:hyperlink>
            <w:r w:rsidRPr="00E70A11">
              <w:rPr>
                <w:rFonts w:ascii="Arial Narrow" w:hAnsi="Arial Narrow"/>
                <w:sz w:val="18"/>
                <w:szCs w:val="18"/>
              </w:rPr>
              <w:t xml:space="preserve"> – Scientific Consensus Statement 2017</w:t>
            </w:r>
          </w:p>
          <w:p w14:paraId="5761E5DD" w14:textId="77777777" w:rsidR="00A56EE9" w:rsidRPr="00E70A11" w:rsidRDefault="008B5998" w:rsidP="00A11869">
            <w:pPr>
              <w:pStyle w:val="ListParagraph"/>
              <w:numPr>
                <w:ilvl w:val="0"/>
                <w:numId w:val="247"/>
              </w:numPr>
              <w:spacing w:after="200" w:line="276" w:lineRule="auto"/>
              <w:rPr>
                <w:rFonts w:ascii="Arial Narrow" w:hAnsi="Arial Narrow"/>
                <w:sz w:val="18"/>
                <w:szCs w:val="18"/>
                <w:u w:val="single"/>
              </w:rPr>
            </w:pPr>
            <w:hyperlink r:id="rId234" w:tgtFrame="_blank" w:history="1">
              <w:r w:rsidR="00A56EE9" w:rsidRPr="00E70A11">
                <w:rPr>
                  <w:rStyle w:val="Hyperlink"/>
                  <w:rFonts w:ascii="Arial Narrow" w:hAnsi="Arial Narrow"/>
                  <w:sz w:val="18"/>
                  <w:szCs w:val="18"/>
                </w:rPr>
                <w:t>DRAFT Cumulative impact management</w:t>
              </w:r>
            </w:hyperlink>
          </w:p>
          <w:p w14:paraId="5761E5DE" w14:textId="77777777" w:rsidR="00A56EE9" w:rsidRPr="00E70A11" w:rsidRDefault="008B5998" w:rsidP="00A11869">
            <w:pPr>
              <w:pStyle w:val="ListParagraph"/>
              <w:numPr>
                <w:ilvl w:val="0"/>
                <w:numId w:val="247"/>
              </w:numPr>
              <w:spacing w:after="200" w:line="276" w:lineRule="auto"/>
              <w:rPr>
                <w:rFonts w:ascii="Arial Narrow" w:hAnsi="Arial Narrow"/>
                <w:sz w:val="18"/>
                <w:szCs w:val="18"/>
                <w:u w:val="single"/>
              </w:rPr>
            </w:pPr>
            <w:hyperlink r:id="rId235" w:history="1">
              <w:r w:rsidR="00A56EE9" w:rsidRPr="00E70A11">
                <w:rPr>
                  <w:rStyle w:val="Hyperlink"/>
                  <w:rFonts w:ascii="Arial Narrow" w:hAnsi="Arial Narrow"/>
                  <w:sz w:val="18"/>
                  <w:szCs w:val="18"/>
                </w:rPr>
                <w:t>Reef 2050 Plan Annual Report and implementation Strategy</w:t>
              </w:r>
            </w:hyperlink>
          </w:p>
          <w:p w14:paraId="5761E5DF"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5E0"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E1" w14:textId="77777777" w:rsidR="00A56EE9" w:rsidRPr="00E70A11" w:rsidRDefault="00A56EE9" w:rsidP="00BB6AD5">
            <w:pPr>
              <w:pStyle w:val="Tablebulletlist"/>
              <w:rPr>
                <w:rStyle w:val="BookTitle"/>
              </w:rPr>
            </w:pPr>
            <w:r w:rsidRPr="00E70A11">
              <w:rPr>
                <w:rFonts w:cs="Arial"/>
              </w:rPr>
              <w:t>Improving</w:t>
            </w:r>
          </w:p>
        </w:tc>
      </w:tr>
      <w:tr w:rsidR="00A56EE9" w:rsidRPr="00E70A11" w14:paraId="5761E5E9"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E3" w14:textId="77777777" w:rsidR="00A56EE9" w:rsidRPr="00E70A11" w:rsidRDefault="00A56EE9" w:rsidP="00BB6AD5">
            <w:pPr>
              <w:pStyle w:val="Tablebulletlist"/>
              <w:rPr>
                <w:rStyle w:val="BookTitle"/>
              </w:rPr>
            </w:pPr>
            <w:r w:rsidRPr="00E70A11">
              <w:rPr>
                <w:rStyle w:val="BookTitle"/>
              </w:rPr>
              <w:t>OUTPUTS</w:t>
            </w:r>
          </w:p>
        </w:tc>
        <w:tc>
          <w:tcPr>
            <w:tcW w:w="6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E4" w14:textId="77777777" w:rsidR="00A56EE9" w:rsidRPr="00E70A11" w:rsidRDefault="00A56EE9" w:rsidP="00BB6AD5">
            <w:pPr>
              <w:pStyle w:val="Tablebulletlist"/>
              <w:rPr>
                <w:rStyle w:val="BookTitle"/>
              </w:rPr>
            </w:pPr>
          </w:p>
        </w:tc>
        <w:tc>
          <w:tcPr>
            <w:tcW w:w="511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E5" w14:textId="77777777" w:rsidR="00A56EE9" w:rsidRPr="00E70A11" w:rsidRDefault="00A56EE9" w:rsidP="00BB6AD5">
            <w:pPr>
              <w:pStyle w:val="ListParagraph"/>
              <w:ind w:left="360"/>
              <w:rPr>
                <w:rStyle w:val="BookTitle"/>
                <w:rFonts w:ascii="Arial Narrow" w:hAnsi="Arial Narrow"/>
                <w:sz w:val="18"/>
                <w:szCs w:val="18"/>
              </w:rPr>
            </w:pPr>
          </w:p>
        </w:tc>
        <w:tc>
          <w:tcPr>
            <w:tcW w:w="456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E6" w14:textId="77777777" w:rsidR="00A56EE9" w:rsidRPr="00E70A11" w:rsidRDefault="00A56EE9" w:rsidP="00BB6AD5">
            <w:pPr>
              <w:pStyle w:val="ListParagraph"/>
              <w:ind w:left="360"/>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E7"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5E8" w14:textId="77777777" w:rsidR="00A56EE9" w:rsidRPr="00E70A11" w:rsidRDefault="00A56EE9" w:rsidP="00BB6AD5">
            <w:pPr>
              <w:pStyle w:val="Tablebulletlist"/>
              <w:rPr>
                <w:rStyle w:val="BookTitle"/>
              </w:rPr>
            </w:pPr>
          </w:p>
        </w:tc>
      </w:tr>
      <w:tr w:rsidR="00A56EE9" w:rsidRPr="00E70A11" w14:paraId="5761E5F5"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EA"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coastal development </w:t>
            </w:r>
          </w:p>
        </w:tc>
        <w:tc>
          <w:tcPr>
            <w:tcW w:w="668" w:type="dxa"/>
            <w:tcBorders>
              <w:top w:val="single" w:sz="4" w:space="0" w:color="auto"/>
              <w:left w:val="single" w:sz="4" w:space="0" w:color="auto"/>
              <w:bottom w:val="single" w:sz="4" w:space="0" w:color="auto"/>
              <w:right w:val="single" w:sz="4" w:space="0" w:color="auto"/>
            </w:tcBorders>
          </w:tcPr>
          <w:p w14:paraId="5761E5EB"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EC" w14:textId="77777777" w:rsidR="00A56EE9" w:rsidRPr="00E70A11" w:rsidRDefault="00A56EE9" w:rsidP="00A11869">
            <w:pPr>
              <w:pStyle w:val="ListParagraph"/>
              <w:numPr>
                <w:ilvl w:val="0"/>
                <w:numId w:val="248"/>
              </w:numPr>
              <w:spacing w:after="200" w:line="276" w:lineRule="auto"/>
              <w:rPr>
                <w:rFonts w:ascii="Arial Narrow" w:hAnsi="Arial Narrow"/>
                <w:sz w:val="18"/>
                <w:szCs w:val="18"/>
              </w:rPr>
            </w:pPr>
            <w:r w:rsidRPr="00E70A11">
              <w:rPr>
                <w:rFonts w:ascii="Arial Narrow" w:hAnsi="Arial Narrow"/>
                <w:sz w:val="18"/>
                <w:szCs w:val="18"/>
              </w:rPr>
              <w:t>Reef 2050 WQIP as per Report Cards</w:t>
            </w:r>
          </w:p>
          <w:p w14:paraId="5761E5ED" w14:textId="77777777" w:rsidR="00A56EE9" w:rsidRPr="00E70A11" w:rsidRDefault="00A56EE9" w:rsidP="00A11869">
            <w:pPr>
              <w:pStyle w:val="ListParagraph"/>
              <w:numPr>
                <w:ilvl w:val="0"/>
                <w:numId w:val="248"/>
              </w:numPr>
              <w:spacing w:after="200" w:line="276" w:lineRule="auto"/>
              <w:rPr>
                <w:rFonts w:ascii="Arial Narrow" w:hAnsi="Arial Narrow"/>
                <w:sz w:val="18"/>
                <w:szCs w:val="18"/>
              </w:rPr>
            </w:pPr>
            <w:r w:rsidRPr="00E70A11">
              <w:rPr>
                <w:rFonts w:ascii="Arial Narrow" w:hAnsi="Arial Narrow"/>
                <w:sz w:val="18"/>
                <w:szCs w:val="18"/>
              </w:rPr>
              <w:t>State Planning Policy and supporting material/mapping provides adequate policy and decision support tools to ensure effective management of coastal development</w:t>
            </w:r>
          </w:p>
          <w:p w14:paraId="5761E5EE" w14:textId="77777777" w:rsidR="00A56EE9" w:rsidRPr="00E70A11" w:rsidRDefault="00A56EE9" w:rsidP="00A11869">
            <w:pPr>
              <w:pStyle w:val="ListParagraph"/>
              <w:numPr>
                <w:ilvl w:val="0"/>
                <w:numId w:val="248"/>
              </w:numPr>
              <w:spacing w:after="200" w:line="276" w:lineRule="auto"/>
              <w:rPr>
                <w:rFonts w:ascii="Arial Narrow" w:hAnsi="Arial Narrow"/>
                <w:sz w:val="18"/>
                <w:szCs w:val="18"/>
              </w:rPr>
            </w:pPr>
            <w:r w:rsidRPr="00E70A11">
              <w:rPr>
                <w:rFonts w:ascii="Arial Narrow" w:hAnsi="Arial Narrow"/>
                <w:sz w:val="18"/>
                <w:szCs w:val="18"/>
              </w:rPr>
              <w:t xml:space="preserve">Great Barrier Reef Water Science Taskforce Report and the 2015 Report Card assessment clearly show, progress with water quality load targets is not ‘on-track’ and it is highly likely that most 2018 targets will not be met. </w:t>
            </w:r>
          </w:p>
          <w:p w14:paraId="5761E5EF"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Fonts w:ascii="Arial Narrow" w:hAnsi="Arial Narrow"/>
                <w:sz w:val="18"/>
                <w:szCs w:val="18"/>
              </w:rPr>
              <w:t>There has been progress made towards implementing the 151 actions under the Reef 2050 Plan. The first annual report shows that 19 per cent of the actions are completed or in place and over 65 per cent are underway.</w:t>
            </w:r>
            <w:r w:rsidRPr="00E70A11">
              <w:rPr>
                <w:rFonts w:ascii="Arial Narrow" w:hAnsi="Arial Narrow"/>
                <w:sz w:val="18"/>
                <w:szCs w:val="18"/>
                <w:lang w:val="en"/>
              </w:rPr>
              <w:t> </w:t>
            </w:r>
          </w:p>
        </w:tc>
        <w:tc>
          <w:tcPr>
            <w:tcW w:w="4569" w:type="dxa"/>
            <w:tcBorders>
              <w:top w:val="single" w:sz="4" w:space="0" w:color="auto"/>
              <w:left w:val="single" w:sz="4" w:space="0" w:color="auto"/>
              <w:bottom w:val="single" w:sz="4" w:space="0" w:color="auto"/>
              <w:right w:val="single" w:sz="4" w:space="0" w:color="auto"/>
            </w:tcBorders>
          </w:tcPr>
          <w:p w14:paraId="5761E5F0"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w:t>
            </w:r>
          </w:p>
          <w:p w14:paraId="5761E5F1"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State Planning Policy</w:t>
            </w:r>
          </w:p>
          <w:p w14:paraId="5761E5F2"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Scientific Consensus Statement 2017</w:t>
            </w:r>
          </w:p>
        </w:tc>
        <w:tc>
          <w:tcPr>
            <w:tcW w:w="974" w:type="dxa"/>
            <w:tcBorders>
              <w:top w:val="single" w:sz="4" w:space="0" w:color="auto"/>
              <w:left w:val="single" w:sz="4" w:space="0" w:color="auto"/>
              <w:bottom w:val="single" w:sz="4" w:space="0" w:color="auto"/>
              <w:right w:val="single" w:sz="4" w:space="0" w:color="auto"/>
            </w:tcBorders>
          </w:tcPr>
          <w:p w14:paraId="5761E5F3"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5F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601"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5F6"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coastal development have progressed in accordance with timeframes specified in those documents</w:t>
            </w:r>
          </w:p>
        </w:tc>
        <w:tc>
          <w:tcPr>
            <w:tcW w:w="668" w:type="dxa"/>
            <w:tcBorders>
              <w:top w:val="single" w:sz="4" w:space="0" w:color="auto"/>
              <w:left w:val="single" w:sz="4" w:space="0" w:color="auto"/>
              <w:bottom w:val="single" w:sz="4" w:space="0" w:color="auto"/>
              <w:right w:val="single" w:sz="4" w:space="0" w:color="auto"/>
            </w:tcBorders>
          </w:tcPr>
          <w:p w14:paraId="5761E5F7"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5F8"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E5F9"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w:t>
            </w:r>
          </w:p>
          <w:p w14:paraId="5761E5FA"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State Planning policy</w:t>
            </w:r>
          </w:p>
        </w:tc>
        <w:tc>
          <w:tcPr>
            <w:tcW w:w="4569" w:type="dxa"/>
            <w:tcBorders>
              <w:top w:val="single" w:sz="4" w:space="0" w:color="auto"/>
              <w:left w:val="single" w:sz="4" w:space="0" w:color="auto"/>
              <w:bottom w:val="single" w:sz="4" w:space="0" w:color="auto"/>
              <w:right w:val="single" w:sz="4" w:space="0" w:color="auto"/>
            </w:tcBorders>
          </w:tcPr>
          <w:p w14:paraId="5761E5FB"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E5FC"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w:t>
            </w:r>
          </w:p>
          <w:p w14:paraId="5761E5FD"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State Planning Policy</w:t>
            </w:r>
          </w:p>
          <w:p w14:paraId="5761E5FE" w14:textId="77777777" w:rsidR="00A56EE9" w:rsidRPr="00E70A11" w:rsidRDefault="00A56EE9" w:rsidP="00BB6AD5">
            <w:pPr>
              <w:pStyle w:val="ListParagraph"/>
              <w:ind w:left="360"/>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5FF"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0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608"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602"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coastal development</w:t>
            </w:r>
          </w:p>
        </w:tc>
        <w:tc>
          <w:tcPr>
            <w:tcW w:w="668" w:type="dxa"/>
            <w:tcBorders>
              <w:top w:val="single" w:sz="4" w:space="0" w:color="auto"/>
              <w:left w:val="single" w:sz="4" w:space="0" w:color="auto"/>
              <w:bottom w:val="single" w:sz="4" w:space="0" w:color="auto"/>
              <w:right w:val="single" w:sz="4" w:space="0" w:color="auto"/>
            </w:tcBorders>
          </w:tcPr>
          <w:p w14:paraId="5761E603" w14:textId="77777777" w:rsidR="00A56EE9" w:rsidRPr="00E70A11" w:rsidRDefault="00A56EE9" w:rsidP="00BB6AD5">
            <w:pPr>
              <w:pStyle w:val="Tablebulletlist"/>
              <w:rPr>
                <w:rStyle w:val="BookTitle"/>
              </w:rPr>
            </w:pPr>
            <w:r w:rsidRPr="00E70A11">
              <w:rPr>
                <w:rStyle w:val="BookTitle"/>
              </w:rPr>
              <w:t>2</w:t>
            </w:r>
          </w:p>
        </w:tc>
        <w:tc>
          <w:tcPr>
            <w:tcW w:w="5111" w:type="dxa"/>
            <w:tcBorders>
              <w:top w:val="single" w:sz="4" w:space="0" w:color="auto"/>
              <w:left w:val="single" w:sz="4" w:space="0" w:color="auto"/>
              <w:bottom w:val="single" w:sz="4" w:space="0" w:color="auto"/>
              <w:right w:val="single" w:sz="4" w:space="0" w:color="auto"/>
            </w:tcBorders>
          </w:tcPr>
          <w:p w14:paraId="5761E604"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Fonts w:ascii="Arial Narrow" w:hAnsi="Arial Narrow"/>
                <w:sz w:val="18"/>
                <w:szCs w:val="18"/>
              </w:rPr>
              <w:t xml:space="preserve">Key Great Barrier Reef ecosystems continue to be in poor condition. This is largely due to the collective impact of land run-off associated with past and ongoing catchment development, coastal development activities, extreme weather events and climate change impacts such as the 2016 and 2017 coral bleaching events. </w:t>
            </w:r>
          </w:p>
        </w:tc>
        <w:tc>
          <w:tcPr>
            <w:tcW w:w="4569" w:type="dxa"/>
            <w:tcBorders>
              <w:top w:val="single" w:sz="4" w:space="0" w:color="auto"/>
              <w:left w:val="single" w:sz="4" w:space="0" w:color="auto"/>
              <w:bottom w:val="single" w:sz="4" w:space="0" w:color="auto"/>
              <w:right w:val="single" w:sz="4" w:space="0" w:color="auto"/>
            </w:tcBorders>
          </w:tcPr>
          <w:p w14:paraId="5761E605"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Scientific Consensus Statement 2017.</w:t>
            </w:r>
          </w:p>
        </w:tc>
        <w:tc>
          <w:tcPr>
            <w:tcW w:w="974" w:type="dxa"/>
            <w:tcBorders>
              <w:top w:val="single" w:sz="4" w:space="0" w:color="auto"/>
              <w:left w:val="single" w:sz="4" w:space="0" w:color="auto"/>
              <w:bottom w:val="single" w:sz="4" w:space="0" w:color="auto"/>
              <w:right w:val="single" w:sz="4" w:space="0" w:color="auto"/>
            </w:tcBorders>
          </w:tcPr>
          <w:p w14:paraId="5761E606"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0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614"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609"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coastal development</w:t>
            </w:r>
          </w:p>
        </w:tc>
        <w:tc>
          <w:tcPr>
            <w:tcW w:w="668" w:type="dxa"/>
            <w:tcBorders>
              <w:top w:val="single" w:sz="4" w:space="0" w:color="auto"/>
              <w:left w:val="single" w:sz="4" w:space="0" w:color="auto"/>
              <w:bottom w:val="single" w:sz="4" w:space="0" w:color="auto"/>
              <w:right w:val="single" w:sz="4" w:space="0" w:color="auto"/>
            </w:tcBorders>
          </w:tcPr>
          <w:p w14:paraId="5761E60A"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60B" w14:textId="77777777" w:rsidR="00A56EE9" w:rsidRPr="00E70A11" w:rsidRDefault="00A56EE9" w:rsidP="00A11869">
            <w:pPr>
              <w:pStyle w:val="ListParagraph"/>
              <w:numPr>
                <w:ilvl w:val="0"/>
                <w:numId w:val="248"/>
              </w:numPr>
              <w:spacing w:after="200" w:line="276" w:lineRule="auto"/>
              <w:rPr>
                <w:rFonts w:ascii="Arial Narrow" w:hAnsi="Arial Narrow"/>
                <w:sz w:val="18"/>
                <w:szCs w:val="18"/>
              </w:rPr>
            </w:pPr>
            <w:r w:rsidRPr="00E70A11">
              <w:rPr>
                <w:rFonts w:ascii="Arial Narrow" w:hAnsi="Arial Narrow"/>
                <w:sz w:val="18"/>
                <w:szCs w:val="18"/>
              </w:rPr>
              <w:t>Products and services have been produced in accordance with Reef 2050 WQIP objectives</w:t>
            </w:r>
          </w:p>
          <w:p w14:paraId="5761E60C" w14:textId="77777777" w:rsidR="00A56EE9" w:rsidRPr="00E70A11" w:rsidRDefault="00A56EE9" w:rsidP="00A11869">
            <w:pPr>
              <w:pStyle w:val="ListParagraph"/>
              <w:numPr>
                <w:ilvl w:val="0"/>
                <w:numId w:val="248"/>
              </w:numPr>
              <w:spacing w:after="200" w:line="276" w:lineRule="auto"/>
              <w:rPr>
                <w:rFonts w:ascii="Arial Narrow" w:hAnsi="Arial Narrow"/>
                <w:sz w:val="18"/>
                <w:szCs w:val="18"/>
              </w:rPr>
            </w:pPr>
            <w:r w:rsidRPr="00E70A11">
              <w:rPr>
                <w:rFonts w:ascii="Arial Narrow" w:hAnsi="Arial Narrow"/>
                <w:sz w:val="18"/>
                <w:szCs w:val="18"/>
              </w:rPr>
              <w:t>Associated guidelines and mapping are available for State Planning Policy’</w:t>
            </w:r>
          </w:p>
          <w:p w14:paraId="5761E60D"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Fonts w:ascii="Arial Narrow" w:hAnsi="Arial Narrow"/>
                <w:sz w:val="18"/>
                <w:szCs w:val="18"/>
              </w:rPr>
              <w:t xml:space="preserve">Whole of systems management framework as detailed in the </w:t>
            </w:r>
            <w:hyperlink r:id="rId236" w:history="1">
              <w:r w:rsidRPr="00E70A11">
                <w:rPr>
                  <w:rStyle w:val="Hyperlink"/>
                  <w:rFonts w:ascii="Arial Narrow" w:hAnsi="Arial Narrow"/>
                  <w:sz w:val="18"/>
                  <w:szCs w:val="18"/>
                </w:rPr>
                <w:t>Queensland Wetlands strategy</w:t>
              </w:r>
            </w:hyperlink>
            <w:r w:rsidRPr="00E70A11">
              <w:rPr>
                <w:rFonts w:ascii="Arial Narrow" w:hAnsi="Arial Narrow"/>
                <w:sz w:val="18"/>
                <w:szCs w:val="18"/>
              </w:rPr>
              <w:t xml:space="preserve"> (incorporating the </w:t>
            </w:r>
            <w:hyperlink r:id="rId237" w:history="1">
              <w:r w:rsidRPr="00E70A11">
                <w:rPr>
                  <w:rStyle w:val="Hyperlink"/>
                  <w:rFonts w:ascii="Arial Narrow" w:hAnsi="Arial Narrow"/>
                  <w:sz w:val="18"/>
                  <w:szCs w:val="18"/>
                </w:rPr>
                <w:t>walking the landscape</w:t>
              </w:r>
            </w:hyperlink>
            <w:r w:rsidRPr="00E70A11">
              <w:rPr>
                <w:rFonts w:ascii="Arial Narrow" w:hAnsi="Arial Narrow"/>
                <w:sz w:val="18"/>
                <w:szCs w:val="18"/>
              </w:rPr>
              <w:t xml:space="preserve"> process)</w:t>
            </w:r>
          </w:p>
        </w:tc>
        <w:tc>
          <w:tcPr>
            <w:tcW w:w="4569" w:type="dxa"/>
            <w:tcBorders>
              <w:top w:val="single" w:sz="4" w:space="0" w:color="auto"/>
              <w:left w:val="single" w:sz="4" w:space="0" w:color="auto"/>
              <w:bottom w:val="single" w:sz="4" w:space="0" w:color="auto"/>
              <w:right w:val="single" w:sz="4" w:space="0" w:color="auto"/>
            </w:tcBorders>
          </w:tcPr>
          <w:p w14:paraId="5761E60E"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w:t>
            </w:r>
          </w:p>
          <w:p w14:paraId="5761E60F"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State Planning Policy</w:t>
            </w:r>
          </w:p>
          <w:p w14:paraId="5761E610"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Wetlands Strategy</w:t>
            </w:r>
          </w:p>
          <w:p w14:paraId="5761E611" w14:textId="77777777" w:rsidR="00A56EE9" w:rsidRPr="00E70A11" w:rsidRDefault="00A56EE9" w:rsidP="00A11869">
            <w:pPr>
              <w:pStyle w:val="ListParagraph"/>
              <w:numPr>
                <w:ilvl w:val="0"/>
                <w:numId w:val="24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Walking in the Landscape</w:t>
            </w:r>
          </w:p>
        </w:tc>
        <w:tc>
          <w:tcPr>
            <w:tcW w:w="974" w:type="dxa"/>
            <w:tcBorders>
              <w:top w:val="single" w:sz="4" w:space="0" w:color="auto"/>
              <w:left w:val="single" w:sz="4" w:space="0" w:color="auto"/>
              <w:bottom w:val="single" w:sz="4" w:space="0" w:color="auto"/>
              <w:right w:val="single" w:sz="4" w:space="0" w:color="auto"/>
            </w:tcBorders>
          </w:tcPr>
          <w:p w14:paraId="5761E612"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1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629"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shd w:val="clear" w:color="auto" w:fill="auto"/>
          </w:tcPr>
          <w:p w14:paraId="5761E615"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coastal development are in place within agencies</w:t>
            </w:r>
          </w:p>
        </w:tc>
        <w:tc>
          <w:tcPr>
            <w:tcW w:w="668" w:type="dxa"/>
            <w:tcBorders>
              <w:top w:val="single" w:sz="4" w:space="0" w:color="auto"/>
              <w:left w:val="single" w:sz="4" w:space="0" w:color="auto"/>
              <w:bottom w:val="single" w:sz="4" w:space="0" w:color="auto"/>
              <w:right w:val="single" w:sz="4" w:space="0" w:color="auto"/>
            </w:tcBorders>
          </w:tcPr>
          <w:p w14:paraId="5761E616"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617" w14:textId="77777777" w:rsidR="00A56EE9" w:rsidRPr="00E70A11" w:rsidRDefault="00A56EE9" w:rsidP="00A11869">
            <w:pPr>
              <w:pStyle w:val="ListParagraph"/>
              <w:numPr>
                <w:ilvl w:val="0"/>
                <w:numId w:val="249"/>
              </w:numPr>
              <w:spacing w:after="200" w:line="276" w:lineRule="auto"/>
              <w:rPr>
                <w:rFonts w:ascii="Arial Narrow" w:hAnsi="Arial Narrow"/>
                <w:sz w:val="18"/>
                <w:szCs w:val="18"/>
                <w:lang w:val="en"/>
              </w:rPr>
            </w:pPr>
            <w:r w:rsidRPr="00E70A11">
              <w:rPr>
                <w:rFonts w:ascii="Arial Narrow" w:hAnsi="Arial Narrow"/>
                <w:sz w:val="18"/>
                <w:szCs w:val="18"/>
                <w:lang w:val="en"/>
              </w:rPr>
              <w:t>All Reef 2050 WQIP data is saved on SSIMR database (</w:t>
            </w:r>
            <w:hyperlink r:id="rId238" w:history="1">
              <w:r w:rsidRPr="00E70A11">
                <w:rPr>
                  <w:rStyle w:val="Hyperlink"/>
                  <w:rFonts w:ascii="Arial Narrow" w:hAnsi="Arial Narrow"/>
                  <w:sz w:val="18"/>
                  <w:szCs w:val="18"/>
                  <w:lang w:val="en"/>
                </w:rPr>
                <w:t>DARTS</w:t>
              </w:r>
            </w:hyperlink>
            <w:r w:rsidRPr="00E70A11">
              <w:rPr>
                <w:rFonts w:ascii="Arial Narrow" w:hAnsi="Arial Narrow"/>
                <w:sz w:val="18"/>
                <w:szCs w:val="18"/>
                <w:lang w:val="en"/>
              </w:rPr>
              <w:t>/SKIP)</w:t>
            </w:r>
          </w:p>
          <w:p w14:paraId="5761E618" w14:textId="77777777" w:rsidR="00A56EE9" w:rsidRPr="00E70A11" w:rsidRDefault="00A56EE9" w:rsidP="00A11869">
            <w:pPr>
              <w:pStyle w:val="ListParagraph"/>
              <w:numPr>
                <w:ilvl w:val="0"/>
                <w:numId w:val="249"/>
              </w:numPr>
              <w:spacing w:after="200" w:line="276" w:lineRule="auto"/>
              <w:rPr>
                <w:rFonts w:ascii="Arial Narrow" w:hAnsi="Arial Narrow"/>
                <w:sz w:val="18"/>
                <w:szCs w:val="18"/>
                <w:lang w:val="en"/>
              </w:rPr>
            </w:pPr>
            <w:r w:rsidRPr="00E70A11">
              <w:rPr>
                <w:rFonts w:ascii="Arial Narrow" w:hAnsi="Arial Narrow"/>
                <w:sz w:val="18"/>
                <w:szCs w:val="18"/>
                <w:lang w:val="en"/>
              </w:rPr>
              <w:t>The changes, which are based on two rounds of</w:t>
            </w:r>
            <w:r>
              <w:rPr>
                <w:rFonts w:ascii="Arial Narrow" w:hAnsi="Arial Narrow"/>
                <w:sz w:val="18"/>
                <w:szCs w:val="18"/>
                <w:lang w:val="en"/>
              </w:rPr>
              <w:t xml:space="preserve"> </w:t>
            </w:r>
            <w:r w:rsidRPr="00E70A11">
              <w:rPr>
                <w:rFonts w:ascii="Arial Narrow" w:hAnsi="Arial Narrow"/>
                <w:sz w:val="18"/>
                <w:szCs w:val="18"/>
                <w:lang w:val="en"/>
              </w:rPr>
              <w:t>consultation with permit holders and other key stakeholders, include:</w:t>
            </w:r>
            <w:r>
              <w:rPr>
                <w:rFonts w:ascii="Arial Narrow" w:hAnsi="Arial Narrow"/>
                <w:sz w:val="18"/>
                <w:szCs w:val="18"/>
                <w:lang w:val="en"/>
              </w:rPr>
              <w:t xml:space="preserve"> </w:t>
            </w:r>
          </w:p>
          <w:p w14:paraId="5761E619" w14:textId="77777777" w:rsidR="00A56EE9" w:rsidRPr="00E70A11" w:rsidRDefault="008B5998" w:rsidP="00A11869">
            <w:pPr>
              <w:pStyle w:val="ListParagraph"/>
              <w:numPr>
                <w:ilvl w:val="1"/>
                <w:numId w:val="24"/>
              </w:numPr>
              <w:spacing w:after="200" w:line="276" w:lineRule="auto"/>
              <w:ind w:left="928"/>
              <w:rPr>
                <w:rFonts w:ascii="Arial Narrow" w:hAnsi="Arial Narrow"/>
                <w:sz w:val="18"/>
                <w:szCs w:val="18"/>
                <w:lang w:val="en"/>
              </w:rPr>
            </w:pPr>
            <w:hyperlink r:id="rId239" w:history="1">
              <w:r w:rsidR="00A56EE9" w:rsidRPr="00E70A11">
                <w:rPr>
                  <w:rStyle w:val="Hyperlink"/>
                  <w:rFonts w:ascii="Arial Narrow" w:hAnsi="Arial Narrow"/>
                  <w:sz w:val="18"/>
                  <w:szCs w:val="18"/>
                  <w:lang w:val="en"/>
                </w:rPr>
                <w:t>Permits Online</w:t>
              </w:r>
            </w:hyperlink>
            <w:r w:rsidR="00A56EE9" w:rsidRPr="00E70A11">
              <w:rPr>
                <w:rFonts w:ascii="Arial Narrow" w:hAnsi="Arial Narrow"/>
                <w:sz w:val="18"/>
                <w:szCs w:val="18"/>
                <w:lang w:val="en"/>
              </w:rPr>
              <w:t xml:space="preserve"> - a new online portal to submit applications and manage all permissions and contact details</w:t>
            </w:r>
          </w:p>
          <w:p w14:paraId="5761E61A" w14:textId="77777777" w:rsidR="00A56EE9" w:rsidRPr="00E70A11" w:rsidRDefault="00A56EE9" w:rsidP="00A11869">
            <w:pPr>
              <w:pStyle w:val="ListParagraph"/>
              <w:numPr>
                <w:ilvl w:val="1"/>
                <w:numId w:val="24"/>
              </w:numPr>
              <w:spacing w:after="200" w:line="276" w:lineRule="auto"/>
              <w:ind w:left="928"/>
              <w:rPr>
                <w:rFonts w:ascii="Arial Narrow" w:hAnsi="Arial Narrow"/>
                <w:sz w:val="18"/>
                <w:szCs w:val="18"/>
                <w:lang w:val="en"/>
              </w:rPr>
            </w:pPr>
            <w:r w:rsidRPr="00E70A11">
              <w:rPr>
                <w:rFonts w:ascii="Arial Narrow" w:hAnsi="Arial Narrow"/>
                <w:sz w:val="18"/>
                <w:szCs w:val="18"/>
                <w:lang w:val="en"/>
              </w:rPr>
              <w:t xml:space="preserve">Longer permit terms up to 20 years </w:t>
            </w:r>
          </w:p>
          <w:p w14:paraId="5761E61B" w14:textId="77777777" w:rsidR="00A56EE9" w:rsidRPr="00E70A11" w:rsidRDefault="00A56EE9" w:rsidP="00A11869">
            <w:pPr>
              <w:pStyle w:val="ListParagraph"/>
              <w:numPr>
                <w:ilvl w:val="1"/>
                <w:numId w:val="24"/>
              </w:numPr>
              <w:spacing w:after="200" w:line="276" w:lineRule="auto"/>
              <w:ind w:left="928"/>
              <w:rPr>
                <w:rFonts w:ascii="Arial Narrow" w:hAnsi="Arial Narrow"/>
                <w:sz w:val="18"/>
                <w:szCs w:val="18"/>
                <w:lang w:val="en"/>
              </w:rPr>
            </w:pPr>
            <w:r w:rsidRPr="00E70A11">
              <w:rPr>
                <w:rFonts w:ascii="Arial Narrow" w:hAnsi="Arial Narrow"/>
                <w:sz w:val="18"/>
                <w:szCs w:val="18"/>
                <w:lang w:val="en"/>
              </w:rPr>
              <w:t xml:space="preserve">Improved </w:t>
            </w:r>
            <w:hyperlink r:id="rId240" w:history="1">
              <w:r w:rsidRPr="00E70A11">
                <w:rPr>
                  <w:rStyle w:val="Hyperlink"/>
                  <w:rFonts w:ascii="Arial Narrow" w:hAnsi="Arial Narrow"/>
                  <w:sz w:val="18"/>
                  <w:szCs w:val="18"/>
                  <w:lang w:val="en"/>
                </w:rPr>
                <w:t>assessment guidelines</w:t>
              </w:r>
            </w:hyperlink>
          </w:p>
          <w:p w14:paraId="5761E61C" w14:textId="77777777" w:rsidR="00A56EE9" w:rsidRPr="00E70A11" w:rsidRDefault="00A56EE9" w:rsidP="00A11869">
            <w:pPr>
              <w:pStyle w:val="ListParagraph"/>
              <w:numPr>
                <w:ilvl w:val="1"/>
                <w:numId w:val="24"/>
              </w:numPr>
              <w:spacing w:after="200" w:line="276" w:lineRule="auto"/>
              <w:ind w:left="928"/>
              <w:rPr>
                <w:rFonts w:ascii="Arial Narrow" w:hAnsi="Arial Narrow"/>
                <w:sz w:val="18"/>
                <w:szCs w:val="18"/>
                <w:lang w:val="en"/>
              </w:rPr>
            </w:pPr>
            <w:r w:rsidRPr="00E70A11">
              <w:rPr>
                <w:rFonts w:ascii="Arial Narrow" w:hAnsi="Arial Narrow"/>
                <w:sz w:val="18"/>
                <w:szCs w:val="18"/>
                <w:lang w:val="en"/>
              </w:rPr>
              <w:t xml:space="preserve">A </w:t>
            </w:r>
            <w:hyperlink r:id="rId241" w:history="1">
              <w:r w:rsidRPr="00E70A11">
                <w:rPr>
                  <w:rStyle w:val="Hyperlink"/>
                  <w:rFonts w:ascii="Arial Narrow" w:hAnsi="Arial Narrow"/>
                  <w:sz w:val="18"/>
                  <w:szCs w:val="18"/>
                  <w:lang w:val="en"/>
                </w:rPr>
                <w:t>checklist of information</w:t>
              </w:r>
            </w:hyperlink>
            <w:r w:rsidRPr="00E70A11">
              <w:rPr>
                <w:rFonts w:ascii="Arial Narrow" w:hAnsi="Arial Narrow"/>
                <w:sz w:val="18"/>
                <w:szCs w:val="18"/>
                <w:lang w:val="en"/>
              </w:rPr>
              <w:t xml:space="preserve"> required at the time of application</w:t>
            </w:r>
          </w:p>
          <w:p w14:paraId="5761E61D" w14:textId="77777777" w:rsidR="00A56EE9" w:rsidRPr="00E70A11" w:rsidRDefault="00A56EE9" w:rsidP="00A11869">
            <w:pPr>
              <w:pStyle w:val="ListParagraph"/>
              <w:numPr>
                <w:ilvl w:val="1"/>
                <w:numId w:val="24"/>
              </w:numPr>
              <w:spacing w:after="200" w:line="276" w:lineRule="auto"/>
              <w:ind w:left="928"/>
              <w:rPr>
                <w:rFonts w:ascii="Arial Narrow" w:hAnsi="Arial Narrow"/>
                <w:sz w:val="18"/>
                <w:szCs w:val="18"/>
                <w:lang w:val="en"/>
              </w:rPr>
            </w:pPr>
            <w:r w:rsidRPr="00E70A11">
              <w:rPr>
                <w:rFonts w:ascii="Arial Narrow" w:hAnsi="Arial Narrow"/>
                <w:sz w:val="18"/>
                <w:szCs w:val="18"/>
                <w:lang w:val="en"/>
              </w:rPr>
              <w:t xml:space="preserve">Updated </w:t>
            </w:r>
            <w:hyperlink r:id="rId242" w:history="1">
              <w:r w:rsidRPr="00E70A11">
                <w:rPr>
                  <w:rStyle w:val="Hyperlink"/>
                  <w:rFonts w:ascii="Arial Narrow" w:hAnsi="Arial Narrow"/>
                  <w:sz w:val="18"/>
                  <w:szCs w:val="18"/>
                  <w:lang w:val="en"/>
                </w:rPr>
                <w:t>permission system policy</w:t>
              </w:r>
            </w:hyperlink>
            <w:r w:rsidRPr="00E70A11">
              <w:rPr>
                <w:rFonts w:ascii="Arial Narrow" w:hAnsi="Arial Narrow"/>
                <w:sz w:val="18"/>
                <w:szCs w:val="18"/>
                <w:lang w:val="en"/>
              </w:rPr>
              <w:t xml:space="preserve"> and </w:t>
            </w:r>
            <w:hyperlink r:id="rId243" w:history="1">
              <w:r w:rsidRPr="00E70A11">
                <w:rPr>
                  <w:rStyle w:val="Hyperlink"/>
                  <w:rFonts w:ascii="Arial Narrow" w:hAnsi="Arial Narrow"/>
                  <w:sz w:val="18"/>
                  <w:szCs w:val="18"/>
                  <w:lang w:val="en"/>
                </w:rPr>
                <w:t>new guidance documents</w:t>
              </w:r>
            </w:hyperlink>
            <w:r w:rsidRPr="00E70A11">
              <w:rPr>
                <w:rFonts w:ascii="Arial Narrow" w:hAnsi="Arial Narrow"/>
                <w:sz w:val="18"/>
                <w:szCs w:val="18"/>
                <w:lang w:val="en"/>
              </w:rPr>
              <w:t>.</w:t>
            </w:r>
          </w:p>
          <w:p w14:paraId="5761E61E" w14:textId="77777777" w:rsidR="00A56EE9" w:rsidRPr="00E70A11" w:rsidRDefault="00A56EE9" w:rsidP="00A11869">
            <w:pPr>
              <w:pStyle w:val="ListParagraph"/>
              <w:numPr>
                <w:ilvl w:val="1"/>
                <w:numId w:val="24"/>
              </w:numPr>
              <w:spacing w:after="200" w:line="276" w:lineRule="auto"/>
              <w:ind w:left="928"/>
              <w:rPr>
                <w:rFonts w:ascii="Arial Narrow" w:hAnsi="Arial Narrow"/>
                <w:sz w:val="18"/>
                <w:szCs w:val="18"/>
                <w:lang w:val="en"/>
              </w:rPr>
            </w:pPr>
            <w:r w:rsidRPr="00E70A11">
              <w:rPr>
                <w:rFonts w:ascii="Arial Narrow" w:hAnsi="Arial Narrow"/>
                <w:sz w:val="18"/>
                <w:szCs w:val="18"/>
                <w:lang w:val="en"/>
              </w:rPr>
              <w:t>GBRMPA spatial data center</w:t>
            </w:r>
          </w:p>
          <w:p w14:paraId="5761E61F" w14:textId="77777777" w:rsidR="00A56EE9" w:rsidRPr="00E70A11" w:rsidRDefault="008B5998" w:rsidP="00A11869">
            <w:pPr>
              <w:pStyle w:val="ListParagraph"/>
              <w:numPr>
                <w:ilvl w:val="1"/>
                <w:numId w:val="24"/>
              </w:numPr>
              <w:spacing w:after="200" w:line="276" w:lineRule="auto"/>
              <w:ind w:left="928"/>
              <w:rPr>
                <w:rFonts w:ascii="Arial Narrow" w:hAnsi="Arial Narrow"/>
                <w:sz w:val="18"/>
                <w:szCs w:val="18"/>
                <w:lang w:val="en"/>
              </w:rPr>
            </w:pPr>
            <w:hyperlink r:id="rId244" w:history="1">
              <w:r w:rsidR="00A56EE9" w:rsidRPr="00E70A11">
                <w:rPr>
                  <w:rStyle w:val="Hyperlink"/>
                  <w:rFonts w:ascii="Arial Narrow" w:hAnsi="Arial Narrow"/>
                  <w:sz w:val="18"/>
                  <w:szCs w:val="18"/>
                  <w:lang w:val="en"/>
                </w:rPr>
                <w:t>Queensland Wetlands Mapping</w:t>
              </w:r>
            </w:hyperlink>
          </w:p>
          <w:p w14:paraId="5761E620" w14:textId="77777777" w:rsidR="00A56EE9" w:rsidRPr="00E70A11" w:rsidRDefault="008B5998" w:rsidP="00A11869">
            <w:pPr>
              <w:pStyle w:val="ListParagraph"/>
              <w:numPr>
                <w:ilvl w:val="1"/>
                <w:numId w:val="24"/>
              </w:numPr>
              <w:spacing w:after="200" w:line="276" w:lineRule="auto"/>
              <w:ind w:left="928"/>
              <w:rPr>
                <w:rStyle w:val="BookTitle"/>
                <w:rFonts w:ascii="Arial Narrow" w:hAnsi="Arial Narrow"/>
                <w:sz w:val="18"/>
                <w:szCs w:val="18"/>
                <w:lang w:val="en"/>
              </w:rPr>
            </w:pPr>
            <w:hyperlink r:id="rId245" w:history="1">
              <w:r w:rsidR="00A56EE9" w:rsidRPr="00E70A11">
                <w:rPr>
                  <w:rStyle w:val="Hyperlink"/>
                  <w:rFonts w:ascii="Arial Narrow" w:hAnsi="Arial Narrow"/>
                  <w:sz w:val="18"/>
                  <w:szCs w:val="18"/>
                  <w:lang w:val="en"/>
                </w:rPr>
                <w:t>Land use summary data</w:t>
              </w:r>
            </w:hyperlink>
          </w:p>
        </w:tc>
        <w:tc>
          <w:tcPr>
            <w:tcW w:w="4569" w:type="dxa"/>
            <w:tcBorders>
              <w:top w:val="single" w:sz="4" w:space="0" w:color="auto"/>
              <w:left w:val="single" w:sz="4" w:space="0" w:color="auto"/>
              <w:bottom w:val="single" w:sz="4" w:space="0" w:color="auto"/>
              <w:right w:val="single" w:sz="4" w:space="0" w:color="auto"/>
            </w:tcBorders>
          </w:tcPr>
          <w:p w14:paraId="5761E621" w14:textId="77777777" w:rsidR="00A56EE9" w:rsidRPr="00E70A11" w:rsidRDefault="008B5998" w:rsidP="00A11869">
            <w:pPr>
              <w:pStyle w:val="ListParagraph"/>
              <w:numPr>
                <w:ilvl w:val="1"/>
                <w:numId w:val="251"/>
              </w:numPr>
              <w:spacing w:after="200" w:line="276" w:lineRule="auto"/>
              <w:ind w:left="718"/>
              <w:rPr>
                <w:rFonts w:ascii="Arial Narrow" w:hAnsi="Arial Narrow"/>
                <w:sz w:val="18"/>
                <w:szCs w:val="18"/>
              </w:rPr>
            </w:pPr>
            <w:hyperlink r:id="rId246" w:history="1">
              <w:r w:rsidR="00A56EE9" w:rsidRPr="00E70A11">
                <w:rPr>
                  <w:rStyle w:val="Hyperlink"/>
                  <w:rFonts w:ascii="Arial Narrow" w:hAnsi="Arial Narrow"/>
                  <w:sz w:val="18"/>
                  <w:szCs w:val="18"/>
                </w:rPr>
                <w:t>AIMS eAtlas</w:t>
              </w:r>
            </w:hyperlink>
          </w:p>
          <w:p w14:paraId="5761E622" w14:textId="77777777" w:rsidR="00A56EE9" w:rsidRPr="00E70A11" w:rsidRDefault="008B5998" w:rsidP="00A11869">
            <w:pPr>
              <w:pStyle w:val="ListParagraph"/>
              <w:numPr>
                <w:ilvl w:val="1"/>
                <w:numId w:val="251"/>
              </w:numPr>
              <w:spacing w:after="200" w:line="276" w:lineRule="auto"/>
              <w:ind w:left="718"/>
              <w:rPr>
                <w:rFonts w:ascii="Arial Narrow" w:hAnsi="Arial Narrow"/>
                <w:sz w:val="18"/>
                <w:szCs w:val="18"/>
              </w:rPr>
            </w:pPr>
            <w:hyperlink r:id="rId247" w:history="1">
              <w:r w:rsidR="00A56EE9" w:rsidRPr="00E70A11">
                <w:rPr>
                  <w:rStyle w:val="Hyperlink"/>
                  <w:rFonts w:ascii="Arial Narrow" w:hAnsi="Arial Narrow"/>
                  <w:sz w:val="18"/>
                  <w:szCs w:val="18"/>
                </w:rPr>
                <w:t>SSIMR</w:t>
              </w:r>
            </w:hyperlink>
          </w:p>
          <w:p w14:paraId="5761E623" w14:textId="77777777" w:rsidR="00A56EE9" w:rsidRPr="00E70A11" w:rsidRDefault="008B5998" w:rsidP="00A11869">
            <w:pPr>
              <w:pStyle w:val="ListParagraph"/>
              <w:numPr>
                <w:ilvl w:val="1"/>
                <w:numId w:val="251"/>
              </w:numPr>
              <w:spacing w:after="200" w:line="276" w:lineRule="auto"/>
              <w:ind w:left="718"/>
              <w:rPr>
                <w:rFonts w:ascii="Arial Narrow" w:hAnsi="Arial Narrow"/>
                <w:sz w:val="18"/>
                <w:szCs w:val="18"/>
                <w:u w:val="single"/>
              </w:rPr>
            </w:pPr>
            <w:hyperlink r:id="rId248" w:history="1">
              <w:r w:rsidR="00A56EE9" w:rsidRPr="00E70A11">
                <w:rPr>
                  <w:rStyle w:val="Hyperlink"/>
                  <w:rFonts w:ascii="Arial Narrow" w:hAnsi="Arial Narrow"/>
                  <w:sz w:val="18"/>
                  <w:szCs w:val="18"/>
                </w:rPr>
                <w:t>Reef 2050 Integrated Monitoring and Reporting Program</w:t>
              </w:r>
            </w:hyperlink>
          </w:p>
          <w:p w14:paraId="5761E624" w14:textId="77777777" w:rsidR="00A56EE9" w:rsidRPr="00E70A11" w:rsidRDefault="008B5998" w:rsidP="00A11869">
            <w:pPr>
              <w:pStyle w:val="ListParagraph"/>
              <w:numPr>
                <w:ilvl w:val="1"/>
                <w:numId w:val="251"/>
              </w:numPr>
              <w:spacing w:after="200" w:line="276" w:lineRule="auto"/>
              <w:ind w:left="718"/>
              <w:rPr>
                <w:rFonts w:ascii="Arial Narrow" w:hAnsi="Arial Narrow"/>
                <w:sz w:val="18"/>
                <w:szCs w:val="18"/>
              </w:rPr>
            </w:pPr>
            <w:hyperlink r:id="rId249" w:history="1">
              <w:r w:rsidR="00A56EE9" w:rsidRPr="00E70A11">
                <w:rPr>
                  <w:rStyle w:val="Hyperlink"/>
                  <w:rFonts w:ascii="Arial Narrow" w:hAnsi="Arial Narrow"/>
                  <w:sz w:val="18"/>
                  <w:szCs w:val="18"/>
                </w:rPr>
                <w:t>Queensland Wetlands Mapping</w:t>
              </w:r>
            </w:hyperlink>
          </w:p>
          <w:p w14:paraId="5761E625" w14:textId="77777777" w:rsidR="00A56EE9" w:rsidRPr="00E70A11" w:rsidRDefault="008B5998" w:rsidP="00A11869">
            <w:pPr>
              <w:pStyle w:val="ListParagraph"/>
              <w:numPr>
                <w:ilvl w:val="1"/>
                <w:numId w:val="251"/>
              </w:numPr>
              <w:spacing w:after="200" w:line="276" w:lineRule="auto"/>
              <w:ind w:left="718"/>
              <w:rPr>
                <w:rFonts w:ascii="Arial Narrow" w:hAnsi="Arial Narrow"/>
                <w:sz w:val="18"/>
                <w:szCs w:val="18"/>
              </w:rPr>
            </w:pPr>
            <w:hyperlink r:id="rId250" w:history="1">
              <w:r w:rsidR="00A56EE9" w:rsidRPr="00E70A11">
                <w:rPr>
                  <w:rStyle w:val="Hyperlink"/>
                  <w:rFonts w:ascii="Arial Narrow" w:hAnsi="Arial Narrow"/>
                  <w:sz w:val="18"/>
                  <w:szCs w:val="18"/>
                </w:rPr>
                <w:t>Land use summary data</w:t>
              </w:r>
            </w:hyperlink>
          </w:p>
          <w:p w14:paraId="5761E626" w14:textId="77777777" w:rsidR="00A56EE9" w:rsidRPr="00E70A11" w:rsidRDefault="008B5998" w:rsidP="00A11869">
            <w:pPr>
              <w:pStyle w:val="ListParagraph"/>
              <w:numPr>
                <w:ilvl w:val="1"/>
                <w:numId w:val="251"/>
              </w:numPr>
              <w:spacing w:after="200" w:line="276" w:lineRule="auto"/>
              <w:ind w:left="718"/>
              <w:rPr>
                <w:rStyle w:val="BookTitle"/>
                <w:rFonts w:ascii="Arial Narrow" w:hAnsi="Arial Narrow"/>
                <w:sz w:val="18"/>
                <w:szCs w:val="18"/>
              </w:rPr>
            </w:pPr>
            <w:hyperlink r:id="rId251" w:history="1">
              <w:r w:rsidR="00A56EE9" w:rsidRPr="00E70A11">
                <w:rPr>
                  <w:rStyle w:val="Hyperlink"/>
                  <w:rFonts w:ascii="Arial Narrow" w:hAnsi="Arial Narrow"/>
                  <w:sz w:val="18"/>
                  <w:szCs w:val="18"/>
                </w:rPr>
                <w:t>Queensland Herbarium vegetation data</w:t>
              </w:r>
            </w:hyperlink>
          </w:p>
        </w:tc>
        <w:tc>
          <w:tcPr>
            <w:tcW w:w="974" w:type="dxa"/>
            <w:tcBorders>
              <w:top w:val="single" w:sz="4" w:space="0" w:color="auto"/>
              <w:left w:val="single" w:sz="4" w:space="0" w:color="auto"/>
              <w:bottom w:val="single" w:sz="4" w:space="0" w:color="auto"/>
              <w:right w:val="single" w:sz="4" w:space="0" w:color="auto"/>
            </w:tcBorders>
          </w:tcPr>
          <w:p w14:paraId="5761E627"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2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633"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62A"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coastal development with the community</w:t>
            </w:r>
          </w:p>
        </w:tc>
        <w:tc>
          <w:tcPr>
            <w:tcW w:w="668" w:type="dxa"/>
            <w:tcBorders>
              <w:top w:val="single" w:sz="4" w:space="0" w:color="auto"/>
              <w:left w:val="single" w:sz="4" w:space="0" w:color="auto"/>
              <w:bottom w:val="single" w:sz="4" w:space="0" w:color="auto"/>
              <w:right w:val="single" w:sz="4" w:space="0" w:color="auto"/>
            </w:tcBorders>
          </w:tcPr>
          <w:p w14:paraId="5761E62B"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62C" w14:textId="77777777" w:rsidR="00A56EE9" w:rsidRPr="00E70A11" w:rsidRDefault="00A56EE9" w:rsidP="00A11869">
            <w:pPr>
              <w:pStyle w:val="ListParagraph"/>
              <w:numPr>
                <w:ilvl w:val="0"/>
                <w:numId w:val="250"/>
              </w:numPr>
              <w:spacing w:after="200" w:line="276" w:lineRule="auto"/>
              <w:rPr>
                <w:rFonts w:ascii="Arial Narrow" w:hAnsi="Arial Narrow"/>
                <w:sz w:val="18"/>
                <w:szCs w:val="18"/>
              </w:rPr>
            </w:pPr>
            <w:r w:rsidRPr="00E70A11">
              <w:rPr>
                <w:rFonts w:ascii="Arial Narrow" w:hAnsi="Arial Narrow"/>
                <w:sz w:val="18"/>
                <w:szCs w:val="18"/>
              </w:rPr>
              <w:t>Paddock to Reef Monitoring Program and the Reef 2050 WQIP Report Card are designed to be user friendly</w:t>
            </w:r>
          </w:p>
          <w:p w14:paraId="5761E62D" w14:textId="77777777" w:rsidR="00A56EE9" w:rsidRPr="00E70A11" w:rsidRDefault="00A56EE9" w:rsidP="00A11869">
            <w:pPr>
              <w:pStyle w:val="ListParagraph"/>
              <w:numPr>
                <w:ilvl w:val="0"/>
                <w:numId w:val="250"/>
              </w:numPr>
              <w:spacing w:after="200" w:line="276" w:lineRule="auto"/>
              <w:rPr>
                <w:rStyle w:val="BookTitle"/>
                <w:rFonts w:ascii="Arial Narrow" w:hAnsi="Arial Narrow"/>
                <w:sz w:val="18"/>
                <w:szCs w:val="18"/>
              </w:rPr>
            </w:pPr>
            <w:r w:rsidRPr="00E70A11">
              <w:rPr>
                <w:rFonts w:ascii="Arial Narrow" w:hAnsi="Arial Narrow"/>
                <w:sz w:val="18"/>
                <w:szCs w:val="18"/>
              </w:rPr>
              <w:t>Wetlandinfo is a central repository for catchment related information including wetlands, groundwater dependant ecosystems, policy, projects and conceptual models. Story maps show the ‘whole of systems’ understanding developed by the Queensland Wetlands Programme</w:t>
            </w:r>
          </w:p>
        </w:tc>
        <w:tc>
          <w:tcPr>
            <w:tcW w:w="4569" w:type="dxa"/>
            <w:tcBorders>
              <w:top w:val="single" w:sz="4" w:space="0" w:color="auto"/>
              <w:left w:val="single" w:sz="4" w:space="0" w:color="auto"/>
              <w:bottom w:val="single" w:sz="4" w:space="0" w:color="auto"/>
              <w:right w:val="single" w:sz="4" w:space="0" w:color="auto"/>
            </w:tcBorders>
          </w:tcPr>
          <w:p w14:paraId="5761E62E" w14:textId="77777777" w:rsidR="00A56EE9" w:rsidRPr="00E70A11" w:rsidRDefault="008B5998" w:rsidP="00A11869">
            <w:pPr>
              <w:pStyle w:val="ListParagraph"/>
              <w:numPr>
                <w:ilvl w:val="0"/>
                <w:numId w:val="250"/>
              </w:numPr>
              <w:spacing w:after="200" w:line="276" w:lineRule="auto"/>
              <w:rPr>
                <w:rFonts w:ascii="Arial Narrow" w:hAnsi="Arial Narrow"/>
                <w:sz w:val="18"/>
                <w:szCs w:val="18"/>
                <w:u w:val="single"/>
              </w:rPr>
            </w:pPr>
            <w:hyperlink r:id="rId252" w:history="1">
              <w:r w:rsidR="00A56EE9" w:rsidRPr="00E70A11">
                <w:rPr>
                  <w:rStyle w:val="Hyperlink"/>
                  <w:rFonts w:ascii="Arial Narrow" w:hAnsi="Arial Narrow"/>
                  <w:sz w:val="18"/>
                  <w:szCs w:val="18"/>
                </w:rPr>
                <w:t>Reef 2050 WQIP</w:t>
              </w:r>
            </w:hyperlink>
            <w:r w:rsidR="00A56EE9" w:rsidRPr="00E70A11">
              <w:rPr>
                <w:rFonts w:ascii="Arial Narrow" w:hAnsi="Arial Narrow"/>
                <w:sz w:val="18"/>
                <w:szCs w:val="18"/>
              </w:rPr>
              <w:t xml:space="preserve"> </w:t>
            </w:r>
          </w:p>
          <w:p w14:paraId="5761E62F" w14:textId="77777777" w:rsidR="00A56EE9" w:rsidRPr="00E70A11" w:rsidRDefault="00A56EE9" w:rsidP="00A11869">
            <w:pPr>
              <w:pStyle w:val="ListParagraph"/>
              <w:numPr>
                <w:ilvl w:val="0"/>
                <w:numId w:val="250"/>
              </w:numPr>
              <w:spacing w:after="200" w:line="276" w:lineRule="auto"/>
              <w:rPr>
                <w:rFonts w:ascii="Arial Narrow" w:hAnsi="Arial Narrow"/>
                <w:sz w:val="18"/>
                <w:szCs w:val="18"/>
                <w:u w:val="single"/>
              </w:rPr>
            </w:pPr>
            <w:r w:rsidRPr="00E70A11">
              <w:rPr>
                <w:rFonts w:ascii="Arial Narrow" w:hAnsi="Arial Narrow"/>
                <w:sz w:val="18"/>
                <w:szCs w:val="18"/>
              </w:rPr>
              <w:t xml:space="preserve"> </w:t>
            </w:r>
            <w:hyperlink r:id="rId253" w:history="1">
              <w:r w:rsidRPr="00E70A11">
                <w:rPr>
                  <w:rStyle w:val="Hyperlink"/>
                  <w:rFonts w:ascii="Arial Narrow" w:hAnsi="Arial Narrow"/>
                  <w:sz w:val="18"/>
                  <w:szCs w:val="18"/>
                </w:rPr>
                <w:t>Reef 2050 WQIP Report Cards</w:t>
              </w:r>
            </w:hyperlink>
          </w:p>
          <w:p w14:paraId="5761E630" w14:textId="77777777" w:rsidR="00A56EE9" w:rsidRPr="00E70A11" w:rsidRDefault="008B5998" w:rsidP="00A11869">
            <w:pPr>
              <w:pStyle w:val="ListParagraph"/>
              <w:numPr>
                <w:ilvl w:val="0"/>
                <w:numId w:val="250"/>
              </w:numPr>
              <w:spacing w:after="200" w:line="276" w:lineRule="auto"/>
              <w:rPr>
                <w:rStyle w:val="BookTitle"/>
                <w:rFonts w:ascii="Arial Narrow" w:hAnsi="Arial Narrow"/>
                <w:sz w:val="18"/>
                <w:szCs w:val="18"/>
              </w:rPr>
            </w:pPr>
            <w:hyperlink r:id="rId254" w:history="1">
              <w:r w:rsidR="00A56EE9" w:rsidRPr="00E70A11">
                <w:rPr>
                  <w:rStyle w:val="Hyperlink"/>
                  <w:rFonts w:ascii="Arial Narrow" w:hAnsi="Arial Narrow"/>
                  <w:sz w:val="18"/>
                  <w:szCs w:val="18"/>
                </w:rPr>
                <w:t>Wetland</w:t>
              </w:r>
              <w:r w:rsidR="00A56EE9" w:rsidRPr="00E70A11">
                <w:rPr>
                  <w:rStyle w:val="Hyperlink"/>
                  <w:rFonts w:ascii="Arial Narrow" w:hAnsi="Arial Narrow"/>
                  <w:i/>
                  <w:sz w:val="18"/>
                  <w:szCs w:val="18"/>
                </w:rPr>
                <w:t>info</w:t>
              </w:r>
            </w:hyperlink>
          </w:p>
        </w:tc>
        <w:tc>
          <w:tcPr>
            <w:tcW w:w="974" w:type="dxa"/>
            <w:tcBorders>
              <w:top w:val="single" w:sz="4" w:space="0" w:color="auto"/>
              <w:left w:val="single" w:sz="4" w:space="0" w:color="auto"/>
              <w:bottom w:val="single" w:sz="4" w:space="0" w:color="auto"/>
              <w:right w:val="single" w:sz="4" w:space="0" w:color="auto"/>
            </w:tcBorders>
          </w:tcPr>
          <w:p w14:paraId="5761E631"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32" w14:textId="52907D88" w:rsidR="00A56EE9" w:rsidRPr="00E70A11" w:rsidRDefault="00B10631" w:rsidP="00BB6AD5">
            <w:pPr>
              <w:pStyle w:val="Tablebulletlist"/>
              <w:rPr>
                <w:rStyle w:val="BookTitle"/>
              </w:rPr>
            </w:pPr>
            <w:r>
              <w:rPr>
                <w:rStyle w:val="BookTitle"/>
              </w:rPr>
              <w:t>Stable</w:t>
            </w:r>
          </w:p>
        </w:tc>
      </w:tr>
      <w:tr w:rsidR="00A56EE9" w:rsidRPr="00E70A11" w14:paraId="5761E63A"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34" w14:textId="77777777" w:rsidR="00A56EE9" w:rsidRPr="00E70A11" w:rsidRDefault="00A56EE9" w:rsidP="00BB6AD5">
            <w:pPr>
              <w:pStyle w:val="Tablebulletlist"/>
              <w:rPr>
                <w:rStyle w:val="BookTitle"/>
              </w:rPr>
            </w:pPr>
            <w:r w:rsidRPr="00E70A11">
              <w:rPr>
                <w:rStyle w:val="BookTitle"/>
              </w:rPr>
              <w:t>OUTCOMES</w:t>
            </w:r>
          </w:p>
        </w:tc>
        <w:tc>
          <w:tcPr>
            <w:tcW w:w="6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35" w14:textId="77777777" w:rsidR="00A56EE9" w:rsidRPr="00E70A11" w:rsidRDefault="00A56EE9" w:rsidP="00BB6AD5">
            <w:pPr>
              <w:pStyle w:val="Tablebulletlist"/>
              <w:rPr>
                <w:rStyle w:val="BookTitle"/>
              </w:rPr>
            </w:pPr>
          </w:p>
        </w:tc>
        <w:tc>
          <w:tcPr>
            <w:tcW w:w="511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36" w14:textId="77777777" w:rsidR="00A56EE9" w:rsidRPr="00E70A11" w:rsidRDefault="00A56EE9" w:rsidP="00BB6AD5">
            <w:pPr>
              <w:pStyle w:val="ListParagraph"/>
              <w:ind w:left="360"/>
              <w:rPr>
                <w:rStyle w:val="BookTitle"/>
                <w:rFonts w:ascii="Arial Narrow" w:hAnsi="Arial Narrow"/>
                <w:sz w:val="18"/>
                <w:szCs w:val="18"/>
              </w:rPr>
            </w:pPr>
          </w:p>
        </w:tc>
        <w:tc>
          <w:tcPr>
            <w:tcW w:w="456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37" w14:textId="77777777" w:rsidR="00A56EE9" w:rsidRPr="00E70A11" w:rsidRDefault="00A56EE9" w:rsidP="00BB6AD5">
            <w:pPr>
              <w:pStyle w:val="ListParagraph"/>
              <w:ind w:left="360"/>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38"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39" w14:textId="77777777" w:rsidR="00A56EE9" w:rsidRPr="00E70A11" w:rsidRDefault="00A56EE9" w:rsidP="00BB6AD5">
            <w:pPr>
              <w:pStyle w:val="Tablebulletlist"/>
              <w:rPr>
                <w:rStyle w:val="BookTitle"/>
              </w:rPr>
            </w:pPr>
          </w:p>
        </w:tc>
      </w:tr>
      <w:tr w:rsidR="00A56EE9" w:rsidRPr="00E70A11" w14:paraId="5761E645"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63B"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coastal development and moving towards the attainment of the desired outcomes.</w:t>
            </w:r>
          </w:p>
        </w:tc>
        <w:tc>
          <w:tcPr>
            <w:tcW w:w="668" w:type="dxa"/>
            <w:tcBorders>
              <w:top w:val="single" w:sz="4" w:space="0" w:color="auto"/>
              <w:left w:val="single" w:sz="4" w:space="0" w:color="auto"/>
              <w:bottom w:val="single" w:sz="4" w:space="0" w:color="auto"/>
              <w:right w:val="single" w:sz="4" w:space="0" w:color="auto"/>
            </w:tcBorders>
          </w:tcPr>
          <w:p w14:paraId="5761E63C"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63D" w14:textId="77777777" w:rsidR="00A56EE9" w:rsidRPr="00E70A11" w:rsidRDefault="00A56EE9" w:rsidP="00A11869">
            <w:pPr>
              <w:pStyle w:val="ListParagraph"/>
              <w:numPr>
                <w:ilvl w:val="0"/>
                <w:numId w:val="252"/>
              </w:numPr>
              <w:spacing w:after="200" w:line="276" w:lineRule="auto"/>
              <w:rPr>
                <w:rFonts w:ascii="Arial Narrow" w:hAnsi="Arial Narrow"/>
                <w:sz w:val="18"/>
                <w:szCs w:val="18"/>
              </w:rPr>
            </w:pPr>
            <w:r w:rsidRPr="00E70A11">
              <w:rPr>
                <w:rFonts w:ascii="Arial Narrow" w:hAnsi="Arial Narrow"/>
                <w:sz w:val="18"/>
                <w:szCs w:val="18"/>
              </w:rPr>
              <w:t>Reef 2050 WQIP as per Report Cards</w:t>
            </w:r>
          </w:p>
          <w:p w14:paraId="5761E63E" w14:textId="77777777" w:rsidR="00A56EE9" w:rsidRPr="00E70A11" w:rsidRDefault="00A56EE9" w:rsidP="00A11869">
            <w:pPr>
              <w:pStyle w:val="ListParagraph"/>
              <w:numPr>
                <w:ilvl w:val="0"/>
                <w:numId w:val="252"/>
              </w:numPr>
              <w:spacing w:after="200" w:line="276" w:lineRule="auto"/>
              <w:rPr>
                <w:rFonts w:ascii="Arial Narrow" w:hAnsi="Arial Narrow"/>
                <w:sz w:val="18"/>
                <w:szCs w:val="18"/>
              </w:rPr>
            </w:pPr>
            <w:r w:rsidRPr="00E70A11">
              <w:rPr>
                <w:rFonts w:ascii="Arial Narrow" w:hAnsi="Arial Narrow"/>
                <w:sz w:val="18"/>
                <w:szCs w:val="18"/>
              </w:rPr>
              <w:t>State Planning Policy and supporting material/mapping provides adequate policy and decision support tools to ensure effective management of coastal development</w:t>
            </w:r>
          </w:p>
          <w:p w14:paraId="5761E63F" w14:textId="77777777" w:rsidR="00A56EE9" w:rsidRPr="00E70A11" w:rsidRDefault="00A56EE9" w:rsidP="00BB6AD5">
            <w:pPr>
              <w:pStyle w:val="ListParagraph"/>
              <w:rPr>
                <w:rStyle w:val="BookTitle"/>
                <w:rFonts w:ascii="Arial Narrow" w:hAnsi="Arial Narrow"/>
                <w:sz w:val="18"/>
                <w:szCs w:val="18"/>
              </w:rPr>
            </w:pPr>
          </w:p>
        </w:tc>
        <w:tc>
          <w:tcPr>
            <w:tcW w:w="4569" w:type="dxa"/>
            <w:tcBorders>
              <w:top w:val="single" w:sz="4" w:space="0" w:color="auto"/>
              <w:left w:val="single" w:sz="4" w:space="0" w:color="auto"/>
              <w:bottom w:val="single" w:sz="4" w:space="0" w:color="auto"/>
              <w:right w:val="single" w:sz="4" w:space="0" w:color="auto"/>
            </w:tcBorders>
          </w:tcPr>
          <w:p w14:paraId="5761E640"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w:t>
            </w:r>
          </w:p>
          <w:p w14:paraId="5761E641"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State Planning Policy</w:t>
            </w:r>
          </w:p>
          <w:p w14:paraId="5761E642"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643"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4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64F"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646"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coastal development are on track to ensure the values of the Great Barrier Reef are protected (refer CO1)</w:t>
            </w:r>
          </w:p>
        </w:tc>
        <w:tc>
          <w:tcPr>
            <w:tcW w:w="668" w:type="dxa"/>
            <w:tcBorders>
              <w:top w:val="single" w:sz="4" w:space="0" w:color="auto"/>
              <w:left w:val="single" w:sz="4" w:space="0" w:color="auto"/>
              <w:bottom w:val="single" w:sz="4" w:space="0" w:color="auto"/>
              <w:right w:val="single" w:sz="4" w:space="0" w:color="auto"/>
            </w:tcBorders>
          </w:tcPr>
          <w:p w14:paraId="5761E647"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648"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implementation of the Planning Act and SPP and associated guidelines are on track. </w:t>
            </w:r>
          </w:p>
          <w:p w14:paraId="5761E649"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Reef 2050 Plan is currently being assessed</w:t>
            </w:r>
          </w:p>
        </w:tc>
        <w:tc>
          <w:tcPr>
            <w:tcW w:w="4569" w:type="dxa"/>
            <w:tcBorders>
              <w:top w:val="single" w:sz="4" w:space="0" w:color="auto"/>
              <w:left w:val="single" w:sz="4" w:space="0" w:color="auto"/>
              <w:bottom w:val="single" w:sz="4" w:space="0" w:color="auto"/>
              <w:right w:val="single" w:sz="4" w:space="0" w:color="auto"/>
            </w:tcBorders>
          </w:tcPr>
          <w:p w14:paraId="5761E64A"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E64B"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State Planning Policy</w:t>
            </w:r>
          </w:p>
          <w:p w14:paraId="5761E64C"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64D"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4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65C"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650"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coastal development are reducing the major risks and the threats to the Great Barrier Reef</w:t>
            </w:r>
          </w:p>
        </w:tc>
        <w:tc>
          <w:tcPr>
            <w:tcW w:w="668" w:type="dxa"/>
            <w:tcBorders>
              <w:top w:val="single" w:sz="4" w:space="0" w:color="auto"/>
              <w:left w:val="single" w:sz="4" w:space="0" w:color="auto"/>
              <w:bottom w:val="single" w:sz="4" w:space="0" w:color="auto"/>
              <w:right w:val="single" w:sz="4" w:space="0" w:color="auto"/>
            </w:tcBorders>
          </w:tcPr>
          <w:p w14:paraId="5761E651" w14:textId="77777777" w:rsidR="00A56EE9" w:rsidRPr="00E70A11" w:rsidRDefault="00A56EE9" w:rsidP="00BB6AD5">
            <w:pPr>
              <w:pStyle w:val="Tablebulletlist"/>
              <w:rPr>
                <w:rStyle w:val="BookTitle"/>
              </w:rPr>
            </w:pPr>
            <w:r w:rsidRPr="00E70A11">
              <w:rPr>
                <w:rStyle w:val="BookTitle"/>
              </w:rPr>
              <w:t>2</w:t>
            </w:r>
          </w:p>
        </w:tc>
        <w:tc>
          <w:tcPr>
            <w:tcW w:w="5111" w:type="dxa"/>
            <w:tcBorders>
              <w:top w:val="single" w:sz="4" w:space="0" w:color="auto"/>
              <w:left w:val="single" w:sz="4" w:space="0" w:color="auto"/>
              <w:bottom w:val="single" w:sz="4" w:space="0" w:color="auto"/>
              <w:right w:val="single" w:sz="4" w:space="0" w:color="auto"/>
            </w:tcBorders>
          </w:tcPr>
          <w:p w14:paraId="5761E652" w14:textId="77777777" w:rsidR="00A56EE9" w:rsidRPr="00E70A11" w:rsidRDefault="00A56EE9" w:rsidP="00A11869">
            <w:pPr>
              <w:pStyle w:val="ListParagraph"/>
              <w:numPr>
                <w:ilvl w:val="0"/>
                <w:numId w:val="252"/>
              </w:numPr>
              <w:spacing w:after="200" w:line="276" w:lineRule="auto"/>
              <w:rPr>
                <w:rFonts w:ascii="Arial Narrow" w:hAnsi="Arial Narrow"/>
                <w:sz w:val="18"/>
                <w:szCs w:val="18"/>
              </w:rPr>
            </w:pPr>
            <w:r w:rsidRPr="00E70A11">
              <w:rPr>
                <w:rFonts w:ascii="Arial Narrow" w:hAnsi="Arial Narrow"/>
                <w:sz w:val="18"/>
                <w:szCs w:val="18"/>
              </w:rPr>
              <w:t xml:space="preserve">Key Great Barrier Reef ecosystems continue to be in poor condition. This is largely due to the collective impact of land run-off associated with past and ongoing catchment development, coastal development activities, extreme weather events and climate change impacts such as the 2016 and 2017 coral bleaching events. </w:t>
            </w:r>
          </w:p>
          <w:p w14:paraId="5761E653"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Fonts w:ascii="Arial Narrow" w:hAnsi="Arial Narrow"/>
                <w:sz w:val="18"/>
                <w:szCs w:val="18"/>
              </w:rPr>
              <w:t>Current initiatives will not meet the water quality targets. To accelerate the change in on-ground management, improvements to governance, program design, delivery and evaluation systems are urgently needed. This will require greater incorporation of social and economic factors, better targeting and prioritisation, exploration of alternative management options and increased support and resources.</w:t>
            </w:r>
          </w:p>
        </w:tc>
        <w:tc>
          <w:tcPr>
            <w:tcW w:w="4569" w:type="dxa"/>
            <w:tcBorders>
              <w:top w:val="single" w:sz="4" w:space="0" w:color="auto"/>
              <w:left w:val="single" w:sz="4" w:space="0" w:color="auto"/>
              <w:bottom w:val="single" w:sz="4" w:space="0" w:color="auto"/>
              <w:right w:val="single" w:sz="4" w:space="0" w:color="auto"/>
            </w:tcBorders>
          </w:tcPr>
          <w:p w14:paraId="5761E654" w14:textId="77777777" w:rsidR="00A56EE9" w:rsidRPr="00E70A11" w:rsidRDefault="008B5998" w:rsidP="00A11869">
            <w:pPr>
              <w:pStyle w:val="ListParagraph"/>
              <w:numPr>
                <w:ilvl w:val="0"/>
                <w:numId w:val="252"/>
              </w:numPr>
              <w:spacing w:after="200" w:line="276" w:lineRule="auto"/>
              <w:rPr>
                <w:rFonts w:ascii="Arial Narrow" w:hAnsi="Arial Narrow"/>
                <w:sz w:val="18"/>
                <w:szCs w:val="18"/>
              </w:rPr>
            </w:pPr>
            <w:hyperlink r:id="rId255" w:history="1">
              <w:r w:rsidR="00A56EE9" w:rsidRPr="00E70A11">
                <w:rPr>
                  <w:rStyle w:val="Hyperlink"/>
                  <w:rFonts w:ascii="Arial Narrow" w:hAnsi="Arial Narrow"/>
                  <w:sz w:val="18"/>
                  <w:szCs w:val="18"/>
                </w:rPr>
                <w:t>Chapter 4</w:t>
              </w:r>
            </w:hyperlink>
            <w:r w:rsidR="00A56EE9" w:rsidRPr="00E70A11">
              <w:rPr>
                <w:rFonts w:ascii="Arial Narrow" w:hAnsi="Arial Narrow"/>
                <w:sz w:val="18"/>
                <w:szCs w:val="18"/>
              </w:rPr>
              <w:t xml:space="preserve"> – Scientific Consensus Statement 2017</w:t>
            </w:r>
          </w:p>
          <w:p w14:paraId="5761E655" w14:textId="77777777" w:rsidR="00A56EE9" w:rsidRPr="00E70A11" w:rsidRDefault="008B5998" w:rsidP="00A11869">
            <w:pPr>
              <w:pStyle w:val="ListParagraph"/>
              <w:numPr>
                <w:ilvl w:val="0"/>
                <w:numId w:val="252"/>
              </w:numPr>
              <w:spacing w:after="200" w:line="276" w:lineRule="auto"/>
              <w:rPr>
                <w:rFonts w:ascii="Arial Narrow" w:hAnsi="Arial Narrow"/>
                <w:sz w:val="18"/>
                <w:szCs w:val="18"/>
              </w:rPr>
            </w:pPr>
            <w:hyperlink r:id="rId256" w:history="1">
              <w:r w:rsidR="00A56EE9" w:rsidRPr="00E70A11">
                <w:rPr>
                  <w:rStyle w:val="Hyperlink"/>
                  <w:rFonts w:ascii="Arial Narrow" w:hAnsi="Arial Narrow"/>
                  <w:sz w:val="18"/>
                  <w:szCs w:val="18"/>
                </w:rPr>
                <w:t>Reef 2050 Plan Annual Report and Implementation Strategy</w:t>
              </w:r>
            </w:hyperlink>
            <w:r w:rsidR="00A56EE9" w:rsidRPr="00E70A11">
              <w:rPr>
                <w:rFonts w:ascii="Arial Narrow" w:hAnsi="Arial Narrow"/>
                <w:sz w:val="18"/>
                <w:szCs w:val="18"/>
              </w:rPr>
              <w:t xml:space="preserve"> </w:t>
            </w:r>
          </w:p>
          <w:p w14:paraId="5761E656" w14:textId="77777777" w:rsidR="00A56EE9" w:rsidRPr="00E70A11" w:rsidRDefault="008B5998" w:rsidP="00A11869">
            <w:pPr>
              <w:pStyle w:val="ListParagraph"/>
              <w:numPr>
                <w:ilvl w:val="0"/>
                <w:numId w:val="252"/>
              </w:numPr>
              <w:spacing w:after="200" w:line="276" w:lineRule="auto"/>
              <w:rPr>
                <w:rFonts w:ascii="Arial Narrow" w:hAnsi="Arial Narrow"/>
                <w:sz w:val="18"/>
                <w:szCs w:val="18"/>
              </w:rPr>
            </w:pPr>
            <w:hyperlink r:id="rId257" w:history="1">
              <w:r w:rsidR="00A56EE9" w:rsidRPr="00E70A11">
                <w:rPr>
                  <w:rStyle w:val="Hyperlink"/>
                  <w:rFonts w:ascii="Arial Narrow" w:hAnsi="Arial Narrow"/>
                  <w:sz w:val="18"/>
                  <w:szCs w:val="18"/>
                </w:rPr>
                <w:t>Great Barrier Reef Strategic Assessment Report</w:t>
              </w:r>
            </w:hyperlink>
            <w:r w:rsidR="00A56EE9" w:rsidRPr="00E70A11">
              <w:rPr>
                <w:rFonts w:ascii="Arial Narrow" w:hAnsi="Arial Narrow"/>
                <w:sz w:val="18"/>
                <w:szCs w:val="18"/>
              </w:rPr>
              <w:t xml:space="preserve">, </w:t>
            </w:r>
          </w:p>
          <w:p w14:paraId="5761E657" w14:textId="77777777" w:rsidR="00A56EE9" w:rsidRPr="00E70A11" w:rsidRDefault="008B5998" w:rsidP="00A11869">
            <w:pPr>
              <w:pStyle w:val="ListParagraph"/>
              <w:numPr>
                <w:ilvl w:val="0"/>
                <w:numId w:val="252"/>
              </w:numPr>
              <w:spacing w:after="200" w:line="276" w:lineRule="auto"/>
              <w:rPr>
                <w:rFonts w:ascii="Arial Narrow" w:hAnsi="Arial Narrow"/>
                <w:sz w:val="18"/>
                <w:szCs w:val="18"/>
              </w:rPr>
            </w:pPr>
            <w:hyperlink r:id="rId258" w:history="1">
              <w:r w:rsidR="00A56EE9" w:rsidRPr="00E70A11">
                <w:rPr>
                  <w:rStyle w:val="Hyperlink"/>
                  <w:rFonts w:ascii="Arial Narrow" w:hAnsi="Arial Narrow"/>
                  <w:sz w:val="18"/>
                  <w:szCs w:val="18"/>
                </w:rPr>
                <w:t>Great Barrier Reef Coastal Zone Strategic Assessment</w:t>
              </w:r>
            </w:hyperlink>
            <w:r w:rsidR="00A56EE9" w:rsidRPr="00E70A11">
              <w:rPr>
                <w:rFonts w:ascii="Arial Narrow" w:hAnsi="Arial Narrow"/>
                <w:sz w:val="18"/>
                <w:szCs w:val="18"/>
              </w:rPr>
              <w:t xml:space="preserve"> 2014</w:t>
            </w:r>
          </w:p>
          <w:p w14:paraId="5761E658" w14:textId="77777777" w:rsidR="00A56EE9" w:rsidRPr="00E70A11" w:rsidRDefault="008B5998" w:rsidP="00A11869">
            <w:pPr>
              <w:pStyle w:val="ListParagraph"/>
              <w:numPr>
                <w:ilvl w:val="0"/>
                <w:numId w:val="252"/>
              </w:numPr>
              <w:spacing w:after="200" w:line="276" w:lineRule="auto"/>
              <w:rPr>
                <w:rFonts w:ascii="Arial Narrow" w:hAnsi="Arial Narrow"/>
                <w:sz w:val="18"/>
                <w:szCs w:val="18"/>
              </w:rPr>
            </w:pPr>
            <w:hyperlink r:id="rId259" w:history="1">
              <w:r w:rsidR="00A56EE9" w:rsidRPr="00E70A11">
                <w:rPr>
                  <w:rStyle w:val="Hyperlink"/>
                  <w:rFonts w:ascii="Arial Narrow" w:hAnsi="Arial Narrow"/>
                  <w:sz w:val="18"/>
                  <w:szCs w:val="18"/>
                </w:rPr>
                <w:t>Great Barrier Reef Outlook Report 2014</w:t>
              </w:r>
            </w:hyperlink>
          </w:p>
          <w:p w14:paraId="5761E659"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65A"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5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66B"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65D"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coastal development is demonstrably environmentally sustainable</w:t>
            </w:r>
          </w:p>
        </w:tc>
        <w:tc>
          <w:tcPr>
            <w:tcW w:w="668" w:type="dxa"/>
            <w:tcBorders>
              <w:top w:val="single" w:sz="4" w:space="0" w:color="auto"/>
              <w:left w:val="single" w:sz="4" w:space="0" w:color="auto"/>
              <w:bottom w:val="single" w:sz="4" w:space="0" w:color="auto"/>
              <w:right w:val="single" w:sz="4" w:space="0" w:color="auto"/>
            </w:tcBorders>
          </w:tcPr>
          <w:p w14:paraId="5761E65E" w14:textId="77777777" w:rsidR="00A56EE9" w:rsidRPr="00E70A11" w:rsidRDefault="00A56EE9" w:rsidP="00BB6AD5">
            <w:pPr>
              <w:pStyle w:val="Tablebulletlist"/>
              <w:rPr>
                <w:rStyle w:val="BookTitle"/>
              </w:rPr>
            </w:pPr>
            <w:r w:rsidRPr="00E70A11">
              <w:rPr>
                <w:rStyle w:val="BookTitle"/>
              </w:rPr>
              <w:t>2</w:t>
            </w:r>
          </w:p>
        </w:tc>
        <w:tc>
          <w:tcPr>
            <w:tcW w:w="5111" w:type="dxa"/>
            <w:tcBorders>
              <w:top w:val="single" w:sz="4" w:space="0" w:color="auto"/>
              <w:left w:val="single" w:sz="4" w:space="0" w:color="auto"/>
              <w:bottom w:val="single" w:sz="4" w:space="0" w:color="auto"/>
              <w:right w:val="single" w:sz="4" w:space="0" w:color="auto"/>
            </w:tcBorders>
          </w:tcPr>
          <w:p w14:paraId="5761E65F" w14:textId="77777777" w:rsidR="00A56EE9" w:rsidRPr="00E70A11" w:rsidRDefault="00A56EE9" w:rsidP="00A11869">
            <w:pPr>
              <w:pStyle w:val="ListParagraph"/>
              <w:numPr>
                <w:ilvl w:val="0"/>
                <w:numId w:val="252"/>
              </w:numPr>
              <w:spacing w:after="200" w:line="276" w:lineRule="auto"/>
              <w:rPr>
                <w:rFonts w:ascii="Arial Narrow" w:hAnsi="Arial Narrow"/>
                <w:sz w:val="18"/>
                <w:szCs w:val="18"/>
              </w:rPr>
            </w:pPr>
            <w:r w:rsidRPr="00E70A11">
              <w:rPr>
                <w:rFonts w:ascii="Arial Narrow" w:hAnsi="Arial Narrow"/>
                <w:sz w:val="18"/>
                <w:szCs w:val="18"/>
              </w:rPr>
              <w:t>Past development and land use practices, primarily agricultural development, have led to degradation of coastal ecosystems and water quality, and very markedly declines in inshore biodiversity</w:t>
            </w:r>
          </w:p>
          <w:p w14:paraId="5761E660" w14:textId="77777777" w:rsidR="00A56EE9" w:rsidRPr="00E70A11" w:rsidRDefault="00A56EE9" w:rsidP="00A11869">
            <w:pPr>
              <w:pStyle w:val="ListParagraph"/>
              <w:numPr>
                <w:ilvl w:val="0"/>
                <w:numId w:val="252"/>
              </w:numPr>
              <w:spacing w:after="200" w:line="276" w:lineRule="auto"/>
              <w:rPr>
                <w:rFonts w:ascii="Arial Narrow" w:hAnsi="Arial Narrow"/>
                <w:sz w:val="18"/>
                <w:szCs w:val="18"/>
              </w:rPr>
            </w:pPr>
            <w:r w:rsidRPr="00E70A11">
              <w:rPr>
                <w:rFonts w:ascii="Arial Narrow" w:hAnsi="Arial Narrow"/>
                <w:sz w:val="18"/>
                <w:szCs w:val="18"/>
              </w:rPr>
              <w:t>Decline in water quality, coral cover suggest that agricultural land management practices associated with coastal development is not environmentally sustainable</w:t>
            </w:r>
          </w:p>
          <w:p w14:paraId="5761E661" w14:textId="77777777" w:rsidR="00A56EE9" w:rsidRPr="00E70A11" w:rsidRDefault="00A56EE9" w:rsidP="00A11869">
            <w:pPr>
              <w:pStyle w:val="ListParagraph"/>
              <w:numPr>
                <w:ilvl w:val="0"/>
                <w:numId w:val="252"/>
              </w:numPr>
              <w:spacing w:after="200" w:line="276" w:lineRule="auto"/>
              <w:rPr>
                <w:rFonts w:ascii="Arial Narrow" w:hAnsi="Arial Narrow"/>
                <w:sz w:val="18"/>
                <w:szCs w:val="18"/>
              </w:rPr>
            </w:pPr>
            <w:r w:rsidRPr="00E70A11">
              <w:rPr>
                <w:rFonts w:ascii="Arial Narrow" w:hAnsi="Arial Narrow"/>
                <w:sz w:val="18"/>
                <w:szCs w:val="18"/>
                <w:lang w:val="en-US"/>
              </w:rPr>
              <w:t>There continues to be a history of failed developments along the coast with negative implications for the Region (e.g. Queensland Nickel)</w:t>
            </w:r>
          </w:p>
          <w:p w14:paraId="5761E662"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Fonts w:ascii="Arial Narrow" w:hAnsi="Arial Narrow"/>
                <w:sz w:val="18"/>
                <w:szCs w:val="18"/>
              </w:rPr>
              <w:t>Tree clearing that has occurred since the changes to the Vegetation Management Act may lead to further decline in Reef values</w:t>
            </w:r>
          </w:p>
        </w:tc>
        <w:tc>
          <w:tcPr>
            <w:tcW w:w="4569" w:type="dxa"/>
            <w:tcBorders>
              <w:top w:val="single" w:sz="4" w:space="0" w:color="auto"/>
              <w:left w:val="single" w:sz="4" w:space="0" w:color="auto"/>
              <w:bottom w:val="single" w:sz="4" w:space="0" w:color="auto"/>
              <w:right w:val="single" w:sz="4" w:space="0" w:color="auto"/>
            </w:tcBorders>
          </w:tcPr>
          <w:p w14:paraId="5761E663" w14:textId="77777777" w:rsidR="00A56EE9" w:rsidRPr="00E70A11" w:rsidRDefault="008B5998" w:rsidP="00A11869">
            <w:pPr>
              <w:pStyle w:val="ListParagraph"/>
              <w:numPr>
                <w:ilvl w:val="0"/>
                <w:numId w:val="252"/>
              </w:numPr>
              <w:spacing w:after="200" w:line="276" w:lineRule="auto"/>
              <w:rPr>
                <w:rFonts w:ascii="Arial Narrow" w:hAnsi="Arial Narrow"/>
                <w:sz w:val="18"/>
                <w:szCs w:val="18"/>
                <w:lang w:val="en"/>
              </w:rPr>
            </w:pPr>
            <w:hyperlink r:id="rId260" w:history="1">
              <w:r w:rsidR="00A56EE9" w:rsidRPr="00E70A11">
                <w:rPr>
                  <w:rStyle w:val="Hyperlink"/>
                  <w:rFonts w:ascii="Arial Narrow" w:hAnsi="Arial Narrow"/>
                  <w:sz w:val="18"/>
                  <w:szCs w:val="18"/>
                  <w:lang w:val="en"/>
                </w:rPr>
                <w:t>State Party Report on the state of conservation of the Great Barrier Reef World Heritage Area (Australia) 2015</w:t>
              </w:r>
            </w:hyperlink>
          </w:p>
          <w:p w14:paraId="5761E664" w14:textId="77777777" w:rsidR="00A56EE9" w:rsidRPr="00E70A11" w:rsidRDefault="008B5998" w:rsidP="00A11869">
            <w:pPr>
              <w:pStyle w:val="ListParagraph"/>
              <w:numPr>
                <w:ilvl w:val="0"/>
                <w:numId w:val="252"/>
              </w:numPr>
              <w:spacing w:after="200" w:line="276" w:lineRule="auto"/>
              <w:rPr>
                <w:rFonts w:ascii="Arial Narrow" w:hAnsi="Arial Narrow"/>
                <w:sz w:val="18"/>
                <w:szCs w:val="18"/>
                <w:u w:val="single"/>
              </w:rPr>
            </w:pPr>
            <w:hyperlink r:id="rId261" w:history="1">
              <w:r w:rsidR="00A56EE9" w:rsidRPr="00E70A11">
                <w:rPr>
                  <w:rStyle w:val="Hyperlink"/>
                  <w:rFonts w:ascii="Arial Narrow" w:hAnsi="Arial Narrow"/>
                  <w:sz w:val="18"/>
                  <w:szCs w:val="18"/>
                </w:rPr>
                <w:t>2017 Scientific Consensus Statement</w:t>
              </w:r>
            </w:hyperlink>
          </w:p>
          <w:p w14:paraId="5761E665" w14:textId="77777777" w:rsidR="00A56EE9" w:rsidRPr="00E70A11" w:rsidRDefault="00A56EE9" w:rsidP="00A11869">
            <w:pPr>
              <w:pStyle w:val="ListParagraph"/>
              <w:numPr>
                <w:ilvl w:val="0"/>
                <w:numId w:val="252"/>
              </w:numPr>
              <w:spacing w:after="200" w:line="276" w:lineRule="auto"/>
              <w:rPr>
                <w:rFonts w:ascii="Arial Narrow" w:hAnsi="Arial Narrow"/>
                <w:sz w:val="18"/>
                <w:szCs w:val="18"/>
              </w:rPr>
            </w:pPr>
            <w:r w:rsidRPr="00E70A11">
              <w:rPr>
                <w:rFonts w:ascii="Arial Narrow" w:hAnsi="Arial Narrow"/>
                <w:sz w:val="18"/>
                <w:szCs w:val="18"/>
              </w:rPr>
              <w:t xml:space="preserve">Brodie, Grech, McCook, 2017, </w:t>
            </w:r>
            <w:hyperlink r:id="rId262" w:history="1">
              <w:r w:rsidRPr="00E70A11">
                <w:rPr>
                  <w:rStyle w:val="Hyperlink"/>
                  <w:rFonts w:ascii="Arial Narrow" w:hAnsi="Arial Narrow"/>
                  <w:sz w:val="18"/>
                  <w:szCs w:val="18"/>
                </w:rPr>
                <w:t>The new Great Barrier Reef pollution plan is better, but still not good enough</w:t>
              </w:r>
            </w:hyperlink>
            <w:r w:rsidRPr="00E70A11">
              <w:rPr>
                <w:rFonts w:ascii="Arial Narrow" w:hAnsi="Arial Narrow"/>
                <w:sz w:val="18"/>
                <w:szCs w:val="18"/>
              </w:rPr>
              <w:t>, The Conversation</w:t>
            </w:r>
          </w:p>
          <w:p w14:paraId="5761E666" w14:textId="77777777" w:rsidR="00A56EE9" w:rsidRPr="00E70A11" w:rsidRDefault="008B5998" w:rsidP="00A11869">
            <w:pPr>
              <w:pStyle w:val="ListParagraph"/>
              <w:numPr>
                <w:ilvl w:val="0"/>
                <w:numId w:val="252"/>
              </w:numPr>
              <w:spacing w:after="200" w:line="276" w:lineRule="auto"/>
              <w:rPr>
                <w:rFonts w:ascii="Arial Narrow" w:hAnsi="Arial Narrow"/>
                <w:sz w:val="18"/>
                <w:szCs w:val="18"/>
              </w:rPr>
            </w:pPr>
            <w:hyperlink r:id="rId263" w:history="1">
              <w:r w:rsidR="00A56EE9" w:rsidRPr="00E70A11">
                <w:rPr>
                  <w:rStyle w:val="Hyperlink"/>
                  <w:rFonts w:ascii="Arial Narrow" w:hAnsi="Arial Narrow"/>
                  <w:sz w:val="18"/>
                  <w:szCs w:val="18"/>
                </w:rPr>
                <w:t>Marine Monitoring Program</w:t>
              </w:r>
            </w:hyperlink>
          </w:p>
          <w:p w14:paraId="5761E667" w14:textId="77777777" w:rsidR="00A56EE9" w:rsidRPr="00E70A11" w:rsidRDefault="008B5998" w:rsidP="00A11869">
            <w:pPr>
              <w:pStyle w:val="ListParagraph"/>
              <w:numPr>
                <w:ilvl w:val="0"/>
                <w:numId w:val="252"/>
              </w:numPr>
              <w:spacing w:after="200" w:line="276" w:lineRule="auto"/>
              <w:rPr>
                <w:rFonts w:ascii="Arial Narrow" w:hAnsi="Arial Narrow"/>
                <w:sz w:val="18"/>
                <w:szCs w:val="18"/>
              </w:rPr>
            </w:pPr>
            <w:hyperlink r:id="rId264" w:history="1">
              <w:r w:rsidR="00A56EE9" w:rsidRPr="00E70A11">
                <w:rPr>
                  <w:rStyle w:val="Hyperlink"/>
                  <w:rFonts w:ascii="Arial Narrow" w:hAnsi="Arial Narrow"/>
                  <w:sz w:val="18"/>
                  <w:szCs w:val="18"/>
                </w:rPr>
                <w:t>Extreme Weather</w:t>
              </w:r>
            </w:hyperlink>
          </w:p>
          <w:p w14:paraId="5761E668"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Fonts w:ascii="Arial Narrow" w:hAnsi="Arial Narrow"/>
                <w:sz w:val="18"/>
                <w:szCs w:val="18"/>
              </w:rPr>
              <w:t>Waltham and Sheaves,</w:t>
            </w:r>
            <w:hyperlink r:id="rId265" w:history="1">
              <w:r w:rsidRPr="00E70A11">
                <w:rPr>
                  <w:rStyle w:val="Hyperlink"/>
                  <w:rFonts w:ascii="Arial Narrow" w:hAnsi="Arial Narrow"/>
                  <w:sz w:val="18"/>
                  <w:szCs w:val="18"/>
                </w:rPr>
                <w:t xml:space="preserve"> Expanding coastal urban and industrial seascape in the Great Barrier Reef World Heritage Area: Critical need for coordinated planning and polic</w:t>
              </w:r>
            </w:hyperlink>
            <w:r w:rsidRPr="00E70A11">
              <w:rPr>
                <w:rFonts w:ascii="Arial Narrow" w:hAnsi="Arial Narrow"/>
                <w:sz w:val="18"/>
                <w:szCs w:val="18"/>
              </w:rPr>
              <w:t>y, Marine Policy</w:t>
            </w:r>
          </w:p>
        </w:tc>
        <w:tc>
          <w:tcPr>
            <w:tcW w:w="974" w:type="dxa"/>
            <w:tcBorders>
              <w:top w:val="single" w:sz="4" w:space="0" w:color="auto"/>
              <w:left w:val="single" w:sz="4" w:space="0" w:color="auto"/>
              <w:bottom w:val="single" w:sz="4" w:space="0" w:color="auto"/>
              <w:right w:val="single" w:sz="4" w:space="0" w:color="auto"/>
            </w:tcBorders>
          </w:tcPr>
          <w:p w14:paraId="5761E669"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6A" w14:textId="77777777" w:rsidR="00A56EE9" w:rsidRPr="00E70A11" w:rsidRDefault="00A56EE9" w:rsidP="00BB6AD5">
            <w:pPr>
              <w:pStyle w:val="Tablebulletlist"/>
              <w:rPr>
                <w:rStyle w:val="BookTitle"/>
              </w:rPr>
            </w:pPr>
            <w:r w:rsidRPr="00E70A11">
              <w:rPr>
                <w:rStyle w:val="BookTitle"/>
              </w:rPr>
              <w:t xml:space="preserve">Stable </w:t>
            </w:r>
          </w:p>
        </w:tc>
      </w:tr>
      <w:tr w:rsidR="00A56EE9" w:rsidRPr="00E70A11" w14:paraId="5761E673"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66C"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coastal development is demonstrably economically sustainable</w:t>
            </w:r>
          </w:p>
        </w:tc>
        <w:tc>
          <w:tcPr>
            <w:tcW w:w="668" w:type="dxa"/>
            <w:tcBorders>
              <w:top w:val="single" w:sz="4" w:space="0" w:color="auto"/>
              <w:left w:val="single" w:sz="4" w:space="0" w:color="auto"/>
              <w:bottom w:val="single" w:sz="4" w:space="0" w:color="auto"/>
              <w:right w:val="single" w:sz="4" w:space="0" w:color="auto"/>
            </w:tcBorders>
          </w:tcPr>
          <w:p w14:paraId="5761E66D" w14:textId="77777777" w:rsidR="00A56EE9" w:rsidRPr="00E70A11" w:rsidRDefault="00A56EE9" w:rsidP="00BB6AD5">
            <w:pPr>
              <w:pStyle w:val="Tablebulletlist"/>
              <w:rPr>
                <w:rStyle w:val="BookTitle"/>
              </w:rPr>
            </w:pPr>
            <w:r w:rsidRPr="00E70A11">
              <w:rPr>
                <w:rStyle w:val="BookTitle"/>
              </w:rPr>
              <w:t>2</w:t>
            </w:r>
          </w:p>
        </w:tc>
        <w:tc>
          <w:tcPr>
            <w:tcW w:w="5111" w:type="dxa"/>
            <w:tcBorders>
              <w:top w:val="single" w:sz="4" w:space="0" w:color="auto"/>
              <w:left w:val="single" w:sz="4" w:space="0" w:color="auto"/>
              <w:bottom w:val="single" w:sz="4" w:space="0" w:color="auto"/>
              <w:right w:val="single" w:sz="4" w:space="0" w:color="auto"/>
            </w:tcBorders>
          </w:tcPr>
          <w:p w14:paraId="5761E66E" w14:textId="77777777" w:rsidR="00A56EE9" w:rsidRPr="00E70A11" w:rsidRDefault="00A56EE9" w:rsidP="00A11869">
            <w:pPr>
              <w:pStyle w:val="ListParagraph"/>
              <w:numPr>
                <w:ilvl w:val="0"/>
                <w:numId w:val="252"/>
              </w:numPr>
              <w:spacing w:after="200" w:line="276" w:lineRule="auto"/>
              <w:rPr>
                <w:rFonts w:ascii="Arial Narrow" w:hAnsi="Arial Narrow"/>
                <w:sz w:val="18"/>
                <w:szCs w:val="18"/>
              </w:rPr>
            </w:pPr>
            <w:r w:rsidRPr="00E70A11">
              <w:rPr>
                <w:rFonts w:ascii="Arial Narrow" w:hAnsi="Arial Narrow"/>
                <w:sz w:val="18"/>
                <w:szCs w:val="18"/>
              </w:rPr>
              <w:t>Population growth is driven by national and international economic cycles (resource and tourism sectors primarily)</w:t>
            </w:r>
          </w:p>
          <w:p w14:paraId="5761E66F"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Fonts w:ascii="Arial Narrow" w:hAnsi="Arial Narrow"/>
                <w:sz w:val="18"/>
                <w:szCs w:val="18"/>
                <w:lang w:val="en-US"/>
              </w:rPr>
              <w:t>There continues to be a history of failed developments along the coast with negative implications for the Region (e.g. Queensland Nickel)</w:t>
            </w:r>
          </w:p>
        </w:tc>
        <w:tc>
          <w:tcPr>
            <w:tcW w:w="4569" w:type="dxa"/>
            <w:tcBorders>
              <w:top w:val="single" w:sz="4" w:space="0" w:color="auto"/>
              <w:left w:val="single" w:sz="4" w:space="0" w:color="auto"/>
              <w:bottom w:val="single" w:sz="4" w:space="0" w:color="auto"/>
              <w:right w:val="single" w:sz="4" w:space="0" w:color="auto"/>
            </w:tcBorders>
          </w:tcPr>
          <w:p w14:paraId="5761E670"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Workshop discussions </w:t>
            </w:r>
          </w:p>
        </w:tc>
        <w:tc>
          <w:tcPr>
            <w:tcW w:w="974" w:type="dxa"/>
            <w:tcBorders>
              <w:top w:val="single" w:sz="4" w:space="0" w:color="auto"/>
              <w:left w:val="single" w:sz="4" w:space="0" w:color="auto"/>
              <w:bottom w:val="single" w:sz="4" w:space="0" w:color="auto"/>
              <w:right w:val="single" w:sz="4" w:space="0" w:color="auto"/>
            </w:tcBorders>
          </w:tcPr>
          <w:p w14:paraId="5761E671"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7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67C"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674"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coastal development is demonstrably socially sustainable understanding and/or enjoyment</w:t>
            </w:r>
          </w:p>
        </w:tc>
        <w:tc>
          <w:tcPr>
            <w:tcW w:w="668" w:type="dxa"/>
            <w:tcBorders>
              <w:top w:val="single" w:sz="4" w:space="0" w:color="auto"/>
              <w:left w:val="single" w:sz="4" w:space="0" w:color="auto"/>
              <w:bottom w:val="single" w:sz="4" w:space="0" w:color="auto"/>
              <w:right w:val="single" w:sz="4" w:space="0" w:color="auto"/>
            </w:tcBorders>
          </w:tcPr>
          <w:p w14:paraId="5761E675"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676"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Fonts w:ascii="Arial Narrow" w:hAnsi="Arial Narrow"/>
                <w:sz w:val="18"/>
                <w:szCs w:val="18"/>
              </w:rPr>
              <w:t>High level of volunteer activity and community understanding of monitoring and education activities through Reef Guardian programs and GBRMPA education and communication products</w:t>
            </w:r>
          </w:p>
        </w:tc>
        <w:tc>
          <w:tcPr>
            <w:tcW w:w="4569" w:type="dxa"/>
            <w:tcBorders>
              <w:top w:val="single" w:sz="4" w:space="0" w:color="auto"/>
              <w:left w:val="single" w:sz="4" w:space="0" w:color="auto"/>
              <w:bottom w:val="single" w:sz="4" w:space="0" w:color="auto"/>
              <w:right w:val="single" w:sz="4" w:space="0" w:color="auto"/>
            </w:tcBorders>
          </w:tcPr>
          <w:p w14:paraId="5761E677" w14:textId="77777777" w:rsidR="00A56EE9" w:rsidRPr="00E70A11" w:rsidRDefault="008B5998" w:rsidP="00A11869">
            <w:pPr>
              <w:pStyle w:val="ListParagraph"/>
              <w:numPr>
                <w:ilvl w:val="0"/>
                <w:numId w:val="252"/>
              </w:numPr>
              <w:spacing w:after="200" w:line="276" w:lineRule="auto"/>
              <w:rPr>
                <w:rFonts w:ascii="Arial Narrow" w:hAnsi="Arial Narrow"/>
                <w:sz w:val="18"/>
                <w:szCs w:val="18"/>
                <w:lang w:val="en"/>
              </w:rPr>
            </w:pPr>
            <w:hyperlink r:id="rId266" w:history="1">
              <w:r w:rsidR="00A56EE9" w:rsidRPr="00E70A11">
                <w:rPr>
                  <w:rStyle w:val="Hyperlink"/>
                  <w:rFonts w:ascii="Arial Narrow" w:hAnsi="Arial Narrow"/>
                  <w:sz w:val="18"/>
                  <w:szCs w:val="18"/>
                  <w:lang w:val="en"/>
                </w:rPr>
                <w:t>Deloitte Access Economics Report</w:t>
              </w:r>
            </w:hyperlink>
            <w:r w:rsidR="00A56EE9" w:rsidRPr="00E70A11">
              <w:rPr>
                <w:rFonts w:ascii="Arial Narrow" w:hAnsi="Arial Narrow"/>
                <w:sz w:val="18"/>
                <w:szCs w:val="18"/>
                <w:lang w:val="en"/>
              </w:rPr>
              <w:t xml:space="preserve"> 2017 – At what price? The economic, social and icon value of the Great Barrier Reef</w:t>
            </w:r>
          </w:p>
          <w:p w14:paraId="5761E678" w14:textId="77777777" w:rsidR="00A56EE9" w:rsidRPr="00E70A11" w:rsidRDefault="00A56EE9" w:rsidP="00A11869">
            <w:pPr>
              <w:pStyle w:val="ListParagraph"/>
              <w:numPr>
                <w:ilvl w:val="0"/>
                <w:numId w:val="252"/>
              </w:numPr>
              <w:spacing w:after="200" w:line="276" w:lineRule="auto"/>
              <w:rPr>
                <w:rFonts w:ascii="Arial Narrow" w:hAnsi="Arial Narrow"/>
                <w:sz w:val="18"/>
                <w:szCs w:val="18"/>
              </w:rPr>
            </w:pPr>
            <w:r w:rsidRPr="00E70A11">
              <w:rPr>
                <w:rFonts w:ascii="Arial Narrow" w:hAnsi="Arial Narrow"/>
                <w:sz w:val="18"/>
                <w:szCs w:val="18"/>
              </w:rPr>
              <w:t>Bohensky, E., Marshall, N., Currnock, M., Gillet, S., Goldberg, J., Gooch, M., Pert, P., Scherl, L., Stone-Jovicich, S., Tobin, R. (2014) The Social and Economic Long Term Monitoring Program (SELTMP) 2013, Coastal Communities in the Great Barrier Reef. Report to the National Environmental Research Program. Reef and Rainforest Research Centre Limited, Cairns (35pp.).</w:t>
            </w:r>
          </w:p>
          <w:p w14:paraId="5761E679" w14:textId="77777777" w:rsidR="00A56EE9" w:rsidRPr="00E70A11" w:rsidRDefault="00A56EE9" w:rsidP="00BB6AD5">
            <w:pPr>
              <w:pStyle w:val="ListParagraph"/>
              <w:rPr>
                <w:rStyle w:val="BookTitle"/>
                <w:rFonts w:ascii="Arial Narrow" w:hAnsi="Arial Narrow"/>
                <w:sz w:val="18"/>
                <w:szCs w:val="18"/>
              </w:rPr>
            </w:pPr>
          </w:p>
        </w:tc>
        <w:tc>
          <w:tcPr>
            <w:tcW w:w="974" w:type="dxa"/>
            <w:tcBorders>
              <w:top w:val="single" w:sz="4" w:space="0" w:color="auto"/>
              <w:left w:val="single" w:sz="4" w:space="0" w:color="auto"/>
              <w:bottom w:val="single" w:sz="4" w:space="0" w:color="auto"/>
              <w:right w:val="single" w:sz="4" w:space="0" w:color="auto"/>
            </w:tcBorders>
          </w:tcPr>
          <w:p w14:paraId="5761E67A"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7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687" w14:textId="77777777" w:rsidTr="00BB6AD5">
        <w:trPr>
          <w:trHeight w:val="170"/>
        </w:trPr>
        <w:tc>
          <w:tcPr>
            <w:tcW w:w="2179" w:type="dxa"/>
            <w:tcBorders>
              <w:top w:val="single" w:sz="4" w:space="0" w:color="auto"/>
              <w:left w:val="single" w:sz="4" w:space="0" w:color="auto"/>
              <w:bottom w:val="single" w:sz="4" w:space="0" w:color="auto"/>
              <w:right w:val="single" w:sz="4" w:space="0" w:color="auto"/>
            </w:tcBorders>
          </w:tcPr>
          <w:p w14:paraId="5761E67D"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coastal development </w:t>
            </w:r>
          </w:p>
        </w:tc>
        <w:tc>
          <w:tcPr>
            <w:tcW w:w="668" w:type="dxa"/>
            <w:tcBorders>
              <w:top w:val="single" w:sz="4" w:space="0" w:color="auto"/>
              <w:left w:val="single" w:sz="4" w:space="0" w:color="auto"/>
              <w:bottom w:val="single" w:sz="4" w:space="0" w:color="auto"/>
              <w:right w:val="single" w:sz="4" w:space="0" w:color="auto"/>
            </w:tcBorders>
          </w:tcPr>
          <w:p w14:paraId="5761E67E" w14:textId="77777777" w:rsidR="00A56EE9" w:rsidRPr="00E70A11" w:rsidRDefault="00A56EE9" w:rsidP="00BB6AD5">
            <w:pPr>
              <w:pStyle w:val="Tablebulletlist"/>
              <w:rPr>
                <w:rStyle w:val="BookTitle"/>
              </w:rPr>
            </w:pPr>
            <w:r w:rsidRPr="00E70A11">
              <w:rPr>
                <w:rStyle w:val="BookTitle"/>
              </w:rPr>
              <w:t>3</w:t>
            </w:r>
          </w:p>
        </w:tc>
        <w:tc>
          <w:tcPr>
            <w:tcW w:w="5111" w:type="dxa"/>
            <w:tcBorders>
              <w:top w:val="single" w:sz="4" w:space="0" w:color="auto"/>
              <w:left w:val="single" w:sz="4" w:space="0" w:color="auto"/>
              <w:bottom w:val="single" w:sz="4" w:space="0" w:color="auto"/>
              <w:right w:val="single" w:sz="4" w:space="0" w:color="auto"/>
            </w:tcBorders>
          </w:tcPr>
          <w:p w14:paraId="5761E67F" w14:textId="77777777" w:rsidR="00A56EE9" w:rsidRPr="00E70A11" w:rsidRDefault="00A56EE9" w:rsidP="00A11869">
            <w:pPr>
              <w:pStyle w:val="ListParagraph"/>
              <w:numPr>
                <w:ilvl w:val="0"/>
                <w:numId w:val="252"/>
              </w:numPr>
              <w:spacing w:after="200" w:line="276" w:lineRule="auto"/>
              <w:rPr>
                <w:rFonts w:ascii="Arial Narrow" w:hAnsi="Arial Narrow"/>
                <w:sz w:val="18"/>
                <w:szCs w:val="18"/>
                <w:lang w:val="en-US"/>
              </w:rPr>
            </w:pPr>
            <w:r w:rsidRPr="00E70A11">
              <w:rPr>
                <w:rFonts w:ascii="Arial Narrow" w:hAnsi="Arial Narrow"/>
                <w:sz w:val="18"/>
                <w:szCs w:val="18"/>
                <w:lang w:val="en-US"/>
              </w:rPr>
              <w:t>Many examples of partnerships</w:t>
            </w:r>
          </w:p>
          <w:p w14:paraId="5761E680" w14:textId="77777777" w:rsidR="00A56EE9" w:rsidRPr="00E70A11" w:rsidRDefault="00A56EE9" w:rsidP="00A11869">
            <w:pPr>
              <w:pStyle w:val="ListParagraph"/>
              <w:numPr>
                <w:ilvl w:val="1"/>
                <w:numId w:val="252"/>
              </w:numPr>
              <w:spacing w:after="200" w:line="276" w:lineRule="auto"/>
              <w:rPr>
                <w:rFonts w:ascii="Arial Narrow" w:hAnsi="Arial Narrow"/>
                <w:sz w:val="18"/>
                <w:szCs w:val="18"/>
                <w:lang w:val="en-US"/>
              </w:rPr>
            </w:pPr>
            <w:r w:rsidRPr="00E70A11">
              <w:rPr>
                <w:rFonts w:ascii="Arial Narrow" w:hAnsi="Arial Narrow"/>
                <w:sz w:val="18"/>
                <w:szCs w:val="18"/>
                <w:lang w:val="en-US"/>
              </w:rPr>
              <w:t>Reef Guardian program</w:t>
            </w:r>
          </w:p>
          <w:p w14:paraId="5761E681" w14:textId="77777777" w:rsidR="00A56EE9" w:rsidRPr="00E70A11" w:rsidRDefault="00A56EE9" w:rsidP="00A11869">
            <w:pPr>
              <w:pStyle w:val="ListParagraph"/>
              <w:numPr>
                <w:ilvl w:val="1"/>
                <w:numId w:val="252"/>
              </w:numPr>
              <w:spacing w:after="200" w:line="276" w:lineRule="auto"/>
              <w:rPr>
                <w:rFonts w:ascii="Arial Narrow" w:hAnsi="Arial Narrow"/>
                <w:sz w:val="18"/>
                <w:szCs w:val="18"/>
                <w:lang w:val="en-US"/>
              </w:rPr>
            </w:pPr>
            <w:r w:rsidRPr="00E70A11">
              <w:rPr>
                <w:rFonts w:ascii="Arial Narrow" w:hAnsi="Arial Narrow"/>
                <w:sz w:val="18"/>
                <w:szCs w:val="18"/>
                <w:lang w:val="en-US"/>
              </w:rPr>
              <w:t>LMACs and RACs</w:t>
            </w:r>
          </w:p>
          <w:p w14:paraId="5761E682" w14:textId="77777777" w:rsidR="00A56EE9" w:rsidRPr="00E70A11" w:rsidRDefault="00A56EE9" w:rsidP="00A11869">
            <w:pPr>
              <w:pStyle w:val="ListParagraph"/>
              <w:numPr>
                <w:ilvl w:val="1"/>
                <w:numId w:val="252"/>
              </w:numPr>
              <w:spacing w:after="200" w:line="276" w:lineRule="auto"/>
              <w:rPr>
                <w:rFonts w:ascii="Arial Narrow" w:hAnsi="Arial Narrow"/>
                <w:sz w:val="18"/>
                <w:szCs w:val="18"/>
                <w:lang w:val="en-US"/>
              </w:rPr>
            </w:pPr>
            <w:r w:rsidRPr="00E70A11">
              <w:rPr>
                <w:rFonts w:ascii="Arial Narrow" w:hAnsi="Arial Narrow"/>
                <w:sz w:val="18"/>
                <w:szCs w:val="18"/>
                <w:lang w:val="en-US"/>
              </w:rPr>
              <w:t>Eye on the Reef program</w:t>
            </w:r>
          </w:p>
          <w:p w14:paraId="5761E683"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Fonts w:ascii="Arial Narrow" w:hAnsi="Arial Narrow"/>
                <w:sz w:val="18"/>
                <w:szCs w:val="18"/>
                <w:lang w:val="en-US"/>
              </w:rPr>
              <w:t>Existing liaison arrangements and specialist staff within the Authority to manage these relationships</w:t>
            </w:r>
          </w:p>
        </w:tc>
        <w:tc>
          <w:tcPr>
            <w:tcW w:w="4569" w:type="dxa"/>
            <w:tcBorders>
              <w:top w:val="single" w:sz="4" w:space="0" w:color="auto"/>
              <w:left w:val="single" w:sz="4" w:space="0" w:color="auto"/>
              <w:bottom w:val="single" w:sz="4" w:space="0" w:color="auto"/>
              <w:right w:val="single" w:sz="4" w:space="0" w:color="auto"/>
            </w:tcBorders>
          </w:tcPr>
          <w:p w14:paraId="5761E684" w14:textId="77777777" w:rsidR="00A56EE9" w:rsidRPr="00E70A11" w:rsidRDefault="00A56EE9" w:rsidP="00A11869">
            <w:pPr>
              <w:pStyle w:val="ListParagraph"/>
              <w:numPr>
                <w:ilvl w:val="0"/>
                <w:numId w:val="25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web site</w:t>
            </w:r>
          </w:p>
        </w:tc>
        <w:tc>
          <w:tcPr>
            <w:tcW w:w="974" w:type="dxa"/>
            <w:tcBorders>
              <w:top w:val="single" w:sz="4" w:space="0" w:color="auto"/>
              <w:left w:val="single" w:sz="4" w:space="0" w:color="auto"/>
              <w:bottom w:val="single" w:sz="4" w:space="0" w:color="auto"/>
              <w:right w:val="single" w:sz="4" w:space="0" w:color="auto"/>
            </w:tcBorders>
          </w:tcPr>
          <w:p w14:paraId="5761E685" w14:textId="77777777" w:rsidR="00A56EE9" w:rsidRPr="00E70A11" w:rsidRDefault="00A56EE9" w:rsidP="00BB6AD5">
            <w:pPr>
              <w:pStyle w:val="Tablebulletlist"/>
              <w:rPr>
                <w:rStyle w:val="BookTitle"/>
              </w:rPr>
            </w:pPr>
            <w:r w:rsidRPr="00E70A11">
              <w:rPr>
                <w:rFonts w:cs="Arial"/>
              </w:rPr>
              <w:t>Adequate</w:t>
            </w:r>
          </w:p>
        </w:tc>
        <w:tc>
          <w:tcPr>
            <w:tcW w:w="1061" w:type="dxa"/>
            <w:tcBorders>
              <w:top w:val="single" w:sz="4" w:space="0" w:color="auto"/>
              <w:left w:val="single" w:sz="4" w:space="0" w:color="auto"/>
              <w:bottom w:val="single" w:sz="4" w:space="0" w:color="auto"/>
              <w:right w:val="single" w:sz="4" w:space="0" w:color="auto"/>
            </w:tcBorders>
          </w:tcPr>
          <w:p w14:paraId="5761E686" w14:textId="77777777" w:rsidR="00A56EE9" w:rsidRPr="00E70A11" w:rsidRDefault="00A56EE9" w:rsidP="00BB6AD5">
            <w:pPr>
              <w:pStyle w:val="Tablebulletlist"/>
              <w:rPr>
                <w:rStyle w:val="BookTitle"/>
              </w:rPr>
            </w:pPr>
            <w:r w:rsidRPr="00E70A11">
              <w:rPr>
                <w:rStyle w:val="BookTitle"/>
              </w:rPr>
              <w:t>Stable</w:t>
            </w:r>
          </w:p>
        </w:tc>
      </w:tr>
    </w:tbl>
    <w:p w14:paraId="5761E688" w14:textId="77777777" w:rsidR="00A56EE9" w:rsidRPr="00E70A11" w:rsidRDefault="00A56EE9" w:rsidP="00BB6AD5">
      <w:pPr>
        <w:rPr>
          <w:rFonts w:ascii="Arial Narrow" w:hAnsi="Arial Narrow"/>
          <w:sz w:val="18"/>
          <w:szCs w:val="18"/>
        </w:rPr>
      </w:pPr>
    </w:p>
    <w:p w14:paraId="5761E689" w14:textId="77777777" w:rsidR="00A56EE9" w:rsidRPr="00E70A11" w:rsidRDefault="00A56EE9" w:rsidP="00BB6AD5">
      <w:pPr>
        <w:rPr>
          <w:rFonts w:ascii="Arial Narrow" w:hAnsi="Arial Narrow"/>
          <w:b/>
          <w:sz w:val="18"/>
          <w:szCs w:val="18"/>
        </w:rPr>
      </w:pPr>
      <w:bookmarkStart w:id="184" w:name="_Toc369686744"/>
      <w:r w:rsidRPr="00E70A11">
        <w:rPr>
          <w:rFonts w:ascii="Arial Narrow" w:hAnsi="Arial Narrow"/>
          <w:sz w:val="18"/>
          <w:szCs w:val="18"/>
        </w:rPr>
        <w:br w:type="page"/>
      </w:r>
    </w:p>
    <w:p w14:paraId="5761E68A" w14:textId="0307BA7E" w:rsidR="00A56EE9" w:rsidRPr="00E70A11" w:rsidRDefault="00A56EE9" w:rsidP="009C7D6F">
      <w:pPr>
        <w:pStyle w:val="Heading4"/>
      </w:pPr>
      <w:bookmarkStart w:id="185" w:name="_Toc522532002"/>
      <w:bookmarkStart w:id="186" w:name="_Toc525654469"/>
      <w:r>
        <w:t xml:space="preserve">Table </w:t>
      </w:r>
      <w:r>
        <w:rPr>
          <w:noProof/>
        </w:rPr>
        <w:fldChar w:fldCharType="begin"/>
      </w:r>
      <w:r>
        <w:rPr>
          <w:noProof/>
        </w:rPr>
        <w:instrText xml:space="preserve"> SEQ Table \* ARABIC </w:instrText>
      </w:r>
      <w:r>
        <w:rPr>
          <w:noProof/>
        </w:rPr>
        <w:fldChar w:fldCharType="separate"/>
      </w:r>
      <w:r w:rsidR="00A4170C">
        <w:rPr>
          <w:noProof/>
        </w:rPr>
        <w:t>24</w:t>
      </w:r>
      <w:r>
        <w:rPr>
          <w:noProof/>
        </w:rPr>
        <w:fldChar w:fldCharType="end"/>
      </w:r>
      <w:r>
        <w:t xml:space="preserve"> </w:t>
      </w:r>
      <w:r w:rsidRPr="00E70A11">
        <w:t>Calculation of grades for commercial marine tourism</w:t>
      </w:r>
      <w:bookmarkEnd w:id="184"/>
      <w:bookmarkEnd w:id="185"/>
      <w:bookmarkEnd w:id="186"/>
    </w:p>
    <w:tbl>
      <w:tblPr>
        <w:tblW w:w="14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24 Calculation of grades for commercial marine tourism "/>
        <w:tblDescription w:val="Table showing the ratings,  justificaiton and evidence for each of the components for the management effectiveness for commercail marine tourism.  Confidence in the assessment and trend since Outlook 2014 is also provided."/>
      </w:tblPr>
      <w:tblGrid>
        <w:gridCol w:w="2075"/>
        <w:gridCol w:w="664"/>
        <w:gridCol w:w="4599"/>
        <w:gridCol w:w="5231"/>
        <w:gridCol w:w="1006"/>
        <w:gridCol w:w="1215"/>
      </w:tblGrid>
      <w:tr w:rsidR="00A56EE9" w:rsidRPr="00E70A11" w14:paraId="5761E691"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68B" w14:textId="77777777" w:rsidR="00A56EE9" w:rsidRPr="00E70A11" w:rsidRDefault="00A56EE9" w:rsidP="00BB6AD5">
            <w:pPr>
              <w:pStyle w:val="Tablebulletlist"/>
              <w:rPr>
                <w:rStyle w:val="BookTitle"/>
              </w:rPr>
            </w:pPr>
            <w:r w:rsidRPr="00E70A11">
              <w:rPr>
                <w:rStyle w:val="BookTitle"/>
              </w:rPr>
              <w:t>Component of Management</w:t>
            </w:r>
          </w:p>
        </w:tc>
        <w:tc>
          <w:tcPr>
            <w:tcW w:w="664" w:type="dxa"/>
            <w:tcBorders>
              <w:top w:val="single" w:sz="4" w:space="0" w:color="auto"/>
              <w:left w:val="single" w:sz="4" w:space="0" w:color="auto"/>
              <w:bottom w:val="single" w:sz="4" w:space="0" w:color="auto"/>
              <w:right w:val="single" w:sz="4" w:space="0" w:color="auto"/>
            </w:tcBorders>
          </w:tcPr>
          <w:p w14:paraId="5761E68C" w14:textId="77777777" w:rsidR="00A56EE9" w:rsidRPr="00E70A11" w:rsidRDefault="00A56EE9" w:rsidP="00BB6AD5">
            <w:pPr>
              <w:pStyle w:val="Tablebulletlist"/>
              <w:rPr>
                <w:rStyle w:val="BookTitle"/>
              </w:rPr>
            </w:pPr>
            <w:r w:rsidRPr="00E70A11">
              <w:rPr>
                <w:rStyle w:val="BookTitle"/>
              </w:rPr>
              <w:t>Rating</w:t>
            </w:r>
          </w:p>
        </w:tc>
        <w:tc>
          <w:tcPr>
            <w:tcW w:w="4599" w:type="dxa"/>
            <w:tcBorders>
              <w:top w:val="single" w:sz="4" w:space="0" w:color="auto"/>
              <w:left w:val="single" w:sz="4" w:space="0" w:color="auto"/>
              <w:bottom w:val="single" w:sz="4" w:space="0" w:color="auto"/>
              <w:right w:val="single" w:sz="4" w:space="0" w:color="auto"/>
            </w:tcBorders>
          </w:tcPr>
          <w:p w14:paraId="5761E68D" w14:textId="77777777" w:rsidR="00A56EE9" w:rsidRPr="00E70A11" w:rsidRDefault="00A56EE9" w:rsidP="00BB6AD5">
            <w:pPr>
              <w:pStyle w:val="Tablebulletlist"/>
              <w:rPr>
                <w:rStyle w:val="BookTitle"/>
              </w:rPr>
            </w:pPr>
            <w:r w:rsidRPr="00E70A11">
              <w:rPr>
                <w:rStyle w:val="BookTitle"/>
              </w:rPr>
              <w:t>Justification</w:t>
            </w:r>
          </w:p>
        </w:tc>
        <w:tc>
          <w:tcPr>
            <w:tcW w:w="5231" w:type="dxa"/>
            <w:tcBorders>
              <w:top w:val="single" w:sz="4" w:space="0" w:color="auto"/>
              <w:left w:val="single" w:sz="4" w:space="0" w:color="auto"/>
              <w:bottom w:val="single" w:sz="4" w:space="0" w:color="auto"/>
              <w:right w:val="single" w:sz="4" w:space="0" w:color="auto"/>
            </w:tcBorders>
          </w:tcPr>
          <w:p w14:paraId="5761E68E" w14:textId="77777777" w:rsidR="00A56EE9" w:rsidRPr="00E70A11" w:rsidRDefault="00A56EE9" w:rsidP="00BB6AD5">
            <w:pPr>
              <w:pStyle w:val="Tablebulletlist"/>
              <w:rPr>
                <w:rStyle w:val="BookTitle"/>
              </w:rPr>
            </w:pPr>
            <w:r w:rsidRPr="00E70A11">
              <w:rPr>
                <w:rStyle w:val="BookTitle"/>
              </w:rPr>
              <w:t>Evidence/sources</w:t>
            </w:r>
          </w:p>
        </w:tc>
        <w:tc>
          <w:tcPr>
            <w:tcW w:w="1006" w:type="dxa"/>
            <w:tcBorders>
              <w:top w:val="single" w:sz="4" w:space="0" w:color="auto"/>
              <w:left w:val="single" w:sz="4" w:space="0" w:color="auto"/>
              <w:bottom w:val="single" w:sz="4" w:space="0" w:color="auto"/>
              <w:right w:val="single" w:sz="4" w:space="0" w:color="auto"/>
            </w:tcBorders>
          </w:tcPr>
          <w:p w14:paraId="5761E68F" w14:textId="77777777" w:rsidR="00A56EE9" w:rsidRPr="00E70A11" w:rsidRDefault="00A56EE9" w:rsidP="00BB6AD5">
            <w:pPr>
              <w:pStyle w:val="Tablebulletlist"/>
              <w:rPr>
                <w:rStyle w:val="BookTitle"/>
              </w:rPr>
            </w:pPr>
            <w:r w:rsidRPr="00E70A11">
              <w:rPr>
                <w:rStyle w:val="BookTitle"/>
              </w:rPr>
              <w:t>Confidence</w:t>
            </w:r>
          </w:p>
        </w:tc>
        <w:tc>
          <w:tcPr>
            <w:tcW w:w="1215" w:type="dxa"/>
            <w:tcBorders>
              <w:top w:val="single" w:sz="4" w:space="0" w:color="auto"/>
              <w:left w:val="single" w:sz="4" w:space="0" w:color="auto"/>
              <w:bottom w:val="single" w:sz="4" w:space="0" w:color="auto"/>
              <w:right w:val="single" w:sz="4" w:space="0" w:color="auto"/>
            </w:tcBorders>
          </w:tcPr>
          <w:p w14:paraId="5761E690"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1E698"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shd w:val="clear" w:color="auto" w:fill="EEECE1"/>
          </w:tcPr>
          <w:p w14:paraId="5761E692" w14:textId="77777777" w:rsidR="00A56EE9" w:rsidRPr="00E70A11" w:rsidRDefault="00A56EE9" w:rsidP="00BB6AD5">
            <w:pPr>
              <w:pStyle w:val="Tablebulletlist"/>
              <w:rPr>
                <w:rStyle w:val="BookTitle"/>
              </w:rPr>
            </w:pPr>
            <w:r w:rsidRPr="00E70A11">
              <w:rPr>
                <w:rStyle w:val="BookTitle"/>
              </w:rPr>
              <w:t>CONTEXT</w:t>
            </w:r>
          </w:p>
        </w:tc>
        <w:tc>
          <w:tcPr>
            <w:tcW w:w="664" w:type="dxa"/>
            <w:tcBorders>
              <w:top w:val="single" w:sz="4" w:space="0" w:color="auto"/>
              <w:left w:val="single" w:sz="4" w:space="0" w:color="auto"/>
              <w:bottom w:val="single" w:sz="4" w:space="0" w:color="auto"/>
              <w:right w:val="single" w:sz="4" w:space="0" w:color="auto"/>
            </w:tcBorders>
            <w:shd w:val="clear" w:color="auto" w:fill="EEECE1"/>
          </w:tcPr>
          <w:p w14:paraId="5761E693" w14:textId="77777777" w:rsidR="00A56EE9" w:rsidRPr="00E70A11" w:rsidRDefault="00A56EE9" w:rsidP="00BB6AD5">
            <w:pPr>
              <w:pStyle w:val="Tablebulletlist"/>
              <w:rPr>
                <w:rStyle w:val="BookTitle"/>
              </w:rPr>
            </w:pPr>
          </w:p>
        </w:tc>
        <w:tc>
          <w:tcPr>
            <w:tcW w:w="4599" w:type="dxa"/>
            <w:tcBorders>
              <w:top w:val="single" w:sz="4" w:space="0" w:color="auto"/>
              <w:left w:val="single" w:sz="4" w:space="0" w:color="auto"/>
              <w:bottom w:val="single" w:sz="4" w:space="0" w:color="auto"/>
              <w:right w:val="single" w:sz="4" w:space="0" w:color="auto"/>
            </w:tcBorders>
            <w:shd w:val="clear" w:color="auto" w:fill="EEECE1"/>
          </w:tcPr>
          <w:p w14:paraId="5761E694" w14:textId="77777777" w:rsidR="00A56EE9" w:rsidRPr="00E70A11" w:rsidRDefault="00A56EE9" w:rsidP="00BB6AD5">
            <w:pPr>
              <w:pStyle w:val="Tablebulletlist"/>
              <w:rPr>
                <w:rStyle w:val="BookTitle"/>
              </w:rPr>
            </w:pPr>
          </w:p>
        </w:tc>
        <w:tc>
          <w:tcPr>
            <w:tcW w:w="5231" w:type="dxa"/>
            <w:tcBorders>
              <w:top w:val="single" w:sz="4" w:space="0" w:color="auto"/>
              <w:left w:val="single" w:sz="4" w:space="0" w:color="auto"/>
              <w:bottom w:val="single" w:sz="4" w:space="0" w:color="auto"/>
              <w:right w:val="single" w:sz="4" w:space="0" w:color="auto"/>
            </w:tcBorders>
            <w:shd w:val="clear" w:color="auto" w:fill="EEECE1"/>
          </w:tcPr>
          <w:p w14:paraId="5761E695" w14:textId="77777777" w:rsidR="00A56EE9" w:rsidRPr="00E70A11" w:rsidRDefault="00A56EE9" w:rsidP="00BB6AD5">
            <w:pPr>
              <w:pStyle w:val="Tablebulletlist"/>
              <w:rPr>
                <w:rStyle w:val="BookTitle"/>
              </w:rPr>
            </w:pPr>
          </w:p>
        </w:tc>
        <w:tc>
          <w:tcPr>
            <w:tcW w:w="1006" w:type="dxa"/>
            <w:tcBorders>
              <w:top w:val="single" w:sz="4" w:space="0" w:color="auto"/>
              <w:left w:val="single" w:sz="4" w:space="0" w:color="auto"/>
              <w:bottom w:val="single" w:sz="4" w:space="0" w:color="auto"/>
              <w:right w:val="single" w:sz="4" w:space="0" w:color="auto"/>
            </w:tcBorders>
            <w:shd w:val="clear" w:color="auto" w:fill="EEECE1"/>
          </w:tcPr>
          <w:p w14:paraId="5761E696" w14:textId="77777777" w:rsidR="00A56EE9" w:rsidRPr="00E70A11" w:rsidRDefault="00A56EE9" w:rsidP="00BB6AD5">
            <w:pPr>
              <w:pStyle w:val="Tablebulletlist"/>
              <w:rPr>
                <w:rStyle w:val="BookTitle"/>
              </w:rPr>
            </w:pPr>
          </w:p>
        </w:tc>
        <w:tc>
          <w:tcPr>
            <w:tcW w:w="1215" w:type="dxa"/>
            <w:tcBorders>
              <w:top w:val="single" w:sz="4" w:space="0" w:color="auto"/>
              <w:left w:val="single" w:sz="4" w:space="0" w:color="auto"/>
              <w:bottom w:val="single" w:sz="4" w:space="0" w:color="auto"/>
              <w:right w:val="single" w:sz="4" w:space="0" w:color="auto"/>
            </w:tcBorders>
            <w:shd w:val="clear" w:color="auto" w:fill="EEECE1"/>
          </w:tcPr>
          <w:p w14:paraId="5761E697" w14:textId="77777777" w:rsidR="00A56EE9" w:rsidRPr="00E70A11" w:rsidRDefault="00A56EE9" w:rsidP="00BB6AD5">
            <w:pPr>
              <w:pStyle w:val="Tablebulletlist"/>
              <w:rPr>
                <w:rStyle w:val="BookTitle"/>
              </w:rPr>
            </w:pPr>
          </w:p>
        </w:tc>
      </w:tr>
      <w:tr w:rsidR="00A56EE9" w:rsidRPr="00E70A11" w14:paraId="5761E6A6"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699" w14:textId="77777777" w:rsidR="00A56EE9" w:rsidRPr="00E70A11" w:rsidRDefault="00A56EE9" w:rsidP="00BB6AD5">
            <w:pPr>
              <w:pStyle w:val="Tablebulletlist"/>
              <w:rPr>
                <w:rStyle w:val="BookTitle"/>
              </w:rPr>
            </w:pPr>
            <w:r w:rsidRPr="00E70A11">
              <w:rPr>
                <w:rStyle w:val="BookTitle"/>
              </w:rPr>
              <w:t>CO1</w:t>
            </w:r>
            <w:r>
              <w:rPr>
                <w:rStyle w:val="BookTitle"/>
              </w:rPr>
              <w:t xml:space="preserve"> </w:t>
            </w:r>
            <w:r w:rsidRPr="00E70A11">
              <w:rPr>
                <w:rStyle w:val="BookTitle"/>
              </w:rPr>
              <w:t>The values of the Great Barrier Reef relevant to commercial marine tourism are understood by managers</w:t>
            </w:r>
          </w:p>
        </w:tc>
        <w:tc>
          <w:tcPr>
            <w:tcW w:w="664" w:type="dxa"/>
            <w:tcBorders>
              <w:top w:val="single" w:sz="4" w:space="0" w:color="auto"/>
              <w:left w:val="single" w:sz="4" w:space="0" w:color="auto"/>
              <w:bottom w:val="single" w:sz="4" w:space="0" w:color="auto"/>
              <w:right w:val="single" w:sz="4" w:space="0" w:color="auto"/>
            </w:tcBorders>
          </w:tcPr>
          <w:p w14:paraId="5761E69A"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69B" w14:textId="77777777" w:rsidR="00A56EE9" w:rsidRPr="00E70A11" w:rsidRDefault="00A56EE9" w:rsidP="00A11869">
            <w:pPr>
              <w:pStyle w:val="ListParagraph"/>
              <w:numPr>
                <w:ilvl w:val="0"/>
                <w:numId w:val="253"/>
              </w:numPr>
              <w:spacing w:after="200" w:line="276" w:lineRule="auto"/>
              <w:rPr>
                <w:rFonts w:ascii="Arial Narrow" w:hAnsi="Arial Narrow"/>
                <w:sz w:val="18"/>
                <w:szCs w:val="18"/>
              </w:rPr>
            </w:pPr>
            <w:r w:rsidRPr="00E70A11">
              <w:rPr>
                <w:rFonts w:ascii="Arial Narrow" w:hAnsi="Arial Narrow"/>
                <w:sz w:val="18"/>
                <w:szCs w:val="18"/>
              </w:rPr>
              <w:t xml:space="preserve">Values relevant to tourism are similar to values that underpin MNES including OUV and are therefore very well understood by managers. </w:t>
            </w:r>
          </w:p>
          <w:p w14:paraId="5761E69C" w14:textId="77777777" w:rsidR="00A56EE9" w:rsidRPr="00E70A11" w:rsidRDefault="00A56EE9" w:rsidP="00A11869">
            <w:pPr>
              <w:pStyle w:val="ListParagraph"/>
              <w:numPr>
                <w:ilvl w:val="0"/>
                <w:numId w:val="253"/>
              </w:numPr>
              <w:spacing w:after="200" w:line="276" w:lineRule="auto"/>
              <w:rPr>
                <w:rFonts w:ascii="Arial Narrow" w:hAnsi="Arial Narrow"/>
                <w:sz w:val="18"/>
                <w:szCs w:val="18"/>
              </w:rPr>
            </w:pPr>
            <w:r w:rsidRPr="00E70A11">
              <w:rPr>
                <w:rFonts w:ascii="Arial Narrow" w:hAnsi="Arial Narrow"/>
                <w:sz w:val="18"/>
                <w:szCs w:val="18"/>
              </w:rPr>
              <w:t xml:space="preserve">Tourism is the most significant direct use of the Region — both in terms of economic value and employment. In 2017, tourism in the Reef catchment and World Heritage Area generated approximately $5.7 billion to the Australian Economy. </w:t>
            </w:r>
          </w:p>
          <w:p w14:paraId="5761E69D" w14:textId="77777777" w:rsidR="00A56EE9" w:rsidRPr="00E70A11" w:rsidRDefault="00A56EE9" w:rsidP="00A11869">
            <w:pPr>
              <w:pStyle w:val="ListParagraph"/>
              <w:numPr>
                <w:ilvl w:val="0"/>
                <w:numId w:val="253"/>
              </w:numPr>
              <w:spacing w:after="200" w:line="276" w:lineRule="auto"/>
              <w:rPr>
                <w:rFonts w:ascii="Arial Narrow" w:hAnsi="Arial Narrow"/>
                <w:i/>
                <w:iCs/>
                <w:sz w:val="18"/>
                <w:szCs w:val="18"/>
              </w:rPr>
            </w:pPr>
            <w:r w:rsidRPr="00E70A11">
              <w:rPr>
                <w:rFonts w:ascii="Arial Narrow" w:hAnsi="Arial Narrow"/>
                <w:sz w:val="18"/>
                <w:szCs w:val="18"/>
              </w:rPr>
              <w:t xml:space="preserve">For the Region, its long-term attractiveness as a tourism destination is largely based on the Great Barrier Reef’s reputation as the world's largest and best known coral reef — one that has spectacular and diverse species — combined with a high standard of tourism operations and protected area management. The Region’s tourism industry is almost exclusively nature-based, with coral reefs and islands as the focus. </w:t>
            </w:r>
          </w:p>
          <w:p w14:paraId="5761E69E" w14:textId="77777777" w:rsidR="00A56EE9" w:rsidRPr="00E70A11" w:rsidRDefault="00A56EE9" w:rsidP="00A11869">
            <w:pPr>
              <w:pStyle w:val="ListParagraph"/>
              <w:numPr>
                <w:ilvl w:val="0"/>
                <w:numId w:val="253"/>
              </w:numPr>
              <w:spacing w:after="200" w:line="276" w:lineRule="auto"/>
              <w:rPr>
                <w:rFonts w:ascii="Arial Narrow" w:hAnsi="Arial Narrow"/>
                <w:sz w:val="18"/>
                <w:szCs w:val="18"/>
              </w:rPr>
            </w:pPr>
            <w:r w:rsidRPr="00E70A11">
              <w:rPr>
                <w:rFonts w:ascii="Arial Narrow" w:hAnsi="Arial Narrow"/>
                <w:sz w:val="18"/>
                <w:szCs w:val="18"/>
              </w:rPr>
              <w:t xml:space="preserve">The industry offers a wide range of tourism experiences, from cruise ships and live-aboard vessels to day trips on high speed catamarans, fishing charters and kayaking tours. While tourism visitation occurs across most of the Great Barrier Reef, activity is consistently focused on a small portion of the Marine Park, with more than 85 per cent of all tourism activity management occurring in about seven per cent of the Region. </w:t>
            </w:r>
          </w:p>
          <w:p w14:paraId="5761E69F" w14:textId="77777777" w:rsidR="00A56EE9" w:rsidRPr="00E70A11" w:rsidRDefault="00A56EE9" w:rsidP="00A11869">
            <w:pPr>
              <w:pStyle w:val="ListParagraph"/>
              <w:numPr>
                <w:ilvl w:val="0"/>
                <w:numId w:val="253"/>
              </w:numPr>
              <w:spacing w:after="200" w:line="276" w:lineRule="auto"/>
              <w:rPr>
                <w:rFonts w:ascii="Arial Narrow" w:hAnsi="Arial Narrow"/>
                <w:sz w:val="18"/>
                <w:szCs w:val="18"/>
              </w:rPr>
            </w:pPr>
            <w:r w:rsidRPr="00E70A11">
              <w:rPr>
                <w:rFonts w:ascii="Arial Narrow" w:hAnsi="Arial Narrow"/>
                <w:sz w:val="18"/>
                <w:szCs w:val="18"/>
              </w:rPr>
              <w:t xml:space="preserve">The </w:t>
            </w:r>
            <w:r w:rsidRPr="00E70A11">
              <w:rPr>
                <w:rFonts w:ascii="Arial Narrow" w:hAnsi="Arial Narrow"/>
                <w:bCs/>
                <w:sz w:val="18"/>
                <w:szCs w:val="18"/>
              </w:rPr>
              <w:t>strongest values of the GBR</w:t>
            </w:r>
            <w:r w:rsidRPr="00E70A11">
              <w:rPr>
                <w:rFonts w:ascii="Arial Narrow" w:hAnsi="Arial Narrow"/>
                <w:sz w:val="18"/>
                <w:szCs w:val="18"/>
              </w:rPr>
              <w:t xml:space="preserve"> among tourists have been documented. </w:t>
            </w:r>
          </w:p>
        </w:tc>
        <w:tc>
          <w:tcPr>
            <w:tcW w:w="5231" w:type="dxa"/>
            <w:tcBorders>
              <w:top w:val="single" w:sz="4" w:space="0" w:color="auto"/>
              <w:left w:val="single" w:sz="4" w:space="0" w:color="auto"/>
              <w:bottom w:val="single" w:sz="4" w:space="0" w:color="auto"/>
              <w:right w:val="single" w:sz="4" w:space="0" w:color="auto"/>
            </w:tcBorders>
          </w:tcPr>
          <w:p w14:paraId="5761E6A0" w14:textId="4A482AC1"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Deloitte Access Economics, 2017, The economic, social and icon value of the GBR </w:t>
            </w:r>
            <w:hyperlink r:id="rId267" w:tooltip="document link" w:history="1">
              <w:r w:rsidRPr="00E70A11">
                <w:rPr>
                  <w:rStyle w:val="Hyperlink"/>
                  <w:rFonts w:ascii="Arial Narrow" w:hAnsi="Arial Narrow"/>
                  <w:sz w:val="18"/>
                  <w:szCs w:val="18"/>
                </w:rPr>
                <w:t>https://www2.deloitte.com/content/dam/Deloitte/au/Documents/Economics/deloitte-au-economics-great-barrier-reef-230617.pdf</w:t>
              </w:r>
            </w:hyperlink>
          </w:p>
          <w:p w14:paraId="5761E6A1" w14:textId="4D037384"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Access Economics, 2008, </w:t>
            </w:r>
            <w:r w:rsidRPr="00E70A11">
              <w:rPr>
                <w:rFonts w:ascii="Arial Narrow" w:hAnsi="Arial Narrow"/>
                <w:i/>
                <w:iCs/>
                <w:sz w:val="18"/>
                <w:szCs w:val="18"/>
              </w:rPr>
              <w:t xml:space="preserve">Measuring the Economic and Financial Value of the Great Barrier Reef Marine Park, 2005-2006 </w:t>
            </w:r>
            <w:hyperlink r:id="rId268" w:tooltip="document link" w:history="1">
              <w:r w:rsidRPr="00E70A11">
                <w:rPr>
                  <w:rStyle w:val="Hyperlink"/>
                  <w:rFonts w:ascii="Arial Narrow" w:hAnsi="Arial Narrow"/>
                  <w:sz w:val="18"/>
                  <w:szCs w:val="18"/>
                </w:rPr>
                <w:t>http://www.gbrmpa.gov.au/__data/assets/pdf_file/0004/29272/AE_GBRMP_19MAR08.pdf</w:t>
              </w:r>
            </w:hyperlink>
          </w:p>
          <w:p w14:paraId="5761E6A2"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Strategic Assessment, Outlook Report 2009 and 2014</w:t>
            </w:r>
          </w:p>
          <w:p w14:paraId="5761E6A3" w14:textId="77777777" w:rsidR="00A56EE9" w:rsidRPr="00E70A11" w:rsidRDefault="00A56EE9" w:rsidP="00BB6AD5">
            <w:pPr>
              <w:pStyle w:val="ListParagraph"/>
              <w:ind w:left="360"/>
              <w:rPr>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6A4"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6A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6B4"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6A7"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to commercial marine tourism are known by managers</w:t>
            </w:r>
          </w:p>
        </w:tc>
        <w:tc>
          <w:tcPr>
            <w:tcW w:w="664" w:type="dxa"/>
            <w:tcBorders>
              <w:top w:val="single" w:sz="4" w:space="0" w:color="auto"/>
              <w:left w:val="single" w:sz="4" w:space="0" w:color="auto"/>
              <w:bottom w:val="single" w:sz="4" w:space="0" w:color="auto"/>
              <w:right w:val="single" w:sz="4" w:space="0" w:color="auto"/>
            </w:tcBorders>
          </w:tcPr>
          <w:p w14:paraId="5761E6A8"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6A9" w14:textId="77777777" w:rsidR="00A56EE9" w:rsidRPr="00E70A11" w:rsidRDefault="00A56EE9" w:rsidP="00A11869">
            <w:pPr>
              <w:pStyle w:val="ListParagraph"/>
              <w:numPr>
                <w:ilvl w:val="0"/>
                <w:numId w:val="253"/>
              </w:numPr>
              <w:spacing w:after="200" w:line="276" w:lineRule="auto"/>
              <w:rPr>
                <w:rFonts w:ascii="Arial Narrow" w:hAnsi="Arial Narrow"/>
                <w:sz w:val="18"/>
                <w:szCs w:val="18"/>
              </w:rPr>
            </w:pPr>
            <w:r w:rsidRPr="00E70A11">
              <w:rPr>
                <w:rFonts w:ascii="Arial Narrow" w:hAnsi="Arial Narrow"/>
                <w:sz w:val="18"/>
                <w:szCs w:val="18"/>
              </w:rPr>
              <w:t xml:space="preserve">The current condition and trend of biophysical and ecological values relevant to commercial tourism are well known by managers, particularly in the more heavily used parts of the Region. </w:t>
            </w:r>
          </w:p>
          <w:p w14:paraId="5761E6AA" w14:textId="77777777" w:rsidR="00A56EE9" w:rsidRPr="00E70A11" w:rsidRDefault="00A56EE9" w:rsidP="00A11869">
            <w:pPr>
              <w:pStyle w:val="ListParagraph"/>
              <w:numPr>
                <w:ilvl w:val="0"/>
                <w:numId w:val="253"/>
              </w:numPr>
              <w:spacing w:after="200" w:line="276" w:lineRule="auto"/>
              <w:rPr>
                <w:rFonts w:ascii="Arial Narrow" w:hAnsi="Arial Narrow"/>
                <w:sz w:val="18"/>
                <w:szCs w:val="18"/>
              </w:rPr>
            </w:pPr>
            <w:r w:rsidRPr="00E70A11">
              <w:rPr>
                <w:rFonts w:ascii="Arial Narrow" w:hAnsi="Arial Narrow"/>
                <w:sz w:val="18"/>
                <w:szCs w:val="18"/>
              </w:rPr>
              <w:t xml:space="preserve">Attitudes towards interacting with wildlife have changed over the decades. Whereas visitors may have previously interacted with wildlife, are now much more aware of their activities (see new guidelines for emerging technology e.g. drones in new section) and the best environmental practices for viewing these animals. At the same time, management arrangements have addressed many interactions (such as approaching whales, visiting important seabird rookeries or approaching critical migratory shorebird roosts). </w:t>
            </w:r>
          </w:p>
          <w:p w14:paraId="5761E6AB" w14:textId="77777777" w:rsidR="00A56EE9" w:rsidRPr="00E70A11" w:rsidRDefault="00A56EE9" w:rsidP="00A11869">
            <w:pPr>
              <w:pStyle w:val="ListParagraph"/>
              <w:numPr>
                <w:ilvl w:val="0"/>
                <w:numId w:val="253"/>
              </w:numPr>
              <w:spacing w:after="200" w:line="276" w:lineRule="auto"/>
              <w:rPr>
                <w:rFonts w:ascii="Arial Narrow" w:hAnsi="Arial Narrow"/>
                <w:sz w:val="18"/>
                <w:szCs w:val="18"/>
              </w:rPr>
            </w:pPr>
            <w:r w:rsidRPr="00E70A11">
              <w:rPr>
                <w:rFonts w:ascii="Arial Narrow" w:hAnsi="Arial Narrow"/>
                <w:sz w:val="18"/>
                <w:szCs w:val="18"/>
              </w:rPr>
              <w:t>Since 2014 the Great Barrier Reef has experienced significant and unprecedented impacts from cyclones, coral bleaching and a crown-of-thorns starfish outbreak – which is still underway. The 2016–17 coral bleaching affected the northern Great Barrier Reef including to varying degrees the tourism region comprising offshore Cairns and Port Douglas. In addition in 2017, the Whitsundays experienced Tropical Cyclone Debbie impacting many of the fringing reefs in this area.</w:t>
            </w:r>
          </w:p>
          <w:p w14:paraId="5761E6AC" w14:textId="77777777" w:rsidR="00A56EE9" w:rsidRPr="00E70A11" w:rsidRDefault="00A56EE9" w:rsidP="00A11869">
            <w:pPr>
              <w:pStyle w:val="ListParagraph"/>
              <w:numPr>
                <w:ilvl w:val="0"/>
                <w:numId w:val="253"/>
              </w:numPr>
              <w:spacing w:after="200" w:line="276" w:lineRule="auto"/>
              <w:rPr>
                <w:rFonts w:ascii="Arial Narrow" w:hAnsi="Arial Narrow"/>
                <w:sz w:val="18"/>
                <w:szCs w:val="18"/>
              </w:rPr>
            </w:pPr>
            <w:r w:rsidRPr="00E70A11">
              <w:rPr>
                <w:rFonts w:ascii="Arial Narrow" w:hAnsi="Arial Narrow"/>
                <w:sz w:val="18"/>
                <w:szCs w:val="18"/>
              </w:rPr>
              <w:t>The Eye on the Reef database at GBRMPA contains information on the trend of coral cover, COTS and other environmental values, particularly around tourism sites. In 2016-17 &gt; 4500 surveys of reef health and 2859 sightings of protected species and significant events were received.</w:t>
            </w:r>
          </w:p>
        </w:tc>
        <w:tc>
          <w:tcPr>
            <w:tcW w:w="5231" w:type="dxa"/>
            <w:tcBorders>
              <w:top w:val="single" w:sz="4" w:space="0" w:color="auto"/>
              <w:left w:val="single" w:sz="4" w:space="0" w:color="auto"/>
              <w:bottom w:val="single" w:sz="4" w:space="0" w:color="auto"/>
              <w:right w:val="single" w:sz="4" w:space="0" w:color="auto"/>
            </w:tcBorders>
          </w:tcPr>
          <w:p w14:paraId="5761E6AD"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Hughes et al (2017) Global warming and recurrent mass bleaching of corals, Nature 543, 373 (REF 1).</w:t>
            </w:r>
          </w:p>
          <w:p w14:paraId="5761E6AE"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Whitsunday Plan of Management</w:t>
            </w:r>
          </w:p>
          <w:p w14:paraId="5761E6AF"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2016 Post bleaching report – GBRMPA (http://hdl.handle.net/11017/3206)</w:t>
            </w:r>
          </w:p>
          <w:p w14:paraId="5761E6B0" w14:textId="16C57240"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interactive sightings portal: </w:t>
            </w:r>
            <w:hyperlink r:id="rId269" w:tooltip="document link" w:history="1">
              <w:r w:rsidRPr="00E70A11">
                <w:rPr>
                  <w:rStyle w:val="Hyperlink"/>
                  <w:rFonts w:ascii="Arial Narrow" w:hAnsi="Arial Narrow"/>
                  <w:sz w:val="18"/>
                  <w:szCs w:val="18"/>
                </w:rPr>
                <w:t>http://www.gbrmpa.gov.au/sightings-network/</w:t>
              </w:r>
            </w:hyperlink>
          </w:p>
          <w:p w14:paraId="5761E6B1" w14:textId="77777777" w:rsidR="00A56EE9" w:rsidRPr="00E70A11" w:rsidRDefault="00A56EE9" w:rsidP="00BB6AD5">
            <w:pPr>
              <w:pStyle w:val="ListParagraph"/>
              <w:rPr>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6B2"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6B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6C6"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6B5"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Impacts (direct, indirect and cumulative) associated with commercial marine tourism are understood by managers.</w:t>
            </w:r>
          </w:p>
        </w:tc>
        <w:tc>
          <w:tcPr>
            <w:tcW w:w="664" w:type="dxa"/>
            <w:tcBorders>
              <w:top w:val="single" w:sz="4" w:space="0" w:color="auto"/>
              <w:left w:val="single" w:sz="4" w:space="0" w:color="auto"/>
              <w:bottom w:val="single" w:sz="4" w:space="0" w:color="auto"/>
              <w:right w:val="single" w:sz="4" w:space="0" w:color="auto"/>
            </w:tcBorders>
          </w:tcPr>
          <w:p w14:paraId="5761E6B6"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6B7" w14:textId="77777777" w:rsidR="00A56EE9" w:rsidRPr="00E70A11" w:rsidRDefault="00A56EE9" w:rsidP="00A11869">
            <w:pPr>
              <w:pStyle w:val="ListParagraph"/>
              <w:numPr>
                <w:ilvl w:val="0"/>
                <w:numId w:val="254"/>
              </w:numPr>
              <w:spacing w:after="200" w:line="276" w:lineRule="auto"/>
              <w:rPr>
                <w:rFonts w:ascii="Arial Narrow" w:hAnsi="Arial Narrow"/>
                <w:sz w:val="18"/>
                <w:szCs w:val="18"/>
              </w:rPr>
            </w:pPr>
            <w:r w:rsidRPr="00E70A11">
              <w:rPr>
                <w:rFonts w:ascii="Arial Narrow" w:hAnsi="Arial Narrow"/>
                <w:sz w:val="18"/>
                <w:szCs w:val="18"/>
              </w:rPr>
              <w:t xml:space="preserve">Compared to other activities and pressures which impact the reef, tourism is considered to be low risk in most cases. The cumulative impact of tourism in high use locations in addition to other uses can be high risk. This is managed through a combination of permits, Plans of Management and site management arrangements. </w:t>
            </w:r>
          </w:p>
          <w:p w14:paraId="5761E6B8" w14:textId="77777777" w:rsidR="00A56EE9" w:rsidRPr="00E70A11" w:rsidRDefault="00A56EE9" w:rsidP="00A11869">
            <w:pPr>
              <w:pStyle w:val="ListParagraph"/>
              <w:numPr>
                <w:ilvl w:val="0"/>
                <w:numId w:val="254"/>
              </w:numPr>
              <w:spacing w:after="200" w:line="276" w:lineRule="auto"/>
              <w:rPr>
                <w:rFonts w:ascii="Arial Narrow" w:hAnsi="Arial Narrow"/>
                <w:sz w:val="18"/>
                <w:szCs w:val="18"/>
              </w:rPr>
            </w:pPr>
            <w:r w:rsidRPr="00E70A11">
              <w:rPr>
                <w:rFonts w:ascii="Arial Narrow" w:hAnsi="Arial Narrow"/>
                <w:sz w:val="18"/>
                <w:szCs w:val="18"/>
              </w:rPr>
              <w:t xml:space="preserve">At a local scale tourism can cause impacts through anchor damage to coral reefs and seagrass meadows, poorly supervised activities, such as diving and snorkelling, and disturbance to wildlife including whales, marine turtles and seabirds, some of which are MNES. These impacts have been largely reduced by regulation (for example, whale approach distances and no-anchoring areas), site management arrangements (such as group size limits at locations, use of moorings, seasonal seabird closure areas); permit arrangements (for example, fish feeding guidelines); education; compliance action (e.g. prosecution of masters of tourism vessels that impact the Reef $4000 fine in 2017, $7500 fine in 2017 for damage to Reef) and the adoption of best practices for activities (such as diving and snorkelling). </w:t>
            </w:r>
          </w:p>
          <w:p w14:paraId="5761E6B9" w14:textId="77777777" w:rsidR="00A56EE9" w:rsidRPr="00E70A11" w:rsidRDefault="00A56EE9" w:rsidP="00A11869">
            <w:pPr>
              <w:pStyle w:val="ListParagraph"/>
              <w:numPr>
                <w:ilvl w:val="0"/>
                <w:numId w:val="254"/>
              </w:numPr>
              <w:spacing w:after="200" w:line="276" w:lineRule="auto"/>
              <w:rPr>
                <w:rFonts w:ascii="Arial Narrow" w:hAnsi="Arial Narrow"/>
                <w:sz w:val="18"/>
                <w:szCs w:val="18"/>
              </w:rPr>
            </w:pPr>
            <w:r w:rsidRPr="00E70A11">
              <w:rPr>
                <w:rFonts w:ascii="Arial Narrow" w:hAnsi="Arial Narrow"/>
                <w:sz w:val="18"/>
                <w:szCs w:val="18"/>
              </w:rPr>
              <w:t>Tourism use of the Region also has the potential to impact on or displace other users, such as commercial fishers and recreational users, particularly in high use areas (e.g. Vlassof Cay). There have been some recent examples of conflict between the activities of tourism operations and those of Traditional Owners exercising their traditional hunting rights around Green Island.</w:t>
            </w:r>
            <w:r w:rsidRPr="00E70A11">
              <w:rPr>
                <w:rFonts w:ascii="Arial Narrow" w:hAnsi="Arial Narrow"/>
                <w:sz w:val="18"/>
                <w:szCs w:val="18"/>
              </w:rPr>
              <w:fldChar w:fldCharType="begin"/>
            </w:r>
            <w:r w:rsidRPr="00E70A11">
              <w:rPr>
                <w:rFonts w:ascii="Arial Narrow" w:hAnsi="Arial Narrow"/>
                <w:sz w:val="18"/>
                <w:szCs w:val="18"/>
              </w:rPr>
              <w:instrText>ADDIN RW.CITE{{21135 Packham,L. 2013}}</w:instrText>
            </w:r>
            <w:r w:rsidRPr="00E70A11">
              <w:rPr>
                <w:rFonts w:ascii="Arial Narrow" w:hAnsi="Arial Narrow"/>
                <w:sz w:val="18"/>
                <w:szCs w:val="18"/>
              </w:rPr>
              <w:fldChar w:fldCharType="end"/>
            </w:r>
            <w:r w:rsidRPr="00E70A11">
              <w:rPr>
                <w:rFonts w:ascii="Arial Narrow" w:hAnsi="Arial Narrow"/>
                <w:sz w:val="18"/>
                <w:szCs w:val="18"/>
              </w:rPr>
              <w:t xml:space="preserve"> </w:t>
            </w:r>
          </w:p>
          <w:p w14:paraId="5761E6BA" w14:textId="77777777" w:rsidR="00A56EE9" w:rsidRPr="00E70A11" w:rsidRDefault="00A56EE9" w:rsidP="00A11869">
            <w:pPr>
              <w:pStyle w:val="ListParagraph"/>
              <w:numPr>
                <w:ilvl w:val="0"/>
                <w:numId w:val="254"/>
              </w:numPr>
              <w:spacing w:after="200" w:line="276" w:lineRule="auto"/>
              <w:rPr>
                <w:rFonts w:ascii="Arial Narrow" w:hAnsi="Arial Narrow"/>
                <w:sz w:val="18"/>
                <w:szCs w:val="18"/>
              </w:rPr>
            </w:pPr>
            <w:r w:rsidRPr="00E70A11">
              <w:rPr>
                <w:rFonts w:ascii="Arial Narrow" w:hAnsi="Arial Narrow"/>
                <w:sz w:val="18"/>
                <w:szCs w:val="18"/>
              </w:rPr>
              <w:t>To minimise impacts on biodiversity, sewage discharge standards for all users, including tourism operations, have been improved. Discharge at sea (more than one nautical mile from any reef or island and the mainland) remains necessary for many tourism operations as there are insufficient land-based facilities to service the fleet’s pump-out requirements.</w:t>
            </w:r>
          </w:p>
          <w:p w14:paraId="5761E6BB" w14:textId="77777777" w:rsidR="00A56EE9" w:rsidRPr="00E70A11" w:rsidRDefault="00A56EE9" w:rsidP="00A11869">
            <w:pPr>
              <w:pStyle w:val="ListParagraph"/>
              <w:numPr>
                <w:ilvl w:val="0"/>
                <w:numId w:val="254"/>
              </w:numPr>
              <w:spacing w:after="200" w:line="276" w:lineRule="auto"/>
              <w:rPr>
                <w:rFonts w:ascii="Arial Narrow" w:hAnsi="Arial Narrow"/>
                <w:sz w:val="18"/>
                <w:szCs w:val="18"/>
              </w:rPr>
            </w:pPr>
            <w:r w:rsidRPr="00E70A11">
              <w:rPr>
                <w:rFonts w:ascii="Arial Narrow" w:hAnsi="Arial Narrow"/>
                <w:sz w:val="18"/>
                <w:szCs w:val="18"/>
              </w:rPr>
              <w:t>A number of compliance incidents involving the tourism industry are reported annually, particularly from the more intensively used Cairns and Whitsunday areas.</w:t>
            </w:r>
            <w:r>
              <w:rPr>
                <w:rFonts w:ascii="Arial Narrow" w:hAnsi="Arial Narrow"/>
                <w:sz w:val="18"/>
                <w:szCs w:val="18"/>
              </w:rPr>
              <w:t xml:space="preserve"> </w:t>
            </w:r>
            <w:r w:rsidRPr="00E70A11">
              <w:rPr>
                <w:rFonts w:ascii="Arial Narrow" w:hAnsi="Arial Narrow"/>
                <w:sz w:val="18"/>
                <w:szCs w:val="18"/>
              </w:rPr>
              <w:t xml:space="preserve">Reports are typically about breaches of Marine Park permits, unpermitted activity, Plan of Management offences (such as undertaking activities not in accordance with group and vessel size limits), issues around payment of the environmental management charge, groundings and moorings offences. </w:t>
            </w:r>
          </w:p>
          <w:p w14:paraId="5761E6BC" w14:textId="77777777" w:rsidR="00A56EE9" w:rsidRDefault="00A56EE9" w:rsidP="00A11869">
            <w:pPr>
              <w:pStyle w:val="ListParagraph"/>
              <w:numPr>
                <w:ilvl w:val="0"/>
                <w:numId w:val="254"/>
              </w:numPr>
              <w:spacing w:after="200" w:line="276" w:lineRule="auto"/>
              <w:rPr>
                <w:rFonts w:ascii="Arial Narrow" w:hAnsi="Arial Narrow"/>
                <w:sz w:val="18"/>
                <w:szCs w:val="18"/>
              </w:rPr>
            </w:pPr>
            <w:r w:rsidRPr="00E70A11">
              <w:rPr>
                <w:rFonts w:ascii="Arial Narrow" w:hAnsi="Arial Narrow"/>
                <w:sz w:val="18"/>
                <w:szCs w:val="18"/>
              </w:rPr>
              <w:t xml:space="preserve">As structures such as pontoons, jetties, underwater observatories and moorings age, they require more investment in maintenance to ensure they are not a threat to the surrounding environment and do not impact on amenity and presentation values of a location. Since 2014 the GBRMPA has invested heavily in permit compliance particularly around marine tourism structures </w:t>
            </w:r>
            <w:r>
              <w:rPr>
                <w:rFonts w:ascii="Arial Narrow" w:hAnsi="Arial Narrow"/>
                <w:sz w:val="18"/>
                <w:szCs w:val="18"/>
              </w:rPr>
              <w:t>(in particular tourism pontoons)</w:t>
            </w:r>
            <w:r w:rsidRPr="00672054">
              <w:rPr>
                <w:rFonts w:ascii="Arial Narrow" w:hAnsi="Arial Narrow"/>
                <w:sz w:val="18"/>
                <w:szCs w:val="18"/>
              </w:rPr>
              <w:t xml:space="preserve"> </w:t>
            </w:r>
            <w:r w:rsidRPr="00E70A11">
              <w:rPr>
                <w:rFonts w:ascii="Arial Narrow" w:hAnsi="Arial Narrow"/>
                <w:sz w:val="18"/>
                <w:szCs w:val="18"/>
              </w:rPr>
              <w:t xml:space="preserve">to ensure permitted structures are maintained in good condition to reduce risks to values. </w:t>
            </w:r>
          </w:p>
          <w:p w14:paraId="5761E6BD" w14:textId="77777777" w:rsidR="00A56EE9" w:rsidRPr="00E70A11" w:rsidRDefault="00A56EE9" w:rsidP="00A11869">
            <w:pPr>
              <w:pStyle w:val="ListParagraph"/>
              <w:numPr>
                <w:ilvl w:val="0"/>
                <w:numId w:val="254"/>
              </w:numPr>
              <w:spacing w:after="200" w:line="276" w:lineRule="auto"/>
              <w:rPr>
                <w:rFonts w:ascii="Arial Narrow" w:hAnsi="Arial Narrow"/>
                <w:sz w:val="18"/>
                <w:szCs w:val="18"/>
              </w:rPr>
            </w:pPr>
            <w:r w:rsidRPr="00E70A11">
              <w:rPr>
                <w:rFonts w:ascii="Arial Narrow" w:hAnsi="Arial Narrow"/>
                <w:sz w:val="18"/>
                <w:szCs w:val="18"/>
              </w:rPr>
              <w:t>Several policies have also been updated to manage potential impacts from tourism.</w:t>
            </w:r>
            <w:r>
              <w:rPr>
                <w:rFonts w:ascii="Arial Narrow" w:hAnsi="Arial Narrow"/>
                <w:sz w:val="18"/>
                <w:szCs w:val="18"/>
              </w:rPr>
              <w:t xml:space="preserve"> As well as strengthening of the permission system since October 4</w:t>
            </w:r>
            <w:r w:rsidRPr="001E03FC">
              <w:rPr>
                <w:rFonts w:ascii="Arial Narrow" w:hAnsi="Arial Narrow"/>
                <w:sz w:val="18"/>
                <w:szCs w:val="18"/>
                <w:vertAlign w:val="superscript"/>
              </w:rPr>
              <w:t>th</w:t>
            </w:r>
            <w:r>
              <w:rPr>
                <w:rFonts w:ascii="Arial Narrow" w:hAnsi="Arial Narrow"/>
                <w:sz w:val="18"/>
                <w:szCs w:val="18"/>
              </w:rPr>
              <w:t xml:space="preserve"> with new Regulations and assessment guidelines.</w:t>
            </w:r>
          </w:p>
        </w:tc>
        <w:tc>
          <w:tcPr>
            <w:tcW w:w="5231" w:type="dxa"/>
            <w:tcBorders>
              <w:top w:val="single" w:sz="4" w:space="0" w:color="auto"/>
              <w:left w:val="single" w:sz="4" w:space="0" w:color="auto"/>
              <w:bottom w:val="single" w:sz="4" w:space="0" w:color="auto"/>
              <w:right w:val="single" w:sz="4" w:space="0" w:color="auto"/>
            </w:tcBorders>
          </w:tcPr>
          <w:p w14:paraId="5761E6BE" w14:textId="6D0E2C6B" w:rsidR="00A56EE9" w:rsidRPr="00E70A11" w:rsidRDefault="00A56EE9" w:rsidP="00A11869">
            <w:pPr>
              <w:pStyle w:val="ListParagraph"/>
              <w:numPr>
                <w:ilvl w:val="0"/>
                <w:numId w:val="25"/>
              </w:numPr>
              <w:spacing w:after="200" w:line="276" w:lineRule="auto"/>
              <w:rPr>
                <w:rFonts w:ascii="Arial Narrow" w:hAnsi="Arial Narrow"/>
                <w:sz w:val="18"/>
                <w:szCs w:val="18"/>
                <w:u w:val="single"/>
              </w:rPr>
            </w:pPr>
            <w:r w:rsidRPr="00E70A11">
              <w:rPr>
                <w:rFonts w:ascii="Arial Narrow" w:hAnsi="Arial Narrow"/>
                <w:i/>
                <w:sz w:val="18"/>
                <w:szCs w:val="18"/>
                <w:u w:val="single"/>
              </w:rPr>
              <w:t xml:space="preserve">Moorings Policy 2014: </w:t>
            </w:r>
            <w:hyperlink r:id="rId270" w:tooltip="document link" w:history="1">
              <w:r w:rsidRPr="00E70A11">
                <w:rPr>
                  <w:rStyle w:val="Hyperlink"/>
                  <w:rFonts w:ascii="Arial Narrow" w:hAnsi="Arial Narrow"/>
                  <w:sz w:val="18"/>
                  <w:szCs w:val="18"/>
                </w:rPr>
                <w:t>http://www.gbrmpa.gov.au/about-us/legislation-regulations-and-policies/policies-and-position-statements</w:t>
              </w:r>
            </w:hyperlink>
          </w:p>
          <w:p w14:paraId="5761E6BF" w14:textId="0BE50F15"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UN report - Impacts of climate change on World Heritage coral reefs: a first global scientific assessment, Heron, S.F., Eakin, C.M. and Douvere, F. 2017, Impacts of climate change on World Heritage coral reefs: a first global scientific assessment, UNESCO World Heritage Centre, Paris, &lt;</w:t>
            </w:r>
            <w:hyperlink r:id="rId271" w:tgtFrame="_blank" w:tooltip="document link" w:history="1">
              <w:r w:rsidRPr="00E70A11">
                <w:rPr>
                  <w:rStyle w:val="Hyperlink"/>
                  <w:rFonts w:ascii="Arial Narrow" w:hAnsi="Arial Narrow"/>
                  <w:sz w:val="18"/>
                  <w:szCs w:val="18"/>
                </w:rPr>
                <w:t>http://edocs.gbrmpa.gov.au/RefWorks/2011-2020/2017/Heron_etal_2017_Impact-CC-WHAs.pdf</w:t>
              </w:r>
            </w:hyperlink>
          </w:p>
          <w:p w14:paraId="5761E6C0" w14:textId="45838E24"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272" w:tooltip="document link" w:history="1">
              <w:r w:rsidR="00A56EE9" w:rsidRPr="00E70A11">
                <w:rPr>
                  <w:rStyle w:val="Hyperlink"/>
                  <w:rFonts w:ascii="Arial Narrow" w:hAnsi="Arial Narrow"/>
                  <w:sz w:val="18"/>
                  <w:szCs w:val="18"/>
                </w:rPr>
                <w:t>Environmental impact management - permission system Policy (Oct 2017)</w:t>
              </w:r>
            </w:hyperlink>
          </w:p>
          <w:p w14:paraId="5761E6C1" w14:textId="152B7CB8"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273" w:tooltip="document link" w:history="1">
              <w:r w:rsidR="00A56EE9" w:rsidRPr="00E70A11">
                <w:rPr>
                  <w:rStyle w:val="Hyperlink"/>
                  <w:rFonts w:ascii="Arial Narrow" w:hAnsi="Arial Narrow"/>
                  <w:sz w:val="18"/>
                  <w:szCs w:val="18"/>
                </w:rPr>
                <w:t>Activity assessment guidelines - fixed facilities</w:t>
              </w:r>
            </w:hyperlink>
            <w:r w:rsidR="00A56EE9" w:rsidRPr="00E70A11">
              <w:rPr>
                <w:rFonts w:ascii="Arial Narrow" w:hAnsi="Arial Narrow"/>
                <w:sz w:val="18"/>
                <w:szCs w:val="18"/>
              </w:rPr>
              <w:t xml:space="preserve"> (in development)</w:t>
            </w:r>
          </w:p>
          <w:p w14:paraId="5761E6C2" w14:textId="264C9080"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274" w:tooltip="document link" w:history="1">
              <w:r w:rsidR="00A56EE9" w:rsidRPr="00E70A11">
                <w:rPr>
                  <w:rStyle w:val="Hyperlink"/>
                  <w:rFonts w:ascii="Arial Narrow" w:hAnsi="Arial Narrow"/>
                  <w:sz w:val="18"/>
                  <w:szCs w:val="18"/>
                </w:rPr>
                <w:t>Activity assessment guidelines - tourist pontoons</w:t>
              </w:r>
            </w:hyperlink>
            <w:r w:rsidR="00A56EE9" w:rsidRPr="00E70A11">
              <w:rPr>
                <w:rFonts w:ascii="Arial Narrow" w:hAnsi="Arial Narrow"/>
                <w:sz w:val="18"/>
                <w:szCs w:val="18"/>
              </w:rPr>
              <w:t xml:space="preserve"> (in development)</w:t>
            </w:r>
          </w:p>
          <w:p w14:paraId="5761E6C3" w14:textId="77777777" w:rsidR="00A56EE9" w:rsidRPr="00E70A11" w:rsidRDefault="00A56EE9" w:rsidP="00BB6AD5">
            <w:pPr>
              <w:pStyle w:val="ListParagraph"/>
              <w:ind w:left="360"/>
              <w:rPr>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6C4"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6C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6CF"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6C7"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commercial marine tourism are understood by managers.</w:t>
            </w:r>
          </w:p>
        </w:tc>
        <w:tc>
          <w:tcPr>
            <w:tcW w:w="664" w:type="dxa"/>
            <w:tcBorders>
              <w:top w:val="single" w:sz="4" w:space="0" w:color="auto"/>
              <w:left w:val="single" w:sz="4" w:space="0" w:color="auto"/>
              <w:bottom w:val="single" w:sz="4" w:space="0" w:color="auto"/>
              <w:right w:val="single" w:sz="4" w:space="0" w:color="auto"/>
            </w:tcBorders>
          </w:tcPr>
          <w:p w14:paraId="5761E6C8"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6C9" w14:textId="77777777" w:rsidR="00A56EE9" w:rsidRPr="00E70A11" w:rsidRDefault="00A56EE9" w:rsidP="00A11869">
            <w:pPr>
              <w:pStyle w:val="ListParagraph"/>
              <w:numPr>
                <w:ilvl w:val="0"/>
                <w:numId w:val="255"/>
              </w:numPr>
              <w:spacing w:after="200" w:line="276" w:lineRule="auto"/>
              <w:rPr>
                <w:rFonts w:ascii="Arial Narrow" w:hAnsi="Arial Narrow"/>
                <w:sz w:val="18"/>
                <w:szCs w:val="18"/>
              </w:rPr>
            </w:pPr>
            <w:r w:rsidRPr="00E70A11">
              <w:rPr>
                <w:rFonts w:ascii="Arial Narrow" w:hAnsi="Arial Narrow"/>
                <w:sz w:val="18"/>
                <w:szCs w:val="18"/>
              </w:rPr>
              <w:t>Reef-dependent activities including tourism are vulnerable to the negative effects that ocean acidification, sea level rise, more frequent extreme weather and warming sea temperatures may have on Reef condition.</w:t>
            </w:r>
          </w:p>
          <w:p w14:paraId="5761E6CA" w14:textId="77777777" w:rsidR="00A56EE9" w:rsidRPr="00E70A11" w:rsidRDefault="00A56EE9" w:rsidP="00A11869">
            <w:pPr>
              <w:pStyle w:val="ListParagraph"/>
              <w:numPr>
                <w:ilvl w:val="0"/>
                <w:numId w:val="255"/>
              </w:numPr>
              <w:spacing w:after="200" w:line="276" w:lineRule="auto"/>
              <w:rPr>
                <w:rFonts w:ascii="Arial Narrow" w:hAnsi="Arial Narrow"/>
                <w:sz w:val="18"/>
                <w:szCs w:val="18"/>
              </w:rPr>
            </w:pPr>
            <w:r w:rsidRPr="00E70A11">
              <w:rPr>
                <w:rFonts w:ascii="Arial Narrow" w:hAnsi="Arial Narrow"/>
                <w:sz w:val="18"/>
                <w:szCs w:val="18"/>
              </w:rPr>
              <w:t xml:space="preserve">The Reef-based tourism industry is very concerned about the impacts of climate change on its businesses and livelihoods, including degradation of reef sites, poor recovery of bleached sites, crown-of-thorns starfish predation and sediment exposure. A future predicted increase of two degrees Celsius in the average sea temperature will likely lead to annual bleaching. </w:t>
            </w:r>
          </w:p>
        </w:tc>
        <w:tc>
          <w:tcPr>
            <w:tcW w:w="5231" w:type="dxa"/>
            <w:tcBorders>
              <w:top w:val="single" w:sz="4" w:space="0" w:color="auto"/>
              <w:left w:val="single" w:sz="4" w:space="0" w:color="auto"/>
              <w:bottom w:val="single" w:sz="4" w:space="0" w:color="auto"/>
              <w:right w:val="single" w:sz="4" w:space="0" w:color="auto"/>
            </w:tcBorders>
          </w:tcPr>
          <w:p w14:paraId="5761E6CB" w14:textId="2050B4E4" w:rsidR="00A56EE9" w:rsidRPr="00E70A11" w:rsidRDefault="00A56EE9" w:rsidP="00A11869">
            <w:pPr>
              <w:pStyle w:val="ListParagraph"/>
              <w:numPr>
                <w:ilvl w:val="0"/>
                <w:numId w:val="25"/>
              </w:numPr>
              <w:spacing w:after="200" w:line="276" w:lineRule="auto"/>
              <w:rPr>
                <w:rFonts w:ascii="Arial Narrow" w:hAnsi="Arial Narrow"/>
                <w:sz w:val="18"/>
                <w:szCs w:val="18"/>
                <w:u w:val="single"/>
              </w:rPr>
            </w:pPr>
            <w:r w:rsidRPr="00E70A11">
              <w:rPr>
                <w:rFonts w:ascii="Arial Narrow" w:hAnsi="Arial Narrow"/>
                <w:sz w:val="18"/>
                <w:szCs w:val="18"/>
              </w:rPr>
              <w:t xml:space="preserve"> Visitation trends at: </w:t>
            </w:r>
            <w:hyperlink r:id="rId275" w:tooltip="document link" w:history="1">
              <w:r w:rsidRPr="00E70A11">
                <w:rPr>
                  <w:rStyle w:val="Hyperlink"/>
                  <w:rFonts w:ascii="Arial Narrow" w:hAnsi="Arial Narrow"/>
                  <w:sz w:val="18"/>
                  <w:szCs w:val="18"/>
                </w:rPr>
                <w:t>http://www.gbrmpa.gov.au/visit-the-reef/visitor-contributions/gbr_visitation/numbers</w:t>
              </w:r>
            </w:hyperlink>
          </w:p>
          <w:p w14:paraId="5761E6CC"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Stakeholders and workshops</w:t>
            </w:r>
          </w:p>
        </w:tc>
        <w:tc>
          <w:tcPr>
            <w:tcW w:w="1006" w:type="dxa"/>
            <w:tcBorders>
              <w:top w:val="single" w:sz="4" w:space="0" w:color="auto"/>
              <w:left w:val="single" w:sz="4" w:space="0" w:color="auto"/>
              <w:bottom w:val="single" w:sz="4" w:space="0" w:color="auto"/>
              <w:right w:val="single" w:sz="4" w:space="0" w:color="auto"/>
            </w:tcBorders>
          </w:tcPr>
          <w:p w14:paraId="5761E6CD"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6C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6DD"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6D0"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commercial marine tourism are well known by managers.</w:t>
            </w:r>
          </w:p>
        </w:tc>
        <w:tc>
          <w:tcPr>
            <w:tcW w:w="664" w:type="dxa"/>
            <w:tcBorders>
              <w:top w:val="single" w:sz="4" w:space="0" w:color="auto"/>
              <w:left w:val="single" w:sz="4" w:space="0" w:color="auto"/>
              <w:bottom w:val="single" w:sz="4" w:space="0" w:color="auto"/>
              <w:right w:val="single" w:sz="4" w:space="0" w:color="auto"/>
            </w:tcBorders>
          </w:tcPr>
          <w:p w14:paraId="5761E6D1"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6D2" w14:textId="77777777" w:rsidR="00A56EE9" w:rsidRPr="00E70A11" w:rsidRDefault="00A56EE9" w:rsidP="00A11869">
            <w:pPr>
              <w:pStyle w:val="ListParagraph"/>
              <w:numPr>
                <w:ilvl w:val="0"/>
                <w:numId w:val="255"/>
              </w:numPr>
              <w:spacing w:after="200" w:line="276" w:lineRule="auto"/>
              <w:rPr>
                <w:rFonts w:ascii="Arial Narrow" w:hAnsi="Arial Narrow"/>
                <w:sz w:val="18"/>
                <w:szCs w:val="18"/>
              </w:rPr>
            </w:pPr>
            <w:r w:rsidRPr="00E70A11">
              <w:rPr>
                <w:rFonts w:ascii="Arial Narrow" w:hAnsi="Arial Narrow"/>
                <w:sz w:val="18"/>
                <w:szCs w:val="18"/>
              </w:rPr>
              <w:t xml:space="preserve">GBR tourism is managed by a range of government agencies including the GBRMPA, the Queensland Department of </w:t>
            </w:r>
            <w:r>
              <w:rPr>
                <w:rFonts w:ascii="Arial Narrow" w:hAnsi="Arial Narrow"/>
                <w:sz w:val="18"/>
                <w:szCs w:val="18"/>
              </w:rPr>
              <w:t>Environment and Science (DES)</w:t>
            </w:r>
            <w:r w:rsidRPr="00E70A11">
              <w:rPr>
                <w:rFonts w:ascii="Arial Narrow" w:hAnsi="Arial Narrow"/>
                <w:sz w:val="18"/>
                <w:szCs w:val="18"/>
              </w:rPr>
              <w:t>, Sport and Racing (NPSR), Queensland Department of the Environment and Heritage and Protection, Australian Maritime Safety Authority (AMSA), Queensland Department of Tourism, Major Events, Small Business and the Commonwealth Games (DTESB), Maritime Safety Queensland (MSQ), Queensland Boating and Fisheries Patrol (QBFP), and Queensland Water Police.</w:t>
            </w:r>
          </w:p>
          <w:p w14:paraId="5761E6D3" w14:textId="77777777" w:rsidR="00A56EE9" w:rsidRPr="00E70A11" w:rsidRDefault="00A56EE9" w:rsidP="00A11869">
            <w:pPr>
              <w:pStyle w:val="ListParagraph"/>
              <w:numPr>
                <w:ilvl w:val="0"/>
                <w:numId w:val="255"/>
              </w:numPr>
              <w:spacing w:after="200" w:line="276" w:lineRule="auto"/>
              <w:rPr>
                <w:rFonts w:ascii="Arial Narrow" w:hAnsi="Arial Narrow"/>
                <w:sz w:val="18"/>
                <w:szCs w:val="18"/>
              </w:rPr>
            </w:pPr>
            <w:r w:rsidRPr="00E70A11">
              <w:rPr>
                <w:rFonts w:ascii="Arial Narrow" w:hAnsi="Arial Narrow"/>
                <w:sz w:val="18"/>
                <w:szCs w:val="18"/>
              </w:rPr>
              <w:t>Other agencies involved with tourism include Australian Government Department of Industry, Tourism Australia, Tourism Queensland (TQ) and industry associations such as the Queensland Tourism Industry Council (QTIC), Ecotourism Australia (EA), EarthCheck and the Association of Marine Park Tourism Operators (AMPTO).</w:t>
            </w:r>
          </w:p>
          <w:p w14:paraId="5761E6D4" w14:textId="77777777" w:rsidR="00A56EE9" w:rsidRPr="00E70A11" w:rsidRDefault="00A56EE9" w:rsidP="00A11869">
            <w:pPr>
              <w:pStyle w:val="ListParagraph"/>
              <w:numPr>
                <w:ilvl w:val="0"/>
                <w:numId w:val="255"/>
              </w:numPr>
              <w:spacing w:after="200" w:line="276" w:lineRule="auto"/>
              <w:rPr>
                <w:rFonts w:ascii="Arial Narrow" w:hAnsi="Arial Narrow"/>
                <w:sz w:val="18"/>
                <w:szCs w:val="18"/>
              </w:rPr>
            </w:pPr>
            <w:r w:rsidRPr="00E70A11">
              <w:rPr>
                <w:rFonts w:ascii="Arial Narrow" w:hAnsi="Arial Narrow"/>
                <w:sz w:val="18"/>
                <w:szCs w:val="18"/>
              </w:rPr>
              <w:t xml:space="preserve">GBRMPA works in partnership with the tourism industry to improve standards for the protection and presentation of the Great Barrier Reef. Operators who are independently certified with Ecotourism Australia or EarthCheck must meet best practice standards when undertaking their tourism operations and are recognised as high standard operators by GBRMPA. </w:t>
            </w:r>
          </w:p>
          <w:p w14:paraId="5761E6D5" w14:textId="77777777" w:rsidR="00A56EE9" w:rsidRPr="00E70A11" w:rsidRDefault="00A56EE9" w:rsidP="00A11869">
            <w:pPr>
              <w:pStyle w:val="ListParagraph"/>
              <w:numPr>
                <w:ilvl w:val="0"/>
                <w:numId w:val="255"/>
              </w:numPr>
              <w:spacing w:after="200" w:line="276" w:lineRule="auto"/>
              <w:rPr>
                <w:rFonts w:ascii="Arial Narrow" w:hAnsi="Arial Narrow"/>
                <w:sz w:val="18"/>
                <w:szCs w:val="18"/>
              </w:rPr>
            </w:pPr>
            <w:r w:rsidRPr="00E70A11">
              <w:rPr>
                <w:rFonts w:ascii="Arial Narrow" w:hAnsi="Arial Narrow"/>
                <w:sz w:val="18"/>
                <w:szCs w:val="18"/>
              </w:rPr>
              <w:t>The GBRMPA has a strong focus on ensuring tourism stakeholders are well known and engaged in the management of the Reef</w:t>
            </w:r>
          </w:p>
        </w:tc>
        <w:tc>
          <w:tcPr>
            <w:tcW w:w="5231" w:type="dxa"/>
            <w:tcBorders>
              <w:top w:val="single" w:sz="4" w:space="0" w:color="auto"/>
              <w:left w:val="single" w:sz="4" w:space="0" w:color="auto"/>
              <w:bottom w:val="single" w:sz="4" w:space="0" w:color="auto"/>
              <w:right w:val="single" w:sz="4" w:space="0" w:color="auto"/>
            </w:tcBorders>
          </w:tcPr>
          <w:p w14:paraId="5761E6D6" w14:textId="37076A6B"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276" w:tooltip="document link" w:history="1">
              <w:r w:rsidR="00A56EE9" w:rsidRPr="00E70A11">
                <w:rPr>
                  <w:rStyle w:val="Hyperlink"/>
                  <w:rFonts w:ascii="Arial Narrow" w:hAnsi="Arial Narrow"/>
                  <w:sz w:val="18"/>
                  <w:szCs w:val="18"/>
                </w:rPr>
                <w:t>Tourism partners</w:t>
              </w:r>
            </w:hyperlink>
            <w:r w:rsidR="00A56EE9" w:rsidRPr="00E70A11">
              <w:rPr>
                <w:rFonts w:ascii="Arial Narrow" w:hAnsi="Arial Narrow"/>
                <w:sz w:val="18"/>
                <w:szCs w:val="18"/>
              </w:rPr>
              <w:t xml:space="preserve"> webpage: http://www.gbrmpa.gov.au/our-partners/tourism-industry</w:t>
            </w:r>
          </w:p>
          <w:p w14:paraId="5761E6D7" w14:textId="38D67AC9"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TRAC - </w:t>
            </w:r>
            <w:hyperlink r:id="rId277" w:tooltip="document link" w:history="1">
              <w:r w:rsidRPr="00E70A11">
                <w:rPr>
                  <w:rStyle w:val="Hyperlink"/>
                  <w:rFonts w:ascii="Arial Narrow" w:hAnsi="Arial Narrow"/>
                  <w:sz w:val="18"/>
                  <w:szCs w:val="18"/>
                </w:rPr>
                <w:t>http://www.gbrmpa.gov.au/corp_site/management/who_participates/consultation_community_involvement/rac_tourism/advisory_committee</w:t>
              </w:r>
            </w:hyperlink>
          </w:p>
          <w:p w14:paraId="5761E6D8" w14:textId="67CE45A1"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LMACs - </w:t>
            </w:r>
            <w:hyperlink r:id="rId278" w:tooltip="document link" w:history="1">
              <w:r w:rsidRPr="00E70A11">
                <w:rPr>
                  <w:rStyle w:val="Hyperlink"/>
                  <w:rFonts w:ascii="Arial Narrow" w:hAnsi="Arial Narrow"/>
                  <w:sz w:val="18"/>
                  <w:szCs w:val="18"/>
                </w:rPr>
                <w:t>http://www.gbrmpa.gov.au/corp_site/management/who_participates/lmac</w:t>
              </w:r>
            </w:hyperlink>
            <w:r w:rsidRPr="00E70A11">
              <w:rPr>
                <w:rFonts w:ascii="Arial Narrow" w:hAnsi="Arial Narrow"/>
                <w:sz w:val="18"/>
                <w:szCs w:val="18"/>
              </w:rPr>
              <w:t xml:space="preserve"> </w:t>
            </w:r>
          </w:p>
          <w:p w14:paraId="5761E6D9" w14:textId="347061F1"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Managing agencies - </w:t>
            </w:r>
            <w:hyperlink r:id="rId279" w:tooltip="document link" w:history="1">
              <w:r w:rsidRPr="00E70A11">
                <w:rPr>
                  <w:rStyle w:val="Hyperlink"/>
                  <w:rFonts w:ascii="Arial Narrow" w:hAnsi="Arial Narrow"/>
                  <w:sz w:val="18"/>
                  <w:szCs w:val="18"/>
                </w:rPr>
                <w:t>http://www.gbrmpa.gov.au/onboard/home/marine_park/management_arrangements/whos_who_of_management</w:t>
              </w:r>
            </w:hyperlink>
          </w:p>
          <w:p w14:paraId="5761E6DA" w14:textId="77777777" w:rsidR="00A56EE9" w:rsidRPr="00E70A11" w:rsidRDefault="00A56EE9" w:rsidP="00BB6AD5">
            <w:pPr>
              <w:pStyle w:val="ListParagraph"/>
              <w:rPr>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6DB"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6D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6E4"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DE" w14:textId="77777777" w:rsidR="00A56EE9" w:rsidRPr="00E70A11" w:rsidRDefault="00A56EE9" w:rsidP="00BB6AD5">
            <w:pPr>
              <w:pStyle w:val="Tablebulletlist"/>
              <w:rPr>
                <w:rStyle w:val="BookTitle"/>
              </w:rPr>
            </w:pPr>
            <w:r w:rsidRPr="00E70A11">
              <w:rPr>
                <w:rStyle w:val="BookTitle"/>
              </w:rPr>
              <w:t>PLANNING</w:t>
            </w:r>
          </w:p>
        </w:tc>
        <w:tc>
          <w:tcPr>
            <w:tcW w:w="66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DF" w14:textId="77777777" w:rsidR="00A56EE9" w:rsidRPr="00E70A11" w:rsidRDefault="00A56EE9" w:rsidP="00BB6AD5">
            <w:pPr>
              <w:pStyle w:val="Tablebulletlist"/>
              <w:rPr>
                <w:rStyle w:val="BookTitle"/>
              </w:rPr>
            </w:pPr>
          </w:p>
        </w:tc>
        <w:tc>
          <w:tcPr>
            <w:tcW w:w="45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E0" w14:textId="77777777" w:rsidR="00A56EE9" w:rsidRPr="00E70A11" w:rsidRDefault="00A56EE9" w:rsidP="00BB6AD5">
            <w:pPr>
              <w:pStyle w:val="ListParagraph"/>
              <w:ind w:left="360"/>
              <w:rPr>
                <w:rStyle w:val="BookTitle"/>
                <w:rFonts w:ascii="Arial Narrow" w:hAnsi="Arial Narrow"/>
                <w:sz w:val="18"/>
                <w:szCs w:val="18"/>
              </w:rPr>
            </w:pPr>
          </w:p>
        </w:tc>
        <w:tc>
          <w:tcPr>
            <w:tcW w:w="523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E1" w14:textId="77777777" w:rsidR="00A56EE9" w:rsidRPr="00E70A11" w:rsidRDefault="00A56EE9" w:rsidP="00BB6AD5">
            <w:pPr>
              <w:pStyle w:val="ListParagraph"/>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E2" w14:textId="77777777" w:rsidR="00A56EE9" w:rsidRPr="00E70A11" w:rsidRDefault="00A56EE9" w:rsidP="00BB6AD5">
            <w:pPr>
              <w:pStyle w:val="Tablebulletlist"/>
              <w:rPr>
                <w:rStyle w:val="BookTitle"/>
              </w:rPr>
            </w:pPr>
          </w:p>
        </w:tc>
        <w:tc>
          <w:tcPr>
            <w:tcW w:w="121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6E3" w14:textId="77777777" w:rsidR="00A56EE9" w:rsidRPr="00E70A11" w:rsidRDefault="00A56EE9" w:rsidP="00BB6AD5">
            <w:pPr>
              <w:pStyle w:val="Tablebulletlist"/>
              <w:rPr>
                <w:rStyle w:val="BookTitle"/>
              </w:rPr>
            </w:pPr>
          </w:p>
        </w:tc>
      </w:tr>
      <w:tr w:rsidR="00A56EE9" w:rsidRPr="00E70A11" w14:paraId="5761E6F8"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6E5"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commercial marine tourism </w:t>
            </w:r>
          </w:p>
        </w:tc>
        <w:tc>
          <w:tcPr>
            <w:tcW w:w="664" w:type="dxa"/>
            <w:tcBorders>
              <w:top w:val="single" w:sz="4" w:space="0" w:color="auto"/>
              <w:left w:val="single" w:sz="4" w:space="0" w:color="auto"/>
              <w:bottom w:val="single" w:sz="4" w:space="0" w:color="auto"/>
              <w:right w:val="single" w:sz="4" w:space="0" w:color="auto"/>
            </w:tcBorders>
          </w:tcPr>
          <w:p w14:paraId="5761E6E6"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6E7" w14:textId="77777777" w:rsidR="00A56EE9" w:rsidRPr="00E70A11" w:rsidRDefault="00A56EE9" w:rsidP="00A11869">
            <w:pPr>
              <w:pStyle w:val="ListParagraph"/>
              <w:numPr>
                <w:ilvl w:val="0"/>
                <w:numId w:val="256"/>
              </w:numPr>
              <w:spacing w:after="200" w:line="276" w:lineRule="auto"/>
              <w:rPr>
                <w:rFonts w:ascii="Arial Narrow" w:hAnsi="Arial Narrow"/>
                <w:sz w:val="18"/>
                <w:szCs w:val="18"/>
              </w:rPr>
            </w:pPr>
            <w:r w:rsidRPr="00E70A11">
              <w:rPr>
                <w:rFonts w:ascii="Arial Narrow" w:hAnsi="Arial Narrow"/>
                <w:sz w:val="18"/>
                <w:szCs w:val="18"/>
              </w:rPr>
              <w:t xml:space="preserve">Zoning Plans, Plans of Management, policies and permits provide a comprehensive planning system for tourism activities. </w:t>
            </w:r>
          </w:p>
          <w:p w14:paraId="5761E6E8" w14:textId="2498C4E8" w:rsidR="00A56EE9" w:rsidRPr="00E70A11" w:rsidRDefault="00A56EE9" w:rsidP="00A11869">
            <w:pPr>
              <w:pStyle w:val="ListParagraph"/>
              <w:numPr>
                <w:ilvl w:val="0"/>
                <w:numId w:val="256"/>
              </w:numPr>
              <w:spacing w:after="200" w:line="276" w:lineRule="auto"/>
              <w:rPr>
                <w:rFonts w:ascii="Arial Narrow" w:hAnsi="Arial Narrow"/>
                <w:sz w:val="18"/>
                <w:szCs w:val="18"/>
              </w:rPr>
            </w:pPr>
            <w:r w:rsidRPr="00E70A11">
              <w:rPr>
                <w:rFonts w:ascii="Arial Narrow" w:hAnsi="Arial Narrow"/>
                <w:sz w:val="18"/>
                <w:szCs w:val="18"/>
              </w:rPr>
              <w:t xml:space="preserve">The </w:t>
            </w:r>
            <w:hyperlink r:id="rId280" w:tooltip="document link" w:history="1">
              <w:r w:rsidRPr="00E70A11">
                <w:rPr>
                  <w:rStyle w:val="Hyperlink"/>
                  <w:rFonts w:ascii="Arial Narrow" w:hAnsi="Arial Narrow"/>
                  <w:i/>
                  <w:sz w:val="18"/>
                  <w:szCs w:val="18"/>
                </w:rPr>
                <w:t>Marine tourism contingency plan</w:t>
              </w:r>
            </w:hyperlink>
            <w:r w:rsidRPr="00E70A11">
              <w:rPr>
                <w:rFonts w:ascii="Arial Narrow" w:hAnsi="Arial Narrow"/>
                <w:sz w:val="18"/>
                <w:szCs w:val="18"/>
              </w:rPr>
              <w:t xml:space="preserve"> focuses on assisting tourism operators to temporarily relocate to an alternative site following a severe environmental incident. This Policy document was used during the recent bleaching and cyclone events to prioritise permits and relocate operators where tourism sites were significantly affected. </w:t>
            </w:r>
          </w:p>
          <w:p w14:paraId="5761E6E9" w14:textId="77777777" w:rsidR="00A56EE9" w:rsidRPr="00E70A11" w:rsidRDefault="00A56EE9" w:rsidP="00A11869">
            <w:pPr>
              <w:pStyle w:val="ListParagraph"/>
              <w:numPr>
                <w:ilvl w:val="0"/>
                <w:numId w:val="256"/>
              </w:numPr>
              <w:spacing w:after="200" w:line="276" w:lineRule="auto"/>
              <w:rPr>
                <w:rFonts w:ascii="Arial Narrow" w:hAnsi="Arial Narrow"/>
                <w:sz w:val="18"/>
                <w:szCs w:val="18"/>
              </w:rPr>
            </w:pPr>
            <w:r w:rsidRPr="00E70A11">
              <w:rPr>
                <w:rFonts w:ascii="Arial Narrow" w:hAnsi="Arial Narrow"/>
                <w:sz w:val="18"/>
                <w:szCs w:val="18"/>
              </w:rPr>
              <w:t>The Queensland Government recognises tourism as a pillar of the state’s economy and has identified a number of actions as catalysts and drivers for tourism investment, infrastructure and access.</w:t>
            </w:r>
          </w:p>
          <w:p w14:paraId="5761E6EA" w14:textId="77777777" w:rsidR="00A56EE9" w:rsidRPr="00E70A11" w:rsidRDefault="00A56EE9" w:rsidP="00A11869">
            <w:pPr>
              <w:pStyle w:val="ListParagraph"/>
              <w:numPr>
                <w:ilvl w:val="0"/>
                <w:numId w:val="256"/>
              </w:numPr>
              <w:spacing w:after="200" w:line="276" w:lineRule="auto"/>
              <w:rPr>
                <w:rFonts w:ascii="Arial Narrow" w:hAnsi="Arial Narrow"/>
                <w:sz w:val="18"/>
                <w:szCs w:val="18"/>
              </w:rPr>
            </w:pPr>
            <w:r w:rsidRPr="00E70A11">
              <w:rPr>
                <w:rFonts w:ascii="Arial Narrow" w:hAnsi="Arial Narrow"/>
                <w:sz w:val="18"/>
                <w:szCs w:val="18"/>
              </w:rPr>
              <w:t>The Coastal Protection State Planning Regulatory Provision (SPRP) contains policies for coastal-dependent land uses and developments, which includes commercial marine tourism.</w:t>
            </w:r>
          </w:p>
          <w:p w14:paraId="5761E6EB" w14:textId="77777777" w:rsidR="00A56EE9" w:rsidRPr="00E70A11" w:rsidRDefault="00A56EE9" w:rsidP="00A11869">
            <w:pPr>
              <w:pStyle w:val="ListParagraph"/>
              <w:numPr>
                <w:ilvl w:val="0"/>
                <w:numId w:val="256"/>
              </w:numPr>
              <w:spacing w:after="200" w:line="276" w:lineRule="auto"/>
              <w:rPr>
                <w:rFonts w:ascii="Arial Narrow" w:hAnsi="Arial Narrow"/>
                <w:sz w:val="18"/>
                <w:szCs w:val="18"/>
              </w:rPr>
            </w:pPr>
            <w:r w:rsidRPr="00E70A11">
              <w:rPr>
                <w:rFonts w:ascii="Arial Narrow" w:hAnsi="Arial Narrow"/>
                <w:sz w:val="18"/>
                <w:szCs w:val="18"/>
              </w:rPr>
              <w:t>The Whitsunday Plan of Management (WPoM) was reviewed in 2015-17.</w:t>
            </w:r>
            <w:r>
              <w:rPr>
                <w:rFonts w:ascii="Arial Narrow" w:hAnsi="Arial Narrow"/>
                <w:sz w:val="18"/>
                <w:szCs w:val="18"/>
              </w:rPr>
              <w:t xml:space="preserve"> </w:t>
            </w:r>
          </w:p>
          <w:p w14:paraId="5761E6EC" w14:textId="77777777" w:rsidR="00A56EE9" w:rsidRPr="00E70A11" w:rsidRDefault="00A56EE9" w:rsidP="00A11869">
            <w:pPr>
              <w:pStyle w:val="ListParagraph"/>
              <w:numPr>
                <w:ilvl w:val="0"/>
                <w:numId w:val="256"/>
              </w:numPr>
              <w:spacing w:after="200" w:line="276" w:lineRule="auto"/>
              <w:rPr>
                <w:rStyle w:val="BookTitle"/>
                <w:rFonts w:ascii="Arial Narrow" w:hAnsi="Arial Narrow"/>
                <w:sz w:val="18"/>
                <w:szCs w:val="18"/>
              </w:rPr>
            </w:pPr>
            <w:r w:rsidRPr="00E70A11">
              <w:rPr>
                <w:rFonts w:ascii="Arial Narrow" w:hAnsi="Arial Narrow"/>
                <w:sz w:val="18"/>
                <w:szCs w:val="18"/>
              </w:rPr>
              <w:t>An overarching strategy for the management of tourism has not been progressed due to competing Authority priorities of amending the Whitsundays Plan of Management and managing the crown-of-thorns starfish control program. With the new operational structure in place for the Authority in late 2017, there will be a dedicated</w:t>
            </w:r>
            <w:r>
              <w:rPr>
                <w:rFonts w:ascii="Arial Narrow" w:hAnsi="Arial Narrow"/>
                <w:sz w:val="18"/>
                <w:szCs w:val="18"/>
              </w:rPr>
              <w:t xml:space="preserve"> resources to focus</w:t>
            </w:r>
            <w:r w:rsidRPr="00E70A11">
              <w:rPr>
                <w:rFonts w:ascii="Arial Narrow" w:hAnsi="Arial Narrow"/>
                <w:sz w:val="18"/>
                <w:szCs w:val="18"/>
              </w:rPr>
              <w:t xml:space="preserve"> on tourism policy. </w:t>
            </w:r>
          </w:p>
        </w:tc>
        <w:tc>
          <w:tcPr>
            <w:tcW w:w="5231" w:type="dxa"/>
            <w:tcBorders>
              <w:top w:val="single" w:sz="4" w:space="0" w:color="auto"/>
              <w:left w:val="single" w:sz="4" w:space="0" w:color="auto"/>
              <w:bottom w:val="single" w:sz="4" w:space="0" w:color="auto"/>
              <w:right w:val="single" w:sz="4" w:space="0" w:color="auto"/>
            </w:tcBorders>
          </w:tcPr>
          <w:p w14:paraId="5761E6ED"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Great Barrier Reef Marine Park Zoning Plan 2003</w:t>
            </w:r>
          </w:p>
          <w:p w14:paraId="5761E6EE"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Cairns Area Plan of Management 1998</w:t>
            </w:r>
          </w:p>
          <w:p w14:paraId="5761E6EF"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Hinchinbrook Area Plan of Management 2004</w:t>
            </w:r>
          </w:p>
          <w:p w14:paraId="5761E6F0"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Whitsundays Plan of Management 1998</w:t>
            </w:r>
          </w:p>
          <w:p w14:paraId="5761E6F1"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Shoalwater Bay (Dugong) Plan of Management 1997</w:t>
            </w:r>
          </w:p>
          <w:p w14:paraId="5761E6F2" w14:textId="7C9C8632"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Site plans </w:t>
            </w:r>
            <w:hyperlink r:id="rId281" w:tooltip="document link" w:history="1">
              <w:r w:rsidRPr="00E70A11">
                <w:rPr>
                  <w:rStyle w:val="Hyperlink"/>
                  <w:rFonts w:ascii="Arial Narrow" w:hAnsi="Arial Narrow"/>
                  <w:sz w:val="18"/>
                  <w:szCs w:val="18"/>
                </w:rPr>
                <w:t>http://www.gbrmpa.gov.au/zoning-permits-and-plans/site-specific-management</w:t>
              </w:r>
            </w:hyperlink>
            <w:r w:rsidRPr="00E70A11">
              <w:rPr>
                <w:rFonts w:ascii="Arial Narrow" w:hAnsi="Arial Narrow"/>
                <w:sz w:val="18"/>
                <w:szCs w:val="18"/>
              </w:rPr>
              <w:t xml:space="preserve"> </w:t>
            </w:r>
          </w:p>
          <w:p w14:paraId="5761E6F3" w14:textId="18463A9B"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Marine Tourism Coordination Framework </w:t>
            </w:r>
            <w:hyperlink r:id="rId282" w:tooltip="document link" w:history="1">
              <w:r w:rsidRPr="00E70A11">
                <w:rPr>
                  <w:rStyle w:val="Hyperlink"/>
                  <w:rFonts w:ascii="Arial Narrow" w:hAnsi="Arial Narrow"/>
                  <w:sz w:val="18"/>
                  <w:szCs w:val="18"/>
                </w:rPr>
                <w:t>http://www.gbrmpa.gov.au/__data/assets/pdf_file/0018/29421/Marine_Tourism_Framework_A4-Access.pdf</w:t>
              </w:r>
            </w:hyperlink>
          </w:p>
          <w:p w14:paraId="5761E6F4" w14:textId="0EF8882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Marine Tourism Contingency Plan </w:t>
            </w:r>
            <w:hyperlink r:id="rId283" w:tooltip="document link" w:history="1">
              <w:r w:rsidRPr="00E70A11">
                <w:rPr>
                  <w:rStyle w:val="Hyperlink"/>
                  <w:rFonts w:ascii="Arial Narrow" w:hAnsi="Arial Narrow"/>
                  <w:sz w:val="18"/>
                  <w:szCs w:val="18"/>
                </w:rPr>
                <w:t>http://www.gbrmpa.gov.au/__data/assets/word_doc/0018/144135/Marine-Tourism-Contingency-Plan.docx</w:t>
              </w:r>
            </w:hyperlink>
          </w:p>
          <w:p w14:paraId="5761E6F5" w14:textId="638E96E9"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Fonts w:ascii="Arial Narrow" w:hAnsi="Arial Narrow"/>
                <w:sz w:val="18"/>
                <w:szCs w:val="18"/>
              </w:rPr>
              <w:t xml:space="preserve">Coastal Protection State Planning Regulatory Provision 2013, is available online: </w:t>
            </w:r>
            <w:hyperlink r:id="rId284" w:tooltip="document link" w:history="1">
              <w:r w:rsidRPr="00E70A11">
                <w:rPr>
                  <w:rStyle w:val="Hyperlink"/>
                  <w:rFonts w:ascii="Arial Narrow" w:hAnsi="Arial Narrow"/>
                  <w:sz w:val="18"/>
                  <w:szCs w:val="18"/>
                </w:rPr>
                <w:t>http://www.dsdip.qld.gov.au/resources/factsheet/planning/coastal-protection-sprp.pdf</w:t>
              </w:r>
            </w:hyperlink>
          </w:p>
        </w:tc>
        <w:tc>
          <w:tcPr>
            <w:tcW w:w="1006" w:type="dxa"/>
            <w:tcBorders>
              <w:top w:val="single" w:sz="4" w:space="0" w:color="auto"/>
              <w:left w:val="single" w:sz="4" w:space="0" w:color="auto"/>
              <w:bottom w:val="single" w:sz="4" w:space="0" w:color="auto"/>
              <w:right w:val="single" w:sz="4" w:space="0" w:color="auto"/>
            </w:tcBorders>
          </w:tcPr>
          <w:p w14:paraId="5761E6F6"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6F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0A"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6F9"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commercial marine tourism addresses the major factors influencing the Great Barrier Reef Region’s values.</w:t>
            </w:r>
          </w:p>
        </w:tc>
        <w:tc>
          <w:tcPr>
            <w:tcW w:w="664" w:type="dxa"/>
            <w:tcBorders>
              <w:top w:val="single" w:sz="4" w:space="0" w:color="auto"/>
              <w:left w:val="single" w:sz="4" w:space="0" w:color="auto"/>
              <w:bottom w:val="single" w:sz="4" w:space="0" w:color="auto"/>
              <w:right w:val="single" w:sz="4" w:space="0" w:color="auto"/>
            </w:tcBorders>
          </w:tcPr>
          <w:p w14:paraId="5761E6FA"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6FB" w14:textId="77777777" w:rsidR="00A56EE9" w:rsidRPr="00E70A11" w:rsidRDefault="00A56EE9" w:rsidP="00A11869">
            <w:pPr>
              <w:pStyle w:val="ListParagraph"/>
              <w:numPr>
                <w:ilvl w:val="0"/>
                <w:numId w:val="256"/>
              </w:numPr>
              <w:spacing w:after="200" w:line="276" w:lineRule="auto"/>
              <w:rPr>
                <w:rFonts w:ascii="Arial Narrow" w:hAnsi="Arial Narrow"/>
                <w:sz w:val="18"/>
                <w:szCs w:val="18"/>
              </w:rPr>
            </w:pPr>
            <w:r w:rsidRPr="00E70A11">
              <w:rPr>
                <w:rFonts w:ascii="Arial Narrow" w:hAnsi="Arial Narrow"/>
                <w:sz w:val="18"/>
                <w:szCs w:val="18"/>
              </w:rPr>
              <w:t>The Zoning Plan provides spatial control of use and, to a lesser extent, access within the Great Barrier Reef Marine Park. It establishes the framework for extractive use and the need for permits for some uses, such as tourism, associated infrastructure and tourism activities. Zoning plans are developed under Part 5 Division 2 of the Great Barrier Reef Marine Park Act 1975. Complementary arrangements are in place in adjacent areas under Queensland jurisdiction.</w:t>
            </w:r>
          </w:p>
          <w:p w14:paraId="5761E6FC" w14:textId="77777777" w:rsidR="00A56EE9" w:rsidRPr="00E70A11" w:rsidRDefault="00A56EE9" w:rsidP="00A11869">
            <w:pPr>
              <w:pStyle w:val="ListParagraph"/>
              <w:numPr>
                <w:ilvl w:val="0"/>
                <w:numId w:val="256"/>
              </w:numPr>
              <w:spacing w:after="200" w:line="276" w:lineRule="auto"/>
              <w:rPr>
                <w:rFonts w:ascii="Arial Narrow" w:hAnsi="Arial Narrow"/>
                <w:sz w:val="18"/>
                <w:szCs w:val="18"/>
              </w:rPr>
            </w:pPr>
            <w:r w:rsidRPr="00E70A11">
              <w:rPr>
                <w:rFonts w:ascii="Arial Narrow" w:hAnsi="Arial Narrow"/>
                <w:sz w:val="18"/>
                <w:szCs w:val="18"/>
              </w:rPr>
              <w:t xml:space="preserve">Plans of Management set out specific arrangements for activities, areas, species or ecological communities. They complement zoning and permitting arrangements. Some components are legally binding. Plans of management are developed under Part VB of the Great Barrier Reef Marine Park Act 1975. </w:t>
            </w:r>
          </w:p>
          <w:p w14:paraId="5761E6FD" w14:textId="2638C6FC" w:rsidR="00A56EE9" w:rsidRPr="00E70A11" w:rsidRDefault="00A56EE9" w:rsidP="00A11869">
            <w:pPr>
              <w:pStyle w:val="ListParagraph"/>
              <w:numPr>
                <w:ilvl w:val="0"/>
                <w:numId w:val="256"/>
              </w:numPr>
              <w:spacing w:after="200" w:line="276" w:lineRule="auto"/>
              <w:rPr>
                <w:rFonts w:ascii="Arial Narrow" w:hAnsi="Arial Narrow"/>
                <w:sz w:val="18"/>
                <w:szCs w:val="18"/>
              </w:rPr>
            </w:pPr>
            <w:r w:rsidRPr="00E70A11">
              <w:rPr>
                <w:rFonts w:ascii="Arial Narrow" w:hAnsi="Arial Narrow"/>
                <w:sz w:val="18"/>
                <w:szCs w:val="18"/>
              </w:rPr>
              <w:t>The Statement of Management Arrangements in the Great Barrier Reef Marine Park for Superyacht Operations summarises the current management arrangements for superyachts.</w:t>
            </w:r>
            <w:r w:rsidR="00242993">
              <w:rPr>
                <w:rFonts w:ascii="Arial Narrow" w:hAnsi="Arial Narrow"/>
                <w:sz w:val="18"/>
                <w:szCs w:val="18"/>
              </w:rPr>
              <w:t xml:space="preserve"> </w:t>
            </w:r>
          </w:p>
          <w:p w14:paraId="5761E6FE" w14:textId="77777777" w:rsidR="00A56EE9" w:rsidRPr="00E70A11" w:rsidRDefault="00A56EE9" w:rsidP="00A11869">
            <w:pPr>
              <w:pStyle w:val="ListParagraph"/>
              <w:numPr>
                <w:ilvl w:val="0"/>
                <w:numId w:val="256"/>
              </w:numPr>
              <w:spacing w:after="200" w:line="276" w:lineRule="auto"/>
              <w:rPr>
                <w:rFonts w:ascii="Arial Narrow" w:hAnsi="Arial Narrow"/>
                <w:sz w:val="18"/>
                <w:szCs w:val="18"/>
              </w:rPr>
            </w:pPr>
            <w:r w:rsidRPr="00E70A11">
              <w:rPr>
                <w:rFonts w:ascii="Arial Narrow" w:hAnsi="Arial Narrow"/>
                <w:sz w:val="18"/>
                <w:szCs w:val="18"/>
              </w:rPr>
              <w:t>The major risks of tourism to Reef values such as overcrowding, displacement of users, loss of amenity, impacts on species and environmental impacts are largely addressed through permitting arrangements, plans of management, site management arrangements and supporting infrastructure.</w:t>
            </w:r>
          </w:p>
          <w:p w14:paraId="5761E6FF" w14:textId="77777777" w:rsidR="00A56EE9" w:rsidRPr="00E70A11" w:rsidRDefault="00A56EE9" w:rsidP="00A11869">
            <w:pPr>
              <w:pStyle w:val="ListParagraph"/>
              <w:numPr>
                <w:ilvl w:val="0"/>
                <w:numId w:val="256"/>
              </w:numPr>
              <w:spacing w:after="200" w:line="276" w:lineRule="auto"/>
              <w:rPr>
                <w:rStyle w:val="BookTitle"/>
                <w:rFonts w:ascii="Arial Narrow" w:hAnsi="Arial Narrow"/>
                <w:sz w:val="18"/>
                <w:szCs w:val="18"/>
              </w:rPr>
            </w:pPr>
            <w:r w:rsidRPr="00E70A11">
              <w:rPr>
                <w:rFonts w:ascii="Arial Narrow" w:hAnsi="Arial Narrow"/>
                <w:sz w:val="18"/>
                <w:szCs w:val="18"/>
              </w:rPr>
              <w:t>The revised WPOM identified sites that may require future site planning due to congestion at those sites.</w:t>
            </w:r>
            <w:r>
              <w:rPr>
                <w:rFonts w:ascii="Arial Narrow" w:hAnsi="Arial Narrow"/>
                <w:sz w:val="18"/>
                <w:szCs w:val="18"/>
              </w:rPr>
              <w:t xml:space="preserve"> </w:t>
            </w:r>
            <w:r w:rsidRPr="00E70A11">
              <w:rPr>
                <w:rFonts w:ascii="Arial Narrow" w:hAnsi="Arial Narrow"/>
                <w:sz w:val="18"/>
                <w:szCs w:val="18"/>
              </w:rPr>
              <w:t>Sites are being reprioritised following cyclone Debbie. Site planning will form part of implementation of the WPOM</w:t>
            </w:r>
          </w:p>
        </w:tc>
        <w:tc>
          <w:tcPr>
            <w:tcW w:w="5231" w:type="dxa"/>
            <w:tcBorders>
              <w:top w:val="single" w:sz="4" w:space="0" w:color="auto"/>
              <w:left w:val="single" w:sz="4" w:space="0" w:color="auto"/>
              <w:bottom w:val="single" w:sz="4" w:space="0" w:color="auto"/>
              <w:right w:val="single" w:sz="4" w:space="0" w:color="auto"/>
            </w:tcBorders>
          </w:tcPr>
          <w:p w14:paraId="5761E700"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Great Barrier Reef Marine Park Zoning Plan 2003</w:t>
            </w:r>
          </w:p>
          <w:p w14:paraId="5761E701"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Cairns Area Plan of Management 1998</w:t>
            </w:r>
          </w:p>
          <w:p w14:paraId="5761E702"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Hinchinbrook Area Plan of Management 2004</w:t>
            </w:r>
          </w:p>
          <w:p w14:paraId="5761E703"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Whitsundays Plan of Management 1998</w:t>
            </w:r>
          </w:p>
          <w:p w14:paraId="5761E704" w14:textId="0CEA93F1" w:rsidR="00A56EE9" w:rsidRPr="00E70A11" w:rsidRDefault="00A56EE9" w:rsidP="00A11869">
            <w:pPr>
              <w:pStyle w:val="ListParagraph"/>
              <w:numPr>
                <w:ilvl w:val="0"/>
                <w:numId w:val="25"/>
              </w:numPr>
              <w:spacing w:after="200" w:line="276" w:lineRule="auto"/>
              <w:rPr>
                <w:rFonts w:ascii="Arial Narrow" w:hAnsi="Arial Narrow"/>
                <w:sz w:val="18"/>
                <w:szCs w:val="18"/>
                <w:u w:val="single"/>
              </w:rPr>
            </w:pPr>
            <w:r w:rsidRPr="00E70A11">
              <w:rPr>
                <w:rFonts w:ascii="Arial Narrow" w:hAnsi="Arial Narrow"/>
                <w:sz w:val="18"/>
                <w:szCs w:val="18"/>
              </w:rPr>
              <w:t xml:space="preserve">Great Barrier Reef Tourism Climate Change Action Strategy 2009-2012 </w:t>
            </w:r>
            <w:hyperlink r:id="rId285" w:tooltip="document link" w:history="1">
              <w:r w:rsidRPr="00E70A11">
                <w:rPr>
                  <w:rStyle w:val="Hyperlink"/>
                  <w:rFonts w:ascii="Arial Narrow" w:hAnsi="Arial Narrow"/>
                  <w:sz w:val="18"/>
                  <w:szCs w:val="18"/>
                </w:rPr>
                <w:t>http://www.gbrmpa.gov.au/__data/assets/pdf_file/0009/3987/gbrmpa_CCActionStrategyFull_2011.pdf</w:t>
              </w:r>
            </w:hyperlink>
          </w:p>
          <w:p w14:paraId="5761E705" w14:textId="6E449E9D"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Targeted COTS control program </w:t>
            </w:r>
            <w:hyperlink r:id="rId286" w:tooltip="document link" w:history="1">
              <w:r w:rsidRPr="00E70A11">
                <w:rPr>
                  <w:rStyle w:val="Hyperlink"/>
                  <w:rFonts w:ascii="Arial Narrow" w:hAnsi="Arial Narrow"/>
                  <w:sz w:val="18"/>
                  <w:szCs w:val="18"/>
                </w:rPr>
                <w:t>http://www.gbrmpa.gov.au/about-the-reef/animals/crown-of-thorns-starfish</w:t>
              </w:r>
            </w:hyperlink>
          </w:p>
          <w:p w14:paraId="5761E706" w14:textId="61ECBA44"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A Statement of Management Arrangements in the Great Barrier Reef Marine Park for Super-yacht Operations: </w:t>
            </w:r>
            <w:hyperlink r:id="rId287" w:tooltip="document link" w:history="1">
              <w:r w:rsidRPr="00E70A11">
                <w:rPr>
                  <w:rStyle w:val="Hyperlink"/>
                  <w:rFonts w:ascii="Arial Narrow" w:hAnsi="Arial Narrow"/>
                  <w:sz w:val="18"/>
                  <w:szCs w:val="18"/>
                </w:rPr>
                <w:t>http://www.gbrmpa.gov.au/__data/assets/pdf_file/0017/3392/GBRMPA-ManagementArrangements-SuperyachtsMay-2011.pdf</w:t>
              </w:r>
            </w:hyperlink>
          </w:p>
          <w:p w14:paraId="5761E707" w14:textId="77777777" w:rsidR="00A56EE9" w:rsidRPr="00E70A11" w:rsidRDefault="00A56EE9" w:rsidP="00BB6AD5">
            <w:pPr>
              <w:pStyle w:val="ListParagraph"/>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708"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0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15"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0B"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commercial marine tourism are clearly identified within the plan </w:t>
            </w:r>
          </w:p>
        </w:tc>
        <w:tc>
          <w:tcPr>
            <w:tcW w:w="664" w:type="dxa"/>
            <w:tcBorders>
              <w:top w:val="single" w:sz="4" w:space="0" w:color="auto"/>
              <w:left w:val="single" w:sz="4" w:space="0" w:color="auto"/>
              <w:bottom w:val="single" w:sz="4" w:space="0" w:color="auto"/>
              <w:right w:val="single" w:sz="4" w:space="0" w:color="auto"/>
            </w:tcBorders>
          </w:tcPr>
          <w:p w14:paraId="5761E70C"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70D" w14:textId="77777777" w:rsidR="00A56EE9" w:rsidRPr="00E70A11" w:rsidRDefault="00A56EE9" w:rsidP="00A11869">
            <w:pPr>
              <w:pStyle w:val="ListParagraph"/>
              <w:numPr>
                <w:ilvl w:val="0"/>
                <w:numId w:val="257"/>
              </w:numPr>
              <w:spacing w:after="200" w:line="276" w:lineRule="auto"/>
              <w:rPr>
                <w:rFonts w:ascii="Arial Narrow" w:hAnsi="Arial Narrow"/>
                <w:sz w:val="18"/>
                <w:szCs w:val="18"/>
              </w:rPr>
            </w:pPr>
            <w:r w:rsidRPr="00E70A11">
              <w:rPr>
                <w:rFonts w:ascii="Arial Narrow" w:hAnsi="Arial Narrow"/>
                <w:sz w:val="18"/>
                <w:szCs w:val="18"/>
              </w:rPr>
              <w:t>The Zoning Plan and Plans of Management. Plans of Management set out specific arrangements for activities, areas, species or ecological communities. They complement zoning and permitting arrangements.</w:t>
            </w:r>
          </w:p>
          <w:p w14:paraId="5761E70E" w14:textId="77777777" w:rsidR="00A56EE9" w:rsidRPr="00E70A11" w:rsidRDefault="00A56EE9" w:rsidP="00A11869">
            <w:pPr>
              <w:pStyle w:val="ListParagraph"/>
              <w:numPr>
                <w:ilvl w:val="0"/>
                <w:numId w:val="257"/>
              </w:numPr>
              <w:spacing w:after="200" w:line="276" w:lineRule="auto"/>
              <w:rPr>
                <w:rFonts w:ascii="Arial Narrow" w:hAnsi="Arial Narrow"/>
                <w:sz w:val="18"/>
                <w:szCs w:val="18"/>
              </w:rPr>
            </w:pPr>
            <w:r w:rsidRPr="00E70A11">
              <w:rPr>
                <w:rFonts w:ascii="Arial Narrow" w:hAnsi="Arial Narrow"/>
                <w:sz w:val="18"/>
                <w:szCs w:val="18"/>
              </w:rPr>
              <w:t xml:space="preserve">The </w:t>
            </w:r>
            <w:hyperlink r:id="rId288" w:history="1">
              <w:r w:rsidRPr="00E70A11">
                <w:rPr>
                  <w:rStyle w:val="Hyperlink"/>
                  <w:rFonts w:ascii="Arial Narrow" w:hAnsi="Arial Narrow"/>
                  <w:sz w:val="18"/>
                  <w:szCs w:val="18"/>
                  <w:lang w:val="en"/>
                </w:rPr>
                <w:t>Queensland Ecotourism Plan 2013 - 2020</w:t>
              </w:r>
              <w:r>
                <w:rPr>
                  <w:rStyle w:val="Hyperlink"/>
                  <w:rFonts w:ascii="Arial Narrow" w:hAnsi="Arial Narrow"/>
                  <w:sz w:val="18"/>
                  <w:szCs w:val="18"/>
                  <w:lang w:val="en"/>
                </w:rPr>
                <w:t xml:space="preserve"> </w:t>
              </w:r>
              <w:r w:rsidRPr="00E70A11">
                <w:rPr>
                  <w:rStyle w:val="Hyperlink"/>
                  <w:rFonts w:ascii="Arial Narrow" w:hAnsi="Arial Narrow"/>
                  <w:sz w:val="18"/>
                  <w:szCs w:val="18"/>
                  <w:lang w:val="en"/>
                </w:rPr>
                <w:t>(PDF, 1.9M</w:t>
              </w:r>
            </w:hyperlink>
            <w:r w:rsidRPr="00E70A11">
              <w:rPr>
                <w:rFonts w:ascii="Arial Narrow" w:hAnsi="Arial Narrow"/>
                <w:sz w:val="18"/>
                <w:szCs w:val="18"/>
              </w:rPr>
              <w:t>B).</w:t>
            </w:r>
            <w:r w:rsidRPr="00E70A11">
              <w:rPr>
                <w:rFonts w:ascii="Arial Narrow" w:hAnsi="Arial Narrow"/>
                <w:sz w:val="18"/>
                <w:szCs w:val="18"/>
                <w:lang w:val="en"/>
              </w:rPr>
              <w:t xml:space="preserve"> </w:t>
            </w:r>
            <w:proofErr w:type="gramStart"/>
            <w:r w:rsidRPr="00E70A11">
              <w:rPr>
                <w:rFonts w:ascii="Arial Narrow" w:hAnsi="Arial Narrow"/>
                <w:sz w:val="18"/>
                <w:szCs w:val="18"/>
                <w:lang w:val="en"/>
              </w:rPr>
              <w:t>also</w:t>
            </w:r>
            <w:proofErr w:type="gramEnd"/>
            <w:r w:rsidRPr="00E70A11">
              <w:rPr>
                <w:rFonts w:ascii="Arial Narrow" w:hAnsi="Arial Narrow"/>
                <w:sz w:val="18"/>
                <w:szCs w:val="18"/>
                <w:lang w:val="en"/>
              </w:rPr>
              <w:t xml:space="preserve"> includes a three-year action plan. This action plan includes 43 initiatives and details the government agencies and industry partners that are responsible for delivering them.</w:t>
            </w:r>
          </w:p>
          <w:p w14:paraId="5761E70F" w14:textId="77777777" w:rsidR="00A56EE9" w:rsidRPr="00E70A11" w:rsidRDefault="00A56EE9" w:rsidP="00A11869">
            <w:pPr>
              <w:pStyle w:val="ListParagraph"/>
              <w:numPr>
                <w:ilvl w:val="0"/>
                <w:numId w:val="257"/>
              </w:numPr>
              <w:spacing w:after="200" w:line="276" w:lineRule="auto"/>
              <w:rPr>
                <w:rFonts w:ascii="Arial Narrow" w:hAnsi="Arial Narrow"/>
                <w:sz w:val="18"/>
                <w:szCs w:val="18"/>
              </w:rPr>
            </w:pPr>
            <w:r w:rsidRPr="00E70A11">
              <w:rPr>
                <w:rFonts w:ascii="Arial Narrow" w:hAnsi="Arial Narrow"/>
                <w:sz w:val="18"/>
                <w:szCs w:val="18"/>
              </w:rPr>
              <w:t>Tourism management arrangements have been largely implemented within the high use areas of the Reef with implementation strategies and amendment processes to address these arrangements clearly defined including the engagement of the industry, local communities and other stakeholders</w:t>
            </w:r>
          </w:p>
          <w:p w14:paraId="5761E710" w14:textId="77777777" w:rsidR="00A56EE9" w:rsidRPr="00E70A11" w:rsidRDefault="00A56EE9" w:rsidP="00A11869">
            <w:pPr>
              <w:pStyle w:val="ListParagraph"/>
              <w:numPr>
                <w:ilvl w:val="0"/>
                <w:numId w:val="257"/>
              </w:numPr>
              <w:spacing w:after="200" w:line="276" w:lineRule="auto"/>
              <w:rPr>
                <w:rStyle w:val="BookTitle"/>
                <w:rFonts w:ascii="Arial Narrow" w:hAnsi="Arial Narrow"/>
                <w:sz w:val="18"/>
                <w:szCs w:val="18"/>
              </w:rPr>
            </w:pPr>
            <w:r w:rsidRPr="00E70A11">
              <w:rPr>
                <w:rFonts w:ascii="Arial Narrow" w:hAnsi="Arial Narrow"/>
                <w:sz w:val="18"/>
                <w:szCs w:val="18"/>
              </w:rPr>
              <w:t xml:space="preserve">Great Barrier Reef Summit Blueprint – 2017 details ten focus areas for strengthening. Several of these focus areas include actions regarding better management of commercial marine tourism (e.g. strengthened compliance) as well as greater protection of values important to tourism (e.g. coral cover, reef restoration, COTS control). </w:t>
            </w:r>
          </w:p>
        </w:tc>
        <w:tc>
          <w:tcPr>
            <w:tcW w:w="5231" w:type="dxa"/>
            <w:tcBorders>
              <w:top w:val="single" w:sz="4" w:space="0" w:color="auto"/>
              <w:left w:val="single" w:sz="4" w:space="0" w:color="auto"/>
              <w:bottom w:val="single" w:sz="4" w:space="0" w:color="auto"/>
              <w:right w:val="single" w:sz="4" w:space="0" w:color="auto"/>
            </w:tcBorders>
          </w:tcPr>
          <w:p w14:paraId="5761E711" w14:textId="77777777"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Queensland Ecotourism Plan 2013 – 2020</w:t>
            </w:r>
          </w:p>
          <w:p w14:paraId="5761E712" w14:textId="77777777"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Fonts w:ascii="Arial Narrow" w:hAnsi="Arial Narrow"/>
                <w:sz w:val="18"/>
                <w:szCs w:val="18"/>
              </w:rPr>
              <w:t>Great Barrier Reef Summit Blueprint</w:t>
            </w:r>
          </w:p>
        </w:tc>
        <w:tc>
          <w:tcPr>
            <w:tcW w:w="1006" w:type="dxa"/>
            <w:tcBorders>
              <w:top w:val="single" w:sz="4" w:space="0" w:color="auto"/>
              <w:left w:val="single" w:sz="4" w:space="0" w:color="auto"/>
              <w:bottom w:val="single" w:sz="4" w:space="0" w:color="auto"/>
              <w:right w:val="single" w:sz="4" w:space="0" w:color="auto"/>
            </w:tcBorders>
          </w:tcPr>
          <w:p w14:paraId="5761E713"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1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26"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16"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commercial marine tourism have been documented</w:t>
            </w:r>
          </w:p>
        </w:tc>
        <w:tc>
          <w:tcPr>
            <w:tcW w:w="664" w:type="dxa"/>
            <w:tcBorders>
              <w:top w:val="single" w:sz="4" w:space="0" w:color="auto"/>
              <w:left w:val="single" w:sz="4" w:space="0" w:color="auto"/>
              <w:bottom w:val="single" w:sz="4" w:space="0" w:color="auto"/>
              <w:right w:val="single" w:sz="4" w:space="0" w:color="auto"/>
            </w:tcBorders>
          </w:tcPr>
          <w:p w14:paraId="5761E717"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718" w14:textId="77777777" w:rsidR="00A56EE9" w:rsidRDefault="00A56EE9" w:rsidP="00A11869">
            <w:pPr>
              <w:pStyle w:val="ListParagraph"/>
              <w:numPr>
                <w:ilvl w:val="0"/>
                <w:numId w:val="257"/>
              </w:numPr>
              <w:spacing w:after="200" w:line="276" w:lineRule="auto"/>
              <w:rPr>
                <w:rFonts w:ascii="Arial Narrow" w:hAnsi="Arial Narrow"/>
                <w:sz w:val="18"/>
                <w:szCs w:val="18"/>
              </w:rPr>
            </w:pPr>
            <w:r w:rsidRPr="00E70A11">
              <w:rPr>
                <w:rFonts w:ascii="Arial Narrow" w:hAnsi="Arial Narrow"/>
                <w:sz w:val="18"/>
                <w:szCs w:val="18"/>
              </w:rPr>
              <w:t>Plans of Management, which are generally prepared for intensively used, or particularly vulnerable groups of islands and reefs, and for the protection of vulnerable species or ecological communities, provide clear, measurable and appropriate objectives for the management of tourism in these areas. There are currently three tourism related Plans of Management within the Great Barrier Reef Marine Park.</w:t>
            </w:r>
          </w:p>
          <w:p w14:paraId="5761E719" w14:textId="77777777" w:rsidR="00A56EE9" w:rsidRDefault="00A56EE9" w:rsidP="00A11869">
            <w:pPr>
              <w:pStyle w:val="ListParagraph"/>
              <w:numPr>
                <w:ilvl w:val="0"/>
                <w:numId w:val="257"/>
              </w:numPr>
              <w:spacing w:after="200" w:line="276" w:lineRule="auto"/>
              <w:rPr>
                <w:rFonts w:ascii="Arial Narrow" w:hAnsi="Arial Narrow"/>
                <w:sz w:val="18"/>
                <w:szCs w:val="18"/>
              </w:rPr>
            </w:pPr>
            <w:r>
              <w:rPr>
                <w:rFonts w:ascii="Arial Narrow" w:hAnsi="Arial Narrow"/>
                <w:sz w:val="18"/>
                <w:szCs w:val="18"/>
              </w:rPr>
              <w:t>On 4 October 2017 first tranche of improving the permission systems were released, N</w:t>
            </w:r>
            <w:r w:rsidRPr="00A06B1A">
              <w:rPr>
                <w:rFonts w:ascii="Arial Narrow" w:hAnsi="Arial Narrow"/>
                <w:sz w:val="18"/>
                <w:szCs w:val="18"/>
              </w:rPr>
              <w:t>ew Regulations have come into effect and a suite of policy documents including new guidance materials and training modules</w:t>
            </w:r>
            <w:r>
              <w:rPr>
                <w:rFonts w:ascii="Arial Narrow" w:hAnsi="Arial Narrow"/>
                <w:sz w:val="18"/>
                <w:szCs w:val="18"/>
              </w:rPr>
              <w:t>. T</w:t>
            </w:r>
            <w:r w:rsidRPr="00A06B1A">
              <w:rPr>
                <w:rFonts w:ascii="Arial Narrow" w:hAnsi="Arial Narrow"/>
                <w:sz w:val="18"/>
                <w:szCs w:val="18"/>
              </w:rPr>
              <w:t>hese initiatives will increase transparency and consistency of permit assessment and decision making.</w:t>
            </w:r>
          </w:p>
          <w:p w14:paraId="5761E71A" w14:textId="77777777" w:rsidR="00A56EE9" w:rsidRDefault="00A56EE9" w:rsidP="00A11869">
            <w:pPr>
              <w:pStyle w:val="ListParagraph"/>
              <w:numPr>
                <w:ilvl w:val="0"/>
                <w:numId w:val="257"/>
              </w:numPr>
              <w:spacing w:after="200" w:line="276" w:lineRule="auto"/>
              <w:rPr>
                <w:rFonts w:ascii="Arial Narrow" w:hAnsi="Arial Narrow"/>
                <w:sz w:val="18"/>
                <w:szCs w:val="18"/>
              </w:rPr>
            </w:pPr>
            <w:r w:rsidRPr="00FC7775">
              <w:rPr>
                <w:rFonts w:ascii="Arial Narrow" w:hAnsi="Arial Narrow"/>
                <w:sz w:val="18"/>
                <w:szCs w:val="18"/>
              </w:rPr>
              <w:t>A new onli</w:t>
            </w:r>
            <w:r>
              <w:rPr>
                <w:rFonts w:ascii="Arial Narrow" w:hAnsi="Arial Narrow"/>
                <w:sz w:val="18"/>
                <w:szCs w:val="18"/>
              </w:rPr>
              <w:t xml:space="preserve">ne portal, Permits Online, accompanied </w:t>
            </w:r>
            <w:r w:rsidRPr="00FC7775">
              <w:rPr>
                <w:rFonts w:ascii="Arial Narrow" w:hAnsi="Arial Narrow"/>
                <w:sz w:val="18"/>
                <w:szCs w:val="18"/>
              </w:rPr>
              <w:t>improvements to the permi</w:t>
            </w:r>
            <w:r>
              <w:rPr>
                <w:rFonts w:ascii="Arial Narrow" w:hAnsi="Arial Narrow"/>
                <w:sz w:val="18"/>
                <w:szCs w:val="18"/>
              </w:rPr>
              <w:t>ssion system. Permits Online</w:t>
            </w:r>
            <w:r w:rsidRPr="00FC7775">
              <w:rPr>
                <w:rFonts w:ascii="Arial Narrow" w:hAnsi="Arial Narrow"/>
                <w:sz w:val="18"/>
                <w:szCs w:val="18"/>
              </w:rPr>
              <w:t xml:space="preserve"> allow</w:t>
            </w:r>
            <w:r>
              <w:rPr>
                <w:rFonts w:ascii="Arial Narrow" w:hAnsi="Arial Narrow"/>
                <w:sz w:val="18"/>
                <w:szCs w:val="18"/>
              </w:rPr>
              <w:t>s</w:t>
            </w:r>
            <w:r w:rsidRPr="00FC7775">
              <w:rPr>
                <w:rFonts w:ascii="Arial Narrow" w:hAnsi="Arial Narrow"/>
                <w:sz w:val="18"/>
                <w:szCs w:val="18"/>
              </w:rPr>
              <w:t xml:space="preserve"> applicants to submit Marine Parks permit applications and to manage their applications, existing permits and contact details</w:t>
            </w:r>
          </w:p>
          <w:p w14:paraId="5761E71B" w14:textId="77777777" w:rsidR="00A56EE9" w:rsidRPr="00E70A11" w:rsidRDefault="00A56EE9" w:rsidP="00A11869">
            <w:pPr>
              <w:pStyle w:val="ListParagraph"/>
              <w:numPr>
                <w:ilvl w:val="0"/>
                <w:numId w:val="257"/>
              </w:numPr>
              <w:spacing w:after="200" w:line="276" w:lineRule="auto"/>
              <w:rPr>
                <w:rFonts w:ascii="Arial Narrow" w:hAnsi="Arial Narrow"/>
                <w:sz w:val="18"/>
                <w:szCs w:val="18"/>
              </w:rPr>
            </w:pPr>
            <w:r w:rsidRPr="00E70A11">
              <w:rPr>
                <w:rFonts w:ascii="Arial Narrow" w:hAnsi="Arial Narrow"/>
                <w:sz w:val="18"/>
                <w:szCs w:val="18"/>
              </w:rPr>
              <w:t xml:space="preserve">The 2017-18 GBRMPA Corporate Plan specifies specific, measurable and appropriate objectives to manage commercial marine tourism across three of its four program areas: </w:t>
            </w:r>
          </w:p>
          <w:p w14:paraId="5761E71C" w14:textId="77777777" w:rsidR="00A56EE9" w:rsidRPr="00E70A11" w:rsidRDefault="00A56EE9" w:rsidP="00A11869">
            <w:pPr>
              <w:pStyle w:val="ListParagraph"/>
              <w:numPr>
                <w:ilvl w:val="1"/>
                <w:numId w:val="257"/>
              </w:numPr>
              <w:spacing w:after="200" w:line="276" w:lineRule="auto"/>
              <w:rPr>
                <w:rFonts w:ascii="Arial Narrow" w:hAnsi="Arial Narrow"/>
                <w:sz w:val="18"/>
                <w:szCs w:val="18"/>
              </w:rPr>
            </w:pPr>
            <w:r w:rsidRPr="00E70A11">
              <w:rPr>
                <w:rFonts w:ascii="Arial Narrow" w:hAnsi="Arial Narrow"/>
                <w:sz w:val="18"/>
                <w:szCs w:val="18"/>
              </w:rPr>
              <w:t>Regulating and ensuring Marine Park user compliance</w:t>
            </w:r>
          </w:p>
          <w:p w14:paraId="5761E71D" w14:textId="77777777" w:rsidR="00A56EE9" w:rsidRPr="00E70A11" w:rsidRDefault="00A56EE9" w:rsidP="00A11869">
            <w:pPr>
              <w:pStyle w:val="ListParagraph"/>
              <w:numPr>
                <w:ilvl w:val="1"/>
                <w:numId w:val="257"/>
              </w:numPr>
              <w:spacing w:after="200" w:line="276" w:lineRule="auto"/>
              <w:rPr>
                <w:rFonts w:ascii="Arial Narrow" w:hAnsi="Arial Narrow"/>
                <w:sz w:val="18"/>
                <w:szCs w:val="18"/>
              </w:rPr>
            </w:pPr>
            <w:r w:rsidRPr="00E70A11">
              <w:rPr>
                <w:rFonts w:ascii="Arial Narrow" w:hAnsi="Arial Narrow"/>
                <w:sz w:val="18"/>
                <w:szCs w:val="18"/>
              </w:rPr>
              <w:t>Educating and fostering stewardship to enhance protection of the Reef</w:t>
            </w:r>
          </w:p>
          <w:p w14:paraId="5761E71E" w14:textId="77777777" w:rsidR="00A56EE9" w:rsidRPr="00E70A11" w:rsidRDefault="00A56EE9" w:rsidP="00A11869">
            <w:pPr>
              <w:pStyle w:val="ListParagraph"/>
              <w:numPr>
                <w:ilvl w:val="1"/>
                <w:numId w:val="257"/>
              </w:numPr>
              <w:spacing w:after="200" w:line="276" w:lineRule="auto"/>
              <w:rPr>
                <w:rStyle w:val="BookTitle"/>
                <w:rFonts w:ascii="Arial Narrow" w:hAnsi="Arial Narrow"/>
                <w:sz w:val="18"/>
                <w:szCs w:val="18"/>
              </w:rPr>
            </w:pPr>
            <w:r w:rsidRPr="00E70A11">
              <w:rPr>
                <w:rFonts w:ascii="Arial Narrow" w:hAnsi="Arial Narrow"/>
                <w:sz w:val="18"/>
                <w:szCs w:val="18"/>
              </w:rPr>
              <w:t>Enhancing Reef resilience through continuous improvement and new initiatives across all aspects of management</w:t>
            </w:r>
          </w:p>
        </w:tc>
        <w:tc>
          <w:tcPr>
            <w:tcW w:w="5231" w:type="dxa"/>
            <w:tcBorders>
              <w:top w:val="single" w:sz="4" w:space="0" w:color="auto"/>
              <w:left w:val="single" w:sz="4" w:space="0" w:color="auto"/>
              <w:bottom w:val="single" w:sz="4" w:space="0" w:color="auto"/>
              <w:right w:val="single" w:sz="4" w:space="0" w:color="auto"/>
            </w:tcBorders>
          </w:tcPr>
          <w:p w14:paraId="5761E71F" w14:textId="4F423182"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Corporate Plan</w:t>
            </w:r>
            <w:r>
              <w:rPr>
                <w:rFonts w:ascii="Arial Narrow" w:hAnsi="Arial Narrow"/>
                <w:sz w:val="18"/>
                <w:szCs w:val="18"/>
              </w:rPr>
              <w:t xml:space="preserve"> </w:t>
            </w:r>
            <w:r w:rsidRPr="00E70A11">
              <w:rPr>
                <w:rFonts w:ascii="Arial Narrow" w:hAnsi="Arial Narrow"/>
                <w:sz w:val="18"/>
                <w:szCs w:val="18"/>
              </w:rPr>
              <w:t xml:space="preserve">GBRMPA website: </w:t>
            </w:r>
            <w:hyperlink r:id="rId289" w:tooltip="document link" w:history="1">
              <w:r w:rsidRPr="00E70A11">
                <w:rPr>
                  <w:rStyle w:val="Hyperlink"/>
                  <w:rFonts w:ascii="Arial Narrow" w:hAnsi="Arial Narrow"/>
                  <w:sz w:val="18"/>
                  <w:szCs w:val="18"/>
                </w:rPr>
                <w:t>http://hdl.handle.net/11017/3246</w:t>
              </w:r>
            </w:hyperlink>
          </w:p>
          <w:p w14:paraId="5761E720"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290" w:history="1">
              <w:r w:rsidR="00A56EE9" w:rsidRPr="00E70A11">
                <w:rPr>
                  <w:rStyle w:val="Hyperlink"/>
                  <w:rFonts w:ascii="Arial Narrow" w:hAnsi="Arial Narrow"/>
                  <w:sz w:val="18"/>
                  <w:szCs w:val="18"/>
                </w:rPr>
                <w:t>Corporate Plan 17-18</w:t>
              </w:r>
            </w:hyperlink>
          </w:p>
          <w:p w14:paraId="5761E721"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The objectives of plans of management are set out in the </w:t>
            </w:r>
            <w:hyperlink r:id="rId291" w:history="1">
              <w:r w:rsidRPr="00E70A11">
                <w:rPr>
                  <w:rStyle w:val="Hyperlink"/>
                  <w:rFonts w:ascii="Arial Narrow" w:hAnsi="Arial Narrow"/>
                  <w:sz w:val="18"/>
                  <w:szCs w:val="18"/>
                </w:rPr>
                <w:t>Great Barrier Reef Marine Park Act 1975</w:t>
              </w:r>
            </w:hyperlink>
            <w:r w:rsidRPr="00E70A11">
              <w:rPr>
                <w:rFonts w:ascii="Arial Narrow" w:hAnsi="Arial Narrow"/>
                <w:sz w:val="18"/>
                <w:szCs w:val="18"/>
              </w:rPr>
              <w:t>.</w:t>
            </w:r>
          </w:p>
          <w:p w14:paraId="5761E722" w14:textId="1790CBB6"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Plans of Management: </w:t>
            </w:r>
            <w:hyperlink r:id="rId292" w:tooltip="document link" w:history="1">
              <w:r w:rsidRPr="00E70A11">
                <w:rPr>
                  <w:rStyle w:val="Hyperlink"/>
                  <w:rFonts w:ascii="Arial Narrow" w:hAnsi="Arial Narrow"/>
                  <w:sz w:val="18"/>
                  <w:szCs w:val="18"/>
                </w:rPr>
                <w:t>http://www.gbrmpa.gov.au/zoning-permits-and-plans/plans-of-management</w:t>
              </w:r>
            </w:hyperlink>
          </w:p>
          <w:p w14:paraId="5761E723" w14:textId="77777777" w:rsidR="00A56EE9" w:rsidRPr="00E70A11" w:rsidRDefault="00A56EE9" w:rsidP="00BB6AD5">
            <w:pPr>
              <w:pStyle w:val="ListParagraph"/>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724"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2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33"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27"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728"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729" w14:textId="77777777" w:rsidR="00A56EE9" w:rsidRPr="00E70A11" w:rsidRDefault="00A56EE9" w:rsidP="00A11869">
            <w:pPr>
              <w:pStyle w:val="ListParagraph"/>
              <w:numPr>
                <w:ilvl w:val="0"/>
                <w:numId w:val="258"/>
              </w:numPr>
              <w:spacing w:after="200" w:line="276" w:lineRule="auto"/>
              <w:rPr>
                <w:rFonts w:ascii="Arial Narrow" w:hAnsi="Arial Narrow"/>
                <w:sz w:val="18"/>
                <w:szCs w:val="18"/>
              </w:rPr>
            </w:pPr>
            <w:r w:rsidRPr="00E70A11">
              <w:rPr>
                <w:rFonts w:ascii="Arial Narrow" w:hAnsi="Arial Narrow"/>
                <w:sz w:val="18"/>
                <w:szCs w:val="18"/>
              </w:rPr>
              <w:t>Information is collected over time to assist with the review of key planning and policy documents.</w:t>
            </w:r>
          </w:p>
          <w:p w14:paraId="5761E72A" w14:textId="77777777" w:rsidR="00A56EE9" w:rsidRPr="00E70A11" w:rsidRDefault="00A56EE9" w:rsidP="00A11869">
            <w:pPr>
              <w:pStyle w:val="ListParagraph"/>
              <w:numPr>
                <w:ilvl w:val="1"/>
                <w:numId w:val="258"/>
              </w:numPr>
              <w:spacing w:after="200" w:line="276" w:lineRule="auto"/>
              <w:rPr>
                <w:rFonts w:ascii="Arial Narrow" w:hAnsi="Arial Narrow"/>
                <w:sz w:val="18"/>
                <w:szCs w:val="18"/>
              </w:rPr>
            </w:pPr>
            <w:r w:rsidRPr="00E70A11">
              <w:rPr>
                <w:rFonts w:ascii="Arial Narrow" w:hAnsi="Arial Narrow"/>
                <w:sz w:val="18"/>
                <w:szCs w:val="18"/>
              </w:rPr>
              <w:t>Using the Reef Management System to monitor the number of special tourism permissions as part of implementing and reviewing the allocation aspect of the policy on managing tourism permissions</w:t>
            </w:r>
          </w:p>
          <w:p w14:paraId="5761E72B" w14:textId="77777777" w:rsidR="00A56EE9" w:rsidRPr="00E70A11" w:rsidRDefault="00A56EE9" w:rsidP="00A11869">
            <w:pPr>
              <w:pStyle w:val="ListParagraph"/>
              <w:numPr>
                <w:ilvl w:val="1"/>
                <w:numId w:val="258"/>
              </w:numPr>
              <w:spacing w:after="200" w:line="276" w:lineRule="auto"/>
              <w:rPr>
                <w:rFonts w:ascii="Arial Narrow" w:hAnsi="Arial Narrow"/>
                <w:sz w:val="18"/>
                <w:szCs w:val="18"/>
              </w:rPr>
            </w:pPr>
            <w:r w:rsidRPr="00E70A11">
              <w:rPr>
                <w:rFonts w:ascii="Arial Narrow" w:hAnsi="Arial Narrow"/>
                <w:sz w:val="18"/>
                <w:szCs w:val="18"/>
              </w:rPr>
              <w:t>Eye on the Reef information – condition of the Reef in certain locations.</w:t>
            </w:r>
          </w:p>
          <w:p w14:paraId="5761E72C" w14:textId="77777777" w:rsidR="00A56EE9" w:rsidRPr="00E70A11" w:rsidRDefault="00A56EE9" w:rsidP="00A11869">
            <w:pPr>
              <w:pStyle w:val="ListParagraph"/>
              <w:numPr>
                <w:ilvl w:val="1"/>
                <w:numId w:val="258"/>
              </w:numPr>
              <w:spacing w:after="200" w:line="276" w:lineRule="auto"/>
              <w:rPr>
                <w:rFonts w:ascii="Arial Narrow" w:hAnsi="Arial Narrow"/>
                <w:sz w:val="18"/>
                <w:szCs w:val="18"/>
              </w:rPr>
            </w:pPr>
            <w:r w:rsidRPr="00E70A11">
              <w:rPr>
                <w:rFonts w:ascii="Arial Narrow" w:hAnsi="Arial Narrow"/>
                <w:sz w:val="18"/>
                <w:szCs w:val="18"/>
              </w:rPr>
              <w:t>AIMS Long-term Monitoring Program data – condition of Reef in certain locations.</w:t>
            </w:r>
          </w:p>
          <w:p w14:paraId="5761E72D" w14:textId="77777777" w:rsidR="00A56EE9" w:rsidRPr="00E70A11" w:rsidRDefault="00A56EE9" w:rsidP="00A11869">
            <w:pPr>
              <w:pStyle w:val="ListParagraph"/>
              <w:numPr>
                <w:ilvl w:val="1"/>
                <w:numId w:val="258"/>
              </w:numPr>
              <w:spacing w:after="200" w:line="276" w:lineRule="auto"/>
              <w:rPr>
                <w:rFonts w:ascii="Arial Narrow" w:hAnsi="Arial Narrow"/>
                <w:sz w:val="18"/>
                <w:szCs w:val="18"/>
              </w:rPr>
            </w:pPr>
            <w:r w:rsidRPr="00E70A11">
              <w:rPr>
                <w:rFonts w:ascii="Arial Narrow" w:hAnsi="Arial Narrow"/>
                <w:sz w:val="18"/>
                <w:szCs w:val="18"/>
              </w:rPr>
              <w:t xml:space="preserve">Reef Health and Impact Surveys assist with informing condition of the reef which can be used to inform planning. </w:t>
            </w:r>
          </w:p>
          <w:p w14:paraId="5761E72E" w14:textId="77777777" w:rsidR="00A56EE9" w:rsidRPr="00E70A11" w:rsidRDefault="00A56EE9" w:rsidP="00A11869">
            <w:pPr>
              <w:pStyle w:val="ListParagraph"/>
              <w:numPr>
                <w:ilvl w:val="0"/>
                <w:numId w:val="258"/>
              </w:numPr>
              <w:spacing w:after="200" w:line="276" w:lineRule="auto"/>
              <w:rPr>
                <w:rStyle w:val="BookTitle"/>
                <w:rFonts w:ascii="Arial Narrow" w:hAnsi="Arial Narrow"/>
                <w:sz w:val="18"/>
                <w:szCs w:val="18"/>
              </w:rPr>
            </w:pPr>
            <w:r w:rsidRPr="00E70A11">
              <w:rPr>
                <w:rFonts w:ascii="Arial Narrow" w:hAnsi="Arial Narrow"/>
                <w:sz w:val="18"/>
                <w:szCs w:val="18"/>
              </w:rPr>
              <w:t>There is no provision in the PoMs to ensure appropriate, adequate and systematic monitoring information (of the values) is gathered to assess the efficacy of the planning arrangements to protect the underlying values of the area. There are a few examples where GBRMPA has implemented trigger limits that would lead to a review of the plan or to adaptive management responses to address cumulative impacts</w:t>
            </w:r>
          </w:p>
        </w:tc>
        <w:tc>
          <w:tcPr>
            <w:tcW w:w="5231" w:type="dxa"/>
            <w:tcBorders>
              <w:top w:val="single" w:sz="4" w:space="0" w:color="auto"/>
              <w:left w:val="single" w:sz="4" w:space="0" w:color="auto"/>
              <w:bottom w:val="single" w:sz="4" w:space="0" w:color="auto"/>
              <w:right w:val="single" w:sz="4" w:space="0" w:color="auto"/>
            </w:tcBorders>
          </w:tcPr>
          <w:p w14:paraId="5761E72F"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AIMS Long-term Monitoring Program</w:t>
            </w:r>
          </w:p>
          <w:p w14:paraId="5761E730" w14:textId="77777777"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Fonts w:ascii="Arial Narrow" w:hAnsi="Arial Narrow"/>
                <w:sz w:val="18"/>
                <w:szCs w:val="18"/>
              </w:rPr>
              <w:t>Eye on the Reef</w:t>
            </w:r>
          </w:p>
        </w:tc>
        <w:tc>
          <w:tcPr>
            <w:tcW w:w="1006" w:type="dxa"/>
            <w:tcBorders>
              <w:top w:val="single" w:sz="4" w:space="0" w:color="auto"/>
              <w:left w:val="single" w:sz="4" w:space="0" w:color="auto"/>
              <w:bottom w:val="single" w:sz="4" w:space="0" w:color="auto"/>
              <w:right w:val="single" w:sz="4" w:space="0" w:color="auto"/>
            </w:tcBorders>
          </w:tcPr>
          <w:p w14:paraId="5761E731" w14:textId="77777777" w:rsidR="00A56EE9" w:rsidRPr="00E70A11" w:rsidRDefault="00A56EE9" w:rsidP="00BB6AD5">
            <w:pPr>
              <w:pStyle w:val="Tablebulletlist"/>
              <w:rPr>
                <w:rStyle w:val="BookTitle"/>
              </w:rPr>
            </w:pPr>
            <w:r>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32" w14:textId="77777777" w:rsidR="00A56EE9" w:rsidRPr="00E70A11" w:rsidRDefault="00A56EE9" w:rsidP="00BB6AD5">
            <w:pPr>
              <w:pStyle w:val="Tablebulletlist"/>
              <w:rPr>
                <w:rStyle w:val="BookTitle"/>
              </w:rPr>
            </w:pPr>
            <w:r>
              <w:rPr>
                <w:rStyle w:val="BookTitle"/>
              </w:rPr>
              <w:t>Stable</w:t>
            </w:r>
          </w:p>
        </w:tc>
      </w:tr>
      <w:tr w:rsidR="00A56EE9" w:rsidRPr="00E70A11" w14:paraId="5761E740"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34"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735"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736" w14:textId="77777777" w:rsidR="00A56EE9" w:rsidRPr="00E70A11" w:rsidRDefault="00A56EE9" w:rsidP="00A11869">
            <w:pPr>
              <w:pStyle w:val="ListParagraph"/>
              <w:numPr>
                <w:ilvl w:val="0"/>
                <w:numId w:val="258"/>
              </w:numPr>
              <w:spacing w:after="200" w:line="276" w:lineRule="auto"/>
              <w:rPr>
                <w:rFonts w:ascii="Arial Narrow" w:hAnsi="Arial Narrow"/>
                <w:sz w:val="18"/>
                <w:szCs w:val="18"/>
              </w:rPr>
            </w:pPr>
            <w:r w:rsidRPr="00E70A11">
              <w:rPr>
                <w:rFonts w:ascii="Arial Narrow" w:hAnsi="Arial Narrow"/>
                <w:sz w:val="18"/>
                <w:szCs w:val="18"/>
              </w:rPr>
              <w:t xml:space="preserve">Reef HQ Great Barrier Reef Aquarium, the Authority’s national education centre for the Great Barrier Reef also fosters community and stakeholder behaviour change and participation in actions to address threats to the Reef by ensuring they have a clear understanding of the value of the Great Barrier Reef, the threats to its sustainable future and the actions they can take to protect it </w:t>
            </w:r>
          </w:p>
          <w:p w14:paraId="5761E737" w14:textId="77777777" w:rsidR="00A56EE9" w:rsidRPr="00E70A11" w:rsidRDefault="00A56EE9" w:rsidP="00A11869">
            <w:pPr>
              <w:pStyle w:val="ListParagraph"/>
              <w:numPr>
                <w:ilvl w:val="0"/>
                <w:numId w:val="258"/>
              </w:numPr>
              <w:spacing w:after="200" w:line="276" w:lineRule="auto"/>
              <w:rPr>
                <w:rFonts w:ascii="Arial Narrow" w:hAnsi="Arial Narrow"/>
                <w:sz w:val="18"/>
                <w:szCs w:val="18"/>
              </w:rPr>
            </w:pPr>
            <w:r w:rsidRPr="00E70A11">
              <w:rPr>
                <w:rFonts w:ascii="Arial Narrow" w:hAnsi="Arial Narrow"/>
                <w:sz w:val="18"/>
                <w:szCs w:val="18"/>
              </w:rPr>
              <w:t xml:space="preserve">Stakeholders continue to be highly engaged in planning processes through the Tourism Reef Advisory Committee (TRAC), Local Marine Advisory Committees (LMACs) and other consultative mechanisms including public consultation processes. </w:t>
            </w:r>
          </w:p>
          <w:p w14:paraId="5761E738" w14:textId="77777777" w:rsidR="00A56EE9" w:rsidRDefault="00A56EE9" w:rsidP="00A11869">
            <w:pPr>
              <w:pStyle w:val="ListParagraph"/>
              <w:numPr>
                <w:ilvl w:val="0"/>
                <w:numId w:val="258"/>
              </w:numPr>
              <w:spacing w:after="200" w:line="276" w:lineRule="auto"/>
              <w:rPr>
                <w:rFonts w:ascii="Arial Narrow" w:hAnsi="Arial Narrow"/>
                <w:sz w:val="18"/>
                <w:szCs w:val="18"/>
              </w:rPr>
            </w:pPr>
            <w:r w:rsidRPr="00E70A11">
              <w:rPr>
                <w:rFonts w:ascii="Arial Narrow" w:hAnsi="Arial Narrow"/>
                <w:sz w:val="18"/>
                <w:szCs w:val="18"/>
              </w:rPr>
              <w:t>There is a high level regulatory requirement for stakeholder engagement and education through Zoning Plans, policy and Plans of Management. E.g. Public submission requirements exist for policy development and public meetings for site planning. Since the last management effectiveness there have been three public consultations for tourism policies (Moorings, Cruise ship, Marine Tourism Contingency Plan)</w:t>
            </w:r>
          </w:p>
          <w:p w14:paraId="5761E739" w14:textId="77777777" w:rsidR="00A56EE9" w:rsidRPr="00E70A11" w:rsidRDefault="00A56EE9" w:rsidP="00A11869">
            <w:pPr>
              <w:pStyle w:val="ListParagraph"/>
              <w:numPr>
                <w:ilvl w:val="0"/>
                <w:numId w:val="258"/>
              </w:numPr>
              <w:spacing w:after="200" w:line="276" w:lineRule="auto"/>
              <w:rPr>
                <w:rStyle w:val="BookTitle"/>
                <w:rFonts w:ascii="Arial Narrow" w:hAnsi="Arial Narrow"/>
                <w:sz w:val="18"/>
                <w:szCs w:val="18"/>
              </w:rPr>
            </w:pPr>
            <w:r>
              <w:rPr>
                <w:rStyle w:val="BookTitle"/>
                <w:rFonts w:ascii="Arial Narrow" w:hAnsi="Arial Narrow"/>
                <w:sz w:val="18"/>
                <w:szCs w:val="18"/>
              </w:rPr>
              <w:t>The 2015-2017 review of the Whitsundays Plan of Management included significant consultation prior to developing the draft plan of formal public consultation.</w:t>
            </w:r>
          </w:p>
        </w:tc>
        <w:tc>
          <w:tcPr>
            <w:tcW w:w="5231" w:type="dxa"/>
            <w:tcBorders>
              <w:top w:val="single" w:sz="4" w:space="0" w:color="auto"/>
              <w:left w:val="single" w:sz="4" w:space="0" w:color="auto"/>
              <w:bottom w:val="single" w:sz="4" w:space="0" w:color="auto"/>
              <w:right w:val="single" w:sz="4" w:space="0" w:color="auto"/>
            </w:tcBorders>
          </w:tcPr>
          <w:p w14:paraId="5761E73A"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Reef HQ Great Barrier Reef Aquarium</w:t>
            </w:r>
          </w:p>
          <w:p w14:paraId="5761E73B"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Tourism Reef Advisory Committee</w:t>
            </w:r>
          </w:p>
          <w:p w14:paraId="5761E73C"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Local marine advisory committees</w:t>
            </w:r>
          </w:p>
          <w:p w14:paraId="5761E73D" w14:textId="77777777"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Fonts w:ascii="Arial Narrow" w:hAnsi="Arial Narrow"/>
                <w:sz w:val="18"/>
                <w:szCs w:val="18"/>
              </w:rPr>
              <w:t>2017-18 GBRMPA Corporate Plan</w:t>
            </w:r>
          </w:p>
        </w:tc>
        <w:tc>
          <w:tcPr>
            <w:tcW w:w="1006" w:type="dxa"/>
            <w:tcBorders>
              <w:top w:val="single" w:sz="4" w:space="0" w:color="auto"/>
              <w:left w:val="single" w:sz="4" w:space="0" w:color="auto"/>
              <w:bottom w:val="single" w:sz="4" w:space="0" w:color="auto"/>
              <w:right w:val="single" w:sz="4" w:space="0" w:color="auto"/>
            </w:tcBorders>
          </w:tcPr>
          <w:p w14:paraId="5761E73E"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3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57"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41"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742"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743"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The Authority has a suite of policy initiatives relating to commercial marine tourism, many were developed in the early to mid-2000s and the Authority is methodically working to update these. Since the last management effectiveness review, the following policies have been updated:</w:t>
            </w:r>
          </w:p>
          <w:p w14:paraId="5761E744"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The Marine Tourism Contingency Plan.</w:t>
            </w:r>
          </w:p>
          <w:p w14:paraId="5761E745"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The policy on Moorings in the Great Barrier Reef.</w:t>
            </w:r>
            <w:r>
              <w:rPr>
                <w:rFonts w:ascii="Arial Narrow" w:hAnsi="Arial Narrow"/>
                <w:sz w:val="18"/>
                <w:szCs w:val="18"/>
              </w:rPr>
              <w:t xml:space="preserve"> </w:t>
            </w:r>
          </w:p>
          <w:p w14:paraId="5761E746"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 xml:space="preserve">The majority of permit related environmental impact policies were updated in a review in 2017. </w:t>
            </w:r>
          </w:p>
          <w:p w14:paraId="5761E747"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In addition:</w:t>
            </w:r>
          </w:p>
          <w:p w14:paraId="5761E748"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The Cruise ship policy has been through public consultation and been to MPA in September 2017 with only minor amendments needed to finalise it.</w:t>
            </w:r>
          </w:p>
          <w:p w14:paraId="5761E749"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A review has commenced for the policy on Managing Tourism Permissions (including Allocation, Latency and Tenure).</w:t>
            </w:r>
          </w:p>
          <w:p w14:paraId="5761E74A" w14:textId="77777777" w:rsidR="00A56EE9" w:rsidRPr="00E70A11" w:rsidRDefault="00A56EE9" w:rsidP="00A11869">
            <w:pPr>
              <w:pStyle w:val="ListParagraph"/>
              <w:numPr>
                <w:ilvl w:val="0"/>
                <w:numId w:val="259"/>
              </w:numPr>
              <w:spacing w:after="200" w:line="276" w:lineRule="auto"/>
              <w:rPr>
                <w:rStyle w:val="BookTitle"/>
                <w:rFonts w:ascii="Arial Narrow" w:hAnsi="Arial Narrow"/>
                <w:sz w:val="18"/>
                <w:szCs w:val="18"/>
              </w:rPr>
            </w:pPr>
            <w:r w:rsidRPr="00E70A11">
              <w:rPr>
                <w:rFonts w:ascii="Arial Narrow" w:hAnsi="Arial Narrow"/>
                <w:sz w:val="18"/>
                <w:szCs w:val="18"/>
              </w:rPr>
              <w:t xml:space="preserve">Following the coral bleaching in the north in 2016-17 and cyclone Debbie in the Whitsundays in 2017, the </w:t>
            </w:r>
            <w:hyperlink r:id="rId293" w:history="1">
              <w:r w:rsidRPr="00E70A11">
                <w:rPr>
                  <w:rStyle w:val="Hyperlink"/>
                  <w:rFonts w:ascii="Arial Narrow" w:hAnsi="Arial Narrow"/>
                  <w:sz w:val="18"/>
                  <w:szCs w:val="18"/>
                </w:rPr>
                <w:t>Marine tourism coordination framework for environmental incidents</w:t>
              </w:r>
            </w:hyperlink>
            <w:r w:rsidRPr="00E70A11">
              <w:rPr>
                <w:rFonts w:ascii="Arial Narrow" w:hAnsi="Arial Narrow"/>
                <w:sz w:val="18"/>
                <w:szCs w:val="18"/>
              </w:rPr>
              <w:t xml:space="preserve"> and the Marine Tourism Contingency Plan were enacted. The Framework sets out a mechanism for the coordination and facilitation of responses to an environmental incident relevant to the marine tourism industry. The Contingency Plan focuses on assisting tourism operators to temporarily relocate to an alternative site following a severe environmental incident. The Framework and the contingency policy were enacted recently.</w:t>
            </w:r>
          </w:p>
        </w:tc>
        <w:tc>
          <w:tcPr>
            <w:tcW w:w="5231" w:type="dxa"/>
            <w:tcBorders>
              <w:top w:val="single" w:sz="4" w:space="0" w:color="auto"/>
              <w:left w:val="single" w:sz="4" w:space="0" w:color="auto"/>
              <w:bottom w:val="single" w:sz="4" w:space="0" w:color="auto"/>
              <w:right w:val="single" w:sz="4" w:space="0" w:color="auto"/>
            </w:tcBorders>
          </w:tcPr>
          <w:p w14:paraId="5761E74B"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294" w:history="1">
              <w:r w:rsidR="00A56EE9" w:rsidRPr="00E70A11">
                <w:rPr>
                  <w:rStyle w:val="Hyperlink"/>
                  <w:rFonts w:ascii="Arial Narrow" w:hAnsi="Arial Narrow"/>
                  <w:sz w:val="18"/>
                  <w:szCs w:val="18"/>
                </w:rPr>
                <w:t>Responsible Reef Practices</w:t>
              </w:r>
            </w:hyperlink>
          </w:p>
          <w:p w14:paraId="5761E74C"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295" w:history="1">
              <w:r w:rsidR="00A56EE9" w:rsidRPr="00E70A11">
                <w:rPr>
                  <w:rStyle w:val="Hyperlink"/>
                  <w:rFonts w:ascii="Arial Narrow" w:hAnsi="Arial Narrow"/>
                  <w:sz w:val="18"/>
                  <w:szCs w:val="18"/>
                </w:rPr>
                <w:t>Tourism on the GBR – how it is managed</w:t>
              </w:r>
            </w:hyperlink>
            <w:r w:rsidR="00A56EE9" w:rsidRPr="00E70A11">
              <w:rPr>
                <w:rFonts w:ascii="Arial Narrow" w:hAnsi="Arial Narrow"/>
                <w:sz w:val="18"/>
                <w:szCs w:val="18"/>
              </w:rPr>
              <w:t xml:space="preserve"> </w:t>
            </w:r>
          </w:p>
          <w:p w14:paraId="5761E74D"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296" w:history="1">
              <w:r w:rsidR="00A56EE9" w:rsidRPr="00E70A11">
                <w:rPr>
                  <w:rStyle w:val="Hyperlink"/>
                  <w:rFonts w:ascii="Arial Narrow" w:hAnsi="Arial Narrow"/>
                  <w:sz w:val="18"/>
                  <w:szCs w:val="18"/>
                </w:rPr>
                <w:t>Regulation of sewage discharge</w:t>
              </w:r>
            </w:hyperlink>
            <w:r w:rsidR="00A56EE9" w:rsidRPr="00E70A11">
              <w:rPr>
                <w:rFonts w:ascii="Arial Narrow" w:hAnsi="Arial Narrow"/>
                <w:sz w:val="18"/>
                <w:szCs w:val="18"/>
              </w:rPr>
              <w:t xml:space="preserve"> </w:t>
            </w:r>
          </w:p>
          <w:p w14:paraId="5761E74E"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297" w:history="1">
              <w:r w:rsidR="00A56EE9" w:rsidRPr="00E70A11">
                <w:rPr>
                  <w:rStyle w:val="Hyperlink"/>
                  <w:rFonts w:ascii="Arial Narrow" w:hAnsi="Arial Narrow"/>
                  <w:sz w:val="18"/>
                  <w:szCs w:val="18"/>
                </w:rPr>
                <w:t>Marine Tourism Coordination Framework</w:t>
              </w:r>
            </w:hyperlink>
            <w:r w:rsidR="00A56EE9" w:rsidRPr="00E70A11">
              <w:rPr>
                <w:rFonts w:ascii="Arial Narrow" w:hAnsi="Arial Narrow"/>
                <w:sz w:val="18"/>
                <w:szCs w:val="18"/>
              </w:rPr>
              <w:t xml:space="preserve"> </w:t>
            </w:r>
          </w:p>
          <w:p w14:paraId="5761E74F"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298" w:history="1">
              <w:r w:rsidR="00A56EE9" w:rsidRPr="00E70A11">
                <w:rPr>
                  <w:rStyle w:val="Hyperlink"/>
                  <w:rFonts w:ascii="Arial Narrow" w:hAnsi="Arial Narrow"/>
                  <w:sz w:val="18"/>
                  <w:szCs w:val="18"/>
                </w:rPr>
                <w:t>A Statement of Management Arrangements in the Great Barrier Reef Marine Park for Super-yacht Operations</w:t>
              </w:r>
            </w:hyperlink>
            <w:r w:rsidR="00A56EE9" w:rsidRPr="00E70A11">
              <w:rPr>
                <w:rFonts w:ascii="Arial Narrow" w:hAnsi="Arial Narrow"/>
                <w:sz w:val="18"/>
                <w:szCs w:val="18"/>
              </w:rPr>
              <w:t xml:space="preserve">: </w:t>
            </w:r>
          </w:p>
          <w:p w14:paraId="5761E750"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299" w:history="1">
              <w:r w:rsidR="00A56EE9" w:rsidRPr="00E70A11">
                <w:rPr>
                  <w:rStyle w:val="Hyperlink"/>
                  <w:rFonts w:ascii="Arial Narrow" w:hAnsi="Arial Narrow"/>
                  <w:sz w:val="18"/>
                  <w:szCs w:val="18"/>
                </w:rPr>
                <w:t>Position Statement on the management of tourism flights in the vicinity of Magnetic Island</w:t>
              </w:r>
            </w:hyperlink>
            <w:r w:rsidR="00A56EE9" w:rsidRPr="00E70A11">
              <w:rPr>
                <w:rFonts w:ascii="Arial Narrow" w:hAnsi="Arial Narrow"/>
                <w:sz w:val="18"/>
                <w:szCs w:val="18"/>
              </w:rPr>
              <w:t xml:space="preserve"> </w:t>
            </w:r>
          </w:p>
          <w:p w14:paraId="5761E751" w14:textId="1B7E70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Policies </w:t>
            </w:r>
            <w:hyperlink r:id="rId300" w:tooltip="document link" w:history="1">
              <w:r w:rsidRPr="00E70A11">
                <w:rPr>
                  <w:rStyle w:val="Hyperlink"/>
                  <w:rFonts w:ascii="Arial Narrow" w:hAnsi="Arial Narrow"/>
                  <w:sz w:val="18"/>
                  <w:szCs w:val="18"/>
                </w:rPr>
                <w:t>http://www.gbrmpa.gov.au/corp_site/key_issues/tourism/management/policies</w:t>
              </w:r>
            </w:hyperlink>
          </w:p>
          <w:p w14:paraId="5761E752"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301" w:history="1">
              <w:r w:rsidR="00A56EE9" w:rsidRPr="00E70A11">
                <w:rPr>
                  <w:rStyle w:val="Hyperlink"/>
                  <w:rFonts w:ascii="Arial Narrow" w:hAnsi="Arial Narrow"/>
                  <w:sz w:val="18"/>
                  <w:szCs w:val="18"/>
                </w:rPr>
                <w:t>Managing Tourism Permissions</w:t>
              </w:r>
            </w:hyperlink>
          </w:p>
          <w:p w14:paraId="5761E753"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302" w:history="1">
              <w:r w:rsidR="00A56EE9" w:rsidRPr="00E70A11">
                <w:rPr>
                  <w:rStyle w:val="Hyperlink"/>
                  <w:rFonts w:ascii="Arial Narrow" w:hAnsi="Arial Narrow"/>
                  <w:sz w:val="18"/>
                  <w:szCs w:val="18"/>
                </w:rPr>
                <w:t>Managing Bareboat Operations</w:t>
              </w:r>
            </w:hyperlink>
          </w:p>
          <w:p w14:paraId="5761E754" w14:textId="77777777"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Fonts w:ascii="Arial Narrow" w:hAnsi="Arial Narrow"/>
                <w:sz w:val="18"/>
                <w:szCs w:val="18"/>
              </w:rPr>
              <w:t>Department of Tourism, Regional</w:t>
            </w:r>
          </w:p>
        </w:tc>
        <w:tc>
          <w:tcPr>
            <w:tcW w:w="1006" w:type="dxa"/>
            <w:tcBorders>
              <w:top w:val="single" w:sz="4" w:space="0" w:color="auto"/>
              <w:left w:val="single" w:sz="4" w:space="0" w:color="auto"/>
              <w:bottom w:val="single" w:sz="4" w:space="0" w:color="auto"/>
              <w:right w:val="single" w:sz="4" w:space="0" w:color="auto"/>
            </w:tcBorders>
          </w:tcPr>
          <w:p w14:paraId="5761E755"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56"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767"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shd w:val="clear" w:color="auto" w:fill="FFFFFF"/>
          </w:tcPr>
          <w:p w14:paraId="5761E758" w14:textId="77777777" w:rsidR="00A56EE9" w:rsidRPr="00E70A11" w:rsidRDefault="00A56EE9" w:rsidP="00BB6AD5">
            <w:pPr>
              <w:pStyle w:val="Tablebulletlist"/>
              <w:rPr>
                <w:rStyle w:val="BookTitle"/>
              </w:rPr>
            </w:pPr>
            <w:r w:rsidRPr="00E70A11">
              <w:rPr>
                <w:rStyle w:val="BookTitle"/>
              </w:rPr>
              <w:t>PL8 There is consistency across jurisdictions when planning for commercial marine tourism</w:t>
            </w:r>
          </w:p>
        </w:tc>
        <w:tc>
          <w:tcPr>
            <w:tcW w:w="664" w:type="dxa"/>
            <w:tcBorders>
              <w:top w:val="single" w:sz="4" w:space="0" w:color="auto"/>
              <w:left w:val="single" w:sz="4" w:space="0" w:color="auto"/>
              <w:bottom w:val="single" w:sz="4" w:space="0" w:color="auto"/>
              <w:right w:val="single" w:sz="4" w:space="0" w:color="auto"/>
            </w:tcBorders>
            <w:shd w:val="clear" w:color="auto" w:fill="FFFFFF"/>
          </w:tcPr>
          <w:p w14:paraId="5761E759"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shd w:val="clear" w:color="auto" w:fill="FFFFFF"/>
          </w:tcPr>
          <w:p w14:paraId="5761E75A"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 xml:space="preserve">Intergovernmental Agreement (updated in 2014 see below) continues joint arrangements for permits, policies, compliance – all of which plan for and manage commercial marine tourism. </w:t>
            </w:r>
          </w:p>
          <w:p w14:paraId="5761E75B"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Currently there is no overarching planning strategy in place for tourism management across all government agencies engaged in tourism.</w:t>
            </w:r>
          </w:p>
          <w:p w14:paraId="5761E75C"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Where possible duplication has been minimised between jurisdictions, eg. Joint permit system, joint policy.</w:t>
            </w:r>
          </w:p>
          <w:p w14:paraId="5761E75D"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Plans of Management are GBRMPA only, not currently accredited by Queensland. This raises some administrative inconsistency in particular through the joint permit process where state only conditions need to be added (which significantly increases the length and complexity of permits). If the Plans of Management were accredited by Queensland, permits would be simpler and shorter.</w:t>
            </w:r>
          </w:p>
          <w:p w14:paraId="5761E75E"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 xml:space="preserve">Joint Field Management Program for the Great Barrier Reef is ongoing and supported through the Intergovernmental Agreement. </w:t>
            </w:r>
          </w:p>
          <w:p w14:paraId="5761E75F" w14:textId="77777777" w:rsidR="00A56EE9" w:rsidRPr="00E70A11" w:rsidRDefault="00A56EE9" w:rsidP="00A11869">
            <w:pPr>
              <w:pStyle w:val="ListParagraph"/>
              <w:numPr>
                <w:ilvl w:val="0"/>
                <w:numId w:val="259"/>
              </w:numPr>
              <w:spacing w:after="200" w:line="276" w:lineRule="auto"/>
              <w:rPr>
                <w:rFonts w:ascii="Arial Narrow" w:hAnsi="Arial Narrow"/>
                <w:sz w:val="18"/>
                <w:szCs w:val="18"/>
              </w:rPr>
            </w:pPr>
            <w:r w:rsidRPr="00E70A11">
              <w:rPr>
                <w:rFonts w:ascii="Arial Narrow" w:hAnsi="Arial Narrow"/>
                <w:sz w:val="18"/>
                <w:szCs w:val="18"/>
              </w:rPr>
              <w:t xml:space="preserve">Joint permits (between GBRMPA and QPWS) have been maintained and streamlined through an online permit system and bookings database for commercial marine operators in high use areas. </w:t>
            </w:r>
          </w:p>
          <w:p w14:paraId="5761E760" w14:textId="77777777" w:rsidR="00A56EE9" w:rsidRPr="00E70A11" w:rsidRDefault="00A56EE9" w:rsidP="00A11869">
            <w:pPr>
              <w:pStyle w:val="ListParagraph"/>
              <w:numPr>
                <w:ilvl w:val="0"/>
                <w:numId w:val="259"/>
              </w:numPr>
              <w:spacing w:after="200" w:line="276" w:lineRule="auto"/>
              <w:rPr>
                <w:rStyle w:val="BookTitle"/>
                <w:rFonts w:ascii="Arial Narrow" w:hAnsi="Arial Narrow"/>
                <w:sz w:val="18"/>
                <w:szCs w:val="18"/>
              </w:rPr>
            </w:pPr>
            <w:r w:rsidRPr="00E70A11">
              <w:rPr>
                <w:rFonts w:ascii="Arial Narrow" w:hAnsi="Arial Narrow"/>
                <w:sz w:val="18"/>
                <w:szCs w:val="18"/>
              </w:rPr>
              <w:t xml:space="preserve">Bookings Online system covers bookings for both the GBRMP and the Qld Great Barrier Reef Coast Marine Park. </w:t>
            </w:r>
          </w:p>
        </w:tc>
        <w:tc>
          <w:tcPr>
            <w:tcW w:w="5231" w:type="dxa"/>
            <w:tcBorders>
              <w:top w:val="single" w:sz="4" w:space="0" w:color="auto"/>
              <w:left w:val="single" w:sz="4" w:space="0" w:color="auto"/>
              <w:bottom w:val="single" w:sz="4" w:space="0" w:color="auto"/>
              <w:right w:val="single" w:sz="4" w:space="0" w:color="auto"/>
            </w:tcBorders>
            <w:shd w:val="clear" w:color="auto" w:fill="FFFFFF"/>
          </w:tcPr>
          <w:p w14:paraId="5761E761"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303" w:history="1">
              <w:r w:rsidR="00A56EE9" w:rsidRPr="00E70A11">
                <w:rPr>
                  <w:rStyle w:val="Hyperlink"/>
                  <w:rFonts w:ascii="Arial Narrow" w:hAnsi="Arial Narrow"/>
                  <w:sz w:val="18"/>
                  <w:szCs w:val="18"/>
                </w:rPr>
                <w:t>Great Barrier Reef Intergovernmental Agreement</w:t>
              </w:r>
            </w:hyperlink>
            <w:r w:rsidR="00A56EE9" w:rsidRPr="00E70A11">
              <w:rPr>
                <w:rFonts w:ascii="Arial Narrow" w:hAnsi="Arial Narrow"/>
                <w:sz w:val="18"/>
                <w:szCs w:val="18"/>
              </w:rPr>
              <w:t xml:space="preserve"> 2015</w:t>
            </w:r>
          </w:p>
          <w:p w14:paraId="5761E762"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304" w:history="1">
              <w:r w:rsidR="00A56EE9" w:rsidRPr="00E70A11">
                <w:rPr>
                  <w:rStyle w:val="Hyperlink"/>
                  <w:rFonts w:ascii="Arial Narrow" w:hAnsi="Arial Narrow"/>
                  <w:sz w:val="18"/>
                  <w:szCs w:val="18"/>
                </w:rPr>
                <w:t>Permits Online - 2017</w:t>
              </w:r>
            </w:hyperlink>
          </w:p>
          <w:p w14:paraId="5761E763"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305" w:history="1">
              <w:r w:rsidR="00A56EE9" w:rsidRPr="00E70A11">
                <w:rPr>
                  <w:rStyle w:val="Hyperlink"/>
                  <w:rFonts w:ascii="Arial Narrow" w:hAnsi="Arial Narrow"/>
                  <w:sz w:val="18"/>
                  <w:szCs w:val="18"/>
                </w:rPr>
                <w:t>Bookings Online Manual</w:t>
              </w:r>
            </w:hyperlink>
            <w:r w:rsidR="00A56EE9" w:rsidRPr="00E70A11">
              <w:rPr>
                <w:rFonts w:ascii="Arial Narrow" w:hAnsi="Arial Narrow"/>
                <w:sz w:val="18"/>
                <w:szCs w:val="18"/>
              </w:rPr>
              <w:t xml:space="preserve"> </w:t>
            </w:r>
          </w:p>
          <w:p w14:paraId="5761E764" w14:textId="77777777" w:rsidR="00A56EE9" w:rsidRPr="00E70A11" w:rsidRDefault="00A56EE9" w:rsidP="00BB6AD5">
            <w:pPr>
              <w:pStyle w:val="ListParagraph"/>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shd w:val="clear" w:color="auto" w:fill="FFFFFF"/>
          </w:tcPr>
          <w:p w14:paraId="5761E765"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shd w:val="clear" w:color="auto" w:fill="FFFFFF"/>
          </w:tcPr>
          <w:p w14:paraId="5761E766"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76"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shd w:val="clear" w:color="auto" w:fill="auto"/>
          </w:tcPr>
          <w:p w14:paraId="5761E768"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commercial marine tourism provide certainty regarding where uses may occur, the type of activities allowed, conditions under which activities may proceed and circumstances where impacts are likely to be acceptable.</w:t>
            </w:r>
          </w:p>
        </w:tc>
        <w:tc>
          <w:tcPr>
            <w:tcW w:w="664" w:type="dxa"/>
            <w:tcBorders>
              <w:top w:val="single" w:sz="4" w:space="0" w:color="auto"/>
              <w:left w:val="single" w:sz="4" w:space="0" w:color="auto"/>
              <w:bottom w:val="single" w:sz="4" w:space="0" w:color="auto"/>
              <w:right w:val="single" w:sz="4" w:space="0" w:color="auto"/>
            </w:tcBorders>
          </w:tcPr>
          <w:p w14:paraId="5761E769"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76A" w14:textId="77777777" w:rsidR="00A56EE9" w:rsidRPr="00E70A11" w:rsidRDefault="00A56EE9" w:rsidP="00A11869">
            <w:pPr>
              <w:pStyle w:val="ListParagraph"/>
              <w:numPr>
                <w:ilvl w:val="0"/>
                <w:numId w:val="260"/>
              </w:numPr>
              <w:spacing w:after="200" w:line="276" w:lineRule="auto"/>
              <w:rPr>
                <w:rFonts w:ascii="Arial Narrow" w:hAnsi="Arial Narrow"/>
                <w:sz w:val="18"/>
                <w:szCs w:val="18"/>
              </w:rPr>
            </w:pPr>
            <w:r w:rsidRPr="00E70A11">
              <w:rPr>
                <w:rFonts w:ascii="Arial Narrow" w:hAnsi="Arial Narrow"/>
                <w:sz w:val="18"/>
                <w:szCs w:val="18"/>
              </w:rPr>
              <w:t xml:space="preserve">The Zoning Plan provides spatial control of use and, to a lesser extent, access within the Great Barrier Reef Marine Park. It establishes the framework for extractive use and the need for permits for some uses, such as tourism, which delivers certainty. </w:t>
            </w:r>
          </w:p>
          <w:p w14:paraId="5761E76B" w14:textId="77777777" w:rsidR="00A56EE9" w:rsidRPr="00E70A11" w:rsidRDefault="00A56EE9" w:rsidP="00A11869">
            <w:pPr>
              <w:pStyle w:val="ListParagraph"/>
              <w:numPr>
                <w:ilvl w:val="0"/>
                <w:numId w:val="260"/>
              </w:numPr>
              <w:spacing w:after="200" w:line="276" w:lineRule="auto"/>
              <w:rPr>
                <w:rFonts w:ascii="Arial Narrow" w:hAnsi="Arial Narrow"/>
                <w:sz w:val="18"/>
                <w:szCs w:val="18"/>
              </w:rPr>
            </w:pPr>
            <w:r w:rsidRPr="00E70A11">
              <w:rPr>
                <w:rFonts w:ascii="Arial Narrow" w:hAnsi="Arial Narrow"/>
                <w:sz w:val="18"/>
                <w:szCs w:val="18"/>
              </w:rPr>
              <w:t>Plans of Management provide certainty through specific arrangements for activities, areas, species or ecological communities. They complement zoning and permitting arrangements. Some components are legally binding. Plans of Management are developed under Part VB of the Great Barrier Reef Marine Park Act 1975. There is the capacity for the Authority to enter into agreements or arrangements for management of an area, species or ecological community. With a community group having a special interest in an area, including some form of native title.</w:t>
            </w:r>
          </w:p>
          <w:p w14:paraId="5761E76C" w14:textId="77777777" w:rsidR="00A56EE9" w:rsidRPr="00E70A11" w:rsidRDefault="00A56EE9" w:rsidP="00A11869">
            <w:pPr>
              <w:pStyle w:val="ListParagraph"/>
              <w:numPr>
                <w:ilvl w:val="0"/>
                <w:numId w:val="260"/>
              </w:numPr>
              <w:spacing w:after="200" w:line="276" w:lineRule="auto"/>
              <w:rPr>
                <w:rFonts w:ascii="Arial Narrow" w:hAnsi="Arial Narrow"/>
                <w:sz w:val="18"/>
                <w:szCs w:val="18"/>
              </w:rPr>
            </w:pPr>
            <w:r w:rsidRPr="00E70A11">
              <w:rPr>
                <w:rFonts w:ascii="Arial Narrow" w:hAnsi="Arial Narrow"/>
                <w:sz w:val="18"/>
                <w:szCs w:val="18"/>
              </w:rPr>
              <w:t>Best environmental practices for diving and snorkelling do not specifically provide certainty, but do communicate preferred behaviours and are available for tourists and recreational users.</w:t>
            </w:r>
          </w:p>
          <w:p w14:paraId="5761E76D" w14:textId="77777777" w:rsidR="00A56EE9" w:rsidRPr="00E70A11" w:rsidRDefault="00A56EE9" w:rsidP="00A11869">
            <w:pPr>
              <w:pStyle w:val="ListParagraph"/>
              <w:numPr>
                <w:ilvl w:val="0"/>
                <w:numId w:val="260"/>
              </w:numPr>
              <w:spacing w:after="200" w:line="276" w:lineRule="auto"/>
              <w:rPr>
                <w:rStyle w:val="BookTitle"/>
                <w:rFonts w:ascii="Arial Narrow" w:hAnsi="Arial Narrow"/>
                <w:sz w:val="18"/>
                <w:szCs w:val="18"/>
              </w:rPr>
            </w:pPr>
            <w:r w:rsidRPr="00E70A11">
              <w:rPr>
                <w:rFonts w:ascii="Arial Narrow" w:hAnsi="Arial Narrow"/>
                <w:sz w:val="18"/>
                <w:szCs w:val="18"/>
              </w:rPr>
              <w:t>In 2017 GBRMPA undertook a comprehensive review of its regulations and permit assessment processes to streamline processes while maintaining high levels of environmental protection. The proposed changes will strengthen the system by improving consistency and transparency through a range of guidelines so the process and the basis for decisions is clearer</w:t>
            </w:r>
          </w:p>
        </w:tc>
        <w:tc>
          <w:tcPr>
            <w:tcW w:w="5231" w:type="dxa"/>
            <w:tcBorders>
              <w:top w:val="single" w:sz="4" w:space="0" w:color="auto"/>
              <w:left w:val="single" w:sz="4" w:space="0" w:color="auto"/>
              <w:bottom w:val="single" w:sz="4" w:space="0" w:color="auto"/>
              <w:right w:val="single" w:sz="4" w:space="0" w:color="auto"/>
            </w:tcBorders>
          </w:tcPr>
          <w:p w14:paraId="5761E76E"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306" w:history="1">
              <w:r w:rsidR="00A56EE9" w:rsidRPr="00E70A11">
                <w:rPr>
                  <w:rStyle w:val="Hyperlink"/>
                  <w:rFonts w:ascii="Arial Narrow" w:hAnsi="Arial Narrow"/>
                  <w:sz w:val="18"/>
                  <w:szCs w:val="18"/>
                </w:rPr>
                <w:t>2017 Cost Recovery Implementation Statement:</w:t>
              </w:r>
            </w:hyperlink>
            <w:r w:rsidR="00A56EE9" w:rsidRPr="00E70A11">
              <w:rPr>
                <w:rFonts w:ascii="Arial Narrow" w:hAnsi="Arial Narrow"/>
                <w:sz w:val="18"/>
                <w:szCs w:val="18"/>
              </w:rPr>
              <w:t xml:space="preserve"> cost recovery for managing the permission system under the Great Barrier Reef Marine Park Act 1975</w:t>
            </w:r>
          </w:p>
          <w:p w14:paraId="5761E76F" w14:textId="77777777"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307" w:history="1">
              <w:r w:rsidR="00A56EE9" w:rsidRPr="00E70A11">
                <w:rPr>
                  <w:rStyle w:val="Hyperlink"/>
                  <w:rFonts w:ascii="Arial Narrow" w:hAnsi="Arial Narrow"/>
                  <w:sz w:val="18"/>
                  <w:szCs w:val="18"/>
                </w:rPr>
                <w:t>Bookings Online Manual</w:t>
              </w:r>
            </w:hyperlink>
            <w:r w:rsidR="00A56EE9" w:rsidRPr="00E70A11">
              <w:rPr>
                <w:rFonts w:ascii="Arial Narrow" w:hAnsi="Arial Narrow"/>
                <w:sz w:val="18"/>
                <w:szCs w:val="18"/>
              </w:rPr>
              <w:t xml:space="preserve"> </w:t>
            </w:r>
          </w:p>
          <w:p w14:paraId="5761E770" w14:textId="77777777" w:rsidR="00A56EE9" w:rsidRPr="00E70A11" w:rsidRDefault="008B5998" w:rsidP="00A11869">
            <w:pPr>
              <w:pStyle w:val="ListParagraph"/>
              <w:numPr>
                <w:ilvl w:val="0"/>
                <w:numId w:val="25"/>
              </w:numPr>
              <w:spacing w:after="200" w:line="276" w:lineRule="auto"/>
              <w:rPr>
                <w:rStyle w:val="Hyperlink"/>
                <w:rFonts w:ascii="Arial Narrow" w:hAnsi="Arial Narrow"/>
                <w:sz w:val="18"/>
                <w:szCs w:val="18"/>
              </w:rPr>
            </w:pPr>
            <w:hyperlink r:id="rId308" w:history="1">
              <w:r w:rsidR="00A56EE9" w:rsidRPr="00E70A11">
                <w:rPr>
                  <w:rStyle w:val="Hyperlink"/>
                  <w:rFonts w:ascii="Arial Narrow" w:hAnsi="Arial Narrow"/>
                  <w:sz w:val="18"/>
                  <w:szCs w:val="18"/>
                </w:rPr>
                <w:t>See Press Release – Permit System Improvement Process</w:t>
              </w:r>
            </w:hyperlink>
          </w:p>
          <w:p w14:paraId="5761E771" w14:textId="77777777" w:rsidR="00A56EE9" w:rsidRPr="00E70A11" w:rsidRDefault="00A56EE9" w:rsidP="00A11869">
            <w:pPr>
              <w:pStyle w:val="ListParagraph"/>
              <w:numPr>
                <w:ilvl w:val="0"/>
                <w:numId w:val="25"/>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GBR Zoning Plan</w:t>
            </w:r>
          </w:p>
          <w:p w14:paraId="5761E772" w14:textId="6A6A140D" w:rsidR="00A56EE9" w:rsidRPr="00E70A11" w:rsidRDefault="008B5998" w:rsidP="00A11869">
            <w:pPr>
              <w:pStyle w:val="ListParagraph"/>
              <w:numPr>
                <w:ilvl w:val="0"/>
                <w:numId w:val="25"/>
              </w:numPr>
              <w:spacing w:after="200" w:line="276" w:lineRule="auto"/>
              <w:rPr>
                <w:rFonts w:ascii="Arial Narrow" w:hAnsi="Arial Narrow"/>
                <w:sz w:val="18"/>
                <w:szCs w:val="18"/>
              </w:rPr>
            </w:pPr>
            <w:hyperlink r:id="rId309" w:tooltip="document link" w:history="1">
              <w:r w:rsidR="00A56EE9" w:rsidRPr="00E70A11">
                <w:rPr>
                  <w:rStyle w:val="Hyperlink"/>
                  <w:rFonts w:ascii="Arial Narrow" w:hAnsi="Arial Narrow"/>
                  <w:sz w:val="18"/>
                  <w:szCs w:val="18"/>
                </w:rPr>
                <w:t>https://www.reefplan.qld.gov.au/implementation/research-development/</w:t>
              </w:r>
            </w:hyperlink>
            <w:r w:rsidR="00A56EE9" w:rsidRPr="00E70A11">
              <w:rPr>
                <w:rFonts w:ascii="Arial Narrow" w:hAnsi="Arial Narrow"/>
                <w:sz w:val="18"/>
                <w:szCs w:val="18"/>
              </w:rPr>
              <w:t xml:space="preserve"> </w:t>
            </w:r>
          </w:p>
          <w:p w14:paraId="5761E773" w14:textId="77777777" w:rsidR="00A56EE9" w:rsidRPr="00E70A11" w:rsidRDefault="00A56EE9" w:rsidP="00BB6AD5">
            <w:pPr>
              <w:pStyle w:val="ListParagraph"/>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774"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7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7D"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77" w14:textId="77777777" w:rsidR="00A56EE9" w:rsidRPr="00E70A11" w:rsidRDefault="00A56EE9" w:rsidP="00BB6AD5">
            <w:pPr>
              <w:pStyle w:val="Tablebulletlist"/>
              <w:rPr>
                <w:rStyle w:val="BookTitle"/>
              </w:rPr>
            </w:pPr>
            <w:r w:rsidRPr="00E70A11">
              <w:rPr>
                <w:rStyle w:val="BookTitle"/>
              </w:rPr>
              <w:t>INPUTS</w:t>
            </w:r>
          </w:p>
        </w:tc>
        <w:tc>
          <w:tcPr>
            <w:tcW w:w="66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78" w14:textId="77777777" w:rsidR="00A56EE9" w:rsidRPr="00E70A11" w:rsidRDefault="00A56EE9" w:rsidP="00BB6AD5">
            <w:pPr>
              <w:pStyle w:val="Tablebulletlist"/>
              <w:rPr>
                <w:rStyle w:val="BookTitle"/>
              </w:rPr>
            </w:pPr>
          </w:p>
        </w:tc>
        <w:tc>
          <w:tcPr>
            <w:tcW w:w="45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79" w14:textId="77777777" w:rsidR="00A56EE9" w:rsidRPr="00E70A11" w:rsidRDefault="00A56EE9" w:rsidP="00BB6AD5">
            <w:pPr>
              <w:pStyle w:val="ListParagraph"/>
              <w:ind w:left="360"/>
              <w:rPr>
                <w:rStyle w:val="BookTitle"/>
                <w:rFonts w:ascii="Arial Narrow" w:hAnsi="Arial Narrow"/>
                <w:sz w:val="18"/>
                <w:szCs w:val="18"/>
              </w:rPr>
            </w:pPr>
          </w:p>
        </w:tc>
        <w:tc>
          <w:tcPr>
            <w:tcW w:w="523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7A" w14:textId="77777777" w:rsidR="00A56EE9" w:rsidRPr="00E70A11" w:rsidRDefault="00A56EE9" w:rsidP="00BB6AD5">
            <w:pPr>
              <w:pStyle w:val="ListParagraph"/>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7B" w14:textId="77777777" w:rsidR="00A56EE9" w:rsidRPr="00E70A11" w:rsidRDefault="00A56EE9" w:rsidP="00BB6AD5">
            <w:pPr>
              <w:pStyle w:val="Tablebulletlist"/>
              <w:rPr>
                <w:rStyle w:val="BookTitle"/>
              </w:rPr>
            </w:pPr>
          </w:p>
        </w:tc>
        <w:tc>
          <w:tcPr>
            <w:tcW w:w="121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7C" w14:textId="77777777" w:rsidR="00A56EE9" w:rsidRPr="00E70A11" w:rsidRDefault="00A56EE9" w:rsidP="00BB6AD5">
            <w:pPr>
              <w:pStyle w:val="Tablebulletlist"/>
              <w:rPr>
                <w:rStyle w:val="BookTitle"/>
              </w:rPr>
            </w:pPr>
          </w:p>
        </w:tc>
      </w:tr>
      <w:tr w:rsidR="00A56EE9" w:rsidRPr="00E70A11" w14:paraId="5761E78A"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7E"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commercial marine tourism </w:t>
            </w:r>
          </w:p>
        </w:tc>
        <w:tc>
          <w:tcPr>
            <w:tcW w:w="664" w:type="dxa"/>
            <w:tcBorders>
              <w:top w:val="single" w:sz="4" w:space="0" w:color="auto"/>
              <w:left w:val="single" w:sz="4" w:space="0" w:color="auto"/>
              <w:bottom w:val="single" w:sz="4" w:space="0" w:color="auto"/>
              <w:right w:val="single" w:sz="4" w:space="0" w:color="auto"/>
            </w:tcBorders>
          </w:tcPr>
          <w:p w14:paraId="5761E77F"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780" w14:textId="77777777" w:rsidR="00A56EE9" w:rsidRPr="00E70A11" w:rsidRDefault="00A56EE9" w:rsidP="00A11869">
            <w:pPr>
              <w:pStyle w:val="ListParagraph"/>
              <w:numPr>
                <w:ilvl w:val="0"/>
                <w:numId w:val="261"/>
              </w:numPr>
              <w:spacing w:after="200" w:line="276" w:lineRule="auto"/>
              <w:rPr>
                <w:rFonts w:ascii="Arial Narrow" w:hAnsi="Arial Narrow"/>
                <w:b/>
                <w:sz w:val="18"/>
                <w:szCs w:val="18"/>
              </w:rPr>
            </w:pPr>
            <w:r w:rsidRPr="00E70A11">
              <w:rPr>
                <w:rFonts w:ascii="Arial Narrow" w:hAnsi="Arial Narrow"/>
                <w:sz w:val="18"/>
                <w:szCs w:val="18"/>
              </w:rPr>
              <w:t>GBRMPA, Australian Government Department of the Environment, DNPSR, AMSA, MSQ, QBFP, EA, Tourism Qld, Queensland Tourism Industry Council, Association of Marine Park Tourism Operators (AMPTO), CSIRO, JCU, contribute, in some cases quite significantly, financial resources to tourism monitoring and management.</w:t>
            </w:r>
          </w:p>
          <w:p w14:paraId="5761E781" w14:textId="77777777" w:rsidR="00A56EE9" w:rsidRPr="00E70A11" w:rsidRDefault="00A56EE9" w:rsidP="00A11869">
            <w:pPr>
              <w:pStyle w:val="ListParagraph"/>
              <w:numPr>
                <w:ilvl w:val="0"/>
                <w:numId w:val="261"/>
              </w:numPr>
              <w:spacing w:after="200" w:line="276" w:lineRule="auto"/>
              <w:rPr>
                <w:rFonts w:ascii="Arial Narrow" w:hAnsi="Arial Narrow"/>
                <w:b/>
                <w:sz w:val="18"/>
                <w:szCs w:val="18"/>
              </w:rPr>
            </w:pPr>
            <w:r w:rsidRPr="00E70A11">
              <w:rPr>
                <w:rFonts w:ascii="Arial Narrow" w:hAnsi="Arial Narrow"/>
                <w:sz w:val="18"/>
                <w:szCs w:val="18"/>
              </w:rPr>
              <w:t>GBRMPA tourism management is funded largely through the Tourism and Stewardship Group, but Reef HQ, Reef Guardians, Environmental Assessment and Protection (permits area) and Field Management also contribute significantly, with activities prioritised in the Annual Operating Plan.</w:t>
            </w:r>
          </w:p>
          <w:p w14:paraId="5761E782"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Some financial resources from all managing agencies, most notably QPWS, to educate tourism operators through a variety of mediums (e.g. welcoming people on the water, on park education, public moorings and no-anchoring areas, maintenance of website, publications)</w:t>
            </w:r>
          </w:p>
          <w:p w14:paraId="5761E783"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Whitsunday Plan of Management (WPOM) – As one of Queensland’s iconic national parks the Whitsunday Islands will receive over $7 million in additional funding across two years for island infrastructure projects to enhance ecotourism opportunities. The combination of Australian and Queensland funding will provide a new lookout and walking trail at Southern Whitehaven Beach, a multiday walking track connecting Whitehaven Beach to Tongue Point, an expansion of day and overnight visitor facilities at Whitehaven Beach, three new short walks and an expansion to the Hill Inlet lookout. The Whitsundays already has the largest concentration of public moorings and reef protection markers in the World Heritage Area.</w:t>
            </w:r>
            <w:r>
              <w:rPr>
                <w:rFonts w:ascii="Arial Narrow" w:hAnsi="Arial Narrow"/>
                <w:sz w:val="18"/>
                <w:szCs w:val="18"/>
              </w:rPr>
              <w:t xml:space="preserve"> </w:t>
            </w:r>
            <w:r w:rsidRPr="00E70A11">
              <w:rPr>
                <w:rFonts w:ascii="Arial Narrow" w:hAnsi="Arial Narrow"/>
                <w:sz w:val="18"/>
                <w:szCs w:val="18"/>
              </w:rPr>
              <w:t>In 2017-18 this will be expanded further with 55 new public moorings and 40 new reef protection markers to be installed to protect remaining fringing reef, enable reef recovery and provide opportunities for sustainable visitor access to the surviving areas of fringing reef.</w:t>
            </w:r>
          </w:p>
          <w:p w14:paraId="5761E784" w14:textId="77777777" w:rsidR="00A56EE9" w:rsidRPr="00E70A11" w:rsidRDefault="00A56EE9" w:rsidP="00A11869">
            <w:pPr>
              <w:pStyle w:val="ListParagraph"/>
              <w:numPr>
                <w:ilvl w:val="0"/>
                <w:numId w:val="261"/>
              </w:numPr>
              <w:spacing w:after="200" w:line="276" w:lineRule="auto"/>
              <w:rPr>
                <w:rStyle w:val="BookTitle"/>
                <w:rFonts w:ascii="Arial Narrow" w:hAnsi="Arial Narrow"/>
                <w:sz w:val="18"/>
                <w:szCs w:val="18"/>
              </w:rPr>
            </w:pPr>
            <w:r w:rsidRPr="00E70A11">
              <w:rPr>
                <w:rFonts w:ascii="Arial Narrow" w:hAnsi="Arial Narrow"/>
                <w:sz w:val="18"/>
                <w:szCs w:val="18"/>
              </w:rPr>
              <w:t>EMC: With few exceptions, every tourist carried by a commercial operator visiting the Marine Park contributes to management through an Environmental Management Charge (EMC) – currently set at $6.50 from each visitor per day (current as of Oct 2017). On behalf of the Authority, the industry collects the EMC from tourists. Due to the increase in tourism visitation and increase in the charge due to CPI, the amount has grown from $5.7 million in 2014–15 to $12.1 million in 2016–17. These funds directly contribute to management of the Great Barrier Reef Marine Park.</w:t>
            </w:r>
          </w:p>
        </w:tc>
        <w:tc>
          <w:tcPr>
            <w:tcW w:w="5231" w:type="dxa"/>
            <w:tcBorders>
              <w:top w:val="single" w:sz="4" w:space="0" w:color="auto"/>
              <w:left w:val="single" w:sz="4" w:space="0" w:color="auto"/>
              <w:bottom w:val="single" w:sz="4" w:space="0" w:color="auto"/>
              <w:right w:val="single" w:sz="4" w:space="0" w:color="auto"/>
            </w:tcBorders>
          </w:tcPr>
          <w:p w14:paraId="5761E785" w14:textId="77777777" w:rsidR="00A56EE9" w:rsidRPr="00E70A11" w:rsidRDefault="008B5998" w:rsidP="00A11869">
            <w:pPr>
              <w:pStyle w:val="ListParagraph"/>
              <w:numPr>
                <w:ilvl w:val="0"/>
                <w:numId w:val="25"/>
              </w:numPr>
              <w:spacing w:after="200" w:line="276" w:lineRule="auto"/>
              <w:rPr>
                <w:rFonts w:ascii="Arial Narrow" w:hAnsi="Arial Narrow"/>
                <w:sz w:val="18"/>
                <w:szCs w:val="18"/>
                <w:u w:val="single"/>
              </w:rPr>
            </w:pPr>
            <w:hyperlink r:id="rId310" w:tgtFrame="_top" w:history="1">
              <w:r w:rsidR="00A56EE9" w:rsidRPr="00E70A11">
                <w:rPr>
                  <w:rStyle w:val="Hyperlink"/>
                  <w:rFonts w:ascii="Arial Narrow" w:hAnsi="Arial Narrow"/>
                  <w:sz w:val="18"/>
                  <w:szCs w:val="18"/>
                </w:rPr>
                <w:t>Environmental Management Charge - GBRMPA</w:t>
              </w:r>
            </w:hyperlink>
          </w:p>
          <w:p w14:paraId="5761E786" w14:textId="7936CF5A" w:rsidR="00A56EE9" w:rsidRPr="00E70A11" w:rsidRDefault="00A56EE9" w:rsidP="00A11869">
            <w:pPr>
              <w:pStyle w:val="ListParagraph"/>
              <w:numPr>
                <w:ilvl w:val="0"/>
                <w:numId w:val="25"/>
              </w:numPr>
              <w:spacing w:after="200" w:line="276" w:lineRule="auto"/>
              <w:rPr>
                <w:rFonts w:ascii="Arial Narrow" w:hAnsi="Arial Narrow"/>
                <w:sz w:val="18"/>
                <w:szCs w:val="18"/>
                <w:u w:val="single"/>
              </w:rPr>
            </w:pPr>
            <w:r w:rsidRPr="00E70A11">
              <w:rPr>
                <w:rFonts w:ascii="Arial Narrow" w:hAnsi="Arial Narrow"/>
                <w:sz w:val="18"/>
                <w:szCs w:val="18"/>
                <w:u w:val="single"/>
              </w:rPr>
              <w:t xml:space="preserve">DTESB corporate publications at </w:t>
            </w:r>
            <w:hyperlink r:id="rId311" w:tooltip="document link" w:history="1">
              <w:r w:rsidRPr="00E70A11">
                <w:rPr>
                  <w:rStyle w:val="Hyperlink"/>
                  <w:rFonts w:ascii="Arial Narrow" w:hAnsi="Arial Narrow"/>
                  <w:sz w:val="18"/>
                  <w:szCs w:val="18"/>
                </w:rPr>
                <w:t>http://www.dtesb.qld.gov.au/about-us/publications</w:t>
              </w:r>
            </w:hyperlink>
            <w:r w:rsidRPr="00E70A11">
              <w:rPr>
                <w:rFonts w:ascii="Arial Narrow" w:hAnsi="Arial Narrow"/>
                <w:sz w:val="18"/>
                <w:szCs w:val="18"/>
                <w:u w:val="single"/>
              </w:rPr>
              <w:t xml:space="preserve"> </w:t>
            </w:r>
          </w:p>
          <w:p w14:paraId="5761E787" w14:textId="77777777" w:rsidR="00A56EE9" w:rsidRPr="00E70A11" w:rsidRDefault="00A56EE9" w:rsidP="00BB6AD5">
            <w:pPr>
              <w:pStyle w:val="ListParagraph"/>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788"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8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798"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8B"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commercial marine tourism </w:t>
            </w:r>
          </w:p>
        </w:tc>
        <w:tc>
          <w:tcPr>
            <w:tcW w:w="664" w:type="dxa"/>
            <w:tcBorders>
              <w:top w:val="single" w:sz="4" w:space="0" w:color="auto"/>
              <w:left w:val="single" w:sz="4" w:space="0" w:color="auto"/>
              <w:bottom w:val="single" w:sz="4" w:space="0" w:color="auto"/>
              <w:right w:val="single" w:sz="4" w:space="0" w:color="auto"/>
            </w:tcBorders>
          </w:tcPr>
          <w:p w14:paraId="5761E78C"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78D"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Crown-of-thorns starfish management program</w:t>
            </w:r>
            <w:r>
              <w:rPr>
                <w:rFonts w:ascii="Arial Narrow" w:hAnsi="Arial Narrow"/>
                <w:sz w:val="18"/>
                <w:szCs w:val="18"/>
              </w:rPr>
              <w:t xml:space="preserve"> (3x FTE within GBRMPA)</w:t>
            </w:r>
          </w:p>
          <w:p w14:paraId="5761E78E"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 xml:space="preserve">Increased focus of GBRMPA regional office staff on tourism liaison in high use areas </w:t>
            </w:r>
          </w:p>
          <w:p w14:paraId="5761E78F"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 xml:space="preserve">The new organisational design resulting from GBRMPA’s operational review maintains resources in the Environmental Assessment and Protection section, retains a focus on tourism policy within a new dedicated policy and planning section and maintains some tourism engagement in the Engagement, Stewardship and Partnerships section. </w:t>
            </w:r>
          </w:p>
          <w:p w14:paraId="5761E790"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 xml:space="preserve">Permits Compliance Team: Since July 2014, a small team of approximately 2.5 Full Time Equivalents (FTE) </w:t>
            </w:r>
            <w:r>
              <w:rPr>
                <w:rFonts w:ascii="Arial Narrow" w:hAnsi="Arial Narrow"/>
                <w:sz w:val="18"/>
                <w:szCs w:val="18"/>
              </w:rPr>
              <w:t xml:space="preserve">respond to allegations of permission non-compliance via a risk based annual compliance plan. </w:t>
            </w:r>
            <w:r w:rsidRPr="00E70A11">
              <w:rPr>
                <w:rFonts w:ascii="Arial Narrow" w:hAnsi="Arial Narrow"/>
                <w:sz w:val="18"/>
                <w:szCs w:val="18"/>
              </w:rPr>
              <w:t xml:space="preserve">From July 2015 three (3) FTE in the Environmental Assessment and Protection Section were allocated to implement the </w:t>
            </w:r>
            <w:r w:rsidRPr="00E70A11">
              <w:rPr>
                <w:rFonts w:ascii="Arial Narrow" w:hAnsi="Arial Narrow"/>
                <w:i/>
                <w:sz w:val="18"/>
                <w:szCs w:val="18"/>
              </w:rPr>
              <w:t>Strengthening Permission Compliance action plan</w:t>
            </w:r>
            <w:r w:rsidRPr="00E70A11">
              <w:rPr>
                <w:rFonts w:ascii="Arial Narrow" w:hAnsi="Arial Narrow"/>
                <w:sz w:val="18"/>
                <w:szCs w:val="18"/>
              </w:rPr>
              <w:t xml:space="preserve"> in conjunction with existing foundational tasks undertaken for the agency</w:t>
            </w:r>
          </w:p>
          <w:p w14:paraId="5761E791" w14:textId="77777777" w:rsidR="00A56EE9" w:rsidRPr="00E70A11" w:rsidRDefault="00A56EE9" w:rsidP="00A11869">
            <w:pPr>
              <w:pStyle w:val="ListParagraph"/>
              <w:numPr>
                <w:ilvl w:val="0"/>
                <w:numId w:val="261"/>
              </w:numPr>
              <w:spacing w:after="200" w:line="276" w:lineRule="auto"/>
              <w:rPr>
                <w:rStyle w:val="BookTitle"/>
                <w:rFonts w:ascii="Arial Narrow" w:hAnsi="Arial Narrow"/>
                <w:sz w:val="18"/>
                <w:szCs w:val="18"/>
              </w:rPr>
            </w:pPr>
            <w:r w:rsidRPr="00E70A11">
              <w:rPr>
                <w:rFonts w:ascii="Arial Narrow" w:hAnsi="Arial Narrow"/>
                <w:sz w:val="18"/>
                <w:szCs w:val="18"/>
              </w:rPr>
              <w:t>The Joint Field Management Program presently funds around 115 staff — 20 with the Great Barrier Reef Marine Park Authority and 95 with Queensland Parks and Wildlife Service. This is an 11 per cent reduction from 128 staff in 2008 — a direct result of static funding</w:t>
            </w:r>
          </w:p>
        </w:tc>
        <w:tc>
          <w:tcPr>
            <w:tcW w:w="5231" w:type="dxa"/>
            <w:tcBorders>
              <w:top w:val="single" w:sz="4" w:space="0" w:color="auto"/>
              <w:left w:val="single" w:sz="4" w:space="0" w:color="auto"/>
              <w:bottom w:val="single" w:sz="4" w:space="0" w:color="auto"/>
              <w:right w:val="single" w:sz="4" w:space="0" w:color="auto"/>
            </w:tcBorders>
          </w:tcPr>
          <w:p w14:paraId="5761E792"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 xml:space="preserve">GBRMPA Nous Operational Review final Report </w:t>
            </w:r>
          </w:p>
          <w:p w14:paraId="5761E793" w14:textId="77777777" w:rsidR="00A56EE9" w:rsidRPr="00E70A11" w:rsidRDefault="008B5998" w:rsidP="00A11869">
            <w:pPr>
              <w:pStyle w:val="ListParagraph"/>
              <w:numPr>
                <w:ilvl w:val="0"/>
                <w:numId w:val="25"/>
              </w:numPr>
              <w:spacing w:after="200" w:line="276" w:lineRule="auto"/>
              <w:rPr>
                <w:rFonts w:ascii="Arial Narrow" w:hAnsi="Arial Narrow"/>
                <w:sz w:val="18"/>
                <w:szCs w:val="18"/>
                <w:u w:val="single"/>
              </w:rPr>
            </w:pPr>
            <w:hyperlink r:id="rId312" w:history="1">
              <w:r w:rsidR="00A56EE9" w:rsidRPr="00E70A11">
                <w:rPr>
                  <w:rStyle w:val="Hyperlink"/>
                  <w:rFonts w:ascii="Arial Narrow" w:hAnsi="Arial Narrow"/>
                  <w:sz w:val="18"/>
                  <w:szCs w:val="18"/>
                </w:rPr>
                <w:t>Strengthening Permissions Compliance Action Plan 2015-2020</w:t>
              </w:r>
            </w:hyperlink>
          </w:p>
          <w:p w14:paraId="5761E794" w14:textId="77777777" w:rsidR="00A56EE9" w:rsidRPr="00E70A11" w:rsidRDefault="00A56EE9" w:rsidP="00A11869">
            <w:pPr>
              <w:pStyle w:val="ListParagraph"/>
              <w:numPr>
                <w:ilvl w:val="0"/>
                <w:numId w:val="25"/>
              </w:numPr>
              <w:spacing w:after="200" w:line="276" w:lineRule="auto"/>
              <w:rPr>
                <w:rFonts w:ascii="Arial Narrow" w:hAnsi="Arial Narrow"/>
                <w:sz w:val="18"/>
                <w:szCs w:val="18"/>
                <w:u w:val="single"/>
              </w:rPr>
            </w:pPr>
            <w:r w:rsidRPr="00E70A11">
              <w:rPr>
                <w:rFonts w:ascii="Arial Narrow" w:hAnsi="Arial Narrow"/>
                <w:sz w:val="18"/>
                <w:szCs w:val="18"/>
              </w:rPr>
              <w:t xml:space="preserve">FMP Periodic Review Report (performance 11-17 and Future priorities 2017-2022) </w:t>
            </w:r>
          </w:p>
          <w:p w14:paraId="5761E795" w14:textId="77777777" w:rsidR="00A56EE9" w:rsidRPr="00E70A11" w:rsidRDefault="00A56EE9" w:rsidP="00BB6AD5">
            <w:pPr>
              <w:pStyle w:val="ListParagraph"/>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796"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9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A1"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99"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79A"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79B"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 xml:space="preserve">The new organisational design resulting from GBRMPA’s operational review maintains resources in the Environmental Assessment and Protection section, retains a focus on tourism policy within a new dedicated policy and planning section and maintains some tourism engagement in the Engagement, Stewardship and Partnerships section. </w:t>
            </w:r>
          </w:p>
          <w:p w14:paraId="5761E79C" w14:textId="77777777" w:rsidR="00A56EE9" w:rsidRPr="00E70A11" w:rsidRDefault="00A56EE9" w:rsidP="00A11869">
            <w:pPr>
              <w:pStyle w:val="ListParagraph"/>
              <w:numPr>
                <w:ilvl w:val="0"/>
                <w:numId w:val="261"/>
              </w:numPr>
              <w:spacing w:after="200" w:line="276" w:lineRule="auto"/>
              <w:rPr>
                <w:rStyle w:val="BookTitle"/>
                <w:rFonts w:ascii="Arial Narrow" w:hAnsi="Arial Narrow"/>
                <w:sz w:val="18"/>
                <w:szCs w:val="18"/>
              </w:rPr>
            </w:pPr>
            <w:r w:rsidRPr="00E70A11">
              <w:rPr>
                <w:rFonts w:ascii="Arial Narrow" w:hAnsi="Arial Narrow"/>
                <w:sz w:val="18"/>
                <w:szCs w:val="18"/>
              </w:rPr>
              <w:t>Field Management Program (QPWS and GBRMPA staff): The highly skilled and motivated workforce is maintained through targeted strategic training, including a specialised Foundations of Field Management five-day course developed to combine contemporary theory and protected area management practice with personal motivation to deliver excellence in Reef and island management.</w:t>
            </w:r>
          </w:p>
        </w:tc>
        <w:tc>
          <w:tcPr>
            <w:tcW w:w="5231" w:type="dxa"/>
            <w:tcBorders>
              <w:top w:val="single" w:sz="4" w:space="0" w:color="auto"/>
              <w:left w:val="single" w:sz="4" w:space="0" w:color="auto"/>
              <w:bottom w:val="single" w:sz="4" w:space="0" w:color="auto"/>
              <w:right w:val="single" w:sz="4" w:space="0" w:color="auto"/>
            </w:tcBorders>
          </w:tcPr>
          <w:p w14:paraId="5761E79D"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Foundations of Field Management</w:t>
            </w:r>
          </w:p>
          <w:p w14:paraId="5761E79E" w14:textId="77777777"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Fonts w:ascii="Arial Narrow" w:hAnsi="Arial Narrow"/>
                <w:sz w:val="18"/>
                <w:szCs w:val="18"/>
              </w:rPr>
              <w:t>Stakeholders and workshops</w:t>
            </w:r>
          </w:p>
        </w:tc>
        <w:tc>
          <w:tcPr>
            <w:tcW w:w="1006" w:type="dxa"/>
            <w:tcBorders>
              <w:top w:val="single" w:sz="4" w:space="0" w:color="auto"/>
              <w:left w:val="single" w:sz="4" w:space="0" w:color="auto"/>
              <w:bottom w:val="single" w:sz="4" w:space="0" w:color="auto"/>
              <w:right w:val="single" w:sz="4" w:space="0" w:color="auto"/>
            </w:tcBorders>
          </w:tcPr>
          <w:p w14:paraId="5761E79F"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A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AB"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A2"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7A3"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7A4"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 xml:space="preserve">Extensive biophysical information relating to tourism use and impacts is considered to be readily available </w:t>
            </w:r>
          </w:p>
          <w:p w14:paraId="5761E7A5"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Eye on the Reef data collected post Cyclone Debbie in Whitsundays. This mapping and consolidation of information sources assisted understanding of the extent of damage and identified surviving coral areas. It was used to inform the placement of No Anchoring areas and the expansion of existing Reef Protection areas.</w:t>
            </w:r>
          </w:p>
          <w:p w14:paraId="5761E7A6" w14:textId="77777777" w:rsidR="00A56EE9" w:rsidRPr="00E70A11" w:rsidRDefault="00A56EE9" w:rsidP="00A11869">
            <w:pPr>
              <w:pStyle w:val="ListParagraph"/>
              <w:numPr>
                <w:ilvl w:val="0"/>
                <w:numId w:val="261"/>
              </w:numPr>
              <w:spacing w:after="200" w:line="276" w:lineRule="auto"/>
              <w:rPr>
                <w:rStyle w:val="BookTitle"/>
                <w:rFonts w:ascii="Arial Narrow" w:hAnsi="Arial Narrow"/>
                <w:sz w:val="18"/>
                <w:szCs w:val="18"/>
              </w:rPr>
            </w:pPr>
            <w:r w:rsidRPr="00E70A11">
              <w:rPr>
                <w:rFonts w:ascii="Arial Narrow" w:hAnsi="Arial Narrow"/>
                <w:sz w:val="18"/>
                <w:szCs w:val="18"/>
                <w:lang w:val="en-US"/>
              </w:rPr>
              <w:t xml:space="preserve">In 2015 GBRMPA developed a spatial mapping tool to help managers spatially map important data layers relevant to management. This includes biophysical information to help address commercial marine tourism (e.g. location of high standard tourism operators, Marine Monitoring Program sites, </w:t>
            </w:r>
            <w:proofErr w:type="gramStart"/>
            <w:r w:rsidRPr="00E70A11">
              <w:rPr>
                <w:rFonts w:ascii="Arial Narrow" w:hAnsi="Arial Narrow"/>
                <w:sz w:val="18"/>
                <w:szCs w:val="18"/>
                <w:lang w:val="en-US"/>
              </w:rPr>
              <w:t>coral</w:t>
            </w:r>
            <w:proofErr w:type="gramEnd"/>
            <w:r w:rsidRPr="00E70A11">
              <w:rPr>
                <w:rFonts w:ascii="Arial Narrow" w:hAnsi="Arial Narrow"/>
                <w:sz w:val="18"/>
                <w:szCs w:val="18"/>
                <w:lang w:val="en-US"/>
              </w:rPr>
              <w:t xml:space="preserve"> bleaching survey sites). The Reef Explorer tool is used internally and certain data layers are also available externally to the public.</w:t>
            </w:r>
          </w:p>
        </w:tc>
        <w:tc>
          <w:tcPr>
            <w:tcW w:w="5231" w:type="dxa"/>
            <w:tcBorders>
              <w:top w:val="single" w:sz="4" w:space="0" w:color="auto"/>
              <w:left w:val="single" w:sz="4" w:space="0" w:color="auto"/>
              <w:bottom w:val="single" w:sz="4" w:space="0" w:color="auto"/>
              <w:right w:val="single" w:sz="4" w:space="0" w:color="auto"/>
            </w:tcBorders>
          </w:tcPr>
          <w:p w14:paraId="5761E7A7" w14:textId="77777777" w:rsidR="00A56EE9" w:rsidRPr="00E70A11" w:rsidRDefault="00A56EE9" w:rsidP="00A11869">
            <w:pPr>
              <w:pStyle w:val="ListParagraph"/>
              <w:numPr>
                <w:ilvl w:val="0"/>
                <w:numId w:val="25"/>
              </w:numPr>
              <w:spacing w:after="200" w:line="276" w:lineRule="auto"/>
              <w:rPr>
                <w:rFonts w:ascii="Arial Narrow" w:hAnsi="Arial Narrow"/>
                <w:sz w:val="18"/>
                <w:szCs w:val="18"/>
              </w:rPr>
            </w:pPr>
            <w:r w:rsidRPr="00E70A11">
              <w:rPr>
                <w:rFonts w:ascii="Arial Narrow" w:hAnsi="Arial Narrow"/>
                <w:sz w:val="18"/>
                <w:szCs w:val="18"/>
              </w:rPr>
              <w:t>Eye on the Reef</w:t>
            </w:r>
          </w:p>
          <w:p w14:paraId="5761E7A8" w14:textId="77777777" w:rsidR="00A56EE9" w:rsidRPr="00E70A11" w:rsidRDefault="00A56EE9" w:rsidP="00A11869">
            <w:pPr>
              <w:pStyle w:val="ListParagraph"/>
              <w:numPr>
                <w:ilvl w:val="0"/>
                <w:numId w:val="25"/>
              </w:numPr>
              <w:spacing w:after="200" w:line="276" w:lineRule="auto"/>
              <w:rPr>
                <w:rStyle w:val="BookTitle"/>
                <w:rFonts w:ascii="Arial Narrow" w:hAnsi="Arial Narrow"/>
                <w:sz w:val="18"/>
                <w:szCs w:val="18"/>
              </w:rPr>
            </w:pPr>
            <w:r w:rsidRPr="00E70A11">
              <w:rPr>
                <w:rFonts w:ascii="Arial Narrow" w:hAnsi="Arial Narrow"/>
                <w:sz w:val="18"/>
                <w:szCs w:val="18"/>
                <w:lang w:val="en-US"/>
              </w:rPr>
              <w:t>Reef Explorer</w:t>
            </w:r>
          </w:p>
        </w:tc>
        <w:tc>
          <w:tcPr>
            <w:tcW w:w="1006" w:type="dxa"/>
            <w:tcBorders>
              <w:top w:val="single" w:sz="4" w:space="0" w:color="auto"/>
              <w:left w:val="single" w:sz="4" w:space="0" w:color="auto"/>
              <w:bottom w:val="single" w:sz="4" w:space="0" w:color="auto"/>
              <w:right w:val="single" w:sz="4" w:space="0" w:color="auto"/>
            </w:tcBorders>
          </w:tcPr>
          <w:p w14:paraId="5761E7A9"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A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B9"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AC"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7AD"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7AE"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Information on values and satisfaction from surveys of tourists, and an understanding of community benefits and well-being have been developed through SELTMP - Social and Economic Long Term Monitoring Program. SELTMP was established in 2011 with the first surveys in 2013. The program questioned 8,300 people (commercial fishers, tourism operators, tourists, and coastal and national residents) about their dependence, usage and affinity with the Reef, as well as their perceptions, values, experiences, attitudes and behaviours. Another study was</w:t>
            </w:r>
            <w:r>
              <w:rPr>
                <w:rFonts w:ascii="Arial Narrow" w:hAnsi="Arial Narrow"/>
                <w:sz w:val="18"/>
                <w:szCs w:val="18"/>
              </w:rPr>
              <w:t xml:space="preserve"> </w:t>
            </w:r>
            <w:r w:rsidRPr="00E70A11">
              <w:rPr>
                <w:rFonts w:ascii="Arial Narrow" w:hAnsi="Arial Narrow"/>
                <w:sz w:val="18"/>
                <w:szCs w:val="18"/>
              </w:rPr>
              <w:t>completed in 2017.</w:t>
            </w:r>
          </w:p>
          <w:p w14:paraId="5761E7AF"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GBRMPA is involved in the Social and Economic Long Term Monitoring Project (a NESP project that is designed to capture social and economic information from Great Barrier Reef industries and coastal communities - NESP Tropical Ecosystems Hub Theme 3, Program 10). GBRMPA funded a second round of SELTMP surveys in 2017 and results are anticipated in a final report and online dashboard in March 2018</w:t>
            </w:r>
          </w:p>
          <w:p w14:paraId="5761E7B0" w14:textId="77777777" w:rsidR="00A56EE9" w:rsidRPr="00E70A11" w:rsidRDefault="00A56EE9" w:rsidP="00A11869">
            <w:pPr>
              <w:pStyle w:val="ListParagraph"/>
              <w:numPr>
                <w:ilvl w:val="0"/>
                <w:numId w:val="261"/>
              </w:numPr>
              <w:spacing w:after="200" w:line="276" w:lineRule="auto"/>
              <w:rPr>
                <w:rFonts w:ascii="Arial Narrow" w:hAnsi="Arial Narrow"/>
                <w:sz w:val="18"/>
                <w:szCs w:val="18"/>
              </w:rPr>
            </w:pPr>
            <w:r w:rsidRPr="00E70A11">
              <w:rPr>
                <w:rFonts w:ascii="Arial Narrow" w:hAnsi="Arial Narrow"/>
                <w:sz w:val="18"/>
                <w:szCs w:val="18"/>
              </w:rPr>
              <w:t>Information on economic benefits was produced by Access Economics in 2013. A further economic review of the Great Barrier Reef was commissioned by the Great Barrier Reef Foundation in 2017. This report assessed the economic, social, icon and brand value of the Great Barrier Reef to gauge the Great Barrier Reef’s value to Australians and understand how the international community values it. The report has calculated the total asset value of the Great Barrier Reef to be $56 billion, assessing the World Heritage site’s economic, social and iconic brand value together in one study for the first time.</w:t>
            </w:r>
          </w:p>
          <w:p w14:paraId="5761E7B1" w14:textId="77777777" w:rsidR="00A56EE9" w:rsidRPr="00E70A11" w:rsidRDefault="00A56EE9" w:rsidP="00A11869">
            <w:pPr>
              <w:pStyle w:val="ListParagraph"/>
              <w:numPr>
                <w:ilvl w:val="0"/>
                <w:numId w:val="261"/>
              </w:numPr>
              <w:spacing w:after="200" w:line="276" w:lineRule="auto"/>
              <w:rPr>
                <w:rStyle w:val="BookTitle"/>
                <w:rFonts w:ascii="Arial Narrow" w:hAnsi="Arial Narrow"/>
                <w:sz w:val="18"/>
                <w:szCs w:val="18"/>
              </w:rPr>
            </w:pPr>
            <w:r w:rsidRPr="00E70A11">
              <w:rPr>
                <w:rFonts w:ascii="Arial Narrow" w:hAnsi="Arial Narrow"/>
                <w:sz w:val="18"/>
                <w:szCs w:val="18"/>
              </w:rPr>
              <w:t>Expert advice sought on tourism issues through the Tourism Reef Advisory Committee (TRAC)</w:t>
            </w:r>
          </w:p>
        </w:tc>
        <w:tc>
          <w:tcPr>
            <w:tcW w:w="5231" w:type="dxa"/>
            <w:tcBorders>
              <w:top w:val="single" w:sz="4" w:space="0" w:color="auto"/>
              <w:left w:val="single" w:sz="4" w:space="0" w:color="auto"/>
              <w:bottom w:val="single" w:sz="4" w:space="0" w:color="auto"/>
              <w:right w:val="single" w:sz="4" w:space="0" w:color="auto"/>
            </w:tcBorders>
          </w:tcPr>
          <w:p w14:paraId="5761E7B2" w14:textId="77777777" w:rsidR="00A56EE9" w:rsidRPr="00E70A11" w:rsidRDefault="00A56EE9" w:rsidP="00A11869">
            <w:pPr>
              <w:pStyle w:val="ListParagraph"/>
              <w:numPr>
                <w:ilvl w:val="0"/>
                <w:numId w:val="87"/>
              </w:numPr>
              <w:spacing w:after="200" w:line="276" w:lineRule="auto"/>
              <w:rPr>
                <w:rFonts w:ascii="Arial Narrow" w:hAnsi="Arial Narrow"/>
                <w:sz w:val="18"/>
                <w:szCs w:val="18"/>
              </w:rPr>
            </w:pPr>
            <w:r w:rsidRPr="00E70A11">
              <w:rPr>
                <w:rFonts w:ascii="Arial Narrow" w:hAnsi="Arial Narrow"/>
                <w:sz w:val="18"/>
                <w:szCs w:val="18"/>
              </w:rPr>
              <w:t>Marshall, N.A. Curnock, M., Pert, P.L., Williams, G. (2017) The Social and Economic Long Term Monitoring Program (SELTMP) for the Great Barrier Reef.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7B3" w14:textId="77777777" w:rsidR="00A56EE9" w:rsidRPr="00E70A11" w:rsidRDefault="00A56EE9" w:rsidP="00A11869">
            <w:pPr>
              <w:pStyle w:val="ListParagraph"/>
              <w:numPr>
                <w:ilvl w:val="0"/>
                <w:numId w:val="87"/>
              </w:numPr>
              <w:spacing w:after="200" w:line="276" w:lineRule="auto"/>
              <w:rPr>
                <w:rFonts w:ascii="Arial Narrow" w:hAnsi="Arial Narrow"/>
                <w:sz w:val="18"/>
                <w:szCs w:val="18"/>
              </w:rPr>
            </w:pPr>
            <w:r w:rsidRPr="00E70A11">
              <w:rPr>
                <w:rFonts w:ascii="Arial Narrow" w:hAnsi="Arial Narrow"/>
                <w:sz w:val="18"/>
                <w:szCs w:val="18"/>
              </w:rPr>
              <w:t>Tourism Reef Advisory Committee</w:t>
            </w:r>
          </w:p>
          <w:p w14:paraId="5761E7B4" w14:textId="77777777" w:rsidR="00A56EE9" w:rsidRPr="00E70A11" w:rsidRDefault="00A56EE9" w:rsidP="00A11869">
            <w:pPr>
              <w:pStyle w:val="ListParagraph"/>
              <w:numPr>
                <w:ilvl w:val="0"/>
                <w:numId w:val="8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Deloitte Access Economics Report 2017 – At what price? The economic, social and icon value of the Great Barrier Reef</w:t>
            </w:r>
          </w:p>
          <w:p w14:paraId="5761E7B5" w14:textId="77777777" w:rsidR="00A56EE9" w:rsidRPr="00E70A11" w:rsidRDefault="00A56EE9" w:rsidP="00A11869">
            <w:pPr>
              <w:pStyle w:val="ListParagraph"/>
              <w:numPr>
                <w:ilvl w:val="0"/>
                <w:numId w:val="87"/>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Deloitte Access Economics Report Economic contribution of the Great Barrier Reef</w:t>
            </w:r>
          </w:p>
          <w:p w14:paraId="5761E7B6" w14:textId="77777777" w:rsidR="00A56EE9" w:rsidRPr="00E70A11" w:rsidRDefault="00A56EE9" w:rsidP="00BB6AD5">
            <w:pPr>
              <w:pStyle w:val="ListParagraph"/>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7B7"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B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7C4"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BA"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7BB"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7BC" w14:textId="77777777" w:rsidR="00A56EE9" w:rsidRPr="00E70A11" w:rsidRDefault="00A56EE9" w:rsidP="00A11869">
            <w:pPr>
              <w:pStyle w:val="ListParagraph"/>
              <w:numPr>
                <w:ilvl w:val="0"/>
                <w:numId w:val="262"/>
              </w:numPr>
              <w:spacing w:after="200" w:line="276" w:lineRule="auto"/>
              <w:rPr>
                <w:rFonts w:ascii="Arial Narrow" w:hAnsi="Arial Narrow"/>
                <w:sz w:val="18"/>
                <w:szCs w:val="18"/>
              </w:rPr>
            </w:pPr>
            <w:r w:rsidRPr="00E70A11">
              <w:rPr>
                <w:rFonts w:ascii="Arial Narrow" w:hAnsi="Arial Narrow"/>
                <w:sz w:val="18"/>
                <w:szCs w:val="18"/>
              </w:rPr>
              <w:t xml:space="preserve">Increased interaction by the GBRMPA with Traditional Owners post 2014 has occurred with new TUMRAs, a continued and strengthen Indigenous Reef Advisory Committee (re-formed in 2015) and the connection of some LMACs with Traditional Owner groups has increased the Agency’s access to traditional knowledge. </w:t>
            </w:r>
          </w:p>
          <w:p w14:paraId="5761E7BD" w14:textId="77777777" w:rsidR="00A56EE9" w:rsidRPr="00E70A11" w:rsidRDefault="00A56EE9" w:rsidP="00A11869">
            <w:pPr>
              <w:pStyle w:val="ListParagraph"/>
              <w:numPr>
                <w:ilvl w:val="0"/>
                <w:numId w:val="262"/>
              </w:numPr>
              <w:spacing w:after="200" w:line="276" w:lineRule="auto"/>
              <w:rPr>
                <w:rStyle w:val="BookTitle"/>
                <w:rFonts w:ascii="Arial Narrow" w:hAnsi="Arial Narrow"/>
                <w:sz w:val="18"/>
                <w:szCs w:val="18"/>
              </w:rPr>
            </w:pPr>
            <w:r w:rsidRPr="00E70A11">
              <w:rPr>
                <w:rFonts w:ascii="Arial Narrow" w:hAnsi="Arial Narrow"/>
                <w:sz w:val="18"/>
                <w:szCs w:val="18"/>
              </w:rPr>
              <w:t>However, information on significant sites, cultural activities, cultural mapping can be difficult to obtain. Some Traditional Owners are not comfortable releasing this information to government agencies due to trust and cultural reasons. GBRMPAs ability to protect indigenous heritage from potential impacts and conflict with commercial tourism is affected by this. The development and implementation of a Cultural Protocol and data sharing agreements should assist.</w:t>
            </w:r>
          </w:p>
        </w:tc>
        <w:tc>
          <w:tcPr>
            <w:tcW w:w="5231" w:type="dxa"/>
            <w:tcBorders>
              <w:top w:val="single" w:sz="4" w:space="0" w:color="auto"/>
              <w:left w:val="single" w:sz="4" w:space="0" w:color="auto"/>
              <w:bottom w:val="single" w:sz="4" w:space="0" w:color="auto"/>
              <w:right w:val="single" w:sz="4" w:space="0" w:color="auto"/>
            </w:tcBorders>
          </w:tcPr>
          <w:p w14:paraId="5761E7BE" w14:textId="77777777" w:rsidR="00A56EE9" w:rsidRPr="00E70A11" w:rsidRDefault="00A56EE9" w:rsidP="00A11869">
            <w:pPr>
              <w:pStyle w:val="ListParagraph"/>
              <w:numPr>
                <w:ilvl w:val="0"/>
                <w:numId w:val="44"/>
              </w:numPr>
              <w:spacing w:after="200" w:line="276" w:lineRule="auto"/>
              <w:rPr>
                <w:rFonts w:ascii="Arial Narrow" w:hAnsi="Arial Narrow"/>
                <w:sz w:val="18"/>
                <w:szCs w:val="18"/>
              </w:rPr>
            </w:pPr>
            <w:r w:rsidRPr="00E70A11">
              <w:rPr>
                <w:rFonts w:ascii="Arial Narrow" w:hAnsi="Arial Narrow"/>
                <w:sz w:val="18"/>
                <w:szCs w:val="18"/>
              </w:rPr>
              <w:t>Indigenous Reef Advisory Committee</w:t>
            </w:r>
          </w:p>
          <w:p w14:paraId="5761E7BF" w14:textId="77777777" w:rsidR="00A56EE9" w:rsidRPr="00E70A11" w:rsidRDefault="00A56EE9" w:rsidP="00A11869">
            <w:pPr>
              <w:pStyle w:val="ListParagraph"/>
              <w:numPr>
                <w:ilvl w:val="0"/>
                <w:numId w:val="44"/>
              </w:numPr>
              <w:spacing w:after="200" w:line="276" w:lineRule="auto"/>
              <w:rPr>
                <w:rFonts w:ascii="Arial Narrow" w:hAnsi="Arial Narrow"/>
                <w:sz w:val="18"/>
                <w:szCs w:val="18"/>
              </w:rPr>
            </w:pPr>
            <w:r w:rsidRPr="00E70A11">
              <w:rPr>
                <w:rFonts w:ascii="Arial Narrow" w:hAnsi="Arial Narrow"/>
                <w:sz w:val="18"/>
                <w:szCs w:val="18"/>
              </w:rPr>
              <w:t>TUMRA</w:t>
            </w:r>
          </w:p>
          <w:p w14:paraId="5761E7C0" w14:textId="77777777" w:rsidR="00A56EE9" w:rsidRPr="00E70A11" w:rsidRDefault="00A56EE9" w:rsidP="00A11869">
            <w:pPr>
              <w:pStyle w:val="ListParagraph"/>
              <w:numPr>
                <w:ilvl w:val="0"/>
                <w:numId w:val="44"/>
              </w:numPr>
              <w:spacing w:after="200" w:line="276" w:lineRule="auto"/>
              <w:rPr>
                <w:rFonts w:ascii="Arial Narrow" w:hAnsi="Arial Narrow"/>
                <w:sz w:val="18"/>
                <w:szCs w:val="18"/>
              </w:rPr>
            </w:pPr>
            <w:r w:rsidRPr="00E70A11">
              <w:rPr>
                <w:rFonts w:ascii="Arial Narrow" w:hAnsi="Arial Narrow"/>
                <w:sz w:val="18"/>
                <w:szCs w:val="18"/>
              </w:rPr>
              <w:t>LMAC</w:t>
            </w:r>
          </w:p>
          <w:p w14:paraId="5761E7C1" w14:textId="77777777" w:rsidR="00A56EE9" w:rsidRPr="00E70A11" w:rsidRDefault="00A56EE9" w:rsidP="00A11869">
            <w:pPr>
              <w:pStyle w:val="ListParagraph"/>
              <w:numPr>
                <w:ilvl w:val="0"/>
                <w:numId w:val="44"/>
              </w:numPr>
              <w:spacing w:after="200" w:line="276" w:lineRule="auto"/>
              <w:rPr>
                <w:rStyle w:val="BookTitle"/>
                <w:rFonts w:ascii="Arial Narrow" w:hAnsi="Arial Narrow"/>
                <w:sz w:val="18"/>
                <w:szCs w:val="18"/>
              </w:rPr>
            </w:pPr>
            <w:r w:rsidRPr="00E70A11">
              <w:rPr>
                <w:rFonts w:ascii="Arial Narrow" w:hAnsi="Arial Narrow"/>
                <w:sz w:val="18"/>
                <w:szCs w:val="18"/>
              </w:rPr>
              <w:t>Stakeholders and workshops</w:t>
            </w:r>
          </w:p>
        </w:tc>
        <w:tc>
          <w:tcPr>
            <w:tcW w:w="1006" w:type="dxa"/>
            <w:tcBorders>
              <w:top w:val="single" w:sz="4" w:space="0" w:color="auto"/>
              <w:left w:val="single" w:sz="4" w:space="0" w:color="auto"/>
              <w:bottom w:val="single" w:sz="4" w:space="0" w:color="auto"/>
              <w:right w:val="single" w:sz="4" w:space="0" w:color="auto"/>
            </w:tcBorders>
          </w:tcPr>
          <w:p w14:paraId="5761E7C2"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C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D1"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C5"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7C6"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7C7" w14:textId="77777777" w:rsidR="00A56EE9" w:rsidRPr="00E70A11" w:rsidRDefault="00A56EE9" w:rsidP="00A11869">
            <w:pPr>
              <w:pStyle w:val="ListParagraph"/>
              <w:numPr>
                <w:ilvl w:val="0"/>
                <w:numId w:val="262"/>
              </w:numPr>
              <w:spacing w:after="200" w:line="276" w:lineRule="auto"/>
              <w:rPr>
                <w:rFonts w:ascii="Arial Narrow" w:hAnsi="Arial Narrow"/>
                <w:sz w:val="18"/>
                <w:szCs w:val="18"/>
              </w:rPr>
            </w:pPr>
            <w:r w:rsidRPr="00E70A11">
              <w:rPr>
                <w:rFonts w:ascii="Arial Narrow" w:hAnsi="Arial Narrow"/>
                <w:sz w:val="18"/>
                <w:szCs w:val="18"/>
              </w:rPr>
              <w:t xml:space="preserve">In May 2015, the Great Barrier Reef Marine Park Regulations 1983 (the Regulations) were amended to introduce a new Special Management Area (SMA) to protect specific maritime cultural heritage sites. Maritime Cultural Heritage Protection SMAs are declared under regulation 66 to protect fragile and irreplaceable heritage places. Two nationally significant World War II Catalina plane wrecks with potential human remains have been declared as Maritime Cultural Heritage Protection SMAs. </w:t>
            </w:r>
          </w:p>
          <w:p w14:paraId="5761E7C8" w14:textId="77777777" w:rsidR="00A56EE9" w:rsidRPr="00E70A11" w:rsidRDefault="00A56EE9" w:rsidP="00A11869">
            <w:pPr>
              <w:pStyle w:val="ListParagraph"/>
              <w:numPr>
                <w:ilvl w:val="0"/>
                <w:numId w:val="262"/>
              </w:numPr>
              <w:spacing w:after="200" w:line="276" w:lineRule="auto"/>
              <w:rPr>
                <w:rFonts w:ascii="Arial Narrow" w:hAnsi="Arial Narrow"/>
                <w:sz w:val="18"/>
                <w:szCs w:val="18"/>
              </w:rPr>
            </w:pPr>
            <w:r w:rsidRPr="00E70A11">
              <w:rPr>
                <w:rFonts w:ascii="Arial Narrow" w:hAnsi="Arial Narrow"/>
                <w:sz w:val="18"/>
                <w:szCs w:val="18"/>
              </w:rPr>
              <w:t>In 2017, as part of the Permissions Improvement Program GBRMPA developed Guidelines for Historic heritage impact assessment in the permissions system. These guidelines consider three historic heritage values of the Marine Park:</w:t>
            </w:r>
          </w:p>
          <w:p w14:paraId="5761E7C9" w14:textId="77777777" w:rsidR="00A56EE9" w:rsidRPr="00E70A11" w:rsidRDefault="00A56EE9" w:rsidP="00A11869">
            <w:pPr>
              <w:pStyle w:val="ListParagraph"/>
              <w:numPr>
                <w:ilvl w:val="1"/>
                <w:numId w:val="262"/>
              </w:numPr>
              <w:spacing w:after="200" w:line="276" w:lineRule="auto"/>
              <w:rPr>
                <w:rFonts w:ascii="Arial Narrow" w:hAnsi="Arial Narrow"/>
                <w:sz w:val="18"/>
                <w:szCs w:val="18"/>
              </w:rPr>
            </w:pPr>
            <w:r w:rsidRPr="00E70A11">
              <w:rPr>
                <w:rFonts w:ascii="Arial Narrow" w:hAnsi="Arial Narrow"/>
                <w:sz w:val="18"/>
                <w:szCs w:val="18"/>
              </w:rPr>
              <w:t>World War II features and sites</w:t>
            </w:r>
          </w:p>
          <w:p w14:paraId="5761E7CA" w14:textId="77777777" w:rsidR="00A56EE9" w:rsidRPr="00E70A11" w:rsidRDefault="00A56EE9" w:rsidP="00A11869">
            <w:pPr>
              <w:pStyle w:val="ListParagraph"/>
              <w:numPr>
                <w:ilvl w:val="1"/>
                <w:numId w:val="262"/>
              </w:numPr>
              <w:spacing w:after="200" w:line="276" w:lineRule="auto"/>
              <w:rPr>
                <w:rFonts w:ascii="Arial Narrow" w:hAnsi="Arial Narrow"/>
                <w:sz w:val="18"/>
                <w:szCs w:val="18"/>
              </w:rPr>
            </w:pPr>
            <w:r w:rsidRPr="00E70A11">
              <w:rPr>
                <w:rFonts w:ascii="Arial Narrow" w:hAnsi="Arial Narrow"/>
                <w:sz w:val="18"/>
                <w:szCs w:val="18"/>
              </w:rPr>
              <w:t>Historic voyages and shipwrecks</w:t>
            </w:r>
          </w:p>
          <w:p w14:paraId="5761E7CB" w14:textId="77777777" w:rsidR="00A56EE9" w:rsidRPr="00E70A11" w:rsidRDefault="00A56EE9" w:rsidP="00A11869">
            <w:pPr>
              <w:pStyle w:val="ListParagraph"/>
              <w:numPr>
                <w:ilvl w:val="1"/>
                <w:numId w:val="262"/>
              </w:numPr>
              <w:spacing w:after="200" w:line="276" w:lineRule="auto"/>
              <w:rPr>
                <w:rFonts w:ascii="Arial Narrow" w:hAnsi="Arial Narrow"/>
                <w:sz w:val="18"/>
                <w:szCs w:val="18"/>
              </w:rPr>
            </w:pPr>
            <w:r w:rsidRPr="00E70A11">
              <w:rPr>
                <w:rFonts w:ascii="Arial Narrow" w:hAnsi="Arial Narrow"/>
                <w:sz w:val="18"/>
                <w:szCs w:val="18"/>
              </w:rPr>
              <w:t xml:space="preserve">Other places of historic significance. </w:t>
            </w:r>
          </w:p>
          <w:p w14:paraId="5761E7CC" w14:textId="77777777" w:rsidR="00A56EE9" w:rsidRPr="00E70A11" w:rsidRDefault="00A56EE9" w:rsidP="00A11869">
            <w:pPr>
              <w:pStyle w:val="ListParagraph"/>
              <w:numPr>
                <w:ilvl w:val="0"/>
                <w:numId w:val="262"/>
              </w:numPr>
              <w:spacing w:after="200" w:line="276" w:lineRule="auto"/>
              <w:rPr>
                <w:rStyle w:val="BookTitle"/>
                <w:rFonts w:ascii="Arial Narrow" w:hAnsi="Arial Narrow"/>
                <w:sz w:val="18"/>
                <w:szCs w:val="18"/>
              </w:rPr>
            </w:pPr>
            <w:r w:rsidRPr="00E70A11">
              <w:rPr>
                <w:rFonts w:ascii="Arial Narrow" w:hAnsi="Arial Narrow"/>
                <w:sz w:val="18"/>
                <w:szCs w:val="18"/>
              </w:rPr>
              <w:t>However access to this information is difficult to obtain.</w:t>
            </w:r>
          </w:p>
        </w:tc>
        <w:tc>
          <w:tcPr>
            <w:tcW w:w="5231" w:type="dxa"/>
            <w:tcBorders>
              <w:top w:val="single" w:sz="4" w:space="0" w:color="auto"/>
              <w:left w:val="single" w:sz="4" w:space="0" w:color="auto"/>
              <w:bottom w:val="single" w:sz="4" w:space="0" w:color="auto"/>
              <w:right w:val="single" w:sz="4" w:space="0" w:color="auto"/>
            </w:tcBorders>
          </w:tcPr>
          <w:p w14:paraId="5761E7CD" w14:textId="77777777" w:rsidR="00A56EE9" w:rsidRPr="00E70A11" w:rsidRDefault="00A56EE9" w:rsidP="00A11869">
            <w:pPr>
              <w:pStyle w:val="ListParagraph"/>
              <w:numPr>
                <w:ilvl w:val="0"/>
                <w:numId w:val="43"/>
              </w:numPr>
              <w:spacing w:after="200" w:line="276" w:lineRule="auto"/>
              <w:rPr>
                <w:rFonts w:ascii="Arial Narrow" w:hAnsi="Arial Narrow"/>
                <w:sz w:val="18"/>
                <w:szCs w:val="18"/>
              </w:rPr>
            </w:pPr>
            <w:r w:rsidRPr="00E70A11">
              <w:rPr>
                <w:rFonts w:ascii="Arial Narrow" w:hAnsi="Arial Narrow"/>
                <w:sz w:val="18"/>
                <w:szCs w:val="18"/>
              </w:rPr>
              <w:t>Special Management Area</w:t>
            </w:r>
          </w:p>
          <w:p w14:paraId="5761E7CE" w14:textId="77777777" w:rsidR="00A56EE9" w:rsidRPr="00E70A11" w:rsidRDefault="00A56EE9" w:rsidP="00A11869">
            <w:pPr>
              <w:pStyle w:val="ListParagraph"/>
              <w:numPr>
                <w:ilvl w:val="0"/>
                <w:numId w:val="43"/>
              </w:numPr>
              <w:spacing w:after="200" w:line="276" w:lineRule="auto"/>
              <w:rPr>
                <w:rStyle w:val="BookTitle"/>
                <w:rFonts w:ascii="Arial Narrow" w:hAnsi="Arial Narrow"/>
                <w:sz w:val="18"/>
                <w:szCs w:val="18"/>
              </w:rPr>
            </w:pPr>
            <w:r w:rsidRPr="00E70A11">
              <w:rPr>
                <w:rFonts w:ascii="Arial Narrow" w:hAnsi="Arial Narrow"/>
                <w:sz w:val="18"/>
                <w:szCs w:val="18"/>
              </w:rPr>
              <w:t>Guidelines for Historic heritage impact</w:t>
            </w:r>
          </w:p>
        </w:tc>
        <w:tc>
          <w:tcPr>
            <w:tcW w:w="1006" w:type="dxa"/>
            <w:tcBorders>
              <w:top w:val="single" w:sz="4" w:space="0" w:color="auto"/>
              <w:left w:val="single" w:sz="4" w:space="0" w:color="auto"/>
              <w:bottom w:val="single" w:sz="4" w:space="0" w:color="auto"/>
              <w:right w:val="single" w:sz="4" w:space="0" w:color="auto"/>
            </w:tcBorders>
          </w:tcPr>
          <w:p w14:paraId="5761E7CF"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D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EF"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shd w:val="clear" w:color="auto" w:fill="auto"/>
          </w:tcPr>
          <w:p w14:paraId="5761E7D2"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7D3"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7D4" w14:textId="77777777" w:rsidR="00A56EE9" w:rsidRPr="00E70A11" w:rsidRDefault="00A56EE9" w:rsidP="00A11869">
            <w:pPr>
              <w:pStyle w:val="ListParagraph"/>
              <w:numPr>
                <w:ilvl w:val="0"/>
                <w:numId w:val="262"/>
              </w:numPr>
              <w:spacing w:after="200" w:line="276" w:lineRule="auto"/>
              <w:rPr>
                <w:rFonts w:ascii="Arial Narrow" w:hAnsi="Arial Narrow"/>
                <w:sz w:val="18"/>
                <w:szCs w:val="18"/>
              </w:rPr>
            </w:pPr>
            <w:r w:rsidRPr="00E70A11">
              <w:rPr>
                <w:rFonts w:ascii="Arial Narrow" w:hAnsi="Arial Narrow"/>
                <w:sz w:val="18"/>
                <w:szCs w:val="18"/>
              </w:rPr>
              <w:t>Operators (via the Association of Marine Park Tourism Operators - AMPTO) deliver a COTS control program at high value tourism sites and train tourism operators and community groups in COTS control.</w:t>
            </w:r>
          </w:p>
          <w:p w14:paraId="5761E7D5" w14:textId="77777777" w:rsidR="00A56EE9" w:rsidRPr="00E70A11" w:rsidRDefault="00A56EE9" w:rsidP="00A11869">
            <w:pPr>
              <w:pStyle w:val="ListParagraph"/>
              <w:numPr>
                <w:ilvl w:val="0"/>
                <w:numId w:val="262"/>
              </w:numPr>
              <w:spacing w:after="200" w:line="276" w:lineRule="auto"/>
              <w:rPr>
                <w:rFonts w:ascii="Arial Narrow" w:hAnsi="Arial Narrow"/>
                <w:sz w:val="18"/>
                <w:szCs w:val="18"/>
              </w:rPr>
            </w:pPr>
            <w:r w:rsidRPr="00E70A11">
              <w:rPr>
                <w:rFonts w:ascii="Arial Narrow" w:hAnsi="Arial Narrow"/>
                <w:sz w:val="18"/>
                <w:szCs w:val="18"/>
              </w:rPr>
              <w:t>Tourism operators significantly contribute to Reef management largely based around the ‘Healthy Reef Healthy Industry’ ideal and actively engage in the development of management arrangements and monitoring programs.</w:t>
            </w:r>
          </w:p>
          <w:p w14:paraId="5761E7D6" w14:textId="77777777" w:rsidR="00A56EE9" w:rsidRPr="00E70A11" w:rsidRDefault="00A56EE9" w:rsidP="00A11869">
            <w:pPr>
              <w:pStyle w:val="ListParagraph"/>
              <w:numPr>
                <w:ilvl w:val="0"/>
                <w:numId w:val="262"/>
              </w:numPr>
              <w:spacing w:after="200" w:line="276" w:lineRule="auto"/>
              <w:rPr>
                <w:rFonts w:ascii="Arial Narrow" w:hAnsi="Arial Narrow"/>
                <w:sz w:val="18"/>
                <w:szCs w:val="18"/>
              </w:rPr>
            </w:pPr>
            <w:r w:rsidRPr="00E70A11">
              <w:rPr>
                <w:rFonts w:ascii="Arial Narrow" w:hAnsi="Arial Narrow"/>
                <w:sz w:val="18"/>
                <w:szCs w:val="18"/>
              </w:rPr>
              <w:t xml:space="preserve">Contribution from tourism operators to be involved in partnership programs (i.e. </w:t>
            </w:r>
            <w:hyperlink r:id="rId313" w:history="1"/>
            <w:r w:rsidRPr="00E70A11">
              <w:rPr>
                <w:rFonts w:ascii="Arial Narrow" w:hAnsi="Arial Narrow"/>
                <w:sz w:val="18"/>
                <w:szCs w:val="18"/>
              </w:rPr>
              <w:t xml:space="preserve"> High Standard Operators, Eye on the Reef Monitoring, </w:t>
            </w:r>
            <w:hyperlink r:id="rId314" w:history="1"/>
            <w:r w:rsidRPr="00E70A11">
              <w:rPr>
                <w:rFonts w:ascii="Arial Narrow" w:hAnsi="Arial Narrow"/>
                <w:sz w:val="18"/>
                <w:szCs w:val="18"/>
              </w:rPr>
              <w:t xml:space="preserve"> Sightings Network, </w:t>
            </w:r>
            <w:hyperlink r:id="rId315" w:history="1"/>
            <w:r w:rsidRPr="00E70A11">
              <w:rPr>
                <w:rFonts w:ascii="Arial Narrow" w:hAnsi="Arial Narrow"/>
                <w:sz w:val="18"/>
                <w:szCs w:val="18"/>
              </w:rPr>
              <w:t>Eyes and Ears Program, Crown-of-thorns Starfish control program</w:t>
            </w:r>
          </w:p>
          <w:p w14:paraId="5761E7D7" w14:textId="77777777" w:rsidR="00A56EE9" w:rsidRPr="00E70A11" w:rsidRDefault="00A56EE9" w:rsidP="00A11869">
            <w:pPr>
              <w:pStyle w:val="ListParagraph"/>
              <w:numPr>
                <w:ilvl w:val="0"/>
                <w:numId w:val="262"/>
              </w:numPr>
              <w:spacing w:after="200" w:line="276" w:lineRule="auto"/>
              <w:rPr>
                <w:rFonts w:ascii="Arial Narrow" w:hAnsi="Arial Narrow"/>
                <w:sz w:val="18"/>
                <w:szCs w:val="18"/>
              </w:rPr>
            </w:pPr>
            <w:r w:rsidRPr="00E70A11">
              <w:rPr>
                <w:rFonts w:ascii="Arial Narrow" w:hAnsi="Arial Narrow"/>
                <w:sz w:val="18"/>
                <w:szCs w:val="18"/>
              </w:rPr>
              <w:t>Community groups such as OUCH (Association of Underwater Coral Heroes) provide voluntary assistance with management of the GBR.</w:t>
            </w:r>
          </w:p>
          <w:p w14:paraId="5761E7D8" w14:textId="77777777" w:rsidR="00A56EE9" w:rsidRPr="00E70A11" w:rsidRDefault="00A56EE9" w:rsidP="00A11869">
            <w:pPr>
              <w:pStyle w:val="ListParagraph"/>
              <w:numPr>
                <w:ilvl w:val="0"/>
                <w:numId w:val="262"/>
              </w:numPr>
              <w:spacing w:after="200" w:line="276" w:lineRule="auto"/>
              <w:rPr>
                <w:rFonts w:ascii="Arial Narrow" w:hAnsi="Arial Narrow"/>
                <w:sz w:val="18"/>
                <w:szCs w:val="18"/>
              </w:rPr>
            </w:pPr>
            <w:r w:rsidRPr="00E70A11">
              <w:rPr>
                <w:rFonts w:ascii="Arial Narrow" w:hAnsi="Arial Narrow"/>
                <w:sz w:val="18"/>
                <w:szCs w:val="18"/>
              </w:rPr>
              <w:t xml:space="preserve">Industry organisations such as AMPTO, CHARROA, WCBIA, WBOA, LIPS, </w:t>
            </w:r>
            <w:proofErr w:type="gramStart"/>
            <w:r w:rsidRPr="00E70A11">
              <w:rPr>
                <w:rFonts w:ascii="Arial Narrow" w:hAnsi="Arial Narrow"/>
                <w:sz w:val="18"/>
                <w:szCs w:val="18"/>
              </w:rPr>
              <w:t>CVA</w:t>
            </w:r>
            <w:proofErr w:type="gramEnd"/>
            <w:r w:rsidRPr="00E70A11">
              <w:rPr>
                <w:rFonts w:ascii="Arial Narrow" w:hAnsi="Arial Narrow"/>
                <w:sz w:val="18"/>
                <w:szCs w:val="18"/>
              </w:rPr>
              <w:t xml:space="preserve"> provide input to GBR management.</w:t>
            </w:r>
            <w:r>
              <w:rPr>
                <w:rFonts w:ascii="Arial Narrow" w:hAnsi="Arial Narrow"/>
                <w:sz w:val="18"/>
                <w:szCs w:val="18"/>
              </w:rPr>
              <w:t xml:space="preserve"> </w:t>
            </w:r>
            <w:r w:rsidRPr="00E70A11">
              <w:rPr>
                <w:rFonts w:ascii="Arial Narrow" w:hAnsi="Arial Narrow"/>
                <w:sz w:val="18"/>
                <w:szCs w:val="18"/>
              </w:rPr>
              <w:t xml:space="preserve">Since 2014 there has been an unprecedented increase in the number of organisations and community groups involved in reef protection, including partnerships with tourism operators to address impacts to the reef. </w:t>
            </w:r>
          </w:p>
          <w:p w14:paraId="5761E7D9" w14:textId="77777777" w:rsidR="00A56EE9" w:rsidRPr="00E70A11" w:rsidRDefault="00A56EE9" w:rsidP="00A11869">
            <w:pPr>
              <w:pStyle w:val="ListParagraph"/>
              <w:numPr>
                <w:ilvl w:val="1"/>
                <w:numId w:val="262"/>
              </w:numPr>
              <w:spacing w:after="200" w:line="276" w:lineRule="auto"/>
              <w:rPr>
                <w:rFonts w:ascii="Arial Narrow" w:hAnsi="Arial Narrow"/>
                <w:sz w:val="18"/>
                <w:szCs w:val="18"/>
              </w:rPr>
            </w:pPr>
            <w:r w:rsidRPr="00E70A11">
              <w:rPr>
                <w:rFonts w:ascii="Arial Narrow" w:hAnsi="Arial Narrow"/>
                <w:sz w:val="18"/>
                <w:szCs w:val="18"/>
              </w:rPr>
              <w:t>Citizens of the Great Barrier Reef (est 2016)</w:t>
            </w:r>
          </w:p>
          <w:p w14:paraId="5761E7DA" w14:textId="77777777" w:rsidR="00A56EE9" w:rsidRPr="00E70A11" w:rsidRDefault="00A56EE9" w:rsidP="00A11869">
            <w:pPr>
              <w:pStyle w:val="ListParagraph"/>
              <w:numPr>
                <w:ilvl w:val="1"/>
                <w:numId w:val="262"/>
              </w:numPr>
              <w:spacing w:after="200" w:line="276" w:lineRule="auto"/>
              <w:rPr>
                <w:rFonts w:ascii="Arial Narrow" w:hAnsi="Arial Narrow"/>
                <w:sz w:val="18"/>
                <w:szCs w:val="18"/>
              </w:rPr>
            </w:pPr>
            <w:r w:rsidRPr="00E70A11">
              <w:rPr>
                <w:rFonts w:ascii="Arial Narrow" w:hAnsi="Arial Narrow"/>
                <w:sz w:val="18"/>
                <w:szCs w:val="18"/>
              </w:rPr>
              <w:t>Cape York Catchments – COTS control community group (est 2015)</w:t>
            </w:r>
          </w:p>
          <w:p w14:paraId="5761E7DB" w14:textId="77777777" w:rsidR="00A56EE9" w:rsidRPr="00E70A11" w:rsidRDefault="00A56EE9" w:rsidP="00A11869">
            <w:pPr>
              <w:pStyle w:val="ListParagraph"/>
              <w:numPr>
                <w:ilvl w:val="1"/>
                <w:numId w:val="262"/>
              </w:numPr>
              <w:spacing w:after="200" w:line="276" w:lineRule="auto"/>
              <w:rPr>
                <w:rFonts w:ascii="Arial Narrow" w:hAnsi="Arial Narrow"/>
                <w:sz w:val="18"/>
                <w:szCs w:val="18"/>
              </w:rPr>
            </w:pPr>
            <w:r w:rsidRPr="00E70A11">
              <w:rPr>
                <w:rFonts w:ascii="Arial Narrow" w:hAnsi="Arial Narrow"/>
                <w:sz w:val="18"/>
                <w:szCs w:val="18"/>
              </w:rPr>
              <w:t>Great Barrier Reef Citizen Science Alliance (est 2017)</w:t>
            </w:r>
          </w:p>
          <w:p w14:paraId="5761E7DC" w14:textId="77777777" w:rsidR="00A56EE9" w:rsidRPr="00E70A11" w:rsidRDefault="00A56EE9" w:rsidP="00A11869">
            <w:pPr>
              <w:pStyle w:val="ListParagraph"/>
              <w:numPr>
                <w:ilvl w:val="1"/>
                <w:numId w:val="262"/>
              </w:numPr>
              <w:spacing w:after="200" w:line="276" w:lineRule="auto"/>
              <w:rPr>
                <w:rFonts w:ascii="Arial Narrow" w:hAnsi="Arial Narrow"/>
                <w:sz w:val="18"/>
                <w:szCs w:val="18"/>
              </w:rPr>
            </w:pPr>
            <w:r w:rsidRPr="00E70A11">
              <w:rPr>
                <w:rFonts w:ascii="Arial Narrow" w:hAnsi="Arial Narrow"/>
                <w:sz w:val="18"/>
                <w:szCs w:val="18"/>
              </w:rPr>
              <w:t>Great Barrier Reef Legacy (est 2017 - independent research vessel run in partnership with tourism)</w:t>
            </w:r>
          </w:p>
          <w:p w14:paraId="5761E7DD" w14:textId="77777777" w:rsidR="00A56EE9" w:rsidRPr="00E70A11" w:rsidRDefault="00A56EE9" w:rsidP="00A11869">
            <w:pPr>
              <w:pStyle w:val="ListParagraph"/>
              <w:numPr>
                <w:ilvl w:val="1"/>
                <w:numId w:val="262"/>
              </w:numPr>
              <w:spacing w:after="200" w:line="276" w:lineRule="auto"/>
              <w:rPr>
                <w:rFonts w:ascii="Arial Narrow" w:hAnsi="Arial Narrow"/>
                <w:sz w:val="18"/>
                <w:szCs w:val="18"/>
              </w:rPr>
            </w:pPr>
            <w:r w:rsidRPr="00E70A11">
              <w:rPr>
                <w:rFonts w:ascii="Arial Narrow" w:hAnsi="Arial Narrow"/>
                <w:sz w:val="18"/>
                <w:szCs w:val="18"/>
              </w:rPr>
              <w:t>Tourism Operators and Businesses Magnetic Island (TOBMI)– snorkel trial at Geoffrey Bay and algal removal project (est 2015)</w:t>
            </w:r>
          </w:p>
          <w:p w14:paraId="5761E7DE" w14:textId="77777777" w:rsidR="00A56EE9" w:rsidRPr="00E70A11" w:rsidRDefault="00A56EE9" w:rsidP="00A11869">
            <w:pPr>
              <w:pStyle w:val="ListParagraph"/>
              <w:numPr>
                <w:ilvl w:val="0"/>
                <w:numId w:val="262"/>
              </w:numPr>
              <w:spacing w:after="200" w:line="276" w:lineRule="auto"/>
              <w:rPr>
                <w:rStyle w:val="BookTitle"/>
                <w:rFonts w:ascii="Arial Narrow" w:hAnsi="Arial Narrow"/>
                <w:sz w:val="18"/>
                <w:szCs w:val="18"/>
              </w:rPr>
            </w:pPr>
            <w:r w:rsidRPr="00E70A11">
              <w:rPr>
                <w:rFonts w:ascii="Arial Narrow" w:hAnsi="Arial Narrow"/>
                <w:sz w:val="18"/>
                <w:szCs w:val="18"/>
              </w:rPr>
              <w:t>The partnership between OUCH volunteers and the tourism industry and the Authority enabled Eye on the Reef data to be collected post TC Debbie in Whitsundays.</w:t>
            </w:r>
          </w:p>
        </w:tc>
        <w:tc>
          <w:tcPr>
            <w:tcW w:w="5231" w:type="dxa"/>
            <w:tcBorders>
              <w:top w:val="single" w:sz="4" w:space="0" w:color="auto"/>
              <w:left w:val="single" w:sz="4" w:space="0" w:color="auto"/>
              <w:bottom w:val="single" w:sz="4" w:space="0" w:color="auto"/>
              <w:right w:val="single" w:sz="4" w:space="0" w:color="auto"/>
            </w:tcBorders>
          </w:tcPr>
          <w:p w14:paraId="5761E7DF" w14:textId="5EA0B61B"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 xml:space="preserve">High Standard Tourism Program </w:t>
            </w:r>
            <w:hyperlink r:id="rId316" w:tooltip="document link" w:history="1">
              <w:r w:rsidRPr="00E70A11">
                <w:rPr>
                  <w:rStyle w:val="Hyperlink"/>
                  <w:rFonts w:ascii="Arial Narrow" w:hAnsi="Arial Narrow"/>
                  <w:sz w:val="18"/>
                  <w:szCs w:val="18"/>
                </w:rPr>
                <w:t>http://www.gbrmpa.gov.au/corp_site/key_issues/tourism/how_to_choose_a_tour/certification</w:t>
              </w:r>
            </w:hyperlink>
          </w:p>
          <w:p w14:paraId="5761E7E0" w14:textId="77777777" w:rsidR="00A56EE9" w:rsidRPr="00E70A11" w:rsidRDefault="00A56EE9" w:rsidP="00BB6AD5">
            <w:pPr>
              <w:pStyle w:val="ListParagraph"/>
              <w:rPr>
                <w:rFonts w:ascii="Arial Narrow" w:hAnsi="Arial Narrow"/>
                <w:sz w:val="18"/>
                <w:szCs w:val="18"/>
              </w:rPr>
            </w:pPr>
          </w:p>
          <w:p w14:paraId="5761E7E1" w14:textId="5538193D"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 xml:space="preserve">Eyes and Ears </w:t>
            </w:r>
            <w:hyperlink r:id="rId317" w:tooltip="document link" w:history="1">
              <w:r w:rsidRPr="00E70A11">
                <w:rPr>
                  <w:rStyle w:val="Hyperlink"/>
                  <w:rFonts w:ascii="Arial Narrow" w:hAnsi="Arial Narrow"/>
                  <w:sz w:val="18"/>
                  <w:szCs w:val="18"/>
                </w:rPr>
                <w:t>http://www.gbrmpa.gov.au/onboard/stewardship-and-best-practice/responsible-reef-practices/reporting</w:t>
              </w:r>
            </w:hyperlink>
          </w:p>
          <w:p w14:paraId="5761E7E2" w14:textId="77777777" w:rsidR="00A56EE9" w:rsidRPr="00E70A11" w:rsidRDefault="00A56EE9" w:rsidP="00BB6AD5">
            <w:pPr>
              <w:pStyle w:val="ListParagraph"/>
              <w:rPr>
                <w:rFonts w:ascii="Arial Narrow" w:hAnsi="Arial Narrow"/>
                <w:sz w:val="18"/>
                <w:szCs w:val="18"/>
              </w:rPr>
            </w:pPr>
          </w:p>
          <w:p w14:paraId="5761E7E3" w14:textId="41E73882"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 xml:space="preserve">Sightings network </w:t>
            </w:r>
            <w:hyperlink r:id="rId318" w:tooltip="document link" w:history="1">
              <w:r w:rsidRPr="00E70A11">
                <w:rPr>
                  <w:rStyle w:val="Hyperlink"/>
                  <w:rFonts w:ascii="Arial Narrow" w:hAnsi="Arial Narrow"/>
                  <w:sz w:val="18"/>
                  <w:szCs w:val="18"/>
                </w:rPr>
                <w:t>http://www.gbrmpa.gov.au/__data/assets/pdf_file/0013/4612/GBRMPA-sightings-information-sheet-A4-web.pdf</w:t>
              </w:r>
            </w:hyperlink>
          </w:p>
          <w:p w14:paraId="5761E7E4" w14:textId="77777777" w:rsidR="00A56EE9" w:rsidRPr="00E70A11" w:rsidRDefault="00A56EE9" w:rsidP="00BB6AD5">
            <w:pPr>
              <w:pStyle w:val="ListParagraph"/>
              <w:rPr>
                <w:rFonts w:ascii="Arial Narrow" w:hAnsi="Arial Narrow"/>
                <w:sz w:val="18"/>
                <w:szCs w:val="18"/>
              </w:rPr>
            </w:pPr>
          </w:p>
          <w:p w14:paraId="5761E7E5" w14:textId="3D299A18"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 xml:space="preserve">Order of Underwater Coral Heroes - </w:t>
            </w:r>
            <w:hyperlink r:id="rId319" w:tooltip="document link" w:history="1">
              <w:r w:rsidRPr="00E70A11">
                <w:rPr>
                  <w:rStyle w:val="Hyperlink"/>
                  <w:rFonts w:ascii="Arial Narrow" w:hAnsi="Arial Narrow"/>
                  <w:sz w:val="18"/>
                  <w:szCs w:val="18"/>
                </w:rPr>
                <w:t>http://www.landcareonline.com/case_study.asp?cID=32</w:t>
              </w:r>
            </w:hyperlink>
          </w:p>
          <w:p w14:paraId="5761E7E6" w14:textId="77777777"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Eye on the Reef App and Sightings network</w:t>
            </w:r>
          </w:p>
          <w:p w14:paraId="5761E7E7" w14:textId="77777777" w:rsidR="00A56EE9" w:rsidRPr="00E70A11" w:rsidRDefault="008B5998" w:rsidP="00A11869">
            <w:pPr>
              <w:pStyle w:val="ListParagraph"/>
              <w:numPr>
                <w:ilvl w:val="0"/>
                <w:numId w:val="42"/>
              </w:numPr>
              <w:spacing w:after="200" w:line="276" w:lineRule="auto"/>
              <w:rPr>
                <w:rFonts w:ascii="Arial Narrow" w:hAnsi="Arial Narrow"/>
                <w:sz w:val="18"/>
                <w:szCs w:val="18"/>
              </w:rPr>
            </w:pPr>
            <w:hyperlink r:id="rId320" w:history="1">
              <w:r w:rsidR="00A56EE9" w:rsidRPr="00E70A11">
                <w:rPr>
                  <w:rStyle w:val="Hyperlink"/>
                  <w:rFonts w:ascii="Arial Narrow" w:hAnsi="Arial Narrow"/>
                  <w:sz w:val="18"/>
                  <w:szCs w:val="18"/>
                </w:rPr>
                <w:t>Citizens of the Great Barrier Reef</w:t>
              </w:r>
            </w:hyperlink>
          </w:p>
          <w:p w14:paraId="5761E7E8" w14:textId="77777777" w:rsidR="00A56EE9" w:rsidRPr="00E70A11" w:rsidRDefault="008B5998" w:rsidP="00A11869">
            <w:pPr>
              <w:pStyle w:val="ListParagraph"/>
              <w:numPr>
                <w:ilvl w:val="0"/>
                <w:numId w:val="42"/>
              </w:numPr>
              <w:spacing w:after="200" w:line="276" w:lineRule="auto"/>
              <w:rPr>
                <w:rFonts w:ascii="Arial Narrow" w:hAnsi="Arial Narrow"/>
                <w:sz w:val="18"/>
                <w:szCs w:val="18"/>
              </w:rPr>
            </w:pPr>
            <w:hyperlink r:id="rId321" w:history="1">
              <w:r w:rsidR="00A56EE9" w:rsidRPr="00E70A11">
                <w:rPr>
                  <w:rStyle w:val="Hyperlink"/>
                  <w:rFonts w:ascii="Arial Narrow" w:hAnsi="Arial Narrow"/>
                  <w:sz w:val="18"/>
                  <w:szCs w:val="18"/>
                </w:rPr>
                <w:t>Great Barrier Reef Foundation</w:t>
              </w:r>
            </w:hyperlink>
          </w:p>
          <w:p w14:paraId="5761E7E9" w14:textId="77777777" w:rsidR="00A56EE9" w:rsidRPr="00E70A11" w:rsidRDefault="008B5998" w:rsidP="00A11869">
            <w:pPr>
              <w:pStyle w:val="ListParagraph"/>
              <w:numPr>
                <w:ilvl w:val="0"/>
                <w:numId w:val="42"/>
              </w:numPr>
              <w:spacing w:after="200" w:line="276" w:lineRule="auto"/>
              <w:rPr>
                <w:rFonts w:ascii="Arial Narrow" w:hAnsi="Arial Narrow"/>
                <w:sz w:val="18"/>
                <w:szCs w:val="18"/>
              </w:rPr>
            </w:pPr>
            <w:hyperlink r:id="rId322" w:history="1">
              <w:r w:rsidR="00A56EE9" w:rsidRPr="00E70A11">
                <w:rPr>
                  <w:rStyle w:val="Hyperlink"/>
                  <w:rFonts w:ascii="Arial Narrow" w:hAnsi="Arial Narrow"/>
                  <w:sz w:val="18"/>
                  <w:szCs w:val="18"/>
                </w:rPr>
                <w:t>Great Barrier Reef Citizen Science Alliance</w:t>
              </w:r>
            </w:hyperlink>
            <w:r w:rsidR="00A56EE9" w:rsidRPr="00E70A11">
              <w:rPr>
                <w:rFonts w:ascii="Arial Narrow" w:hAnsi="Arial Narrow"/>
                <w:sz w:val="18"/>
                <w:szCs w:val="18"/>
              </w:rPr>
              <w:t xml:space="preserve"> </w:t>
            </w:r>
          </w:p>
          <w:p w14:paraId="5761E7EA" w14:textId="77777777" w:rsidR="00A56EE9" w:rsidRPr="00E70A11" w:rsidRDefault="008B5998" w:rsidP="00A11869">
            <w:pPr>
              <w:pStyle w:val="ListParagraph"/>
              <w:numPr>
                <w:ilvl w:val="0"/>
                <w:numId w:val="42"/>
              </w:numPr>
              <w:spacing w:after="200" w:line="276" w:lineRule="auto"/>
              <w:rPr>
                <w:rFonts w:ascii="Arial Narrow" w:hAnsi="Arial Narrow"/>
                <w:sz w:val="18"/>
                <w:szCs w:val="18"/>
              </w:rPr>
            </w:pPr>
            <w:hyperlink r:id="rId323" w:history="1">
              <w:r w:rsidR="00A56EE9" w:rsidRPr="00E70A11">
                <w:rPr>
                  <w:rStyle w:val="Hyperlink"/>
                  <w:rFonts w:ascii="Arial Narrow" w:hAnsi="Arial Narrow"/>
                  <w:sz w:val="18"/>
                  <w:szCs w:val="18"/>
                </w:rPr>
                <w:t>Great Barrier Reef Legacy</w:t>
              </w:r>
            </w:hyperlink>
          </w:p>
          <w:p w14:paraId="5761E7EB" w14:textId="77777777" w:rsidR="00A56EE9" w:rsidRPr="00E70A11" w:rsidRDefault="008B5998" w:rsidP="00A11869">
            <w:pPr>
              <w:pStyle w:val="ListParagraph"/>
              <w:numPr>
                <w:ilvl w:val="0"/>
                <w:numId w:val="42"/>
              </w:numPr>
              <w:spacing w:after="200" w:line="276" w:lineRule="auto"/>
              <w:rPr>
                <w:rFonts w:ascii="Arial Narrow" w:hAnsi="Arial Narrow"/>
                <w:sz w:val="18"/>
                <w:szCs w:val="18"/>
              </w:rPr>
            </w:pPr>
            <w:hyperlink r:id="rId324" w:history="1">
              <w:r w:rsidR="00A56EE9" w:rsidRPr="00E70A11">
                <w:rPr>
                  <w:rStyle w:val="Hyperlink"/>
                  <w:rFonts w:ascii="Arial Narrow" w:hAnsi="Arial Narrow"/>
                  <w:sz w:val="18"/>
                  <w:szCs w:val="18"/>
                </w:rPr>
                <w:t>TOBMI</w:t>
              </w:r>
            </w:hyperlink>
          </w:p>
          <w:p w14:paraId="5761E7EC" w14:textId="77777777" w:rsidR="00A56EE9" w:rsidRPr="00E70A11" w:rsidRDefault="00A56EE9" w:rsidP="00BB6AD5">
            <w:pPr>
              <w:pStyle w:val="ListParagraph"/>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7ED"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7E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7F6"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F0" w14:textId="77777777" w:rsidR="00A56EE9" w:rsidRPr="00E70A11" w:rsidRDefault="00A56EE9" w:rsidP="00BB6AD5">
            <w:pPr>
              <w:pStyle w:val="Tablebulletlist"/>
              <w:rPr>
                <w:rStyle w:val="BookTitle"/>
              </w:rPr>
            </w:pPr>
            <w:r w:rsidRPr="00E70A11">
              <w:rPr>
                <w:rStyle w:val="BookTitle"/>
              </w:rPr>
              <w:t>PROCESSES</w:t>
            </w:r>
          </w:p>
        </w:tc>
        <w:tc>
          <w:tcPr>
            <w:tcW w:w="66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F1" w14:textId="77777777" w:rsidR="00A56EE9" w:rsidRPr="00E70A11" w:rsidRDefault="00A56EE9" w:rsidP="00BB6AD5">
            <w:pPr>
              <w:pStyle w:val="Tablebulletlist"/>
              <w:rPr>
                <w:rStyle w:val="BookTitle"/>
              </w:rPr>
            </w:pPr>
          </w:p>
        </w:tc>
        <w:tc>
          <w:tcPr>
            <w:tcW w:w="45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F2" w14:textId="77777777" w:rsidR="00A56EE9" w:rsidRPr="00E70A11" w:rsidRDefault="00A56EE9" w:rsidP="00BB6AD5">
            <w:pPr>
              <w:pStyle w:val="ListParagraph"/>
              <w:ind w:left="360"/>
              <w:rPr>
                <w:rStyle w:val="BookTitle"/>
                <w:rFonts w:ascii="Arial Narrow" w:hAnsi="Arial Narrow"/>
                <w:sz w:val="18"/>
                <w:szCs w:val="18"/>
              </w:rPr>
            </w:pPr>
          </w:p>
        </w:tc>
        <w:tc>
          <w:tcPr>
            <w:tcW w:w="523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F3" w14:textId="77777777" w:rsidR="00A56EE9" w:rsidRPr="00E70A11" w:rsidRDefault="00A56EE9" w:rsidP="00B2070F">
            <w:pPr>
              <w:pStyle w:val="ListParagraph"/>
              <w:spacing w:after="200" w:line="276" w:lineRule="auto"/>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F4" w14:textId="77777777" w:rsidR="00A56EE9" w:rsidRPr="00E70A11" w:rsidRDefault="00A56EE9" w:rsidP="00BB6AD5">
            <w:pPr>
              <w:pStyle w:val="Tablebulletlist"/>
              <w:rPr>
                <w:rStyle w:val="BookTitle"/>
              </w:rPr>
            </w:pPr>
          </w:p>
        </w:tc>
        <w:tc>
          <w:tcPr>
            <w:tcW w:w="121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7F5" w14:textId="77777777" w:rsidR="00A56EE9" w:rsidRPr="00E70A11" w:rsidRDefault="00A56EE9" w:rsidP="00BB6AD5">
            <w:pPr>
              <w:pStyle w:val="Tablebulletlist"/>
              <w:rPr>
                <w:rStyle w:val="BookTitle"/>
              </w:rPr>
            </w:pPr>
          </w:p>
        </w:tc>
      </w:tr>
      <w:tr w:rsidR="00A56EE9" w:rsidRPr="00E70A11" w14:paraId="5761E80D"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7F7"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7F8"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7F9" w14:textId="77777777" w:rsidR="00A56EE9" w:rsidRPr="00E70A11" w:rsidRDefault="00A56EE9" w:rsidP="00A11869">
            <w:pPr>
              <w:pStyle w:val="ListParagraph"/>
              <w:numPr>
                <w:ilvl w:val="0"/>
                <w:numId w:val="263"/>
              </w:numPr>
              <w:spacing w:after="200" w:line="276" w:lineRule="auto"/>
              <w:rPr>
                <w:rFonts w:ascii="Arial Narrow" w:hAnsi="Arial Narrow"/>
                <w:sz w:val="18"/>
                <w:szCs w:val="18"/>
              </w:rPr>
            </w:pPr>
            <w:r w:rsidRPr="00E70A11">
              <w:rPr>
                <w:rFonts w:ascii="Arial Narrow" w:hAnsi="Arial Narrow"/>
                <w:sz w:val="18"/>
                <w:szCs w:val="18"/>
              </w:rPr>
              <w:t xml:space="preserve">Tourism operators are actively involved as stewards of the Reef. Through the High Standard Tourism program, operators are increasingly working to voluntary best practice standards in their activities. </w:t>
            </w:r>
          </w:p>
          <w:p w14:paraId="5761E7FA" w14:textId="77777777" w:rsidR="00A56EE9" w:rsidRPr="00E70A11" w:rsidRDefault="00A56EE9" w:rsidP="00A11869">
            <w:pPr>
              <w:pStyle w:val="ListParagraph"/>
              <w:numPr>
                <w:ilvl w:val="0"/>
                <w:numId w:val="263"/>
              </w:numPr>
              <w:spacing w:after="200" w:line="276" w:lineRule="auto"/>
              <w:rPr>
                <w:rFonts w:ascii="Arial Narrow" w:hAnsi="Arial Narrow"/>
                <w:sz w:val="18"/>
                <w:szCs w:val="18"/>
              </w:rPr>
            </w:pPr>
            <w:r w:rsidRPr="00E70A11">
              <w:rPr>
                <w:rFonts w:ascii="Arial Narrow" w:hAnsi="Arial Narrow"/>
                <w:sz w:val="18"/>
                <w:szCs w:val="18"/>
              </w:rPr>
              <w:t xml:space="preserve">The Association of Marine Park Tourism Operators, in partnership with the Authority and the Reef and Rainforest Research Centre (RRRC) are undertaking targeted control of crown-of-thorns starfish on the GBR. All these actions improve the sustainability of the industry and the health and resilience of the Reef. </w:t>
            </w:r>
          </w:p>
          <w:p w14:paraId="5761E7FB" w14:textId="77777777" w:rsidR="00A56EE9" w:rsidRPr="00E70A11" w:rsidRDefault="00A56EE9" w:rsidP="00A11869">
            <w:pPr>
              <w:pStyle w:val="ListParagraph"/>
              <w:numPr>
                <w:ilvl w:val="0"/>
                <w:numId w:val="263"/>
              </w:numPr>
              <w:spacing w:after="200" w:line="276" w:lineRule="auto"/>
              <w:rPr>
                <w:rFonts w:ascii="Arial Narrow" w:hAnsi="Arial Narrow"/>
                <w:sz w:val="18"/>
                <w:szCs w:val="18"/>
              </w:rPr>
            </w:pPr>
            <w:r w:rsidRPr="00E70A11">
              <w:rPr>
                <w:rFonts w:ascii="Arial Narrow" w:hAnsi="Arial Narrow"/>
                <w:sz w:val="18"/>
                <w:szCs w:val="18"/>
              </w:rPr>
              <w:t>Many operators also participate in research and monitoring programs, such as the Eye on the Reef environmental monitoring program, the Sightings Network and visitor surveys. Currently 25 tourism operators continue to actively gather reef health data.</w:t>
            </w:r>
            <w:r>
              <w:rPr>
                <w:rFonts w:ascii="Arial Narrow" w:hAnsi="Arial Narrow"/>
                <w:sz w:val="18"/>
                <w:szCs w:val="18"/>
              </w:rPr>
              <w:t xml:space="preserve"> </w:t>
            </w:r>
          </w:p>
          <w:p w14:paraId="5761E7FC" w14:textId="77777777" w:rsidR="00A56EE9" w:rsidRPr="00E70A11" w:rsidRDefault="00A56EE9" w:rsidP="00A11869">
            <w:pPr>
              <w:pStyle w:val="ListParagraph"/>
              <w:numPr>
                <w:ilvl w:val="0"/>
                <w:numId w:val="263"/>
              </w:numPr>
              <w:spacing w:after="200" w:line="276" w:lineRule="auto"/>
              <w:rPr>
                <w:rFonts w:ascii="Arial Narrow" w:hAnsi="Arial Narrow"/>
                <w:sz w:val="18"/>
                <w:szCs w:val="18"/>
              </w:rPr>
            </w:pPr>
            <w:r w:rsidRPr="00E70A11">
              <w:rPr>
                <w:rFonts w:ascii="Arial Narrow" w:hAnsi="Arial Narrow"/>
                <w:sz w:val="18"/>
                <w:szCs w:val="18"/>
              </w:rPr>
              <w:t xml:space="preserve">The Marine Park Authority Board continues to be advised by a Tourism Reef Advisory Committee – which includes a number of marine tourism operators and industry organisations. The advice received assists the GBRMPA in the ongoing management of commercial marine tourism. </w:t>
            </w:r>
          </w:p>
          <w:p w14:paraId="5761E7FD" w14:textId="77777777" w:rsidR="00A56EE9" w:rsidRPr="00E70A11" w:rsidRDefault="00A56EE9" w:rsidP="00A11869">
            <w:pPr>
              <w:pStyle w:val="ListParagraph"/>
              <w:numPr>
                <w:ilvl w:val="0"/>
                <w:numId w:val="263"/>
              </w:numPr>
              <w:spacing w:after="200" w:line="276" w:lineRule="auto"/>
              <w:rPr>
                <w:rFonts w:ascii="Arial Narrow" w:hAnsi="Arial Narrow"/>
                <w:sz w:val="18"/>
                <w:szCs w:val="18"/>
              </w:rPr>
            </w:pPr>
            <w:r w:rsidRPr="00E70A11">
              <w:rPr>
                <w:rFonts w:ascii="Arial Narrow" w:hAnsi="Arial Narrow"/>
                <w:sz w:val="18"/>
                <w:szCs w:val="18"/>
              </w:rPr>
              <w:t>Ongoing tourism industry and community engagement is comprehensive with significant consultation on policy and planning required.</w:t>
            </w:r>
            <w:r>
              <w:rPr>
                <w:rFonts w:ascii="Arial Narrow" w:hAnsi="Arial Narrow"/>
                <w:sz w:val="18"/>
                <w:szCs w:val="18"/>
              </w:rPr>
              <w:t xml:space="preserve"> </w:t>
            </w:r>
          </w:p>
          <w:p w14:paraId="5761E7FE" w14:textId="77777777" w:rsidR="00A56EE9" w:rsidRPr="00E70A11" w:rsidRDefault="00A56EE9" w:rsidP="00A11869">
            <w:pPr>
              <w:pStyle w:val="ListParagraph"/>
              <w:numPr>
                <w:ilvl w:val="0"/>
                <w:numId w:val="263"/>
              </w:numPr>
              <w:spacing w:after="200" w:line="276" w:lineRule="auto"/>
              <w:rPr>
                <w:rFonts w:ascii="Arial Narrow" w:hAnsi="Arial Narrow"/>
                <w:sz w:val="18"/>
                <w:szCs w:val="18"/>
              </w:rPr>
            </w:pPr>
            <w:r w:rsidRPr="00E70A11">
              <w:rPr>
                <w:rFonts w:ascii="Arial Narrow" w:hAnsi="Arial Narrow"/>
                <w:sz w:val="18"/>
                <w:szCs w:val="18"/>
              </w:rPr>
              <w:t>Ongoing tourism industry engagement through partnership programs (i.e. High Standard Operators, Eye on the Reef Monitoring, Sightings Network)</w:t>
            </w:r>
          </w:p>
          <w:p w14:paraId="5761E7FF" w14:textId="77777777" w:rsidR="00A56EE9" w:rsidRPr="00E70A11" w:rsidRDefault="00A56EE9" w:rsidP="00A11869">
            <w:pPr>
              <w:pStyle w:val="ListParagraph"/>
              <w:numPr>
                <w:ilvl w:val="0"/>
                <w:numId w:val="263"/>
              </w:numPr>
              <w:spacing w:after="200" w:line="276" w:lineRule="auto"/>
              <w:rPr>
                <w:rFonts w:ascii="Arial Narrow" w:hAnsi="Arial Narrow"/>
                <w:sz w:val="18"/>
                <w:szCs w:val="18"/>
              </w:rPr>
            </w:pPr>
            <w:r w:rsidRPr="00E70A11">
              <w:rPr>
                <w:rFonts w:ascii="Arial Narrow" w:hAnsi="Arial Narrow"/>
                <w:sz w:val="18"/>
                <w:szCs w:val="18"/>
              </w:rPr>
              <w:t>Ongoing tourism liaison through the National Landscape Program – opportunity to operators’ understanding and value for this World Heritage Area.</w:t>
            </w:r>
          </w:p>
          <w:p w14:paraId="5761E800" w14:textId="77777777" w:rsidR="00A56EE9" w:rsidRPr="00E70A11" w:rsidRDefault="00A56EE9" w:rsidP="00A11869">
            <w:pPr>
              <w:pStyle w:val="ListParagraph"/>
              <w:numPr>
                <w:ilvl w:val="0"/>
                <w:numId w:val="263"/>
              </w:numPr>
              <w:spacing w:after="200" w:line="276" w:lineRule="auto"/>
              <w:rPr>
                <w:rStyle w:val="BookTitle"/>
                <w:rFonts w:ascii="Arial Narrow" w:hAnsi="Arial Narrow"/>
                <w:sz w:val="18"/>
                <w:szCs w:val="18"/>
              </w:rPr>
            </w:pPr>
            <w:r w:rsidRPr="00E70A11">
              <w:rPr>
                <w:rFonts w:ascii="Arial Narrow" w:hAnsi="Arial Narrow"/>
                <w:sz w:val="18"/>
                <w:szCs w:val="18"/>
              </w:rPr>
              <w:t>Regular liaison with industry on site relating to policy implementation and Marine Park permits.</w:t>
            </w:r>
          </w:p>
        </w:tc>
        <w:tc>
          <w:tcPr>
            <w:tcW w:w="5231" w:type="dxa"/>
            <w:tcBorders>
              <w:top w:val="single" w:sz="4" w:space="0" w:color="auto"/>
              <w:left w:val="single" w:sz="4" w:space="0" w:color="auto"/>
              <w:bottom w:val="single" w:sz="4" w:space="0" w:color="auto"/>
              <w:right w:val="single" w:sz="4" w:space="0" w:color="auto"/>
            </w:tcBorders>
          </w:tcPr>
          <w:p w14:paraId="5761E801" w14:textId="2598FBCD"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 xml:space="preserve">TRRAC - </w:t>
            </w:r>
            <w:hyperlink r:id="rId325" w:tooltip="document link" w:history="1">
              <w:r w:rsidRPr="00E70A11">
                <w:rPr>
                  <w:rStyle w:val="Hyperlink"/>
                  <w:rFonts w:ascii="Arial Narrow" w:hAnsi="Arial Narrow"/>
                  <w:sz w:val="18"/>
                  <w:szCs w:val="18"/>
                </w:rPr>
                <w:t>http://www.gbrmpa.gov.au/our-partners/reef-advisory-committee/tourism-and-recreation-reef-advisory-committee</w:t>
              </w:r>
            </w:hyperlink>
            <w:r w:rsidRPr="00E70A11">
              <w:rPr>
                <w:rFonts w:ascii="Arial Narrow" w:hAnsi="Arial Narrow"/>
                <w:sz w:val="18"/>
                <w:szCs w:val="18"/>
              </w:rPr>
              <w:t xml:space="preserve"> </w:t>
            </w:r>
          </w:p>
          <w:p w14:paraId="5761E802" w14:textId="77777777"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RACs - http://www.gbrmpa.gov.au/about-us/reef-advisory-committee</w:t>
            </w:r>
          </w:p>
          <w:p w14:paraId="5761E803" w14:textId="10E77D67"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 xml:space="preserve">LMACs - </w:t>
            </w:r>
            <w:hyperlink r:id="rId326" w:tooltip="document link" w:history="1">
              <w:r w:rsidRPr="00E70A11">
                <w:rPr>
                  <w:rStyle w:val="Hyperlink"/>
                  <w:rFonts w:ascii="Arial Narrow" w:hAnsi="Arial Narrow"/>
                  <w:sz w:val="18"/>
                  <w:szCs w:val="18"/>
                </w:rPr>
                <w:t>http://www.gbrmpa.gov.au/our-partners/local-marine-advisory-committees</w:t>
              </w:r>
            </w:hyperlink>
            <w:r w:rsidRPr="00E70A11">
              <w:rPr>
                <w:rFonts w:ascii="Arial Narrow" w:hAnsi="Arial Narrow"/>
                <w:sz w:val="18"/>
                <w:szCs w:val="18"/>
              </w:rPr>
              <w:t xml:space="preserve"> </w:t>
            </w:r>
          </w:p>
          <w:p w14:paraId="5761E804" w14:textId="0CC93FC8"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 xml:space="preserve">Managing agencies - </w:t>
            </w:r>
            <w:hyperlink r:id="rId327" w:tooltip="document link" w:history="1">
              <w:r w:rsidRPr="00E70A11">
                <w:rPr>
                  <w:rStyle w:val="Hyperlink"/>
                  <w:rFonts w:ascii="Arial Narrow" w:hAnsi="Arial Narrow"/>
                  <w:sz w:val="18"/>
                  <w:szCs w:val="18"/>
                </w:rPr>
                <w:t>http://www.gbrmpa.gov.au/our-partners/queensland-government-agencies</w:t>
              </w:r>
            </w:hyperlink>
            <w:r w:rsidRPr="00E70A11">
              <w:rPr>
                <w:rFonts w:ascii="Arial Narrow" w:hAnsi="Arial Narrow"/>
                <w:sz w:val="18"/>
                <w:szCs w:val="18"/>
              </w:rPr>
              <w:t xml:space="preserve"> </w:t>
            </w:r>
          </w:p>
          <w:p w14:paraId="5761E805" w14:textId="30A8B2EF" w:rsidR="00A56EE9" w:rsidRPr="00E70A11" w:rsidRDefault="008B5998" w:rsidP="00A11869">
            <w:pPr>
              <w:pStyle w:val="ListParagraph"/>
              <w:numPr>
                <w:ilvl w:val="0"/>
                <w:numId w:val="42"/>
              </w:numPr>
              <w:spacing w:after="200" w:line="276" w:lineRule="auto"/>
              <w:rPr>
                <w:rFonts w:ascii="Arial Narrow" w:hAnsi="Arial Narrow"/>
                <w:sz w:val="18"/>
                <w:szCs w:val="18"/>
              </w:rPr>
            </w:pPr>
            <w:hyperlink r:id="rId328" w:tooltip="document link" w:history="1">
              <w:r w:rsidR="00A56EE9" w:rsidRPr="00E70A11">
                <w:rPr>
                  <w:rStyle w:val="Hyperlink"/>
                  <w:rFonts w:ascii="Arial Narrow" w:hAnsi="Arial Narrow"/>
                  <w:sz w:val="18"/>
                  <w:szCs w:val="18"/>
                </w:rPr>
                <w:t>http://www.gbrmpa.gov.au/our-partners/australian-government-agencies</w:t>
              </w:r>
            </w:hyperlink>
            <w:r w:rsidR="00A56EE9" w:rsidRPr="00E70A11">
              <w:rPr>
                <w:rFonts w:ascii="Arial Narrow" w:hAnsi="Arial Narrow"/>
                <w:sz w:val="18"/>
                <w:szCs w:val="18"/>
              </w:rPr>
              <w:t xml:space="preserve"> </w:t>
            </w:r>
          </w:p>
          <w:p w14:paraId="5761E806" w14:textId="77777777"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Industry engagement</w:t>
            </w:r>
          </w:p>
          <w:p w14:paraId="5761E807" w14:textId="6788630E"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 xml:space="preserve">High Standard Tourism Program </w:t>
            </w:r>
            <w:hyperlink r:id="rId329" w:tooltip="document link" w:history="1">
              <w:r w:rsidRPr="00E70A11">
                <w:rPr>
                  <w:rStyle w:val="Hyperlink"/>
                  <w:rFonts w:ascii="Arial Narrow" w:hAnsi="Arial Narrow"/>
                  <w:sz w:val="18"/>
                  <w:szCs w:val="18"/>
                </w:rPr>
                <w:t>http://www.gbrmpa.gov.au/visit-the-reef/choose-a-high-standard-operator</w:t>
              </w:r>
            </w:hyperlink>
            <w:r w:rsidRPr="00E70A11">
              <w:rPr>
                <w:rFonts w:ascii="Arial Narrow" w:hAnsi="Arial Narrow"/>
                <w:sz w:val="18"/>
                <w:szCs w:val="18"/>
              </w:rPr>
              <w:t xml:space="preserve"> </w:t>
            </w:r>
          </w:p>
          <w:p w14:paraId="5761E808" w14:textId="77777777"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Eye on the Reef Monitoring http://www.gbrmpa.gov.au/about-the-reef/how-the-reefs-managed/our-monitoring-and-assessment-programs/eye-on-the-reef</w:t>
            </w:r>
          </w:p>
          <w:p w14:paraId="5761E809" w14:textId="77777777" w:rsidR="00A56EE9" w:rsidRPr="00E70A11" w:rsidRDefault="00A56EE9" w:rsidP="00A11869">
            <w:pPr>
              <w:pStyle w:val="ListParagraph"/>
              <w:numPr>
                <w:ilvl w:val="0"/>
                <w:numId w:val="42"/>
              </w:numPr>
              <w:spacing w:after="200" w:line="276" w:lineRule="auto"/>
              <w:rPr>
                <w:rFonts w:ascii="Arial Narrow" w:hAnsi="Arial Narrow"/>
                <w:sz w:val="18"/>
                <w:szCs w:val="18"/>
              </w:rPr>
            </w:pPr>
            <w:r w:rsidRPr="00E70A11">
              <w:rPr>
                <w:rFonts w:ascii="Arial Narrow" w:hAnsi="Arial Narrow"/>
                <w:sz w:val="18"/>
                <w:szCs w:val="18"/>
              </w:rPr>
              <w:t>National Landscapes http://www.australia.com/campaigns/nationallandscapes/GreatBarrierReef.htm</w:t>
            </w:r>
          </w:p>
          <w:p w14:paraId="5761E80A" w14:textId="77777777" w:rsidR="00A56EE9" w:rsidRPr="00E70A11" w:rsidRDefault="00A56EE9" w:rsidP="00A11869">
            <w:pPr>
              <w:pStyle w:val="ListParagraph"/>
              <w:numPr>
                <w:ilvl w:val="0"/>
                <w:numId w:val="42"/>
              </w:numPr>
              <w:spacing w:after="200" w:line="276" w:lineRule="auto"/>
              <w:rPr>
                <w:rStyle w:val="BookTitle"/>
                <w:rFonts w:ascii="Arial Narrow" w:hAnsi="Arial Narrow"/>
                <w:sz w:val="18"/>
                <w:szCs w:val="18"/>
              </w:rPr>
            </w:pPr>
            <w:r w:rsidRPr="00E70A11">
              <w:rPr>
                <w:rFonts w:ascii="Arial Narrow" w:hAnsi="Arial Narrow"/>
                <w:sz w:val="18"/>
                <w:szCs w:val="18"/>
              </w:rPr>
              <w:t>High Standard Tourism program</w:t>
            </w:r>
          </w:p>
        </w:tc>
        <w:tc>
          <w:tcPr>
            <w:tcW w:w="1006" w:type="dxa"/>
            <w:tcBorders>
              <w:top w:val="single" w:sz="4" w:space="0" w:color="auto"/>
              <w:left w:val="single" w:sz="4" w:space="0" w:color="auto"/>
              <w:bottom w:val="single" w:sz="4" w:space="0" w:color="auto"/>
              <w:right w:val="single" w:sz="4" w:space="0" w:color="auto"/>
            </w:tcBorders>
          </w:tcPr>
          <w:p w14:paraId="5761E80B"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0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16"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0E"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0F"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810" w14:textId="77777777" w:rsidR="00A56EE9" w:rsidRPr="00E70A11" w:rsidRDefault="00A56EE9" w:rsidP="00A11869">
            <w:pPr>
              <w:pStyle w:val="ListParagraph"/>
              <w:numPr>
                <w:ilvl w:val="0"/>
                <w:numId w:val="263"/>
              </w:numPr>
              <w:spacing w:after="200" w:line="276" w:lineRule="auto"/>
              <w:rPr>
                <w:rFonts w:ascii="Arial Narrow" w:hAnsi="Arial Narrow"/>
                <w:sz w:val="18"/>
                <w:szCs w:val="18"/>
              </w:rPr>
            </w:pPr>
            <w:r w:rsidRPr="00E70A11">
              <w:rPr>
                <w:rFonts w:ascii="Arial Narrow" w:hAnsi="Arial Narrow"/>
                <w:sz w:val="18"/>
                <w:szCs w:val="18"/>
              </w:rPr>
              <w:t>There is a high level of engagement with local communities including representation at forums/TRAC/Public meetings /LMACs.</w:t>
            </w:r>
          </w:p>
          <w:p w14:paraId="5761E811" w14:textId="77777777" w:rsidR="00A56EE9" w:rsidRPr="00E70A11" w:rsidRDefault="00A56EE9" w:rsidP="00A11869">
            <w:pPr>
              <w:pStyle w:val="ListParagraph"/>
              <w:numPr>
                <w:ilvl w:val="0"/>
                <w:numId w:val="263"/>
              </w:numPr>
              <w:spacing w:after="200" w:line="276" w:lineRule="auto"/>
              <w:rPr>
                <w:rFonts w:ascii="Arial Narrow" w:hAnsi="Arial Narrow"/>
                <w:sz w:val="18"/>
                <w:szCs w:val="18"/>
              </w:rPr>
            </w:pPr>
            <w:r w:rsidRPr="00E70A11">
              <w:rPr>
                <w:rFonts w:ascii="Arial Narrow" w:hAnsi="Arial Narrow"/>
                <w:sz w:val="18"/>
                <w:szCs w:val="18"/>
              </w:rPr>
              <w:t>There are statutory requirements for engaging with the local community in the development of management plans, zoning plans, reviews and for some permit application assessments.</w:t>
            </w:r>
          </w:p>
          <w:p w14:paraId="5761E812" w14:textId="77777777" w:rsidR="00A56EE9" w:rsidRPr="00E70A11" w:rsidRDefault="00A56EE9" w:rsidP="00A11869">
            <w:pPr>
              <w:pStyle w:val="ListParagraph"/>
              <w:numPr>
                <w:ilvl w:val="0"/>
                <w:numId w:val="263"/>
              </w:numPr>
              <w:spacing w:after="200" w:line="276" w:lineRule="auto"/>
              <w:rPr>
                <w:rStyle w:val="BookTitle"/>
                <w:rFonts w:ascii="Arial Narrow" w:hAnsi="Arial Narrow"/>
                <w:sz w:val="18"/>
                <w:szCs w:val="18"/>
              </w:rPr>
            </w:pPr>
            <w:r w:rsidRPr="00E70A11">
              <w:rPr>
                <w:rFonts w:ascii="Arial Narrow" w:hAnsi="Arial Narrow"/>
                <w:sz w:val="18"/>
                <w:szCs w:val="18"/>
              </w:rPr>
              <w:t>Following Cyclone Debbie in the Whitsundays area in 2017, there has been extensive community engagement in the ongoing management of commercial marine tourism, with the Queensland Government investing in recovery of natural systems and rebuilding and building new tourism infrastructure.</w:t>
            </w:r>
          </w:p>
        </w:tc>
        <w:tc>
          <w:tcPr>
            <w:tcW w:w="5231" w:type="dxa"/>
            <w:tcBorders>
              <w:top w:val="single" w:sz="4" w:space="0" w:color="auto"/>
              <w:left w:val="single" w:sz="4" w:space="0" w:color="auto"/>
              <w:bottom w:val="single" w:sz="4" w:space="0" w:color="auto"/>
              <w:right w:val="single" w:sz="4" w:space="0" w:color="auto"/>
            </w:tcBorders>
          </w:tcPr>
          <w:p w14:paraId="5761E813" w14:textId="3A2F926D" w:rsidR="00A56EE9" w:rsidRPr="00E70A11" w:rsidRDefault="00A56EE9" w:rsidP="00A11869">
            <w:pPr>
              <w:pStyle w:val="ListParagraph"/>
              <w:numPr>
                <w:ilvl w:val="0"/>
                <w:numId w:val="41"/>
              </w:numPr>
              <w:spacing w:after="200" w:line="276" w:lineRule="auto"/>
              <w:rPr>
                <w:rStyle w:val="BookTitle"/>
                <w:rFonts w:ascii="Arial Narrow" w:hAnsi="Arial Narrow"/>
                <w:sz w:val="18"/>
                <w:szCs w:val="18"/>
              </w:rPr>
            </w:pPr>
            <w:r w:rsidRPr="00E70A11">
              <w:rPr>
                <w:rFonts w:ascii="Arial Narrow" w:hAnsi="Arial Narrow"/>
                <w:sz w:val="18"/>
                <w:szCs w:val="18"/>
              </w:rPr>
              <w:t xml:space="preserve">LMAC Communiques: </w:t>
            </w:r>
            <w:hyperlink r:id="rId330" w:tooltip="document link" w:history="1">
              <w:r w:rsidRPr="00E70A11">
                <w:rPr>
                  <w:rStyle w:val="Hyperlink"/>
                  <w:rFonts w:ascii="Arial Narrow" w:hAnsi="Arial Narrow"/>
                  <w:sz w:val="18"/>
                  <w:szCs w:val="18"/>
                </w:rPr>
                <w:t>http://www.gbrmpa.gov.au/about-us/local-marine-advisory-committees</w:t>
              </w:r>
            </w:hyperlink>
          </w:p>
        </w:tc>
        <w:tc>
          <w:tcPr>
            <w:tcW w:w="1006" w:type="dxa"/>
            <w:tcBorders>
              <w:top w:val="single" w:sz="4" w:space="0" w:color="auto"/>
              <w:left w:val="single" w:sz="4" w:space="0" w:color="auto"/>
              <w:bottom w:val="single" w:sz="4" w:space="0" w:color="auto"/>
              <w:right w:val="single" w:sz="4" w:space="0" w:color="auto"/>
            </w:tcBorders>
          </w:tcPr>
          <w:p w14:paraId="5761E814"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1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81F"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17"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There is a sound governance system in place to address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18"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819" w14:textId="77777777" w:rsidR="00A56EE9" w:rsidRPr="00E70A11" w:rsidRDefault="00A56EE9" w:rsidP="00A11869">
            <w:pPr>
              <w:pStyle w:val="ListParagraph"/>
              <w:numPr>
                <w:ilvl w:val="0"/>
                <w:numId w:val="264"/>
              </w:numPr>
              <w:spacing w:after="200" w:line="276" w:lineRule="auto"/>
              <w:rPr>
                <w:rFonts w:ascii="Arial Narrow" w:hAnsi="Arial Narrow"/>
                <w:sz w:val="18"/>
                <w:szCs w:val="18"/>
              </w:rPr>
            </w:pPr>
            <w:r w:rsidRPr="00E70A11">
              <w:rPr>
                <w:rFonts w:ascii="Arial Narrow" w:hAnsi="Arial Narrow"/>
                <w:sz w:val="18"/>
                <w:szCs w:val="18"/>
              </w:rPr>
              <w:t>GBRMPA is the key management agency responsible for ensuring the Great Barrier Reef Region is protected for the future. GBRMPA manages tourism in partnership with the QPWS through complimentary Zoning Plans, permits, some policy. This is captured under the Intergovernmental agreement and the Reef 2050 Plan.</w:t>
            </w:r>
          </w:p>
          <w:p w14:paraId="5761E81A" w14:textId="77777777" w:rsidR="00A56EE9" w:rsidRPr="00E70A11" w:rsidRDefault="00A56EE9" w:rsidP="00A11869">
            <w:pPr>
              <w:pStyle w:val="ListParagraph"/>
              <w:numPr>
                <w:ilvl w:val="0"/>
                <w:numId w:val="264"/>
              </w:numPr>
              <w:spacing w:after="200" w:line="276" w:lineRule="auto"/>
              <w:rPr>
                <w:rStyle w:val="BookTitle"/>
                <w:rFonts w:ascii="Arial Narrow" w:hAnsi="Arial Narrow"/>
                <w:sz w:val="18"/>
                <w:szCs w:val="18"/>
              </w:rPr>
            </w:pPr>
            <w:r w:rsidRPr="00E70A11">
              <w:rPr>
                <w:rFonts w:ascii="Arial Narrow" w:hAnsi="Arial Narrow"/>
                <w:sz w:val="18"/>
                <w:szCs w:val="18"/>
              </w:rPr>
              <w:t>Other management agencies and tourism bodies also contribute to the governance system in differing ways e.g. through Protected Areas Management Forum (PAM), intergovernmental meetings under an MOU (Parks Australia), MOU between GBRMPA and the Great Barrier Reef Foundation.</w:t>
            </w:r>
          </w:p>
        </w:tc>
        <w:tc>
          <w:tcPr>
            <w:tcW w:w="5231" w:type="dxa"/>
            <w:tcBorders>
              <w:top w:val="single" w:sz="4" w:space="0" w:color="auto"/>
              <w:left w:val="single" w:sz="4" w:space="0" w:color="auto"/>
              <w:bottom w:val="single" w:sz="4" w:space="0" w:color="auto"/>
              <w:right w:val="single" w:sz="4" w:space="0" w:color="auto"/>
            </w:tcBorders>
          </w:tcPr>
          <w:p w14:paraId="5761E81B" w14:textId="77777777" w:rsidR="00A56EE9" w:rsidRPr="00E70A11" w:rsidRDefault="00A56EE9" w:rsidP="00A11869">
            <w:pPr>
              <w:pStyle w:val="ListParagraph"/>
              <w:numPr>
                <w:ilvl w:val="0"/>
                <w:numId w:val="40"/>
              </w:numPr>
              <w:spacing w:after="200" w:line="276" w:lineRule="auto"/>
              <w:rPr>
                <w:rFonts w:ascii="Arial Narrow" w:hAnsi="Arial Narrow"/>
                <w:sz w:val="18"/>
                <w:szCs w:val="18"/>
              </w:rPr>
            </w:pPr>
            <w:r w:rsidRPr="00E70A11">
              <w:rPr>
                <w:rFonts w:ascii="Arial Narrow" w:hAnsi="Arial Narrow"/>
                <w:sz w:val="18"/>
                <w:szCs w:val="18"/>
              </w:rPr>
              <w:t>Reef 2050 Plan</w:t>
            </w:r>
          </w:p>
          <w:p w14:paraId="5761E81C" w14:textId="77777777" w:rsidR="00A56EE9" w:rsidRPr="00E70A11" w:rsidRDefault="00A56EE9" w:rsidP="00A11869">
            <w:pPr>
              <w:pStyle w:val="ListParagraph"/>
              <w:numPr>
                <w:ilvl w:val="0"/>
                <w:numId w:val="40"/>
              </w:numPr>
              <w:spacing w:after="200" w:line="276" w:lineRule="auto"/>
              <w:rPr>
                <w:rStyle w:val="BookTitle"/>
                <w:rFonts w:ascii="Arial Narrow" w:hAnsi="Arial Narrow"/>
                <w:sz w:val="18"/>
                <w:szCs w:val="18"/>
              </w:rPr>
            </w:pPr>
            <w:r w:rsidRPr="00E70A11">
              <w:rPr>
                <w:rFonts w:ascii="Arial Narrow" w:hAnsi="Arial Narrow"/>
                <w:sz w:val="18"/>
                <w:szCs w:val="18"/>
              </w:rPr>
              <w:t>Intergovernmental agreement</w:t>
            </w:r>
          </w:p>
        </w:tc>
        <w:tc>
          <w:tcPr>
            <w:tcW w:w="1006" w:type="dxa"/>
            <w:tcBorders>
              <w:top w:val="single" w:sz="4" w:space="0" w:color="auto"/>
              <w:left w:val="single" w:sz="4" w:space="0" w:color="auto"/>
              <w:bottom w:val="single" w:sz="4" w:space="0" w:color="auto"/>
              <w:right w:val="single" w:sz="4" w:space="0" w:color="auto"/>
            </w:tcBorders>
          </w:tcPr>
          <w:p w14:paraId="5761E81D"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1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2F"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20"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21"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22" w14:textId="77777777" w:rsidR="00A56EE9" w:rsidRPr="00E70A11" w:rsidRDefault="00A56EE9" w:rsidP="00A11869">
            <w:pPr>
              <w:pStyle w:val="ListParagraph"/>
              <w:numPr>
                <w:ilvl w:val="0"/>
                <w:numId w:val="264"/>
              </w:numPr>
              <w:spacing w:after="200" w:line="276" w:lineRule="auto"/>
              <w:rPr>
                <w:rFonts w:ascii="Arial Narrow" w:hAnsi="Arial Narrow"/>
                <w:sz w:val="18"/>
                <w:szCs w:val="18"/>
                <w:lang w:val="en-US"/>
              </w:rPr>
            </w:pPr>
            <w:r w:rsidRPr="00E70A11">
              <w:rPr>
                <w:rFonts w:ascii="Arial Narrow" w:hAnsi="Arial Narrow"/>
                <w:sz w:val="18"/>
                <w:szCs w:val="18"/>
              </w:rPr>
              <w:t xml:space="preserve">Performance monitoring is achieved through Annual Reports and Annual Operating Plan reporting mechanisms. One KPI relates to </w:t>
            </w:r>
            <w:r w:rsidRPr="00E70A11">
              <w:rPr>
                <w:rFonts w:ascii="Arial Narrow" w:hAnsi="Arial Narrow"/>
                <w:sz w:val="18"/>
                <w:szCs w:val="18"/>
                <w:lang w:val="en-US"/>
              </w:rPr>
              <w:t>visitors to the Great Barrier Reef using tourism operators accredited as "High Standard Operators”</w:t>
            </w:r>
          </w:p>
          <w:p w14:paraId="5761E823" w14:textId="77777777" w:rsidR="00A56EE9" w:rsidRPr="00E70A11" w:rsidRDefault="00A56EE9" w:rsidP="00A11869">
            <w:pPr>
              <w:pStyle w:val="ListParagraph"/>
              <w:numPr>
                <w:ilvl w:val="0"/>
                <w:numId w:val="264"/>
              </w:numPr>
              <w:spacing w:after="200" w:line="276" w:lineRule="auto"/>
              <w:rPr>
                <w:rFonts w:ascii="Arial Narrow" w:hAnsi="Arial Narrow"/>
                <w:sz w:val="18"/>
                <w:szCs w:val="18"/>
                <w:lang w:val="en-US"/>
              </w:rPr>
            </w:pPr>
            <w:r w:rsidRPr="00E70A11">
              <w:rPr>
                <w:rFonts w:ascii="Arial Narrow" w:hAnsi="Arial Narrow"/>
                <w:sz w:val="18"/>
                <w:szCs w:val="18"/>
              </w:rPr>
              <w:t>Two recognised indicators of performance are visitor numbers and visitor satisfaction. Visitor numbers has been consistent in recent years and visitor satisfaction remains high.</w:t>
            </w:r>
          </w:p>
          <w:p w14:paraId="5761E824" w14:textId="77777777" w:rsidR="00A56EE9" w:rsidRPr="00E70A11" w:rsidRDefault="00A56EE9" w:rsidP="00A11869">
            <w:pPr>
              <w:pStyle w:val="ListParagraph"/>
              <w:numPr>
                <w:ilvl w:val="0"/>
                <w:numId w:val="264"/>
              </w:numPr>
              <w:spacing w:after="200" w:line="276" w:lineRule="auto"/>
              <w:rPr>
                <w:rFonts w:ascii="Arial Narrow" w:hAnsi="Arial Narrow"/>
                <w:sz w:val="18"/>
                <w:szCs w:val="18"/>
                <w:u w:val="single"/>
              </w:rPr>
            </w:pPr>
            <w:r w:rsidRPr="00E70A11">
              <w:rPr>
                <w:rFonts w:ascii="Arial Narrow" w:hAnsi="Arial Narrow"/>
                <w:sz w:val="18"/>
                <w:szCs w:val="18"/>
              </w:rPr>
              <w:t xml:space="preserve">In Plan of Management areas there is no explicit performance monitoring of reef values (e.g. is the coral cover in better condition in a low use area vs a high use area). Performance of management tools is monitored through monitoring trends in compliance records, booking systems, etc. </w:t>
            </w:r>
          </w:p>
          <w:p w14:paraId="5761E825"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Compliance </w:t>
            </w:r>
            <w:r>
              <w:rPr>
                <w:rFonts w:ascii="Arial Narrow" w:hAnsi="Arial Narrow"/>
                <w:sz w:val="18"/>
                <w:szCs w:val="18"/>
              </w:rPr>
              <w:t>management by the Joint Field Management Program</w:t>
            </w:r>
            <w:r w:rsidRPr="00D87F59">
              <w:rPr>
                <w:rFonts w:ascii="Arial Narrow" w:hAnsi="Arial Narrow"/>
                <w:sz w:val="18"/>
                <w:szCs w:val="18"/>
              </w:rPr>
              <w:t xml:space="preserve"> </w:t>
            </w:r>
            <w:r>
              <w:rPr>
                <w:rFonts w:ascii="Arial Narrow" w:hAnsi="Arial Narrow"/>
                <w:sz w:val="18"/>
                <w:szCs w:val="18"/>
              </w:rPr>
              <w:t xml:space="preserve">includes tourism in identified risk areas to ensure </w:t>
            </w:r>
            <w:r w:rsidRPr="00D87F59">
              <w:rPr>
                <w:rFonts w:ascii="Arial Narrow" w:hAnsi="Arial Narrow"/>
                <w:sz w:val="18"/>
                <w:szCs w:val="18"/>
              </w:rPr>
              <w:t>that</w:t>
            </w:r>
            <w:r>
              <w:rPr>
                <w:rFonts w:ascii="Arial Narrow" w:hAnsi="Arial Narrow"/>
                <w:sz w:val="18"/>
                <w:szCs w:val="18"/>
              </w:rPr>
              <w:t xml:space="preserve"> </w:t>
            </w:r>
            <w:r w:rsidRPr="00D87F59">
              <w:rPr>
                <w:rFonts w:ascii="Arial Narrow" w:hAnsi="Arial Narrow"/>
                <w:sz w:val="18"/>
                <w:szCs w:val="18"/>
              </w:rPr>
              <w:t xml:space="preserve">operators </w:t>
            </w:r>
            <w:r>
              <w:rPr>
                <w:rFonts w:ascii="Arial Narrow" w:hAnsi="Arial Narrow"/>
                <w:sz w:val="18"/>
                <w:szCs w:val="18"/>
              </w:rPr>
              <w:t>comply with</w:t>
            </w:r>
            <w:r w:rsidRPr="00D87F59">
              <w:rPr>
                <w:rFonts w:ascii="Arial Narrow" w:hAnsi="Arial Narrow"/>
                <w:sz w:val="18"/>
                <w:szCs w:val="18"/>
              </w:rPr>
              <w:t xml:space="preserve"> management requirements</w:t>
            </w:r>
            <w:r>
              <w:rPr>
                <w:rFonts w:ascii="Arial Narrow" w:hAnsi="Arial Narrow"/>
                <w:sz w:val="18"/>
                <w:szCs w:val="18"/>
              </w:rPr>
              <w:t xml:space="preserve"> (e.g. zoning, permits, POMs)</w:t>
            </w:r>
          </w:p>
          <w:p w14:paraId="5761E827" w14:textId="6F74A18B" w:rsidR="00A56EE9" w:rsidRPr="0086089F" w:rsidRDefault="00A56EE9" w:rsidP="005F28B9">
            <w:pPr>
              <w:pStyle w:val="ListParagraph"/>
              <w:numPr>
                <w:ilvl w:val="0"/>
                <w:numId w:val="24"/>
              </w:numPr>
              <w:spacing w:after="200" w:line="276" w:lineRule="auto"/>
              <w:rPr>
                <w:rStyle w:val="BookTitle"/>
                <w:rFonts w:ascii="Arial Narrow" w:hAnsi="Arial Narrow"/>
                <w:sz w:val="18"/>
                <w:szCs w:val="18"/>
              </w:rPr>
            </w:pPr>
            <w:r>
              <w:rPr>
                <w:rFonts w:ascii="Arial Narrow" w:hAnsi="Arial Narrow"/>
                <w:sz w:val="18"/>
                <w:szCs w:val="18"/>
              </w:rPr>
              <w:t xml:space="preserve">The permission systems has a service charter outlining </w:t>
            </w:r>
            <w:r w:rsidRPr="00B33C03">
              <w:rPr>
                <w:rFonts w:ascii="Arial Narrow" w:hAnsi="Arial Narrow"/>
                <w:sz w:val="18"/>
                <w:szCs w:val="18"/>
              </w:rPr>
              <w:t>commitments to implementing the permission system under the Great Barrier Reef Marine Park Act 1975 (the Marine Park Act)</w:t>
            </w:r>
          </w:p>
        </w:tc>
        <w:tc>
          <w:tcPr>
            <w:tcW w:w="5231" w:type="dxa"/>
            <w:tcBorders>
              <w:top w:val="single" w:sz="4" w:space="0" w:color="auto"/>
              <w:left w:val="single" w:sz="4" w:space="0" w:color="auto"/>
              <w:bottom w:val="single" w:sz="4" w:space="0" w:color="auto"/>
              <w:right w:val="single" w:sz="4" w:space="0" w:color="auto"/>
            </w:tcBorders>
          </w:tcPr>
          <w:p w14:paraId="5761E828" w14:textId="77777777" w:rsidR="00A56EE9" w:rsidRPr="00E70A11" w:rsidRDefault="00A56EE9" w:rsidP="00A11869">
            <w:pPr>
              <w:pStyle w:val="ListParagraph"/>
              <w:numPr>
                <w:ilvl w:val="0"/>
                <w:numId w:val="39"/>
              </w:numPr>
              <w:spacing w:after="200" w:line="276" w:lineRule="auto"/>
              <w:rPr>
                <w:rFonts w:ascii="Arial Narrow" w:hAnsi="Arial Narrow"/>
                <w:sz w:val="18"/>
                <w:szCs w:val="18"/>
              </w:rPr>
            </w:pPr>
            <w:r w:rsidRPr="00E70A11">
              <w:rPr>
                <w:rFonts w:ascii="Arial Narrow" w:hAnsi="Arial Narrow"/>
                <w:sz w:val="18"/>
                <w:szCs w:val="18"/>
              </w:rPr>
              <w:t>High Standard Operator graph: Link to Annual Report</w:t>
            </w:r>
          </w:p>
          <w:p w14:paraId="5761E829" w14:textId="77777777" w:rsidR="00A56EE9" w:rsidRPr="00E70A11" w:rsidRDefault="00A56EE9" w:rsidP="00A11869">
            <w:pPr>
              <w:pStyle w:val="ListParagraph"/>
              <w:numPr>
                <w:ilvl w:val="0"/>
                <w:numId w:val="39"/>
              </w:numPr>
              <w:spacing w:after="200" w:line="276" w:lineRule="auto"/>
              <w:rPr>
                <w:rFonts w:ascii="Arial Narrow" w:hAnsi="Arial Narrow"/>
                <w:sz w:val="18"/>
                <w:szCs w:val="18"/>
              </w:rPr>
            </w:pPr>
            <w:r w:rsidRPr="00E70A11">
              <w:rPr>
                <w:rFonts w:ascii="Arial Narrow" w:hAnsi="Arial Narrow"/>
                <w:sz w:val="18"/>
                <w:szCs w:val="18"/>
              </w:rPr>
              <w:t xml:space="preserve">Strategic Plan 2012-2016 </w:t>
            </w:r>
          </w:p>
          <w:p w14:paraId="5761E82A" w14:textId="3EE74B62" w:rsidR="00A56EE9" w:rsidRPr="00E70A11" w:rsidRDefault="00A56EE9" w:rsidP="00A11869">
            <w:pPr>
              <w:pStyle w:val="ListParagraph"/>
              <w:numPr>
                <w:ilvl w:val="0"/>
                <w:numId w:val="39"/>
              </w:numPr>
              <w:spacing w:after="200" w:line="276" w:lineRule="auto"/>
              <w:rPr>
                <w:rFonts w:ascii="Arial Narrow" w:hAnsi="Arial Narrow"/>
                <w:sz w:val="18"/>
                <w:szCs w:val="18"/>
              </w:rPr>
            </w:pPr>
            <w:r w:rsidRPr="00E70A11">
              <w:rPr>
                <w:rFonts w:ascii="Arial Narrow" w:hAnsi="Arial Narrow"/>
                <w:sz w:val="18"/>
                <w:szCs w:val="18"/>
              </w:rPr>
              <w:t xml:space="preserve">EMC - </w:t>
            </w:r>
            <w:hyperlink r:id="rId331" w:tooltip="document link" w:history="1">
              <w:r w:rsidRPr="00E70A11">
                <w:rPr>
                  <w:rStyle w:val="Hyperlink"/>
                  <w:rFonts w:ascii="Arial Narrow" w:hAnsi="Arial Narrow"/>
                  <w:sz w:val="18"/>
                  <w:szCs w:val="18"/>
                </w:rPr>
                <w:t>http://www.gbrmpa.gov.au/onboard/home/emc</w:t>
              </w:r>
            </w:hyperlink>
          </w:p>
          <w:p w14:paraId="5761E82B" w14:textId="60E70B7D" w:rsidR="00A56EE9" w:rsidRPr="00C3718E" w:rsidRDefault="00A56EE9" w:rsidP="00A11869">
            <w:pPr>
              <w:pStyle w:val="ListParagraph"/>
              <w:numPr>
                <w:ilvl w:val="0"/>
                <w:numId w:val="39"/>
              </w:numPr>
              <w:spacing w:after="200" w:line="276" w:lineRule="auto"/>
              <w:rPr>
                <w:rStyle w:val="Hyperlink"/>
                <w:rFonts w:ascii="Arial Narrow" w:hAnsi="Arial Narrow"/>
                <w:sz w:val="18"/>
                <w:szCs w:val="18"/>
              </w:rPr>
            </w:pPr>
            <w:r w:rsidRPr="00E70A11">
              <w:rPr>
                <w:rFonts w:ascii="Arial Narrow" w:hAnsi="Arial Narrow"/>
                <w:sz w:val="18"/>
                <w:szCs w:val="18"/>
              </w:rPr>
              <w:t xml:space="preserve">GBRMPA public interface of the permits database: </w:t>
            </w:r>
            <w:hyperlink r:id="rId332" w:tooltip="document link" w:history="1">
              <w:r w:rsidRPr="00E70A11">
                <w:rPr>
                  <w:rStyle w:val="Hyperlink"/>
                  <w:rFonts w:ascii="Arial Narrow" w:hAnsi="Arial Narrow"/>
                  <w:sz w:val="18"/>
                  <w:szCs w:val="18"/>
                </w:rPr>
                <w:t>http://www.gbrmpa.gov.au/corp_site/permits/pems_public/dsp_index.cfm</w:t>
              </w:r>
            </w:hyperlink>
          </w:p>
          <w:p w14:paraId="5761E82C" w14:textId="77777777" w:rsidR="00A56EE9" w:rsidRPr="00E70A11" w:rsidRDefault="00A56EE9" w:rsidP="00A11869">
            <w:pPr>
              <w:pStyle w:val="ListParagraph"/>
              <w:numPr>
                <w:ilvl w:val="0"/>
                <w:numId w:val="39"/>
              </w:numPr>
              <w:spacing w:after="200" w:line="276" w:lineRule="auto"/>
              <w:rPr>
                <w:rStyle w:val="BookTitle"/>
                <w:rFonts w:ascii="Arial Narrow" w:hAnsi="Arial Narrow"/>
                <w:sz w:val="18"/>
                <w:szCs w:val="18"/>
              </w:rPr>
            </w:pPr>
            <w:r>
              <w:rPr>
                <w:rStyle w:val="BookTitle"/>
                <w:rFonts w:ascii="Arial Narrow" w:hAnsi="Arial Narrow"/>
                <w:sz w:val="18"/>
                <w:szCs w:val="18"/>
              </w:rPr>
              <w:t xml:space="preserve">Permission system </w:t>
            </w:r>
            <w:hyperlink r:id="rId333" w:history="1">
              <w:r w:rsidRPr="00B33C03">
                <w:rPr>
                  <w:rStyle w:val="Hyperlink"/>
                  <w:rFonts w:ascii="Arial Narrow" w:hAnsi="Arial Narrow"/>
                  <w:sz w:val="18"/>
                  <w:szCs w:val="18"/>
                </w:rPr>
                <w:t>service charter</w:t>
              </w:r>
            </w:hyperlink>
          </w:p>
        </w:tc>
        <w:tc>
          <w:tcPr>
            <w:tcW w:w="1006" w:type="dxa"/>
            <w:tcBorders>
              <w:top w:val="single" w:sz="4" w:space="0" w:color="auto"/>
              <w:left w:val="single" w:sz="4" w:space="0" w:color="auto"/>
              <w:bottom w:val="single" w:sz="4" w:space="0" w:color="auto"/>
              <w:right w:val="single" w:sz="4" w:space="0" w:color="auto"/>
            </w:tcBorders>
          </w:tcPr>
          <w:p w14:paraId="5761E82D"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2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36"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30"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31"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32" w14:textId="77777777" w:rsidR="00A56EE9" w:rsidRPr="00E70A11" w:rsidRDefault="00A56EE9" w:rsidP="00A11869">
            <w:pPr>
              <w:pStyle w:val="ListParagraph"/>
              <w:numPr>
                <w:ilvl w:val="0"/>
                <w:numId w:val="264"/>
              </w:numPr>
              <w:spacing w:after="200" w:line="276" w:lineRule="auto"/>
              <w:rPr>
                <w:rStyle w:val="BookTitle"/>
                <w:rFonts w:ascii="Arial Narrow" w:hAnsi="Arial Narrow"/>
                <w:sz w:val="18"/>
                <w:szCs w:val="18"/>
              </w:rPr>
            </w:pPr>
            <w:r w:rsidRPr="00E70A11">
              <w:rPr>
                <w:rFonts w:ascii="Arial Narrow" w:hAnsi="Arial Narrow"/>
                <w:sz w:val="18"/>
                <w:szCs w:val="18"/>
              </w:rPr>
              <w:t>Although there is no specifically targeted program of training for GBRMPA staff, opportunities are available for staff to participate in general training as well as attending workshops, seminars and conferences related to tourism in the GBR</w:t>
            </w:r>
          </w:p>
        </w:tc>
        <w:tc>
          <w:tcPr>
            <w:tcW w:w="5231" w:type="dxa"/>
            <w:tcBorders>
              <w:top w:val="single" w:sz="4" w:space="0" w:color="auto"/>
              <w:left w:val="single" w:sz="4" w:space="0" w:color="auto"/>
              <w:bottom w:val="single" w:sz="4" w:space="0" w:color="auto"/>
              <w:right w:val="single" w:sz="4" w:space="0" w:color="auto"/>
            </w:tcBorders>
          </w:tcPr>
          <w:p w14:paraId="5761E833" w14:textId="77777777" w:rsidR="00A56EE9" w:rsidRPr="00E70A11" w:rsidRDefault="00A56EE9" w:rsidP="00A11869">
            <w:pPr>
              <w:pStyle w:val="ListParagraph"/>
              <w:numPr>
                <w:ilvl w:val="0"/>
                <w:numId w:val="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w:t>
            </w:r>
          </w:p>
        </w:tc>
        <w:tc>
          <w:tcPr>
            <w:tcW w:w="1006" w:type="dxa"/>
            <w:tcBorders>
              <w:top w:val="single" w:sz="4" w:space="0" w:color="auto"/>
              <w:left w:val="single" w:sz="4" w:space="0" w:color="auto"/>
              <w:bottom w:val="single" w:sz="4" w:space="0" w:color="auto"/>
              <w:right w:val="single" w:sz="4" w:space="0" w:color="auto"/>
            </w:tcBorders>
          </w:tcPr>
          <w:p w14:paraId="5761E834" w14:textId="77777777" w:rsidR="00A56EE9" w:rsidRPr="00E70A11" w:rsidRDefault="00A56EE9" w:rsidP="00BB6AD5">
            <w:pPr>
              <w:pStyle w:val="Tablebulletlist"/>
              <w:rPr>
                <w:rStyle w:val="BookTitle"/>
              </w:rPr>
            </w:pPr>
            <w:r w:rsidRPr="00E70A11">
              <w:rPr>
                <w:rStyle w:val="BookTitle"/>
              </w:rPr>
              <w:t>Limited</w:t>
            </w:r>
          </w:p>
        </w:tc>
        <w:tc>
          <w:tcPr>
            <w:tcW w:w="1215" w:type="dxa"/>
            <w:tcBorders>
              <w:top w:val="single" w:sz="4" w:space="0" w:color="auto"/>
              <w:left w:val="single" w:sz="4" w:space="0" w:color="auto"/>
              <w:bottom w:val="single" w:sz="4" w:space="0" w:color="auto"/>
              <w:right w:val="single" w:sz="4" w:space="0" w:color="auto"/>
            </w:tcBorders>
          </w:tcPr>
          <w:p w14:paraId="5761E83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42"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37"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commercial marine tourism is consistently implemented across the relevant jurisdictions</w:t>
            </w:r>
          </w:p>
        </w:tc>
        <w:tc>
          <w:tcPr>
            <w:tcW w:w="664" w:type="dxa"/>
            <w:tcBorders>
              <w:top w:val="single" w:sz="4" w:space="0" w:color="auto"/>
              <w:left w:val="single" w:sz="4" w:space="0" w:color="auto"/>
              <w:bottom w:val="single" w:sz="4" w:space="0" w:color="auto"/>
              <w:right w:val="single" w:sz="4" w:space="0" w:color="auto"/>
            </w:tcBorders>
          </w:tcPr>
          <w:p w14:paraId="5761E838"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39" w14:textId="77777777" w:rsidR="00A56EE9" w:rsidRPr="00E70A11" w:rsidRDefault="00A56EE9" w:rsidP="00A11869">
            <w:pPr>
              <w:pStyle w:val="ListParagraph"/>
              <w:numPr>
                <w:ilvl w:val="0"/>
                <w:numId w:val="264"/>
              </w:numPr>
              <w:spacing w:after="200" w:line="276" w:lineRule="auto"/>
              <w:rPr>
                <w:rFonts w:ascii="Arial Narrow" w:hAnsi="Arial Narrow"/>
                <w:b/>
                <w:sz w:val="18"/>
                <w:szCs w:val="18"/>
              </w:rPr>
            </w:pPr>
            <w:r w:rsidRPr="00E70A11">
              <w:rPr>
                <w:rFonts w:ascii="Arial Narrow" w:hAnsi="Arial Narrow"/>
                <w:sz w:val="18"/>
                <w:szCs w:val="18"/>
              </w:rPr>
              <w:t xml:space="preserve">Coordination between relevant agencies (GBRMPA, </w:t>
            </w:r>
            <w:r>
              <w:rPr>
                <w:rFonts w:ascii="Arial Narrow" w:hAnsi="Arial Narrow"/>
                <w:sz w:val="18"/>
                <w:szCs w:val="18"/>
              </w:rPr>
              <w:t>QPWS, QBFP</w:t>
            </w:r>
            <w:r w:rsidRPr="00E70A11">
              <w:rPr>
                <w:rFonts w:ascii="Arial Narrow" w:hAnsi="Arial Narrow"/>
                <w:sz w:val="18"/>
                <w:szCs w:val="18"/>
              </w:rPr>
              <w:t xml:space="preserve">, AMSA, MSQ, </w:t>
            </w:r>
            <w:r>
              <w:rPr>
                <w:rFonts w:ascii="Arial Narrow" w:hAnsi="Arial Narrow"/>
                <w:sz w:val="18"/>
                <w:szCs w:val="18"/>
              </w:rPr>
              <w:t xml:space="preserve">Queensland </w:t>
            </w:r>
            <w:r w:rsidRPr="00E70A11">
              <w:rPr>
                <w:rFonts w:ascii="Arial Narrow" w:hAnsi="Arial Narrow"/>
                <w:sz w:val="18"/>
                <w:szCs w:val="18"/>
              </w:rPr>
              <w:t>Water Police) to enforce Marine Park Acts, Regulations, Zoning Plans and Plans of Management is high</w:t>
            </w:r>
          </w:p>
          <w:p w14:paraId="5761E83A" w14:textId="77777777" w:rsidR="00A56EE9" w:rsidRPr="00E70A11" w:rsidRDefault="00A56EE9" w:rsidP="00A11869">
            <w:pPr>
              <w:pStyle w:val="ListParagraph"/>
              <w:numPr>
                <w:ilvl w:val="0"/>
                <w:numId w:val="264"/>
              </w:numPr>
              <w:spacing w:after="200" w:line="276" w:lineRule="auto"/>
              <w:rPr>
                <w:rFonts w:ascii="Arial Narrow" w:hAnsi="Arial Narrow"/>
                <w:b/>
                <w:sz w:val="18"/>
                <w:szCs w:val="18"/>
              </w:rPr>
            </w:pPr>
            <w:r w:rsidRPr="00E70A11">
              <w:rPr>
                <w:rFonts w:ascii="Arial Narrow" w:hAnsi="Arial Narrow"/>
                <w:sz w:val="18"/>
                <w:szCs w:val="18"/>
              </w:rPr>
              <w:t>Strong complementary legislative and governance base in place with State</w:t>
            </w:r>
            <w:r w:rsidRPr="00E70A11">
              <w:rPr>
                <w:rFonts w:ascii="Arial Narrow" w:hAnsi="Arial Narrow"/>
                <w:b/>
                <w:sz w:val="18"/>
                <w:szCs w:val="18"/>
              </w:rPr>
              <w:t xml:space="preserve"> </w:t>
            </w:r>
            <w:r w:rsidRPr="00E70A11">
              <w:rPr>
                <w:rFonts w:ascii="Arial Narrow" w:hAnsi="Arial Narrow"/>
                <w:sz w:val="18"/>
                <w:szCs w:val="18"/>
              </w:rPr>
              <w:t>Joint permitting and assessment process in place</w:t>
            </w:r>
          </w:p>
          <w:p w14:paraId="5761E83B" w14:textId="77777777" w:rsidR="00A56EE9" w:rsidRPr="00E70A11" w:rsidRDefault="00A56EE9" w:rsidP="00A11869">
            <w:pPr>
              <w:pStyle w:val="ListParagraph"/>
              <w:numPr>
                <w:ilvl w:val="0"/>
                <w:numId w:val="264"/>
              </w:numPr>
              <w:spacing w:after="200" w:line="276" w:lineRule="auto"/>
              <w:rPr>
                <w:rStyle w:val="BookTitle"/>
                <w:rFonts w:ascii="Arial Narrow" w:hAnsi="Arial Narrow"/>
                <w:sz w:val="18"/>
                <w:szCs w:val="18"/>
              </w:rPr>
            </w:pPr>
            <w:r w:rsidRPr="00E70A11">
              <w:rPr>
                <w:rFonts w:ascii="Arial Narrow" w:hAnsi="Arial Narrow"/>
                <w:sz w:val="18"/>
                <w:szCs w:val="18"/>
              </w:rPr>
              <w:t xml:space="preserve">Intergovernmental Agreement (updated in 2014) continues joint arrangements for permits, policies, compliance – all of which plan for and manage commercial marine tourism. An appendix was added in 2015 to incorporate the Reef 2050 Plan to further strengthen cross-jurisdictional management across the Reef. </w:t>
            </w:r>
          </w:p>
        </w:tc>
        <w:tc>
          <w:tcPr>
            <w:tcW w:w="5231" w:type="dxa"/>
            <w:tcBorders>
              <w:top w:val="single" w:sz="4" w:space="0" w:color="auto"/>
              <w:left w:val="single" w:sz="4" w:space="0" w:color="auto"/>
              <w:bottom w:val="single" w:sz="4" w:space="0" w:color="auto"/>
              <w:right w:val="single" w:sz="4" w:space="0" w:color="auto"/>
            </w:tcBorders>
          </w:tcPr>
          <w:p w14:paraId="5761E83C" w14:textId="172BC85F" w:rsidR="00A56EE9" w:rsidRPr="00E70A11" w:rsidRDefault="00A56EE9" w:rsidP="00A11869">
            <w:pPr>
              <w:pStyle w:val="ListParagraph"/>
              <w:numPr>
                <w:ilvl w:val="0"/>
                <w:numId w:val="88"/>
              </w:numPr>
              <w:spacing w:after="200" w:line="276" w:lineRule="auto"/>
              <w:rPr>
                <w:rFonts w:ascii="Arial Narrow" w:hAnsi="Arial Narrow"/>
                <w:sz w:val="18"/>
                <w:szCs w:val="18"/>
                <w:u w:val="single"/>
              </w:rPr>
            </w:pPr>
            <w:r w:rsidRPr="00E70A11">
              <w:rPr>
                <w:rFonts w:ascii="Arial Narrow" w:hAnsi="Arial Narrow"/>
                <w:sz w:val="18"/>
                <w:szCs w:val="18"/>
              </w:rPr>
              <w:t xml:space="preserve">Joint permitting system </w:t>
            </w:r>
            <w:hyperlink r:id="rId334" w:tooltip="document link" w:history="1">
              <w:r w:rsidRPr="00E70A11">
                <w:rPr>
                  <w:rStyle w:val="Hyperlink"/>
                  <w:rFonts w:ascii="Arial Narrow" w:hAnsi="Arial Narrow"/>
                  <w:sz w:val="18"/>
                  <w:szCs w:val="18"/>
                </w:rPr>
                <w:t>http://www.gbrmpa.gov.au/zoning-permits-and-plans/permits</w:t>
              </w:r>
            </w:hyperlink>
            <w:r w:rsidRPr="00E70A11">
              <w:rPr>
                <w:rFonts w:ascii="Arial Narrow" w:hAnsi="Arial Narrow"/>
                <w:sz w:val="18"/>
                <w:szCs w:val="18"/>
                <w:u w:val="single"/>
              </w:rPr>
              <w:t xml:space="preserve"> </w:t>
            </w:r>
          </w:p>
          <w:p w14:paraId="5761E83D" w14:textId="2238DF56" w:rsidR="00A56EE9" w:rsidRPr="00E70A11" w:rsidRDefault="00A56EE9" w:rsidP="00A11869">
            <w:pPr>
              <w:pStyle w:val="ListParagraph"/>
              <w:numPr>
                <w:ilvl w:val="0"/>
                <w:numId w:val="88"/>
              </w:numPr>
              <w:spacing w:after="200" w:line="276" w:lineRule="auto"/>
              <w:rPr>
                <w:rFonts w:ascii="Arial Narrow" w:hAnsi="Arial Narrow"/>
                <w:sz w:val="18"/>
                <w:szCs w:val="18"/>
                <w:u w:val="single"/>
              </w:rPr>
            </w:pPr>
            <w:r w:rsidRPr="00E70A11">
              <w:rPr>
                <w:rFonts w:ascii="Arial Narrow" w:hAnsi="Arial Narrow"/>
                <w:sz w:val="18"/>
                <w:szCs w:val="18"/>
              </w:rPr>
              <w:t xml:space="preserve">Compliance and enforcement </w:t>
            </w:r>
            <w:hyperlink r:id="rId335" w:tooltip="document link" w:history="1">
              <w:r w:rsidRPr="00E70A11">
                <w:rPr>
                  <w:rStyle w:val="Hyperlink"/>
                  <w:rFonts w:ascii="Arial Narrow" w:hAnsi="Arial Narrow"/>
                  <w:sz w:val="18"/>
                  <w:szCs w:val="18"/>
                </w:rPr>
                <w:t>http://www.gbrmpa.gov.au/about-the-reef/how-the-reefs-managed/field-management-of-the-great-barrier-reef-marine-park</w:t>
              </w:r>
            </w:hyperlink>
            <w:r w:rsidRPr="00E70A11">
              <w:rPr>
                <w:rFonts w:ascii="Arial Narrow" w:hAnsi="Arial Narrow"/>
                <w:sz w:val="18"/>
                <w:szCs w:val="18"/>
                <w:u w:val="single"/>
              </w:rPr>
              <w:t xml:space="preserve"> </w:t>
            </w:r>
          </w:p>
          <w:p w14:paraId="5761E83E" w14:textId="77777777" w:rsidR="00A56EE9" w:rsidRPr="00E70A11" w:rsidRDefault="00A56EE9" w:rsidP="00A11869">
            <w:pPr>
              <w:pStyle w:val="ListParagraph"/>
              <w:numPr>
                <w:ilvl w:val="0"/>
                <w:numId w:val="88"/>
              </w:numPr>
              <w:spacing w:after="200" w:line="276" w:lineRule="auto"/>
              <w:rPr>
                <w:rFonts w:ascii="Arial Narrow" w:hAnsi="Arial Narrow"/>
                <w:sz w:val="18"/>
                <w:szCs w:val="18"/>
                <w:u w:val="single"/>
              </w:rPr>
            </w:pPr>
            <w:r w:rsidRPr="00E70A11">
              <w:rPr>
                <w:rFonts w:ascii="Arial Narrow" w:hAnsi="Arial Narrow"/>
                <w:sz w:val="18"/>
                <w:szCs w:val="18"/>
              </w:rPr>
              <w:t>Intergovernmental Agreement</w:t>
            </w:r>
          </w:p>
          <w:p w14:paraId="5761E83F" w14:textId="77777777" w:rsidR="00A56EE9" w:rsidRPr="00E70A11" w:rsidRDefault="00A56EE9" w:rsidP="00BB6AD5">
            <w:pPr>
              <w:pStyle w:val="ListParagraph"/>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840"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4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4D"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43"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44"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845" w14:textId="77777777" w:rsidR="00A56EE9" w:rsidRPr="00E70A11" w:rsidRDefault="00A56EE9" w:rsidP="00A11869">
            <w:pPr>
              <w:pStyle w:val="ListParagraph"/>
              <w:numPr>
                <w:ilvl w:val="0"/>
                <w:numId w:val="264"/>
              </w:numPr>
              <w:spacing w:after="200" w:line="276" w:lineRule="auto"/>
              <w:rPr>
                <w:rFonts w:ascii="Arial Narrow" w:hAnsi="Arial Narrow"/>
                <w:sz w:val="18"/>
                <w:szCs w:val="18"/>
              </w:rPr>
            </w:pPr>
            <w:r w:rsidRPr="00E70A11">
              <w:rPr>
                <w:rFonts w:ascii="Arial Narrow" w:hAnsi="Arial Narrow"/>
                <w:sz w:val="18"/>
                <w:szCs w:val="18"/>
              </w:rPr>
              <w:t>Statutory processes are in place for appealing tourism permit decisions (reconsideration - internal review and then AAT – Cwth, QCAT - QLD)</w:t>
            </w:r>
          </w:p>
          <w:p w14:paraId="5761E846" w14:textId="77777777" w:rsidR="00A56EE9" w:rsidRPr="00E70A11" w:rsidRDefault="00A56EE9" w:rsidP="00A11869">
            <w:pPr>
              <w:pStyle w:val="ListParagraph"/>
              <w:numPr>
                <w:ilvl w:val="0"/>
                <w:numId w:val="264"/>
              </w:numPr>
              <w:spacing w:after="200" w:line="276" w:lineRule="auto"/>
              <w:rPr>
                <w:rFonts w:ascii="Arial Narrow" w:hAnsi="Arial Narrow"/>
                <w:sz w:val="18"/>
                <w:szCs w:val="18"/>
              </w:rPr>
            </w:pPr>
            <w:r w:rsidRPr="00E70A11">
              <w:rPr>
                <w:rFonts w:ascii="Arial Narrow" w:hAnsi="Arial Narrow"/>
                <w:sz w:val="18"/>
                <w:szCs w:val="18"/>
              </w:rPr>
              <w:t>Regular meetings of Government agencies, industry groups (AMPTO, etc) and advisory committees (TRAC, LMAC) are used as a forum to resolve differing views</w:t>
            </w:r>
          </w:p>
          <w:p w14:paraId="5761E847" w14:textId="77777777" w:rsidR="00A56EE9" w:rsidRPr="00E70A11" w:rsidRDefault="00A56EE9" w:rsidP="00A11869">
            <w:pPr>
              <w:pStyle w:val="ListParagraph"/>
              <w:numPr>
                <w:ilvl w:val="0"/>
                <w:numId w:val="264"/>
              </w:numPr>
              <w:spacing w:after="200" w:line="276" w:lineRule="auto"/>
              <w:rPr>
                <w:rStyle w:val="BookTitle"/>
                <w:rFonts w:ascii="Arial Narrow" w:hAnsi="Arial Narrow"/>
                <w:sz w:val="18"/>
                <w:szCs w:val="18"/>
              </w:rPr>
            </w:pPr>
            <w:r w:rsidRPr="00E70A11">
              <w:rPr>
                <w:rFonts w:ascii="Arial Narrow" w:hAnsi="Arial Narrow"/>
                <w:sz w:val="18"/>
                <w:szCs w:val="18"/>
              </w:rPr>
              <w:t>Consultation for site arrangements also provide opportunities to resolve differing views or conflicts.</w:t>
            </w:r>
          </w:p>
        </w:tc>
        <w:tc>
          <w:tcPr>
            <w:tcW w:w="5231" w:type="dxa"/>
            <w:tcBorders>
              <w:top w:val="single" w:sz="4" w:space="0" w:color="auto"/>
              <w:left w:val="single" w:sz="4" w:space="0" w:color="auto"/>
              <w:bottom w:val="single" w:sz="4" w:space="0" w:color="auto"/>
              <w:right w:val="single" w:sz="4" w:space="0" w:color="auto"/>
            </w:tcBorders>
          </w:tcPr>
          <w:p w14:paraId="5761E848" w14:textId="77777777" w:rsidR="00A56EE9" w:rsidRDefault="00A56EE9" w:rsidP="00A11869">
            <w:pPr>
              <w:pStyle w:val="ListParagraph"/>
              <w:numPr>
                <w:ilvl w:val="0"/>
                <w:numId w:val="8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Stakeholders and workshops</w:t>
            </w:r>
          </w:p>
          <w:p w14:paraId="5761E849" w14:textId="77777777" w:rsidR="00A56EE9" w:rsidRDefault="00A56EE9" w:rsidP="00A11869">
            <w:pPr>
              <w:pStyle w:val="ListParagraph"/>
              <w:numPr>
                <w:ilvl w:val="0"/>
                <w:numId w:val="88"/>
              </w:numPr>
              <w:spacing w:after="200" w:line="276" w:lineRule="auto"/>
              <w:rPr>
                <w:rStyle w:val="BookTitle"/>
                <w:rFonts w:ascii="Arial Narrow" w:hAnsi="Arial Narrow"/>
                <w:sz w:val="18"/>
                <w:szCs w:val="18"/>
              </w:rPr>
            </w:pPr>
            <w:r>
              <w:rPr>
                <w:rStyle w:val="BookTitle"/>
                <w:rFonts w:ascii="Arial Narrow" w:hAnsi="Arial Narrow"/>
                <w:sz w:val="18"/>
                <w:szCs w:val="18"/>
              </w:rPr>
              <w:t>TRAC</w:t>
            </w:r>
          </w:p>
          <w:p w14:paraId="5761E84A" w14:textId="77777777" w:rsidR="00A56EE9" w:rsidRPr="00E70A11" w:rsidRDefault="00A56EE9" w:rsidP="00A11869">
            <w:pPr>
              <w:pStyle w:val="ListParagraph"/>
              <w:numPr>
                <w:ilvl w:val="0"/>
                <w:numId w:val="88"/>
              </w:numPr>
              <w:spacing w:after="200" w:line="276" w:lineRule="auto"/>
              <w:rPr>
                <w:rStyle w:val="BookTitle"/>
                <w:rFonts w:ascii="Arial Narrow" w:hAnsi="Arial Narrow"/>
                <w:sz w:val="18"/>
                <w:szCs w:val="18"/>
              </w:rPr>
            </w:pPr>
            <w:r>
              <w:rPr>
                <w:rStyle w:val="BookTitle"/>
                <w:rFonts w:ascii="Arial Narrow" w:hAnsi="Arial Narrow"/>
                <w:sz w:val="18"/>
                <w:szCs w:val="18"/>
              </w:rPr>
              <w:t>LMACs</w:t>
            </w:r>
          </w:p>
        </w:tc>
        <w:tc>
          <w:tcPr>
            <w:tcW w:w="1006" w:type="dxa"/>
            <w:tcBorders>
              <w:top w:val="single" w:sz="4" w:space="0" w:color="auto"/>
              <w:left w:val="single" w:sz="4" w:space="0" w:color="auto"/>
              <w:bottom w:val="single" w:sz="4" w:space="0" w:color="auto"/>
              <w:right w:val="single" w:sz="4" w:space="0" w:color="auto"/>
            </w:tcBorders>
          </w:tcPr>
          <w:p w14:paraId="5761E84B"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4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61"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4E"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commercial marine tourism are appropriately considered.</w:t>
            </w:r>
          </w:p>
        </w:tc>
        <w:tc>
          <w:tcPr>
            <w:tcW w:w="664" w:type="dxa"/>
            <w:tcBorders>
              <w:top w:val="single" w:sz="4" w:space="0" w:color="auto"/>
              <w:left w:val="single" w:sz="4" w:space="0" w:color="auto"/>
              <w:bottom w:val="single" w:sz="4" w:space="0" w:color="auto"/>
              <w:right w:val="single" w:sz="4" w:space="0" w:color="auto"/>
            </w:tcBorders>
          </w:tcPr>
          <w:p w14:paraId="5761E84F"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50" w14:textId="77777777" w:rsidR="00A56EE9" w:rsidRPr="00E70A11" w:rsidRDefault="00A56EE9" w:rsidP="00A11869">
            <w:pPr>
              <w:pStyle w:val="ListParagraph"/>
              <w:numPr>
                <w:ilvl w:val="0"/>
                <w:numId w:val="264"/>
              </w:numPr>
              <w:spacing w:after="200" w:line="276" w:lineRule="auto"/>
              <w:rPr>
                <w:rFonts w:ascii="Arial Narrow" w:hAnsi="Arial Narrow"/>
                <w:sz w:val="18"/>
                <w:szCs w:val="18"/>
              </w:rPr>
            </w:pPr>
            <w:r w:rsidRPr="00E70A11">
              <w:rPr>
                <w:rFonts w:ascii="Arial Narrow" w:hAnsi="Arial Narrow"/>
                <w:sz w:val="18"/>
                <w:szCs w:val="18"/>
              </w:rPr>
              <w:t>Research on tourism impacts has previously been well documented, and current research has focussed on better understanding the industry and its social and economic values including the value of certain species and activities to the industry</w:t>
            </w:r>
          </w:p>
          <w:p w14:paraId="5761E851" w14:textId="77777777" w:rsidR="00A56EE9" w:rsidRPr="00E70A11" w:rsidRDefault="00A56EE9" w:rsidP="00A11869">
            <w:pPr>
              <w:pStyle w:val="ListParagraph"/>
              <w:numPr>
                <w:ilvl w:val="0"/>
                <w:numId w:val="264"/>
              </w:numPr>
              <w:spacing w:after="200" w:line="276" w:lineRule="auto"/>
              <w:rPr>
                <w:rFonts w:ascii="Arial Narrow" w:hAnsi="Arial Narrow"/>
                <w:sz w:val="18"/>
                <w:szCs w:val="18"/>
              </w:rPr>
            </w:pPr>
            <w:r w:rsidRPr="00E70A11">
              <w:rPr>
                <w:rFonts w:ascii="Arial Narrow" w:hAnsi="Arial Narrow"/>
                <w:sz w:val="18"/>
                <w:szCs w:val="18"/>
              </w:rPr>
              <w:t>Cumulative impacts from tourism are generally dealt with through statutory instruments such as Plans of Management or policy such as</w:t>
            </w:r>
            <w:hyperlink r:id="rId336" w:history="1"/>
            <w:r w:rsidRPr="00E70A11">
              <w:rPr>
                <w:rFonts w:ascii="Arial Narrow" w:hAnsi="Arial Narrow"/>
                <w:sz w:val="18"/>
                <w:szCs w:val="18"/>
              </w:rPr>
              <w:t xml:space="preserve"> site management plans.</w:t>
            </w:r>
          </w:p>
          <w:p w14:paraId="5761E852" w14:textId="77777777" w:rsidR="00A56EE9" w:rsidRPr="00E70A11" w:rsidRDefault="00A56EE9" w:rsidP="00A11869">
            <w:pPr>
              <w:pStyle w:val="ListParagraph"/>
              <w:numPr>
                <w:ilvl w:val="0"/>
                <w:numId w:val="264"/>
              </w:numPr>
              <w:spacing w:after="200" w:line="276" w:lineRule="auto"/>
              <w:rPr>
                <w:rFonts w:ascii="Arial Narrow" w:hAnsi="Arial Narrow"/>
                <w:sz w:val="18"/>
                <w:szCs w:val="18"/>
              </w:rPr>
            </w:pPr>
            <w:r w:rsidRPr="00E70A11">
              <w:rPr>
                <w:rFonts w:ascii="Arial Narrow" w:hAnsi="Arial Narrow"/>
                <w:sz w:val="18"/>
                <w:szCs w:val="18"/>
              </w:rPr>
              <w:t>Marine Park permissions include provisions to limit cumulative impacts including 2 visits in any 7 day period, 50 days to a location with a booking in high use areas within the Plans of Management?</w:t>
            </w:r>
          </w:p>
          <w:p w14:paraId="5761E853" w14:textId="77777777" w:rsidR="00A56EE9" w:rsidRPr="00E70A11" w:rsidRDefault="00A56EE9" w:rsidP="00A11869">
            <w:pPr>
              <w:pStyle w:val="ListParagraph"/>
              <w:numPr>
                <w:ilvl w:val="0"/>
                <w:numId w:val="264"/>
              </w:numPr>
              <w:spacing w:after="200" w:line="276" w:lineRule="auto"/>
              <w:rPr>
                <w:rFonts w:ascii="Arial Narrow" w:hAnsi="Arial Narrow"/>
                <w:sz w:val="18"/>
                <w:szCs w:val="18"/>
              </w:rPr>
            </w:pPr>
            <w:r w:rsidRPr="00E70A11">
              <w:rPr>
                <w:rFonts w:ascii="Arial Narrow" w:hAnsi="Arial Narrow"/>
                <w:sz w:val="18"/>
                <w:szCs w:val="18"/>
              </w:rPr>
              <w:t>GBRMP Regulations provide the ability to review/change tourism permit conditions as necessary – this would include as cumulative impacts become obvious. Similar provisions apply under State Marine Park legislation.</w:t>
            </w:r>
          </w:p>
          <w:p w14:paraId="5761E854" w14:textId="77777777" w:rsidR="00A56EE9" w:rsidRPr="00E70A11" w:rsidRDefault="00A56EE9" w:rsidP="00A11869">
            <w:pPr>
              <w:pStyle w:val="ListParagraph"/>
              <w:numPr>
                <w:ilvl w:val="0"/>
                <w:numId w:val="264"/>
              </w:numPr>
              <w:spacing w:after="200" w:line="276" w:lineRule="auto"/>
              <w:rPr>
                <w:rFonts w:ascii="Arial Narrow" w:hAnsi="Arial Narrow"/>
                <w:sz w:val="18"/>
                <w:szCs w:val="18"/>
              </w:rPr>
            </w:pPr>
            <w:r w:rsidRPr="00E70A11">
              <w:rPr>
                <w:rFonts w:ascii="Arial Narrow" w:hAnsi="Arial Narrow"/>
                <w:sz w:val="18"/>
                <w:szCs w:val="18"/>
              </w:rPr>
              <w:t>The GBRMPA policy “Managing Tourism Permissions” limits the latency associated with unused permits, and thereby potential cumulative impacts, by implementing use it or lose it principles.</w:t>
            </w:r>
          </w:p>
          <w:p w14:paraId="5761E855" w14:textId="77777777" w:rsidR="00A56EE9" w:rsidRPr="00E70A11" w:rsidRDefault="00A56EE9" w:rsidP="00A11869">
            <w:pPr>
              <w:pStyle w:val="ListParagraph"/>
              <w:numPr>
                <w:ilvl w:val="0"/>
                <w:numId w:val="264"/>
              </w:numPr>
              <w:spacing w:after="200" w:line="276" w:lineRule="auto"/>
              <w:rPr>
                <w:rFonts w:ascii="Arial Narrow" w:hAnsi="Arial Narrow"/>
                <w:sz w:val="18"/>
                <w:szCs w:val="18"/>
              </w:rPr>
            </w:pPr>
            <w:r w:rsidRPr="00E70A11">
              <w:rPr>
                <w:rFonts w:ascii="Arial Narrow" w:hAnsi="Arial Narrow"/>
                <w:sz w:val="18"/>
                <w:szCs w:val="18"/>
              </w:rPr>
              <w:t xml:space="preserve">In 2016-17 GBRMPA reviewed and improved its permissions system, creating numerous assessment guidelines to assist with the consistent and comprehensive assessment of impacts from activities including marine tourism. </w:t>
            </w:r>
          </w:p>
          <w:p w14:paraId="5761E856" w14:textId="77777777" w:rsidR="00A56EE9" w:rsidRPr="00E70A11" w:rsidRDefault="00A56EE9" w:rsidP="00A11869">
            <w:pPr>
              <w:pStyle w:val="ListParagraph"/>
              <w:numPr>
                <w:ilvl w:val="0"/>
                <w:numId w:val="264"/>
              </w:numPr>
              <w:spacing w:after="200" w:line="276" w:lineRule="auto"/>
              <w:rPr>
                <w:rFonts w:ascii="Arial Narrow" w:hAnsi="Arial Narrow"/>
                <w:sz w:val="18"/>
                <w:szCs w:val="18"/>
              </w:rPr>
            </w:pPr>
            <w:r w:rsidRPr="00E70A11">
              <w:rPr>
                <w:rFonts w:ascii="Arial Narrow" w:hAnsi="Arial Narrow"/>
                <w:sz w:val="18"/>
                <w:szCs w:val="18"/>
              </w:rPr>
              <w:t xml:space="preserve">The review of tourism policies also take into consideration impacts of tourism. </w:t>
            </w:r>
          </w:p>
          <w:p w14:paraId="5761E857" w14:textId="77777777" w:rsidR="00A56EE9" w:rsidRPr="00E70A11" w:rsidRDefault="00A56EE9" w:rsidP="00A11869">
            <w:pPr>
              <w:pStyle w:val="ListParagraph"/>
              <w:numPr>
                <w:ilvl w:val="1"/>
                <w:numId w:val="264"/>
              </w:numPr>
              <w:spacing w:after="200" w:line="276" w:lineRule="auto"/>
              <w:rPr>
                <w:rFonts w:ascii="Arial Narrow" w:hAnsi="Arial Narrow"/>
                <w:sz w:val="18"/>
                <w:szCs w:val="18"/>
              </w:rPr>
            </w:pPr>
            <w:r w:rsidRPr="00E70A11">
              <w:rPr>
                <w:rFonts w:ascii="Arial Narrow" w:hAnsi="Arial Narrow"/>
                <w:sz w:val="18"/>
                <w:szCs w:val="18"/>
              </w:rPr>
              <w:t>The policy on Moorings in the Great Barrier Reef.</w:t>
            </w:r>
            <w:r>
              <w:rPr>
                <w:rFonts w:ascii="Arial Narrow" w:hAnsi="Arial Narrow"/>
                <w:sz w:val="18"/>
                <w:szCs w:val="18"/>
              </w:rPr>
              <w:t xml:space="preserve"> </w:t>
            </w:r>
          </w:p>
          <w:p w14:paraId="5761E858" w14:textId="77777777" w:rsidR="00A56EE9" w:rsidRPr="00E70A11" w:rsidRDefault="00A56EE9" w:rsidP="00A11869">
            <w:pPr>
              <w:pStyle w:val="ListParagraph"/>
              <w:numPr>
                <w:ilvl w:val="1"/>
                <w:numId w:val="264"/>
              </w:numPr>
              <w:spacing w:after="200" w:line="276" w:lineRule="auto"/>
              <w:rPr>
                <w:rFonts w:ascii="Arial Narrow" w:hAnsi="Arial Narrow"/>
                <w:sz w:val="18"/>
                <w:szCs w:val="18"/>
              </w:rPr>
            </w:pPr>
            <w:r w:rsidRPr="00E70A11">
              <w:rPr>
                <w:rFonts w:ascii="Arial Narrow" w:hAnsi="Arial Narrow"/>
                <w:sz w:val="18"/>
                <w:szCs w:val="18"/>
              </w:rPr>
              <w:t>The draft Cruise ship policy has been through public consultation and been to MPA in September 2017 with only minor amendments needed to finalise it.</w:t>
            </w:r>
          </w:p>
          <w:p w14:paraId="5761E859" w14:textId="77777777" w:rsidR="00A56EE9" w:rsidRPr="00E70A11" w:rsidRDefault="00A56EE9" w:rsidP="00A11869">
            <w:pPr>
              <w:pStyle w:val="ListParagraph"/>
              <w:numPr>
                <w:ilvl w:val="1"/>
                <w:numId w:val="264"/>
              </w:numPr>
              <w:spacing w:after="200" w:line="276" w:lineRule="auto"/>
              <w:rPr>
                <w:rStyle w:val="BookTitle"/>
                <w:rFonts w:ascii="Arial Narrow" w:hAnsi="Arial Narrow"/>
                <w:sz w:val="18"/>
                <w:szCs w:val="18"/>
              </w:rPr>
            </w:pPr>
            <w:r w:rsidRPr="00E70A11">
              <w:rPr>
                <w:rFonts w:ascii="Arial Narrow" w:hAnsi="Arial Narrow"/>
                <w:sz w:val="18"/>
                <w:szCs w:val="18"/>
              </w:rPr>
              <w:t>A review has commenced for the policy on Managing Tourism Permissions (including Allocation, Latency and Tenure).</w:t>
            </w:r>
          </w:p>
        </w:tc>
        <w:tc>
          <w:tcPr>
            <w:tcW w:w="5231" w:type="dxa"/>
            <w:tcBorders>
              <w:top w:val="single" w:sz="4" w:space="0" w:color="auto"/>
              <w:left w:val="single" w:sz="4" w:space="0" w:color="auto"/>
              <w:bottom w:val="single" w:sz="4" w:space="0" w:color="auto"/>
              <w:right w:val="single" w:sz="4" w:space="0" w:color="auto"/>
            </w:tcBorders>
          </w:tcPr>
          <w:p w14:paraId="5761E85A" w14:textId="7F0F6FA0" w:rsidR="00A56EE9" w:rsidRPr="00E70A11" w:rsidRDefault="00A56EE9" w:rsidP="00A11869">
            <w:pPr>
              <w:pStyle w:val="ListParagraph"/>
              <w:numPr>
                <w:ilvl w:val="0"/>
                <w:numId w:val="24"/>
              </w:numPr>
              <w:spacing w:after="200" w:line="276" w:lineRule="auto"/>
              <w:rPr>
                <w:rFonts w:ascii="Arial Narrow" w:hAnsi="Arial Narrow"/>
                <w:sz w:val="18"/>
                <w:szCs w:val="18"/>
                <w:lang w:val="fr-FR"/>
              </w:rPr>
            </w:pPr>
            <w:r w:rsidRPr="00E70A11">
              <w:rPr>
                <w:rFonts w:ascii="Arial Narrow" w:hAnsi="Arial Narrow"/>
                <w:sz w:val="18"/>
                <w:szCs w:val="18"/>
                <w:lang w:val="fr-FR"/>
              </w:rPr>
              <w:t xml:space="preserve">Site management arrangements - </w:t>
            </w:r>
            <w:hyperlink r:id="rId337" w:tooltip="document link" w:history="1">
              <w:r w:rsidRPr="00E70A11">
                <w:rPr>
                  <w:rStyle w:val="Hyperlink"/>
                  <w:rFonts w:ascii="Arial Narrow" w:hAnsi="Arial Narrow"/>
                  <w:sz w:val="18"/>
                  <w:szCs w:val="18"/>
                  <w:lang w:val="fr-FR"/>
                </w:rPr>
                <w:t>http://www.gbrmpa.gov.au/corp_site/management/site_management</w:t>
              </w:r>
            </w:hyperlink>
          </w:p>
          <w:p w14:paraId="5761E85B" w14:textId="225AF805"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Policies – Managing tourism permissions– </w:t>
            </w:r>
            <w:hyperlink r:id="rId338" w:tooltip="document link" w:history="1">
              <w:r w:rsidRPr="00E70A11">
                <w:rPr>
                  <w:rStyle w:val="Hyperlink"/>
                  <w:rFonts w:ascii="Arial Narrow" w:hAnsi="Arial Narrow"/>
                  <w:sz w:val="18"/>
                  <w:szCs w:val="18"/>
                </w:rPr>
                <w:t>http://www.gbrmpa.gov.au/corp_site/key_issues/tourism/management/policies/permits_policy</w:t>
              </w:r>
            </w:hyperlink>
            <w:r w:rsidRPr="00E70A11">
              <w:rPr>
                <w:rFonts w:ascii="Arial Narrow" w:hAnsi="Arial Narrow"/>
                <w:sz w:val="18"/>
                <w:szCs w:val="18"/>
              </w:rPr>
              <w:t xml:space="preserve"> </w:t>
            </w:r>
          </w:p>
          <w:p w14:paraId="5761E85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39" w:history="1">
              <w:r w:rsidR="00A56EE9" w:rsidRPr="00E70A11">
                <w:rPr>
                  <w:rStyle w:val="Hyperlink"/>
                  <w:rFonts w:ascii="Arial Narrow" w:hAnsi="Arial Narrow"/>
                  <w:sz w:val="18"/>
                  <w:szCs w:val="18"/>
                </w:rPr>
                <w:t>Updated Permission System and Guidelines</w:t>
              </w:r>
            </w:hyperlink>
          </w:p>
          <w:p w14:paraId="5761E85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40" w:history="1">
              <w:r w:rsidR="00A56EE9" w:rsidRPr="00E70A11">
                <w:rPr>
                  <w:rStyle w:val="Hyperlink"/>
                  <w:rFonts w:ascii="Arial Narrow" w:hAnsi="Arial Narrow"/>
                  <w:sz w:val="18"/>
                  <w:szCs w:val="18"/>
                </w:rPr>
                <w:t>Permissions System Policy</w:t>
              </w:r>
            </w:hyperlink>
          </w:p>
          <w:p w14:paraId="5761E85E" w14:textId="77777777" w:rsidR="00A56EE9" w:rsidRPr="00E70A11" w:rsidRDefault="00A56EE9" w:rsidP="00BB6AD5">
            <w:pPr>
              <w:pStyle w:val="ListParagraph"/>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85F" w14:textId="77777777" w:rsidR="00A56EE9" w:rsidRPr="00E70A11" w:rsidRDefault="00A56EE9" w:rsidP="00BB6AD5">
            <w:pPr>
              <w:pStyle w:val="Tablebulletlist"/>
              <w:rPr>
                <w:rStyle w:val="BookTitle"/>
              </w:rPr>
            </w:pPr>
            <w:r w:rsidRPr="00E70A11">
              <w:rPr>
                <w:rStyle w:val="BookTitle"/>
              </w:rPr>
              <w:t>Limited</w:t>
            </w:r>
          </w:p>
        </w:tc>
        <w:tc>
          <w:tcPr>
            <w:tcW w:w="1215" w:type="dxa"/>
            <w:tcBorders>
              <w:top w:val="single" w:sz="4" w:space="0" w:color="auto"/>
              <w:left w:val="single" w:sz="4" w:space="0" w:color="auto"/>
              <w:bottom w:val="single" w:sz="4" w:space="0" w:color="auto"/>
              <w:right w:val="single" w:sz="4" w:space="0" w:color="auto"/>
            </w:tcBorders>
          </w:tcPr>
          <w:p w14:paraId="5761E86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70"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62"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63"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864" w14:textId="77777777" w:rsidR="00A56EE9" w:rsidRPr="00E70A11" w:rsidRDefault="00A56EE9" w:rsidP="00A11869">
            <w:pPr>
              <w:pStyle w:val="ListParagraph"/>
              <w:numPr>
                <w:ilvl w:val="0"/>
                <w:numId w:val="265"/>
              </w:numPr>
              <w:spacing w:after="200" w:line="276" w:lineRule="auto"/>
              <w:rPr>
                <w:rFonts w:ascii="Arial Narrow" w:hAnsi="Arial Narrow"/>
                <w:sz w:val="18"/>
                <w:szCs w:val="18"/>
              </w:rPr>
            </w:pPr>
            <w:r w:rsidRPr="00E70A11">
              <w:rPr>
                <w:rFonts w:ascii="Arial Narrow" w:hAnsi="Arial Narrow"/>
                <w:sz w:val="18"/>
                <w:szCs w:val="18"/>
                <w:lang w:val="en-US"/>
              </w:rPr>
              <w:t>The Authority endeavours to build on best available biophysical and monitoring research information to make relevant management decisions, including monitoring information provided by tourism operators themselves through the Eye on the Reef Program.</w:t>
            </w:r>
          </w:p>
          <w:p w14:paraId="5761E865" w14:textId="77777777" w:rsidR="00A56EE9" w:rsidRPr="00E70A11" w:rsidRDefault="00A56EE9" w:rsidP="00A11869">
            <w:pPr>
              <w:pStyle w:val="ListParagraph"/>
              <w:numPr>
                <w:ilvl w:val="0"/>
                <w:numId w:val="265"/>
              </w:numPr>
              <w:spacing w:after="200" w:line="276" w:lineRule="auto"/>
              <w:rPr>
                <w:rFonts w:ascii="Arial Narrow" w:hAnsi="Arial Narrow"/>
                <w:sz w:val="18"/>
                <w:szCs w:val="18"/>
                <w:lang w:val="en"/>
              </w:rPr>
            </w:pPr>
            <w:r w:rsidRPr="00E70A11">
              <w:rPr>
                <w:rFonts w:ascii="Arial Narrow" w:hAnsi="Arial Narrow"/>
                <w:sz w:val="18"/>
                <w:szCs w:val="18"/>
                <w:lang w:val="en"/>
              </w:rPr>
              <w:t xml:space="preserve">The Great Barrier Reef is currently experiencing a crown of thorns starfish outbreak (which initiated in ~2011). The Queensland Parks and Wildlife Service (QPWS), through the jointly funded State and Commonwealth Field Management Program, undertake extensive broad scale surveillance of crown-of-thorns starfish populations on individual reefs. </w:t>
            </w:r>
          </w:p>
          <w:p w14:paraId="5761E866" w14:textId="77777777" w:rsidR="00A56EE9" w:rsidRPr="00E70A11" w:rsidRDefault="00A56EE9" w:rsidP="00A11869">
            <w:pPr>
              <w:pStyle w:val="ListParagraph"/>
              <w:numPr>
                <w:ilvl w:val="0"/>
                <w:numId w:val="265"/>
              </w:numPr>
              <w:spacing w:after="200" w:line="276" w:lineRule="auto"/>
              <w:rPr>
                <w:rStyle w:val="BookTitle"/>
                <w:rFonts w:ascii="Arial Narrow" w:hAnsi="Arial Narrow"/>
                <w:sz w:val="18"/>
                <w:szCs w:val="18"/>
              </w:rPr>
            </w:pPr>
            <w:r w:rsidRPr="00E70A11">
              <w:rPr>
                <w:rFonts w:ascii="Arial Narrow" w:hAnsi="Arial Narrow"/>
                <w:sz w:val="18"/>
                <w:szCs w:val="18"/>
                <w:lang w:val="en"/>
              </w:rPr>
              <w:t>Researchers, tourism operators and the public also provide sightings of crown-of-thorns starfish and general reef condition through the GBRMPA’s Eye on the Reef program</w:t>
            </w:r>
          </w:p>
        </w:tc>
        <w:tc>
          <w:tcPr>
            <w:tcW w:w="5231" w:type="dxa"/>
            <w:tcBorders>
              <w:top w:val="single" w:sz="4" w:space="0" w:color="auto"/>
              <w:left w:val="single" w:sz="4" w:space="0" w:color="auto"/>
              <w:bottom w:val="single" w:sz="4" w:space="0" w:color="auto"/>
              <w:right w:val="single" w:sz="4" w:space="0" w:color="auto"/>
            </w:tcBorders>
          </w:tcPr>
          <w:p w14:paraId="5761E867" w14:textId="77777777" w:rsidR="00A56EE9" w:rsidRPr="00E70A11" w:rsidRDefault="00A56EE9" w:rsidP="00A11869">
            <w:pPr>
              <w:pStyle w:val="ListParagraph"/>
              <w:numPr>
                <w:ilvl w:val="0"/>
                <w:numId w:val="89"/>
              </w:numPr>
              <w:spacing w:after="200" w:line="276" w:lineRule="auto"/>
              <w:rPr>
                <w:rFonts w:ascii="Arial Narrow" w:hAnsi="Arial Narrow"/>
                <w:sz w:val="18"/>
                <w:szCs w:val="18"/>
              </w:rPr>
            </w:pPr>
            <w:r w:rsidRPr="00E70A11">
              <w:rPr>
                <w:rFonts w:ascii="Arial Narrow" w:hAnsi="Arial Narrow"/>
                <w:sz w:val="18"/>
                <w:szCs w:val="18"/>
              </w:rPr>
              <w:t>Eye on the Reef Program (see PR1)</w:t>
            </w:r>
          </w:p>
          <w:p w14:paraId="5761E868" w14:textId="77777777" w:rsidR="00A56EE9" w:rsidRPr="00E70A11" w:rsidRDefault="00A56EE9" w:rsidP="00A11869">
            <w:pPr>
              <w:pStyle w:val="ListParagraph"/>
              <w:numPr>
                <w:ilvl w:val="0"/>
                <w:numId w:val="89"/>
              </w:numPr>
              <w:spacing w:after="200" w:line="276" w:lineRule="auto"/>
              <w:rPr>
                <w:rFonts w:ascii="Arial Narrow" w:hAnsi="Arial Narrow"/>
                <w:sz w:val="18"/>
                <w:szCs w:val="18"/>
              </w:rPr>
            </w:pPr>
            <w:r w:rsidRPr="00E70A11">
              <w:rPr>
                <w:rFonts w:ascii="Arial Narrow" w:hAnsi="Arial Narrow"/>
                <w:sz w:val="18"/>
                <w:szCs w:val="18"/>
              </w:rPr>
              <w:t xml:space="preserve">Economic value - (see Key Document 1: Access Economics) </w:t>
            </w:r>
          </w:p>
          <w:p w14:paraId="5761E869" w14:textId="77777777" w:rsidR="00A56EE9" w:rsidRPr="00E70A11" w:rsidRDefault="00A56EE9" w:rsidP="00A11869">
            <w:pPr>
              <w:pStyle w:val="ListParagraph"/>
              <w:numPr>
                <w:ilvl w:val="0"/>
                <w:numId w:val="89"/>
              </w:numPr>
              <w:spacing w:after="200" w:line="276" w:lineRule="auto"/>
              <w:rPr>
                <w:rFonts w:ascii="Arial Narrow" w:hAnsi="Arial Narrow"/>
                <w:sz w:val="18"/>
                <w:szCs w:val="18"/>
              </w:rPr>
            </w:pPr>
            <w:r w:rsidRPr="00E70A11">
              <w:rPr>
                <w:rFonts w:ascii="Arial Narrow" w:hAnsi="Arial Narrow"/>
                <w:sz w:val="18"/>
                <w:szCs w:val="18"/>
              </w:rPr>
              <w:t>Satisfaction - (see Key Document 3: Young &amp; Temperton)</w:t>
            </w:r>
          </w:p>
          <w:p w14:paraId="5761E86A" w14:textId="77777777" w:rsidR="00A56EE9" w:rsidRPr="00E70A11" w:rsidRDefault="00A56EE9" w:rsidP="00A11869">
            <w:pPr>
              <w:pStyle w:val="ListParagraph"/>
              <w:numPr>
                <w:ilvl w:val="0"/>
                <w:numId w:val="89"/>
              </w:numPr>
              <w:spacing w:after="200" w:line="276" w:lineRule="auto"/>
              <w:rPr>
                <w:rFonts w:ascii="Arial Narrow" w:hAnsi="Arial Narrow"/>
                <w:sz w:val="18"/>
                <w:szCs w:val="18"/>
              </w:rPr>
            </w:pPr>
            <w:r w:rsidRPr="00E70A11">
              <w:rPr>
                <w:rFonts w:ascii="Arial Narrow" w:hAnsi="Arial Narrow"/>
                <w:sz w:val="18"/>
                <w:szCs w:val="18"/>
              </w:rPr>
              <w:t>Management of tourism impacts management (See Key Document 2: Harriott)</w:t>
            </w:r>
          </w:p>
          <w:p w14:paraId="5761E86B" w14:textId="77777777" w:rsidR="00A56EE9" w:rsidRPr="00E70A11" w:rsidRDefault="00A56EE9" w:rsidP="00A11869">
            <w:pPr>
              <w:pStyle w:val="ListParagraph"/>
              <w:numPr>
                <w:ilvl w:val="0"/>
                <w:numId w:val="89"/>
              </w:numPr>
              <w:spacing w:after="200" w:line="276" w:lineRule="auto"/>
              <w:rPr>
                <w:rFonts w:ascii="Arial Narrow" w:hAnsi="Arial Narrow"/>
                <w:sz w:val="18"/>
                <w:szCs w:val="18"/>
              </w:rPr>
            </w:pPr>
            <w:r w:rsidRPr="00E70A11">
              <w:rPr>
                <w:rFonts w:ascii="Arial Narrow" w:hAnsi="Arial Narrow"/>
                <w:sz w:val="18"/>
                <w:szCs w:val="18"/>
              </w:rPr>
              <w:t>Hughes et al (2017) Global warming and recurrent mass bleaching of corals, Nature 543, 373.</w:t>
            </w:r>
          </w:p>
          <w:p w14:paraId="5761E86C" w14:textId="233CD290" w:rsidR="00A56EE9" w:rsidRPr="00E70A11" w:rsidRDefault="00A56EE9" w:rsidP="00A11869">
            <w:pPr>
              <w:pStyle w:val="ListParagraph"/>
              <w:numPr>
                <w:ilvl w:val="0"/>
                <w:numId w:val="89"/>
              </w:numPr>
              <w:spacing w:after="200" w:line="276" w:lineRule="auto"/>
              <w:rPr>
                <w:rFonts w:ascii="Arial Narrow" w:hAnsi="Arial Narrow"/>
                <w:sz w:val="18"/>
                <w:szCs w:val="18"/>
              </w:rPr>
            </w:pPr>
            <w:r w:rsidRPr="00E70A11">
              <w:rPr>
                <w:rFonts w:ascii="Arial Narrow" w:hAnsi="Arial Narrow"/>
                <w:sz w:val="18"/>
                <w:szCs w:val="18"/>
              </w:rPr>
              <w:t xml:space="preserve">Marine Tourism Contingency Policy: </w:t>
            </w:r>
            <w:hyperlink r:id="rId341" w:tooltip="document link" w:history="1">
              <w:r w:rsidRPr="00E70A11">
                <w:rPr>
                  <w:rStyle w:val="Hyperlink"/>
                  <w:rFonts w:ascii="Arial Narrow" w:hAnsi="Arial Narrow"/>
                  <w:sz w:val="18"/>
                  <w:szCs w:val="18"/>
                </w:rPr>
                <w:t>http://hdl.handle.net/11017/827</w:t>
              </w:r>
            </w:hyperlink>
          </w:p>
          <w:p w14:paraId="5761E86D" w14:textId="77777777" w:rsidR="00A56EE9" w:rsidRPr="00E70A11" w:rsidRDefault="00A56EE9" w:rsidP="00BB6AD5">
            <w:pPr>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86E"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6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7B"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71"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72"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73" w14:textId="77777777" w:rsidR="00A56EE9" w:rsidRPr="00E70A11" w:rsidRDefault="00A56EE9" w:rsidP="00A11869">
            <w:pPr>
              <w:pStyle w:val="ListParagraph"/>
              <w:numPr>
                <w:ilvl w:val="0"/>
                <w:numId w:val="265"/>
              </w:numPr>
              <w:spacing w:after="200" w:line="276" w:lineRule="auto"/>
              <w:rPr>
                <w:rFonts w:ascii="Arial Narrow" w:hAnsi="Arial Narrow"/>
                <w:sz w:val="18"/>
                <w:szCs w:val="18"/>
              </w:rPr>
            </w:pPr>
            <w:r w:rsidRPr="00E70A11">
              <w:rPr>
                <w:rFonts w:ascii="Arial Narrow" w:hAnsi="Arial Narrow"/>
                <w:sz w:val="18"/>
                <w:szCs w:val="18"/>
              </w:rPr>
              <w:t xml:space="preserve">The GBRMPA monitors emerging socio-economic issues to make relevant management decisions including information provided by the SELTMP, Bureau of Statistics, Tourism data provided by Tourism Australia and Tourism Queensland and GBRMPA’s own socio-economic program. </w:t>
            </w:r>
          </w:p>
          <w:p w14:paraId="5761E874" w14:textId="77777777" w:rsidR="00A56EE9" w:rsidRPr="00E70A11" w:rsidRDefault="00A56EE9" w:rsidP="00A11869">
            <w:pPr>
              <w:pStyle w:val="ListParagraph"/>
              <w:numPr>
                <w:ilvl w:val="0"/>
                <w:numId w:val="265"/>
              </w:numPr>
              <w:spacing w:after="200" w:line="276" w:lineRule="auto"/>
              <w:rPr>
                <w:rFonts w:ascii="Arial Narrow" w:hAnsi="Arial Narrow"/>
                <w:sz w:val="18"/>
                <w:szCs w:val="18"/>
              </w:rPr>
            </w:pPr>
            <w:r w:rsidRPr="00E70A11">
              <w:rPr>
                <w:rFonts w:ascii="Arial Narrow" w:hAnsi="Arial Narrow"/>
                <w:sz w:val="18"/>
                <w:szCs w:val="18"/>
              </w:rPr>
              <w:t>SELTMP is designed to capture social and economic information from Great Barrier Reef industries and coastal communities.</w:t>
            </w:r>
          </w:p>
          <w:p w14:paraId="5761E875" w14:textId="77777777" w:rsidR="00A56EE9" w:rsidRPr="00E70A11" w:rsidRDefault="00A56EE9" w:rsidP="00A11869">
            <w:pPr>
              <w:pStyle w:val="ListParagraph"/>
              <w:numPr>
                <w:ilvl w:val="0"/>
                <w:numId w:val="265"/>
              </w:numPr>
              <w:spacing w:after="200" w:line="276" w:lineRule="auto"/>
              <w:rPr>
                <w:rFonts w:ascii="Arial Narrow" w:hAnsi="Arial Narrow"/>
                <w:sz w:val="18"/>
                <w:szCs w:val="18"/>
              </w:rPr>
            </w:pPr>
            <w:r w:rsidRPr="00E70A11">
              <w:rPr>
                <w:rFonts w:ascii="Arial Narrow" w:hAnsi="Arial Narrow"/>
                <w:sz w:val="18"/>
                <w:szCs w:val="18"/>
              </w:rPr>
              <w:t>Research on tourism impacts has previously been well documented, and current research has focussed on better understanding the industry and its social and economic values including the value of certain species and activities to the industry.</w:t>
            </w:r>
          </w:p>
          <w:p w14:paraId="5761E876" w14:textId="77777777" w:rsidR="00A56EE9" w:rsidRPr="00E70A11" w:rsidRDefault="00A56EE9" w:rsidP="00A11869">
            <w:pPr>
              <w:pStyle w:val="ListParagraph"/>
              <w:numPr>
                <w:ilvl w:val="0"/>
                <w:numId w:val="265"/>
              </w:numPr>
              <w:spacing w:after="200" w:line="276" w:lineRule="auto"/>
              <w:rPr>
                <w:rStyle w:val="BookTitle"/>
                <w:rFonts w:ascii="Arial Narrow" w:hAnsi="Arial Narrow"/>
                <w:sz w:val="18"/>
                <w:szCs w:val="18"/>
              </w:rPr>
            </w:pPr>
            <w:r w:rsidRPr="00E70A11">
              <w:rPr>
                <w:rFonts w:ascii="Arial Narrow" w:hAnsi="Arial Narrow"/>
                <w:sz w:val="18"/>
                <w:szCs w:val="18"/>
              </w:rPr>
              <w:t>Contemporary knowledge is sourced and used in the development of tourism related plans, policies and permit assessments.</w:t>
            </w:r>
          </w:p>
        </w:tc>
        <w:tc>
          <w:tcPr>
            <w:tcW w:w="5231" w:type="dxa"/>
            <w:tcBorders>
              <w:top w:val="single" w:sz="4" w:space="0" w:color="auto"/>
              <w:left w:val="single" w:sz="4" w:space="0" w:color="auto"/>
              <w:bottom w:val="single" w:sz="4" w:space="0" w:color="auto"/>
              <w:right w:val="single" w:sz="4" w:space="0" w:color="auto"/>
            </w:tcBorders>
          </w:tcPr>
          <w:p w14:paraId="5761E877" w14:textId="77777777" w:rsidR="00A56EE9" w:rsidRPr="00E70A11" w:rsidRDefault="00A56EE9" w:rsidP="00A11869">
            <w:pPr>
              <w:pStyle w:val="ListParagraph"/>
              <w:numPr>
                <w:ilvl w:val="0"/>
                <w:numId w:val="27"/>
              </w:numPr>
              <w:spacing w:after="200" w:line="276" w:lineRule="auto"/>
              <w:rPr>
                <w:rFonts w:ascii="Arial Narrow" w:hAnsi="Arial Narrow"/>
                <w:i/>
                <w:sz w:val="18"/>
                <w:szCs w:val="18"/>
              </w:rPr>
            </w:pPr>
            <w:r w:rsidRPr="00E70A11">
              <w:rPr>
                <w:rFonts w:ascii="Arial Narrow" w:hAnsi="Arial Narrow"/>
                <w:sz w:val="18"/>
                <w:szCs w:val="18"/>
              </w:rPr>
              <w:t xml:space="preserve">Marshall, N.A. Curnock, M., Pert, P.L., Williams, G. (2017) </w:t>
            </w:r>
            <w:r w:rsidRPr="00E70A11">
              <w:rPr>
                <w:rFonts w:ascii="Arial Narrow" w:hAnsi="Arial Narrow"/>
                <w:i/>
                <w:sz w:val="18"/>
                <w:szCs w:val="18"/>
              </w:rPr>
              <w:t xml:space="preserve">The Social and Economic Long Term Monitoring Program (SELTMP) for the Great Barrier </w:t>
            </w:r>
            <w:proofErr w:type="gramStart"/>
            <w:r w:rsidRPr="00E70A11">
              <w:rPr>
                <w:rFonts w:ascii="Arial Narrow" w:hAnsi="Arial Narrow"/>
                <w:i/>
                <w:sz w:val="18"/>
                <w:szCs w:val="18"/>
              </w:rPr>
              <w:t>Reef .</w:t>
            </w:r>
            <w:proofErr w:type="gramEnd"/>
            <w:r w:rsidRPr="00E70A11">
              <w:rPr>
                <w:rFonts w:ascii="Arial Narrow" w:hAnsi="Arial Narrow"/>
                <w:i/>
                <w:sz w:val="18"/>
                <w:szCs w:val="18"/>
              </w:rPr>
              <w:t xml:space="preserve"> Final Report. </w:t>
            </w:r>
            <w:r w:rsidRPr="00E70A11">
              <w:rPr>
                <w:rFonts w:ascii="Arial Narrow" w:hAnsi="Arial Narrow"/>
                <w:sz w:val="18"/>
                <w:szCs w:val="18"/>
              </w:rPr>
              <w:t>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878" w14:textId="77777777" w:rsidR="00A56EE9" w:rsidRPr="00E70A11" w:rsidRDefault="00A56EE9" w:rsidP="00BB6AD5">
            <w:pPr>
              <w:pStyle w:val="ListParagraph"/>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879"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7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88"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7C"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7D"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7E" w14:textId="77777777" w:rsidR="00A56EE9" w:rsidRPr="00E70A11" w:rsidRDefault="00A56EE9" w:rsidP="00A11869">
            <w:pPr>
              <w:pStyle w:val="ListParagraph"/>
              <w:numPr>
                <w:ilvl w:val="0"/>
                <w:numId w:val="265"/>
              </w:numPr>
              <w:spacing w:after="200" w:line="276" w:lineRule="auto"/>
              <w:rPr>
                <w:rFonts w:ascii="Arial Narrow" w:hAnsi="Arial Narrow"/>
                <w:sz w:val="18"/>
                <w:szCs w:val="18"/>
              </w:rPr>
            </w:pPr>
            <w:r w:rsidRPr="00E70A11">
              <w:rPr>
                <w:rFonts w:ascii="Arial Narrow" w:hAnsi="Arial Narrow"/>
                <w:sz w:val="18"/>
                <w:szCs w:val="18"/>
              </w:rPr>
              <w:t xml:space="preserve">Re-formation of an Indigenous Reef Advisory Committee in 2015 has increased access to the best available indigenous heritage information to make management decisions regarding tourism. </w:t>
            </w:r>
          </w:p>
          <w:p w14:paraId="5761E87F" w14:textId="77777777" w:rsidR="00A56EE9" w:rsidRPr="00E70A11" w:rsidRDefault="00A56EE9" w:rsidP="00A11869">
            <w:pPr>
              <w:pStyle w:val="ListParagraph"/>
              <w:numPr>
                <w:ilvl w:val="0"/>
                <w:numId w:val="265"/>
              </w:numPr>
              <w:spacing w:after="200" w:line="276" w:lineRule="auto"/>
              <w:rPr>
                <w:rFonts w:ascii="Arial Narrow" w:hAnsi="Arial Narrow"/>
                <w:sz w:val="18"/>
                <w:szCs w:val="18"/>
              </w:rPr>
            </w:pPr>
            <w:r w:rsidRPr="00E70A11">
              <w:rPr>
                <w:rFonts w:ascii="Arial Narrow" w:hAnsi="Arial Narrow"/>
                <w:sz w:val="18"/>
                <w:szCs w:val="18"/>
              </w:rPr>
              <w:t>An Indigenous representative forms part of the TRAC.</w:t>
            </w:r>
          </w:p>
          <w:p w14:paraId="5761E880" w14:textId="77777777" w:rsidR="00A56EE9" w:rsidRPr="00E70A11" w:rsidRDefault="00A56EE9" w:rsidP="00A11869">
            <w:pPr>
              <w:pStyle w:val="ListParagraph"/>
              <w:numPr>
                <w:ilvl w:val="0"/>
                <w:numId w:val="265"/>
              </w:numPr>
              <w:spacing w:after="200" w:line="276" w:lineRule="auto"/>
              <w:rPr>
                <w:rFonts w:ascii="Arial Narrow" w:hAnsi="Arial Narrow"/>
                <w:sz w:val="18"/>
                <w:szCs w:val="18"/>
              </w:rPr>
            </w:pPr>
            <w:r w:rsidRPr="00E70A11">
              <w:rPr>
                <w:rFonts w:ascii="Arial Narrow" w:hAnsi="Arial Narrow"/>
                <w:sz w:val="18"/>
                <w:szCs w:val="18"/>
              </w:rPr>
              <w:t>Any large tourism operations that are likely to impact on indigenous heritage are referred internally to GBRMPA</w:t>
            </w:r>
            <w:r>
              <w:rPr>
                <w:rFonts w:ascii="Arial Narrow" w:hAnsi="Arial Narrow"/>
                <w:sz w:val="18"/>
                <w:szCs w:val="18"/>
              </w:rPr>
              <w:t>s planning and policy section</w:t>
            </w:r>
            <w:r w:rsidRPr="00E70A11">
              <w:rPr>
                <w:rFonts w:ascii="Arial Narrow" w:hAnsi="Arial Narrow"/>
                <w:sz w:val="18"/>
                <w:szCs w:val="18"/>
              </w:rPr>
              <w:t xml:space="preserve"> </w:t>
            </w:r>
          </w:p>
          <w:p w14:paraId="5761E881" w14:textId="77777777" w:rsidR="00A56EE9" w:rsidRPr="00E70A11" w:rsidRDefault="00A56EE9" w:rsidP="00A11869">
            <w:pPr>
              <w:pStyle w:val="ListParagraph"/>
              <w:numPr>
                <w:ilvl w:val="0"/>
                <w:numId w:val="265"/>
              </w:numPr>
              <w:spacing w:after="200" w:line="276" w:lineRule="auto"/>
              <w:rPr>
                <w:rStyle w:val="BookTitle"/>
                <w:rFonts w:ascii="Arial Narrow" w:hAnsi="Arial Narrow"/>
                <w:sz w:val="18"/>
                <w:szCs w:val="18"/>
              </w:rPr>
            </w:pPr>
            <w:r w:rsidRPr="00E70A11">
              <w:rPr>
                <w:rFonts w:ascii="Arial Narrow" w:hAnsi="Arial Narrow"/>
                <w:sz w:val="18"/>
                <w:szCs w:val="18"/>
              </w:rPr>
              <w:t>GBRMPA worked with Woppaburra Traditional Owners to complete a heritage assessment for their country in the Keppel island Group. As a result, GBRMPA now has a heritage assessment for the area (with identified sensitive locations) and guidelines to ensure activities that apply for a permit do not impact on indigenous heritage values.</w:t>
            </w:r>
          </w:p>
        </w:tc>
        <w:tc>
          <w:tcPr>
            <w:tcW w:w="5231" w:type="dxa"/>
            <w:tcBorders>
              <w:top w:val="single" w:sz="4" w:space="0" w:color="auto"/>
              <w:left w:val="single" w:sz="4" w:space="0" w:color="auto"/>
              <w:bottom w:val="single" w:sz="4" w:space="0" w:color="auto"/>
              <w:right w:val="single" w:sz="4" w:space="0" w:color="auto"/>
            </w:tcBorders>
          </w:tcPr>
          <w:p w14:paraId="5761E882" w14:textId="1ACFE1C3" w:rsidR="00A56EE9" w:rsidRPr="00E70A11" w:rsidRDefault="00A56EE9" w:rsidP="00A11869">
            <w:pPr>
              <w:pStyle w:val="ListParagraph"/>
              <w:numPr>
                <w:ilvl w:val="0"/>
                <w:numId w:val="27"/>
              </w:numPr>
              <w:spacing w:after="200" w:line="276" w:lineRule="auto"/>
              <w:rPr>
                <w:rFonts w:ascii="Arial Narrow" w:hAnsi="Arial Narrow"/>
                <w:sz w:val="18"/>
                <w:szCs w:val="18"/>
              </w:rPr>
            </w:pPr>
            <w:r w:rsidRPr="00E70A11">
              <w:rPr>
                <w:rFonts w:ascii="Arial Narrow" w:hAnsi="Arial Narrow"/>
                <w:sz w:val="18"/>
                <w:szCs w:val="18"/>
              </w:rPr>
              <w:t xml:space="preserve">Indigenous Reef Advisory Committee </w:t>
            </w:r>
            <w:hyperlink r:id="rId342" w:tooltip="document link" w:history="1">
              <w:r w:rsidRPr="00E70A11">
                <w:rPr>
                  <w:rStyle w:val="Hyperlink"/>
                  <w:rFonts w:ascii="Arial Narrow" w:hAnsi="Arial Narrow"/>
                  <w:sz w:val="18"/>
                  <w:szCs w:val="18"/>
                </w:rPr>
                <w:t>http://www.gbrmpa.gov.au/our-partners/reef-advisory-committee/indigenous-reef-advisory-committee</w:t>
              </w:r>
            </w:hyperlink>
            <w:r w:rsidRPr="00E70A11">
              <w:rPr>
                <w:rFonts w:ascii="Arial Narrow" w:hAnsi="Arial Narrow"/>
                <w:sz w:val="18"/>
                <w:szCs w:val="18"/>
              </w:rPr>
              <w:t xml:space="preserve"> </w:t>
            </w:r>
          </w:p>
          <w:p w14:paraId="5761E883" w14:textId="77777777" w:rsidR="00A56EE9" w:rsidRPr="00E70A11" w:rsidRDefault="00A56EE9" w:rsidP="00A11869">
            <w:pPr>
              <w:pStyle w:val="ListParagraph"/>
              <w:numPr>
                <w:ilvl w:val="0"/>
                <w:numId w:val="27"/>
              </w:numPr>
              <w:spacing w:after="200" w:line="276" w:lineRule="auto"/>
              <w:rPr>
                <w:rFonts w:ascii="Arial Narrow" w:hAnsi="Arial Narrow"/>
                <w:sz w:val="18"/>
                <w:szCs w:val="18"/>
                <w:u w:val="single"/>
              </w:rPr>
            </w:pPr>
            <w:r w:rsidRPr="00E70A11">
              <w:rPr>
                <w:rFonts w:ascii="Arial Narrow" w:hAnsi="Arial Narrow"/>
                <w:sz w:val="18"/>
                <w:szCs w:val="18"/>
                <w:u w:val="single"/>
              </w:rPr>
              <w:t>Reef Facts for Traditional Owners http://www.gbrmpa.gov.au/__data/assets/pdf_file/0016/11257/4-Traditional-Owners-of-the-GBR.pdf</w:t>
            </w:r>
          </w:p>
          <w:p w14:paraId="5761E884" w14:textId="77777777" w:rsidR="00A56EE9" w:rsidRPr="00E70A11" w:rsidRDefault="008B5998" w:rsidP="00A11869">
            <w:pPr>
              <w:pStyle w:val="ListParagraph"/>
              <w:numPr>
                <w:ilvl w:val="0"/>
                <w:numId w:val="27"/>
              </w:numPr>
              <w:spacing w:after="200" w:line="276" w:lineRule="auto"/>
              <w:rPr>
                <w:rFonts w:ascii="Arial Narrow" w:hAnsi="Arial Narrow"/>
                <w:sz w:val="18"/>
                <w:szCs w:val="18"/>
              </w:rPr>
            </w:pPr>
            <w:hyperlink r:id="rId343" w:history="1">
              <w:r w:rsidR="00A56EE9" w:rsidRPr="00E70A11">
                <w:rPr>
                  <w:rStyle w:val="Hyperlink"/>
                  <w:rFonts w:ascii="Arial Narrow" w:hAnsi="Arial Narrow"/>
                  <w:sz w:val="18"/>
                  <w:szCs w:val="18"/>
                </w:rPr>
                <w:t>Woppaburra heritage assessment</w:t>
              </w:r>
            </w:hyperlink>
            <w:r w:rsidR="00A56EE9" w:rsidRPr="00E70A11">
              <w:rPr>
                <w:rFonts w:ascii="Arial Narrow" w:hAnsi="Arial Narrow"/>
                <w:sz w:val="18"/>
                <w:szCs w:val="18"/>
              </w:rPr>
              <w:t xml:space="preserve"> Guidelines</w:t>
            </w:r>
          </w:p>
          <w:p w14:paraId="5761E885" w14:textId="77777777" w:rsidR="00A56EE9" w:rsidRPr="00E70A11" w:rsidRDefault="00A56EE9" w:rsidP="00BB6AD5">
            <w:pPr>
              <w:pStyle w:val="ListParagraph"/>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886"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8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92"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89"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8A"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8B" w14:textId="77777777" w:rsidR="00A56EE9" w:rsidRPr="00E70A11" w:rsidRDefault="00A56EE9" w:rsidP="00A11869">
            <w:pPr>
              <w:pStyle w:val="ListParagraph"/>
              <w:numPr>
                <w:ilvl w:val="0"/>
                <w:numId w:val="265"/>
              </w:numPr>
              <w:spacing w:after="200" w:line="276" w:lineRule="auto"/>
              <w:rPr>
                <w:rFonts w:ascii="Arial Narrow" w:hAnsi="Arial Narrow"/>
                <w:sz w:val="18"/>
                <w:szCs w:val="18"/>
              </w:rPr>
            </w:pPr>
            <w:r w:rsidRPr="00E70A11">
              <w:rPr>
                <w:rFonts w:ascii="Arial Narrow" w:hAnsi="Arial Narrow"/>
                <w:sz w:val="18"/>
                <w:szCs w:val="18"/>
              </w:rPr>
              <w:t>Historic shipwrecks are protected, and access is permitted by Museum of Tropical Queensland</w:t>
            </w:r>
          </w:p>
          <w:p w14:paraId="5761E88C" w14:textId="77777777" w:rsidR="00A56EE9" w:rsidRPr="00E70A11" w:rsidRDefault="00A56EE9" w:rsidP="00A11869">
            <w:pPr>
              <w:pStyle w:val="ListParagraph"/>
              <w:numPr>
                <w:ilvl w:val="0"/>
                <w:numId w:val="265"/>
              </w:numPr>
              <w:spacing w:after="200" w:line="276" w:lineRule="auto"/>
              <w:rPr>
                <w:rFonts w:ascii="Arial Narrow" w:hAnsi="Arial Narrow"/>
                <w:sz w:val="18"/>
                <w:szCs w:val="18"/>
              </w:rPr>
            </w:pPr>
            <w:r w:rsidRPr="00E70A11">
              <w:rPr>
                <w:rFonts w:ascii="Arial Narrow" w:hAnsi="Arial Narrow"/>
                <w:sz w:val="18"/>
                <w:szCs w:val="18"/>
              </w:rPr>
              <w:t>A heritage management plan is in place for Lady Elliot Island, and draft plans for Dent Island and Low Isles Commonwealth islands with lighthouses and tourism program and or resorts</w:t>
            </w:r>
          </w:p>
          <w:p w14:paraId="5761E88D" w14:textId="77777777" w:rsidR="00A56EE9" w:rsidRPr="00E70A11" w:rsidRDefault="00A56EE9" w:rsidP="00A11869">
            <w:pPr>
              <w:pStyle w:val="ListParagraph"/>
              <w:numPr>
                <w:ilvl w:val="0"/>
                <w:numId w:val="265"/>
              </w:numPr>
              <w:spacing w:after="200" w:line="276" w:lineRule="auto"/>
              <w:rPr>
                <w:rStyle w:val="BookTitle"/>
                <w:rFonts w:ascii="Arial Narrow" w:hAnsi="Arial Narrow"/>
                <w:sz w:val="18"/>
                <w:szCs w:val="18"/>
              </w:rPr>
            </w:pPr>
            <w:r w:rsidRPr="00E70A11">
              <w:rPr>
                <w:rFonts w:ascii="Arial Narrow" w:hAnsi="Arial Narrow"/>
                <w:sz w:val="18"/>
                <w:szCs w:val="18"/>
              </w:rPr>
              <w:t>This information was incorporated into the revised WPOM for Dent Island.</w:t>
            </w:r>
            <w:r>
              <w:rPr>
                <w:rFonts w:ascii="Arial Narrow" w:hAnsi="Arial Narrow"/>
                <w:sz w:val="18"/>
                <w:szCs w:val="18"/>
              </w:rPr>
              <w:t xml:space="preserve"> </w:t>
            </w:r>
          </w:p>
        </w:tc>
        <w:tc>
          <w:tcPr>
            <w:tcW w:w="5231" w:type="dxa"/>
            <w:tcBorders>
              <w:top w:val="single" w:sz="4" w:space="0" w:color="auto"/>
              <w:left w:val="single" w:sz="4" w:space="0" w:color="auto"/>
              <w:bottom w:val="single" w:sz="4" w:space="0" w:color="auto"/>
              <w:right w:val="single" w:sz="4" w:space="0" w:color="auto"/>
            </w:tcBorders>
          </w:tcPr>
          <w:p w14:paraId="5761E88E" w14:textId="77777777" w:rsidR="00A56EE9" w:rsidRPr="00E70A11" w:rsidRDefault="00A56EE9" w:rsidP="00A11869">
            <w:pPr>
              <w:pStyle w:val="ListParagraph"/>
              <w:numPr>
                <w:ilvl w:val="0"/>
                <w:numId w:val="30"/>
              </w:numPr>
              <w:spacing w:after="200" w:line="276" w:lineRule="auto"/>
              <w:rPr>
                <w:rFonts w:ascii="Arial Narrow" w:hAnsi="Arial Narrow"/>
                <w:sz w:val="18"/>
                <w:szCs w:val="18"/>
              </w:rPr>
            </w:pPr>
            <w:r w:rsidRPr="00E70A11">
              <w:rPr>
                <w:rFonts w:ascii="Arial Narrow" w:hAnsi="Arial Narrow"/>
                <w:sz w:val="18"/>
                <w:szCs w:val="18"/>
              </w:rPr>
              <w:t>Heritage management plan is in place for Lady Elliot Island</w:t>
            </w:r>
          </w:p>
          <w:p w14:paraId="5761E88F" w14:textId="77777777" w:rsidR="00A56EE9" w:rsidRPr="00E70A11" w:rsidRDefault="00A56EE9" w:rsidP="00A11869">
            <w:pPr>
              <w:pStyle w:val="ListParagraph"/>
              <w:numPr>
                <w:ilvl w:val="0"/>
                <w:numId w:val="30"/>
              </w:numPr>
              <w:spacing w:after="200" w:line="276" w:lineRule="auto"/>
              <w:rPr>
                <w:rStyle w:val="BookTitle"/>
                <w:rFonts w:ascii="Arial Narrow" w:hAnsi="Arial Narrow"/>
                <w:sz w:val="18"/>
                <w:szCs w:val="18"/>
              </w:rPr>
            </w:pPr>
            <w:r w:rsidRPr="00E70A11">
              <w:rPr>
                <w:rFonts w:ascii="Arial Narrow" w:hAnsi="Arial Narrow"/>
                <w:sz w:val="18"/>
                <w:szCs w:val="18"/>
              </w:rPr>
              <w:t>Draft plans for Dent Island and Low Isles Commonwealth islands</w:t>
            </w:r>
          </w:p>
        </w:tc>
        <w:tc>
          <w:tcPr>
            <w:tcW w:w="1006" w:type="dxa"/>
            <w:tcBorders>
              <w:top w:val="single" w:sz="4" w:space="0" w:color="auto"/>
              <w:left w:val="single" w:sz="4" w:space="0" w:color="auto"/>
              <w:bottom w:val="single" w:sz="4" w:space="0" w:color="auto"/>
              <w:right w:val="single" w:sz="4" w:space="0" w:color="auto"/>
            </w:tcBorders>
          </w:tcPr>
          <w:p w14:paraId="5761E890" w14:textId="77777777" w:rsidR="00A56EE9" w:rsidRPr="00E70A11" w:rsidRDefault="00A56EE9" w:rsidP="00BB6AD5">
            <w:pPr>
              <w:pStyle w:val="Tablebulletlist"/>
              <w:rPr>
                <w:rStyle w:val="BookTitle"/>
              </w:rPr>
            </w:pPr>
            <w:r w:rsidRPr="00E70A11">
              <w:rPr>
                <w:rStyle w:val="BookTitle"/>
              </w:rPr>
              <w:t>Limited</w:t>
            </w:r>
          </w:p>
        </w:tc>
        <w:tc>
          <w:tcPr>
            <w:tcW w:w="1215" w:type="dxa"/>
            <w:tcBorders>
              <w:top w:val="single" w:sz="4" w:space="0" w:color="auto"/>
              <w:left w:val="single" w:sz="4" w:space="0" w:color="auto"/>
              <w:bottom w:val="single" w:sz="4" w:space="0" w:color="auto"/>
              <w:right w:val="single" w:sz="4" w:space="0" w:color="auto"/>
            </w:tcBorders>
          </w:tcPr>
          <w:p w14:paraId="5761E89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A6"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shd w:val="clear" w:color="auto" w:fill="auto"/>
          </w:tcPr>
          <w:p w14:paraId="5761E893"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94"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95" w14:textId="77777777" w:rsidR="00A56EE9" w:rsidRPr="00E70A11" w:rsidRDefault="00A56EE9" w:rsidP="00A11869">
            <w:pPr>
              <w:pStyle w:val="ListParagraph"/>
              <w:numPr>
                <w:ilvl w:val="0"/>
                <w:numId w:val="266"/>
              </w:numPr>
              <w:spacing w:after="200" w:line="276" w:lineRule="auto"/>
              <w:rPr>
                <w:rFonts w:ascii="Arial Narrow" w:hAnsi="Arial Narrow"/>
                <w:sz w:val="18"/>
                <w:szCs w:val="18"/>
              </w:rPr>
            </w:pPr>
            <w:r w:rsidRPr="00E70A11">
              <w:rPr>
                <w:rFonts w:ascii="Arial Narrow" w:hAnsi="Arial Narrow"/>
                <w:sz w:val="18"/>
                <w:szCs w:val="18"/>
              </w:rPr>
              <w:t>The GBRMPA is widely regarded as a world leader in tourism management and consistently applies relevant national standards as the minimum basis for management.</w:t>
            </w:r>
          </w:p>
          <w:p w14:paraId="5761E896" w14:textId="77777777" w:rsidR="00A56EE9" w:rsidRPr="00E70A11" w:rsidRDefault="00A56EE9" w:rsidP="00A11869">
            <w:pPr>
              <w:pStyle w:val="ListParagraph"/>
              <w:numPr>
                <w:ilvl w:val="0"/>
                <w:numId w:val="266"/>
              </w:numPr>
              <w:spacing w:after="200" w:line="276" w:lineRule="auto"/>
              <w:rPr>
                <w:rFonts w:ascii="Arial Narrow" w:hAnsi="Arial Narrow"/>
                <w:sz w:val="18"/>
                <w:szCs w:val="18"/>
              </w:rPr>
            </w:pPr>
            <w:r w:rsidRPr="00E70A11">
              <w:rPr>
                <w:rFonts w:ascii="Arial Narrow" w:hAnsi="Arial Narrow"/>
                <w:sz w:val="18"/>
                <w:szCs w:val="18"/>
              </w:rPr>
              <w:t xml:space="preserve">Eco certification is used to recognise high performing tourism operations. These operators can also apply for longer-duration permits. </w:t>
            </w:r>
          </w:p>
          <w:p w14:paraId="5761E897" w14:textId="77777777" w:rsidR="00A56EE9" w:rsidRPr="00E70A11" w:rsidRDefault="00A56EE9" w:rsidP="00A11869">
            <w:pPr>
              <w:pStyle w:val="ListParagraph"/>
              <w:numPr>
                <w:ilvl w:val="0"/>
                <w:numId w:val="266"/>
              </w:numPr>
              <w:spacing w:after="200" w:line="276" w:lineRule="auto"/>
              <w:rPr>
                <w:rFonts w:ascii="Arial Narrow" w:hAnsi="Arial Narrow"/>
                <w:sz w:val="18"/>
                <w:szCs w:val="18"/>
              </w:rPr>
            </w:pPr>
            <w:r w:rsidRPr="00E70A11">
              <w:rPr>
                <w:rFonts w:ascii="Arial Narrow" w:hAnsi="Arial Narrow"/>
                <w:sz w:val="18"/>
                <w:szCs w:val="18"/>
              </w:rPr>
              <w:t>The 2015-2020 Strengthening Permission Compliance Action Plan (for GBRMPA) purpose is to facilitate the sustainable delivery of an enhanced permission compliance program and is consistent with the following:</w:t>
            </w:r>
          </w:p>
          <w:p w14:paraId="5761E898" w14:textId="77777777" w:rsidR="00A56EE9" w:rsidRPr="00E70A11" w:rsidRDefault="00A56EE9" w:rsidP="00A11869">
            <w:pPr>
              <w:pStyle w:val="ListParagraph"/>
              <w:numPr>
                <w:ilvl w:val="1"/>
                <w:numId w:val="266"/>
              </w:numPr>
              <w:spacing w:after="200" w:line="276" w:lineRule="auto"/>
              <w:rPr>
                <w:rFonts w:ascii="Arial Narrow" w:hAnsi="Arial Narrow"/>
                <w:sz w:val="18"/>
                <w:szCs w:val="18"/>
              </w:rPr>
            </w:pPr>
            <w:r w:rsidRPr="00E70A11">
              <w:rPr>
                <w:rFonts w:ascii="Arial Narrow" w:hAnsi="Arial Narrow"/>
                <w:sz w:val="18"/>
                <w:szCs w:val="18"/>
              </w:rPr>
              <w:t>the Australian Government Guide to Regulation and associated deregulation policy objectives;</w:t>
            </w:r>
          </w:p>
          <w:p w14:paraId="5761E899" w14:textId="77777777" w:rsidR="00A56EE9" w:rsidRPr="00E70A11" w:rsidRDefault="00A56EE9" w:rsidP="00A11869">
            <w:pPr>
              <w:pStyle w:val="ListParagraph"/>
              <w:numPr>
                <w:ilvl w:val="1"/>
                <w:numId w:val="266"/>
              </w:numPr>
              <w:spacing w:after="200" w:line="276" w:lineRule="auto"/>
              <w:rPr>
                <w:rFonts w:ascii="Arial Narrow" w:hAnsi="Arial Narrow"/>
                <w:sz w:val="18"/>
                <w:szCs w:val="18"/>
              </w:rPr>
            </w:pPr>
            <w:r w:rsidRPr="00E70A11">
              <w:rPr>
                <w:rFonts w:ascii="Arial Narrow" w:hAnsi="Arial Narrow"/>
                <w:sz w:val="18"/>
                <w:szCs w:val="18"/>
              </w:rPr>
              <w:t>the Reef 2050 Long-Term Sustainability Plan;</w:t>
            </w:r>
          </w:p>
          <w:p w14:paraId="5761E89A" w14:textId="77777777" w:rsidR="00A56EE9" w:rsidRPr="00E70A11" w:rsidRDefault="00A56EE9" w:rsidP="00A11869">
            <w:pPr>
              <w:pStyle w:val="ListParagraph"/>
              <w:numPr>
                <w:ilvl w:val="1"/>
                <w:numId w:val="266"/>
              </w:numPr>
              <w:spacing w:after="200" w:line="276" w:lineRule="auto"/>
              <w:rPr>
                <w:rFonts w:ascii="Arial Narrow" w:hAnsi="Arial Narrow"/>
                <w:sz w:val="18"/>
                <w:szCs w:val="18"/>
              </w:rPr>
            </w:pPr>
            <w:r w:rsidRPr="00E70A11">
              <w:rPr>
                <w:rFonts w:ascii="Arial Narrow" w:hAnsi="Arial Narrow"/>
                <w:sz w:val="18"/>
                <w:szCs w:val="18"/>
              </w:rPr>
              <w:t>the Great Barrier Reef Region Strategic Assessment Program Report;</w:t>
            </w:r>
          </w:p>
          <w:p w14:paraId="5761E89B" w14:textId="77777777" w:rsidR="00A56EE9" w:rsidRPr="00E70A11" w:rsidRDefault="00A56EE9" w:rsidP="00A11869">
            <w:pPr>
              <w:pStyle w:val="ListParagraph"/>
              <w:numPr>
                <w:ilvl w:val="1"/>
                <w:numId w:val="266"/>
              </w:numPr>
              <w:spacing w:after="200" w:line="276" w:lineRule="auto"/>
              <w:rPr>
                <w:rFonts w:ascii="Arial Narrow" w:hAnsi="Arial Narrow"/>
                <w:sz w:val="18"/>
                <w:szCs w:val="18"/>
              </w:rPr>
            </w:pPr>
            <w:r w:rsidRPr="00E70A11">
              <w:rPr>
                <w:rFonts w:ascii="Arial Narrow" w:hAnsi="Arial Narrow"/>
                <w:sz w:val="18"/>
                <w:szCs w:val="18"/>
              </w:rPr>
              <w:t>the agency’s Compliance Policy;</w:t>
            </w:r>
          </w:p>
          <w:p w14:paraId="5761E89C" w14:textId="77777777" w:rsidR="00A56EE9" w:rsidRPr="00E70A11" w:rsidRDefault="00A56EE9" w:rsidP="00A11869">
            <w:pPr>
              <w:pStyle w:val="ListParagraph"/>
              <w:numPr>
                <w:ilvl w:val="1"/>
                <w:numId w:val="266"/>
              </w:numPr>
              <w:spacing w:after="200" w:line="276" w:lineRule="auto"/>
              <w:rPr>
                <w:rFonts w:ascii="Arial Narrow" w:hAnsi="Arial Narrow"/>
                <w:sz w:val="18"/>
                <w:szCs w:val="18"/>
              </w:rPr>
            </w:pPr>
            <w:r w:rsidRPr="00E70A11">
              <w:rPr>
                <w:rFonts w:ascii="Arial Narrow" w:hAnsi="Arial Narrow"/>
                <w:sz w:val="18"/>
                <w:szCs w:val="18"/>
              </w:rPr>
              <w:t>recommendations made via the ANAO’s performance audit of the agency’s permission system;</w:t>
            </w:r>
          </w:p>
          <w:p w14:paraId="5761E89D" w14:textId="77777777" w:rsidR="00A56EE9" w:rsidRPr="00E70A11" w:rsidRDefault="00A56EE9" w:rsidP="00A11869">
            <w:pPr>
              <w:pStyle w:val="ListParagraph"/>
              <w:numPr>
                <w:ilvl w:val="1"/>
                <w:numId w:val="266"/>
              </w:numPr>
              <w:spacing w:after="200" w:line="276" w:lineRule="auto"/>
              <w:rPr>
                <w:rFonts w:ascii="Arial Narrow" w:hAnsi="Arial Narrow"/>
                <w:sz w:val="18"/>
                <w:szCs w:val="18"/>
              </w:rPr>
            </w:pPr>
            <w:r w:rsidRPr="00E70A11">
              <w:rPr>
                <w:rFonts w:ascii="Arial Narrow" w:hAnsi="Arial Narrow"/>
                <w:sz w:val="18"/>
                <w:szCs w:val="18"/>
              </w:rPr>
              <w:t>the Australian National Audit Office’s Better Practice Guide, Administering Regulation2; and</w:t>
            </w:r>
          </w:p>
          <w:p w14:paraId="5761E89E" w14:textId="77777777" w:rsidR="00A56EE9" w:rsidRPr="00E70A11" w:rsidRDefault="00A56EE9" w:rsidP="00A11869">
            <w:pPr>
              <w:pStyle w:val="ListParagraph"/>
              <w:numPr>
                <w:ilvl w:val="1"/>
                <w:numId w:val="266"/>
              </w:numPr>
              <w:spacing w:after="200" w:line="276" w:lineRule="auto"/>
              <w:rPr>
                <w:rStyle w:val="BookTitle"/>
                <w:rFonts w:ascii="Arial Narrow" w:hAnsi="Arial Narrow"/>
                <w:sz w:val="18"/>
                <w:szCs w:val="18"/>
                <w:u w:val="single"/>
              </w:rPr>
            </w:pPr>
            <w:r w:rsidRPr="00E70A11">
              <w:rPr>
                <w:rFonts w:ascii="Arial Narrow" w:hAnsi="Arial Narrow"/>
                <w:sz w:val="18"/>
                <w:szCs w:val="18"/>
              </w:rPr>
              <w:t xml:space="preserve">AS/NZS ISO/IEC 17020:2013 Conformity assessment - Requirements for the operation of various types of bodies performing inspection. </w:t>
            </w:r>
          </w:p>
        </w:tc>
        <w:tc>
          <w:tcPr>
            <w:tcW w:w="5231" w:type="dxa"/>
            <w:tcBorders>
              <w:top w:val="single" w:sz="4" w:space="0" w:color="auto"/>
              <w:left w:val="single" w:sz="4" w:space="0" w:color="auto"/>
              <w:bottom w:val="single" w:sz="4" w:space="0" w:color="auto"/>
              <w:right w:val="single" w:sz="4" w:space="0" w:color="auto"/>
            </w:tcBorders>
          </w:tcPr>
          <w:p w14:paraId="5761E89F" w14:textId="77777777" w:rsidR="00A56EE9" w:rsidRPr="00E70A11" w:rsidRDefault="00A56EE9" w:rsidP="00A11869">
            <w:pPr>
              <w:pStyle w:val="ListParagraph"/>
              <w:numPr>
                <w:ilvl w:val="0"/>
                <w:numId w:val="31"/>
              </w:numPr>
              <w:spacing w:after="200" w:line="276" w:lineRule="auto"/>
              <w:rPr>
                <w:rFonts w:ascii="Arial Narrow" w:hAnsi="Arial Narrow"/>
                <w:sz w:val="18"/>
                <w:szCs w:val="18"/>
              </w:rPr>
            </w:pPr>
            <w:r w:rsidRPr="00E70A11">
              <w:rPr>
                <w:rFonts w:ascii="Arial Narrow" w:hAnsi="Arial Narrow"/>
                <w:sz w:val="18"/>
                <w:szCs w:val="18"/>
              </w:rPr>
              <w:t>High standard operators:</w:t>
            </w:r>
          </w:p>
          <w:p w14:paraId="5761E8A0" w14:textId="188BC7D3" w:rsidR="00A56EE9" w:rsidRPr="00E70A11" w:rsidRDefault="008B5998" w:rsidP="00A11869">
            <w:pPr>
              <w:pStyle w:val="ListParagraph"/>
              <w:numPr>
                <w:ilvl w:val="0"/>
                <w:numId w:val="31"/>
              </w:numPr>
              <w:spacing w:after="200" w:line="276" w:lineRule="auto"/>
              <w:rPr>
                <w:rFonts w:ascii="Arial Narrow" w:hAnsi="Arial Narrow"/>
                <w:sz w:val="18"/>
                <w:szCs w:val="18"/>
                <w:u w:val="single"/>
              </w:rPr>
            </w:pPr>
            <w:hyperlink r:id="rId344" w:tooltip="document link" w:history="1">
              <w:r w:rsidR="00A56EE9" w:rsidRPr="00E70A11">
                <w:rPr>
                  <w:rStyle w:val="Hyperlink"/>
                  <w:rFonts w:ascii="Arial Narrow" w:hAnsi="Arial Narrow"/>
                  <w:sz w:val="18"/>
                  <w:szCs w:val="18"/>
                </w:rPr>
                <w:t>http://www.gbrmpa.gov.au/visit-the-reef/choose-a-high-standard-operator/high-standard-tourism-operation</w:t>
              </w:r>
            </w:hyperlink>
          </w:p>
          <w:p w14:paraId="5761E8A1" w14:textId="71C89A42" w:rsidR="00A56EE9" w:rsidRPr="00E70A11" w:rsidRDefault="00A56EE9" w:rsidP="00A11869">
            <w:pPr>
              <w:pStyle w:val="ListParagraph"/>
              <w:numPr>
                <w:ilvl w:val="0"/>
                <w:numId w:val="31"/>
              </w:numPr>
              <w:spacing w:after="200" w:line="276" w:lineRule="auto"/>
              <w:rPr>
                <w:rFonts w:ascii="Arial Narrow" w:hAnsi="Arial Narrow"/>
                <w:sz w:val="18"/>
                <w:szCs w:val="18"/>
              </w:rPr>
            </w:pPr>
            <w:r w:rsidRPr="00E70A11">
              <w:rPr>
                <w:rFonts w:ascii="Arial Narrow" w:hAnsi="Arial Narrow"/>
                <w:sz w:val="18"/>
                <w:szCs w:val="18"/>
              </w:rPr>
              <w:t xml:space="preserve">International recognition Tourism for Tomorrow Award </w:t>
            </w:r>
            <w:hyperlink r:id="rId345" w:tooltip="document link" w:history="1">
              <w:r w:rsidRPr="00E70A11">
                <w:rPr>
                  <w:rStyle w:val="Hyperlink"/>
                  <w:rFonts w:ascii="Arial Narrow" w:hAnsi="Arial Narrow"/>
                  <w:sz w:val="18"/>
                  <w:szCs w:val="18"/>
                </w:rPr>
                <w:t>http://www.tourismfortomorrow.com/prevwinners/2007winners.htm</w:t>
              </w:r>
            </w:hyperlink>
          </w:p>
          <w:p w14:paraId="5761E8A2" w14:textId="77777777" w:rsidR="00A56EE9" w:rsidRPr="00E70A11" w:rsidRDefault="00A56EE9" w:rsidP="00A11869">
            <w:pPr>
              <w:pStyle w:val="ListParagraph"/>
              <w:numPr>
                <w:ilvl w:val="0"/>
                <w:numId w:val="31"/>
              </w:numPr>
              <w:spacing w:after="200" w:line="276" w:lineRule="auto"/>
              <w:rPr>
                <w:rFonts w:ascii="Arial Narrow" w:hAnsi="Arial Narrow"/>
                <w:sz w:val="18"/>
                <w:szCs w:val="18"/>
              </w:rPr>
            </w:pPr>
            <w:r w:rsidRPr="00E70A11">
              <w:rPr>
                <w:rFonts w:ascii="Arial Narrow" w:hAnsi="Arial Narrow"/>
                <w:sz w:val="18"/>
                <w:szCs w:val="18"/>
              </w:rPr>
              <w:t>Strengthening Permission Compliance Action Plan</w:t>
            </w:r>
          </w:p>
          <w:p w14:paraId="5761E8A3" w14:textId="5C27097B" w:rsidR="00A56EE9" w:rsidRPr="00E70A11" w:rsidRDefault="00A56EE9" w:rsidP="00A11869">
            <w:pPr>
              <w:pStyle w:val="ListParagraph"/>
              <w:numPr>
                <w:ilvl w:val="0"/>
                <w:numId w:val="31"/>
              </w:numPr>
              <w:spacing w:after="200" w:line="276" w:lineRule="auto"/>
              <w:rPr>
                <w:rStyle w:val="BookTitle"/>
                <w:rFonts w:ascii="Arial Narrow" w:hAnsi="Arial Narrow"/>
                <w:sz w:val="18"/>
                <w:szCs w:val="18"/>
              </w:rPr>
            </w:pPr>
            <w:r w:rsidRPr="00E70A11">
              <w:rPr>
                <w:rFonts w:ascii="Arial Narrow" w:hAnsi="Arial Narrow"/>
                <w:sz w:val="18"/>
                <w:szCs w:val="18"/>
              </w:rPr>
              <w:t xml:space="preserve">Responsible Reef Practices: </w:t>
            </w:r>
            <w:hyperlink r:id="rId346" w:tooltip="document link" w:history="1">
              <w:r w:rsidRPr="00E70A11">
                <w:rPr>
                  <w:rStyle w:val="Hyperlink"/>
                  <w:rFonts w:ascii="Arial Narrow" w:hAnsi="Arial Narrow"/>
                  <w:sz w:val="18"/>
                  <w:szCs w:val="18"/>
                </w:rPr>
                <w:t>http://www.gbrmpa.gov.au/onboard/stewardship-and-best-practice/responsible-reef-practices</w:t>
              </w:r>
            </w:hyperlink>
          </w:p>
        </w:tc>
        <w:tc>
          <w:tcPr>
            <w:tcW w:w="1006" w:type="dxa"/>
            <w:tcBorders>
              <w:top w:val="single" w:sz="4" w:space="0" w:color="auto"/>
              <w:left w:val="single" w:sz="4" w:space="0" w:color="auto"/>
              <w:bottom w:val="single" w:sz="4" w:space="0" w:color="auto"/>
              <w:right w:val="single" w:sz="4" w:space="0" w:color="auto"/>
            </w:tcBorders>
          </w:tcPr>
          <w:p w14:paraId="5761E8A4"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A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B0"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A7"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Targets have been established to benchmark management performance for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A8"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A9" w14:textId="77777777" w:rsidR="00A56EE9" w:rsidRPr="00E70A11" w:rsidRDefault="00A56EE9" w:rsidP="00A11869">
            <w:pPr>
              <w:pStyle w:val="ListParagraph"/>
              <w:numPr>
                <w:ilvl w:val="0"/>
                <w:numId w:val="266"/>
              </w:numPr>
              <w:spacing w:after="200" w:line="276" w:lineRule="auto"/>
              <w:rPr>
                <w:rFonts w:ascii="Arial Narrow" w:hAnsi="Arial Narrow"/>
                <w:sz w:val="18"/>
                <w:szCs w:val="18"/>
              </w:rPr>
            </w:pPr>
            <w:r w:rsidRPr="00E70A11">
              <w:rPr>
                <w:rFonts w:ascii="Arial Narrow" w:hAnsi="Arial Narrow"/>
                <w:sz w:val="18"/>
                <w:szCs w:val="18"/>
              </w:rPr>
              <w:t>Sixty-three per cent of visitors to the Great Barrier Reef Marine Park travel with High Standard Tourism Operations</w:t>
            </w:r>
          </w:p>
          <w:p w14:paraId="5761E8AA" w14:textId="77777777" w:rsidR="00A56EE9" w:rsidRPr="00E70A11" w:rsidRDefault="00A56EE9" w:rsidP="00A11869">
            <w:pPr>
              <w:pStyle w:val="ListParagraph"/>
              <w:numPr>
                <w:ilvl w:val="0"/>
                <w:numId w:val="266"/>
              </w:numPr>
              <w:spacing w:after="200" w:line="276" w:lineRule="auto"/>
              <w:rPr>
                <w:rStyle w:val="BookTitle"/>
                <w:rFonts w:ascii="Arial Narrow" w:hAnsi="Arial Narrow"/>
                <w:sz w:val="18"/>
                <w:szCs w:val="18"/>
              </w:rPr>
            </w:pPr>
            <w:r>
              <w:rPr>
                <w:rFonts w:ascii="Arial Narrow" w:hAnsi="Arial Narrow"/>
                <w:sz w:val="18"/>
                <w:szCs w:val="18"/>
              </w:rPr>
              <w:t>Permission\c</w:t>
            </w:r>
            <w:r w:rsidRPr="00E70A11">
              <w:rPr>
                <w:rFonts w:ascii="Arial Narrow" w:hAnsi="Arial Narrow"/>
                <w:sz w:val="18"/>
                <w:szCs w:val="18"/>
              </w:rPr>
              <w:t>ompliance targets are being met</w:t>
            </w:r>
          </w:p>
        </w:tc>
        <w:tc>
          <w:tcPr>
            <w:tcW w:w="5231" w:type="dxa"/>
            <w:tcBorders>
              <w:top w:val="single" w:sz="4" w:space="0" w:color="auto"/>
              <w:left w:val="single" w:sz="4" w:space="0" w:color="auto"/>
              <w:bottom w:val="single" w:sz="4" w:space="0" w:color="auto"/>
              <w:right w:val="single" w:sz="4" w:space="0" w:color="auto"/>
            </w:tcBorders>
          </w:tcPr>
          <w:p w14:paraId="5761E8AB" w14:textId="77777777" w:rsidR="00A56EE9" w:rsidRPr="00E70A11" w:rsidRDefault="00A56EE9" w:rsidP="00A11869">
            <w:pPr>
              <w:pStyle w:val="ListParagraph"/>
              <w:numPr>
                <w:ilvl w:val="0"/>
                <w:numId w:val="31"/>
              </w:numPr>
              <w:spacing w:after="200" w:line="276" w:lineRule="auto"/>
              <w:rPr>
                <w:rFonts w:ascii="Arial Narrow" w:hAnsi="Arial Narrow"/>
                <w:sz w:val="18"/>
                <w:szCs w:val="18"/>
              </w:rPr>
            </w:pPr>
            <w:r w:rsidRPr="00E70A11">
              <w:rPr>
                <w:rFonts w:ascii="Arial Narrow" w:hAnsi="Arial Narrow"/>
                <w:sz w:val="18"/>
                <w:szCs w:val="18"/>
              </w:rPr>
              <w:t>High standard operators:</w:t>
            </w:r>
          </w:p>
          <w:p w14:paraId="5761E8AC" w14:textId="6F811495" w:rsidR="00A56EE9" w:rsidRPr="00E70A11" w:rsidRDefault="008B5998" w:rsidP="00A11869">
            <w:pPr>
              <w:pStyle w:val="ListParagraph"/>
              <w:numPr>
                <w:ilvl w:val="0"/>
                <w:numId w:val="31"/>
              </w:numPr>
              <w:spacing w:after="200" w:line="276" w:lineRule="auto"/>
              <w:rPr>
                <w:rFonts w:ascii="Arial Narrow" w:hAnsi="Arial Narrow"/>
                <w:sz w:val="18"/>
                <w:szCs w:val="18"/>
                <w:u w:val="single"/>
              </w:rPr>
            </w:pPr>
            <w:hyperlink r:id="rId347" w:tooltip="document link" w:history="1">
              <w:r w:rsidR="00A56EE9" w:rsidRPr="00E70A11">
                <w:rPr>
                  <w:rStyle w:val="Hyperlink"/>
                  <w:rFonts w:ascii="Arial Narrow" w:hAnsi="Arial Narrow"/>
                  <w:sz w:val="18"/>
                  <w:szCs w:val="18"/>
                </w:rPr>
                <w:t>http://www.gbrmpa.gov.au/visit-the-reef/choose-a-high-standard-operator/high-standard-tourism-operation</w:t>
              </w:r>
            </w:hyperlink>
          </w:p>
          <w:p w14:paraId="5761E8AD" w14:textId="77777777" w:rsidR="00A56EE9" w:rsidRPr="00E70A11" w:rsidRDefault="00A56EE9" w:rsidP="00BB6AD5">
            <w:pPr>
              <w:pStyle w:val="ListParagraph"/>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8AE"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A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B7"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8B1" w14:textId="77777777" w:rsidR="00A56EE9" w:rsidRPr="00E70A11" w:rsidRDefault="00A56EE9" w:rsidP="00BB6AD5">
            <w:pPr>
              <w:pStyle w:val="Tablebulletlist"/>
              <w:rPr>
                <w:rStyle w:val="BookTitle"/>
              </w:rPr>
            </w:pPr>
            <w:r w:rsidRPr="00E70A11">
              <w:rPr>
                <w:rStyle w:val="BookTitle"/>
              </w:rPr>
              <w:t>OUTPUTS</w:t>
            </w:r>
          </w:p>
        </w:tc>
        <w:tc>
          <w:tcPr>
            <w:tcW w:w="66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8B2" w14:textId="77777777" w:rsidR="00A56EE9" w:rsidRPr="00E70A11" w:rsidRDefault="00A56EE9" w:rsidP="00BB6AD5">
            <w:pPr>
              <w:pStyle w:val="Tablebulletlist"/>
              <w:rPr>
                <w:rStyle w:val="BookTitle"/>
              </w:rPr>
            </w:pPr>
          </w:p>
        </w:tc>
        <w:tc>
          <w:tcPr>
            <w:tcW w:w="45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8B3" w14:textId="77777777" w:rsidR="00A56EE9" w:rsidRPr="00E70A11" w:rsidRDefault="00A56EE9" w:rsidP="00BB6AD5">
            <w:pPr>
              <w:pStyle w:val="ListParagraph"/>
              <w:ind w:left="360"/>
              <w:rPr>
                <w:rStyle w:val="BookTitle"/>
                <w:rFonts w:ascii="Arial Narrow" w:hAnsi="Arial Narrow"/>
                <w:sz w:val="18"/>
                <w:szCs w:val="18"/>
              </w:rPr>
            </w:pPr>
          </w:p>
        </w:tc>
        <w:tc>
          <w:tcPr>
            <w:tcW w:w="523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8B4" w14:textId="77777777" w:rsidR="00A56EE9" w:rsidRPr="00E70A11" w:rsidRDefault="00A56EE9" w:rsidP="00BB6AD5">
            <w:pPr>
              <w:pStyle w:val="ListParagraph"/>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8B5" w14:textId="77777777" w:rsidR="00A56EE9" w:rsidRPr="00E70A11" w:rsidRDefault="00A56EE9" w:rsidP="00BB6AD5">
            <w:pPr>
              <w:pStyle w:val="Tablebulletlist"/>
              <w:rPr>
                <w:rStyle w:val="BookTitle"/>
              </w:rPr>
            </w:pPr>
          </w:p>
        </w:tc>
        <w:tc>
          <w:tcPr>
            <w:tcW w:w="121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8B6" w14:textId="77777777" w:rsidR="00A56EE9" w:rsidRPr="00E70A11" w:rsidRDefault="00A56EE9" w:rsidP="00BB6AD5">
            <w:pPr>
              <w:pStyle w:val="Tablebulletlist"/>
              <w:rPr>
                <w:rStyle w:val="BookTitle"/>
              </w:rPr>
            </w:pPr>
          </w:p>
        </w:tc>
      </w:tr>
      <w:tr w:rsidR="00A56EE9" w:rsidRPr="00E70A11" w14:paraId="5761E8C2"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B8"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commercial marine tourism </w:t>
            </w:r>
          </w:p>
        </w:tc>
        <w:tc>
          <w:tcPr>
            <w:tcW w:w="664" w:type="dxa"/>
            <w:tcBorders>
              <w:top w:val="single" w:sz="4" w:space="0" w:color="auto"/>
              <w:left w:val="single" w:sz="4" w:space="0" w:color="auto"/>
              <w:bottom w:val="single" w:sz="4" w:space="0" w:color="auto"/>
              <w:right w:val="single" w:sz="4" w:space="0" w:color="auto"/>
            </w:tcBorders>
          </w:tcPr>
          <w:p w14:paraId="5761E8B9"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BA" w14:textId="77777777" w:rsidR="00A56EE9" w:rsidRPr="00E70A11" w:rsidRDefault="00A56EE9" w:rsidP="00A11869">
            <w:pPr>
              <w:pStyle w:val="ListParagraph"/>
              <w:numPr>
                <w:ilvl w:val="0"/>
                <w:numId w:val="267"/>
              </w:numPr>
              <w:spacing w:after="200" w:line="276" w:lineRule="auto"/>
              <w:rPr>
                <w:rFonts w:ascii="Arial Narrow" w:hAnsi="Arial Narrow"/>
                <w:sz w:val="18"/>
                <w:szCs w:val="18"/>
              </w:rPr>
            </w:pPr>
            <w:r w:rsidRPr="00E70A11">
              <w:rPr>
                <w:rFonts w:ascii="Arial Narrow" w:hAnsi="Arial Narrow"/>
                <w:sz w:val="18"/>
                <w:szCs w:val="18"/>
              </w:rPr>
              <w:t>Generally management programs are delivered on time however some delays inevitably are outside the GBRMPA’s control, eg. POM amendments slow due to legislative impediments and available resources/priority</w:t>
            </w:r>
          </w:p>
          <w:p w14:paraId="5761E8BB" w14:textId="77777777" w:rsidR="00A56EE9" w:rsidRDefault="00A56EE9" w:rsidP="00A11869">
            <w:pPr>
              <w:pStyle w:val="ListParagraph"/>
              <w:numPr>
                <w:ilvl w:val="0"/>
                <w:numId w:val="267"/>
              </w:numPr>
              <w:spacing w:after="200" w:line="276" w:lineRule="auto"/>
              <w:rPr>
                <w:rFonts w:ascii="Arial Narrow" w:hAnsi="Arial Narrow"/>
                <w:sz w:val="18"/>
                <w:szCs w:val="18"/>
              </w:rPr>
            </w:pPr>
            <w:r w:rsidRPr="00E70A11">
              <w:rPr>
                <w:rFonts w:ascii="Arial Narrow" w:hAnsi="Arial Narrow"/>
                <w:sz w:val="18"/>
                <w:szCs w:val="18"/>
              </w:rPr>
              <w:t>Since 2014, a significant amount of work has been dedicated to producing outputs related to streamlined permitting processes (which heavily impact on and manage commercial marine tourism) and some tourism policy.</w:t>
            </w:r>
            <w:r>
              <w:rPr>
                <w:rFonts w:ascii="Arial Narrow" w:hAnsi="Arial Narrow"/>
                <w:sz w:val="18"/>
                <w:szCs w:val="18"/>
              </w:rPr>
              <w:t xml:space="preserve"> </w:t>
            </w:r>
          </w:p>
          <w:p w14:paraId="5761E8BC" w14:textId="77777777" w:rsidR="00A56EE9" w:rsidRPr="0087678F" w:rsidRDefault="00A56EE9" w:rsidP="00A11869">
            <w:pPr>
              <w:pStyle w:val="ListParagraph"/>
              <w:numPr>
                <w:ilvl w:val="0"/>
                <w:numId w:val="267"/>
              </w:numPr>
              <w:spacing w:after="200" w:line="276" w:lineRule="auto"/>
              <w:rPr>
                <w:rFonts w:ascii="Arial Narrow" w:hAnsi="Arial Narrow"/>
                <w:sz w:val="18"/>
                <w:szCs w:val="18"/>
              </w:rPr>
            </w:pPr>
            <w:r>
              <w:rPr>
                <w:rFonts w:ascii="Arial Narrow" w:hAnsi="Arial Narrow"/>
                <w:sz w:val="18"/>
                <w:szCs w:val="18"/>
              </w:rPr>
              <w:t>The Whitsundays Plan of Management was reviewed in 2015-17 and implemented progressively from when it came into effect on 2 August 2017</w:t>
            </w:r>
          </w:p>
          <w:p w14:paraId="5761E8BD" w14:textId="77777777" w:rsidR="00A56EE9" w:rsidRPr="00E70A11" w:rsidRDefault="00A56EE9" w:rsidP="00A11869">
            <w:pPr>
              <w:pStyle w:val="ListParagraph"/>
              <w:numPr>
                <w:ilvl w:val="0"/>
                <w:numId w:val="267"/>
              </w:numPr>
              <w:spacing w:after="200" w:line="276" w:lineRule="auto"/>
              <w:rPr>
                <w:rStyle w:val="BookTitle"/>
                <w:rFonts w:ascii="Arial Narrow" w:hAnsi="Arial Narrow"/>
                <w:sz w:val="18"/>
                <w:szCs w:val="18"/>
              </w:rPr>
            </w:pPr>
            <w:r w:rsidRPr="00E70A11">
              <w:rPr>
                <w:rFonts w:ascii="Arial Narrow" w:hAnsi="Arial Narrow"/>
                <w:sz w:val="18"/>
                <w:szCs w:val="18"/>
              </w:rPr>
              <w:t>An overarching strategy for the management of tourism has not been progressed due to competing Authority priorities of amending the Whitsundays Plan of Management and managing the crown-of-thorns starfish control program. With the new operational structure in place for the Authority in late 2017, there will be a dedicated focus on tourism policy</w:t>
            </w:r>
          </w:p>
        </w:tc>
        <w:tc>
          <w:tcPr>
            <w:tcW w:w="5231" w:type="dxa"/>
            <w:tcBorders>
              <w:top w:val="single" w:sz="4" w:space="0" w:color="auto"/>
              <w:left w:val="single" w:sz="4" w:space="0" w:color="auto"/>
              <w:bottom w:val="single" w:sz="4" w:space="0" w:color="auto"/>
              <w:right w:val="single" w:sz="4" w:space="0" w:color="auto"/>
            </w:tcBorders>
          </w:tcPr>
          <w:p w14:paraId="5761E8BE" w14:textId="77777777" w:rsidR="00A56EE9" w:rsidRPr="00E70A11" w:rsidRDefault="00A56EE9" w:rsidP="00A11869">
            <w:pPr>
              <w:pStyle w:val="ListParagraph"/>
              <w:numPr>
                <w:ilvl w:val="0"/>
                <w:numId w:val="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Stakeholders and workshops</w:t>
            </w:r>
          </w:p>
          <w:p w14:paraId="5761E8BF" w14:textId="77777777" w:rsidR="00A56EE9" w:rsidRPr="00E70A11" w:rsidRDefault="00A56EE9" w:rsidP="00A11869">
            <w:pPr>
              <w:pStyle w:val="ListParagraph"/>
              <w:numPr>
                <w:ilvl w:val="0"/>
                <w:numId w:val="32"/>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Whitsunday Plan of Management </w:t>
            </w:r>
          </w:p>
        </w:tc>
        <w:tc>
          <w:tcPr>
            <w:tcW w:w="1006" w:type="dxa"/>
            <w:tcBorders>
              <w:top w:val="single" w:sz="4" w:space="0" w:color="auto"/>
              <w:left w:val="single" w:sz="4" w:space="0" w:color="auto"/>
              <w:bottom w:val="single" w:sz="4" w:space="0" w:color="auto"/>
              <w:right w:val="single" w:sz="4" w:space="0" w:color="auto"/>
            </w:tcBorders>
          </w:tcPr>
          <w:p w14:paraId="5761E8C0" w14:textId="77777777" w:rsidR="00A56EE9" w:rsidRPr="00E70A11" w:rsidRDefault="00A56EE9" w:rsidP="00BB6AD5">
            <w:pPr>
              <w:pStyle w:val="Tablebulletlist"/>
              <w:rPr>
                <w:rStyle w:val="BookTitle"/>
              </w:rPr>
            </w:pPr>
            <w:r w:rsidRPr="00E70A11">
              <w:rPr>
                <w:rStyle w:val="BookTitle"/>
              </w:rPr>
              <w:t>Limited</w:t>
            </w:r>
          </w:p>
        </w:tc>
        <w:tc>
          <w:tcPr>
            <w:tcW w:w="1215" w:type="dxa"/>
            <w:tcBorders>
              <w:top w:val="single" w:sz="4" w:space="0" w:color="auto"/>
              <w:left w:val="single" w:sz="4" w:space="0" w:color="auto"/>
              <w:bottom w:val="single" w:sz="4" w:space="0" w:color="auto"/>
              <w:right w:val="single" w:sz="4" w:space="0" w:color="auto"/>
            </w:tcBorders>
          </w:tcPr>
          <w:p w14:paraId="5761E8C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CC"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C3"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commercial marine tourism have progressed in accordance with timeframes specified in those documents</w:t>
            </w:r>
          </w:p>
        </w:tc>
        <w:tc>
          <w:tcPr>
            <w:tcW w:w="664" w:type="dxa"/>
            <w:tcBorders>
              <w:top w:val="single" w:sz="4" w:space="0" w:color="auto"/>
              <w:left w:val="single" w:sz="4" w:space="0" w:color="auto"/>
              <w:bottom w:val="single" w:sz="4" w:space="0" w:color="auto"/>
              <w:right w:val="single" w:sz="4" w:space="0" w:color="auto"/>
            </w:tcBorders>
          </w:tcPr>
          <w:p w14:paraId="5761E8C4"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C5" w14:textId="77777777" w:rsidR="00A56EE9" w:rsidRPr="00E70A11" w:rsidRDefault="00A56EE9" w:rsidP="00A11869">
            <w:pPr>
              <w:pStyle w:val="ListParagraph"/>
              <w:numPr>
                <w:ilvl w:val="0"/>
                <w:numId w:val="267"/>
              </w:numPr>
              <w:spacing w:after="200" w:line="276" w:lineRule="auto"/>
              <w:rPr>
                <w:rFonts w:ascii="Arial Narrow" w:hAnsi="Arial Narrow"/>
                <w:sz w:val="18"/>
                <w:szCs w:val="18"/>
              </w:rPr>
            </w:pPr>
            <w:r w:rsidRPr="00E70A11">
              <w:rPr>
                <w:rFonts w:ascii="Arial Narrow" w:hAnsi="Arial Narrow"/>
                <w:sz w:val="18"/>
                <w:szCs w:val="18"/>
              </w:rPr>
              <w:t>While many programs are ongoing, in general programs are delivered within timeframes (e.g. High Standard Tourism program, Eye on the Reef program, COTS program).</w:t>
            </w:r>
          </w:p>
          <w:p w14:paraId="5761E8C6" w14:textId="77777777" w:rsidR="00A56EE9" w:rsidRPr="00E70A11" w:rsidRDefault="00A56EE9" w:rsidP="00BB6AD5">
            <w:pPr>
              <w:pStyle w:val="ListParagraph"/>
              <w:ind w:left="360"/>
              <w:rPr>
                <w:rStyle w:val="BookTitle"/>
                <w:rFonts w:ascii="Arial Narrow" w:hAnsi="Arial Narrow"/>
                <w:sz w:val="18"/>
                <w:szCs w:val="18"/>
              </w:rPr>
            </w:pPr>
          </w:p>
        </w:tc>
        <w:tc>
          <w:tcPr>
            <w:tcW w:w="5231" w:type="dxa"/>
            <w:tcBorders>
              <w:top w:val="single" w:sz="4" w:space="0" w:color="auto"/>
              <w:left w:val="single" w:sz="4" w:space="0" w:color="auto"/>
              <w:bottom w:val="single" w:sz="4" w:space="0" w:color="auto"/>
              <w:right w:val="single" w:sz="4" w:space="0" w:color="auto"/>
            </w:tcBorders>
          </w:tcPr>
          <w:p w14:paraId="5761E8C7" w14:textId="77777777" w:rsidR="00A56EE9" w:rsidRPr="00E70A11" w:rsidRDefault="00A56EE9" w:rsidP="00A11869">
            <w:pPr>
              <w:pStyle w:val="ListParagraph"/>
              <w:numPr>
                <w:ilvl w:val="0"/>
                <w:numId w:val="33"/>
              </w:numPr>
              <w:spacing w:after="200" w:line="276" w:lineRule="auto"/>
              <w:rPr>
                <w:rFonts w:ascii="Arial Narrow" w:hAnsi="Arial Narrow"/>
                <w:sz w:val="18"/>
                <w:szCs w:val="18"/>
              </w:rPr>
            </w:pPr>
            <w:r w:rsidRPr="00E70A11">
              <w:rPr>
                <w:rFonts w:ascii="Arial Narrow" w:hAnsi="Arial Narrow"/>
                <w:sz w:val="18"/>
                <w:szCs w:val="18"/>
              </w:rPr>
              <w:t xml:space="preserve">High Standard Tourism program </w:t>
            </w:r>
          </w:p>
          <w:p w14:paraId="5761E8C8" w14:textId="77777777" w:rsidR="00A56EE9" w:rsidRPr="00E70A11" w:rsidRDefault="00A56EE9" w:rsidP="00A11869">
            <w:pPr>
              <w:pStyle w:val="ListParagraph"/>
              <w:numPr>
                <w:ilvl w:val="0"/>
                <w:numId w:val="33"/>
              </w:numPr>
              <w:spacing w:after="200" w:line="276" w:lineRule="auto"/>
              <w:rPr>
                <w:rFonts w:ascii="Arial Narrow" w:hAnsi="Arial Narrow"/>
                <w:sz w:val="18"/>
                <w:szCs w:val="18"/>
              </w:rPr>
            </w:pPr>
            <w:r w:rsidRPr="00E70A11">
              <w:rPr>
                <w:rFonts w:ascii="Arial Narrow" w:hAnsi="Arial Narrow"/>
                <w:sz w:val="18"/>
                <w:szCs w:val="18"/>
              </w:rPr>
              <w:t>Eye on the Reef program</w:t>
            </w:r>
          </w:p>
          <w:p w14:paraId="5761E8C9" w14:textId="77777777" w:rsidR="00A56EE9" w:rsidRPr="00E70A11" w:rsidRDefault="00A56EE9" w:rsidP="00A11869">
            <w:pPr>
              <w:pStyle w:val="ListParagraph"/>
              <w:numPr>
                <w:ilvl w:val="0"/>
                <w:numId w:val="33"/>
              </w:numPr>
              <w:spacing w:after="200" w:line="276" w:lineRule="auto"/>
              <w:rPr>
                <w:rStyle w:val="BookTitle"/>
                <w:rFonts w:ascii="Arial Narrow" w:hAnsi="Arial Narrow"/>
                <w:sz w:val="18"/>
                <w:szCs w:val="18"/>
              </w:rPr>
            </w:pPr>
            <w:r w:rsidRPr="00E70A11">
              <w:rPr>
                <w:rFonts w:ascii="Arial Narrow" w:hAnsi="Arial Narrow"/>
                <w:sz w:val="18"/>
                <w:szCs w:val="18"/>
              </w:rPr>
              <w:t>COTS program</w:t>
            </w:r>
          </w:p>
        </w:tc>
        <w:tc>
          <w:tcPr>
            <w:tcW w:w="1006" w:type="dxa"/>
            <w:tcBorders>
              <w:top w:val="single" w:sz="4" w:space="0" w:color="auto"/>
              <w:left w:val="single" w:sz="4" w:space="0" w:color="auto"/>
              <w:bottom w:val="single" w:sz="4" w:space="0" w:color="auto"/>
              <w:right w:val="single" w:sz="4" w:space="0" w:color="auto"/>
            </w:tcBorders>
          </w:tcPr>
          <w:p w14:paraId="5761E8CA" w14:textId="77777777" w:rsidR="00A56EE9" w:rsidRPr="00E70A11" w:rsidRDefault="00A56EE9" w:rsidP="00BB6AD5">
            <w:pPr>
              <w:pStyle w:val="Tablebulletlist"/>
              <w:rPr>
                <w:rStyle w:val="BookTitle"/>
              </w:rPr>
            </w:pPr>
            <w:r w:rsidRPr="00E70A11">
              <w:rPr>
                <w:rStyle w:val="BookTitle"/>
              </w:rPr>
              <w:t>Limited</w:t>
            </w:r>
          </w:p>
        </w:tc>
        <w:tc>
          <w:tcPr>
            <w:tcW w:w="1215" w:type="dxa"/>
            <w:tcBorders>
              <w:top w:val="single" w:sz="4" w:space="0" w:color="auto"/>
              <w:left w:val="single" w:sz="4" w:space="0" w:color="auto"/>
              <w:bottom w:val="single" w:sz="4" w:space="0" w:color="auto"/>
              <w:right w:val="single" w:sz="4" w:space="0" w:color="auto"/>
            </w:tcBorders>
          </w:tcPr>
          <w:p w14:paraId="5761E8C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DA"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CD"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CE"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8CF" w14:textId="77777777" w:rsidR="00A56EE9" w:rsidRPr="00E70A11" w:rsidRDefault="00A56EE9" w:rsidP="00A11869">
            <w:pPr>
              <w:pStyle w:val="ListParagraph"/>
              <w:numPr>
                <w:ilvl w:val="0"/>
                <w:numId w:val="267"/>
              </w:numPr>
              <w:spacing w:after="200" w:line="276" w:lineRule="auto"/>
              <w:rPr>
                <w:rFonts w:ascii="Arial Narrow" w:hAnsi="Arial Narrow"/>
                <w:sz w:val="18"/>
                <w:szCs w:val="18"/>
              </w:rPr>
            </w:pPr>
            <w:r w:rsidRPr="00E70A11">
              <w:rPr>
                <w:rFonts w:ascii="Arial Narrow" w:hAnsi="Arial Narrow"/>
                <w:sz w:val="18"/>
                <w:szCs w:val="18"/>
              </w:rPr>
              <w:t>In general, work plans do meet specific objectives</w:t>
            </w:r>
          </w:p>
          <w:p w14:paraId="5761E8D0" w14:textId="77777777" w:rsidR="00A56EE9" w:rsidRPr="00E70A11" w:rsidRDefault="00A56EE9" w:rsidP="00A11869">
            <w:pPr>
              <w:pStyle w:val="ListParagraph"/>
              <w:numPr>
                <w:ilvl w:val="0"/>
                <w:numId w:val="267"/>
              </w:numPr>
              <w:spacing w:after="200" w:line="276" w:lineRule="auto"/>
              <w:rPr>
                <w:rFonts w:ascii="Arial Narrow" w:hAnsi="Arial Narrow"/>
                <w:sz w:val="18"/>
                <w:szCs w:val="18"/>
              </w:rPr>
            </w:pPr>
            <w:r w:rsidRPr="00E70A11">
              <w:rPr>
                <w:rFonts w:ascii="Arial Narrow" w:hAnsi="Arial Narrow"/>
                <w:sz w:val="18"/>
                <w:szCs w:val="18"/>
              </w:rPr>
              <w:t>For example, in 2015–16, marine facilities were serviced to a high standard, with 98 per cent of 123 public moorings and 94 per cent of 144 reef protection markers operational in the World Heritage Area to protect coral and seagrass habitats from anchor damage and facilitate visitor use.</w:t>
            </w:r>
          </w:p>
          <w:p w14:paraId="5761E8D1" w14:textId="77777777" w:rsidR="00A56EE9" w:rsidRPr="00E70A11" w:rsidRDefault="00A56EE9" w:rsidP="00A11869">
            <w:pPr>
              <w:pStyle w:val="ListParagraph"/>
              <w:numPr>
                <w:ilvl w:val="0"/>
                <w:numId w:val="267"/>
              </w:numPr>
              <w:spacing w:after="200" w:line="276" w:lineRule="auto"/>
              <w:rPr>
                <w:rFonts w:ascii="Arial Narrow" w:hAnsi="Arial Narrow"/>
                <w:sz w:val="18"/>
                <w:szCs w:val="18"/>
              </w:rPr>
            </w:pPr>
            <w:r w:rsidRPr="00E70A11">
              <w:rPr>
                <w:rFonts w:ascii="Arial Narrow" w:hAnsi="Arial Narrow"/>
                <w:sz w:val="18"/>
                <w:szCs w:val="18"/>
              </w:rPr>
              <w:t>Reducing the loss of coral cover at high value tourism sites (through removal of crown-of-thorns starfish) to less than what would have occurred without control is a successful outcome.</w:t>
            </w:r>
          </w:p>
          <w:p w14:paraId="5761E8D2" w14:textId="77777777" w:rsidR="00A56EE9" w:rsidRPr="00E70A11" w:rsidRDefault="00A56EE9" w:rsidP="00A11869">
            <w:pPr>
              <w:pStyle w:val="ListParagraph"/>
              <w:numPr>
                <w:ilvl w:val="0"/>
                <w:numId w:val="267"/>
              </w:numPr>
              <w:spacing w:after="200" w:line="276" w:lineRule="auto"/>
              <w:rPr>
                <w:rFonts w:ascii="Arial Narrow" w:hAnsi="Arial Narrow"/>
                <w:sz w:val="18"/>
                <w:szCs w:val="18"/>
              </w:rPr>
            </w:pPr>
            <w:r w:rsidRPr="00E70A11">
              <w:rPr>
                <w:rFonts w:ascii="Arial Narrow" w:hAnsi="Arial Narrow"/>
                <w:sz w:val="18"/>
                <w:szCs w:val="18"/>
              </w:rPr>
              <w:t>Growth of the High Standard Tourism program was achieved in this successful partnership, the number of operators involved has steadily increased to 69 in 2017. These operators carry approximately 63 per cent of tourists visiting the Reef which is above the Portfolio Budget Statement performance indicator of 55 per cent. Auditing ensures that the standards are maintained.</w:t>
            </w:r>
          </w:p>
          <w:p w14:paraId="5761E8D3" w14:textId="77777777" w:rsidR="00A56EE9" w:rsidRPr="00E70A11" w:rsidRDefault="00A56EE9" w:rsidP="00A11869">
            <w:pPr>
              <w:pStyle w:val="ListParagraph"/>
              <w:numPr>
                <w:ilvl w:val="0"/>
                <w:numId w:val="267"/>
              </w:numPr>
              <w:spacing w:after="200" w:line="276" w:lineRule="auto"/>
              <w:rPr>
                <w:rStyle w:val="BookTitle"/>
                <w:rFonts w:ascii="Arial Narrow" w:hAnsi="Arial Narrow"/>
                <w:sz w:val="18"/>
                <w:szCs w:val="18"/>
              </w:rPr>
            </w:pPr>
            <w:r w:rsidRPr="00E70A11">
              <w:rPr>
                <w:rFonts w:ascii="Arial Narrow" w:hAnsi="Arial Narrow"/>
                <w:sz w:val="18"/>
                <w:szCs w:val="18"/>
              </w:rPr>
              <w:t>WPoM was amended after taking into consideration all of the values of the areas, the likely impact of any of the proposed changes and public submissions that were made on the proposed changes.</w:t>
            </w:r>
          </w:p>
        </w:tc>
        <w:tc>
          <w:tcPr>
            <w:tcW w:w="5231" w:type="dxa"/>
            <w:tcBorders>
              <w:top w:val="single" w:sz="4" w:space="0" w:color="auto"/>
              <w:left w:val="single" w:sz="4" w:space="0" w:color="auto"/>
              <w:bottom w:val="single" w:sz="4" w:space="0" w:color="auto"/>
              <w:right w:val="single" w:sz="4" w:space="0" w:color="auto"/>
            </w:tcBorders>
          </w:tcPr>
          <w:p w14:paraId="5761E8D4" w14:textId="77777777" w:rsidR="00A56EE9" w:rsidRPr="00E70A11" w:rsidRDefault="00A56EE9" w:rsidP="00A11869">
            <w:pPr>
              <w:pStyle w:val="ListParagraph"/>
              <w:numPr>
                <w:ilvl w:val="0"/>
                <w:numId w:val="34"/>
              </w:numPr>
              <w:spacing w:after="200" w:line="276" w:lineRule="auto"/>
              <w:rPr>
                <w:rFonts w:ascii="Arial Narrow" w:hAnsi="Arial Narrow"/>
                <w:sz w:val="18"/>
                <w:szCs w:val="18"/>
              </w:rPr>
            </w:pPr>
            <w:r w:rsidRPr="00E70A11">
              <w:rPr>
                <w:rFonts w:ascii="Arial Narrow" w:hAnsi="Arial Narrow"/>
                <w:sz w:val="18"/>
                <w:szCs w:val="18"/>
              </w:rPr>
              <w:t xml:space="preserve">High Standard Tourism program </w:t>
            </w:r>
          </w:p>
          <w:p w14:paraId="5761E8D5" w14:textId="77777777" w:rsidR="00A56EE9" w:rsidRPr="00E70A11" w:rsidRDefault="00A56EE9" w:rsidP="00A11869">
            <w:pPr>
              <w:pStyle w:val="ListParagraph"/>
              <w:numPr>
                <w:ilvl w:val="0"/>
                <w:numId w:val="34"/>
              </w:numPr>
              <w:spacing w:after="200" w:line="276" w:lineRule="auto"/>
              <w:rPr>
                <w:rFonts w:ascii="Arial Narrow" w:hAnsi="Arial Narrow"/>
                <w:sz w:val="18"/>
                <w:szCs w:val="18"/>
              </w:rPr>
            </w:pPr>
            <w:r w:rsidRPr="00E70A11">
              <w:rPr>
                <w:rFonts w:ascii="Arial Narrow" w:hAnsi="Arial Narrow"/>
                <w:sz w:val="18"/>
                <w:szCs w:val="18"/>
              </w:rPr>
              <w:t>Eye on the Reef program</w:t>
            </w:r>
          </w:p>
          <w:p w14:paraId="5761E8D6" w14:textId="77777777" w:rsidR="00A56EE9" w:rsidRPr="00E70A11" w:rsidRDefault="00A56EE9" w:rsidP="00A11869">
            <w:pPr>
              <w:pStyle w:val="ListParagraph"/>
              <w:numPr>
                <w:ilvl w:val="0"/>
                <w:numId w:val="34"/>
              </w:numPr>
              <w:spacing w:after="200" w:line="276" w:lineRule="auto"/>
              <w:rPr>
                <w:rFonts w:ascii="Arial Narrow" w:hAnsi="Arial Narrow"/>
                <w:sz w:val="18"/>
                <w:szCs w:val="18"/>
              </w:rPr>
            </w:pPr>
            <w:r w:rsidRPr="00E70A11">
              <w:rPr>
                <w:rFonts w:ascii="Arial Narrow" w:hAnsi="Arial Narrow"/>
                <w:sz w:val="18"/>
                <w:szCs w:val="18"/>
              </w:rPr>
              <w:t>COTS program</w:t>
            </w:r>
          </w:p>
          <w:p w14:paraId="5761E8D7" w14:textId="77777777" w:rsidR="00A56EE9" w:rsidRPr="00E70A11" w:rsidRDefault="00A56EE9" w:rsidP="00A11869">
            <w:pPr>
              <w:pStyle w:val="ListParagraph"/>
              <w:numPr>
                <w:ilvl w:val="0"/>
                <w:numId w:val="34"/>
              </w:numPr>
              <w:spacing w:after="200" w:line="276" w:lineRule="auto"/>
              <w:rPr>
                <w:rStyle w:val="BookTitle"/>
                <w:rFonts w:ascii="Arial Narrow" w:hAnsi="Arial Narrow"/>
                <w:sz w:val="18"/>
                <w:szCs w:val="18"/>
              </w:rPr>
            </w:pPr>
            <w:r w:rsidRPr="00E70A11">
              <w:rPr>
                <w:rFonts w:ascii="Arial Narrow" w:hAnsi="Arial Narrow"/>
                <w:sz w:val="18"/>
                <w:szCs w:val="18"/>
              </w:rPr>
              <w:t xml:space="preserve">Whitsunday Plan of Management </w:t>
            </w:r>
          </w:p>
        </w:tc>
        <w:tc>
          <w:tcPr>
            <w:tcW w:w="1006" w:type="dxa"/>
            <w:tcBorders>
              <w:top w:val="single" w:sz="4" w:space="0" w:color="auto"/>
              <w:left w:val="single" w:sz="4" w:space="0" w:color="auto"/>
              <w:bottom w:val="single" w:sz="4" w:space="0" w:color="auto"/>
              <w:right w:val="single" w:sz="4" w:space="0" w:color="auto"/>
            </w:tcBorders>
          </w:tcPr>
          <w:p w14:paraId="5761E8D8"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D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E6"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DB"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commercial marine tourism</w:t>
            </w:r>
          </w:p>
        </w:tc>
        <w:tc>
          <w:tcPr>
            <w:tcW w:w="664" w:type="dxa"/>
            <w:tcBorders>
              <w:top w:val="single" w:sz="4" w:space="0" w:color="auto"/>
              <w:left w:val="single" w:sz="4" w:space="0" w:color="auto"/>
              <w:bottom w:val="single" w:sz="4" w:space="0" w:color="auto"/>
              <w:right w:val="single" w:sz="4" w:space="0" w:color="auto"/>
            </w:tcBorders>
          </w:tcPr>
          <w:p w14:paraId="5761E8DC"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8DD" w14:textId="77777777" w:rsidR="00A56EE9" w:rsidRPr="00E70A11" w:rsidRDefault="00A56EE9" w:rsidP="00A11869">
            <w:pPr>
              <w:pStyle w:val="ListParagraph"/>
              <w:numPr>
                <w:ilvl w:val="0"/>
                <w:numId w:val="268"/>
              </w:numPr>
              <w:spacing w:after="200" w:line="276" w:lineRule="auto"/>
              <w:rPr>
                <w:rFonts w:ascii="Arial Narrow" w:hAnsi="Arial Narrow"/>
                <w:sz w:val="18"/>
                <w:szCs w:val="18"/>
              </w:rPr>
            </w:pPr>
            <w:r w:rsidRPr="00E70A11">
              <w:rPr>
                <w:rFonts w:ascii="Arial Narrow" w:hAnsi="Arial Narrow"/>
                <w:sz w:val="18"/>
                <w:szCs w:val="18"/>
              </w:rPr>
              <w:t xml:space="preserve">Products and services related to tourism implemented in accordance with objectives identified in GBRMPA Strategic Plan, Agency Annual Operating Plan </w:t>
            </w:r>
          </w:p>
          <w:p w14:paraId="5761E8DE" w14:textId="77777777" w:rsidR="00A56EE9" w:rsidRPr="00E70A11" w:rsidRDefault="00A56EE9" w:rsidP="00A11869">
            <w:pPr>
              <w:pStyle w:val="ListParagraph"/>
              <w:numPr>
                <w:ilvl w:val="0"/>
                <w:numId w:val="268"/>
              </w:numPr>
              <w:spacing w:after="200" w:line="276" w:lineRule="auto"/>
              <w:rPr>
                <w:rFonts w:ascii="Arial Narrow" w:hAnsi="Arial Narrow"/>
                <w:sz w:val="18"/>
                <w:szCs w:val="18"/>
              </w:rPr>
            </w:pPr>
            <w:r w:rsidRPr="00E70A11">
              <w:rPr>
                <w:rFonts w:ascii="Arial Narrow" w:hAnsi="Arial Narrow"/>
                <w:sz w:val="18"/>
                <w:szCs w:val="18"/>
              </w:rPr>
              <w:t>Tourism policies have been developed and implemented.</w:t>
            </w:r>
          </w:p>
          <w:p w14:paraId="5761E8DF" w14:textId="77777777" w:rsidR="00A56EE9" w:rsidRPr="00E70A11" w:rsidRDefault="00A56EE9" w:rsidP="00A11869">
            <w:pPr>
              <w:pStyle w:val="ListParagraph"/>
              <w:numPr>
                <w:ilvl w:val="0"/>
                <w:numId w:val="268"/>
              </w:numPr>
              <w:spacing w:after="200" w:line="276" w:lineRule="auto"/>
              <w:rPr>
                <w:rStyle w:val="BookTitle"/>
                <w:rFonts w:ascii="Arial Narrow" w:hAnsi="Arial Narrow"/>
                <w:sz w:val="18"/>
                <w:szCs w:val="18"/>
              </w:rPr>
            </w:pPr>
            <w:r w:rsidRPr="00E70A11">
              <w:rPr>
                <w:rFonts w:ascii="Arial Narrow" w:hAnsi="Arial Narrow"/>
                <w:sz w:val="18"/>
                <w:szCs w:val="18"/>
              </w:rPr>
              <w:t xml:space="preserve">Tourism engagement regime has been maintained, however by 2017, the high turnover of Authority staff, long timeframes for permit assessments and policy changes and the inflexibility of some of the managing tools has resulted in strained relations with some of the industry. </w:t>
            </w:r>
          </w:p>
        </w:tc>
        <w:tc>
          <w:tcPr>
            <w:tcW w:w="5231" w:type="dxa"/>
            <w:tcBorders>
              <w:top w:val="single" w:sz="4" w:space="0" w:color="auto"/>
              <w:left w:val="single" w:sz="4" w:space="0" w:color="auto"/>
              <w:bottom w:val="single" w:sz="4" w:space="0" w:color="auto"/>
              <w:right w:val="single" w:sz="4" w:space="0" w:color="auto"/>
            </w:tcBorders>
          </w:tcPr>
          <w:p w14:paraId="5761E8E0" w14:textId="01C2306A" w:rsidR="00A56EE9" w:rsidRPr="00E70A11" w:rsidRDefault="00A56EE9" w:rsidP="00A11869">
            <w:pPr>
              <w:pStyle w:val="ListParagraph"/>
              <w:numPr>
                <w:ilvl w:val="0"/>
                <w:numId w:val="35"/>
              </w:numPr>
              <w:spacing w:after="200" w:line="276" w:lineRule="auto"/>
              <w:rPr>
                <w:rFonts w:ascii="Arial Narrow" w:hAnsi="Arial Narrow"/>
                <w:sz w:val="18"/>
                <w:szCs w:val="18"/>
              </w:rPr>
            </w:pPr>
            <w:r w:rsidRPr="00E70A11">
              <w:rPr>
                <w:rFonts w:ascii="Arial Narrow" w:hAnsi="Arial Narrow"/>
                <w:sz w:val="18"/>
                <w:szCs w:val="18"/>
              </w:rPr>
              <w:t xml:space="preserve">Eye on the Reef program </w:t>
            </w:r>
            <w:hyperlink r:id="rId348" w:tooltip="document link" w:history="1">
              <w:r w:rsidRPr="00E70A11">
                <w:rPr>
                  <w:rStyle w:val="Hyperlink"/>
                  <w:rFonts w:ascii="Arial Narrow" w:hAnsi="Arial Narrow"/>
                  <w:sz w:val="18"/>
                  <w:szCs w:val="18"/>
                </w:rPr>
                <w:t>http://www.gbrmpa.gov.au/about-the-reef/how-the-reefs-managed/our-monitoring-and-assessment-programs/eye-on-the-reef</w:t>
              </w:r>
            </w:hyperlink>
            <w:r w:rsidRPr="00E70A11">
              <w:rPr>
                <w:rFonts w:ascii="Arial Narrow" w:hAnsi="Arial Narrow"/>
                <w:sz w:val="18"/>
                <w:szCs w:val="18"/>
              </w:rPr>
              <w:t xml:space="preserve"> </w:t>
            </w:r>
          </w:p>
          <w:p w14:paraId="5761E8E1" w14:textId="4EF8992F" w:rsidR="00A56EE9" w:rsidRPr="00E70A11" w:rsidRDefault="00A56EE9" w:rsidP="00A11869">
            <w:pPr>
              <w:pStyle w:val="ListParagraph"/>
              <w:numPr>
                <w:ilvl w:val="0"/>
                <w:numId w:val="35"/>
              </w:numPr>
              <w:spacing w:after="200" w:line="276" w:lineRule="auto"/>
              <w:rPr>
                <w:rStyle w:val="Hyperlink"/>
                <w:rFonts w:ascii="Arial Narrow" w:hAnsi="Arial Narrow"/>
                <w:sz w:val="18"/>
                <w:szCs w:val="18"/>
              </w:rPr>
            </w:pPr>
            <w:r w:rsidRPr="00E70A11">
              <w:rPr>
                <w:rFonts w:ascii="Arial Narrow" w:hAnsi="Arial Narrow"/>
                <w:sz w:val="18"/>
                <w:szCs w:val="18"/>
              </w:rPr>
              <w:t xml:space="preserve">High Standard Tourism Program </w:t>
            </w:r>
            <w:hyperlink r:id="rId349" w:tooltip="document link" w:history="1">
              <w:r w:rsidRPr="00E70A11">
                <w:rPr>
                  <w:rStyle w:val="Hyperlink"/>
                  <w:rFonts w:ascii="Arial Narrow" w:hAnsi="Arial Narrow"/>
                  <w:sz w:val="18"/>
                  <w:szCs w:val="18"/>
                </w:rPr>
                <w:t>http://www.gbrmpa.gov.au/corp_site/key_issues/tourism/how_to_choose_a_tour/certification</w:t>
              </w:r>
            </w:hyperlink>
          </w:p>
          <w:p w14:paraId="5761E8E2" w14:textId="77777777" w:rsidR="00A56EE9" w:rsidRPr="00E70A11" w:rsidRDefault="00A56EE9" w:rsidP="00A11869">
            <w:pPr>
              <w:pStyle w:val="ListParagraph"/>
              <w:numPr>
                <w:ilvl w:val="0"/>
                <w:numId w:val="35"/>
              </w:numPr>
              <w:spacing w:after="200" w:line="276" w:lineRule="auto"/>
              <w:rPr>
                <w:rFonts w:ascii="Arial Narrow" w:hAnsi="Arial Narrow"/>
                <w:sz w:val="18"/>
                <w:szCs w:val="18"/>
              </w:rPr>
            </w:pPr>
            <w:r w:rsidRPr="00E70A11">
              <w:rPr>
                <w:rFonts w:ascii="Arial Narrow" w:hAnsi="Arial Narrow"/>
                <w:sz w:val="18"/>
                <w:szCs w:val="18"/>
              </w:rPr>
              <w:t>Stakeholders and workshops</w:t>
            </w:r>
          </w:p>
          <w:p w14:paraId="5761E8E3" w14:textId="77777777" w:rsidR="00A56EE9" w:rsidRPr="00E70A11" w:rsidRDefault="00A56EE9" w:rsidP="00BB6AD5">
            <w:pPr>
              <w:pStyle w:val="ListParagraph"/>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8E4"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E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8F4"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shd w:val="clear" w:color="auto" w:fill="auto"/>
          </w:tcPr>
          <w:p w14:paraId="5761E8E7"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commercial marine tourism are in place within agencies</w:t>
            </w:r>
          </w:p>
        </w:tc>
        <w:tc>
          <w:tcPr>
            <w:tcW w:w="664" w:type="dxa"/>
            <w:tcBorders>
              <w:top w:val="single" w:sz="4" w:space="0" w:color="auto"/>
              <w:left w:val="single" w:sz="4" w:space="0" w:color="auto"/>
              <w:bottom w:val="single" w:sz="4" w:space="0" w:color="auto"/>
              <w:right w:val="single" w:sz="4" w:space="0" w:color="auto"/>
            </w:tcBorders>
          </w:tcPr>
          <w:p w14:paraId="5761E8E8"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8E9" w14:textId="77777777" w:rsidR="00A56EE9" w:rsidRPr="00E70A11" w:rsidRDefault="00A56EE9" w:rsidP="00A11869">
            <w:pPr>
              <w:pStyle w:val="ListParagraph"/>
              <w:numPr>
                <w:ilvl w:val="0"/>
                <w:numId w:val="268"/>
              </w:numPr>
              <w:spacing w:after="200" w:line="276" w:lineRule="auto"/>
              <w:rPr>
                <w:rFonts w:ascii="Arial Narrow" w:hAnsi="Arial Narrow"/>
                <w:sz w:val="18"/>
                <w:szCs w:val="18"/>
              </w:rPr>
            </w:pPr>
            <w:r w:rsidRPr="00E70A11">
              <w:rPr>
                <w:rFonts w:ascii="Arial Narrow" w:hAnsi="Arial Narrow"/>
                <w:sz w:val="18"/>
                <w:szCs w:val="18"/>
              </w:rPr>
              <w:t>EMC online in place to manage Environmental Management Charge (EMC) payments and visitation data</w:t>
            </w:r>
          </w:p>
          <w:p w14:paraId="5761E8EA" w14:textId="77777777" w:rsidR="00A56EE9" w:rsidRPr="00E70A11" w:rsidRDefault="00A56EE9" w:rsidP="00A11869">
            <w:pPr>
              <w:pStyle w:val="ListParagraph"/>
              <w:numPr>
                <w:ilvl w:val="0"/>
                <w:numId w:val="268"/>
              </w:numPr>
              <w:spacing w:after="200" w:line="276" w:lineRule="auto"/>
              <w:rPr>
                <w:rFonts w:ascii="Arial Narrow" w:hAnsi="Arial Narrow"/>
                <w:sz w:val="18"/>
                <w:szCs w:val="18"/>
              </w:rPr>
            </w:pPr>
            <w:r w:rsidRPr="00E70A11">
              <w:rPr>
                <w:rFonts w:ascii="Arial Narrow" w:hAnsi="Arial Narrow"/>
                <w:sz w:val="18"/>
                <w:szCs w:val="18"/>
              </w:rPr>
              <w:t>Bookings can also be made online to plan of management areas.</w:t>
            </w:r>
          </w:p>
          <w:p w14:paraId="5761E8EB" w14:textId="77777777" w:rsidR="00A56EE9" w:rsidRPr="00A27767" w:rsidRDefault="00A56EE9" w:rsidP="00A11869">
            <w:pPr>
              <w:pStyle w:val="ListParagraph"/>
              <w:numPr>
                <w:ilvl w:val="0"/>
                <w:numId w:val="268"/>
              </w:numPr>
              <w:spacing w:after="200" w:line="276" w:lineRule="auto"/>
              <w:rPr>
                <w:rFonts w:ascii="Arial Narrow" w:hAnsi="Arial Narrow"/>
                <w:sz w:val="18"/>
                <w:szCs w:val="18"/>
              </w:rPr>
            </w:pPr>
            <w:r>
              <w:rPr>
                <w:rFonts w:ascii="Arial Narrow" w:hAnsi="Arial Narrow"/>
                <w:sz w:val="18"/>
                <w:szCs w:val="18"/>
              </w:rPr>
              <w:t>As of 4 October 2017 Permits Online</w:t>
            </w:r>
            <w:r w:rsidRPr="00FC7775">
              <w:rPr>
                <w:rFonts w:ascii="Arial Narrow" w:hAnsi="Arial Narrow"/>
                <w:sz w:val="18"/>
                <w:szCs w:val="18"/>
              </w:rPr>
              <w:t xml:space="preserve"> allow</w:t>
            </w:r>
            <w:r>
              <w:rPr>
                <w:rFonts w:ascii="Arial Narrow" w:hAnsi="Arial Narrow"/>
                <w:sz w:val="18"/>
                <w:szCs w:val="18"/>
              </w:rPr>
              <w:t>s</w:t>
            </w:r>
            <w:r w:rsidRPr="00FC7775">
              <w:rPr>
                <w:rFonts w:ascii="Arial Narrow" w:hAnsi="Arial Narrow"/>
                <w:sz w:val="18"/>
                <w:szCs w:val="18"/>
              </w:rPr>
              <w:t xml:space="preserve"> applicants to submit Marin</w:t>
            </w:r>
            <w:r>
              <w:rPr>
                <w:rFonts w:ascii="Arial Narrow" w:hAnsi="Arial Narrow"/>
                <w:sz w:val="18"/>
                <w:szCs w:val="18"/>
              </w:rPr>
              <w:t xml:space="preserve">e Parks permit applications, </w:t>
            </w:r>
            <w:r w:rsidRPr="00FC7775">
              <w:rPr>
                <w:rFonts w:ascii="Arial Narrow" w:hAnsi="Arial Narrow"/>
                <w:sz w:val="18"/>
                <w:szCs w:val="18"/>
              </w:rPr>
              <w:t>manage their applications, existing permits and contact details</w:t>
            </w:r>
            <w:r w:rsidRPr="00A27767" w:rsidDel="00B33C03">
              <w:rPr>
                <w:rFonts w:ascii="Arial Narrow" w:hAnsi="Arial Narrow"/>
                <w:sz w:val="18"/>
                <w:szCs w:val="18"/>
              </w:rPr>
              <w:t xml:space="preserve"> </w:t>
            </w:r>
            <w:r>
              <w:rPr>
                <w:rFonts w:ascii="Arial Narrow" w:hAnsi="Arial Narrow"/>
                <w:sz w:val="18"/>
                <w:szCs w:val="18"/>
              </w:rPr>
              <w:t>online.</w:t>
            </w:r>
            <w:r w:rsidRPr="00A27767">
              <w:rPr>
                <w:rFonts w:ascii="Arial Narrow" w:hAnsi="Arial Narrow"/>
                <w:sz w:val="18"/>
                <w:szCs w:val="18"/>
              </w:rPr>
              <w:t xml:space="preserve"> </w:t>
            </w:r>
          </w:p>
          <w:p w14:paraId="5761E8EC" w14:textId="77777777" w:rsidR="00A56EE9" w:rsidRPr="00E70A11" w:rsidRDefault="00A56EE9" w:rsidP="00A11869">
            <w:pPr>
              <w:pStyle w:val="ListParagraph"/>
              <w:numPr>
                <w:ilvl w:val="0"/>
                <w:numId w:val="268"/>
              </w:numPr>
              <w:spacing w:after="200" w:line="276" w:lineRule="auto"/>
              <w:rPr>
                <w:rFonts w:ascii="Arial Narrow" w:hAnsi="Arial Narrow"/>
                <w:sz w:val="18"/>
                <w:szCs w:val="18"/>
              </w:rPr>
            </w:pPr>
            <w:r w:rsidRPr="00E70A11">
              <w:rPr>
                <w:rFonts w:ascii="Arial Narrow" w:hAnsi="Arial Narrow"/>
                <w:sz w:val="18"/>
                <w:szCs w:val="18"/>
              </w:rPr>
              <w:t>Management of scientific information procedures are in place and are delivered at whole-of-GBRMPA using RefWorks as its database and citation management tool</w:t>
            </w:r>
          </w:p>
          <w:p w14:paraId="5761E8ED" w14:textId="77777777" w:rsidR="00A56EE9" w:rsidRPr="00E70A11" w:rsidRDefault="00A56EE9" w:rsidP="00A11869">
            <w:pPr>
              <w:pStyle w:val="ListParagraph"/>
              <w:numPr>
                <w:ilvl w:val="0"/>
                <w:numId w:val="268"/>
              </w:numPr>
              <w:spacing w:after="200" w:line="276" w:lineRule="auto"/>
              <w:rPr>
                <w:rFonts w:ascii="Arial Narrow" w:hAnsi="Arial Narrow"/>
                <w:sz w:val="18"/>
                <w:szCs w:val="18"/>
              </w:rPr>
            </w:pPr>
            <w:r w:rsidRPr="00E70A11">
              <w:rPr>
                <w:rFonts w:ascii="Arial Narrow" w:hAnsi="Arial Narrow"/>
                <w:sz w:val="18"/>
                <w:szCs w:val="18"/>
              </w:rPr>
              <w:t xml:space="preserve">Tools to disseminate information about values and impacts on them are available, and undergoing development to improve service delivery – e.g. the </w:t>
            </w:r>
            <w:r w:rsidRPr="00E70A11">
              <w:rPr>
                <w:rFonts w:ascii="Arial Narrow" w:hAnsi="Arial Narrow"/>
                <w:bCs/>
                <w:sz w:val="18"/>
                <w:szCs w:val="18"/>
              </w:rPr>
              <w:t>Eye on the Reef</w:t>
            </w:r>
            <w:r w:rsidRPr="00E70A11">
              <w:rPr>
                <w:rFonts w:ascii="Arial Narrow" w:hAnsi="Arial Narrow"/>
                <w:sz w:val="18"/>
                <w:szCs w:val="18"/>
              </w:rPr>
              <w:t xml:space="preserve"> program to provide a centralised database for Reef health information, Reef Explorer is an interactive tool for displaying spatial information</w:t>
            </w:r>
          </w:p>
          <w:p w14:paraId="5761E8EE" w14:textId="77777777" w:rsidR="00A56EE9" w:rsidRPr="00E70A11" w:rsidRDefault="00A56EE9" w:rsidP="00A11869">
            <w:pPr>
              <w:pStyle w:val="ListParagraph"/>
              <w:numPr>
                <w:ilvl w:val="0"/>
                <w:numId w:val="268"/>
              </w:numPr>
              <w:spacing w:after="200" w:line="276" w:lineRule="auto"/>
              <w:rPr>
                <w:rStyle w:val="BookTitle"/>
                <w:rFonts w:ascii="Arial Narrow" w:hAnsi="Arial Narrow"/>
                <w:sz w:val="18"/>
                <w:szCs w:val="18"/>
              </w:rPr>
            </w:pPr>
            <w:r w:rsidRPr="00E70A11">
              <w:rPr>
                <w:rFonts w:ascii="Arial Narrow" w:hAnsi="Arial Narrow"/>
                <w:sz w:val="18"/>
                <w:szCs w:val="18"/>
              </w:rPr>
              <w:t xml:space="preserve">Spatial information and datasets arising from research conducted in the Marine Park are housed and managed by the GBRMPA Spatial Data Centre </w:t>
            </w:r>
          </w:p>
        </w:tc>
        <w:tc>
          <w:tcPr>
            <w:tcW w:w="5231" w:type="dxa"/>
            <w:tcBorders>
              <w:top w:val="single" w:sz="4" w:space="0" w:color="auto"/>
              <w:left w:val="single" w:sz="4" w:space="0" w:color="auto"/>
              <w:bottom w:val="single" w:sz="4" w:space="0" w:color="auto"/>
              <w:right w:val="single" w:sz="4" w:space="0" w:color="auto"/>
            </w:tcBorders>
          </w:tcPr>
          <w:p w14:paraId="5761E8EF" w14:textId="77777777" w:rsidR="00A56EE9" w:rsidRPr="00E70A11" w:rsidRDefault="00A56EE9" w:rsidP="00A11869">
            <w:pPr>
              <w:pStyle w:val="ListParagraph"/>
              <w:numPr>
                <w:ilvl w:val="0"/>
                <w:numId w:val="3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w:t>
            </w:r>
          </w:p>
          <w:p w14:paraId="5761E8F0" w14:textId="77777777" w:rsidR="00A56EE9" w:rsidRPr="00E70A11" w:rsidRDefault="00A56EE9" w:rsidP="00A11869">
            <w:pPr>
              <w:pStyle w:val="ListParagraph"/>
              <w:numPr>
                <w:ilvl w:val="0"/>
                <w:numId w:val="3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Explorer</w:t>
            </w:r>
          </w:p>
          <w:p w14:paraId="5761E8F1" w14:textId="77777777" w:rsidR="00A56EE9" w:rsidRPr="00E70A11" w:rsidRDefault="00A56EE9" w:rsidP="00A11869">
            <w:pPr>
              <w:pStyle w:val="ListParagraph"/>
              <w:numPr>
                <w:ilvl w:val="0"/>
                <w:numId w:val="36"/>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EMC online</w:t>
            </w:r>
          </w:p>
        </w:tc>
        <w:tc>
          <w:tcPr>
            <w:tcW w:w="1006" w:type="dxa"/>
            <w:tcBorders>
              <w:top w:val="single" w:sz="4" w:space="0" w:color="auto"/>
              <w:left w:val="single" w:sz="4" w:space="0" w:color="auto"/>
              <w:bottom w:val="single" w:sz="4" w:space="0" w:color="auto"/>
              <w:right w:val="single" w:sz="4" w:space="0" w:color="auto"/>
            </w:tcBorders>
          </w:tcPr>
          <w:p w14:paraId="5761E8F2"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8F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902"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8F5"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commercial marine tourism with the community</w:t>
            </w:r>
          </w:p>
        </w:tc>
        <w:tc>
          <w:tcPr>
            <w:tcW w:w="664" w:type="dxa"/>
            <w:tcBorders>
              <w:top w:val="single" w:sz="4" w:space="0" w:color="auto"/>
              <w:left w:val="single" w:sz="4" w:space="0" w:color="auto"/>
              <w:bottom w:val="single" w:sz="4" w:space="0" w:color="auto"/>
              <w:right w:val="single" w:sz="4" w:space="0" w:color="auto"/>
            </w:tcBorders>
          </w:tcPr>
          <w:p w14:paraId="5761E8F6"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8F7" w14:textId="77777777" w:rsidR="00A56EE9" w:rsidRPr="00E70A11" w:rsidRDefault="00A56EE9" w:rsidP="00A11869">
            <w:pPr>
              <w:pStyle w:val="ListParagraph"/>
              <w:numPr>
                <w:ilvl w:val="0"/>
                <w:numId w:val="268"/>
              </w:numPr>
              <w:spacing w:after="200" w:line="276" w:lineRule="auto"/>
              <w:rPr>
                <w:rFonts w:ascii="Arial Narrow" w:hAnsi="Arial Narrow"/>
                <w:sz w:val="18"/>
                <w:szCs w:val="18"/>
              </w:rPr>
            </w:pPr>
            <w:r w:rsidRPr="00E70A11">
              <w:rPr>
                <w:rFonts w:ascii="Arial Narrow" w:hAnsi="Arial Narrow"/>
                <w:sz w:val="18"/>
                <w:szCs w:val="18"/>
              </w:rPr>
              <w:t>Communication through plain-English products summarising outcomes of scientific research is undertaken to some extent, but not systematically</w:t>
            </w:r>
          </w:p>
          <w:p w14:paraId="5761E8F8" w14:textId="77777777" w:rsidR="00A56EE9" w:rsidRPr="00E70A11" w:rsidRDefault="008B5998" w:rsidP="00A11869">
            <w:pPr>
              <w:pStyle w:val="ListParagraph"/>
              <w:numPr>
                <w:ilvl w:val="0"/>
                <w:numId w:val="268"/>
              </w:numPr>
              <w:spacing w:after="200" w:line="276" w:lineRule="auto"/>
              <w:rPr>
                <w:rFonts w:ascii="Arial Narrow" w:hAnsi="Arial Narrow"/>
                <w:sz w:val="18"/>
                <w:szCs w:val="18"/>
              </w:rPr>
            </w:pPr>
            <w:hyperlink r:id="rId350" w:history="1">
              <w:r w:rsidR="00A56EE9" w:rsidRPr="00E70A11">
                <w:rPr>
                  <w:rStyle w:val="Hyperlink"/>
                  <w:rFonts w:ascii="Arial Narrow" w:hAnsi="Arial Narrow"/>
                  <w:sz w:val="18"/>
                  <w:szCs w:val="18"/>
                </w:rPr>
                <w:t xml:space="preserve">e-Library </w:t>
              </w:r>
            </w:hyperlink>
            <w:r w:rsidR="00A56EE9" w:rsidRPr="00E70A11">
              <w:rPr>
                <w:rFonts w:ascii="Arial Narrow" w:hAnsi="Arial Narrow"/>
                <w:sz w:val="18"/>
                <w:szCs w:val="18"/>
              </w:rPr>
              <w:t>(GBRMPA external website) provides access to publications and all policies, guidelines etc</w:t>
            </w:r>
          </w:p>
          <w:p w14:paraId="5761E8F9" w14:textId="77777777" w:rsidR="00A56EE9" w:rsidRPr="00E70A11" w:rsidRDefault="008B5998" w:rsidP="00A11869">
            <w:pPr>
              <w:pStyle w:val="ListParagraph"/>
              <w:numPr>
                <w:ilvl w:val="0"/>
                <w:numId w:val="268"/>
              </w:numPr>
              <w:spacing w:after="200" w:line="276" w:lineRule="auto"/>
              <w:rPr>
                <w:rFonts w:ascii="Arial Narrow" w:hAnsi="Arial Narrow"/>
                <w:sz w:val="18"/>
                <w:szCs w:val="18"/>
              </w:rPr>
            </w:pPr>
            <w:hyperlink r:id="rId351" w:history="1">
              <w:r w:rsidR="00A56EE9" w:rsidRPr="00E70A11">
                <w:rPr>
                  <w:rStyle w:val="Hyperlink"/>
                  <w:rFonts w:ascii="Arial Narrow" w:hAnsi="Arial Narrow"/>
                  <w:sz w:val="18"/>
                  <w:szCs w:val="18"/>
                </w:rPr>
                <w:t>eResearch Archive</w:t>
              </w:r>
            </w:hyperlink>
            <w:r w:rsidR="00A56EE9" w:rsidRPr="00E70A11">
              <w:rPr>
                <w:rFonts w:ascii="Arial Narrow" w:hAnsi="Arial Narrow"/>
                <w:sz w:val="18"/>
                <w:szCs w:val="18"/>
              </w:rPr>
              <w:t xml:space="preserve"> is a digital repository of scientific and research publications, and datasets authored by DAFF staff, including journal articles, book chapters, conference papers, thesis and raw data collected in the course of research</w:t>
            </w:r>
          </w:p>
          <w:p w14:paraId="5761E8FA" w14:textId="77777777" w:rsidR="00A56EE9" w:rsidRPr="00E70A11" w:rsidRDefault="00A56EE9" w:rsidP="00A11869">
            <w:pPr>
              <w:pStyle w:val="ListParagraph"/>
              <w:numPr>
                <w:ilvl w:val="0"/>
                <w:numId w:val="268"/>
              </w:numPr>
              <w:spacing w:after="200" w:line="276" w:lineRule="auto"/>
              <w:rPr>
                <w:rFonts w:ascii="Arial Narrow" w:hAnsi="Arial Narrow"/>
                <w:sz w:val="18"/>
                <w:szCs w:val="18"/>
              </w:rPr>
            </w:pPr>
            <w:r w:rsidRPr="00E70A11">
              <w:rPr>
                <w:rFonts w:ascii="Arial Narrow" w:hAnsi="Arial Narrow"/>
                <w:sz w:val="18"/>
                <w:szCs w:val="18"/>
              </w:rPr>
              <w:t>The wider community is engaged via the GBRMPA’s LMACs, social media channels and media releases</w:t>
            </w:r>
          </w:p>
          <w:p w14:paraId="5761E8FB" w14:textId="77777777" w:rsidR="00A56EE9" w:rsidRPr="00E70A11" w:rsidRDefault="00A56EE9" w:rsidP="00A11869">
            <w:pPr>
              <w:pStyle w:val="ListParagraph"/>
              <w:numPr>
                <w:ilvl w:val="0"/>
                <w:numId w:val="268"/>
              </w:numPr>
              <w:spacing w:after="200" w:line="276" w:lineRule="auto"/>
              <w:rPr>
                <w:rStyle w:val="BookTitle"/>
                <w:rFonts w:ascii="Arial Narrow" w:hAnsi="Arial Narrow"/>
                <w:sz w:val="18"/>
                <w:szCs w:val="18"/>
              </w:rPr>
            </w:pPr>
            <w:r w:rsidRPr="00E70A11">
              <w:rPr>
                <w:rFonts w:ascii="Arial Narrow" w:hAnsi="Arial Narrow"/>
                <w:sz w:val="18"/>
                <w:szCs w:val="18"/>
              </w:rPr>
              <w:t>The tourism community is engaged in issues-specific workshops and forums and the Tourism Reef Advisory Committee by GBRMPA</w:t>
            </w:r>
          </w:p>
        </w:tc>
        <w:tc>
          <w:tcPr>
            <w:tcW w:w="5231" w:type="dxa"/>
            <w:tcBorders>
              <w:top w:val="single" w:sz="4" w:space="0" w:color="auto"/>
              <w:left w:val="single" w:sz="4" w:space="0" w:color="auto"/>
              <w:bottom w:val="single" w:sz="4" w:space="0" w:color="auto"/>
              <w:right w:val="single" w:sz="4" w:space="0" w:color="auto"/>
            </w:tcBorders>
          </w:tcPr>
          <w:p w14:paraId="5761E8FC" w14:textId="77777777" w:rsidR="00A56EE9" w:rsidRPr="00E70A11" w:rsidRDefault="008B5998" w:rsidP="00A11869">
            <w:pPr>
              <w:pStyle w:val="ListParagraph"/>
              <w:numPr>
                <w:ilvl w:val="0"/>
                <w:numId w:val="37"/>
              </w:numPr>
              <w:spacing w:after="200" w:line="276" w:lineRule="auto"/>
              <w:rPr>
                <w:rFonts w:ascii="Arial Narrow" w:hAnsi="Arial Narrow"/>
                <w:sz w:val="18"/>
                <w:szCs w:val="18"/>
              </w:rPr>
            </w:pPr>
            <w:hyperlink r:id="rId352" w:history="1">
              <w:r w:rsidR="00A56EE9" w:rsidRPr="00E70A11">
                <w:rPr>
                  <w:rStyle w:val="Hyperlink"/>
                  <w:rFonts w:ascii="Arial Narrow" w:hAnsi="Arial Narrow"/>
                  <w:sz w:val="18"/>
                  <w:szCs w:val="18"/>
                  <w:lang w:val="en"/>
                </w:rPr>
                <w:t>Tourism on the Great Barrier Reef</w:t>
              </w:r>
            </w:hyperlink>
          </w:p>
          <w:p w14:paraId="5761E8FD" w14:textId="77777777" w:rsidR="00A56EE9" w:rsidRPr="00E70A11" w:rsidRDefault="008B5998" w:rsidP="00A11869">
            <w:pPr>
              <w:pStyle w:val="ListParagraph"/>
              <w:numPr>
                <w:ilvl w:val="0"/>
                <w:numId w:val="37"/>
              </w:numPr>
              <w:spacing w:after="200" w:line="276" w:lineRule="auto"/>
              <w:rPr>
                <w:rFonts w:ascii="Arial Narrow" w:hAnsi="Arial Narrow"/>
                <w:sz w:val="18"/>
                <w:szCs w:val="18"/>
                <w:lang w:val="en"/>
              </w:rPr>
            </w:pPr>
            <w:hyperlink r:id="rId353" w:tgtFrame="_blank" w:history="1">
              <w:r w:rsidR="00A56EE9" w:rsidRPr="00E70A11">
                <w:rPr>
                  <w:rStyle w:val="Hyperlink"/>
                  <w:rFonts w:ascii="Arial Narrow" w:hAnsi="Arial Narrow"/>
                  <w:sz w:val="18"/>
                  <w:szCs w:val="18"/>
                  <w:lang w:val="en"/>
                </w:rPr>
                <w:t>Onboard-Tourism Operator's Handbook</w:t>
              </w:r>
            </w:hyperlink>
          </w:p>
          <w:p w14:paraId="5761E8FE" w14:textId="3AF40A82" w:rsidR="00A56EE9" w:rsidRPr="00E70A11" w:rsidRDefault="00A56EE9" w:rsidP="00A11869">
            <w:pPr>
              <w:pStyle w:val="ListParagraph"/>
              <w:numPr>
                <w:ilvl w:val="0"/>
                <w:numId w:val="37"/>
              </w:numPr>
              <w:spacing w:after="200" w:line="276" w:lineRule="auto"/>
              <w:rPr>
                <w:rFonts w:ascii="Arial Narrow" w:hAnsi="Arial Narrow"/>
                <w:sz w:val="18"/>
                <w:szCs w:val="18"/>
              </w:rPr>
            </w:pPr>
            <w:r w:rsidRPr="00E70A11">
              <w:rPr>
                <w:rFonts w:ascii="Arial Narrow" w:hAnsi="Arial Narrow"/>
                <w:sz w:val="18"/>
                <w:szCs w:val="18"/>
              </w:rPr>
              <w:t xml:space="preserve">GBRMPA public interface of the permits database: </w:t>
            </w:r>
            <w:hyperlink r:id="rId354" w:tooltip="document link" w:history="1">
              <w:r w:rsidRPr="00E70A11">
                <w:rPr>
                  <w:rStyle w:val="Hyperlink"/>
                  <w:rFonts w:ascii="Arial Narrow" w:hAnsi="Arial Narrow"/>
                  <w:sz w:val="18"/>
                  <w:szCs w:val="18"/>
                </w:rPr>
                <w:t>http://www.gbrmpa.gov.au/corp_site/permits/pems_public/dsp_index.cfm</w:t>
              </w:r>
            </w:hyperlink>
          </w:p>
          <w:p w14:paraId="5761E8FF" w14:textId="77777777" w:rsidR="00A56EE9" w:rsidRPr="00E70A11" w:rsidRDefault="00A56EE9" w:rsidP="00BB6AD5">
            <w:pPr>
              <w:pStyle w:val="ListParagraph"/>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900"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90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909"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03" w14:textId="77777777" w:rsidR="00A56EE9" w:rsidRPr="00E70A11" w:rsidRDefault="00A56EE9" w:rsidP="00BB6AD5">
            <w:pPr>
              <w:pStyle w:val="Tablebulletlist"/>
              <w:rPr>
                <w:rStyle w:val="BookTitle"/>
              </w:rPr>
            </w:pPr>
            <w:r w:rsidRPr="00E70A11">
              <w:rPr>
                <w:rStyle w:val="BookTitle"/>
              </w:rPr>
              <w:t>OUTCOMES</w:t>
            </w:r>
          </w:p>
        </w:tc>
        <w:tc>
          <w:tcPr>
            <w:tcW w:w="66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04" w14:textId="77777777" w:rsidR="00A56EE9" w:rsidRPr="00E70A11" w:rsidRDefault="00A56EE9" w:rsidP="00BB6AD5">
            <w:pPr>
              <w:pStyle w:val="Tablebulletlist"/>
              <w:rPr>
                <w:rStyle w:val="BookTitle"/>
              </w:rPr>
            </w:pPr>
          </w:p>
        </w:tc>
        <w:tc>
          <w:tcPr>
            <w:tcW w:w="45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05" w14:textId="77777777" w:rsidR="00A56EE9" w:rsidRPr="00E70A11" w:rsidRDefault="00A56EE9" w:rsidP="00BB6AD5">
            <w:pPr>
              <w:pStyle w:val="ListParagraph"/>
              <w:ind w:left="360"/>
              <w:rPr>
                <w:rStyle w:val="BookTitle"/>
                <w:rFonts w:ascii="Arial Narrow" w:hAnsi="Arial Narrow"/>
                <w:sz w:val="18"/>
                <w:szCs w:val="18"/>
              </w:rPr>
            </w:pPr>
          </w:p>
        </w:tc>
        <w:tc>
          <w:tcPr>
            <w:tcW w:w="523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06" w14:textId="77777777" w:rsidR="00A56EE9" w:rsidRPr="00E70A11" w:rsidRDefault="00A56EE9" w:rsidP="00BB6AD5">
            <w:pPr>
              <w:pStyle w:val="ListParagraph"/>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07" w14:textId="77777777" w:rsidR="00A56EE9" w:rsidRPr="00E70A11" w:rsidRDefault="00A56EE9" w:rsidP="00BB6AD5">
            <w:pPr>
              <w:pStyle w:val="Tablebulletlist"/>
              <w:rPr>
                <w:rStyle w:val="BookTitle"/>
              </w:rPr>
            </w:pPr>
          </w:p>
        </w:tc>
        <w:tc>
          <w:tcPr>
            <w:tcW w:w="121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08" w14:textId="77777777" w:rsidR="00A56EE9" w:rsidRPr="00E70A11" w:rsidRDefault="00A56EE9" w:rsidP="00BB6AD5">
            <w:pPr>
              <w:pStyle w:val="Tablebulletlist"/>
              <w:rPr>
                <w:rStyle w:val="BookTitle"/>
              </w:rPr>
            </w:pPr>
          </w:p>
        </w:tc>
      </w:tr>
      <w:tr w:rsidR="00A56EE9" w:rsidRPr="00E70A11" w14:paraId="5761E914"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90A"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commercial marine tourism and moving towards the attainment of the desired outcomes.</w:t>
            </w:r>
          </w:p>
        </w:tc>
        <w:tc>
          <w:tcPr>
            <w:tcW w:w="664" w:type="dxa"/>
            <w:tcBorders>
              <w:top w:val="single" w:sz="4" w:space="0" w:color="auto"/>
              <w:left w:val="single" w:sz="4" w:space="0" w:color="auto"/>
              <w:bottom w:val="single" w:sz="4" w:space="0" w:color="auto"/>
              <w:right w:val="single" w:sz="4" w:space="0" w:color="auto"/>
            </w:tcBorders>
          </w:tcPr>
          <w:p w14:paraId="5761E90B"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90C"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 xml:space="preserve">Concern about tourism impacts in the Great Barrier Reef arose during the 1980s and 1990s because of rapidly increasing tourism visitor numbers, forecasts of exponential future growth and widely reported damage to popular reefs and adjacent islands. With the introduction of more intensive management of popular areas, limits on the number of vessels and group sizes, an increase in supporting infrastructure and the adoption of best practices by operators, many of these concerns have been avoided or mitigated. As a result, the impacts associated with tourism activities today are generally regarded as low risk and are concentrated in a few intensively managed areas. </w:t>
            </w:r>
          </w:p>
          <w:p w14:paraId="5761E90D"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Management of tourism in the GBRMP is being effectively addressed through:</w:t>
            </w:r>
          </w:p>
          <w:p w14:paraId="5761E90E" w14:textId="77777777" w:rsidR="00A56EE9" w:rsidRPr="00E70A11" w:rsidRDefault="00A56EE9" w:rsidP="00A11869">
            <w:pPr>
              <w:pStyle w:val="ListParagraph"/>
              <w:numPr>
                <w:ilvl w:val="1"/>
                <w:numId w:val="269"/>
              </w:numPr>
              <w:spacing w:after="200" w:line="276" w:lineRule="auto"/>
              <w:rPr>
                <w:rFonts w:ascii="Arial Narrow" w:hAnsi="Arial Narrow"/>
                <w:sz w:val="18"/>
                <w:szCs w:val="18"/>
              </w:rPr>
            </w:pPr>
            <w:r w:rsidRPr="00E70A11">
              <w:rPr>
                <w:rFonts w:ascii="Arial Narrow" w:hAnsi="Arial Narrow"/>
                <w:sz w:val="18"/>
                <w:szCs w:val="18"/>
              </w:rPr>
              <w:t>regular consultation with industry, other management agencies and the general public</w:t>
            </w:r>
          </w:p>
          <w:p w14:paraId="5761E90F" w14:textId="77777777" w:rsidR="00A56EE9" w:rsidRPr="00E70A11" w:rsidRDefault="00A56EE9" w:rsidP="00A11869">
            <w:pPr>
              <w:pStyle w:val="ListParagraph"/>
              <w:numPr>
                <w:ilvl w:val="1"/>
                <w:numId w:val="269"/>
              </w:numPr>
              <w:spacing w:after="200" w:line="276" w:lineRule="auto"/>
              <w:rPr>
                <w:rFonts w:ascii="Arial Narrow" w:hAnsi="Arial Narrow"/>
                <w:sz w:val="18"/>
                <w:szCs w:val="18"/>
              </w:rPr>
            </w:pPr>
            <w:r w:rsidRPr="00E70A11">
              <w:rPr>
                <w:rFonts w:ascii="Arial Narrow" w:hAnsi="Arial Narrow"/>
                <w:sz w:val="18"/>
                <w:szCs w:val="18"/>
              </w:rPr>
              <w:t>management plans and policies developed and implemented to manage the potential impacts of tourism and to ensure tourism is a sustainable use into the future</w:t>
            </w:r>
          </w:p>
          <w:p w14:paraId="5761E910" w14:textId="77777777" w:rsidR="00A56EE9" w:rsidRPr="00E70A11" w:rsidRDefault="00A56EE9" w:rsidP="00BB6AD5">
            <w:pPr>
              <w:pStyle w:val="ListParagraph"/>
              <w:rPr>
                <w:rStyle w:val="BookTitle"/>
                <w:rFonts w:ascii="Arial Narrow" w:hAnsi="Arial Narrow"/>
                <w:sz w:val="18"/>
                <w:szCs w:val="18"/>
              </w:rPr>
            </w:pPr>
          </w:p>
        </w:tc>
        <w:tc>
          <w:tcPr>
            <w:tcW w:w="5231" w:type="dxa"/>
            <w:tcBorders>
              <w:top w:val="single" w:sz="4" w:space="0" w:color="auto"/>
              <w:left w:val="single" w:sz="4" w:space="0" w:color="auto"/>
              <w:bottom w:val="single" w:sz="4" w:space="0" w:color="auto"/>
              <w:right w:val="single" w:sz="4" w:space="0" w:color="auto"/>
            </w:tcBorders>
          </w:tcPr>
          <w:p w14:paraId="5761E911" w14:textId="77777777" w:rsidR="00A56EE9" w:rsidRPr="00E70A11" w:rsidRDefault="00A56EE9" w:rsidP="00A11869">
            <w:pPr>
              <w:pStyle w:val="ListParagraph"/>
              <w:numPr>
                <w:ilvl w:val="0"/>
                <w:numId w:val="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w:t>
            </w:r>
          </w:p>
        </w:tc>
        <w:tc>
          <w:tcPr>
            <w:tcW w:w="1006" w:type="dxa"/>
            <w:tcBorders>
              <w:top w:val="single" w:sz="4" w:space="0" w:color="auto"/>
              <w:left w:val="single" w:sz="4" w:space="0" w:color="auto"/>
              <w:bottom w:val="single" w:sz="4" w:space="0" w:color="auto"/>
              <w:right w:val="single" w:sz="4" w:space="0" w:color="auto"/>
            </w:tcBorders>
          </w:tcPr>
          <w:p w14:paraId="5761E912"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91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922"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915"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commercial marine tourism are on track to ensure the values of the Great Barrier Reef are protected (refer CO1)</w:t>
            </w:r>
          </w:p>
        </w:tc>
        <w:tc>
          <w:tcPr>
            <w:tcW w:w="664" w:type="dxa"/>
            <w:tcBorders>
              <w:top w:val="single" w:sz="4" w:space="0" w:color="auto"/>
              <w:left w:val="single" w:sz="4" w:space="0" w:color="auto"/>
              <w:bottom w:val="single" w:sz="4" w:space="0" w:color="auto"/>
              <w:right w:val="single" w:sz="4" w:space="0" w:color="auto"/>
            </w:tcBorders>
          </w:tcPr>
          <w:p w14:paraId="5761E916"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917"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Outputs are largely on track with values protected including:</w:t>
            </w:r>
          </w:p>
          <w:p w14:paraId="5761E918"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Natural and cultural protected values through the Plans of Management, policies and Marine Parks permits</w:t>
            </w:r>
          </w:p>
          <w:p w14:paraId="5761E919"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Some iconic and endangered species that are important to tourism protected through legislation</w:t>
            </w:r>
          </w:p>
          <w:p w14:paraId="5761E91A"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 xml:space="preserve">Coral protection through use of public moorings and no-anchoring areas. </w:t>
            </w:r>
          </w:p>
          <w:p w14:paraId="5761E91B"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The COTS control program is one of the Authority’s key actions to protect coral cover and enhance the capacity of the Reef to recover from impacts such as coral bleaching and tropical cyclones.</w:t>
            </w:r>
          </w:p>
          <w:p w14:paraId="5761E91C"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The outcomes of the COTS program are on track – with 66% of the priority reefs showing COTS numbers being successfully supressed below outbreak levels.</w:t>
            </w:r>
          </w:p>
          <w:p w14:paraId="5761E91D" w14:textId="77777777" w:rsidR="00A56EE9" w:rsidRPr="00E70A11" w:rsidRDefault="00A56EE9" w:rsidP="00A11869">
            <w:pPr>
              <w:pStyle w:val="ListParagraph"/>
              <w:numPr>
                <w:ilvl w:val="0"/>
                <w:numId w:val="269"/>
              </w:numPr>
              <w:spacing w:after="200" w:line="276" w:lineRule="auto"/>
              <w:rPr>
                <w:rStyle w:val="BookTitle"/>
                <w:rFonts w:ascii="Arial Narrow" w:hAnsi="Arial Narrow"/>
                <w:sz w:val="18"/>
                <w:szCs w:val="18"/>
              </w:rPr>
            </w:pPr>
            <w:r w:rsidRPr="00E70A11">
              <w:rPr>
                <w:rFonts w:ascii="Arial Narrow" w:hAnsi="Arial Narrow"/>
                <w:sz w:val="18"/>
                <w:szCs w:val="18"/>
              </w:rPr>
              <w:t>The number of areas protected by reef protection markers installed in the marine park has increased since 2014. Under the Queensland Government SRIPP Reef Protection Program 80 new public moorings have been installed as of November 2017</w:t>
            </w:r>
          </w:p>
        </w:tc>
        <w:tc>
          <w:tcPr>
            <w:tcW w:w="5231" w:type="dxa"/>
            <w:tcBorders>
              <w:top w:val="single" w:sz="4" w:space="0" w:color="auto"/>
              <w:left w:val="single" w:sz="4" w:space="0" w:color="auto"/>
              <w:bottom w:val="single" w:sz="4" w:space="0" w:color="auto"/>
              <w:right w:val="single" w:sz="4" w:space="0" w:color="auto"/>
            </w:tcBorders>
          </w:tcPr>
          <w:p w14:paraId="5761E91E" w14:textId="77777777" w:rsidR="00A56EE9" w:rsidRPr="00E70A11" w:rsidRDefault="00A56EE9" w:rsidP="00A11869">
            <w:pPr>
              <w:pStyle w:val="ListParagraph"/>
              <w:numPr>
                <w:ilvl w:val="0"/>
                <w:numId w:val="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Whitsunday Plan of Management</w:t>
            </w:r>
          </w:p>
          <w:p w14:paraId="5761E91F" w14:textId="77777777" w:rsidR="00A56EE9" w:rsidRPr="00E70A11" w:rsidRDefault="00A56EE9" w:rsidP="00A11869">
            <w:pPr>
              <w:pStyle w:val="ListParagraph"/>
              <w:numPr>
                <w:ilvl w:val="0"/>
                <w:numId w:val="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COTS program</w:t>
            </w:r>
          </w:p>
        </w:tc>
        <w:tc>
          <w:tcPr>
            <w:tcW w:w="1006" w:type="dxa"/>
            <w:tcBorders>
              <w:top w:val="single" w:sz="4" w:space="0" w:color="auto"/>
              <w:left w:val="single" w:sz="4" w:space="0" w:color="auto"/>
              <w:bottom w:val="single" w:sz="4" w:space="0" w:color="auto"/>
              <w:right w:val="single" w:sz="4" w:space="0" w:color="auto"/>
            </w:tcBorders>
          </w:tcPr>
          <w:p w14:paraId="5761E920"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92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931"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923"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commercial marine tourism are reducing the major risks and the threats to the Great Barrier Reef</w:t>
            </w:r>
          </w:p>
        </w:tc>
        <w:tc>
          <w:tcPr>
            <w:tcW w:w="664" w:type="dxa"/>
            <w:tcBorders>
              <w:top w:val="single" w:sz="4" w:space="0" w:color="auto"/>
              <w:left w:val="single" w:sz="4" w:space="0" w:color="auto"/>
              <w:bottom w:val="single" w:sz="4" w:space="0" w:color="auto"/>
              <w:right w:val="single" w:sz="4" w:space="0" w:color="auto"/>
            </w:tcBorders>
          </w:tcPr>
          <w:p w14:paraId="5761E924"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925"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 xml:space="preserve">Management to protect coral and habitats from tourism (and other uses) and for tourism is in place, however factors outside managing agencies direct control (climate change, coral bleaching, extreme weather) are affecting the condition of values. </w:t>
            </w:r>
          </w:p>
          <w:p w14:paraId="5761E926"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Threats associated with extreme weather events and environmental incidents are addressed to some degree with additional outputs (permits revised under the Marine Tourism Coordination Framework and Marine Tourism Contingency Plan)</w:t>
            </w:r>
          </w:p>
          <w:p w14:paraId="5761E927"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Risks to the GBR from tourism activity has been significantly reduced through management and education including:</w:t>
            </w:r>
          </w:p>
          <w:p w14:paraId="5761E928" w14:textId="77777777" w:rsidR="00A56EE9" w:rsidRPr="00E70A11" w:rsidRDefault="00A56EE9" w:rsidP="00A11869">
            <w:pPr>
              <w:pStyle w:val="ListParagraph"/>
              <w:numPr>
                <w:ilvl w:val="1"/>
                <w:numId w:val="269"/>
              </w:numPr>
              <w:spacing w:after="200" w:line="276" w:lineRule="auto"/>
              <w:rPr>
                <w:rFonts w:ascii="Arial Narrow" w:hAnsi="Arial Narrow"/>
                <w:sz w:val="18"/>
                <w:szCs w:val="18"/>
              </w:rPr>
            </w:pPr>
            <w:r w:rsidRPr="00E70A11">
              <w:rPr>
                <w:rFonts w:ascii="Arial Narrow" w:hAnsi="Arial Narrow"/>
                <w:sz w:val="18"/>
                <w:szCs w:val="18"/>
              </w:rPr>
              <w:t>Improved management of potential tourism impacts through permit assessments</w:t>
            </w:r>
          </w:p>
          <w:p w14:paraId="5761E929" w14:textId="77777777" w:rsidR="00A56EE9" w:rsidRPr="00E70A11" w:rsidRDefault="00A56EE9" w:rsidP="00A11869">
            <w:pPr>
              <w:pStyle w:val="ListParagraph"/>
              <w:numPr>
                <w:ilvl w:val="1"/>
                <w:numId w:val="269"/>
              </w:numPr>
              <w:spacing w:after="200" w:line="276" w:lineRule="auto"/>
              <w:rPr>
                <w:rFonts w:ascii="Arial Narrow" w:hAnsi="Arial Narrow"/>
                <w:sz w:val="18"/>
                <w:szCs w:val="18"/>
              </w:rPr>
            </w:pPr>
            <w:r w:rsidRPr="00E70A11">
              <w:rPr>
                <w:rFonts w:ascii="Arial Narrow" w:hAnsi="Arial Narrow"/>
                <w:sz w:val="18"/>
                <w:szCs w:val="18"/>
              </w:rPr>
              <w:t>Compliance reporting from tourism operators</w:t>
            </w:r>
          </w:p>
          <w:p w14:paraId="5761E92A" w14:textId="77777777" w:rsidR="00A56EE9" w:rsidRPr="00E70A11" w:rsidRDefault="00A56EE9" w:rsidP="00A11869">
            <w:pPr>
              <w:pStyle w:val="ListParagraph"/>
              <w:numPr>
                <w:ilvl w:val="1"/>
                <w:numId w:val="269"/>
              </w:numPr>
              <w:spacing w:after="200" w:line="276" w:lineRule="auto"/>
              <w:rPr>
                <w:rFonts w:ascii="Arial Narrow" w:hAnsi="Arial Narrow"/>
                <w:sz w:val="18"/>
                <w:szCs w:val="18"/>
              </w:rPr>
            </w:pPr>
            <w:r w:rsidRPr="00E70A11">
              <w:rPr>
                <w:rFonts w:ascii="Arial Narrow" w:hAnsi="Arial Narrow"/>
                <w:sz w:val="18"/>
                <w:szCs w:val="18"/>
              </w:rPr>
              <w:t>Reduced conflict of use through the ongoing management under the Zoning Plan, Plans of Management and Site Plans</w:t>
            </w:r>
          </w:p>
          <w:p w14:paraId="5761E92B" w14:textId="77777777" w:rsidR="00A56EE9" w:rsidRPr="00E70A11" w:rsidRDefault="00A56EE9" w:rsidP="00A11869">
            <w:pPr>
              <w:pStyle w:val="ListParagraph"/>
              <w:numPr>
                <w:ilvl w:val="1"/>
                <w:numId w:val="269"/>
              </w:numPr>
              <w:spacing w:after="200" w:line="276" w:lineRule="auto"/>
              <w:rPr>
                <w:rStyle w:val="BookTitle"/>
                <w:rFonts w:ascii="Arial Narrow" w:hAnsi="Arial Narrow"/>
                <w:sz w:val="18"/>
                <w:szCs w:val="18"/>
              </w:rPr>
            </w:pPr>
            <w:r w:rsidRPr="00E70A11">
              <w:rPr>
                <w:rFonts w:ascii="Arial Narrow" w:hAnsi="Arial Narrow"/>
                <w:sz w:val="18"/>
                <w:szCs w:val="18"/>
              </w:rPr>
              <w:t>Accreditation of tourism operators for high environmental standards, reduces risk</w:t>
            </w:r>
          </w:p>
        </w:tc>
        <w:tc>
          <w:tcPr>
            <w:tcW w:w="5231" w:type="dxa"/>
            <w:tcBorders>
              <w:top w:val="single" w:sz="4" w:space="0" w:color="auto"/>
              <w:left w:val="single" w:sz="4" w:space="0" w:color="auto"/>
              <w:bottom w:val="single" w:sz="4" w:space="0" w:color="auto"/>
              <w:right w:val="single" w:sz="4" w:space="0" w:color="auto"/>
            </w:tcBorders>
          </w:tcPr>
          <w:p w14:paraId="5761E92C" w14:textId="77777777" w:rsidR="00A56EE9" w:rsidRPr="00E70A11" w:rsidRDefault="00A56EE9" w:rsidP="00A11869">
            <w:pPr>
              <w:pStyle w:val="ListParagraph"/>
              <w:numPr>
                <w:ilvl w:val="0"/>
                <w:numId w:val="29"/>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Coral bleaching events 2016 and 2017</w:t>
            </w:r>
          </w:p>
          <w:p w14:paraId="5761E92D" w14:textId="77777777" w:rsidR="00A56EE9" w:rsidRPr="00E70A11" w:rsidRDefault="00A56EE9" w:rsidP="00A11869">
            <w:pPr>
              <w:pStyle w:val="ListParagraph"/>
              <w:numPr>
                <w:ilvl w:val="0"/>
                <w:numId w:val="27"/>
              </w:numPr>
              <w:spacing w:after="200" w:line="276" w:lineRule="auto"/>
              <w:rPr>
                <w:rFonts w:ascii="Arial Narrow" w:hAnsi="Arial Narrow"/>
                <w:i/>
                <w:sz w:val="18"/>
                <w:szCs w:val="18"/>
              </w:rPr>
            </w:pPr>
            <w:r w:rsidRPr="00E70A11">
              <w:rPr>
                <w:rFonts w:ascii="Arial Narrow" w:hAnsi="Arial Narrow"/>
                <w:sz w:val="18"/>
                <w:szCs w:val="18"/>
              </w:rPr>
              <w:t xml:space="preserve">Marshall, N.A. Curnock, M., Pert, P.L., Williams, G. (2017) </w:t>
            </w:r>
            <w:r w:rsidRPr="00E70A11">
              <w:rPr>
                <w:rFonts w:ascii="Arial Narrow" w:hAnsi="Arial Narrow"/>
                <w:i/>
                <w:sz w:val="18"/>
                <w:szCs w:val="18"/>
              </w:rPr>
              <w:t xml:space="preserve">The Social and Economic Long Term Monitoring Program (SELTMP) for the Great Barrier </w:t>
            </w:r>
            <w:proofErr w:type="gramStart"/>
            <w:r w:rsidRPr="00E70A11">
              <w:rPr>
                <w:rFonts w:ascii="Arial Narrow" w:hAnsi="Arial Narrow"/>
                <w:i/>
                <w:sz w:val="18"/>
                <w:szCs w:val="18"/>
              </w:rPr>
              <w:t>Reef .</w:t>
            </w:r>
            <w:proofErr w:type="gramEnd"/>
            <w:r w:rsidRPr="00E70A11">
              <w:rPr>
                <w:rFonts w:ascii="Arial Narrow" w:hAnsi="Arial Narrow"/>
                <w:i/>
                <w:sz w:val="18"/>
                <w:szCs w:val="18"/>
              </w:rPr>
              <w:t xml:space="preserve"> Final Report. </w:t>
            </w:r>
            <w:r w:rsidRPr="00E70A11">
              <w:rPr>
                <w:rFonts w:ascii="Arial Narrow" w:hAnsi="Arial Narrow"/>
                <w:sz w:val="18"/>
                <w:szCs w:val="18"/>
              </w:rPr>
              <w:t>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92E" w14:textId="77777777" w:rsidR="00A56EE9" w:rsidRPr="00E70A11" w:rsidRDefault="00A56EE9" w:rsidP="00BB6AD5">
            <w:pPr>
              <w:pStyle w:val="ListParagraph"/>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92F"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93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93C"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932"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commercial marine tourism is demonstrably environmentally sustainable</w:t>
            </w:r>
          </w:p>
        </w:tc>
        <w:tc>
          <w:tcPr>
            <w:tcW w:w="664" w:type="dxa"/>
            <w:tcBorders>
              <w:top w:val="single" w:sz="4" w:space="0" w:color="auto"/>
              <w:left w:val="single" w:sz="4" w:space="0" w:color="auto"/>
              <w:bottom w:val="single" w:sz="4" w:space="0" w:color="auto"/>
              <w:right w:val="single" w:sz="4" w:space="0" w:color="auto"/>
            </w:tcBorders>
          </w:tcPr>
          <w:p w14:paraId="5761E933"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934"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 xml:space="preserve">Growth of the High Standard Tourism program since 2014 achieved with 67 operators recognised as high standard and who carry over 63 per cent of visitors to the Reef. These operators are independently certified as operating to high standards relating to protection of the environment, presentation of the Great Barrier Reef to visitors and working in partnership with protected area managers and local communities. </w:t>
            </w:r>
          </w:p>
          <w:p w14:paraId="5761E935" w14:textId="77777777" w:rsidR="00A56EE9" w:rsidRPr="00E70A11" w:rsidRDefault="00A56EE9" w:rsidP="00A11869">
            <w:pPr>
              <w:pStyle w:val="ListParagraph"/>
              <w:numPr>
                <w:ilvl w:val="0"/>
                <w:numId w:val="269"/>
              </w:numPr>
              <w:spacing w:after="200" w:line="276" w:lineRule="auto"/>
              <w:rPr>
                <w:rFonts w:ascii="Arial Narrow" w:hAnsi="Arial Narrow"/>
                <w:sz w:val="18"/>
                <w:szCs w:val="18"/>
              </w:rPr>
            </w:pPr>
            <w:r w:rsidRPr="00E70A11">
              <w:rPr>
                <w:rFonts w:ascii="Arial Narrow" w:hAnsi="Arial Narrow"/>
                <w:sz w:val="18"/>
                <w:szCs w:val="18"/>
              </w:rPr>
              <w:t>There are no indicators to suggest that tourism is not being sustainably managed</w:t>
            </w:r>
          </w:p>
          <w:p w14:paraId="5761E936" w14:textId="77777777" w:rsidR="00A56EE9" w:rsidRPr="00E70A11" w:rsidRDefault="00A56EE9" w:rsidP="00A11869">
            <w:pPr>
              <w:pStyle w:val="ListParagraph"/>
              <w:numPr>
                <w:ilvl w:val="0"/>
                <w:numId w:val="269"/>
              </w:numPr>
              <w:spacing w:after="200" w:line="276" w:lineRule="auto"/>
              <w:rPr>
                <w:rStyle w:val="BookTitle"/>
                <w:rFonts w:ascii="Arial Narrow" w:hAnsi="Arial Narrow"/>
                <w:sz w:val="18"/>
                <w:szCs w:val="18"/>
              </w:rPr>
            </w:pPr>
            <w:r w:rsidRPr="00E70A11">
              <w:rPr>
                <w:rFonts w:ascii="Arial Narrow" w:hAnsi="Arial Narrow"/>
                <w:sz w:val="18"/>
                <w:szCs w:val="18"/>
              </w:rPr>
              <w:t xml:space="preserve">GBRMPA resources are directed at ensuring tourism is sustainable by; reviewing tourism management arrangements (e.g. plans of management), managing tourism permits, streamlining environmental impact assessments (to be more risk-based and publicly transparent), planning, compliance and enforcement, maintenance of supporting infrastructure, research (RIMReP and SELTMP), collection of EMC and reporting. </w:t>
            </w:r>
          </w:p>
        </w:tc>
        <w:tc>
          <w:tcPr>
            <w:tcW w:w="5231" w:type="dxa"/>
            <w:tcBorders>
              <w:top w:val="single" w:sz="4" w:space="0" w:color="auto"/>
              <w:left w:val="single" w:sz="4" w:space="0" w:color="auto"/>
              <w:bottom w:val="single" w:sz="4" w:space="0" w:color="auto"/>
              <w:right w:val="single" w:sz="4" w:space="0" w:color="auto"/>
            </w:tcBorders>
          </w:tcPr>
          <w:p w14:paraId="5761E937" w14:textId="09D0AEC1" w:rsidR="00A56EE9" w:rsidRPr="00E70A11" w:rsidRDefault="00A56EE9" w:rsidP="00A11869">
            <w:pPr>
              <w:pStyle w:val="ListParagraph"/>
              <w:numPr>
                <w:ilvl w:val="0"/>
                <w:numId w:val="29"/>
              </w:numPr>
              <w:spacing w:after="200" w:line="276" w:lineRule="auto"/>
              <w:rPr>
                <w:rStyle w:val="Hyperlink"/>
                <w:rFonts w:ascii="Arial Narrow" w:hAnsi="Arial Narrow"/>
                <w:sz w:val="18"/>
                <w:szCs w:val="18"/>
              </w:rPr>
            </w:pPr>
            <w:r w:rsidRPr="00E70A11">
              <w:rPr>
                <w:rFonts w:ascii="Arial Narrow" w:hAnsi="Arial Narrow"/>
                <w:sz w:val="18"/>
                <w:szCs w:val="18"/>
              </w:rPr>
              <w:t xml:space="preserve">High Standard Tourism Program </w:t>
            </w:r>
            <w:hyperlink r:id="rId355" w:tooltip="document link" w:history="1">
              <w:r w:rsidRPr="00E70A11">
                <w:rPr>
                  <w:rStyle w:val="Hyperlink"/>
                  <w:rFonts w:ascii="Arial Narrow" w:hAnsi="Arial Narrow"/>
                  <w:sz w:val="18"/>
                  <w:szCs w:val="18"/>
                </w:rPr>
                <w:t>http://www.gbrmpa.gov.au/corp_site/key_issues/tourism/how_to_choose_a_tour/certification</w:t>
              </w:r>
            </w:hyperlink>
          </w:p>
          <w:p w14:paraId="5761E938" w14:textId="77777777" w:rsidR="00A56EE9" w:rsidRPr="00E70A11" w:rsidRDefault="00A56EE9" w:rsidP="00A11869">
            <w:pPr>
              <w:pStyle w:val="ListParagraph"/>
              <w:numPr>
                <w:ilvl w:val="0"/>
                <w:numId w:val="29"/>
              </w:numPr>
              <w:spacing w:after="200" w:line="276" w:lineRule="auto"/>
              <w:rPr>
                <w:rFonts w:ascii="Arial Narrow" w:hAnsi="Arial Narrow"/>
                <w:i/>
                <w:sz w:val="18"/>
                <w:szCs w:val="18"/>
              </w:rPr>
            </w:pPr>
            <w:r w:rsidRPr="00E70A11">
              <w:rPr>
                <w:rFonts w:ascii="Arial Narrow" w:hAnsi="Arial Narrow"/>
                <w:sz w:val="18"/>
                <w:szCs w:val="18"/>
              </w:rPr>
              <w:t xml:space="preserve">Marshall, N.A. Curnock, M., Pert, P.L., Williams, G. (2017) </w:t>
            </w:r>
            <w:r w:rsidRPr="00E70A11">
              <w:rPr>
                <w:rFonts w:ascii="Arial Narrow" w:hAnsi="Arial Narrow"/>
                <w:i/>
                <w:sz w:val="18"/>
                <w:szCs w:val="18"/>
              </w:rPr>
              <w:t xml:space="preserve">The Social and Economic Long Term Monitoring Program (SELTMP) for the Great Barrier </w:t>
            </w:r>
            <w:proofErr w:type="gramStart"/>
            <w:r w:rsidRPr="00E70A11">
              <w:rPr>
                <w:rFonts w:ascii="Arial Narrow" w:hAnsi="Arial Narrow"/>
                <w:i/>
                <w:sz w:val="18"/>
                <w:szCs w:val="18"/>
              </w:rPr>
              <w:t>Reef .</w:t>
            </w:r>
            <w:proofErr w:type="gramEnd"/>
            <w:r w:rsidRPr="00E70A11">
              <w:rPr>
                <w:rFonts w:ascii="Arial Narrow" w:hAnsi="Arial Narrow"/>
                <w:i/>
                <w:sz w:val="18"/>
                <w:szCs w:val="18"/>
              </w:rPr>
              <w:t xml:space="preserve"> Final Report. </w:t>
            </w:r>
            <w:r w:rsidRPr="00E70A11">
              <w:rPr>
                <w:rFonts w:ascii="Arial Narrow" w:hAnsi="Arial Narrow"/>
                <w:sz w:val="18"/>
                <w:szCs w:val="18"/>
              </w:rPr>
              <w:t>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939" w14:textId="77777777" w:rsidR="00A56EE9" w:rsidRPr="00E70A11" w:rsidRDefault="00A56EE9" w:rsidP="00BB6AD5">
            <w:pPr>
              <w:pStyle w:val="ListParagraph"/>
              <w:ind w:left="360"/>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93A"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93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943"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93D"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commercial marine tourism is demonstrably economically sustainable</w:t>
            </w:r>
          </w:p>
        </w:tc>
        <w:tc>
          <w:tcPr>
            <w:tcW w:w="664" w:type="dxa"/>
            <w:tcBorders>
              <w:top w:val="single" w:sz="4" w:space="0" w:color="auto"/>
              <w:left w:val="single" w:sz="4" w:space="0" w:color="auto"/>
              <w:bottom w:val="single" w:sz="4" w:space="0" w:color="auto"/>
              <w:right w:val="single" w:sz="4" w:space="0" w:color="auto"/>
            </w:tcBorders>
          </w:tcPr>
          <w:p w14:paraId="5761E93E" w14:textId="77777777" w:rsidR="00A56EE9" w:rsidRPr="00E70A11" w:rsidRDefault="00A56EE9" w:rsidP="00BB6AD5">
            <w:pPr>
              <w:pStyle w:val="Tablebulletlist"/>
              <w:rPr>
                <w:rStyle w:val="BookTitle"/>
              </w:rPr>
            </w:pPr>
            <w:r w:rsidRPr="00E70A11">
              <w:rPr>
                <w:rStyle w:val="BookTitle"/>
              </w:rPr>
              <w:t>3</w:t>
            </w:r>
          </w:p>
        </w:tc>
        <w:tc>
          <w:tcPr>
            <w:tcW w:w="4599" w:type="dxa"/>
            <w:tcBorders>
              <w:top w:val="single" w:sz="4" w:space="0" w:color="auto"/>
              <w:left w:val="single" w:sz="4" w:space="0" w:color="auto"/>
              <w:bottom w:val="single" w:sz="4" w:space="0" w:color="auto"/>
              <w:right w:val="single" w:sz="4" w:space="0" w:color="auto"/>
            </w:tcBorders>
          </w:tcPr>
          <w:p w14:paraId="5761E93F" w14:textId="77777777" w:rsidR="00A56EE9" w:rsidRPr="00E70A11" w:rsidRDefault="00A56EE9" w:rsidP="00A11869">
            <w:pPr>
              <w:pStyle w:val="ListParagraph"/>
              <w:numPr>
                <w:ilvl w:val="0"/>
                <w:numId w:val="270"/>
              </w:numPr>
              <w:spacing w:after="200" w:line="276" w:lineRule="auto"/>
              <w:rPr>
                <w:rStyle w:val="BookTitle"/>
                <w:rFonts w:ascii="Arial Narrow" w:hAnsi="Arial Narrow"/>
                <w:sz w:val="18"/>
                <w:szCs w:val="18"/>
              </w:rPr>
            </w:pPr>
            <w:r w:rsidRPr="00E70A11">
              <w:rPr>
                <w:rFonts w:ascii="Arial Narrow" w:hAnsi="Arial Narrow"/>
                <w:sz w:val="18"/>
                <w:szCs w:val="18"/>
              </w:rPr>
              <w:t>Visitation to the Great Barrier Reef is very buoyant. The influence of the 2007 Global Financial Crisis had a delayed effect to visitation to the Great Barrier Reef and hit a low point in 2011–12. Visitation began to rise in 2012–13 from 1.8 million to over 2.3 million in 2016–17 (These figures don’t include coral viewing or scenic flights.)</w:t>
            </w:r>
          </w:p>
        </w:tc>
        <w:tc>
          <w:tcPr>
            <w:tcW w:w="5231" w:type="dxa"/>
            <w:tcBorders>
              <w:top w:val="single" w:sz="4" w:space="0" w:color="auto"/>
              <w:left w:val="single" w:sz="4" w:space="0" w:color="auto"/>
              <w:bottom w:val="single" w:sz="4" w:space="0" w:color="auto"/>
              <w:right w:val="single" w:sz="4" w:space="0" w:color="auto"/>
            </w:tcBorders>
          </w:tcPr>
          <w:p w14:paraId="5761E940" w14:textId="7874FE60" w:rsidR="00A56EE9" w:rsidRPr="00E70A11" w:rsidRDefault="00A56EE9" w:rsidP="00A11869">
            <w:pPr>
              <w:pStyle w:val="ListParagraph"/>
              <w:numPr>
                <w:ilvl w:val="0"/>
                <w:numId w:val="38"/>
              </w:numPr>
              <w:spacing w:after="200" w:line="276" w:lineRule="auto"/>
              <w:rPr>
                <w:rStyle w:val="BookTitle"/>
                <w:rFonts w:ascii="Arial Narrow" w:hAnsi="Arial Narrow"/>
                <w:sz w:val="18"/>
                <w:szCs w:val="18"/>
              </w:rPr>
            </w:pPr>
            <w:r w:rsidRPr="00E70A11">
              <w:rPr>
                <w:rFonts w:ascii="Arial Narrow" w:hAnsi="Arial Narrow"/>
                <w:sz w:val="18"/>
                <w:szCs w:val="18"/>
              </w:rPr>
              <w:t xml:space="preserve">Visitation numbers: </w:t>
            </w:r>
            <w:hyperlink r:id="rId356" w:tooltip="document link" w:history="1">
              <w:r w:rsidRPr="00E70A11">
                <w:rPr>
                  <w:rStyle w:val="Hyperlink"/>
                  <w:rFonts w:ascii="Arial Narrow" w:hAnsi="Arial Narrow"/>
                  <w:sz w:val="18"/>
                  <w:szCs w:val="18"/>
                </w:rPr>
                <w:t>http://www.gbrmpa.gov.au/visit-the-reef/visitor-contributions/gbr_visitation/numbers</w:t>
              </w:r>
            </w:hyperlink>
          </w:p>
        </w:tc>
        <w:tc>
          <w:tcPr>
            <w:tcW w:w="1006" w:type="dxa"/>
            <w:tcBorders>
              <w:top w:val="single" w:sz="4" w:space="0" w:color="auto"/>
              <w:left w:val="single" w:sz="4" w:space="0" w:color="auto"/>
              <w:bottom w:val="single" w:sz="4" w:space="0" w:color="auto"/>
              <w:right w:val="single" w:sz="4" w:space="0" w:color="auto"/>
            </w:tcBorders>
          </w:tcPr>
          <w:p w14:paraId="5761E941"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94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94D"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944"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commercial marine tourism is demonstrably socially sustainable understanding and/or enjoyment</w:t>
            </w:r>
          </w:p>
        </w:tc>
        <w:tc>
          <w:tcPr>
            <w:tcW w:w="664" w:type="dxa"/>
            <w:tcBorders>
              <w:top w:val="single" w:sz="4" w:space="0" w:color="auto"/>
              <w:left w:val="single" w:sz="4" w:space="0" w:color="auto"/>
              <w:bottom w:val="single" w:sz="4" w:space="0" w:color="auto"/>
              <w:right w:val="single" w:sz="4" w:space="0" w:color="auto"/>
            </w:tcBorders>
          </w:tcPr>
          <w:p w14:paraId="5761E945"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946" w14:textId="77777777" w:rsidR="00A56EE9" w:rsidRPr="00E70A11" w:rsidRDefault="00A56EE9" w:rsidP="00A11869">
            <w:pPr>
              <w:pStyle w:val="ListParagraph"/>
              <w:numPr>
                <w:ilvl w:val="0"/>
                <w:numId w:val="270"/>
              </w:numPr>
              <w:spacing w:after="200" w:line="276" w:lineRule="auto"/>
              <w:rPr>
                <w:rFonts w:ascii="Arial Narrow" w:hAnsi="Arial Narrow"/>
                <w:sz w:val="18"/>
                <w:szCs w:val="18"/>
              </w:rPr>
            </w:pPr>
            <w:r w:rsidRPr="00E70A11">
              <w:rPr>
                <w:rFonts w:ascii="Arial Narrow" w:hAnsi="Arial Narrow"/>
                <w:sz w:val="18"/>
                <w:szCs w:val="18"/>
              </w:rPr>
              <w:t>Visitor numbers have increased over the past five years.</w:t>
            </w:r>
          </w:p>
          <w:p w14:paraId="5761E947" w14:textId="77777777" w:rsidR="00A56EE9" w:rsidRPr="00E70A11" w:rsidRDefault="00A56EE9" w:rsidP="00A11869">
            <w:pPr>
              <w:pStyle w:val="ListParagraph"/>
              <w:numPr>
                <w:ilvl w:val="0"/>
                <w:numId w:val="270"/>
              </w:numPr>
              <w:spacing w:after="200" w:line="276" w:lineRule="auto"/>
              <w:rPr>
                <w:rFonts w:ascii="Arial Narrow" w:hAnsi="Arial Narrow"/>
                <w:sz w:val="18"/>
                <w:szCs w:val="18"/>
              </w:rPr>
            </w:pPr>
            <w:r w:rsidRPr="00E70A11">
              <w:rPr>
                <w:rFonts w:ascii="Arial Narrow" w:hAnsi="Arial Narrow"/>
                <w:sz w:val="18"/>
                <w:szCs w:val="18"/>
              </w:rPr>
              <w:t xml:space="preserve">The Reef HQ Aquarium provides an avenue to enhance community understanding of the GBR. It has consistently met visitor expectations and contributes to promoting World Heritage values of the GBR to a wide range of visitors. </w:t>
            </w:r>
          </w:p>
          <w:p w14:paraId="5761E948" w14:textId="77777777" w:rsidR="00A56EE9" w:rsidRPr="00E70A11" w:rsidRDefault="00A56EE9" w:rsidP="00A11869">
            <w:pPr>
              <w:pStyle w:val="ListParagraph"/>
              <w:numPr>
                <w:ilvl w:val="0"/>
                <w:numId w:val="270"/>
              </w:numPr>
              <w:spacing w:after="200" w:line="276" w:lineRule="auto"/>
              <w:rPr>
                <w:rStyle w:val="BookTitle"/>
                <w:rFonts w:ascii="Arial Narrow" w:hAnsi="Arial Narrow"/>
                <w:sz w:val="18"/>
                <w:szCs w:val="18"/>
              </w:rPr>
            </w:pPr>
            <w:r w:rsidRPr="00E70A11">
              <w:rPr>
                <w:rFonts w:ascii="Arial Narrow" w:hAnsi="Arial Narrow"/>
                <w:sz w:val="18"/>
                <w:szCs w:val="18"/>
              </w:rPr>
              <w:t>80% of visitors to the Reef are either satisfied or very satisfied with the experience (SELTMP)</w:t>
            </w:r>
          </w:p>
        </w:tc>
        <w:tc>
          <w:tcPr>
            <w:tcW w:w="5231" w:type="dxa"/>
            <w:tcBorders>
              <w:top w:val="single" w:sz="4" w:space="0" w:color="auto"/>
              <w:left w:val="single" w:sz="4" w:space="0" w:color="auto"/>
              <w:bottom w:val="single" w:sz="4" w:space="0" w:color="auto"/>
              <w:right w:val="single" w:sz="4" w:space="0" w:color="auto"/>
            </w:tcBorders>
          </w:tcPr>
          <w:p w14:paraId="5761E949" w14:textId="21B7635E" w:rsidR="00A56EE9" w:rsidRPr="00E70A11" w:rsidRDefault="008B5998" w:rsidP="00A11869">
            <w:pPr>
              <w:pStyle w:val="ListParagraph"/>
              <w:numPr>
                <w:ilvl w:val="0"/>
                <w:numId w:val="27"/>
              </w:numPr>
              <w:spacing w:after="200" w:line="276" w:lineRule="auto"/>
              <w:rPr>
                <w:rStyle w:val="Hyperlink"/>
                <w:rFonts w:ascii="Arial Narrow" w:hAnsi="Arial Narrow"/>
                <w:sz w:val="18"/>
                <w:szCs w:val="18"/>
              </w:rPr>
            </w:pPr>
            <w:hyperlink r:id="rId357" w:tooltip="document link" w:history="1">
              <w:r w:rsidR="00A56EE9" w:rsidRPr="00E70A11">
                <w:rPr>
                  <w:rStyle w:val="Hyperlink"/>
                  <w:rFonts w:ascii="Arial Narrow" w:hAnsi="Arial Narrow"/>
                  <w:sz w:val="18"/>
                  <w:szCs w:val="18"/>
                </w:rPr>
                <w:t>http://www.gbrmpa.gov.au/visit-the-reef/visitor-contributions/gbr_visitation/numbers</w:t>
              </w:r>
            </w:hyperlink>
          </w:p>
          <w:p w14:paraId="5761E94A" w14:textId="77777777" w:rsidR="00A56EE9" w:rsidRPr="00E70A11" w:rsidRDefault="00A56EE9" w:rsidP="00A11869">
            <w:pPr>
              <w:pStyle w:val="ListParagraph"/>
              <w:numPr>
                <w:ilvl w:val="0"/>
                <w:numId w:val="27"/>
              </w:numPr>
              <w:spacing w:after="200" w:line="276" w:lineRule="auto"/>
              <w:rPr>
                <w:rStyle w:val="BookTitle"/>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tc>
        <w:tc>
          <w:tcPr>
            <w:tcW w:w="1006" w:type="dxa"/>
            <w:tcBorders>
              <w:top w:val="single" w:sz="4" w:space="0" w:color="auto"/>
              <w:left w:val="single" w:sz="4" w:space="0" w:color="auto"/>
              <w:bottom w:val="single" w:sz="4" w:space="0" w:color="auto"/>
              <w:right w:val="single" w:sz="4" w:space="0" w:color="auto"/>
            </w:tcBorders>
          </w:tcPr>
          <w:p w14:paraId="5761E94B"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94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95D" w14:textId="77777777" w:rsidTr="00BB6AD5">
        <w:trPr>
          <w:trHeight w:val="170"/>
        </w:trPr>
        <w:tc>
          <w:tcPr>
            <w:tcW w:w="2075" w:type="dxa"/>
            <w:tcBorders>
              <w:top w:val="single" w:sz="4" w:space="0" w:color="auto"/>
              <w:left w:val="single" w:sz="4" w:space="0" w:color="auto"/>
              <w:bottom w:val="single" w:sz="4" w:space="0" w:color="auto"/>
              <w:right w:val="single" w:sz="4" w:space="0" w:color="auto"/>
            </w:tcBorders>
          </w:tcPr>
          <w:p w14:paraId="5761E94E"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commercial marine tourism </w:t>
            </w:r>
          </w:p>
        </w:tc>
        <w:tc>
          <w:tcPr>
            <w:tcW w:w="664" w:type="dxa"/>
            <w:tcBorders>
              <w:top w:val="single" w:sz="4" w:space="0" w:color="auto"/>
              <w:left w:val="single" w:sz="4" w:space="0" w:color="auto"/>
              <w:bottom w:val="single" w:sz="4" w:space="0" w:color="auto"/>
              <w:right w:val="single" w:sz="4" w:space="0" w:color="auto"/>
            </w:tcBorders>
          </w:tcPr>
          <w:p w14:paraId="5761E94F" w14:textId="77777777" w:rsidR="00A56EE9" w:rsidRPr="00E70A11" w:rsidRDefault="00A56EE9" w:rsidP="00BB6AD5">
            <w:pPr>
              <w:pStyle w:val="Tablebulletlist"/>
              <w:rPr>
                <w:rStyle w:val="BookTitle"/>
              </w:rPr>
            </w:pPr>
            <w:r w:rsidRPr="00E70A11">
              <w:rPr>
                <w:rStyle w:val="BookTitle"/>
              </w:rPr>
              <w:t>4</w:t>
            </w:r>
          </w:p>
        </w:tc>
        <w:tc>
          <w:tcPr>
            <w:tcW w:w="4599" w:type="dxa"/>
            <w:tcBorders>
              <w:top w:val="single" w:sz="4" w:space="0" w:color="auto"/>
              <w:left w:val="single" w:sz="4" w:space="0" w:color="auto"/>
              <w:bottom w:val="single" w:sz="4" w:space="0" w:color="auto"/>
              <w:right w:val="single" w:sz="4" w:space="0" w:color="auto"/>
            </w:tcBorders>
          </w:tcPr>
          <w:p w14:paraId="5761E950" w14:textId="77777777" w:rsidR="00A56EE9" w:rsidRPr="00E70A11" w:rsidRDefault="00A56EE9" w:rsidP="00A11869">
            <w:pPr>
              <w:pStyle w:val="ListParagraph"/>
              <w:numPr>
                <w:ilvl w:val="0"/>
                <w:numId w:val="270"/>
              </w:numPr>
              <w:spacing w:after="200" w:line="276" w:lineRule="auto"/>
              <w:rPr>
                <w:rFonts w:ascii="Arial Narrow" w:hAnsi="Arial Narrow"/>
                <w:sz w:val="18"/>
                <w:szCs w:val="18"/>
              </w:rPr>
            </w:pPr>
            <w:r w:rsidRPr="00E70A11">
              <w:rPr>
                <w:rFonts w:ascii="Arial Narrow" w:hAnsi="Arial Narrow"/>
                <w:sz w:val="18"/>
                <w:szCs w:val="18"/>
              </w:rPr>
              <w:t xml:space="preserve">A strong and active partnership with the tourism industry has been maintained with tourism actively engaged and generally supportive of the management of the Reef and the GBRMPA. </w:t>
            </w:r>
          </w:p>
          <w:p w14:paraId="5761E951" w14:textId="77777777" w:rsidR="00A56EE9" w:rsidRPr="00E70A11" w:rsidRDefault="00A56EE9" w:rsidP="00A11869">
            <w:pPr>
              <w:pStyle w:val="ListParagraph"/>
              <w:numPr>
                <w:ilvl w:val="0"/>
                <w:numId w:val="270"/>
              </w:numPr>
              <w:spacing w:after="200" w:line="276" w:lineRule="auto"/>
              <w:rPr>
                <w:rFonts w:ascii="Arial Narrow" w:hAnsi="Arial Narrow"/>
                <w:sz w:val="18"/>
                <w:szCs w:val="18"/>
              </w:rPr>
            </w:pPr>
            <w:r w:rsidRPr="00E70A11">
              <w:rPr>
                <w:rFonts w:ascii="Arial Narrow" w:hAnsi="Arial Narrow"/>
                <w:sz w:val="18"/>
                <w:szCs w:val="18"/>
              </w:rPr>
              <w:t xml:space="preserve">During the 2016/17 coral bleaching event there was some contention between some tourism operators/association and researchers/managers who were conducting coral bleaching surveys. </w:t>
            </w:r>
          </w:p>
          <w:p w14:paraId="5761E952" w14:textId="77777777" w:rsidR="00A56EE9" w:rsidRPr="00E70A11" w:rsidRDefault="00A56EE9" w:rsidP="00A11869">
            <w:pPr>
              <w:pStyle w:val="ListParagraph"/>
              <w:numPr>
                <w:ilvl w:val="0"/>
                <w:numId w:val="270"/>
              </w:numPr>
              <w:spacing w:after="200" w:line="276" w:lineRule="auto"/>
              <w:rPr>
                <w:rFonts w:ascii="Arial Narrow" w:hAnsi="Arial Narrow"/>
                <w:sz w:val="18"/>
                <w:szCs w:val="18"/>
              </w:rPr>
            </w:pPr>
            <w:r w:rsidRPr="00E70A11">
              <w:rPr>
                <w:rFonts w:ascii="Arial Narrow" w:hAnsi="Arial Narrow"/>
                <w:sz w:val="18"/>
                <w:szCs w:val="18"/>
              </w:rPr>
              <w:t xml:space="preserve">Tourism engagement regime has been maintained, however by 2017, the high turnover of Authority staff, long timeframes for permit assessments and policy changes and the inflexibility of some of the managing tools has resulted in strained relations with some of the industry. </w:t>
            </w:r>
          </w:p>
          <w:p w14:paraId="5761E953" w14:textId="77777777" w:rsidR="00A56EE9" w:rsidRPr="00E70A11" w:rsidRDefault="00A56EE9" w:rsidP="00A11869">
            <w:pPr>
              <w:pStyle w:val="ListParagraph"/>
              <w:numPr>
                <w:ilvl w:val="0"/>
                <w:numId w:val="270"/>
              </w:numPr>
              <w:spacing w:after="200" w:line="276" w:lineRule="auto"/>
              <w:rPr>
                <w:rFonts w:ascii="Arial Narrow" w:hAnsi="Arial Narrow"/>
                <w:sz w:val="18"/>
                <w:szCs w:val="18"/>
              </w:rPr>
            </w:pPr>
            <w:r w:rsidRPr="00E70A11">
              <w:rPr>
                <w:rFonts w:ascii="Arial Narrow" w:hAnsi="Arial Narrow"/>
                <w:sz w:val="18"/>
                <w:szCs w:val="18"/>
              </w:rPr>
              <w:t>Reduced administrative burden on tourism operators through simplification and increased flexibility of tourism management arrangements (Permits Online 2017)</w:t>
            </w:r>
          </w:p>
          <w:p w14:paraId="5761E954" w14:textId="77777777" w:rsidR="00A56EE9" w:rsidRPr="00E70A11" w:rsidRDefault="00A56EE9" w:rsidP="00A11869">
            <w:pPr>
              <w:pStyle w:val="ListParagraph"/>
              <w:numPr>
                <w:ilvl w:val="0"/>
                <w:numId w:val="270"/>
              </w:numPr>
              <w:spacing w:after="200" w:line="276" w:lineRule="auto"/>
              <w:rPr>
                <w:rStyle w:val="BookTitle"/>
                <w:rFonts w:ascii="Arial Narrow" w:hAnsi="Arial Narrow"/>
                <w:sz w:val="18"/>
                <w:szCs w:val="18"/>
              </w:rPr>
            </w:pPr>
            <w:r w:rsidRPr="00E70A11">
              <w:rPr>
                <w:rFonts w:ascii="Arial Narrow" w:hAnsi="Arial Narrow"/>
                <w:sz w:val="18"/>
                <w:szCs w:val="18"/>
              </w:rPr>
              <w:t>Continued engagement through LMACs and RACs,</w:t>
            </w:r>
          </w:p>
        </w:tc>
        <w:tc>
          <w:tcPr>
            <w:tcW w:w="5231" w:type="dxa"/>
            <w:tcBorders>
              <w:top w:val="single" w:sz="4" w:space="0" w:color="auto"/>
              <w:left w:val="single" w:sz="4" w:space="0" w:color="auto"/>
              <w:bottom w:val="single" w:sz="4" w:space="0" w:color="auto"/>
              <w:right w:val="single" w:sz="4" w:space="0" w:color="auto"/>
            </w:tcBorders>
          </w:tcPr>
          <w:p w14:paraId="5761E955" w14:textId="77777777" w:rsidR="00A56EE9" w:rsidRPr="00E70A11" w:rsidRDefault="00A56EE9" w:rsidP="00A11869">
            <w:pPr>
              <w:pStyle w:val="ListParagraph"/>
              <w:numPr>
                <w:ilvl w:val="0"/>
                <w:numId w:val="2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LMAC</w:t>
            </w:r>
          </w:p>
          <w:p w14:paraId="5761E956" w14:textId="77777777" w:rsidR="00A56EE9" w:rsidRPr="00E70A11" w:rsidRDefault="00A56EE9" w:rsidP="00A11869">
            <w:pPr>
              <w:pStyle w:val="ListParagraph"/>
              <w:numPr>
                <w:ilvl w:val="0"/>
                <w:numId w:val="2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RAC</w:t>
            </w:r>
          </w:p>
          <w:p w14:paraId="5761E957" w14:textId="77777777" w:rsidR="00A56EE9" w:rsidRPr="00E70A11" w:rsidRDefault="00A56EE9" w:rsidP="00A11869">
            <w:pPr>
              <w:pStyle w:val="ListParagraph"/>
              <w:numPr>
                <w:ilvl w:val="0"/>
                <w:numId w:val="28"/>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w:t>
            </w:r>
          </w:p>
          <w:p w14:paraId="5761E958" w14:textId="77777777" w:rsidR="00A56EE9" w:rsidRPr="00E70A11" w:rsidRDefault="00A56EE9" w:rsidP="00A11869">
            <w:pPr>
              <w:pStyle w:val="ListParagraph"/>
              <w:numPr>
                <w:ilvl w:val="0"/>
                <w:numId w:val="27"/>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959" w14:textId="77777777" w:rsidR="00A56EE9" w:rsidRPr="00E70A11" w:rsidRDefault="00A56EE9" w:rsidP="00BB6AD5">
            <w:pPr>
              <w:pStyle w:val="ListParagraph"/>
              <w:ind w:left="360"/>
              <w:rPr>
                <w:rStyle w:val="BookTitle"/>
                <w:rFonts w:ascii="Arial Narrow" w:hAnsi="Arial Narrow"/>
                <w:sz w:val="18"/>
                <w:szCs w:val="18"/>
              </w:rPr>
            </w:pPr>
          </w:p>
          <w:p w14:paraId="5761E95A" w14:textId="77777777" w:rsidR="00A56EE9" w:rsidRPr="00E70A11" w:rsidRDefault="00A56EE9" w:rsidP="00BB6AD5">
            <w:pPr>
              <w:pStyle w:val="ListParagraph"/>
              <w:rPr>
                <w:rStyle w:val="BookTitle"/>
                <w:rFonts w:ascii="Arial Narrow" w:hAnsi="Arial Narrow"/>
                <w:sz w:val="18"/>
                <w:szCs w:val="18"/>
              </w:rPr>
            </w:pPr>
          </w:p>
        </w:tc>
        <w:tc>
          <w:tcPr>
            <w:tcW w:w="1006" w:type="dxa"/>
            <w:tcBorders>
              <w:top w:val="single" w:sz="4" w:space="0" w:color="auto"/>
              <w:left w:val="single" w:sz="4" w:space="0" w:color="auto"/>
              <w:bottom w:val="single" w:sz="4" w:space="0" w:color="auto"/>
              <w:right w:val="single" w:sz="4" w:space="0" w:color="auto"/>
            </w:tcBorders>
          </w:tcPr>
          <w:p w14:paraId="5761E95B" w14:textId="77777777" w:rsidR="00A56EE9" w:rsidRPr="00E70A11" w:rsidRDefault="00A56EE9" w:rsidP="00BB6AD5">
            <w:pPr>
              <w:pStyle w:val="Tablebulletlist"/>
              <w:rPr>
                <w:rStyle w:val="BookTitle"/>
              </w:rPr>
            </w:pPr>
            <w:r w:rsidRPr="00E70A11">
              <w:rPr>
                <w:rStyle w:val="BookTitle"/>
              </w:rPr>
              <w:t>Adequate</w:t>
            </w:r>
          </w:p>
        </w:tc>
        <w:tc>
          <w:tcPr>
            <w:tcW w:w="1215" w:type="dxa"/>
            <w:tcBorders>
              <w:top w:val="single" w:sz="4" w:space="0" w:color="auto"/>
              <w:left w:val="single" w:sz="4" w:space="0" w:color="auto"/>
              <w:bottom w:val="single" w:sz="4" w:space="0" w:color="auto"/>
              <w:right w:val="single" w:sz="4" w:space="0" w:color="auto"/>
            </w:tcBorders>
          </w:tcPr>
          <w:p w14:paraId="5761E95C" w14:textId="77777777" w:rsidR="00A56EE9" w:rsidRPr="00E70A11" w:rsidRDefault="00A56EE9" w:rsidP="00BB6AD5">
            <w:pPr>
              <w:pStyle w:val="Tablebulletlist"/>
              <w:rPr>
                <w:rStyle w:val="BookTitle"/>
              </w:rPr>
            </w:pPr>
            <w:r w:rsidRPr="00E70A11">
              <w:rPr>
                <w:rStyle w:val="BookTitle"/>
              </w:rPr>
              <w:t>Stable</w:t>
            </w:r>
          </w:p>
        </w:tc>
      </w:tr>
    </w:tbl>
    <w:p w14:paraId="5761E95E" w14:textId="77777777" w:rsidR="00A56EE9" w:rsidRPr="00E70A11" w:rsidRDefault="00A56EE9" w:rsidP="00BB6AD5">
      <w:pPr>
        <w:rPr>
          <w:rFonts w:ascii="Arial Narrow" w:hAnsi="Arial Narrow"/>
          <w:sz w:val="18"/>
          <w:szCs w:val="18"/>
        </w:rPr>
      </w:pPr>
    </w:p>
    <w:p w14:paraId="5761E95F" w14:textId="77777777" w:rsidR="00A56EE9" w:rsidRPr="00E70A11" w:rsidRDefault="00A56EE9" w:rsidP="00BB6AD5">
      <w:pPr>
        <w:rPr>
          <w:rFonts w:ascii="Arial Narrow" w:hAnsi="Arial Narrow"/>
          <w:sz w:val="18"/>
          <w:szCs w:val="18"/>
        </w:rPr>
      </w:pPr>
    </w:p>
    <w:p w14:paraId="5761E960" w14:textId="77777777" w:rsidR="00A56EE9" w:rsidRPr="00E70A11" w:rsidRDefault="00A56EE9" w:rsidP="00BB6AD5">
      <w:pPr>
        <w:rPr>
          <w:rFonts w:ascii="Arial Narrow" w:hAnsi="Arial Narrow"/>
          <w:sz w:val="18"/>
          <w:szCs w:val="18"/>
        </w:rPr>
      </w:pPr>
    </w:p>
    <w:p w14:paraId="5761E961" w14:textId="4509E09F" w:rsidR="00A56EE9" w:rsidRPr="00E70A11" w:rsidRDefault="00A56EE9" w:rsidP="009C7D6F">
      <w:pPr>
        <w:pStyle w:val="Heading4"/>
      </w:pPr>
      <w:bookmarkStart w:id="187" w:name="_Toc369686746"/>
      <w:r w:rsidRPr="00E70A11">
        <w:br w:type="page"/>
      </w:r>
      <w:bookmarkStart w:id="188" w:name="_Toc369686745"/>
      <w:bookmarkStart w:id="189" w:name="_Toc522532003"/>
      <w:bookmarkStart w:id="190" w:name="_Toc525654470"/>
      <w:r>
        <w:t xml:space="preserve">Table </w:t>
      </w:r>
      <w:r>
        <w:rPr>
          <w:noProof/>
        </w:rPr>
        <w:fldChar w:fldCharType="begin"/>
      </w:r>
      <w:r>
        <w:rPr>
          <w:noProof/>
        </w:rPr>
        <w:instrText xml:space="preserve"> SEQ Table \* ARABIC </w:instrText>
      </w:r>
      <w:r>
        <w:rPr>
          <w:noProof/>
        </w:rPr>
        <w:fldChar w:fldCharType="separate"/>
      </w:r>
      <w:r w:rsidR="00A4170C">
        <w:rPr>
          <w:noProof/>
        </w:rPr>
        <w:t>25</w:t>
      </w:r>
      <w:r>
        <w:rPr>
          <w:noProof/>
        </w:rPr>
        <w:fldChar w:fldCharType="end"/>
      </w:r>
      <w:r w:rsidRPr="00E70A11">
        <w:t xml:space="preserve"> Calculation of grades for community benefits of the environment</w:t>
      </w:r>
      <w:bookmarkEnd w:id="188"/>
      <w:bookmarkEnd w:id="189"/>
      <w:bookmarkEnd w:id="19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25 Calculation of grades for community benefits of the environment"/>
        <w:tblDescription w:val="Table showing the ratings,  justificaiton and evidence for each of the components for the management effectiveness for community benefits of the environment.  Confidence in the assessment and trend since Outlook 2014 is also provided."/>
      </w:tblPr>
      <w:tblGrid>
        <w:gridCol w:w="2993"/>
        <w:gridCol w:w="803"/>
        <w:gridCol w:w="3715"/>
        <w:gridCol w:w="4482"/>
        <w:gridCol w:w="1090"/>
        <w:gridCol w:w="865"/>
      </w:tblGrid>
      <w:tr w:rsidR="00A56EE9" w:rsidRPr="00E70A11" w14:paraId="5761E968"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62" w14:textId="77777777" w:rsidR="00A56EE9" w:rsidRPr="00E70A11" w:rsidRDefault="00A56EE9" w:rsidP="00BB6AD5">
            <w:pPr>
              <w:pStyle w:val="Tablebulletlist"/>
              <w:rPr>
                <w:rStyle w:val="BookTitle"/>
              </w:rPr>
            </w:pPr>
            <w:r w:rsidRPr="00E70A11">
              <w:rPr>
                <w:rStyle w:val="BookTitle"/>
              </w:rPr>
              <w:t>Component of Management</w:t>
            </w:r>
          </w:p>
        </w:tc>
        <w:tc>
          <w:tcPr>
            <w:tcW w:w="840" w:type="dxa"/>
            <w:tcBorders>
              <w:top w:val="single" w:sz="4" w:space="0" w:color="auto"/>
              <w:left w:val="single" w:sz="4" w:space="0" w:color="auto"/>
              <w:bottom w:val="single" w:sz="4" w:space="0" w:color="auto"/>
              <w:right w:val="single" w:sz="4" w:space="0" w:color="auto"/>
            </w:tcBorders>
          </w:tcPr>
          <w:p w14:paraId="5761E963" w14:textId="77777777" w:rsidR="00A56EE9" w:rsidRPr="00E70A11" w:rsidRDefault="00A56EE9" w:rsidP="00BB6AD5">
            <w:pPr>
              <w:pStyle w:val="Tablebulletlist"/>
              <w:rPr>
                <w:rStyle w:val="BookTitle"/>
              </w:rPr>
            </w:pPr>
            <w:r w:rsidRPr="00E70A11">
              <w:rPr>
                <w:rStyle w:val="BookTitle"/>
              </w:rPr>
              <w:t>Rating</w:t>
            </w:r>
          </w:p>
        </w:tc>
        <w:tc>
          <w:tcPr>
            <w:tcW w:w="3999" w:type="dxa"/>
            <w:tcBorders>
              <w:top w:val="single" w:sz="4" w:space="0" w:color="auto"/>
              <w:left w:val="single" w:sz="4" w:space="0" w:color="auto"/>
              <w:bottom w:val="single" w:sz="4" w:space="0" w:color="auto"/>
              <w:right w:val="single" w:sz="4" w:space="0" w:color="auto"/>
            </w:tcBorders>
          </w:tcPr>
          <w:p w14:paraId="5761E964" w14:textId="77777777" w:rsidR="00A56EE9" w:rsidRPr="00E70A11" w:rsidRDefault="00A56EE9" w:rsidP="00BB6AD5">
            <w:pPr>
              <w:pStyle w:val="Tablebulletlist"/>
              <w:rPr>
                <w:rStyle w:val="BookTitle"/>
              </w:rPr>
            </w:pPr>
            <w:r w:rsidRPr="00E70A11">
              <w:rPr>
                <w:rStyle w:val="BookTitle"/>
              </w:rPr>
              <w:t>Justification</w:t>
            </w:r>
          </w:p>
        </w:tc>
        <w:tc>
          <w:tcPr>
            <w:tcW w:w="4383" w:type="dxa"/>
            <w:tcBorders>
              <w:top w:val="single" w:sz="4" w:space="0" w:color="auto"/>
              <w:left w:val="single" w:sz="4" w:space="0" w:color="auto"/>
              <w:bottom w:val="single" w:sz="4" w:space="0" w:color="auto"/>
              <w:right w:val="single" w:sz="4" w:space="0" w:color="auto"/>
            </w:tcBorders>
          </w:tcPr>
          <w:p w14:paraId="5761E965" w14:textId="77777777" w:rsidR="00A56EE9" w:rsidRPr="00E70A11" w:rsidRDefault="00A56EE9" w:rsidP="00BB6AD5">
            <w:pPr>
              <w:pStyle w:val="Tablebulletlist"/>
              <w:rPr>
                <w:rStyle w:val="BookTitle"/>
              </w:rPr>
            </w:pPr>
            <w:r w:rsidRPr="00E70A11">
              <w:rPr>
                <w:rStyle w:val="BookTitle"/>
              </w:rPr>
              <w:t>Evidence/sources</w:t>
            </w:r>
          </w:p>
        </w:tc>
        <w:tc>
          <w:tcPr>
            <w:tcW w:w="1090" w:type="dxa"/>
            <w:tcBorders>
              <w:top w:val="single" w:sz="4" w:space="0" w:color="auto"/>
              <w:left w:val="single" w:sz="4" w:space="0" w:color="auto"/>
              <w:bottom w:val="single" w:sz="4" w:space="0" w:color="auto"/>
              <w:right w:val="single" w:sz="4" w:space="0" w:color="auto"/>
            </w:tcBorders>
          </w:tcPr>
          <w:p w14:paraId="5761E966" w14:textId="77777777" w:rsidR="00A56EE9" w:rsidRPr="00E70A11" w:rsidRDefault="00A56EE9" w:rsidP="00BB6AD5">
            <w:pPr>
              <w:pStyle w:val="Tablebulletlist"/>
              <w:rPr>
                <w:rStyle w:val="BookTitle"/>
              </w:rPr>
            </w:pPr>
            <w:r w:rsidRPr="00E70A11">
              <w:rPr>
                <w:rStyle w:val="BookTitle"/>
              </w:rPr>
              <w:t>Confidence</w:t>
            </w:r>
          </w:p>
        </w:tc>
        <w:tc>
          <w:tcPr>
            <w:tcW w:w="865" w:type="dxa"/>
            <w:tcBorders>
              <w:top w:val="single" w:sz="4" w:space="0" w:color="auto"/>
              <w:left w:val="single" w:sz="4" w:space="0" w:color="auto"/>
              <w:bottom w:val="single" w:sz="4" w:space="0" w:color="auto"/>
              <w:right w:val="single" w:sz="4" w:space="0" w:color="auto"/>
            </w:tcBorders>
          </w:tcPr>
          <w:p w14:paraId="5761E967"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1E96F"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shd w:val="clear" w:color="auto" w:fill="EEECE1"/>
          </w:tcPr>
          <w:p w14:paraId="5761E969" w14:textId="77777777" w:rsidR="00A56EE9" w:rsidRPr="00E70A11" w:rsidRDefault="00A56EE9" w:rsidP="00BB6AD5">
            <w:pPr>
              <w:pStyle w:val="Tablebulletlist"/>
              <w:rPr>
                <w:rStyle w:val="BookTitle"/>
              </w:rPr>
            </w:pPr>
            <w:r w:rsidRPr="00E70A11">
              <w:rPr>
                <w:rStyle w:val="BookTitle"/>
              </w:rPr>
              <w:t>CONTEXT</w:t>
            </w:r>
          </w:p>
        </w:tc>
        <w:tc>
          <w:tcPr>
            <w:tcW w:w="840" w:type="dxa"/>
            <w:tcBorders>
              <w:top w:val="single" w:sz="4" w:space="0" w:color="auto"/>
              <w:left w:val="single" w:sz="4" w:space="0" w:color="auto"/>
              <w:bottom w:val="single" w:sz="4" w:space="0" w:color="auto"/>
              <w:right w:val="single" w:sz="4" w:space="0" w:color="auto"/>
            </w:tcBorders>
            <w:shd w:val="clear" w:color="auto" w:fill="EEECE1"/>
          </w:tcPr>
          <w:p w14:paraId="5761E96A" w14:textId="77777777" w:rsidR="00A56EE9" w:rsidRPr="00E70A11" w:rsidRDefault="00A56EE9" w:rsidP="00BB6AD5">
            <w:pPr>
              <w:pStyle w:val="Tablebulletlist"/>
              <w:rPr>
                <w:rStyle w:val="BookTitle"/>
              </w:rPr>
            </w:pPr>
          </w:p>
        </w:tc>
        <w:tc>
          <w:tcPr>
            <w:tcW w:w="3999" w:type="dxa"/>
            <w:tcBorders>
              <w:top w:val="single" w:sz="4" w:space="0" w:color="auto"/>
              <w:left w:val="single" w:sz="4" w:space="0" w:color="auto"/>
              <w:bottom w:val="single" w:sz="4" w:space="0" w:color="auto"/>
              <w:right w:val="single" w:sz="4" w:space="0" w:color="auto"/>
            </w:tcBorders>
            <w:shd w:val="clear" w:color="auto" w:fill="EEECE1"/>
          </w:tcPr>
          <w:p w14:paraId="5761E96B" w14:textId="77777777" w:rsidR="00A56EE9" w:rsidRPr="00E70A11" w:rsidRDefault="00A56EE9" w:rsidP="00BB6AD5">
            <w:pPr>
              <w:pStyle w:val="Tablebulletlist"/>
              <w:rPr>
                <w:rStyle w:val="BookTitle"/>
              </w:rPr>
            </w:pPr>
          </w:p>
        </w:tc>
        <w:tc>
          <w:tcPr>
            <w:tcW w:w="4383" w:type="dxa"/>
            <w:tcBorders>
              <w:top w:val="single" w:sz="4" w:space="0" w:color="auto"/>
              <w:left w:val="single" w:sz="4" w:space="0" w:color="auto"/>
              <w:bottom w:val="single" w:sz="4" w:space="0" w:color="auto"/>
              <w:right w:val="single" w:sz="4" w:space="0" w:color="auto"/>
            </w:tcBorders>
            <w:shd w:val="clear" w:color="auto" w:fill="EEECE1"/>
          </w:tcPr>
          <w:p w14:paraId="5761E96C" w14:textId="77777777" w:rsidR="00A56EE9" w:rsidRPr="00E70A11" w:rsidRDefault="00A56EE9" w:rsidP="00BB6AD5">
            <w:pPr>
              <w:pStyle w:val="Tablebulletlist"/>
              <w:rPr>
                <w:rStyle w:val="BookTitle"/>
              </w:rPr>
            </w:pPr>
          </w:p>
        </w:tc>
        <w:tc>
          <w:tcPr>
            <w:tcW w:w="1090" w:type="dxa"/>
            <w:tcBorders>
              <w:top w:val="single" w:sz="4" w:space="0" w:color="auto"/>
              <w:left w:val="single" w:sz="4" w:space="0" w:color="auto"/>
              <w:bottom w:val="single" w:sz="4" w:space="0" w:color="auto"/>
              <w:right w:val="single" w:sz="4" w:space="0" w:color="auto"/>
            </w:tcBorders>
            <w:shd w:val="clear" w:color="auto" w:fill="EEECE1"/>
          </w:tcPr>
          <w:p w14:paraId="5761E96D"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EECE1"/>
          </w:tcPr>
          <w:p w14:paraId="5761E96E" w14:textId="77777777" w:rsidR="00A56EE9" w:rsidRPr="00E70A11" w:rsidRDefault="00A56EE9" w:rsidP="00BB6AD5">
            <w:pPr>
              <w:pStyle w:val="Tablebulletlist"/>
              <w:rPr>
                <w:rStyle w:val="BookTitle"/>
              </w:rPr>
            </w:pPr>
          </w:p>
        </w:tc>
      </w:tr>
      <w:tr w:rsidR="00A56EE9" w:rsidRPr="00E70A11" w14:paraId="5761E97C"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70" w14:textId="77777777" w:rsidR="00A56EE9" w:rsidRPr="00E70A11" w:rsidRDefault="00A56EE9" w:rsidP="00BB6AD5">
            <w:pPr>
              <w:pStyle w:val="Tablebulletlist"/>
              <w:rPr>
                <w:rStyle w:val="BookTitle"/>
              </w:rPr>
            </w:pPr>
            <w:r w:rsidRPr="00E70A11">
              <w:rPr>
                <w:rStyle w:val="BookTitle"/>
              </w:rPr>
              <w:t>CO1</w:t>
            </w:r>
            <w:r>
              <w:rPr>
                <w:rStyle w:val="BookTitle"/>
              </w:rPr>
              <w:t xml:space="preserve"> </w:t>
            </w:r>
            <w:r w:rsidRPr="00E70A11">
              <w:rPr>
                <w:rStyle w:val="BookTitle"/>
              </w:rPr>
              <w:t>The values of the Great Barrier Reef relevant to community benefits of the environment are understood by managers</w:t>
            </w:r>
          </w:p>
        </w:tc>
        <w:tc>
          <w:tcPr>
            <w:tcW w:w="840" w:type="dxa"/>
            <w:tcBorders>
              <w:top w:val="single" w:sz="4" w:space="0" w:color="auto"/>
              <w:left w:val="single" w:sz="4" w:space="0" w:color="auto"/>
              <w:bottom w:val="single" w:sz="4" w:space="0" w:color="auto"/>
              <w:right w:val="single" w:sz="4" w:space="0" w:color="auto"/>
            </w:tcBorders>
          </w:tcPr>
          <w:p w14:paraId="5761E971"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972"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eastAsia="Calibri" w:hAnsi="Arial Narrow" w:cs="Times New Roman"/>
                <w:sz w:val="18"/>
                <w:szCs w:val="18"/>
                <w:lang w:eastAsia="en-AU"/>
              </w:rPr>
              <w:t xml:space="preserve"> </w:t>
            </w:r>
            <w:r w:rsidRPr="00E70A11">
              <w:rPr>
                <w:rFonts w:ascii="Arial Narrow" w:hAnsi="Arial Narrow"/>
                <w:sz w:val="18"/>
                <w:szCs w:val="18"/>
              </w:rPr>
              <w:t>Protection of the Reef and associated community benefit is captured in the Agency’s statement of purpose and reflects high level understanding by managers that the Reef has community benefit (Ref. Corporate Plan)</w:t>
            </w:r>
          </w:p>
          <w:p w14:paraId="5761E97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Recognition that the most significant threats to the long-term health of the Reef now being outside the Authority’s direct control has driven the need for the Authority to step up efforts to work with and influence the broader community. </w:t>
            </w:r>
          </w:p>
          <w:p w14:paraId="5761E97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To effectively do this has presented managers with the need to better understand values of and benefits to the community. Strategies in the Corporate Plan and projects in the linked Annual Operating Plan’s reflect current understanding, recognised gaps and actions to address these </w:t>
            </w:r>
          </w:p>
        </w:tc>
        <w:tc>
          <w:tcPr>
            <w:tcW w:w="4383" w:type="dxa"/>
            <w:tcBorders>
              <w:top w:val="single" w:sz="4" w:space="0" w:color="auto"/>
              <w:left w:val="single" w:sz="4" w:space="0" w:color="auto"/>
              <w:bottom w:val="single" w:sz="4" w:space="0" w:color="auto"/>
              <w:right w:val="single" w:sz="4" w:space="0" w:color="auto"/>
            </w:tcBorders>
          </w:tcPr>
          <w:p w14:paraId="5761E975"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358" w:history="1">
              <w:r w:rsidR="00A56EE9" w:rsidRPr="00E70A11">
                <w:rPr>
                  <w:rStyle w:val="Hyperlink"/>
                  <w:rFonts w:ascii="Arial Narrow" w:hAnsi="Arial Narrow"/>
                  <w:sz w:val="18"/>
                  <w:szCs w:val="18"/>
                </w:rPr>
                <w:t>Great Barrier Reef Marine Park Authority, science strategy and information needs, 2014-19</w:t>
              </w:r>
            </w:hyperlink>
          </w:p>
          <w:p w14:paraId="5761E976"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359" w:history="1">
              <w:r w:rsidR="00A56EE9" w:rsidRPr="00E70A11">
                <w:rPr>
                  <w:rStyle w:val="Hyperlink"/>
                  <w:rFonts w:ascii="Arial Narrow" w:hAnsi="Arial Narrow"/>
                  <w:sz w:val="18"/>
                  <w:szCs w:val="18"/>
                </w:rPr>
                <w:t>Great Barrier Reef Marine Park Authority Corporate Plan, 2017-18</w:t>
              </w:r>
            </w:hyperlink>
          </w:p>
          <w:p w14:paraId="5761E97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60" w:history="1">
              <w:r w:rsidR="00A56EE9" w:rsidRPr="00E70A11">
                <w:rPr>
                  <w:rStyle w:val="Hyperlink"/>
                  <w:rFonts w:ascii="Arial Narrow" w:hAnsi="Arial Narrow"/>
                  <w:sz w:val="18"/>
                  <w:szCs w:val="18"/>
                </w:rPr>
                <w:t>Reef 2050 Long-Term Sustainability Plan</w:t>
              </w:r>
            </w:hyperlink>
          </w:p>
          <w:p w14:paraId="5761E97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61" w:history="1">
              <w:r w:rsidR="00A56EE9" w:rsidRPr="00E70A11">
                <w:rPr>
                  <w:rStyle w:val="Hyperlink"/>
                  <w:rFonts w:ascii="Arial Narrow" w:hAnsi="Arial Narrow"/>
                  <w:sz w:val="18"/>
                  <w:szCs w:val="18"/>
                </w:rPr>
                <w:t>Reef 2050 WQIP</w:t>
              </w:r>
            </w:hyperlink>
          </w:p>
          <w:p w14:paraId="5761E979" w14:textId="77777777" w:rsidR="00A56EE9" w:rsidRPr="00E70A11" w:rsidRDefault="00A56EE9" w:rsidP="00BB6AD5">
            <w:pPr>
              <w:pStyle w:val="ListParagraph"/>
              <w:ind w:left="360"/>
              <w:rPr>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97A"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97B"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98A"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7D"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community benefits of the environment are known by managers</w:t>
            </w:r>
          </w:p>
        </w:tc>
        <w:tc>
          <w:tcPr>
            <w:tcW w:w="840" w:type="dxa"/>
            <w:tcBorders>
              <w:top w:val="single" w:sz="4" w:space="0" w:color="auto"/>
              <w:left w:val="single" w:sz="4" w:space="0" w:color="auto"/>
              <w:bottom w:val="single" w:sz="4" w:space="0" w:color="auto"/>
              <w:right w:val="single" w:sz="4" w:space="0" w:color="auto"/>
            </w:tcBorders>
          </w:tcPr>
          <w:p w14:paraId="5761E97E"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97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Social &amp; Economic Long Term Monitoring Program (SELTMP) provided baseline data relevant to community perceptions of condition and trend of values relevant to them.</w:t>
            </w:r>
          </w:p>
          <w:p w14:paraId="5761E98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inclusion of management of community benefits in the Outlook Report for the first time in 2014, has contributed to a suite of management activities to improve knowledge of which values have the greatest relevance to community benefit.</w:t>
            </w:r>
            <w:r>
              <w:rPr>
                <w:rFonts w:ascii="Arial Narrow" w:hAnsi="Arial Narrow"/>
                <w:sz w:val="18"/>
                <w:szCs w:val="18"/>
              </w:rPr>
              <w:t xml:space="preserve"> </w:t>
            </w:r>
            <w:r w:rsidRPr="00E70A11">
              <w:rPr>
                <w:rFonts w:ascii="Arial Narrow" w:hAnsi="Arial Narrow"/>
                <w:sz w:val="18"/>
                <w:szCs w:val="18"/>
              </w:rPr>
              <w:t>This work includes research to improve understanding of indicators and develop processes for assessing condition and monitoring trend of community benefits</w:t>
            </w:r>
          </w:p>
        </w:tc>
        <w:tc>
          <w:tcPr>
            <w:tcW w:w="4383" w:type="dxa"/>
            <w:tcBorders>
              <w:top w:val="single" w:sz="4" w:space="0" w:color="auto"/>
              <w:left w:val="single" w:sz="4" w:space="0" w:color="auto"/>
              <w:bottom w:val="single" w:sz="4" w:space="0" w:color="auto"/>
              <w:right w:val="single" w:sz="4" w:space="0" w:color="auto"/>
            </w:tcBorders>
          </w:tcPr>
          <w:p w14:paraId="5761E981"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rPr>
              <w:t xml:space="preserve">Draft Reef 2050 Plan </w:t>
            </w:r>
            <w:hyperlink r:id="rId362" w:history="1">
              <w:r w:rsidRPr="00E70A11">
                <w:rPr>
                  <w:rStyle w:val="Hyperlink"/>
                  <w:rFonts w:ascii="Arial Narrow" w:hAnsi="Arial Narrow"/>
                  <w:sz w:val="18"/>
                  <w:szCs w:val="18"/>
                  <w:lang w:val="en"/>
                </w:rPr>
                <w:t>Cumulative Impact Management Policy</w:t>
              </w:r>
            </w:hyperlink>
          </w:p>
          <w:p w14:paraId="5761E982"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rPr>
              <w:t xml:space="preserve">Draft Reef 2050 Plan </w:t>
            </w:r>
            <w:hyperlink r:id="rId363" w:history="1">
              <w:r w:rsidRPr="00E70A11">
                <w:rPr>
                  <w:rStyle w:val="Hyperlink"/>
                  <w:rFonts w:ascii="Arial Narrow" w:hAnsi="Arial Narrow"/>
                  <w:sz w:val="18"/>
                  <w:szCs w:val="18"/>
                  <w:lang w:val="en"/>
                </w:rPr>
                <w:t>Net benefit Policy</w:t>
              </w:r>
            </w:hyperlink>
          </w:p>
          <w:p w14:paraId="5761E983"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364" w:history="1">
              <w:r w:rsidR="00A56EE9" w:rsidRPr="00E70A11">
                <w:rPr>
                  <w:rStyle w:val="Hyperlink"/>
                  <w:rFonts w:ascii="Arial Narrow" w:hAnsi="Arial Narrow"/>
                  <w:sz w:val="18"/>
                  <w:szCs w:val="18"/>
                </w:rPr>
                <w:t>Experimental Environmental-Economic Accounts for the Great Barrier Reef, 2017</w:t>
              </w:r>
            </w:hyperlink>
          </w:p>
          <w:p w14:paraId="5761E984"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365" w:history="1">
              <w:r w:rsidR="00A56EE9" w:rsidRPr="00E70A11">
                <w:rPr>
                  <w:rStyle w:val="Hyperlink"/>
                  <w:rFonts w:ascii="Arial Narrow" w:hAnsi="Arial Narrow"/>
                  <w:sz w:val="18"/>
                  <w:szCs w:val="18"/>
                  <w:lang w:val="en"/>
                </w:rPr>
                <w:t>Deloitte Access Economics Report</w:t>
              </w:r>
            </w:hyperlink>
            <w:r w:rsidR="00A56EE9" w:rsidRPr="00E70A11">
              <w:rPr>
                <w:rFonts w:ascii="Arial Narrow" w:hAnsi="Arial Narrow"/>
                <w:sz w:val="18"/>
                <w:szCs w:val="18"/>
                <w:lang w:val="en"/>
              </w:rPr>
              <w:t xml:space="preserve"> 2017 – At what price? The economic, social and icon value of the Great Barrier Reef</w:t>
            </w:r>
          </w:p>
          <w:p w14:paraId="5761E98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Marshall NA, Curnock MI, Goldberg J, Gooch M, Marshall PA, Pert PL, &amp; Tobin RC. (2017): The Dependency of People on the Great Barrier Reef, Australia, </w:t>
            </w:r>
            <w:r w:rsidRPr="00E70A11">
              <w:rPr>
                <w:rFonts w:ascii="Arial Narrow" w:hAnsi="Arial Narrow"/>
                <w:i/>
                <w:sz w:val="18"/>
                <w:szCs w:val="18"/>
              </w:rPr>
              <w:t>Coastal Management</w:t>
            </w:r>
            <w:r w:rsidRPr="00E70A11">
              <w:rPr>
                <w:rFonts w:ascii="Arial Narrow" w:hAnsi="Arial Narrow"/>
                <w:sz w:val="18"/>
                <w:szCs w:val="18"/>
              </w:rPr>
              <w:t>, DOI: 10.1080/08920753.2017.1373454</w:t>
            </w:r>
          </w:p>
          <w:p w14:paraId="5761E98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66" w:history="1">
              <w:r w:rsidR="00A56EE9" w:rsidRPr="00E70A11">
                <w:rPr>
                  <w:rStyle w:val="Hyperlink"/>
                  <w:rFonts w:ascii="Arial Narrow" w:hAnsi="Arial Narrow"/>
                  <w:sz w:val="18"/>
                  <w:szCs w:val="18"/>
                </w:rPr>
                <w:t>NESP project 3.2.2</w:t>
              </w:r>
            </w:hyperlink>
            <w:r w:rsidR="00A56EE9" w:rsidRPr="00E70A11">
              <w:rPr>
                <w:rFonts w:ascii="Arial Narrow" w:hAnsi="Arial Narrow"/>
                <w:sz w:val="18"/>
                <w:szCs w:val="18"/>
              </w:rPr>
              <w:t xml:space="preserve"> The IMS 2050 Human Dimensions Project: cost-effective Indicators and metrics for key GBRWHA human dimensions</w:t>
            </w:r>
          </w:p>
          <w:p w14:paraId="5761E98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tc>
        <w:tc>
          <w:tcPr>
            <w:tcW w:w="1090" w:type="dxa"/>
            <w:tcBorders>
              <w:top w:val="single" w:sz="4" w:space="0" w:color="auto"/>
              <w:left w:val="single" w:sz="4" w:space="0" w:color="auto"/>
              <w:bottom w:val="single" w:sz="4" w:space="0" w:color="auto"/>
              <w:right w:val="single" w:sz="4" w:space="0" w:color="auto"/>
            </w:tcBorders>
          </w:tcPr>
          <w:p w14:paraId="5761E988"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98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994"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8B"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Impacts (direct, indirect and cumulative) associated with community benefits of the environment are understood by managers.</w:t>
            </w:r>
          </w:p>
        </w:tc>
        <w:tc>
          <w:tcPr>
            <w:tcW w:w="840" w:type="dxa"/>
            <w:tcBorders>
              <w:top w:val="single" w:sz="4" w:space="0" w:color="auto"/>
              <w:left w:val="single" w:sz="4" w:space="0" w:color="auto"/>
              <w:bottom w:val="single" w:sz="4" w:space="0" w:color="auto"/>
              <w:right w:val="single" w:sz="4" w:space="0" w:color="auto"/>
            </w:tcBorders>
          </w:tcPr>
          <w:p w14:paraId="5761E98C"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98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Impacts associated with community benefits are summarised in the Strategic Assessments and Outlook Reports</w:t>
            </w:r>
            <w:r w:rsidRPr="00E70A11">
              <w:rPr>
                <w:rFonts w:ascii="Arial Narrow" w:hAnsi="Arial Narrow"/>
                <w:i/>
                <w:sz w:val="18"/>
                <w:szCs w:val="18"/>
              </w:rPr>
              <w:t xml:space="preserve"> </w:t>
            </w:r>
          </w:p>
          <w:p w14:paraId="5761E98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update and extension of the social and economic long-term monitoring program (SELTMP) for the Great Barrier Reef (previously funded through the NERP/NESP) to undertake effective monitoring and reporting on progress of the four Human Dimensions theme outcomes under the Reef 2050 plan, to provide the necessary data and interpretation to understand changes that are occurring within the region, and to make plans for the future.</w:t>
            </w:r>
          </w:p>
          <w:p w14:paraId="5761E98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market research commissioned by the Agency in 2016 to inform brand positioning gave insight to impacts of management on community perceptions and beliefs and is informing elements of future management strategy.</w:t>
            </w:r>
          </w:p>
        </w:tc>
        <w:tc>
          <w:tcPr>
            <w:tcW w:w="4383" w:type="dxa"/>
            <w:tcBorders>
              <w:top w:val="single" w:sz="4" w:space="0" w:color="auto"/>
              <w:left w:val="single" w:sz="4" w:space="0" w:color="auto"/>
              <w:bottom w:val="single" w:sz="4" w:space="0" w:color="auto"/>
              <w:right w:val="single" w:sz="4" w:space="0" w:color="auto"/>
            </w:tcBorders>
          </w:tcPr>
          <w:p w14:paraId="5761E99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67" w:history="1">
              <w:r w:rsidR="00A56EE9" w:rsidRPr="00E70A11">
                <w:rPr>
                  <w:rStyle w:val="Hyperlink"/>
                  <w:rFonts w:ascii="Arial Narrow" w:hAnsi="Arial Narrow"/>
                  <w:sz w:val="18"/>
                  <w:szCs w:val="18"/>
                </w:rPr>
                <w:t>Developing a brand strategy for the Great Barrier Reef Marine Park Authority (Pollinate, 2016)</w:t>
              </w:r>
            </w:hyperlink>
            <w:r w:rsidR="00A56EE9" w:rsidRPr="00E70A11">
              <w:rPr>
                <w:rFonts w:ascii="Arial Narrow" w:hAnsi="Arial Narrow"/>
                <w:sz w:val="18"/>
                <w:szCs w:val="18"/>
                <w:u w:val="single"/>
              </w:rPr>
              <w:t xml:space="preserve"> </w:t>
            </w:r>
          </w:p>
          <w:p w14:paraId="5761E99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tc>
        <w:tc>
          <w:tcPr>
            <w:tcW w:w="1090" w:type="dxa"/>
            <w:tcBorders>
              <w:top w:val="single" w:sz="4" w:space="0" w:color="auto"/>
              <w:left w:val="single" w:sz="4" w:space="0" w:color="auto"/>
              <w:bottom w:val="single" w:sz="4" w:space="0" w:color="auto"/>
              <w:right w:val="single" w:sz="4" w:space="0" w:color="auto"/>
            </w:tcBorders>
          </w:tcPr>
          <w:p w14:paraId="5761E992" w14:textId="49454B59" w:rsidR="00A56EE9" w:rsidRPr="00E70A11" w:rsidRDefault="0086089F" w:rsidP="00BB6AD5">
            <w:pPr>
              <w:pStyle w:val="Tablebulletlist"/>
              <w:rPr>
                <w:rStyle w:val="BookTitle"/>
              </w:rPr>
            </w:pPr>
            <w:r>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99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99D"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95"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community benefits of the environment are understood by managers.</w:t>
            </w:r>
          </w:p>
        </w:tc>
        <w:tc>
          <w:tcPr>
            <w:tcW w:w="840" w:type="dxa"/>
            <w:tcBorders>
              <w:top w:val="single" w:sz="4" w:space="0" w:color="auto"/>
              <w:left w:val="single" w:sz="4" w:space="0" w:color="auto"/>
              <w:bottom w:val="single" w:sz="4" w:space="0" w:color="auto"/>
              <w:right w:val="single" w:sz="4" w:space="0" w:color="auto"/>
            </w:tcBorders>
          </w:tcPr>
          <w:p w14:paraId="5761E996" w14:textId="77777777" w:rsidR="00A56EE9" w:rsidRPr="00E70A11" w:rsidRDefault="00A56EE9" w:rsidP="00BB6AD5">
            <w:pPr>
              <w:pStyle w:val="Tablebulletlist"/>
              <w:rPr>
                <w:rStyle w:val="BookTitle"/>
              </w:rPr>
            </w:pPr>
            <w:r w:rsidRPr="00E70A11">
              <w:rPr>
                <w:rStyle w:val="BookTitle"/>
              </w:rPr>
              <w:t>4</w:t>
            </w:r>
          </w:p>
        </w:tc>
        <w:tc>
          <w:tcPr>
            <w:tcW w:w="3999" w:type="dxa"/>
            <w:tcBorders>
              <w:top w:val="single" w:sz="4" w:space="0" w:color="auto"/>
              <w:left w:val="single" w:sz="4" w:space="0" w:color="auto"/>
              <w:bottom w:val="single" w:sz="4" w:space="0" w:color="auto"/>
              <w:right w:val="single" w:sz="4" w:space="0" w:color="auto"/>
            </w:tcBorders>
          </w:tcPr>
          <w:p w14:paraId="5761E99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State Party Report on the state of conservation of the Great Barrier Reef World Heritage Area to the World Heritage Committee and the 2016 State of the Environment Report, reflect a good understanding of national and international influences relevant to community benefits associated with the Reef.</w:t>
            </w:r>
          </w:p>
        </w:tc>
        <w:tc>
          <w:tcPr>
            <w:tcW w:w="4383" w:type="dxa"/>
            <w:tcBorders>
              <w:top w:val="single" w:sz="4" w:space="0" w:color="auto"/>
              <w:left w:val="single" w:sz="4" w:space="0" w:color="auto"/>
              <w:bottom w:val="single" w:sz="4" w:space="0" w:color="auto"/>
              <w:right w:val="single" w:sz="4" w:space="0" w:color="auto"/>
            </w:tcBorders>
          </w:tcPr>
          <w:p w14:paraId="5761E99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w:t>
            </w:r>
            <w:hyperlink r:id="rId368" w:history="1">
              <w:r w:rsidRPr="00E70A11">
                <w:rPr>
                  <w:rStyle w:val="Hyperlink"/>
                  <w:rFonts w:ascii="Arial Narrow" w:hAnsi="Arial Narrow"/>
                  <w:sz w:val="18"/>
                  <w:szCs w:val="18"/>
                </w:rPr>
                <w:t>Reef 2050 Long-Term Sustainability Plan</w:t>
              </w:r>
            </w:hyperlink>
          </w:p>
          <w:p w14:paraId="5761E999"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369" w:history="1">
              <w:r w:rsidR="00A56EE9" w:rsidRPr="00E70A11">
                <w:rPr>
                  <w:rStyle w:val="Hyperlink"/>
                  <w:rFonts w:ascii="Arial Narrow" w:hAnsi="Arial Narrow"/>
                  <w:sz w:val="18"/>
                  <w:szCs w:val="18"/>
                  <w:lang w:val="en"/>
                </w:rPr>
                <w:t>State Party Report on the state of conservation of the Great Barrier Reef World Heritage Area (Australia) 2015</w:t>
              </w:r>
            </w:hyperlink>
          </w:p>
          <w:p w14:paraId="5761E99A" w14:textId="77777777" w:rsidR="00A56EE9" w:rsidRPr="00E70A11" w:rsidRDefault="00A56EE9" w:rsidP="00BB6AD5">
            <w:pPr>
              <w:pStyle w:val="ListParagraph"/>
              <w:ind w:left="360"/>
              <w:rPr>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99B"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99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9A8"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9E"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community benefits of the environment are well known by managers.</w:t>
            </w:r>
          </w:p>
        </w:tc>
        <w:tc>
          <w:tcPr>
            <w:tcW w:w="840" w:type="dxa"/>
            <w:tcBorders>
              <w:top w:val="single" w:sz="4" w:space="0" w:color="auto"/>
              <w:left w:val="single" w:sz="4" w:space="0" w:color="auto"/>
              <w:bottom w:val="single" w:sz="4" w:space="0" w:color="auto"/>
              <w:right w:val="single" w:sz="4" w:space="0" w:color="auto"/>
            </w:tcBorders>
          </w:tcPr>
          <w:p w14:paraId="5761E99F" w14:textId="77777777" w:rsidR="00A56EE9" w:rsidRPr="00E70A11" w:rsidRDefault="00A56EE9" w:rsidP="00BB6AD5">
            <w:pPr>
              <w:pStyle w:val="Tablebulletlist"/>
              <w:rPr>
                <w:rStyle w:val="BookTitle"/>
              </w:rPr>
            </w:pPr>
            <w:r w:rsidRPr="00E70A11">
              <w:rPr>
                <w:rStyle w:val="BookTitle"/>
              </w:rPr>
              <w:t>4</w:t>
            </w:r>
          </w:p>
        </w:tc>
        <w:tc>
          <w:tcPr>
            <w:tcW w:w="3999" w:type="dxa"/>
            <w:tcBorders>
              <w:top w:val="single" w:sz="4" w:space="0" w:color="auto"/>
              <w:left w:val="single" w:sz="4" w:space="0" w:color="auto"/>
              <w:bottom w:val="single" w:sz="4" w:space="0" w:color="auto"/>
              <w:right w:val="single" w:sz="4" w:space="0" w:color="auto"/>
            </w:tcBorders>
          </w:tcPr>
          <w:p w14:paraId="5761E9A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stakeholders are well known by management as an outcome of many forums and activities that provide for stakeholder and community engagement and/or participation in caring for the Reef and connected environment.</w:t>
            </w:r>
            <w:r>
              <w:rPr>
                <w:rFonts w:ascii="Arial Narrow" w:hAnsi="Arial Narrow"/>
                <w:sz w:val="18"/>
                <w:szCs w:val="18"/>
              </w:rPr>
              <w:t xml:space="preserve"> </w:t>
            </w:r>
            <w:r w:rsidRPr="00E70A11">
              <w:rPr>
                <w:rFonts w:ascii="Arial Narrow" w:hAnsi="Arial Narrow"/>
                <w:sz w:val="18"/>
                <w:szCs w:val="18"/>
              </w:rPr>
              <w:t>Depending on their function, these forums and activities have stakeholders representing various sectors of the community with knowledge of impacts/benefits relevant to their sector/region.</w:t>
            </w:r>
          </w:p>
        </w:tc>
        <w:tc>
          <w:tcPr>
            <w:tcW w:w="4383" w:type="dxa"/>
            <w:tcBorders>
              <w:top w:val="single" w:sz="4" w:space="0" w:color="auto"/>
              <w:left w:val="single" w:sz="4" w:space="0" w:color="auto"/>
              <w:bottom w:val="single" w:sz="4" w:space="0" w:color="auto"/>
              <w:right w:val="single" w:sz="4" w:space="0" w:color="auto"/>
            </w:tcBorders>
          </w:tcPr>
          <w:p w14:paraId="5761E9A1"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370" w:history="1">
              <w:r w:rsidR="00A56EE9" w:rsidRPr="00E70A11">
                <w:rPr>
                  <w:rStyle w:val="Hyperlink"/>
                  <w:rFonts w:ascii="Arial Narrow" w:hAnsi="Arial Narrow"/>
                  <w:sz w:val="18"/>
                  <w:szCs w:val="18"/>
                </w:rPr>
                <w:t>Reef 2050 Integrated Monitoring and Reporting Program</w:t>
              </w:r>
            </w:hyperlink>
          </w:p>
          <w:p w14:paraId="5761E9A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71" w:history="1">
              <w:r w:rsidR="00A56EE9" w:rsidRPr="00E70A11">
                <w:rPr>
                  <w:rStyle w:val="Hyperlink"/>
                  <w:rFonts w:ascii="Arial Narrow" w:hAnsi="Arial Narrow"/>
                  <w:sz w:val="18"/>
                  <w:szCs w:val="18"/>
                </w:rPr>
                <w:t>Reef 2050 Long-Term Sustainability Plan</w:t>
              </w:r>
            </w:hyperlink>
          </w:p>
          <w:p w14:paraId="5761E9A3"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372" w:history="1">
              <w:r w:rsidR="00A56EE9" w:rsidRPr="00E70A11">
                <w:rPr>
                  <w:rStyle w:val="Hyperlink"/>
                  <w:rFonts w:ascii="Arial Narrow" w:hAnsi="Arial Narrow"/>
                  <w:sz w:val="18"/>
                  <w:szCs w:val="18"/>
                  <w:lang w:val="en"/>
                </w:rPr>
                <w:t>State Party Report on the state of conservation of the Great Barrier Reef World Heritage Area (Australia) 2015</w:t>
              </w:r>
            </w:hyperlink>
          </w:p>
          <w:p w14:paraId="5761E9A4" w14:textId="61FBA290"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State of the Environment Report 2016 </w:t>
            </w:r>
            <w:hyperlink r:id="rId373" w:tooltip="document link" w:history="1">
              <w:r w:rsidRPr="00E70A11">
                <w:rPr>
                  <w:rStyle w:val="Hyperlink"/>
                  <w:rFonts w:ascii="Arial Narrow" w:hAnsi="Arial Narrow"/>
                  <w:sz w:val="18"/>
                  <w:szCs w:val="18"/>
                </w:rPr>
                <w:t>https://soe.environment.gov.au/download/reports</w:t>
              </w:r>
            </w:hyperlink>
          </w:p>
          <w:p w14:paraId="5761E9A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Reef Trust: http://www.environment.gov.au/marine/gbr/reef-trust</w:t>
            </w:r>
          </w:p>
        </w:tc>
        <w:tc>
          <w:tcPr>
            <w:tcW w:w="1090" w:type="dxa"/>
            <w:tcBorders>
              <w:top w:val="single" w:sz="4" w:space="0" w:color="auto"/>
              <w:left w:val="single" w:sz="4" w:space="0" w:color="auto"/>
              <w:bottom w:val="single" w:sz="4" w:space="0" w:color="auto"/>
              <w:right w:val="single" w:sz="4" w:space="0" w:color="auto"/>
            </w:tcBorders>
          </w:tcPr>
          <w:p w14:paraId="5761E9A6" w14:textId="77777777" w:rsidR="00A56EE9" w:rsidRPr="00E70A11" w:rsidRDefault="00A56EE9" w:rsidP="00BB6AD5">
            <w:pPr>
              <w:pStyle w:val="Tablebulletlist"/>
              <w:rPr>
                <w:rStyle w:val="BookTitle"/>
              </w:rPr>
            </w:pPr>
            <w:r>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9A7" w14:textId="77777777" w:rsidR="00A56EE9" w:rsidRPr="00E70A11" w:rsidRDefault="00A56EE9" w:rsidP="00BB6AD5">
            <w:pPr>
              <w:pStyle w:val="Tablebulletlist"/>
              <w:rPr>
                <w:rStyle w:val="BookTitle"/>
              </w:rPr>
            </w:pPr>
            <w:r>
              <w:rPr>
                <w:rStyle w:val="BookTitle"/>
              </w:rPr>
              <w:t>Improving</w:t>
            </w:r>
          </w:p>
        </w:tc>
      </w:tr>
      <w:tr w:rsidR="00A56EE9" w:rsidRPr="00E70A11" w14:paraId="5761E9AF"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A9" w14:textId="77777777" w:rsidR="00A56EE9" w:rsidRPr="00E70A11" w:rsidRDefault="00A56EE9" w:rsidP="00BB6AD5">
            <w:pPr>
              <w:pStyle w:val="Tablebulletlist"/>
              <w:rPr>
                <w:rStyle w:val="BookTitle"/>
              </w:rPr>
            </w:pPr>
            <w:r w:rsidRPr="00E70A11">
              <w:rPr>
                <w:rStyle w:val="BookTitle"/>
              </w:rPr>
              <w:t>PLANNING</w:t>
            </w:r>
          </w:p>
        </w:tc>
        <w:tc>
          <w:tcPr>
            <w:tcW w:w="84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AA" w14:textId="77777777" w:rsidR="00A56EE9" w:rsidRPr="00E70A11" w:rsidRDefault="00A56EE9" w:rsidP="00BB6AD5">
            <w:pPr>
              <w:pStyle w:val="Tablebulletlist"/>
              <w:rPr>
                <w:rStyle w:val="BookTitle"/>
              </w:rPr>
            </w:pPr>
          </w:p>
        </w:tc>
        <w:tc>
          <w:tcPr>
            <w:tcW w:w="39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AB" w14:textId="77777777" w:rsidR="00A56EE9" w:rsidRPr="00E70A11" w:rsidRDefault="00A56EE9" w:rsidP="00BB6AD5">
            <w:pPr>
              <w:pStyle w:val="ListParagraph"/>
              <w:ind w:left="360"/>
              <w:rPr>
                <w:rStyle w:val="BookTitle"/>
                <w:rFonts w:ascii="Arial Narrow" w:hAnsi="Arial Narrow"/>
                <w:sz w:val="18"/>
                <w:szCs w:val="18"/>
              </w:rPr>
            </w:pPr>
          </w:p>
        </w:tc>
        <w:tc>
          <w:tcPr>
            <w:tcW w:w="438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AC"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AD"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9AE" w14:textId="77777777" w:rsidR="00A56EE9" w:rsidRPr="00E70A11" w:rsidRDefault="00A56EE9" w:rsidP="00BB6AD5">
            <w:pPr>
              <w:pStyle w:val="Tablebulletlist"/>
              <w:rPr>
                <w:rStyle w:val="BookTitle"/>
              </w:rPr>
            </w:pPr>
          </w:p>
        </w:tc>
      </w:tr>
      <w:tr w:rsidR="00A56EE9" w:rsidRPr="00E70A11" w14:paraId="5761E9BB"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B0"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community benefits of the environment </w:t>
            </w:r>
          </w:p>
        </w:tc>
        <w:tc>
          <w:tcPr>
            <w:tcW w:w="840" w:type="dxa"/>
            <w:tcBorders>
              <w:top w:val="single" w:sz="4" w:space="0" w:color="auto"/>
              <w:left w:val="single" w:sz="4" w:space="0" w:color="auto"/>
              <w:bottom w:val="single" w:sz="4" w:space="0" w:color="auto"/>
              <w:right w:val="single" w:sz="4" w:space="0" w:color="auto"/>
            </w:tcBorders>
          </w:tcPr>
          <w:p w14:paraId="5761E9B1"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9B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Reef 2050 Plan </w:t>
            </w:r>
            <w:r w:rsidRPr="00E70A11">
              <w:rPr>
                <w:rFonts w:ascii="Arial Narrow" w:hAnsi="Arial Narrow"/>
                <w:sz w:val="18"/>
                <w:szCs w:val="18"/>
                <w:lang w:val="en"/>
              </w:rPr>
              <w:t>outlines strategies for managing and preserving the Great Barrier Reef World Heritage Area, and provides the basis to ensure wise use and protection of the Great Barrier Reef World Heritage Area for the future. The Reef 2050 Plan aims to develop a shared understanding of community benefits derived from the Reef. An important step is further developing a long-term social and economic monitoring program.</w:t>
            </w:r>
          </w:p>
          <w:p w14:paraId="5761E9B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Zoning plans, Recreation Management Strategy and Plans of Management, as well as protected area management plans (undertaken by QPWS) segregate conflicting uses to ensure access to resources, support enjoyment and encourage personal attachment to the Reef</w:t>
            </w:r>
          </w:p>
        </w:tc>
        <w:tc>
          <w:tcPr>
            <w:tcW w:w="4383" w:type="dxa"/>
            <w:tcBorders>
              <w:top w:val="single" w:sz="4" w:space="0" w:color="auto"/>
              <w:left w:val="single" w:sz="4" w:space="0" w:color="auto"/>
              <w:bottom w:val="single" w:sz="4" w:space="0" w:color="auto"/>
              <w:right w:val="single" w:sz="4" w:space="0" w:color="auto"/>
            </w:tcBorders>
          </w:tcPr>
          <w:p w14:paraId="5761E9B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Long Term Sustainability Plan</w:t>
            </w:r>
          </w:p>
          <w:p w14:paraId="5761E9B5" w14:textId="5AA69D75"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 Act: </w:t>
            </w:r>
            <w:hyperlink r:id="rId374" w:tooltip="document link" w:history="1">
              <w:r w:rsidRPr="00E70A11">
                <w:rPr>
                  <w:rStyle w:val="Hyperlink"/>
                  <w:rFonts w:ascii="Arial Narrow" w:hAnsi="Arial Narrow"/>
                  <w:sz w:val="18"/>
                  <w:szCs w:val="18"/>
                </w:rPr>
                <w:t>http://www.comlaw.gov.au/Details/C2011C00149</w:t>
              </w:r>
            </w:hyperlink>
          </w:p>
          <w:p w14:paraId="5761E9B6" w14:textId="1FDB09D2"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Zoning Plan: </w:t>
            </w:r>
            <w:hyperlink r:id="rId375" w:tooltip="document link" w:history="1">
              <w:r w:rsidRPr="00E70A11">
                <w:rPr>
                  <w:rStyle w:val="Hyperlink"/>
                  <w:rFonts w:ascii="Arial Narrow" w:hAnsi="Arial Narrow"/>
                  <w:sz w:val="18"/>
                  <w:szCs w:val="18"/>
                </w:rPr>
                <w:t>http://www.gbrmpa.gov.au/zoning-permits-and-plans/zoning</w:t>
              </w:r>
            </w:hyperlink>
          </w:p>
          <w:p w14:paraId="5761E9B7" w14:textId="6A084B80"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Managing Multiple Uses: </w:t>
            </w:r>
            <w:hyperlink r:id="rId376" w:tooltip="document link" w:history="1">
              <w:r w:rsidRPr="00E70A11">
                <w:rPr>
                  <w:rStyle w:val="Hyperlink"/>
                  <w:rFonts w:ascii="Arial Narrow" w:hAnsi="Arial Narrow"/>
                  <w:sz w:val="18"/>
                  <w:szCs w:val="18"/>
                </w:rPr>
                <w:t>http://www.gbrmpa.gov.au/about-the-reef/Managing-multiple-uses</w:t>
              </w:r>
            </w:hyperlink>
          </w:p>
          <w:p w14:paraId="5761E9B8"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9B9"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9BA"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9C8"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BC"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community benefits of the environment addresses the major factors influencing the Great Barrier Reef Region’s values.</w:t>
            </w:r>
          </w:p>
        </w:tc>
        <w:tc>
          <w:tcPr>
            <w:tcW w:w="840" w:type="dxa"/>
            <w:tcBorders>
              <w:top w:val="single" w:sz="4" w:space="0" w:color="auto"/>
              <w:left w:val="single" w:sz="4" w:space="0" w:color="auto"/>
              <w:bottom w:val="single" w:sz="4" w:space="0" w:color="auto"/>
              <w:right w:val="single" w:sz="4" w:space="0" w:color="auto"/>
            </w:tcBorders>
          </w:tcPr>
          <w:p w14:paraId="5761E9BD"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9B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Guidelines for social impact assessment in the permission system (2017) which provides guidance on assessing impacts to social values within the permission system as well as including on-going monitoring of impacts associated with new developments. </w:t>
            </w:r>
          </w:p>
          <w:p w14:paraId="5761E9B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Permits – managed tourism pressures, some scientific research pressures, harvest fisheries </w:t>
            </w:r>
          </w:p>
          <w:p w14:paraId="5761E9C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draft Cumulative impact policy provides a systematic and consistent approach to managing and reducing cumulative impacts on the GBR.</w:t>
            </w:r>
            <w:r w:rsidRPr="00E70A11">
              <w:rPr>
                <w:rFonts w:ascii="Arial Narrow" w:hAnsi="Arial Narrow"/>
                <w:i/>
                <w:sz w:val="18"/>
                <w:szCs w:val="18"/>
              </w:rPr>
              <w:t xml:space="preserve"> </w:t>
            </w:r>
            <w:r w:rsidRPr="00E70A11">
              <w:rPr>
                <w:rFonts w:ascii="Arial Narrow" w:hAnsi="Arial Narrow"/>
                <w:sz w:val="18"/>
                <w:szCs w:val="18"/>
              </w:rPr>
              <w:t>Community attitudes can directly affect decisions that are made about the Great Barrier Reef’s health by governments, communities, industry and others.</w:t>
            </w:r>
          </w:p>
        </w:tc>
        <w:tc>
          <w:tcPr>
            <w:tcW w:w="4383" w:type="dxa"/>
            <w:tcBorders>
              <w:top w:val="single" w:sz="4" w:space="0" w:color="auto"/>
              <w:left w:val="single" w:sz="4" w:space="0" w:color="auto"/>
              <w:bottom w:val="single" w:sz="4" w:space="0" w:color="auto"/>
              <w:right w:val="single" w:sz="4" w:space="0" w:color="auto"/>
            </w:tcBorders>
          </w:tcPr>
          <w:p w14:paraId="5761E9C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Long Term Sustainability Plan</w:t>
            </w:r>
          </w:p>
          <w:p w14:paraId="5761E9C2" w14:textId="75821071"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 Act: </w:t>
            </w:r>
            <w:hyperlink r:id="rId377" w:tooltip="document link" w:history="1">
              <w:r w:rsidRPr="00E70A11">
                <w:rPr>
                  <w:rStyle w:val="Hyperlink"/>
                  <w:rFonts w:ascii="Arial Narrow" w:hAnsi="Arial Narrow"/>
                  <w:sz w:val="18"/>
                  <w:szCs w:val="18"/>
                </w:rPr>
                <w:t>http://www.comlaw.gov.au/Details/C2011C00149</w:t>
              </w:r>
            </w:hyperlink>
          </w:p>
          <w:p w14:paraId="5761E9C3" w14:textId="5F48BD31"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Zoning Plan: </w:t>
            </w:r>
            <w:hyperlink r:id="rId378" w:tooltip="document link" w:history="1">
              <w:r w:rsidRPr="00E70A11">
                <w:rPr>
                  <w:rStyle w:val="Hyperlink"/>
                  <w:rFonts w:ascii="Arial Narrow" w:hAnsi="Arial Narrow"/>
                  <w:sz w:val="18"/>
                  <w:szCs w:val="18"/>
                </w:rPr>
                <w:t>http://www.gbrmpa.gov.au/zoning-permits-and-plans/zoning</w:t>
              </w:r>
            </w:hyperlink>
          </w:p>
          <w:p w14:paraId="5761E9C4"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9C5" w14:textId="77777777" w:rsidR="00A56EE9" w:rsidRPr="00E70A11" w:rsidRDefault="00A56EE9" w:rsidP="00BB6AD5">
            <w:pPr>
              <w:pStyle w:val="Tablebulletlist"/>
              <w:rPr>
                <w:rStyle w:val="BookTitle"/>
              </w:rPr>
            </w:pPr>
          </w:p>
          <w:p w14:paraId="5761E9C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E9C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9D4"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C9"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community benefits of the environment are clearly identified within the plan </w:t>
            </w:r>
          </w:p>
        </w:tc>
        <w:tc>
          <w:tcPr>
            <w:tcW w:w="840" w:type="dxa"/>
            <w:tcBorders>
              <w:top w:val="single" w:sz="4" w:space="0" w:color="auto"/>
              <w:left w:val="single" w:sz="4" w:space="0" w:color="auto"/>
              <w:bottom w:val="single" w:sz="4" w:space="0" w:color="auto"/>
              <w:right w:val="single" w:sz="4" w:space="0" w:color="auto"/>
            </w:tcBorders>
          </w:tcPr>
          <w:p w14:paraId="5761E9CA"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9C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NESP human dimensions Project is developing indicators which will be critical to set a Great Barrier Reef (GBR) wide benchmark for the state of the human dimensions of the GBR, which will be enabled through the Reef 2050 Plan.</w:t>
            </w:r>
          </w:p>
          <w:p w14:paraId="5761E9C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NESP project will build on work from RIMREP and develop cost-effective indicators and metrics for human dimension outcomes, objectives and targets in the Reef 2050 Plan consistent with DPSIR framework </w:t>
            </w:r>
          </w:p>
          <w:p w14:paraId="5761E9C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Human dimension target included in the Reef 2050 Water Quality Improvement Plan</w:t>
            </w:r>
          </w:p>
        </w:tc>
        <w:tc>
          <w:tcPr>
            <w:tcW w:w="4383" w:type="dxa"/>
            <w:tcBorders>
              <w:top w:val="single" w:sz="4" w:space="0" w:color="auto"/>
              <w:left w:val="single" w:sz="4" w:space="0" w:color="auto"/>
              <w:bottom w:val="single" w:sz="4" w:space="0" w:color="auto"/>
              <w:right w:val="single" w:sz="4" w:space="0" w:color="auto"/>
            </w:tcBorders>
          </w:tcPr>
          <w:p w14:paraId="5761E9CE"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379" w:history="1">
              <w:r w:rsidR="00A56EE9" w:rsidRPr="00E70A11">
                <w:rPr>
                  <w:rStyle w:val="Hyperlink"/>
                  <w:rFonts w:ascii="Arial Narrow" w:hAnsi="Arial Narrow"/>
                  <w:sz w:val="18"/>
                  <w:szCs w:val="18"/>
                </w:rPr>
                <w:t>Great Barrier Reef Marine Park Zoning Plan 2003</w:t>
              </w:r>
            </w:hyperlink>
          </w:p>
          <w:p w14:paraId="5761E9C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w:t>
            </w:r>
            <w:hyperlink r:id="rId380" w:history="1">
              <w:r w:rsidRPr="00E70A11">
                <w:rPr>
                  <w:rStyle w:val="Hyperlink"/>
                  <w:rFonts w:ascii="Arial Narrow" w:hAnsi="Arial Narrow"/>
                  <w:sz w:val="18"/>
                  <w:szCs w:val="18"/>
                </w:rPr>
                <w:t>NESP project 3.2.2</w:t>
              </w:r>
            </w:hyperlink>
            <w:r w:rsidRPr="00E70A11">
              <w:rPr>
                <w:rFonts w:ascii="Arial Narrow" w:hAnsi="Arial Narrow"/>
                <w:sz w:val="18"/>
                <w:szCs w:val="18"/>
              </w:rPr>
              <w:t xml:space="preserve"> The IMS 2050 Human Dimensions Project: cost-effective Indicators and metrics for key GBRWHA human dimensions. Portal document Commonwealth II (002)</w:t>
            </w:r>
          </w:p>
          <w:p w14:paraId="5761E9D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81" w:history="1">
              <w:r w:rsidR="00A56EE9" w:rsidRPr="00E70A11">
                <w:rPr>
                  <w:rStyle w:val="Hyperlink"/>
                  <w:rFonts w:ascii="Arial Narrow" w:hAnsi="Arial Narrow"/>
                  <w:sz w:val="18"/>
                  <w:szCs w:val="18"/>
                </w:rPr>
                <w:t>Reef 2050 Long-Term Sustainability Plan</w:t>
              </w:r>
            </w:hyperlink>
          </w:p>
          <w:p w14:paraId="5761E9D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Reef 2050 Water Quality Improvement Plan</w:t>
            </w:r>
          </w:p>
        </w:tc>
        <w:tc>
          <w:tcPr>
            <w:tcW w:w="1090" w:type="dxa"/>
            <w:tcBorders>
              <w:top w:val="single" w:sz="4" w:space="0" w:color="auto"/>
              <w:left w:val="single" w:sz="4" w:space="0" w:color="auto"/>
              <w:bottom w:val="single" w:sz="4" w:space="0" w:color="auto"/>
              <w:right w:val="single" w:sz="4" w:space="0" w:color="auto"/>
            </w:tcBorders>
          </w:tcPr>
          <w:p w14:paraId="5761E9D2"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9D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9DE"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D5"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community benefits of the environment have been documented</w:t>
            </w:r>
          </w:p>
        </w:tc>
        <w:tc>
          <w:tcPr>
            <w:tcW w:w="840" w:type="dxa"/>
            <w:tcBorders>
              <w:top w:val="single" w:sz="4" w:space="0" w:color="auto"/>
              <w:left w:val="single" w:sz="4" w:space="0" w:color="auto"/>
              <w:bottom w:val="single" w:sz="4" w:space="0" w:color="auto"/>
              <w:right w:val="single" w:sz="4" w:space="0" w:color="auto"/>
            </w:tcBorders>
          </w:tcPr>
          <w:p w14:paraId="5761E9D6"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9D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NESP project will build on work from RIMREP and develop cost-effective indicators and metrics for human dimension outcomes, objectives and targets in the Reef 2050 Plan. </w:t>
            </w:r>
          </w:p>
          <w:p w14:paraId="5761E9D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Human dimension target included in the Reef 2050 Water Quality Improvement Plan</w:t>
            </w:r>
          </w:p>
        </w:tc>
        <w:tc>
          <w:tcPr>
            <w:tcW w:w="4383" w:type="dxa"/>
            <w:tcBorders>
              <w:top w:val="single" w:sz="4" w:space="0" w:color="auto"/>
              <w:left w:val="single" w:sz="4" w:space="0" w:color="auto"/>
              <w:bottom w:val="single" w:sz="4" w:space="0" w:color="auto"/>
              <w:right w:val="single" w:sz="4" w:space="0" w:color="auto"/>
            </w:tcBorders>
          </w:tcPr>
          <w:p w14:paraId="5761E9D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82" w:history="1">
              <w:r w:rsidR="00A56EE9" w:rsidRPr="00E70A11">
                <w:rPr>
                  <w:rStyle w:val="Hyperlink"/>
                  <w:rFonts w:ascii="Arial Narrow" w:hAnsi="Arial Narrow"/>
                  <w:sz w:val="18"/>
                  <w:szCs w:val="18"/>
                </w:rPr>
                <w:t>NESP project 3.2.2</w:t>
              </w:r>
            </w:hyperlink>
            <w:r w:rsidR="00A56EE9" w:rsidRPr="00E70A11">
              <w:rPr>
                <w:rFonts w:ascii="Arial Narrow" w:hAnsi="Arial Narrow"/>
                <w:sz w:val="18"/>
                <w:szCs w:val="18"/>
              </w:rPr>
              <w:t xml:space="preserve"> The IMS 2050 Human Dimensions Project: cost-effective Indicators and metrics for key GBRWHA human dimensions. Portal document Commonwealth II (002)</w:t>
            </w:r>
          </w:p>
          <w:p w14:paraId="5761E9D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83" w:history="1">
              <w:r w:rsidR="00A56EE9" w:rsidRPr="00E70A11">
                <w:rPr>
                  <w:rStyle w:val="Hyperlink"/>
                  <w:rFonts w:ascii="Arial Narrow" w:hAnsi="Arial Narrow"/>
                  <w:sz w:val="18"/>
                  <w:szCs w:val="18"/>
                </w:rPr>
                <w:t>Reef 2050 Long-Term Sustainability Plan</w:t>
              </w:r>
            </w:hyperlink>
          </w:p>
          <w:p w14:paraId="5761E9D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Reef 2050 Water Quality Improvement Plan</w:t>
            </w:r>
          </w:p>
        </w:tc>
        <w:tc>
          <w:tcPr>
            <w:tcW w:w="1090" w:type="dxa"/>
            <w:tcBorders>
              <w:top w:val="single" w:sz="4" w:space="0" w:color="auto"/>
              <w:left w:val="single" w:sz="4" w:space="0" w:color="auto"/>
              <w:bottom w:val="single" w:sz="4" w:space="0" w:color="auto"/>
              <w:right w:val="single" w:sz="4" w:space="0" w:color="auto"/>
            </w:tcBorders>
          </w:tcPr>
          <w:p w14:paraId="5761E9DC"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9D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9EB"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DF"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9E0"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9E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SELTMP is assisting Reef managers and other decision-makers within the Great Barrier Reef region to incorporate human dimension into their planning and management</w:t>
            </w:r>
          </w:p>
          <w:p w14:paraId="5761E9E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NESP project 3.2.2 are developing indicators for monitoring and modelling the human dimension outcomes, objectives and targets from the Reef 2050 Long-Term Sustainability Plan (Reef 2050 Plan). This work is fully embedded within the within Reef Integrated Monitoring and Reporting Program (RIMReP).</w:t>
            </w:r>
          </w:p>
          <w:p w14:paraId="5761E9E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NESP project 3.2.4 will work across social and ecological disciplines to identify, for the first time, indicators that will enable managers to measure and monitor aesthetic values for the GBRWHA</w:t>
            </w:r>
          </w:p>
        </w:tc>
        <w:tc>
          <w:tcPr>
            <w:tcW w:w="4383" w:type="dxa"/>
            <w:tcBorders>
              <w:top w:val="single" w:sz="4" w:space="0" w:color="auto"/>
              <w:left w:val="single" w:sz="4" w:space="0" w:color="auto"/>
              <w:bottom w:val="single" w:sz="4" w:space="0" w:color="auto"/>
              <w:right w:val="single" w:sz="4" w:space="0" w:color="auto"/>
            </w:tcBorders>
          </w:tcPr>
          <w:p w14:paraId="5761E9E4"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84" w:history="1">
              <w:r w:rsidR="00A56EE9" w:rsidRPr="00E70A11">
                <w:rPr>
                  <w:rStyle w:val="Hyperlink"/>
                  <w:rFonts w:ascii="Arial Narrow" w:hAnsi="Arial Narrow"/>
                  <w:sz w:val="18"/>
                  <w:szCs w:val="18"/>
                </w:rPr>
                <w:t>NESP project 3.2.2</w:t>
              </w:r>
            </w:hyperlink>
            <w:r w:rsidR="00A56EE9" w:rsidRPr="00E70A11">
              <w:rPr>
                <w:rFonts w:ascii="Arial Narrow" w:hAnsi="Arial Narrow"/>
                <w:sz w:val="18"/>
                <w:szCs w:val="18"/>
              </w:rPr>
              <w:t xml:space="preserve"> The IMS 2050 Human Dimensions Project: cost-effective Indicators and metrics for key GBRWHA human dimensions. Portal document Commonwealth II (002)</w:t>
            </w:r>
          </w:p>
          <w:p w14:paraId="5761E9E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9E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85" w:history="1">
              <w:r w:rsidR="00A56EE9" w:rsidRPr="00E70A11">
                <w:rPr>
                  <w:rStyle w:val="Hyperlink"/>
                  <w:rFonts w:ascii="Arial Narrow" w:hAnsi="Arial Narrow"/>
                  <w:sz w:val="18"/>
                  <w:szCs w:val="18"/>
                </w:rPr>
                <w:t>Reef 2050 Long-Term Sustainability Plan</w:t>
              </w:r>
            </w:hyperlink>
          </w:p>
          <w:p w14:paraId="5761E9E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w:t>
            </w:r>
          </w:p>
          <w:p w14:paraId="5761E9E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NESP project 2.2.4</w:t>
            </w:r>
          </w:p>
        </w:tc>
        <w:tc>
          <w:tcPr>
            <w:tcW w:w="1090" w:type="dxa"/>
            <w:tcBorders>
              <w:top w:val="single" w:sz="4" w:space="0" w:color="auto"/>
              <w:left w:val="single" w:sz="4" w:space="0" w:color="auto"/>
              <w:bottom w:val="single" w:sz="4" w:space="0" w:color="auto"/>
              <w:right w:val="single" w:sz="4" w:space="0" w:color="auto"/>
            </w:tcBorders>
          </w:tcPr>
          <w:p w14:paraId="5761E9E9"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9EA"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9F9"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EC"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9ED" w14:textId="77777777" w:rsidR="00A56EE9" w:rsidRPr="00E70A11" w:rsidRDefault="00A56EE9" w:rsidP="00BB6AD5">
            <w:pPr>
              <w:pStyle w:val="Tablebulletlist"/>
              <w:rPr>
                <w:rStyle w:val="BookTitle"/>
              </w:rPr>
            </w:pPr>
            <w:r w:rsidRPr="00E70A11">
              <w:rPr>
                <w:rStyle w:val="BookTitle"/>
              </w:rPr>
              <w:t>4</w:t>
            </w:r>
          </w:p>
        </w:tc>
        <w:tc>
          <w:tcPr>
            <w:tcW w:w="3999" w:type="dxa"/>
            <w:tcBorders>
              <w:top w:val="single" w:sz="4" w:space="0" w:color="auto"/>
              <w:left w:val="single" w:sz="4" w:space="0" w:color="auto"/>
              <w:bottom w:val="single" w:sz="4" w:space="0" w:color="auto"/>
              <w:right w:val="single" w:sz="4" w:space="0" w:color="auto"/>
            </w:tcBorders>
          </w:tcPr>
          <w:p w14:paraId="5761E9E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consults with the public on a range of matters that concern the Marine Park, including permit applications and proposed developments. People interested in the management of the Great Barrier Reef and World Heritage Area, including proposed developments, have valuable knowledge that contributes to the assessment process. A list of current plans, applications and assessments for public consultation are available online, along with details on the process</w:t>
            </w:r>
          </w:p>
          <w:p w14:paraId="5761E9E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Established committees such as the LMACs and RACs play an important role.</w:t>
            </w:r>
          </w:p>
          <w:p w14:paraId="5761E9F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Guardians Program: The Reef Guardian program is a successful stewardship program that began with schools in 2003 to encourage the community to take action for a healthier Reef. The program has since expanded to include councils, famers</w:t>
            </w:r>
            <w:r>
              <w:rPr>
                <w:rFonts w:ascii="Arial Narrow" w:hAnsi="Arial Narrow"/>
                <w:sz w:val="18"/>
                <w:szCs w:val="18"/>
              </w:rPr>
              <w:t xml:space="preserve"> </w:t>
            </w:r>
            <w:r w:rsidRPr="00E70A11">
              <w:rPr>
                <w:rFonts w:ascii="Arial Narrow" w:hAnsi="Arial Narrow"/>
                <w:sz w:val="18"/>
                <w:szCs w:val="18"/>
              </w:rPr>
              <w:t>and fishers.</w:t>
            </w:r>
          </w:p>
          <w:p w14:paraId="5761E9F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Regional Report Cards involve industry, the Australian Government, Queensland Government, local government, universities and research institutions in the provision of streamlined monitoring, targeted management and expert science advice to maintain and continuously improve healthy ecosystems.</w:t>
            </w:r>
          </w:p>
        </w:tc>
        <w:tc>
          <w:tcPr>
            <w:tcW w:w="4383" w:type="dxa"/>
            <w:tcBorders>
              <w:top w:val="single" w:sz="4" w:space="0" w:color="auto"/>
              <w:left w:val="single" w:sz="4" w:space="0" w:color="auto"/>
              <w:bottom w:val="single" w:sz="4" w:space="0" w:color="auto"/>
              <w:right w:val="single" w:sz="4" w:space="0" w:color="auto"/>
            </w:tcBorders>
          </w:tcPr>
          <w:p w14:paraId="5761E9F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Guardians</w:t>
            </w:r>
          </w:p>
          <w:p w14:paraId="5761E9F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LMACS</w:t>
            </w:r>
          </w:p>
          <w:p w14:paraId="5761E9F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RACS</w:t>
            </w:r>
          </w:p>
          <w:p w14:paraId="5761E9F5"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86" w:history="1">
              <w:r w:rsidR="00A56EE9" w:rsidRPr="00E70A11">
                <w:rPr>
                  <w:rStyle w:val="Hyperlink"/>
                  <w:rFonts w:ascii="Arial Narrow" w:hAnsi="Arial Narrow"/>
                  <w:sz w:val="18"/>
                  <w:szCs w:val="18"/>
                </w:rPr>
                <w:t>Reef 2050 Long-Term Sustainability Plan</w:t>
              </w:r>
            </w:hyperlink>
          </w:p>
          <w:p w14:paraId="5761E9F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9F7"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9F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14"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9FA"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9FB"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9F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Several policies are in place that contain aspects to effectively address community benefits including:</w:t>
            </w:r>
          </w:p>
          <w:p w14:paraId="5761E9FD" w14:textId="77777777" w:rsidR="00A56EE9" w:rsidRPr="00E70A11" w:rsidRDefault="00A56EE9" w:rsidP="00A11869">
            <w:pPr>
              <w:pStyle w:val="ListParagraph"/>
              <w:numPr>
                <w:ilvl w:val="1"/>
                <w:numId w:val="24"/>
              </w:numPr>
              <w:spacing w:after="200" w:line="276" w:lineRule="auto"/>
              <w:ind w:left="593"/>
              <w:rPr>
                <w:rFonts w:ascii="Arial Narrow" w:hAnsi="Arial Narrow"/>
                <w:sz w:val="18"/>
                <w:szCs w:val="18"/>
              </w:rPr>
            </w:pPr>
            <w:r w:rsidRPr="00E70A11">
              <w:rPr>
                <w:rFonts w:ascii="Arial Narrow" w:hAnsi="Arial Narrow"/>
                <w:sz w:val="18"/>
                <w:szCs w:val="18"/>
              </w:rPr>
              <w:t xml:space="preserve">Recreation Management Strategy (more broadly covers enjoyment and appreciation, access, personal connections, income) although this hasn’t been updated since 2012. </w:t>
            </w:r>
          </w:p>
          <w:p w14:paraId="5761E9FE" w14:textId="77777777" w:rsidR="00A56EE9" w:rsidRPr="00E70A11" w:rsidRDefault="00A56EE9" w:rsidP="00A11869">
            <w:pPr>
              <w:pStyle w:val="ListParagraph"/>
              <w:numPr>
                <w:ilvl w:val="1"/>
                <w:numId w:val="24"/>
              </w:numPr>
              <w:spacing w:after="200" w:line="276" w:lineRule="auto"/>
              <w:ind w:left="593"/>
              <w:rPr>
                <w:rFonts w:ascii="Arial Narrow" w:hAnsi="Arial Narrow"/>
                <w:sz w:val="18"/>
                <w:szCs w:val="18"/>
              </w:rPr>
            </w:pPr>
            <w:r w:rsidRPr="00E70A11">
              <w:rPr>
                <w:rFonts w:ascii="Arial Narrow" w:hAnsi="Arial Narrow"/>
                <w:sz w:val="18"/>
                <w:szCs w:val="18"/>
              </w:rPr>
              <w:t>Responsible Reef Practices</w:t>
            </w:r>
          </w:p>
          <w:p w14:paraId="5761E9FF" w14:textId="77777777" w:rsidR="00A56EE9" w:rsidRPr="00E70A11" w:rsidRDefault="00A56EE9" w:rsidP="00A11869">
            <w:pPr>
              <w:pStyle w:val="ListParagraph"/>
              <w:numPr>
                <w:ilvl w:val="1"/>
                <w:numId w:val="24"/>
              </w:numPr>
              <w:spacing w:after="200" w:line="276" w:lineRule="auto"/>
              <w:ind w:left="593"/>
              <w:rPr>
                <w:rFonts w:ascii="Arial Narrow" w:hAnsi="Arial Narrow"/>
                <w:sz w:val="18"/>
                <w:szCs w:val="18"/>
              </w:rPr>
            </w:pPr>
            <w:r w:rsidRPr="00E70A11">
              <w:rPr>
                <w:rFonts w:ascii="Arial Narrow" w:hAnsi="Arial Narrow"/>
                <w:sz w:val="18"/>
                <w:szCs w:val="18"/>
              </w:rPr>
              <w:t xml:space="preserve">Policy on Managing Tourism Permissions to Operate in the Great Barrier Reef Marine Park (including Allocation, Latency &amp; Tenure) </w:t>
            </w:r>
          </w:p>
          <w:p w14:paraId="5761EA00" w14:textId="77777777" w:rsidR="00A56EE9" w:rsidRPr="00E70A11" w:rsidRDefault="00A56EE9" w:rsidP="00A11869">
            <w:pPr>
              <w:pStyle w:val="ListParagraph"/>
              <w:numPr>
                <w:ilvl w:val="1"/>
                <w:numId w:val="24"/>
              </w:numPr>
              <w:spacing w:after="200" w:line="276" w:lineRule="auto"/>
              <w:ind w:left="593"/>
              <w:rPr>
                <w:rFonts w:ascii="Arial Narrow" w:hAnsi="Arial Narrow"/>
                <w:sz w:val="18"/>
                <w:szCs w:val="18"/>
              </w:rPr>
            </w:pPr>
            <w:r w:rsidRPr="00E70A11">
              <w:rPr>
                <w:rFonts w:ascii="Arial Narrow" w:hAnsi="Arial Narrow"/>
                <w:sz w:val="18"/>
                <w:szCs w:val="18"/>
              </w:rPr>
              <w:t xml:space="preserve">Cruise Shipping Policy for the Great Barrier Reef Marine Park </w:t>
            </w:r>
          </w:p>
          <w:p w14:paraId="5761EA01" w14:textId="77777777" w:rsidR="00A56EE9" w:rsidRPr="00E70A11" w:rsidRDefault="00A56EE9" w:rsidP="00A11869">
            <w:pPr>
              <w:pStyle w:val="ListParagraph"/>
              <w:numPr>
                <w:ilvl w:val="1"/>
                <w:numId w:val="24"/>
              </w:numPr>
              <w:spacing w:after="200" w:line="276" w:lineRule="auto"/>
              <w:ind w:left="593"/>
              <w:rPr>
                <w:rFonts w:ascii="Arial Narrow" w:hAnsi="Arial Narrow"/>
                <w:sz w:val="18"/>
                <w:szCs w:val="18"/>
              </w:rPr>
            </w:pPr>
            <w:r w:rsidRPr="00E70A11">
              <w:rPr>
                <w:rFonts w:ascii="Arial Narrow" w:hAnsi="Arial Narrow"/>
                <w:sz w:val="18"/>
                <w:szCs w:val="18"/>
              </w:rPr>
              <w:t>Policy on Moorings in the Great Barrier Reef Marine Park</w:t>
            </w:r>
          </w:p>
          <w:p w14:paraId="5761EA02" w14:textId="77777777" w:rsidR="00A56EE9" w:rsidRPr="00E70A11" w:rsidRDefault="00A56EE9" w:rsidP="00A11869">
            <w:pPr>
              <w:pStyle w:val="ListParagraph"/>
              <w:numPr>
                <w:ilvl w:val="1"/>
                <w:numId w:val="24"/>
              </w:numPr>
              <w:spacing w:after="200" w:line="276" w:lineRule="auto"/>
              <w:ind w:left="593"/>
              <w:rPr>
                <w:rFonts w:ascii="Arial Narrow" w:hAnsi="Arial Narrow"/>
                <w:sz w:val="18"/>
                <w:szCs w:val="18"/>
              </w:rPr>
            </w:pPr>
            <w:r w:rsidRPr="00E70A11">
              <w:rPr>
                <w:rFonts w:ascii="Arial Narrow" w:hAnsi="Arial Narrow"/>
                <w:sz w:val="18"/>
                <w:szCs w:val="18"/>
              </w:rPr>
              <w:t>Policy on Managing Bareboat Operations in the Great Barrier Reef Marine Park</w:t>
            </w:r>
          </w:p>
          <w:p w14:paraId="5761EA03" w14:textId="77777777" w:rsidR="00A56EE9" w:rsidRPr="00E70A11" w:rsidRDefault="008B5998" w:rsidP="00A11869">
            <w:pPr>
              <w:pStyle w:val="ListParagraph"/>
              <w:numPr>
                <w:ilvl w:val="1"/>
                <w:numId w:val="24"/>
              </w:numPr>
              <w:spacing w:after="200" w:line="276" w:lineRule="auto"/>
              <w:ind w:left="593"/>
              <w:rPr>
                <w:rFonts w:ascii="Arial Narrow" w:hAnsi="Arial Narrow"/>
                <w:sz w:val="18"/>
                <w:szCs w:val="18"/>
              </w:rPr>
            </w:pPr>
            <w:hyperlink r:id="rId387" w:history="1">
              <w:r w:rsidR="00A56EE9" w:rsidRPr="00E70A11">
                <w:rPr>
                  <w:rStyle w:val="Hyperlink"/>
                  <w:rFonts w:ascii="Arial Narrow" w:hAnsi="Arial Narrow"/>
                  <w:sz w:val="18"/>
                  <w:szCs w:val="18"/>
                </w:rPr>
                <w:t>Position Statement - Management of tourist flights in the vicinity of Magnetic Island</w:t>
              </w:r>
            </w:hyperlink>
          </w:p>
          <w:p w14:paraId="5761EA04" w14:textId="77777777" w:rsidR="00A56EE9" w:rsidRPr="00E70A11" w:rsidRDefault="008B5998" w:rsidP="00A11869">
            <w:pPr>
              <w:pStyle w:val="ListParagraph"/>
              <w:numPr>
                <w:ilvl w:val="1"/>
                <w:numId w:val="24"/>
              </w:numPr>
              <w:spacing w:after="200" w:line="276" w:lineRule="auto"/>
              <w:ind w:left="593"/>
              <w:rPr>
                <w:rFonts w:ascii="Arial Narrow" w:hAnsi="Arial Narrow"/>
                <w:sz w:val="18"/>
                <w:szCs w:val="18"/>
              </w:rPr>
            </w:pPr>
            <w:hyperlink r:id="rId388" w:history="1">
              <w:r w:rsidR="00A56EE9" w:rsidRPr="00E70A11">
                <w:rPr>
                  <w:rStyle w:val="Hyperlink"/>
                  <w:rFonts w:ascii="Arial Narrow" w:hAnsi="Arial Narrow"/>
                  <w:sz w:val="18"/>
                  <w:szCs w:val="18"/>
                </w:rPr>
                <w:t>Position Statement on Indigenous Participation in Tourism and its Management</w:t>
              </w:r>
            </w:hyperlink>
          </w:p>
          <w:p w14:paraId="5761EA05" w14:textId="77777777" w:rsidR="00A56EE9" w:rsidRPr="00E70A11" w:rsidRDefault="008B5998" w:rsidP="00A11869">
            <w:pPr>
              <w:pStyle w:val="ListParagraph"/>
              <w:numPr>
                <w:ilvl w:val="1"/>
                <w:numId w:val="24"/>
              </w:numPr>
              <w:spacing w:after="200" w:line="276" w:lineRule="auto"/>
              <w:ind w:left="593"/>
              <w:rPr>
                <w:rFonts w:ascii="Arial Narrow" w:hAnsi="Arial Narrow"/>
                <w:sz w:val="18"/>
                <w:szCs w:val="18"/>
              </w:rPr>
            </w:pPr>
            <w:hyperlink r:id="rId389" w:history="1">
              <w:r w:rsidR="00A56EE9" w:rsidRPr="00E70A11">
                <w:rPr>
                  <w:rStyle w:val="Hyperlink"/>
                  <w:rFonts w:ascii="Arial Narrow" w:hAnsi="Arial Narrow"/>
                  <w:sz w:val="18"/>
                  <w:szCs w:val="18"/>
                </w:rPr>
                <w:t>Position Statement on Management of Commercial Jet Ski Operations around Magnetic Island</w:t>
              </w:r>
            </w:hyperlink>
          </w:p>
          <w:p w14:paraId="5761EA06" w14:textId="77777777" w:rsidR="00A56EE9" w:rsidRPr="00E70A11" w:rsidRDefault="00A56EE9" w:rsidP="00A11869">
            <w:pPr>
              <w:pStyle w:val="ListParagraph"/>
              <w:numPr>
                <w:ilvl w:val="1"/>
                <w:numId w:val="24"/>
              </w:numPr>
              <w:spacing w:after="200" w:line="276" w:lineRule="auto"/>
              <w:ind w:left="593"/>
              <w:rPr>
                <w:rFonts w:ascii="Arial Narrow" w:hAnsi="Arial Narrow"/>
                <w:sz w:val="18"/>
                <w:szCs w:val="18"/>
              </w:rPr>
            </w:pPr>
            <w:r w:rsidRPr="00E70A11">
              <w:rPr>
                <w:rFonts w:ascii="Arial Narrow" w:hAnsi="Arial Narrow"/>
                <w:sz w:val="18"/>
                <w:szCs w:val="18"/>
              </w:rPr>
              <w:t>Site-specific management arrangements</w:t>
            </w:r>
          </w:p>
          <w:p w14:paraId="5761EA0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Reef 2050 </w:t>
            </w:r>
            <w:r w:rsidRPr="00E70A11">
              <w:rPr>
                <w:rFonts w:ascii="Arial Narrow" w:hAnsi="Arial Narrow"/>
                <w:sz w:val="18"/>
                <w:szCs w:val="18"/>
                <w:lang w:val="en"/>
              </w:rPr>
              <w:t xml:space="preserve">outlines strategies for managing and preserving the Great Barrier Reef World Heritage Area, and provides the basis to ensure wise use and protection of the Great Barrier Reef World Heritage Area for the future. The Reef 2050 Plan aims to develop a shared understanding of community benefits derived from the Reef. An important step is further developing a long-term social and economic monitoring program. </w:t>
            </w:r>
          </w:p>
          <w:p w14:paraId="5761EA0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Socio and economic research is being brought into the RIMREP Human Dimensions expert working group </w:t>
            </w:r>
          </w:p>
          <w:p w14:paraId="5761EA0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Human dimension target included in the Reef 2050 Water Quality Improvement Plan (Reef 2050 WQIP)</w:t>
            </w:r>
          </w:p>
          <w:p w14:paraId="5761EA0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Human dimensions research is part of the new Reef 2050 Water Quality Research Development and Innovation Strategy to continue informing the Queensland Reef Water Quality Program and others</w:t>
            </w:r>
          </w:p>
          <w:p w14:paraId="5761EA0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Environmental Stewardship monitoring is introduced in all Queensland Reef Water Quality Program agricultural practice change projects to guide their engagement with producers and provide early indication of practice change</w:t>
            </w:r>
          </w:p>
        </w:tc>
        <w:tc>
          <w:tcPr>
            <w:tcW w:w="4383" w:type="dxa"/>
            <w:tcBorders>
              <w:top w:val="single" w:sz="4" w:space="0" w:color="auto"/>
              <w:left w:val="single" w:sz="4" w:space="0" w:color="auto"/>
              <w:bottom w:val="single" w:sz="4" w:space="0" w:color="auto"/>
              <w:right w:val="single" w:sz="4" w:space="0" w:color="auto"/>
            </w:tcBorders>
          </w:tcPr>
          <w:p w14:paraId="5761EA0C"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390" w:history="1">
              <w:r w:rsidR="00A56EE9" w:rsidRPr="00E70A11">
                <w:rPr>
                  <w:rStyle w:val="Hyperlink"/>
                  <w:rFonts w:ascii="Arial Narrow" w:hAnsi="Arial Narrow"/>
                  <w:sz w:val="18"/>
                  <w:szCs w:val="18"/>
                </w:rPr>
                <w:t>Reef 2050 Integrated Monitoring and Reporting Program</w:t>
              </w:r>
            </w:hyperlink>
          </w:p>
          <w:p w14:paraId="5761EA0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391" w:history="1">
              <w:r w:rsidR="00A56EE9" w:rsidRPr="00E70A11">
                <w:rPr>
                  <w:rStyle w:val="Hyperlink"/>
                  <w:rFonts w:ascii="Arial Narrow" w:hAnsi="Arial Narrow"/>
                  <w:sz w:val="18"/>
                  <w:szCs w:val="18"/>
                </w:rPr>
                <w:t>Reef 2050 Long-Term Sustainability Plan</w:t>
              </w:r>
            </w:hyperlink>
          </w:p>
          <w:p w14:paraId="5761EA0E"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rPr>
              <w:t xml:space="preserve">Draft Reef 2050 Plan </w:t>
            </w:r>
            <w:hyperlink r:id="rId392" w:history="1">
              <w:r w:rsidRPr="00E70A11">
                <w:rPr>
                  <w:rStyle w:val="Hyperlink"/>
                  <w:rFonts w:ascii="Arial Narrow" w:hAnsi="Arial Narrow"/>
                  <w:sz w:val="18"/>
                  <w:szCs w:val="18"/>
                  <w:lang w:val="en"/>
                </w:rPr>
                <w:t>Cumulative Impact Management Policy</w:t>
              </w:r>
            </w:hyperlink>
          </w:p>
          <w:p w14:paraId="5761EA0F"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rPr>
              <w:t xml:space="preserve">Draft Reef 2050 Plan </w:t>
            </w:r>
            <w:hyperlink r:id="rId393" w:history="1">
              <w:r w:rsidRPr="00E70A11">
                <w:rPr>
                  <w:rStyle w:val="Hyperlink"/>
                  <w:rFonts w:ascii="Arial Narrow" w:hAnsi="Arial Narrow"/>
                  <w:sz w:val="18"/>
                  <w:szCs w:val="18"/>
                  <w:lang w:val="en"/>
                </w:rPr>
                <w:t>Net benefit Policy</w:t>
              </w:r>
            </w:hyperlink>
          </w:p>
          <w:p w14:paraId="5761EA10"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Fonts w:ascii="Arial Narrow" w:hAnsi="Arial Narrow"/>
                <w:sz w:val="18"/>
                <w:szCs w:val="18"/>
              </w:rPr>
              <w:fldChar w:fldCharType="begin"/>
            </w:r>
            <w:r w:rsidRPr="00E70A11">
              <w:rPr>
                <w:rFonts w:ascii="Arial Narrow" w:hAnsi="Arial Narrow"/>
                <w:sz w:val="18"/>
                <w:szCs w:val="18"/>
              </w:rPr>
              <w:instrText xml:space="preserve"> HYPERLINK "http://www.reefplan.qld.gov.au/about/" </w:instrText>
            </w:r>
            <w:r w:rsidRPr="00E70A11">
              <w:rPr>
                <w:rFonts w:ascii="Arial Narrow" w:hAnsi="Arial Narrow"/>
                <w:sz w:val="18"/>
                <w:szCs w:val="18"/>
              </w:rPr>
              <w:fldChar w:fldCharType="separate"/>
            </w:r>
            <w:r w:rsidRPr="00E70A11">
              <w:rPr>
                <w:rStyle w:val="Hyperlink"/>
                <w:rFonts w:ascii="Arial Narrow" w:hAnsi="Arial Narrow"/>
                <w:sz w:val="18"/>
                <w:szCs w:val="18"/>
              </w:rPr>
              <w:t>Reef 2050 WQIP</w:t>
            </w:r>
          </w:p>
          <w:p w14:paraId="5761EA1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fldChar w:fldCharType="end"/>
            </w:r>
          </w:p>
        </w:tc>
        <w:tc>
          <w:tcPr>
            <w:tcW w:w="1090" w:type="dxa"/>
            <w:tcBorders>
              <w:top w:val="single" w:sz="4" w:space="0" w:color="auto"/>
              <w:left w:val="single" w:sz="4" w:space="0" w:color="auto"/>
              <w:bottom w:val="single" w:sz="4" w:space="0" w:color="auto"/>
              <w:right w:val="single" w:sz="4" w:space="0" w:color="auto"/>
            </w:tcBorders>
          </w:tcPr>
          <w:p w14:paraId="5761EA12"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A1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1F"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shd w:val="clear" w:color="auto" w:fill="FFFFFF"/>
          </w:tcPr>
          <w:p w14:paraId="5761EA15" w14:textId="77777777" w:rsidR="00A56EE9" w:rsidRPr="00E70A11" w:rsidRDefault="00A56EE9" w:rsidP="00BB6AD5">
            <w:pPr>
              <w:pStyle w:val="Tablebulletlist"/>
              <w:rPr>
                <w:rStyle w:val="BookTitle"/>
              </w:rPr>
            </w:pPr>
            <w:r w:rsidRPr="00E70A11">
              <w:rPr>
                <w:rStyle w:val="BookTitle"/>
              </w:rPr>
              <w:t>PL8 There is consistency across jurisdictions when planning for community benefits of the environment</w:t>
            </w:r>
          </w:p>
        </w:tc>
        <w:tc>
          <w:tcPr>
            <w:tcW w:w="840" w:type="dxa"/>
            <w:tcBorders>
              <w:top w:val="single" w:sz="4" w:space="0" w:color="auto"/>
              <w:left w:val="single" w:sz="4" w:space="0" w:color="auto"/>
              <w:bottom w:val="single" w:sz="4" w:space="0" w:color="auto"/>
              <w:right w:val="single" w:sz="4" w:space="0" w:color="auto"/>
            </w:tcBorders>
            <w:shd w:val="clear" w:color="auto" w:fill="FFFFFF"/>
          </w:tcPr>
          <w:p w14:paraId="5761EA16"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shd w:val="clear" w:color="auto" w:fill="FFFFFF"/>
          </w:tcPr>
          <w:p w14:paraId="5761EA1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Intergovernmental Agreement on the Environment for the Great Barrier Reef provides the ‘head of power’ for aspects of community benefits through the joint permitting system between the Authority and QPWS. This joint system allows for consistent consideration and management of access to resources through permits, Zoning Plans and Plans of Management.</w:t>
            </w:r>
          </w:p>
          <w:p w14:paraId="5761EA1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 Reef 2050 Plan </w:t>
            </w:r>
            <w:r w:rsidRPr="00E70A11">
              <w:rPr>
                <w:rFonts w:ascii="Arial Narrow" w:hAnsi="Arial Narrow"/>
                <w:sz w:val="18"/>
                <w:szCs w:val="18"/>
                <w:lang w:val="en"/>
              </w:rPr>
              <w:t>outlines strategies for managing and preserving the Great Barrier Reef World Heritage Area, and provides the basis to ensure wise use and protection of the Great Barrier Reef World Heritage Area for the future. The Reef 2050 Plan aims to develop a shared understanding of community benefits derived from the Reef.</w:t>
            </w:r>
          </w:p>
        </w:tc>
        <w:tc>
          <w:tcPr>
            <w:tcW w:w="4383" w:type="dxa"/>
            <w:tcBorders>
              <w:top w:val="single" w:sz="4" w:space="0" w:color="auto"/>
              <w:left w:val="single" w:sz="4" w:space="0" w:color="auto"/>
              <w:bottom w:val="single" w:sz="4" w:space="0" w:color="auto"/>
              <w:right w:val="single" w:sz="4" w:space="0" w:color="auto"/>
            </w:tcBorders>
            <w:shd w:val="clear" w:color="auto" w:fill="FFFFFF"/>
          </w:tcPr>
          <w:p w14:paraId="5761EA19"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394" w:history="1">
              <w:r w:rsidR="00A56EE9" w:rsidRPr="00E70A11">
                <w:rPr>
                  <w:rStyle w:val="Hyperlink"/>
                  <w:rFonts w:ascii="Arial Narrow" w:hAnsi="Arial Narrow"/>
                  <w:sz w:val="18"/>
                  <w:szCs w:val="18"/>
                  <w:lang w:val="en"/>
                </w:rPr>
                <w:t>Intergovernmental Agreement on the Environment</w:t>
              </w:r>
            </w:hyperlink>
            <w:r w:rsidR="00A56EE9" w:rsidRPr="00E70A11">
              <w:rPr>
                <w:rFonts w:ascii="Arial Narrow" w:hAnsi="Arial Narrow"/>
                <w:sz w:val="18"/>
                <w:szCs w:val="18"/>
                <w:lang w:val="en"/>
              </w:rPr>
              <w:t xml:space="preserve"> </w:t>
            </w:r>
          </w:p>
          <w:p w14:paraId="5761EA1A"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395" w:history="1">
              <w:r w:rsidR="00A56EE9" w:rsidRPr="00E70A11">
                <w:rPr>
                  <w:rStyle w:val="Hyperlink"/>
                  <w:rFonts w:ascii="Arial Narrow" w:hAnsi="Arial Narrow"/>
                  <w:sz w:val="18"/>
                  <w:szCs w:val="18"/>
                  <w:lang w:val="en"/>
                </w:rPr>
                <w:t>Heads of Agreement on Commonwealth/State Roles and Responsibilities for the Environment</w:t>
              </w:r>
            </w:hyperlink>
          </w:p>
          <w:p w14:paraId="5761EA1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Information Sheet - </w:t>
            </w:r>
            <w:hyperlink r:id="rId396" w:history="1">
              <w:r w:rsidRPr="00E70A11">
                <w:rPr>
                  <w:rStyle w:val="Hyperlink"/>
                  <w:rFonts w:ascii="Arial Narrow" w:hAnsi="Arial Narrow"/>
                  <w:sz w:val="18"/>
                  <w:szCs w:val="18"/>
                </w:rPr>
                <w:t>Joint Marine Parks permissions with Queensland</w:t>
              </w:r>
            </w:hyperlink>
          </w:p>
          <w:p w14:paraId="5761EA1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shd w:val="clear" w:color="auto" w:fill="FFFFFF"/>
          </w:tcPr>
          <w:p w14:paraId="5761EA1D"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5761EA1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2D"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shd w:val="clear" w:color="auto" w:fill="auto"/>
          </w:tcPr>
          <w:p w14:paraId="5761EA20"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community benefits of the environment provide certainty regarding where uses may occur, the type of activities allowed, conditions under which activities may proceed and circumstances where impacts are likely to be acceptable.</w:t>
            </w:r>
          </w:p>
        </w:tc>
        <w:tc>
          <w:tcPr>
            <w:tcW w:w="840" w:type="dxa"/>
            <w:tcBorders>
              <w:top w:val="single" w:sz="4" w:space="0" w:color="auto"/>
              <w:left w:val="single" w:sz="4" w:space="0" w:color="auto"/>
              <w:bottom w:val="single" w:sz="4" w:space="0" w:color="auto"/>
              <w:right w:val="single" w:sz="4" w:space="0" w:color="auto"/>
            </w:tcBorders>
          </w:tcPr>
          <w:p w14:paraId="5761EA21"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2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Plans regarding</w:t>
            </w:r>
            <w:r w:rsidRPr="00E70A11">
              <w:rPr>
                <w:rFonts w:ascii="Arial Narrow" w:hAnsi="Arial Narrow"/>
                <w:bCs/>
                <w:sz w:val="18"/>
                <w:szCs w:val="18"/>
              </w:rPr>
              <w:t xml:space="preserve"> access to resources </w:t>
            </w:r>
            <w:r w:rsidRPr="00E70A11">
              <w:rPr>
                <w:rFonts w:ascii="Arial Narrow" w:hAnsi="Arial Narrow"/>
                <w:sz w:val="18"/>
                <w:szCs w:val="18"/>
              </w:rPr>
              <w:t xml:space="preserve">and </w:t>
            </w:r>
            <w:r w:rsidRPr="00E70A11">
              <w:rPr>
                <w:rFonts w:ascii="Arial Narrow" w:hAnsi="Arial Narrow"/>
                <w:bCs/>
                <w:sz w:val="18"/>
                <w:szCs w:val="18"/>
              </w:rPr>
              <w:t xml:space="preserve">extractive activities </w:t>
            </w:r>
            <w:r w:rsidRPr="00E70A11">
              <w:rPr>
                <w:rFonts w:ascii="Arial Narrow" w:hAnsi="Arial Narrow"/>
                <w:sz w:val="18"/>
                <w:szCs w:val="18"/>
              </w:rPr>
              <w:t xml:space="preserve">are clear and provide certainty for tourism, fishing and recreation. </w:t>
            </w:r>
          </w:p>
          <w:p w14:paraId="5761EA2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Authority and QPWS have a joint-permit working group (JPWG) to streamline plans and improve certainty and consistent management.</w:t>
            </w:r>
          </w:p>
        </w:tc>
        <w:tc>
          <w:tcPr>
            <w:tcW w:w="4383" w:type="dxa"/>
            <w:tcBorders>
              <w:top w:val="single" w:sz="4" w:space="0" w:color="auto"/>
              <w:left w:val="single" w:sz="4" w:space="0" w:color="auto"/>
              <w:bottom w:val="single" w:sz="4" w:space="0" w:color="auto"/>
              <w:right w:val="single" w:sz="4" w:space="0" w:color="auto"/>
            </w:tcBorders>
          </w:tcPr>
          <w:p w14:paraId="5761EA24"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397" w:history="1">
              <w:r w:rsidR="00A56EE9" w:rsidRPr="00E70A11">
                <w:rPr>
                  <w:rStyle w:val="Hyperlink"/>
                  <w:rFonts w:ascii="Arial Narrow" w:hAnsi="Arial Narrow"/>
                  <w:sz w:val="18"/>
                  <w:szCs w:val="18"/>
                </w:rPr>
                <w:t>Great Barrier Reef Marine Park Zoning Plan 2003</w:t>
              </w:r>
            </w:hyperlink>
          </w:p>
          <w:p w14:paraId="5761EA2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w:t>
            </w:r>
            <w:hyperlink r:id="rId398" w:history="1">
              <w:r w:rsidRPr="00E70A11">
                <w:rPr>
                  <w:rStyle w:val="Hyperlink"/>
                  <w:rFonts w:ascii="Arial Narrow" w:hAnsi="Arial Narrow"/>
                  <w:sz w:val="18"/>
                  <w:szCs w:val="18"/>
                </w:rPr>
                <w:t>Plans of Management</w:t>
              </w:r>
            </w:hyperlink>
          </w:p>
          <w:p w14:paraId="5761EA26"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399" w:history="1">
              <w:r w:rsidR="00A56EE9" w:rsidRPr="00E70A11">
                <w:rPr>
                  <w:rStyle w:val="Hyperlink"/>
                  <w:rFonts w:ascii="Arial Narrow" w:hAnsi="Arial Narrow"/>
                  <w:sz w:val="18"/>
                  <w:szCs w:val="18"/>
                  <w:lang w:val="en"/>
                </w:rPr>
                <w:t>GBRMPA policies and position statements</w:t>
              </w:r>
            </w:hyperlink>
          </w:p>
          <w:p w14:paraId="5761EA2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00" w:history="1">
              <w:r w:rsidR="00A56EE9" w:rsidRPr="00E70A11">
                <w:rPr>
                  <w:rStyle w:val="Hyperlink"/>
                  <w:rFonts w:ascii="Arial Narrow" w:hAnsi="Arial Narrow"/>
                  <w:sz w:val="18"/>
                  <w:szCs w:val="18"/>
                </w:rPr>
                <w:t>Site Specific Management</w:t>
              </w:r>
            </w:hyperlink>
            <w:r w:rsidR="00A56EE9" w:rsidRPr="00E70A11">
              <w:rPr>
                <w:rFonts w:ascii="Arial Narrow" w:hAnsi="Arial Narrow"/>
                <w:sz w:val="18"/>
                <w:szCs w:val="18"/>
              </w:rPr>
              <w:t xml:space="preserve"> </w:t>
            </w:r>
          </w:p>
          <w:p w14:paraId="5761EA28"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01" w:history="1">
              <w:r w:rsidR="00A56EE9" w:rsidRPr="00E70A11">
                <w:rPr>
                  <w:rStyle w:val="Hyperlink"/>
                  <w:rFonts w:ascii="Arial Narrow" w:hAnsi="Arial Narrow"/>
                  <w:sz w:val="18"/>
                  <w:szCs w:val="18"/>
                </w:rPr>
                <w:t>Reef 2050 Integrated Monitoring and Reporting Program</w:t>
              </w:r>
            </w:hyperlink>
          </w:p>
          <w:p w14:paraId="5761EA2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02" w:history="1">
              <w:r w:rsidR="00A56EE9" w:rsidRPr="00E70A11">
                <w:rPr>
                  <w:rStyle w:val="Hyperlink"/>
                  <w:rFonts w:ascii="Arial Narrow" w:hAnsi="Arial Narrow"/>
                  <w:sz w:val="18"/>
                  <w:szCs w:val="18"/>
                </w:rPr>
                <w:t>Reef 2050 Long-Term Sustainability Plan</w:t>
              </w:r>
            </w:hyperlink>
          </w:p>
          <w:p w14:paraId="5761EA2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Information Sheet - </w:t>
            </w:r>
            <w:hyperlink r:id="rId403" w:history="1">
              <w:r w:rsidRPr="00E70A11">
                <w:rPr>
                  <w:rStyle w:val="Hyperlink"/>
                  <w:rFonts w:ascii="Arial Narrow" w:hAnsi="Arial Narrow"/>
                  <w:sz w:val="18"/>
                  <w:szCs w:val="18"/>
                </w:rPr>
                <w:t>Joint Marine Parks permissions with Queensland</w:t>
              </w:r>
            </w:hyperlink>
          </w:p>
        </w:tc>
        <w:tc>
          <w:tcPr>
            <w:tcW w:w="1090" w:type="dxa"/>
            <w:tcBorders>
              <w:top w:val="single" w:sz="4" w:space="0" w:color="auto"/>
              <w:left w:val="single" w:sz="4" w:space="0" w:color="auto"/>
              <w:bottom w:val="single" w:sz="4" w:space="0" w:color="auto"/>
              <w:right w:val="single" w:sz="4" w:space="0" w:color="auto"/>
            </w:tcBorders>
          </w:tcPr>
          <w:p w14:paraId="5761EA2B"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A2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34"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2E" w14:textId="77777777" w:rsidR="00A56EE9" w:rsidRPr="00E70A11" w:rsidRDefault="00A56EE9" w:rsidP="00BB6AD5">
            <w:pPr>
              <w:pStyle w:val="Tablebulletlist"/>
              <w:rPr>
                <w:rStyle w:val="BookTitle"/>
              </w:rPr>
            </w:pPr>
            <w:r w:rsidRPr="00E70A11">
              <w:rPr>
                <w:rStyle w:val="BookTitle"/>
              </w:rPr>
              <w:t>INPUTS</w:t>
            </w:r>
          </w:p>
        </w:tc>
        <w:tc>
          <w:tcPr>
            <w:tcW w:w="84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2F" w14:textId="77777777" w:rsidR="00A56EE9" w:rsidRPr="00E70A11" w:rsidRDefault="00A56EE9" w:rsidP="00BB6AD5">
            <w:pPr>
              <w:pStyle w:val="Tablebulletlist"/>
              <w:rPr>
                <w:rStyle w:val="BookTitle"/>
              </w:rPr>
            </w:pPr>
          </w:p>
        </w:tc>
        <w:tc>
          <w:tcPr>
            <w:tcW w:w="39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30" w14:textId="77777777" w:rsidR="00A56EE9" w:rsidRPr="00E70A11" w:rsidRDefault="00A56EE9" w:rsidP="00BB6AD5">
            <w:pPr>
              <w:pStyle w:val="ListParagraph"/>
              <w:ind w:left="360"/>
              <w:rPr>
                <w:rStyle w:val="BookTitle"/>
                <w:rFonts w:ascii="Arial Narrow" w:hAnsi="Arial Narrow"/>
                <w:sz w:val="18"/>
                <w:szCs w:val="18"/>
              </w:rPr>
            </w:pPr>
          </w:p>
        </w:tc>
        <w:tc>
          <w:tcPr>
            <w:tcW w:w="438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31"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32"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33" w14:textId="77777777" w:rsidR="00A56EE9" w:rsidRPr="00E70A11" w:rsidRDefault="00A56EE9" w:rsidP="00BB6AD5">
            <w:pPr>
              <w:pStyle w:val="Tablebulletlist"/>
              <w:rPr>
                <w:rStyle w:val="BookTitle"/>
              </w:rPr>
            </w:pPr>
          </w:p>
        </w:tc>
      </w:tr>
      <w:tr w:rsidR="00A56EE9" w:rsidRPr="00E70A11" w14:paraId="5761EA3E"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35"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community benefits of the environment </w:t>
            </w:r>
          </w:p>
        </w:tc>
        <w:tc>
          <w:tcPr>
            <w:tcW w:w="840" w:type="dxa"/>
            <w:tcBorders>
              <w:top w:val="single" w:sz="4" w:space="0" w:color="auto"/>
              <w:left w:val="single" w:sz="4" w:space="0" w:color="auto"/>
              <w:bottom w:val="single" w:sz="4" w:space="0" w:color="auto"/>
              <w:right w:val="single" w:sz="4" w:space="0" w:color="auto"/>
            </w:tcBorders>
          </w:tcPr>
          <w:p w14:paraId="5761EA36"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3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Social and economic research is undertaken by JCU and CSIRO, including projects under NESP</w:t>
            </w:r>
          </w:p>
          <w:p w14:paraId="5761EA3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w:t>
            </w:r>
            <w:r w:rsidRPr="00E70A11">
              <w:rPr>
                <w:rFonts w:ascii="Arial Narrow" w:hAnsi="Arial Narrow"/>
                <w:bCs/>
                <w:sz w:val="18"/>
                <w:szCs w:val="18"/>
              </w:rPr>
              <w:t xml:space="preserve"> RIMREP has recently funded the update and extension of the social and economic long-term monitoring program (SELTMP) for the Great Barrier Reef</w:t>
            </w:r>
          </w:p>
        </w:tc>
        <w:tc>
          <w:tcPr>
            <w:tcW w:w="4383" w:type="dxa"/>
            <w:tcBorders>
              <w:top w:val="single" w:sz="4" w:space="0" w:color="auto"/>
              <w:left w:val="single" w:sz="4" w:space="0" w:color="auto"/>
              <w:bottom w:val="single" w:sz="4" w:space="0" w:color="auto"/>
              <w:right w:val="single" w:sz="4" w:space="0" w:color="auto"/>
            </w:tcBorders>
          </w:tcPr>
          <w:p w14:paraId="5761EA3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bCs/>
                <w:sz w:val="18"/>
                <w:szCs w:val="18"/>
              </w:rPr>
              <w:t>RIMREP</w:t>
            </w:r>
          </w:p>
          <w:p w14:paraId="5761EA3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A3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Workshops and stakeholder interviews</w:t>
            </w:r>
          </w:p>
        </w:tc>
        <w:tc>
          <w:tcPr>
            <w:tcW w:w="1090" w:type="dxa"/>
            <w:tcBorders>
              <w:top w:val="single" w:sz="4" w:space="0" w:color="auto"/>
              <w:left w:val="single" w:sz="4" w:space="0" w:color="auto"/>
              <w:bottom w:val="single" w:sz="4" w:space="0" w:color="auto"/>
              <w:right w:val="single" w:sz="4" w:space="0" w:color="auto"/>
            </w:tcBorders>
          </w:tcPr>
          <w:p w14:paraId="5761EA3C"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A3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4A"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3F"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community benefits of the environment </w:t>
            </w:r>
          </w:p>
        </w:tc>
        <w:tc>
          <w:tcPr>
            <w:tcW w:w="840" w:type="dxa"/>
            <w:tcBorders>
              <w:top w:val="single" w:sz="4" w:space="0" w:color="auto"/>
              <w:left w:val="single" w:sz="4" w:space="0" w:color="auto"/>
              <w:bottom w:val="single" w:sz="4" w:space="0" w:color="auto"/>
              <w:right w:val="single" w:sz="4" w:space="0" w:color="auto"/>
            </w:tcBorders>
          </w:tcPr>
          <w:p w14:paraId="5761EA40"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4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has one FTE as a dedicated position as Manager, Social and Economic Science.</w:t>
            </w:r>
          </w:p>
          <w:p w14:paraId="5761EA4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Other staff consider community benefits (e.g. EAP permit staff) in relation to their positions, as guided by the GBRMPA Act</w:t>
            </w:r>
          </w:p>
          <w:p w14:paraId="5761EA4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has recently contracted CSIRO to provide a staff member to collect, analyse and present secondary data and other information for RIMReP that can provide a key line of evidence for benchmarking the Reef 2050 Plan’s progress towards meeting its human dimensions targets, actions objectives and outcomes.</w:t>
            </w:r>
          </w:p>
          <w:p w14:paraId="5761EA4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Queensland Reef Water Quality Program has two resources dedicated to driving human dimensions actions from the Reef 2050 Water Quality Improvement Plan</w:t>
            </w:r>
          </w:p>
        </w:tc>
        <w:tc>
          <w:tcPr>
            <w:tcW w:w="4383" w:type="dxa"/>
            <w:tcBorders>
              <w:top w:val="single" w:sz="4" w:space="0" w:color="auto"/>
              <w:left w:val="single" w:sz="4" w:space="0" w:color="auto"/>
              <w:bottom w:val="single" w:sz="4" w:space="0" w:color="auto"/>
              <w:right w:val="single" w:sz="4" w:space="0" w:color="auto"/>
            </w:tcBorders>
          </w:tcPr>
          <w:p w14:paraId="5761EA45"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Workshops and stakeholder interviews</w:t>
            </w:r>
          </w:p>
          <w:p w14:paraId="5761EA4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Pr>
                <w:rFonts w:ascii="Arial Narrow" w:hAnsi="Arial Narrow"/>
                <w:sz w:val="18"/>
                <w:szCs w:val="18"/>
              </w:rPr>
              <w:t>Annual Operating Plan</w:t>
            </w:r>
          </w:p>
          <w:p w14:paraId="5761EA47"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A48"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A4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A55"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4B"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4C"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4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GBRMPA employs one dedicated Social Scientist and engages regularly with social-ecological scientists at numerous institutions (e.g. JCU, CSIRO, UQ, </w:t>
            </w:r>
            <w:proofErr w:type="gramStart"/>
            <w:r w:rsidRPr="00E70A11">
              <w:rPr>
                <w:rFonts w:ascii="Arial Narrow" w:hAnsi="Arial Narrow"/>
                <w:sz w:val="18"/>
                <w:szCs w:val="18"/>
              </w:rPr>
              <w:t>Griffith</w:t>
            </w:r>
            <w:proofErr w:type="gramEnd"/>
            <w:r w:rsidRPr="00E70A11">
              <w:rPr>
                <w:rFonts w:ascii="Arial Narrow" w:hAnsi="Arial Narrow"/>
                <w:sz w:val="18"/>
                <w:szCs w:val="18"/>
              </w:rPr>
              <w:t xml:space="preserve">) through NESP projects and RIMReP. </w:t>
            </w:r>
          </w:p>
          <w:p w14:paraId="5761EA4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Relevant expertise and skills can be outsourced through consultation with Industry and/or other Government and research agencies.</w:t>
            </w:r>
          </w:p>
          <w:p w14:paraId="5761EA4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Queensland Reef Water Quality Program has two resources dedicated to driving human dimensions actions from the Reef 2050 Water Quality Improvement Plan</w:t>
            </w:r>
          </w:p>
        </w:tc>
        <w:tc>
          <w:tcPr>
            <w:tcW w:w="4383" w:type="dxa"/>
            <w:tcBorders>
              <w:top w:val="single" w:sz="4" w:space="0" w:color="auto"/>
              <w:left w:val="single" w:sz="4" w:space="0" w:color="auto"/>
              <w:bottom w:val="single" w:sz="4" w:space="0" w:color="auto"/>
              <w:right w:val="single" w:sz="4" w:space="0" w:color="auto"/>
            </w:tcBorders>
          </w:tcPr>
          <w:p w14:paraId="5761EA5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RIMReP</w:t>
            </w:r>
          </w:p>
          <w:p w14:paraId="5761EA5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Workshops and stakeholder interviews</w:t>
            </w:r>
          </w:p>
          <w:p w14:paraId="5761EA52"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A53"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A5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A67"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56"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57"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5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Reef 2050 Plan aims to develop a shared understanding of community benefits derived from the Reef. An important step is further developing a long-term social and economic monitoring program </w:t>
            </w:r>
          </w:p>
          <w:p w14:paraId="5761EA5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SELTMP 2017 survey includes new questions of community perceptions of water quality and inshore environments. </w:t>
            </w:r>
          </w:p>
          <w:p w14:paraId="5761EA5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Water Quality Research Development and Innovation Strategy highlights key research gaps with specific focus across sediment, nutrient, pesticide, marine and human dimensions topics to target research investment where it can provide most value to Reef managers</w:t>
            </w:r>
          </w:p>
          <w:p w14:paraId="5761EA5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2017 Scientific Consensus Statement for the Great Barrier Reef – a review of the significant advances in scientific knowledge of water quality issues in the Great Barrier Reef provides a consensus on the current understanding of the system. The Statement is the foundational document that provides the scientific understanding underpinning the Reef 2050 Water Quality Improvement Plan 2017–2022 and it informs the Queensland Reef Water Quality Program and other investments.</w:t>
            </w:r>
          </w:p>
        </w:tc>
        <w:tc>
          <w:tcPr>
            <w:tcW w:w="4383" w:type="dxa"/>
            <w:tcBorders>
              <w:top w:val="single" w:sz="4" w:space="0" w:color="auto"/>
              <w:left w:val="single" w:sz="4" w:space="0" w:color="auto"/>
              <w:bottom w:val="single" w:sz="4" w:space="0" w:color="auto"/>
              <w:right w:val="single" w:sz="4" w:space="0" w:color="auto"/>
            </w:tcBorders>
          </w:tcPr>
          <w:p w14:paraId="5761EA5C"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rPr>
              <w:t xml:space="preserve">Draft Reef 2050 </w:t>
            </w:r>
            <w:hyperlink r:id="rId404" w:history="1">
              <w:r w:rsidRPr="00E70A11">
                <w:rPr>
                  <w:rStyle w:val="Hyperlink"/>
                  <w:rFonts w:ascii="Arial Narrow" w:hAnsi="Arial Narrow"/>
                  <w:sz w:val="18"/>
                  <w:szCs w:val="18"/>
                  <w:lang w:val="en"/>
                </w:rPr>
                <w:t>Cumulative Impact Management Policy</w:t>
              </w:r>
            </w:hyperlink>
          </w:p>
          <w:p w14:paraId="5761EA5D"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lang w:val="en"/>
              </w:rPr>
            </w:pPr>
            <w:hyperlink r:id="rId405" w:history="1">
              <w:r w:rsidR="00A56EE9" w:rsidRPr="00E70A11">
                <w:rPr>
                  <w:rStyle w:val="Hyperlink"/>
                  <w:rFonts w:ascii="Arial Narrow" w:hAnsi="Arial Narrow"/>
                  <w:sz w:val="18"/>
                  <w:szCs w:val="18"/>
                  <w:lang w:val="en"/>
                </w:rPr>
                <w:t>Net benefit Policy</w:t>
              </w:r>
            </w:hyperlink>
          </w:p>
          <w:p w14:paraId="5761EA5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A5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06" w:history="1">
              <w:r w:rsidR="00A56EE9" w:rsidRPr="00E70A11">
                <w:rPr>
                  <w:rStyle w:val="Hyperlink"/>
                  <w:rFonts w:ascii="Arial Narrow" w:hAnsi="Arial Narrow"/>
                  <w:sz w:val="18"/>
                  <w:szCs w:val="18"/>
                </w:rPr>
                <w:t>Reef 2050 Long-Term Sustainability Plan</w:t>
              </w:r>
            </w:hyperlink>
          </w:p>
          <w:p w14:paraId="5761EA60"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07" w:history="1">
              <w:r w:rsidR="00A56EE9" w:rsidRPr="00E70A11">
                <w:rPr>
                  <w:rStyle w:val="Hyperlink"/>
                  <w:rFonts w:ascii="Arial Narrow" w:hAnsi="Arial Narrow"/>
                  <w:sz w:val="18"/>
                  <w:szCs w:val="18"/>
                </w:rPr>
                <w:t>Reef 2050 Integrated Monitoring and Reporting Program</w:t>
              </w:r>
            </w:hyperlink>
          </w:p>
          <w:p w14:paraId="5761EA61"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408" w:history="1">
              <w:r w:rsidR="00A56EE9" w:rsidRPr="00E70A11">
                <w:rPr>
                  <w:rStyle w:val="Hyperlink"/>
                  <w:rFonts w:ascii="Arial Narrow" w:hAnsi="Arial Narrow"/>
                  <w:sz w:val="18"/>
                  <w:szCs w:val="18"/>
                  <w:lang w:val="en"/>
                </w:rPr>
                <w:t>Cost-effective indicators and metrics for monitoring the human dimensions of the Great Barrier Reef</w:t>
              </w:r>
            </w:hyperlink>
            <w:r w:rsidR="00A56EE9" w:rsidRPr="00E70A11">
              <w:rPr>
                <w:rFonts w:ascii="Arial Narrow" w:hAnsi="Arial Narrow"/>
                <w:sz w:val="18"/>
                <w:szCs w:val="18"/>
                <w:lang w:val="en"/>
              </w:rPr>
              <w:t>: current NESP project underway.</w:t>
            </w:r>
          </w:p>
          <w:p w14:paraId="5761EA6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New papers on human dimensions such as Marshall et al (in press) </w:t>
            </w:r>
            <w:r w:rsidRPr="00E70A11">
              <w:rPr>
                <w:rFonts w:ascii="Arial Narrow" w:hAnsi="Arial Narrow"/>
                <w:i/>
                <w:sz w:val="18"/>
                <w:szCs w:val="18"/>
                <w:lang w:val="en"/>
              </w:rPr>
              <w:t>The dependency of people on the Great Barrier Reef, Australia</w:t>
            </w:r>
            <w:r w:rsidRPr="00E70A11">
              <w:rPr>
                <w:rFonts w:ascii="Arial Narrow" w:hAnsi="Arial Narrow"/>
                <w:i/>
                <w:sz w:val="18"/>
                <w:szCs w:val="18"/>
              </w:rPr>
              <w:t xml:space="preserve"> </w:t>
            </w:r>
            <w:r w:rsidRPr="00E70A11">
              <w:rPr>
                <w:rFonts w:ascii="Arial Narrow" w:hAnsi="Arial Narrow"/>
                <w:sz w:val="18"/>
                <w:szCs w:val="18"/>
              </w:rPr>
              <w:t xml:space="preserve">and Gooch et al (in press) </w:t>
            </w:r>
            <w:r w:rsidRPr="00E70A11">
              <w:rPr>
                <w:rFonts w:ascii="Arial Narrow" w:hAnsi="Arial Narrow"/>
                <w:i/>
                <w:sz w:val="18"/>
                <w:szCs w:val="18"/>
                <w:lang w:val="en"/>
              </w:rPr>
              <w:t>Assessment and promotion of the Great Barrier Reef's human dimensions through collaboration</w:t>
            </w:r>
            <w:r w:rsidRPr="00E70A11">
              <w:rPr>
                <w:rFonts w:ascii="Arial Narrow" w:hAnsi="Arial Narrow"/>
                <w:i/>
                <w:sz w:val="18"/>
                <w:szCs w:val="18"/>
              </w:rPr>
              <w:t>.</w:t>
            </w:r>
          </w:p>
          <w:p w14:paraId="5761EA63" w14:textId="5CEC0133"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09" w:tooltip="document link" w:history="1">
              <w:r w:rsidR="00A56EE9" w:rsidRPr="00E70A11">
                <w:rPr>
                  <w:rStyle w:val="Hyperlink"/>
                  <w:rFonts w:ascii="Arial Narrow" w:hAnsi="Arial Narrow"/>
                  <w:sz w:val="18"/>
                  <w:szCs w:val="18"/>
                  <w:lang w:val="en-GB"/>
                </w:rPr>
                <w:t>https://www.reefplan.qld.gov.au/implementation/research-development/</w:t>
              </w:r>
            </w:hyperlink>
            <w:r w:rsidR="00A56EE9" w:rsidRPr="00E70A11">
              <w:rPr>
                <w:rFonts w:ascii="Arial Narrow" w:hAnsi="Arial Narrow"/>
                <w:sz w:val="18"/>
                <w:szCs w:val="18"/>
                <w:lang w:val="en-GB"/>
              </w:rPr>
              <w:t xml:space="preserve"> (</w:t>
            </w:r>
          </w:p>
          <w:p w14:paraId="5761EA64" w14:textId="0C3CABE6"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410" w:tooltip="document link" w:history="1">
              <w:r w:rsidR="00A56EE9" w:rsidRPr="00E70A11">
                <w:rPr>
                  <w:rStyle w:val="Hyperlink"/>
                  <w:rFonts w:ascii="Arial Narrow" w:hAnsi="Arial Narrow"/>
                  <w:sz w:val="18"/>
                  <w:szCs w:val="18"/>
                </w:rPr>
                <w:t>https://www.reefplan.qld.gov.au/about/reef-science/scientific-consensus-statement/</w:t>
              </w:r>
            </w:hyperlink>
          </w:p>
        </w:tc>
        <w:tc>
          <w:tcPr>
            <w:tcW w:w="1090" w:type="dxa"/>
            <w:tcBorders>
              <w:top w:val="single" w:sz="4" w:space="0" w:color="auto"/>
              <w:left w:val="single" w:sz="4" w:space="0" w:color="auto"/>
              <w:bottom w:val="single" w:sz="4" w:space="0" w:color="auto"/>
              <w:right w:val="single" w:sz="4" w:space="0" w:color="auto"/>
            </w:tcBorders>
          </w:tcPr>
          <w:p w14:paraId="5761EA65"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A66"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7C"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68"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69"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6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NESP project is developing indicators for monitoring and modelling the human dimension outcomes, objectives and targets from the Reef 2050 Plan </w:t>
            </w:r>
          </w:p>
          <w:p w14:paraId="5761EA6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Socio and economic research is being brought into the RIMREP Human Dimensions expert working group to inform the RIMREP Program design</w:t>
            </w:r>
          </w:p>
          <w:p w14:paraId="5761EA6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11" w:history="1">
              <w:r w:rsidR="00A56EE9" w:rsidRPr="00E70A11">
                <w:rPr>
                  <w:rStyle w:val="Hyperlink"/>
                  <w:rFonts w:ascii="Arial Narrow" w:hAnsi="Arial Narrow"/>
                  <w:sz w:val="18"/>
                  <w:szCs w:val="18"/>
                </w:rPr>
                <w:t>The economic and social impacts of protecting the environmental values of the waters of the Capricorn and Curtis Coasts</w:t>
              </w:r>
            </w:hyperlink>
            <w:r w:rsidR="00A56EE9" w:rsidRPr="00E70A11">
              <w:rPr>
                <w:rFonts w:ascii="Arial Narrow" w:hAnsi="Arial Narrow"/>
                <w:sz w:val="18"/>
                <w:szCs w:val="18"/>
              </w:rPr>
              <w:t xml:space="preserve"> (Oct 2014) DEHP, Qld. </w:t>
            </w:r>
          </w:p>
          <w:p w14:paraId="5761EA6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Gooch report aims to ensure GBR policy makers and managers better consider the needs of GBR-dependent communities and industries. Includes information on aspirations, capacities and stewardship, community vitality, culture and heritage, economic viability and governance</w:t>
            </w:r>
          </w:p>
          <w:p w14:paraId="5761EA6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Access Economic Study has determined the value of the reef (income, employment etc) to various reef users.</w:t>
            </w:r>
          </w:p>
          <w:p w14:paraId="5761EA6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Human dimensions target and actions included in the Reef 2050 Water Quality Improvement Plan</w:t>
            </w:r>
          </w:p>
          <w:p w14:paraId="5761EA7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Environmental Stewardship monitoring is introduced in all Queensland Reef Water Quality Program agricultural practice change projects to guide their engagement with producers and provide early indication of practice change</w:t>
            </w:r>
          </w:p>
        </w:tc>
        <w:tc>
          <w:tcPr>
            <w:tcW w:w="4383" w:type="dxa"/>
            <w:tcBorders>
              <w:top w:val="single" w:sz="4" w:space="0" w:color="auto"/>
              <w:left w:val="single" w:sz="4" w:space="0" w:color="auto"/>
              <w:bottom w:val="single" w:sz="4" w:space="0" w:color="auto"/>
              <w:right w:val="single" w:sz="4" w:space="0" w:color="auto"/>
            </w:tcBorders>
          </w:tcPr>
          <w:p w14:paraId="5761EA7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12" w:history="1">
              <w:r w:rsidR="00A56EE9" w:rsidRPr="00E70A11">
                <w:rPr>
                  <w:rStyle w:val="Hyperlink"/>
                  <w:rFonts w:ascii="Arial Narrow" w:hAnsi="Arial Narrow"/>
                  <w:sz w:val="18"/>
                  <w:szCs w:val="18"/>
                </w:rPr>
                <w:t>NESP Project 3.2.3</w:t>
              </w:r>
            </w:hyperlink>
            <w:r w:rsidR="00A56EE9" w:rsidRPr="00E70A11">
              <w:rPr>
                <w:rFonts w:ascii="Arial Narrow" w:hAnsi="Arial Narrow"/>
                <w:sz w:val="18"/>
                <w:szCs w:val="18"/>
              </w:rPr>
              <w:t xml:space="preserve"> Monitoring aesthetic value of the Great Barrier Reef by using artificial intelligence to score photos and videos</w:t>
            </w:r>
          </w:p>
          <w:p w14:paraId="5761EA7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13" w:history="1">
              <w:r w:rsidR="00A56EE9" w:rsidRPr="00E70A11">
                <w:rPr>
                  <w:rStyle w:val="Hyperlink"/>
                  <w:rFonts w:ascii="Arial Narrow" w:hAnsi="Arial Narrow"/>
                  <w:sz w:val="18"/>
                  <w:szCs w:val="18"/>
                </w:rPr>
                <w:t>NESP Project 3.2.4</w:t>
              </w:r>
            </w:hyperlink>
            <w:r w:rsidR="00A56EE9" w:rsidRPr="00E70A11">
              <w:rPr>
                <w:rFonts w:ascii="Arial Narrow" w:hAnsi="Arial Narrow"/>
                <w:sz w:val="18"/>
                <w:szCs w:val="18"/>
              </w:rPr>
              <w:t xml:space="preserve"> - Defining, assessing and monitoring Great Barrier Reef aesthetics</w:t>
            </w:r>
          </w:p>
          <w:p w14:paraId="5761EA7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Gooch et al., Draft Report: Assessing the human dimensions of the GBR: A Wet Tropics Region focus – portal</w:t>
            </w:r>
          </w:p>
          <w:p w14:paraId="5761EA74"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14" w:history="1">
              <w:r w:rsidR="00A56EE9" w:rsidRPr="00E70A11">
                <w:rPr>
                  <w:rStyle w:val="Hyperlink"/>
                  <w:rFonts w:ascii="Arial Narrow" w:hAnsi="Arial Narrow"/>
                  <w:sz w:val="18"/>
                  <w:szCs w:val="18"/>
                </w:rPr>
                <w:t>Experimental Environmental-Economic Accounts for the Great Barrier Reef, 2017</w:t>
              </w:r>
            </w:hyperlink>
          </w:p>
          <w:p w14:paraId="5761EA75"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415" w:history="1">
              <w:r w:rsidR="00A56EE9" w:rsidRPr="00E70A11">
                <w:rPr>
                  <w:rStyle w:val="Hyperlink"/>
                  <w:rFonts w:ascii="Arial Narrow" w:hAnsi="Arial Narrow"/>
                  <w:sz w:val="18"/>
                  <w:szCs w:val="18"/>
                  <w:lang w:val="en"/>
                </w:rPr>
                <w:t>Deloitte Access Economics Report</w:t>
              </w:r>
            </w:hyperlink>
            <w:r w:rsidR="00A56EE9" w:rsidRPr="00E70A11">
              <w:rPr>
                <w:rFonts w:ascii="Arial Narrow" w:hAnsi="Arial Narrow"/>
                <w:sz w:val="18"/>
                <w:szCs w:val="18"/>
                <w:lang w:val="en"/>
              </w:rPr>
              <w:t xml:space="preserve"> 2017 – At what price? The economic, social and icon value of the Great Barrier Reef</w:t>
            </w:r>
          </w:p>
          <w:p w14:paraId="5761EA76"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16" w:history="1">
              <w:r w:rsidR="00A56EE9" w:rsidRPr="00E70A11">
                <w:rPr>
                  <w:rStyle w:val="Hyperlink"/>
                  <w:rFonts w:ascii="Arial Narrow" w:hAnsi="Arial Narrow"/>
                  <w:sz w:val="18"/>
                  <w:szCs w:val="18"/>
                </w:rPr>
                <w:t>Reef 2050 Integrated Monitoring and Reporting Program</w:t>
              </w:r>
            </w:hyperlink>
          </w:p>
          <w:p w14:paraId="5761EA77"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17" w:history="1">
              <w:r w:rsidR="00A56EE9" w:rsidRPr="00E70A11">
                <w:rPr>
                  <w:rStyle w:val="Hyperlink"/>
                  <w:rFonts w:ascii="Arial Narrow" w:hAnsi="Arial Narrow"/>
                  <w:sz w:val="18"/>
                  <w:szCs w:val="18"/>
                </w:rPr>
                <w:t>2017 Scientific Consensus Statement</w:t>
              </w:r>
            </w:hyperlink>
          </w:p>
          <w:p w14:paraId="5761EA7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Gooch et al., Draft Report: Assessing the human dimensions of the GBR: A Wet Tropics Region focus – portal</w:t>
            </w:r>
          </w:p>
          <w:p w14:paraId="5761EA79"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A7A"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A7B"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85"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7D"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7E" w14:textId="77777777" w:rsidR="00A56EE9" w:rsidRPr="00E70A11" w:rsidRDefault="00A56EE9" w:rsidP="00BB6AD5">
            <w:pPr>
              <w:pStyle w:val="Tablebulletlist"/>
              <w:rPr>
                <w:rStyle w:val="BookTitle"/>
              </w:rPr>
            </w:pPr>
            <w:r w:rsidRPr="00E70A11">
              <w:rPr>
                <w:rStyle w:val="BookTitle"/>
              </w:rPr>
              <w:t>2</w:t>
            </w:r>
          </w:p>
        </w:tc>
        <w:tc>
          <w:tcPr>
            <w:tcW w:w="3999" w:type="dxa"/>
            <w:tcBorders>
              <w:top w:val="single" w:sz="4" w:space="0" w:color="auto"/>
              <w:left w:val="single" w:sz="4" w:space="0" w:color="auto"/>
              <w:bottom w:val="single" w:sz="4" w:space="0" w:color="auto"/>
              <w:right w:val="single" w:sz="4" w:space="0" w:color="auto"/>
            </w:tcBorders>
          </w:tcPr>
          <w:p w14:paraId="5761EA7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Indigenous partnerships expertise at the GBRMPA has good connections and relationships with Traditional Owners through Caring for our Country projects, Story Place, Indigenous Reef Advisory committee and liaison and consultation. </w:t>
            </w:r>
          </w:p>
          <w:p w14:paraId="5761EA8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$11M per annum program, administered by the Department of Environment and Science (DES), assists Aboriginal and Torres Strait Islander organisations with grants to employ Indigenous Land and Sea ranger teams</w:t>
            </w:r>
          </w:p>
        </w:tc>
        <w:tc>
          <w:tcPr>
            <w:tcW w:w="4383" w:type="dxa"/>
            <w:tcBorders>
              <w:top w:val="single" w:sz="4" w:space="0" w:color="auto"/>
              <w:left w:val="single" w:sz="4" w:space="0" w:color="auto"/>
              <w:bottom w:val="single" w:sz="4" w:space="0" w:color="auto"/>
              <w:right w:val="single" w:sz="4" w:space="0" w:color="auto"/>
            </w:tcBorders>
          </w:tcPr>
          <w:p w14:paraId="5761EA8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18" w:history="1">
              <w:r w:rsidR="00A56EE9" w:rsidRPr="00E70A11">
                <w:rPr>
                  <w:rStyle w:val="Hyperlink"/>
                  <w:rFonts w:ascii="Arial Narrow" w:hAnsi="Arial Narrow"/>
                  <w:sz w:val="18"/>
                  <w:szCs w:val="18"/>
                </w:rPr>
                <w:t>Traditional Owner heritage assessment</w:t>
              </w:r>
            </w:hyperlink>
          </w:p>
          <w:p w14:paraId="5761EA82"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A83"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A8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93"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86"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87" w14:textId="77777777" w:rsidR="00A56EE9" w:rsidRPr="00E70A11" w:rsidRDefault="00A56EE9" w:rsidP="00BB6AD5">
            <w:pPr>
              <w:pStyle w:val="Tablebulletlist"/>
              <w:rPr>
                <w:rStyle w:val="BookTitle"/>
              </w:rPr>
            </w:pPr>
            <w:r w:rsidRPr="00E70A11">
              <w:rPr>
                <w:rStyle w:val="BookTitle"/>
              </w:rPr>
              <w:t>2</w:t>
            </w:r>
          </w:p>
        </w:tc>
        <w:tc>
          <w:tcPr>
            <w:tcW w:w="3999" w:type="dxa"/>
            <w:tcBorders>
              <w:top w:val="single" w:sz="4" w:space="0" w:color="auto"/>
              <w:left w:val="single" w:sz="4" w:space="0" w:color="auto"/>
              <w:bottom w:val="single" w:sz="4" w:space="0" w:color="auto"/>
              <w:right w:val="single" w:sz="4" w:space="0" w:color="auto"/>
            </w:tcBorders>
          </w:tcPr>
          <w:p w14:paraId="5761EA8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 2017, as part of the Permissions Improvement Program GBRMPA developed Guidelines for Historic heritage impact assessment in the permissions system. These guidelines consider three historic heritage values of the Marine Park:</w:t>
            </w:r>
          </w:p>
          <w:p w14:paraId="5761EA89" w14:textId="77777777" w:rsidR="00A56EE9" w:rsidRPr="00E70A11" w:rsidRDefault="00A56EE9" w:rsidP="00A11869">
            <w:pPr>
              <w:pStyle w:val="ListParagraph"/>
              <w:numPr>
                <w:ilvl w:val="1"/>
                <w:numId w:val="24"/>
              </w:numPr>
              <w:spacing w:after="200" w:line="276" w:lineRule="auto"/>
              <w:ind w:left="734"/>
              <w:rPr>
                <w:rFonts w:ascii="Arial Narrow" w:hAnsi="Arial Narrow"/>
                <w:sz w:val="18"/>
                <w:szCs w:val="18"/>
              </w:rPr>
            </w:pPr>
            <w:r w:rsidRPr="00E70A11">
              <w:rPr>
                <w:rFonts w:ascii="Arial Narrow" w:hAnsi="Arial Narrow"/>
                <w:sz w:val="18"/>
                <w:szCs w:val="18"/>
              </w:rPr>
              <w:t>World War II features and sites</w:t>
            </w:r>
          </w:p>
          <w:p w14:paraId="5761EA8A" w14:textId="77777777" w:rsidR="00A56EE9" w:rsidRPr="00E70A11" w:rsidRDefault="00A56EE9" w:rsidP="00A11869">
            <w:pPr>
              <w:pStyle w:val="ListParagraph"/>
              <w:numPr>
                <w:ilvl w:val="1"/>
                <w:numId w:val="24"/>
              </w:numPr>
              <w:spacing w:after="200" w:line="276" w:lineRule="auto"/>
              <w:ind w:left="734"/>
              <w:rPr>
                <w:rFonts w:ascii="Arial Narrow" w:hAnsi="Arial Narrow"/>
                <w:sz w:val="18"/>
                <w:szCs w:val="18"/>
              </w:rPr>
            </w:pPr>
            <w:r w:rsidRPr="00E70A11">
              <w:rPr>
                <w:rFonts w:ascii="Arial Narrow" w:hAnsi="Arial Narrow"/>
                <w:sz w:val="18"/>
                <w:szCs w:val="18"/>
              </w:rPr>
              <w:t>Historic voyages and shipwrecks</w:t>
            </w:r>
          </w:p>
          <w:p w14:paraId="5761EA8B" w14:textId="77777777" w:rsidR="00A56EE9" w:rsidRPr="00E70A11" w:rsidRDefault="00A56EE9" w:rsidP="00A11869">
            <w:pPr>
              <w:pStyle w:val="ListParagraph"/>
              <w:numPr>
                <w:ilvl w:val="1"/>
                <w:numId w:val="24"/>
              </w:numPr>
              <w:spacing w:after="200" w:line="276" w:lineRule="auto"/>
              <w:ind w:left="734"/>
              <w:rPr>
                <w:rStyle w:val="BookTitle"/>
                <w:rFonts w:ascii="Arial Narrow" w:hAnsi="Arial Narrow"/>
                <w:sz w:val="18"/>
                <w:szCs w:val="18"/>
              </w:rPr>
            </w:pPr>
            <w:r w:rsidRPr="00E70A11">
              <w:rPr>
                <w:rFonts w:ascii="Arial Narrow" w:hAnsi="Arial Narrow"/>
                <w:sz w:val="18"/>
                <w:szCs w:val="18"/>
              </w:rPr>
              <w:t>Other places of historic significance.</w:t>
            </w:r>
          </w:p>
        </w:tc>
        <w:tc>
          <w:tcPr>
            <w:tcW w:w="4383" w:type="dxa"/>
            <w:tcBorders>
              <w:top w:val="single" w:sz="4" w:space="0" w:color="auto"/>
              <w:left w:val="single" w:sz="4" w:space="0" w:color="auto"/>
              <w:bottom w:val="single" w:sz="4" w:space="0" w:color="auto"/>
              <w:right w:val="single" w:sz="4" w:space="0" w:color="auto"/>
            </w:tcBorders>
          </w:tcPr>
          <w:p w14:paraId="5761EA8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19" w:history="1">
              <w:r w:rsidR="00A56EE9" w:rsidRPr="00E70A11">
                <w:rPr>
                  <w:rStyle w:val="Hyperlink"/>
                  <w:rFonts w:ascii="Arial Narrow" w:hAnsi="Arial Narrow"/>
                  <w:sz w:val="18"/>
                  <w:szCs w:val="18"/>
                </w:rPr>
                <w:t>Guidelines – Historic heritage assessment 2017</w:t>
              </w:r>
            </w:hyperlink>
          </w:p>
          <w:p w14:paraId="5761EA8D"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20" w:history="1">
              <w:r w:rsidR="00A56EE9" w:rsidRPr="00E70A11">
                <w:rPr>
                  <w:rStyle w:val="Hyperlink"/>
                  <w:rFonts w:ascii="Arial Narrow" w:hAnsi="Arial Narrow"/>
                  <w:sz w:val="18"/>
                  <w:szCs w:val="18"/>
                </w:rPr>
                <w:t xml:space="preserve">Historic heritage assessment: maritime cultural heritage protection special management area </w:t>
              </w:r>
            </w:hyperlink>
          </w:p>
          <w:p w14:paraId="5761EA8E"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21" w:history="1">
              <w:r w:rsidR="00A56EE9" w:rsidRPr="00E70A11">
                <w:rPr>
                  <w:rStyle w:val="Hyperlink"/>
                  <w:rFonts w:ascii="Arial Narrow" w:hAnsi="Arial Narrow"/>
                  <w:sz w:val="18"/>
                  <w:szCs w:val="18"/>
                </w:rPr>
                <w:t>Historic heritage assessment: other places of historic and social significance (Document No. 100437)</w:t>
              </w:r>
            </w:hyperlink>
          </w:p>
          <w:p w14:paraId="5761EA8F"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22" w:history="1">
              <w:r w:rsidR="00A56EE9" w:rsidRPr="00E70A11">
                <w:rPr>
                  <w:rStyle w:val="Hyperlink"/>
                  <w:rFonts w:ascii="Arial Narrow" w:hAnsi="Arial Narrow"/>
                  <w:sz w:val="18"/>
                  <w:szCs w:val="18"/>
                </w:rPr>
                <w:t>Historic heritage assessment: WWII features and sites, and voyages and shipwrecks (Document No. 100435)</w:t>
              </w:r>
            </w:hyperlink>
          </w:p>
          <w:p w14:paraId="5761EA90"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A91"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A9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A8"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shd w:val="clear" w:color="auto" w:fill="auto"/>
          </w:tcPr>
          <w:p w14:paraId="5761EA94"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95"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9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are a number of volunteering groups that contribute.</w:t>
            </w:r>
          </w:p>
          <w:p w14:paraId="5761EA9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Reef Guardian program has the objective of engaging the community in environmental stewardship.</w:t>
            </w:r>
            <w:r>
              <w:rPr>
                <w:rFonts w:ascii="Arial Narrow" w:hAnsi="Arial Narrow"/>
                <w:sz w:val="18"/>
                <w:szCs w:val="18"/>
              </w:rPr>
              <w:t xml:space="preserve"> </w:t>
            </w:r>
            <w:r w:rsidRPr="00E70A11">
              <w:rPr>
                <w:rFonts w:ascii="Arial Narrow" w:hAnsi="Arial Narrow"/>
                <w:sz w:val="18"/>
                <w:szCs w:val="18"/>
              </w:rPr>
              <w:t>The process of doing so and the outcome leverages non-government input (cash and in-kind) to addressing community benefit. Examples include resources ($, materials, skills, labour) to support stewardship actions, community effort raising awareness and promoting environmental stewardship.</w:t>
            </w:r>
          </w:p>
          <w:p w14:paraId="5761EA9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Local Marine Advisory Committees (LMACs) </w:t>
            </w:r>
          </w:p>
          <w:p w14:paraId="5761EA9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Citizens of the Great Barrier Reef</w:t>
            </w:r>
          </w:p>
          <w:p w14:paraId="5761EA9A" w14:textId="6B367D39"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Queensland Government, through the Queensland Indigenous Land and Sea Ranger Program, currently provides a total of over $3.2M per annum to 6 non-government organisations operating in Great Barrier Reef catchments to employ 28 Indigenous Land and Sea Rangers.</w:t>
            </w:r>
            <w:r>
              <w:rPr>
                <w:rFonts w:ascii="Arial Narrow" w:hAnsi="Arial Narrow"/>
                <w:sz w:val="18"/>
                <w:szCs w:val="18"/>
              </w:rPr>
              <w:t xml:space="preserve"> </w:t>
            </w:r>
            <w:r w:rsidRPr="00E70A11">
              <w:rPr>
                <w:rFonts w:ascii="Arial Narrow" w:hAnsi="Arial Narrow"/>
                <w:sz w:val="18"/>
                <w:szCs w:val="18"/>
              </w:rPr>
              <w:t>Rangers provide environment and cultural heritage conservation services &amp; engage young people in Junior ranger programs</w:t>
            </w:r>
            <w:r w:rsidR="00242993">
              <w:rPr>
                <w:rFonts w:ascii="Arial Narrow" w:hAnsi="Arial Narrow"/>
                <w:sz w:val="18"/>
                <w:szCs w:val="18"/>
              </w:rPr>
              <w:t xml:space="preserve"> </w:t>
            </w:r>
          </w:p>
          <w:p w14:paraId="5761EA9B" w14:textId="4C70E758"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Natural resource management bodies are supported to deliver strategic projects to implement activities that protect, improve and restore waterways and rangelands by improving soil, vegetation and water quality at a river catchment or landscape scale, and addressing priority weeds and pests</w:t>
            </w:r>
            <w:r w:rsidR="00242993">
              <w:rPr>
                <w:rFonts w:ascii="Arial Narrow" w:hAnsi="Arial Narrow"/>
                <w:sz w:val="18"/>
                <w:szCs w:val="18"/>
              </w:rPr>
              <w:t xml:space="preserve"> </w:t>
            </w:r>
          </w:p>
        </w:tc>
        <w:tc>
          <w:tcPr>
            <w:tcW w:w="4383" w:type="dxa"/>
            <w:tcBorders>
              <w:top w:val="single" w:sz="4" w:space="0" w:color="auto"/>
              <w:left w:val="single" w:sz="4" w:space="0" w:color="auto"/>
              <w:bottom w:val="single" w:sz="4" w:space="0" w:color="auto"/>
              <w:right w:val="single" w:sz="4" w:space="0" w:color="auto"/>
            </w:tcBorders>
          </w:tcPr>
          <w:p w14:paraId="5761EA9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HQ</w:t>
            </w:r>
          </w:p>
          <w:p w14:paraId="5761EA9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Integrated Eye on the Reef</w:t>
            </w:r>
          </w:p>
          <w:p w14:paraId="5761EA9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Guardians</w:t>
            </w:r>
          </w:p>
          <w:p w14:paraId="5761EA9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LMACs</w:t>
            </w:r>
          </w:p>
          <w:p w14:paraId="5761EAA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Clean up Australia </w:t>
            </w:r>
          </w:p>
          <w:p w14:paraId="5761EAA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Landcare</w:t>
            </w:r>
          </w:p>
          <w:p w14:paraId="5761EAA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Coastcare</w:t>
            </w:r>
          </w:p>
          <w:p w14:paraId="5761EAA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Seagrass-Watch</w:t>
            </w:r>
          </w:p>
          <w:p w14:paraId="5761EAA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https://www.qld.gov.au/environment/agriculture/sustainable-farming/nrm-investment-program</w:t>
            </w:r>
          </w:p>
          <w:p w14:paraId="5761EAA5"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AA6"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AA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AAF"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A9" w14:textId="77777777" w:rsidR="00A56EE9" w:rsidRPr="00E70A11" w:rsidRDefault="00A56EE9" w:rsidP="00BB6AD5">
            <w:pPr>
              <w:pStyle w:val="Tablebulletlist"/>
              <w:rPr>
                <w:rStyle w:val="BookTitle"/>
              </w:rPr>
            </w:pPr>
            <w:r w:rsidRPr="00E70A11">
              <w:rPr>
                <w:rStyle w:val="BookTitle"/>
              </w:rPr>
              <w:t>PROCESSES</w:t>
            </w:r>
          </w:p>
        </w:tc>
        <w:tc>
          <w:tcPr>
            <w:tcW w:w="84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AA" w14:textId="77777777" w:rsidR="00A56EE9" w:rsidRPr="00E70A11" w:rsidRDefault="00A56EE9" w:rsidP="00BB6AD5">
            <w:pPr>
              <w:pStyle w:val="Tablebulletlist"/>
              <w:rPr>
                <w:rStyle w:val="BookTitle"/>
              </w:rPr>
            </w:pPr>
          </w:p>
        </w:tc>
        <w:tc>
          <w:tcPr>
            <w:tcW w:w="39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AB" w14:textId="77777777" w:rsidR="00A56EE9" w:rsidRPr="00E70A11" w:rsidRDefault="00A56EE9" w:rsidP="00BB6AD5">
            <w:pPr>
              <w:pStyle w:val="ListParagraph"/>
              <w:ind w:left="360"/>
              <w:rPr>
                <w:rStyle w:val="BookTitle"/>
                <w:rFonts w:ascii="Arial Narrow" w:hAnsi="Arial Narrow"/>
                <w:sz w:val="18"/>
                <w:szCs w:val="18"/>
              </w:rPr>
            </w:pPr>
          </w:p>
        </w:tc>
        <w:tc>
          <w:tcPr>
            <w:tcW w:w="438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AC"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AD"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AAE" w14:textId="77777777" w:rsidR="00A56EE9" w:rsidRPr="00E70A11" w:rsidRDefault="00A56EE9" w:rsidP="00BB6AD5">
            <w:pPr>
              <w:pStyle w:val="Tablebulletlist"/>
              <w:rPr>
                <w:rStyle w:val="BookTitle"/>
              </w:rPr>
            </w:pPr>
          </w:p>
        </w:tc>
      </w:tr>
      <w:tr w:rsidR="00A56EE9" w:rsidRPr="00E70A11" w14:paraId="5761EABD"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B0"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B1" w14:textId="77777777" w:rsidR="00A56EE9" w:rsidRPr="00E70A11" w:rsidRDefault="00A56EE9" w:rsidP="00BB6AD5">
            <w:pPr>
              <w:pStyle w:val="Tablebulletlist"/>
              <w:rPr>
                <w:rStyle w:val="BookTitle"/>
              </w:rPr>
            </w:pPr>
            <w:r w:rsidRPr="00E70A11">
              <w:rPr>
                <w:rStyle w:val="BookTitle"/>
              </w:rPr>
              <w:t>4</w:t>
            </w:r>
          </w:p>
        </w:tc>
        <w:tc>
          <w:tcPr>
            <w:tcW w:w="3999" w:type="dxa"/>
            <w:tcBorders>
              <w:top w:val="single" w:sz="4" w:space="0" w:color="auto"/>
              <w:left w:val="single" w:sz="4" w:space="0" w:color="auto"/>
              <w:bottom w:val="single" w:sz="4" w:space="0" w:color="auto"/>
              <w:right w:val="single" w:sz="4" w:space="0" w:color="auto"/>
            </w:tcBorders>
          </w:tcPr>
          <w:p w14:paraId="5761EAB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Achieving the goals and targets of the Reef 2050 Water Quality Improvement Plan (formerly the Reef Water Quality Protection Plan) relies on partnerships across all levels of government, industry, community groups, research organisations and land managers. </w:t>
            </w:r>
          </w:p>
          <w:p w14:paraId="5761EAB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Reef Guardian program strategy aims to engage the community in ongoing management of the environment and associated community benefits.</w:t>
            </w:r>
            <w:r>
              <w:rPr>
                <w:rFonts w:ascii="Arial Narrow" w:hAnsi="Arial Narrow"/>
                <w:sz w:val="18"/>
                <w:szCs w:val="18"/>
              </w:rPr>
              <w:t xml:space="preserve"> </w:t>
            </w:r>
            <w:r w:rsidRPr="00E70A11">
              <w:rPr>
                <w:rFonts w:ascii="Arial Narrow" w:hAnsi="Arial Narrow"/>
                <w:sz w:val="18"/>
                <w:szCs w:val="18"/>
              </w:rPr>
              <w:t>Through direct engagement with program participants, the strategy strives to indirectly increase engagement via connecting, empowering and building capacity of Reef Guardians to influence and engage their communities. Participation by 300 schools, councils representing 60% of the GBR catchment and over 60 fishers and farmers and demand for participation exceeding our current ability to ‘supply’ is evidence of the extent of effectiveness of this engagement process.</w:t>
            </w:r>
          </w:p>
          <w:p w14:paraId="5761EAB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Increase in protected areas and Indigenous owned land managed for conservation purposes within GBR catchment on east cost of Cape York Peninsula.</w:t>
            </w:r>
          </w:p>
          <w:p w14:paraId="5761EAB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Range of research has been done (or in progress) developing new approaches to inform improvement of engagement of community, industry etc in management of community benefits</w:t>
            </w:r>
          </w:p>
        </w:tc>
        <w:tc>
          <w:tcPr>
            <w:tcW w:w="4383" w:type="dxa"/>
            <w:tcBorders>
              <w:top w:val="single" w:sz="4" w:space="0" w:color="auto"/>
              <w:left w:val="single" w:sz="4" w:space="0" w:color="auto"/>
              <w:bottom w:val="single" w:sz="4" w:space="0" w:color="auto"/>
              <w:right w:val="single" w:sz="4" w:space="0" w:color="auto"/>
            </w:tcBorders>
          </w:tcPr>
          <w:p w14:paraId="5761EAB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23" w:history="1">
              <w:r w:rsidR="00A56EE9" w:rsidRPr="00E70A11">
                <w:rPr>
                  <w:rStyle w:val="Hyperlink"/>
                  <w:rFonts w:ascii="Arial Narrow" w:hAnsi="Arial Narrow"/>
                  <w:sz w:val="18"/>
                  <w:szCs w:val="18"/>
                </w:rPr>
                <w:t>NESP 2.3.3 - Building Indigenous livelihood and co-management opportunities in the Northern GBR – ecosystem services and conservation governance for water quality</w:t>
              </w:r>
            </w:hyperlink>
          </w:p>
          <w:p w14:paraId="5761EAB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24" w:history="1">
              <w:r w:rsidR="00A56EE9" w:rsidRPr="00E70A11">
                <w:rPr>
                  <w:rStyle w:val="Hyperlink"/>
                  <w:rFonts w:ascii="Arial Narrow" w:hAnsi="Arial Narrow"/>
                  <w:sz w:val="18"/>
                  <w:szCs w:val="18"/>
                </w:rPr>
                <w:t>NESP 2.3.4 - Working with Traditional Owners and local citizens to better manage GBR estuarine wetlands</w:t>
              </w:r>
            </w:hyperlink>
          </w:p>
          <w:p w14:paraId="5761EAB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Water Quality Improvement Plan</w:t>
            </w:r>
          </w:p>
          <w:p w14:paraId="5761EAB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Workshops and stakeholder interviews</w:t>
            </w:r>
          </w:p>
          <w:p w14:paraId="5761EABA"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ABB"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AB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AC6"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BE"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BF" w14:textId="77777777" w:rsidR="00A56EE9" w:rsidRPr="00E70A11" w:rsidRDefault="00A56EE9" w:rsidP="00BB6AD5">
            <w:pPr>
              <w:pStyle w:val="Tablebulletlist"/>
              <w:rPr>
                <w:rStyle w:val="BookTitle"/>
              </w:rPr>
            </w:pPr>
            <w:r w:rsidRPr="00E70A11">
              <w:rPr>
                <w:rStyle w:val="BookTitle"/>
              </w:rPr>
              <w:t>4</w:t>
            </w:r>
          </w:p>
        </w:tc>
        <w:tc>
          <w:tcPr>
            <w:tcW w:w="3999" w:type="dxa"/>
            <w:tcBorders>
              <w:top w:val="single" w:sz="4" w:space="0" w:color="auto"/>
              <w:left w:val="single" w:sz="4" w:space="0" w:color="auto"/>
              <w:bottom w:val="single" w:sz="4" w:space="0" w:color="auto"/>
              <w:right w:val="single" w:sz="4" w:space="0" w:color="auto"/>
            </w:tcBorders>
          </w:tcPr>
          <w:p w14:paraId="5761EAC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Authority works collaboratively with communication and engagement professionals from other government, industry and community organisations to promote consistency of messaging and leverage its reach to broader audiences.</w:t>
            </w:r>
          </w:p>
          <w:p w14:paraId="5761EAC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Zoning maps and tools to help Marine Park users comply with zoning rules and permitted activities. These are supplied to recreational users and community access points — a network of marine outlets and visitor information centres along the central and north Queensland coast</w:t>
            </w:r>
          </w:p>
        </w:tc>
        <w:tc>
          <w:tcPr>
            <w:tcW w:w="4383" w:type="dxa"/>
            <w:tcBorders>
              <w:top w:val="single" w:sz="4" w:space="0" w:color="auto"/>
              <w:left w:val="single" w:sz="4" w:space="0" w:color="auto"/>
              <w:bottom w:val="single" w:sz="4" w:space="0" w:color="auto"/>
              <w:right w:val="single" w:sz="4" w:space="0" w:color="auto"/>
            </w:tcBorders>
          </w:tcPr>
          <w:p w14:paraId="5761EAC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Guardians, schools, fishers, farmers and councils</w:t>
            </w:r>
            <w:r>
              <w:rPr>
                <w:rFonts w:ascii="Arial Narrow" w:hAnsi="Arial Narrow"/>
                <w:sz w:val="18"/>
                <w:szCs w:val="18"/>
              </w:rPr>
              <w:t xml:space="preserve"> </w:t>
            </w:r>
          </w:p>
          <w:p w14:paraId="5761EAC3"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AC4"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AC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AD2"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C7"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There is a sound governance system in place to address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C8" w14:textId="77777777" w:rsidR="00A56EE9" w:rsidRPr="00E70A11" w:rsidRDefault="00A56EE9" w:rsidP="00BB6AD5">
            <w:pPr>
              <w:pStyle w:val="Tablebulletlist"/>
              <w:rPr>
                <w:rStyle w:val="BookTitle"/>
              </w:rPr>
            </w:pPr>
            <w:r w:rsidRPr="00E70A11">
              <w:rPr>
                <w:rStyle w:val="BookTitle"/>
              </w:rPr>
              <w:t>4</w:t>
            </w:r>
          </w:p>
        </w:tc>
        <w:tc>
          <w:tcPr>
            <w:tcW w:w="3999" w:type="dxa"/>
            <w:tcBorders>
              <w:top w:val="single" w:sz="4" w:space="0" w:color="auto"/>
              <w:left w:val="single" w:sz="4" w:space="0" w:color="auto"/>
              <w:bottom w:val="single" w:sz="4" w:space="0" w:color="auto"/>
              <w:right w:val="single" w:sz="4" w:space="0" w:color="auto"/>
            </w:tcBorders>
          </w:tcPr>
          <w:p w14:paraId="5761EAC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Encourage and invest in core natural resource management activities such as local partnerships, planning and community engagement to strengthen the regional, catchment and property-scale delivery network. Longer term funding commitments tied to performance outcomes will provide flexibility to tailor approaches to local contexts. </w:t>
            </w:r>
          </w:p>
          <w:p w14:paraId="5761EAC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Governance indicators are being brought into the RIMREP Human Dimensions expert working group </w:t>
            </w:r>
          </w:p>
          <w:p w14:paraId="5761EAC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Queensland Reef Water Quality Program (QRWQP) Human Dimensions Working Group guides the direction and actions to be delivered under the Reef 2050 Water Quality Improvement Plan</w:t>
            </w:r>
          </w:p>
        </w:tc>
        <w:tc>
          <w:tcPr>
            <w:tcW w:w="4383" w:type="dxa"/>
            <w:tcBorders>
              <w:top w:val="single" w:sz="4" w:space="0" w:color="auto"/>
              <w:left w:val="single" w:sz="4" w:space="0" w:color="auto"/>
              <w:bottom w:val="single" w:sz="4" w:space="0" w:color="auto"/>
              <w:right w:val="single" w:sz="4" w:space="0" w:color="auto"/>
            </w:tcBorders>
          </w:tcPr>
          <w:p w14:paraId="5761EACC"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25" w:history="1">
              <w:r w:rsidR="00A56EE9" w:rsidRPr="00E70A11">
                <w:rPr>
                  <w:rStyle w:val="Hyperlink"/>
                  <w:rFonts w:ascii="Arial Narrow" w:hAnsi="Arial Narrow"/>
                  <w:sz w:val="18"/>
                  <w:szCs w:val="18"/>
                </w:rPr>
                <w:t>2017 Scientific Consensus Statement</w:t>
              </w:r>
            </w:hyperlink>
          </w:p>
          <w:p w14:paraId="5761EACD"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26" w:history="1">
              <w:r w:rsidR="00A56EE9" w:rsidRPr="00E70A11">
                <w:rPr>
                  <w:rStyle w:val="Hyperlink"/>
                  <w:rFonts w:ascii="Arial Narrow" w:hAnsi="Arial Narrow"/>
                  <w:sz w:val="18"/>
                  <w:szCs w:val="18"/>
                </w:rPr>
                <w:t>Reef 2050 Integrated Monitoring and Reporting Program</w:t>
              </w:r>
            </w:hyperlink>
          </w:p>
          <w:p w14:paraId="5761EAC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27" w:history="1">
              <w:r w:rsidR="00A56EE9" w:rsidRPr="00E70A11">
                <w:rPr>
                  <w:rStyle w:val="Hyperlink"/>
                  <w:rFonts w:ascii="Arial Narrow" w:hAnsi="Arial Narrow"/>
                  <w:sz w:val="18"/>
                  <w:szCs w:val="18"/>
                </w:rPr>
                <w:t>Reef 2050 Long-Term Sustainability Plan</w:t>
              </w:r>
            </w:hyperlink>
          </w:p>
          <w:p w14:paraId="5761EACF"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AD0"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AD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ADC"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D3"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D4"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D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Style w:val="BookTitle"/>
                <w:rFonts w:ascii="Arial Narrow" w:hAnsi="Arial Narrow"/>
                <w:sz w:val="18"/>
                <w:szCs w:val="18"/>
              </w:rPr>
              <w:t xml:space="preserve">Still in development, but the </w:t>
            </w:r>
            <w:r w:rsidRPr="00E70A11">
              <w:rPr>
                <w:rFonts w:ascii="Arial Narrow" w:hAnsi="Arial Narrow"/>
                <w:sz w:val="18"/>
                <w:szCs w:val="18"/>
              </w:rPr>
              <w:t>studies into economic values of the Reef can be interpreted as performance monitoring for this aspect.</w:t>
            </w:r>
          </w:p>
          <w:p w14:paraId="5761EAD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SELTMP and other RIMReP human dimensions indicators of community benefits</w:t>
            </w:r>
          </w:p>
        </w:tc>
        <w:tc>
          <w:tcPr>
            <w:tcW w:w="4383" w:type="dxa"/>
            <w:tcBorders>
              <w:top w:val="single" w:sz="4" w:space="0" w:color="auto"/>
              <w:left w:val="single" w:sz="4" w:space="0" w:color="auto"/>
              <w:bottom w:val="single" w:sz="4" w:space="0" w:color="auto"/>
              <w:right w:val="single" w:sz="4" w:space="0" w:color="auto"/>
            </w:tcBorders>
          </w:tcPr>
          <w:p w14:paraId="5761EAD7"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 xml:space="preserve">GBRMPA </w:t>
            </w:r>
            <w:hyperlink r:id="rId428" w:history="1">
              <w:r w:rsidRPr="00E70A11">
                <w:rPr>
                  <w:rStyle w:val="Hyperlink"/>
                  <w:rFonts w:ascii="Arial Narrow" w:hAnsi="Arial Narrow"/>
                  <w:sz w:val="18"/>
                  <w:szCs w:val="18"/>
                  <w:lang w:val="en"/>
                </w:rPr>
                <w:t>Annual Report 2016-17</w:t>
              </w:r>
            </w:hyperlink>
          </w:p>
          <w:p w14:paraId="5761EAD8"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lang w:val="en"/>
              </w:rPr>
            </w:pPr>
            <w:r w:rsidRPr="00E70A11">
              <w:rPr>
                <w:rFonts w:ascii="Arial Narrow" w:hAnsi="Arial Narrow"/>
                <w:sz w:val="18"/>
                <w:szCs w:val="18"/>
              </w:rPr>
              <w:t>‘</w:t>
            </w:r>
            <w:hyperlink r:id="rId429" w:history="1">
              <w:r w:rsidRPr="00E70A11">
                <w:rPr>
                  <w:rStyle w:val="Hyperlink"/>
                  <w:rFonts w:ascii="Arial Narrow" w:hAnsi="Arial Narrow"/>
                  <w:sz w:val="18"/>
                  <w:szCs w:val="18"/>
                </w:rPr>
                <w:t>Human sensors’ for monitoring Great Barrier Reef environmental changes and quality of marine waters through harnessing Big Data analysis</w:t>
              </w:r>
            </w:hyperlink>
          </w:p>
          <w:p w14:paraId="5761EAD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tc>
        <w:tc>
          <w:tcPr>
            <w:tcW w:w="1090" w:type="dxa"/>
            <w:tcBorders>
              <w:top w:val="single" w:sz="4" w:space="0" w:color="auto"/>
              <w:left w:val="single" w:sz="4" w:space="0" w:color="auto"/>
              <w:bottom w:val="single" w:sz="4" w:space="0" w:color="auto"/>
              <w:right w:val="single" w:sz="4" w:space="0" w:color="auto"/>
            </w:tcBorders>
          </w:tcPr>
          <w:p w14:paraId="5761EADA" w14:textId="77777777" w:rsidR="00A56EE9" w:rsidRPr="00E70A11" w:rsidRDefault="00A56EE9" w:rsidP="00BB6AD5">
            <w:pPr>
              <w:pStyle w:val="Tablebulletlist"/>
              <w:rPr>
                <w:rStyle w:val="BookTitle"/>
              </w:rPr>
            </w:pPr>
            <w:r w:rsidRPr="00E70A11">
              <w:rPr>
                <w:rStyle w:val="BookTitle"/>
              </w:rPr>
              <w:t xml:space="preserve">Limited </w:t>
            </w:r>
          </w:p>
        </w:tc>
        <w:tc>
          <w:tcPr>
            <w:tcW w:w="865" w:type="dxa"/>
            <w:tcBorders>
              <w:top w:val="single" w:sz="4" w:space="0" w:color="auto"/>
              <w:left w:val="single" w:sz="4" w:space="0" w:color="auto"/>
              <w:bottom w:val="single" w:sz="4" w:space="0" w:color="auto"/>
              <w:right w:val="single" w:sz="4" w:space="0" w:color="auto"/>
            </w:tcBorders>
          </w:tcPr>
          <w:p w14:paraId="5761EADB"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E4"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DD"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DE"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D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Training in ‘Communicating with influence’ has been done by 50 stewardship leaders across the GBR catchment in 2016 and 2017.</w:t>
            </w:r>
            <w:r>
              <w:rPr>
                <w:rFonts w:ascii="Arial Narrow" w:hAnsi="Arial Narrow"/>
                <w:sz w:val="18"/>
                <w:szCs w:val="18"/>
              </w:rPr>
              <w:t xml:space="preserve"> </w:t>
            </w:r>
            <w:r w:rsidRPr="00E70A11">
              <w:rPr>
                <w:rFonts w:ascii="Arial Narrow" w:hAnsi="Arial Narrow"/>
                <w:sz w:val="18"/>
                <w:szCs w:val="18"/>
              </w:rPr>
              <w:t>Participants included: Reef Guardians, High Standard Tourism operators and representatives from Local Marine Advisory committees- many of whom have some role in environmental management</w:t>
            </w:r>
          </w:p>
          <w:p w14:paraId="5761EAE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Agency staff have participated in a range of training, workshops and attended seminars to increase their awareness of and ability to manage for community benefits – e.g. Thematic Communication, Social-based marketing</w:t>
            </w:r>
          </w:p>
        </w:tc>
        <w:tc>
          <w:tcPr>
            <w:tcW w:w="4383" w:type="dxa"/>
            <w:tcBorders>
              <w:top w:val="single" w:sz="4" w:space="0" w:color="auto"/>
              <w:left w:val="single" w:sz="4" w:space="0" w:color="auto"/>
              <w:bottom w:val="single" w:sz="4" w:space="0" w:color="auto"/>
              <w:right w:val="single" w:sz="4" w:space="0" w:color="auto"/>
            </w:tcBorders>
          </w:tcPr>
          <w:p w14:paraId="5761EAE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Workshops and stakeholder interviews</w:t>
            </w:r>
          </w:p>
        </w:tc>
        <w:tc>
          <w:tcPr>
            <w:tcW w:w="1090" w:type="dxa"/>
            <w:tcBorders>
              <w:top w:val="single" w:sz="4" w:space="0" w:color="auto"/>
              <w:left w:val="single" w:sz="4" w:space="0" w:color="auto"/>
              <w:bottom w:val="single" w:sz="4" w:space="0" w:color="auto"/>
              <w:right w:val="single" w:sz="4" w:space="0" w:color="auto"/>
            </w:tcBorders>
          </w:tcPr>
          <w:p w14:paraId="5761EAE2"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AE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ED"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E5"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community benefits of the environment is consistently implemented across the relevant jurisdictions</w:t>
            </w:r>
          </w:p>
        </w:tc>
        <w:tc>
          <w:tcPr>
            <w:tcW w:w="840" w:type="dxa"/>
            <w:tcBorders>
              <w:top w:val="single" w:sz="4" w:space="0" w:color="auto"/>
              <w:left w:val="single" w:sz="4" w:space="0" w:color="auto"/>
              <w:bottom w:val="single" w:sz="4" w:space="0" w:color="auto"/>
              <w:right w:val="single" w:sz="4" w:space="0" w:color="auto"/>
            </w:tcBorders>
          </w:tcPr>
          <w:p w14:paraId="5761EAE6"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E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There are some inconsistencies within management of the coastal zone and developments on Islands under the jurisdiction of Queensland where the head of power to consider impacts on community benefits and social and heritage matters is not as clear. </w:t>
            </w:r>
          </w:p>
          <w:p w14:paraId="5761EAE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There is no clear intergovernmental agreement or arrangement when planning community benefits, however community benefits is included in the Reef 2050 Plan which has cross-jurisdictional support</w:t>
            </w:r>
          </w:p>
        </w:tc>
        <w:tc>
          <w:tcPr>
            <w:tcW w:w="4383" w:type="dxa"/>
            <w:tcBorders>
              <w:top w:val="single" w:sz="4" w:space="0" w:color="auto"/>
              <w:left w:val="single" w:sz="4" w:space="0" w:color="auto"/>
              <w:bottom w:val="single" w:sz="4" w:space="0" w:color="auto"/>
              <w:right w:val="single" w:sz="4" w:space="0" w:color="auto"/>
            </w:tcBorders>
          </w:tcPr>
          <w:p w14:paraId="5761EAE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Workshops and stakeholder interviews</w:t>
            </w:r>
          </w:p>
          <w:p w14:paraId="5761EAEA"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AEB"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AE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AF6"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EE"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AEF"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F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are clearly specified processes to resolve differing views in relation to community benefits that may be impacted by permitted developments and activities</w:t>
            </w:r>
          </w:p>
          <w:p w14:paraId="5761EAF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Given monitoring of community benefits is in its infancy, our level of awareness of differing views and conflict is limited to specific issues/incidences, media monitoring and anecdotal evidence.</w:t>
            </w:r>
            <w:r>
              <w:rPr>
                <w:rFonts w:ascii="Arial Narrow" w:hAnsi="Arial Narrow"/>
                <w:sz w:val="18"/>
                <w:szCs w:val="18"/>
              </w:rPr>
              <w:t xml:space="preserve"> </w:t>
            </w:r>
          </w:p>
        </w:tc>
        <w:tc>
          <w:tcPr>
            <w:tcW w:w="4383" w:type="dxa"/>
            <w:tcBorders>
              <w:top w:val="single" w:sz="4" w:space="0" w:color="auto"/>
              <w:left w:val="single" w:sz="4" w:space="0" w:color="auto"/>
              <w:bottom w:val="single" w:sz="4" w:space="0" w:color="auto"/>
              <w:right w:val="single" w:sz="4" w:space="0" w:color="auto"/>
            </w:tcBorders>
          </w:tcPr>
          <w:p w14:paraId="5761EAF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Workshops and stakeholder interviews</w:t>
            </w:r>
          </w:p>
          <w:p w14:paraId="5761EAF3"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AF4" w14:textId="77777777" w:rsidR="00A56EE9" w:rsidRPr="00E70A11" w:rsidRDefault="00A56EE9" w:rsidP="00BB6AD5">
            <w:pPr>
              <w:pStyle w:val="Tablebulletlist"/>
              <w:tabs>
                <w:tab w:val="left" w:pos="398"/>
              </w:tabs>
              <w:rPr>
                <w:rStyle w:val="BookTitle"/>
              </w:rPr>
            </w:pPr>
            <w:r w:rsidRPr="00E70A11">
              <w:rPr>
                <w:rStyle w:val="BookTitle"/>
              </w:rPr>
              <w:tab/>
              <w:t>Limited</w:t>
            </w:r>
          </w:p>
        </w:tc>
        <w:tc>
          <w:tcPr>
            <w:tcW w:w="865" w:type="dxa"/>
            <w:tcBorders>
              <w:top w:val="single" w:sz="4" w:space="0" w:color="auto"/>
              <w:left w:val="single" w:sz="4" w:space="0" w:color="auto"/>
              <w:bottom w:val="single" w:sz="4" w:space="0" w:color="auto"/>
              <w:right w:val="single" w:sz="4" w:space="0" w:color="auto"/>
            </w:tcBorders>
          </w:tcPr>
          <w:p w14:paraId="5761EAF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B02"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AF7"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community benefits of the environment are appropriately considered.</w:t>
            </w:r>
          </w:p>
        </w:tc>
        <w:tc>
          <w:tcPr>
            <w:tcW w:w="840" w:type="dxa"/>
            <w:tcBorders>
              <w:top w:val="single" w:sz="4" w:space="0" w:color="auto"/>
              <w:left w:val="single" w:sz="4" w:space="0" w:color="auto"/>
              <w:bottom w:val="single" w:sz="4" w:space="0" w:color="auto"/>
              <w:right w:val="single" w:sz="4" w:space="0" w:color="auto"/>
            </w:tcBorders>
          </w:tcPr>
          <w:p w14:paraId="5761EAF8"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AF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Cumulative Impacts Policy has been drafted and has gone through a public consultation process. The draft policy has been revised following public consultation and is expected to be finalised in 2018. </w:t>
            </w:r>
          </w:p>
          <w:p w14:paraId="5761EAF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Net Benefit Policy has been drafted and has gone through public consultation process. The draft policy has been revised following the public consultation and is expected to be finalised in 2018.</w:t>
            </w:r>
            <w:r>
              <w:rPr>
                <w:rFonts w:ascii="Arial Narrow" w:hAnsi="Arial Narrow"/>
                <w:sz w:val="18"/>
                <w:szCs w:val="18"/>
              </w:rPr>
              <w:t xml:space="preserve"> </w:t>
            </w:r>
          </w:p>
        </w:tc>
        <w:tc>
          <w:tcPr>
            <w:tcW w:w="4383" w:type="dxa"/>
            <w:tcBorders>
              <w:top w:val="single" w:sz="4" w:space="0" w:color="auto"/>
              <w:left w:val="single" w:sz="4" w:space="0" w:color="auto"/>
              <w:bottom w:val="single" w:sz="4" w:space="0" w:color="auto"/>
              <w:right w:val="single" w:sz="4" w:space="0" w:color="auto"/>
            </w:tcBorders>
          </w:tcPr>
          <w:p w14:paraId="5761EAFB"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30" w:history="1">
              <w:r w:rsidR="00A56EE9" w:rsidRPr="00E70A11">
                <w:rPr>
                  <w:rStyle w:val="Hyperlink"/>
                  <w:rFonts w:ascii="Arial Narrow" w:hAnsi="Arial Narrow"/>
                  <w:sz w:val="18"/>
                  <w:szCs w:val="18"/>
                </w:rPr>
                <w:t>Experimental Environmental-Economic Accounts for the Great Barrier Reef, 2017</w:t>
              </w:r>
            </w:hyperlink>
          </w:p>
          <w:p w14:paraId="5761EAFC"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431" w:history="1">
              <w:r w:rsidR="00A56EE9" w:rsidRPr="00E70A11">
                <w:rPr>
                  <w:rStyle w:val="Hyperlink"/>
                  <w:rFonts w:ascii="Arial Narrow" w:hAnsi="Arial Narrow"/>
                  <w:sz w:val="18"/>
                  <w:szCs w:val="18"/>
                  <w:lang w:val="en"/>
                </w:rPr>
                <w:t>State Party Report on the state of conservation of the Great Barrier Reef World Heritage Area (Australia) 2015</w:t>
              </w:r>
            </w:hyperlink>
          </w:p>
          <w:p w14:paraId="5761EAFD"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rPr>
              <w:t xml:space="preserve">Draft Reef 2050 </w:t>
            </w:r>
            <w:hyperlink r:id="rId432" w:history="1">
              <w:r w:rsidRPr="00E70A11">
                <w:rPr>
                  <w:rStyle w:val="Hyperlink"/>
                  <w:rFonts w:ascii="Arial Narrow" w:hAnsi="Arial Narrow"/>
                  <w:sz w:val="18"/>
                  <w:szCs w:val="18"/>
                  <w:lang w:val="en"/>
                </w:rPr>
                <w:t>Cumulative Impact Management Policy</w:t>
              </w:r>
            </w:hyperlink>
          </w:p>
          <w:p w14:paraId="5761EAFE"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rPr>
              <w:t xml:space="preserve">Draft Reef 2050 </w:t>
            </w:r>
            <w:hyperlink r:id="rId433" w:history="1">
              <w:r w:rsidRPr="00E70A11">
                <w:rPr>
                  <w:rStyle w:val="Hyperlink"/>
                  <w:rFonts w:ascii="Arial Narrow" w:hAnsi="Arial Narrow"/>
                  <w:sz w:val="18"/>
                  <w:szCs w:val="18"/>
                  <w:lang w:val="en"/>
                </w:rPr>
                <w:t>Net benefit Policy</w:t>
              </w:r>
            </w:hyperlink>
          </w:p>
          <w:p w14:paraId="5761EAF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B00"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B0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B0A"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03"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B04"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0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US"/>
              </w:rPr>
              <w:t>Biophysical knowledge and monitoring are used when making decisions about community benefit – see biodiversity section</w:t>
            </w:r>
          </w:p>
          <w:p w14:paraId="5761EB0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US"/>
              </w:rPr>
              <w:t>S</w:t>
            </w:r>
            <w:r>
              <w:rPr>
                <w:rFonts w:ascii="Arial Narrow" w:hAnsi="Arial Narrow"/>
                <w:sz w:val="18"/>
                <w:szCs w:val="18"/>
                <w:lang w:val="en-US"/>
              </w:rPr>
              <w:t>cientific Consensus Statement</w:t>
            </w:r>
          </w:p>
        </w:tc>
        <w:tc>
          <w:tcPr>
            <w:tcW w:w="4383" w:type="dxa"/>
            <w:tcBorders>
              <w:top w:val="single" w:sz="4" w:space="0" w:color="auto"/>
              <w:left w:val="single" w:sz="4" w:space="0" w:color="auto"/>
              <w:bottom w:val="single" w:sz="4" w:space="0" w:color="auto"/>
              <w:right w:val="single" w:sz="4" w:space="0" w:color="auto"/>
            </w:tcBorders>
          </w:tcPr>
          <w:p w14:paraId="5761EB0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Pr>
                <w:rStyle w:val="BookTitle"/>
                <w:rFonts w:ascii="Arial Narrow" w:hAnsi="Arial Narrow"/>
                <w:sz w:val="18"/>
                <w:szCs w:val="18"/>
              </w:rPr>
              <w:t>Scientific Consensus Statement</w:t>
            </w:r>
          </w:p>
        </w:tc>
        <w:tc>
          <w:tcPr>
            <w:tcW w:w="1090" w:type="dxa"/>
            <w:tcBorders>
              <w:top w:val="single" w:sz="4" w:space="0" w:color="auto"/>
              <w:left w:val="single" w:sz="4" w:space="0" w:color="auto"/>
              <w:bottom w:val="single" w:sz="4" w:space="0" w:color="auto"/>
              <w:right w:val="single" w:sz="4" w:space="0" w:color="auto"/>
            </w:tcBorders>
          </w:tcPr>
          <w:p w14:paraId="5761EB08"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B0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B14"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0B"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B0C"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0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draft guidelines for social impact assessment in the permission system which provides guidance on assessing impacts to social values within the permission system as well as including on-going monitoring of impacts associated with new developments. </w:t>
            </w:r>
          </w:p>
          <w:p w14:paraId="5761EB0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SELTMP is assisting Reef managers and other decision-makers within the Great Barrier Reef region to incorporate the human dimension into their planning and management.</w:t>
            </w:r>
          </w:p>
          <w:p w14:paraId="5761EB0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RIMReP human dimension indicators encompass four themes of Reef 2050 Plan</w:t>
            </w:r>
          </w:p>
        </w:tc>
        <w:tc>
          <w:tcPr>
            <w:tcW w:w="4383" w:type="dxa"/>
            <w:tcBorders>
              <w:top w:val="single" w:sz="4" w:space="0" w:color="auto"/>
              <w:left w:val="single" w:sz="4" w:space="0" w:color="auto"/>
              <w:bottom w:val="single" w:sz="4" w:space="0" w:color="auto"/>
              <w:right w:val="single" w:sz="4" w:space="0" w:color="auto"/>
            </w:tcBorders>
          </w:tcPr>
          <w:p w14:paraId="5761EB10"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434" w:history="1">
              <w:r w:rsidR="00A56EE9" w:rsidRPr="00E70A11">
                <w:rPr>
                  <w:rStyle w:val="Hyperlink"/>
                  <w:rFonts w:ascii="Arial Narrow" w:hAnsi="Arial Narrow"/>
                  <w:sz w:val="18"/>
                  <w:szCs w:val="18"/>
                </w:rPr>
                <w:t>Social impacts assessment in the permission system</w:t>
              </w:r>
            </w:hyperlink>
            <w:r w:rsidR="00A56EE9" w:rsidRPr="00E70A11">
              <w:rPr>
                <w:rFonts w:ascii="Arial Narrow" w:hAnsi="Arial Narrow"/>
                <w:sz w:val="18"/>
                <w:szCs w:val="18"/>
                <w:u w:val="single"/>
              </w:rPr>
              <w:t xml:space="preserve"> </w:t>
            </w:r>
            <w:r w:rsidR="00A56EE9"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00A56EE9" w:rsidRPr="00E70A11">
              <w:rPr>
                <w:rFonts w:ascii="Arial Narrow" w:hAnsi="Arial Narrow"/>
                <w:sz w:val="18"/>
                <w:szCs w:val="18"/>
              </w:rPr>
              <w:t>Reef .</w:t>
            </w:r>
            <w:proofErr w:type="gramEnd"/>
            <w:r w:rsidR="00A56EE9" w:rsidRPr="00E70A11">
              <w:rPr>
                <w:rFonts w:ascii="Arial Narrow" w:hAnsi="Arial Narrow"/>
                <w:sz w:val="18"/>
                <w:szCs w:val="18"/>
              </w:rPr>
              <w:t xml:space="preserve"> Final Report. Report to the Great Barrier Reef Marine Park Authority.</w:t>
            </w:r>
            <w:r w:rsidR="00A56EE9">
              <w:rPr>
                <w:rFonts w:ascii="Arial Narrow" w:hAnsi="Arial Narrow"/>
                <w:sz w:val="18"/>
                <w:szCs w:val="18"/>
              </w:rPr>
              <w:t xml:space="preserve"> </w:t>
            </w:r>
            <w:r w:rsidR="00A56EE9" w:rsidRPr="00E70A11">
              <w:rPr>
                <w:rFonts w:ascii="Arial Narrow" w:hAnsi="Arial Narrow"/>
                <w:sz w:val="18"/>
                <w:szCs w:val="18"/>
              </w:rPr>
              <w:t>Townsville, Australia (220pp.).</w:t>
            </w:r>
          </w:p>
          <w:p w14:paraId="5761EB1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RIMReP</w:t>
            </w:r>
          </w:p>
        </w:tc>
        <w:tc>
          <w:tcPr>
            <w:tcW w:w="1090" w:type="dxa"/>
            <w:tcBorders>
              <w:top w:val="single" w:sz="4" w:space="0" w:color="auto"/>
              <w:left w:val="single" w:sz="4" w:space="0" w:color="auto"/>
              <w:bottom w:val="single" w:sz="4" w:space="0" w:color="auto"/>
              <w:right w:val="single" w:sz="4" w:space="0" w:color="auto"/>
            </w:tcBorders>
          </w:tcPr>
          <w:p w14:paraId="5761EB12"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B1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B1B"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15"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B16" w14:textId="77777777" w:rsidR="00A56EE9" w:rsidRPr="00E70A11" w:rsidRDefault="00A56EE9" w:rsidP="00BB6AD5">
            <w:pPr>
              <w:pStyle w:val="Tablebulletlist"/>
              <w:rPr>
                <w:rStyle w:val="BookTitle"/>
              </w:rPr>
            </w:pPr>
            <w:r w:rsidRPr="00E70A11">
              <w:rPr>
                <w:rStyle w:val="BookTitle"/>
              </w:rPr>
              <w:t>2</w:t>
            </w:r>
          </w:p>
        </w:tc>
        <w:tc>
          <w:tcPr>
            <w:tcW w:w="3999" w:type="dxa"/>
            <w:tcBorders>
              <w:top w:val="single" w:sz="4" w:space="0" w:color="auto"/>
              <w:left w:val="single" w:sz="4" w:space="0" w:color="auto"/>
              <w:bottom w:val="single" w:sz="4" w:space="0" w:color="auto"/>
              <w:right w:val="single" w:sz="4" w:space="0" w:color="auto"/>
            </w:tcBorders>
          </w:tcPr>
          <w:p w14:paraId="5761EB1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Australian Government Reef Program – Land and Sea Country Partnerships component Continues to strengthen communications between local communities, Great Barrier Reef managers and stakeholders and build a better understanding of Traditional Owner use of the Great Barrier Reef Marine Park</w:t>
            </w:r>
          </w:p>
        </w:tc>
        <w:tc>
          <w:tcPr>
            <w:tcW w:w="4383" w:type="dxa"/>
            <w:tcBorders>
              <w:top w:val="single" w:sz="4" w:space="0" w:color="auto"/>
              <w:left w:val="single" w:sz="4" w:space="0" w:color="auto"/>
              <w:bottom w:val="single" w:sz="4" w:space="0" w:color="auto"/>
              <w:right w:val="single" w:sz="4" w:space="0" w:color="auto"/>
            </w:tcBorders>
          </w:tcPr>
          <w:p w14:paraId="5761EB1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Australian Government Reef Program</w:t>
            </w:r>
          </w:p>
        </w:tc>
        <w:tc>
          <w:tcPr>
            <w:tcW w:w="1090" w:type="dxa"/>
            <w:tcBorders>
              <w:top w:val="single" w:sz="4" w:space="0" w:color="auto"/>
              <w:left w:val="single" w:sz="4" w:space="0" w:color="auto"/>
              <w:bottom w:val="single" w:sz="4" w:space="0" w:color="auto"/>
              <w:right w:val="single" w:sz="4" w:space="0" w:color="auto"/>
            </w:tcBorders>
          </w:tcPr>
          <w:p w14:paraId="5761EB19"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B1A"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B26"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1C"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B1D" w14:textId="77777777" w:rsidR="00A56EE9" w:rsidRPr="00E70A11" w:rsidRDefault="00A56EE9" w:rsidP="00BB6AD5">
            <w:pPr>
              <w:pStyle w:val="Tablebulletlist"/>
              <w:rPr>
                <w:rStyle w:val="BookTitle"/>
              </w:rPr>
            </w:pPr>
            <w:r w:rsidRPr="00E70A11">
              <w:rPr>
                <w:rStyle w:val="BookTitle"/>
              </w:rPr>
              <w:t>2</w:t>
            </w:r>
          </w:p>
        </w:tc>
        <w:tc>
          <w:tcPr>
            <w:tcW w:w="3999" w:type="dxa"/>
            <w:tcBorders>
              <w:top w:val="single" w:sz="4" w:space="0" w:color="auto"/>
              <w:left w:val="single" w:sz="4" w:space="0" w:color="auto"/>
              <w:bottom w:val="single" w:sz="4" w:space="0" w:color="auto"/>
              <w:right w:val="single" w:sz="4" w:space="0" w:color="auto"/>
            </w:tcBorders>
          </w:tcPr>
          <w:p w14:paraId="5761EB1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Not well covered</w:t>
            </w:r>
          </w:p>
          <w:p w14:paraId="5761EB1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 2017, as part of the Permissions Improvement Program GBRMPA developed Guidelines for Historic heritage impact assessment in the permissions system. These guidelines consider three historic heritage values of the Marine Park:</w:t>
            </w:r>
          </w:p>
          <w:p w14:paraId="5761EB20"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World War II features and sites</w:t>
            </w:r>
          </w:p>
          <w:p w14:paraId="5761EB21"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Historic voyages and shipwrecks</w:t>
            </w:r>
          </w:p>
          <w:p w14:paraId="5761EB22"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Fonts w:ascii="Arial Narrow" w:hAnsi="Arial Narrow"/>
                <w:sz w:val="18"/>
                <w:szCs w:val="18"/>
              </w:rPr>
              <w:t>Other places of historic significance.</w:t>
            </w:r>
          </w:p>
        </w:tc>
        <w:tc>
          <w:tcPr>
            <w:tcW w:w="4383" w:type="dxa"/>
            <w:tcBorders>
              <w:top w:val="single" w:sz="4" w:space="0" w:color="auto"/>
              <w:left w:val="single" w:sz="4" w:space="0" w:color="auto"/>
              <w:bottom w:val="single" w:sz="4" w:space="0" w:color="auto"/>
              <w:right w:val="single" w:sz="4" w:space="0" w:color="auto"/>
            </w:tcBorders>
          </w:tcPr>
          <w:p w14:paraId="5761EB2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Guidelines for Historic heritage impact assessment</w:t>
            </w:r>
          </w:p>
        </w:tc>
        <w:tc>
          <w:tcPr>
            <w:tcW w:w="1090" w:type="dxa"/>
            <w:tcBorders>
              <w:top w:val="single" w:sz="4" w:space="0" w:color="auto"/>
              <w:left w:val="single" w:sz="4" w:space="0" w:color="auto"/>
              <w:bottom w:val="single" w:sz="4" w:space="0" w:color="auto"/>
              <w:right w:val="single" w:sz="4" w:space="0" w:color="auto"/>
            </w:tcBorders>
          </w:tcPr>
          <w:p w14:paraId="5761EB24" w14:textId="77777777" w:rsidR="00A56EE9" w:rsidRPr="00E70A11" w:rsidRDefault="00A56EE9" w:rsidP="00BB6AD5">
            <w:pPr>
              <w:pStyle w:val="Tablebulletlist"/>
              <w:rPr>
                <w:rStyle w:val="BookTitle"/>
              </w:rPr>
            </w:pPr>
            <w:r w:rsidRPr="00E70A11">
              <w:rPr>
                <w:rStyle w:val="BookTitle"/>
              </w:rPr>
              <w:t xml:space="preserve">Limited </w:t>
            </w:r>
          </w:p>
        </w:tc>
        <w:tc>
          <w:tcPr>
            <w:tcW w:w="865" w:type="dxa"/>
            <w:tcBorders>
              <w:top w:val="single" w:sz="4" w:space="0" w:color="auto"/>
              <w:left w:val="single" w:sz="4" w:space="0" w:color="auto"/>
              <w:bottom w:val="single" w:sz="4" w:space="0" w:color="auto"/>
              <w:right w:val="single" w:sz="4" w:space="0" w:color="auto"/>
            </w:tcBorders>
          </w:tcPr>
          <w:p w14:paraId="5761EB2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B34"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shd w:val="clear" w:color="auto" w:fill="auto"/>
          </w:tcPr>
          <w:p w14:paraId="5761EB27"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B28"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2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SELTMP is assisting Reef managers and other decision-makers within the Great Barrier Reef region to incorporate human dimensions into their planning and management</w:t>
            </w:r>
          </w:p>
          <w:p w14:paraId="5761EB2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High Standard Tourism Program is ‘eco-certification’ (administered and audited, by bodies independent of Reef managers) of standards identified to be important to environmental health and associated community benefits. 69 tourism business operating in the GBRWHA are certified. </w:t>
            </w:r>
          </w:p>
          <w:p w14:paraId="5761EB2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marine aquarium collector’s fishery has developed a stewardship action plan in direct response to requirement to manage environmental and community benefits associated with reefs.</w:t>
            </w:r>
            <w:r>
              <w:rPr>
                <w:rFonts w:ascii="Arial Narrow" w:hAnsi="Arial Narrow"/>
                <w:sz w:val="18"/>
                <w:szCs w:val="18"/>
              </w:rPr>
              <w:t xml:space="preserve"> </w:t>
            </w:r>
            <w:r w:rsidRPr="00E70A11">
              <w:rPr>
                <w:rFonts w:ascii="Arial Narrow" w:hAnsi="Arial Narrow"/>
                <w:sz w:val="18"/>
                <w:szCs w:val="18"/>
              </w:rPr>
              <w:t xml:space="preserve">This plan is a voluntary code of management standards for the fishery </w:t>
            </w:r>
          </w:p>
        </w:tc>
        <w:tc>
          <w:tcPr>
            <w:tcW w:w="4383" w:type="dxa"/>
            <w:tcBorders>
              <w:top w:val="single" w:sz="4" w:space="0" w:color="auto"/>
              <w:left w:val="single" w:sz="4" w:space="0" w:color="auto"/>
              <w:bottom w:val="single" w:sz="4" w:space="0" w:color="auto"/>
              <w:right w:val="single" w:sz="4" w:space="0" w:color="auto"/>
            </w:tcBorders>
          </w:tcPr>
          <w:p w14:paraId="5761EB2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35" w:history="1">
              <w:r w:rsidR="00A56EE9" w:rsidRPr="00E70A11">
                <w:rPr>
                  <w:rStyle w:val="Hyperlink"/>
                  <w:rFonts w:ascii="Arial Narrow" w:hAnsi="Arial Narrow"/>
                  <w:sz w:val="18"/>
                  <w:szCs w:val="18"/>
                </w:rPr>
                <w:t>Social impacts assessment in the permission system</w:t>
              </w:r>
            </w:hyperlink>
          </w:p>
          <w:p w14:paraId="5761EB2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B2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Responsible Reef Practices</w:t>
            </w:r>
          </w:p>
          <w:p w14:paraId="5761EB2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Guardians</w:t>
            </w:r>
          </w:p>
          <w:p w14:paraId="5761EB3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High Standard Tourism Programs</w:t>
            </w:r>
          </w:p>
          <w:p w14:paraId="5761EB31"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B32"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B3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B3D"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35"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Targets have been established to benchmark management performance for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B36"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3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Specific and measureable targets are an identified need (not yet achieved) that can be developed once the indicators for monitoring and modelling the human dimension outcomes, objectives and targets are developed as an outcome of NESP Project 3.2.2.</w:t>
            </w:r>
          </w:p>
          <w:p w14:paraId="5761EB3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Human dimensions target and actions included in the Reef 2050 Water Quality Improvement Plan</w:t>
            </w:r>
          </w:p>
        </w:tc>
        <w:tc>
          <w:tcPr>
            <w:tcW w:w="4383" w:type="dxa"/>
            <w:tcBorders>
              <w:top w:val="single" w:sz="4" w:space="0" w:color="auto"/>
              <w:left w:val="single" w:sz="4" w:space="0" w:color="auto"/>
              <w:bottom w:val="single" w:sz="4" w:space="0" w:color="auto"/>
              <w:right w:val="single" w:sz="4" w:space="0" w:color="auto"/>
            </w:tcBorders>
          </w:tcPr>
          <w:p w14:paraId="5761EB3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NESP Project 3.2.2.</w:t>
            </w:r>
          </w:p>
          <w:p w14:paraId="5761EB3A"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B3B"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B3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B44"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3E" w14:textId="77777777" w:rsidR="00A56EE9" w:rsidRPr="00E70A11" w:rsidRDefault="00A56EE9" w:rsidP="00BB6AD5">
            <w:pPr>
              <w:pStyle w:val="Tablebulletlist"/>
              <w:rPr>
                <w:rStyle w:val="BookTitle"/>
              </w:rPr>
            </w:pPr>
            <w:r w:rsidRPr="00E70A11">
              <w:rPr>
                <w:rStyle w:val="BookTitle"/>
              </w:rPr>
              <w:t>OUTPUTS</w:t>
            </w:r>
          </w:p>
        </w:tc>
        <w:tc>
          <w:tcPr>
            <w:tcW w:w="84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3F" w14:textId="77777777" w:rsidR="00A56EE9" w:rsidRPr="00E70A11" w:rsidRDefault="00A56EE9" w:rsidP="00BB6AD5">
            <w:pPr>
              <w:pStyle w:val="Tablebulletlist"/>
              <w:rPr>
                <w:rStyle w:val="BookTitle"/>
              </w:rPr>
            </w:pPr>
          </w:p>
        </w:tc>
        <w:tc>
          <w:tcPr>
            <w:tcW w:w="39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40" w14:textId="77777777" w:rsidR="00A56EE9" w:rsidRPr="00E70A11" w:rsidRDefault="00A56EE9" w:rsidP="00BB6AD5">
            <w:pPr>
              <w:pStyle w:val="ListParagraph"/>
              <w:ind w:left="360"/>
              <w:rPr>
                <w:rStyle w:val="BookTitle"/>
                <w:rFonts w:ascii="Arial Narrow" w:hAnsi="Arial Narrow"/>
                <w:sz w:val="18"/>
                <w:szCs w:val="18"/>
              </w:rPr>
            </w:pPr>
          </w:p>
        </w:tc>
        <w:tc>
          <w:tcPr>
            <w:tcW w:w="438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41"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42"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43" w14:textId="77777777" w:rsidR="00A56EE9" w:rsidRPr="00E70A11" w:rsidRDefault="00A56EE9" w:rsidP="00BB6AD5">
            <w:pPr>
              <w:pStyle w:val="Tablebulletlist"/>
              <w:rPr>
                <w:rStyle w:val="BookTitle"/>
              </w:rPr>
            </w:pPr>
          </w:p>
        </w:tc>
      </w:tr>
      <w:tr w:rsidR="00A56EE9" w:rsidRPr="00E70A11" w14:paraId="5761EB5C"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45"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community benefits of the environment </w:t>
            </w:r>
          </w:p>
        </w:tc>
        <w:tc>
          <w:tcPr>
            <w:tcW w:w="840" w:type="dxa"/>
            <w:tcBorders>
              <w:top w:val="single" w:sz="4" w:space="0" w:color="auto"/>
              <w:left w:val="single" w:sz="4" w:space="0" w:color="auto"/>
              <w:bottom w:val="single" w:sz="4" w:space="0" w:color="auto"/>
              <w:right w:val="single" w:sz="4" w:space="0" w:color="auto"/>
            </w:tcBorders>
          </w:tcPr>
          <w:p w14:paraId="5761EB46"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47"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sz w:val="18"/>
                <w:szCs w:val="18"/>
              </w:rPr>
              <w:t>Reef</w:t>
            </w:r>
            <w:r w:rsidRPr="00E70A11">
              <w:rPr>
                <w:rFonts w:ascii="Arial Narrow" w:hAnsi="Arial Narrow"/>
                <w:bCs/>
                <w:sz w:val="18"/>
                <w:szCs w:val="18"/>
              </w:rPr>
              <w:t xml:space="preserve"> HQ Aquarium: </w:t>
            </w:r>
            <w:r w:rsidRPr="00E70A11">
              <w:rPr>
                <w:rFonts w:ascii="Arial Narrow" w:hAnsi="Arial Narrow"/>
                <w:sz w:val="18"/>
                <w:szCs w:val="18"/>
              </w:rPr>
              <w:t>70% of visitors to Reef HQ Aquarium participate in talks and tours that deliver key messages about risks to the Great Barrier Reef.</w:t>
            </w:r>
          </w:p>
          <w:p w14:paraId="5761EB48"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sz w:val="18"/>
                <w:szCs w:val="18"/>
              </w:rPr>
              <w:t>Reef HQ Aquarium ensures that the community and stakeholders have a clear understanding of the value of the Great Barrier Reef, the threats to its sustainable future and their role in protecting it.</w:t>
            </w:r>
          </w:p>
          <w:p w14:paraId="5761EB49"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sz w:val="18"/>
                <w:szCs w:val="18"/>
              </w:rPr>
              <w:t>Reef HQ Aquarium has strong links to the community and continues to support a volunteer program that has contributed more than 406,000 hours since being established in 1987.</w:t>
            </w:r>
          </w:p>
          <w:p w14:paraId="5761EB4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Reef Guardian program is a successful stewardship program achieving its mission ‘to build a (growing) network…influencing community stewardship of the Reef.’</w:t>
            </w:r>
            <w:r>
              <w:rPr>
                <w:rFonts w:ascii="Arial Narrow" w:hAnsi="Arial Narrow"/>
                <w:sz w:val="18"/>
                <w:szCs w:val="18"/>
              </w:rPr>
              <w:t xml:space="preserve"> </w:t>
            </w:r>
            <w:r w:rsidRPr="00E70A11">
              <w:rPr>
                <w:rFonts w:ascii="Arial Narrow" w:hAnsi="Arial Narrow"/>
                <w:sz w:val="18"/>
                <w:szCs w:val="18"/>
              </w:rPr>
              <w:t xml:space="preserve">That network has grown from a small number of schools participating in 2003 to a much larger and more diverse network of participants (see PR1). </w:t>
            </w:r>
          </w:p>
          <w:p w14:paraId="5761EB4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High Standard Tourism Program: More than 55 per cent of visitors to the Reef were carried by high standard operators in 2016-17.</w:t>
            </w:r>
          </w:p>
          <w:p w14:paraId="5761EB4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Eye on the Reef - More than 400 tourism staff have been trained in Eye on the Reef monitoring protocol.</w:t>
            </w:r>
          </w:p>
          <w:p w14:paraId="5761EB4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Human dimensions research is being brought into the RIMREP Human Dimensions expert working group to inform the RIMREP Program design</w:t>
            </w:r>
          </w:p>
          <w:p w14:paraId="5761EB4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Results from SELTMP 2017 survey includes new questions about community perception.</w:t>
            </w:r>
          </w:p>
          <w:p w14:paraId="5761EB4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agricultural sector is taking positive steps to support progress towards the Reef water quality targets. Amongst others, the Smartcane Best Management Practice (BMP), Grazing BMP and Banana BMP programs for farm management are examples of strong partnerships involving the agricultural industry, natural resource management bodies, land managers and governments to improve productivity, profitability and sustainability of farm enterprises.</w:t>
            </w:r>
          </w:p>
        </w:tc>
        <w:tc>
          <w:tcPr>
            <w:tcW w:w="4383" w:type="dxa"/>
            <w:tcBorders>
              <w:top w:val="single" w:sz="4" w:space="0" w:color="auto"/>
              <w:left w:val="single" w:sz="4" w:space="0" w:color="auto"/>
              <w:bottom w:val="single" w:sz="4" w:space="0" w:color="auto"/>
              <w:right w:val="single" w:sz="4" w:space="0" w:color="auto"/>
            </w:tcBorders>
          </w:tcPr>
          <w:p w14:paraId="5761EB5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36" w:history="1">
              <w:r w:rsidR="00A56EE9" w:rsidRPr="00E70A11">
                <w:rPr>
                  <w:rStyle w:val="Hyperlink"/>
                  <w:rFonts w:ascii="Arial Narrow" w:hAnsi="Arial Narrow"/>
                  <w:sz w:val="18"/>
                  <w:szCs w:val="18"/>
                </w:rPr>
                <w:t>Eye on the Reef</w:t>
              </w:r>
            </w:hyperlink>
          </w:p>
          <w:p w14:paraId="5761EB5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37" w:history="1">
              <w:r w:rsidR="00A56EE9" w:rsidRPr="00E70A11">
                <w:rPr>
                  <w:rStyle w:val="Hyperlink"/>
                  <w:rFonts w:ascii="Arial Narrow" w:hAnsi="Arial Narrow"/>
                  <w:sz w:val="18"/>
                  <w:szCs w:val="18"/>
                </w:rPr>
                <w:t>High Standard Tourism Program</w:t>
              </w:r>
            </w:hyperlink>
          </w:p>
          <w:p w14:paraId="5761EB5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38" w:history="1">
              <w:r w:rsidR="00A56EE9" w:rsidRPr="00E70A11">
                <w:rPr>
                  <w:rStyle w:val="Hyperlink"/>
                  <w:rFonts w:ascii="Arial Narrow" w:hAnsi="Arial Narrow"/>
                  <w:sz w:val="18"/>
                  <w:szCs w:val="18"/>
                </w:rPr>
                <w:t>Reef HQ</w:t>
              </w:r>
            </w:hyperlink>
          </w:p>
          <w:p w14:paraId="5761EB53"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rPr>
              <w:t xml:space="preserve"> (</w:t>
            </w:r>
            <w:hyperlink r:id="rId439" w:history="1">
              <w:r w:rsidRPr="00E70A11">
                <w:rPr>
                  <w:rStyle w:val="Hyperlink"/>
                  <w:rFonts w:ascii="Arial Narrow" w:hAnsi="Arial Narrow"/>
                  <w:sz w:val="18"/>
                  <w:szCs w:val="18"/>
                </w:rPr>
                <w:t>Reef 2050 Integrated Monitoring and Reporting Program</w:t>
              </w:r>
            </w:hyperlink>
          </w:p>
          <w:p w14:paraId="5761EB54"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40" w:history="1">
              <w:r w:rsidR="00A56EE9" w:rsidRPr="00E70A11">
                <w:rPr>
                  <w:rStyle w:val="Hyperlink"/>
                  <w:rFonts w:ascii="Arial Narrow" w:hAnsi="Arial Narrow"/>
                  <w:sz w:val="18"/>
                  <w:szCs w:val="18"/>
                </w:rPr>
                <w:t>Reef 2050 Long-Term Sustainability Plan</w:t>
              </w:r>
            </w:hyperlink>
          </w:p>
          <w:p w14:paraId="5761EB55"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41" w:history="1">
              <w:r w:rsidR="00A56EE9" w:rsidRPr="00E70A11">
                <w:rPr>
                  <w:rStyle w:val="Hyperlink"/>
                  <w:rFonts w:ascii="Arial Narrow" w:hAnsi="Arial Narrow"/>
                  <w:sz w:val="18"/>
                  <w:szCs w:val="18"/>
                </w:rPr>
                <w:t>GBRMPA Annual Report</w:t>
              </w:r>
            </w:hyperlink>
          </w:p>
          <w:p w14:paraId="5761EB56"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Fonts w:ascii="Arial Narrow" w:hAnsi="Arial Narrow"/>
                <w:sz w:val="18"/>
                <w:szCs w:val="18"/>
              </w:rPr>
              <w:fldChar w:fldCharType="begin"/>
            </w:r>
            <w:r w:rsidRPr="00E70A11">
              <w:rPr>
                <w:rFonts w:ascii="Arial Narrow" w:hAnsi="Arial Narrow"/>
                <w:sz w:val="18"/>
                <w:szCs w:val="18"/>
              </w:rPr>
              <w:instrText xml:space="preserve"> HYPERLINK "http://www.reefplan.qld.gov.au/about/" </w:instrText>
            </w:r>
            <w:r w:rsidRPr="00E70A11">
              <w:rPr>
                <w:rFonts w:ascii="Arial Narrow" w:hAnsi="Arial Narrow"/>
                <w:sz w:val="18"/>
                <w:szCs w:val="18"/>
              </w:rPr>
              <w:fldChar w:fldCharType="separate"/>
            </w:r>
            <w:r w:rsidRPr="00E70A11">
              <w:rPr>
                <w:rStyle w:val="Hyperlink"/>
                <w:rFonts w:ascii="Arial Narrow" w:hAnsi="Arial Narrow"/>
                <w:sz w:val="18"/>
                <w:szCs w:val="18"/>
              </w:rPr>
              <w:t>Reef 2050 WQIP</w:t>
            </w:r>
          </w:p>
          <w:p w14:paraId="5761EB57" w14:textId="095858AD"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fldChar w:fldCharType="end"/>
            </w:r>
            <w:hyperlink r:id="rId442" w:tooltip="document link" w:history="1">
              <w:r w:rsidRPr="00E70A11">
                <w:rPr>
                  <w:rStyle w:val="Hyperlink"/>
                  <w:rFonts w:ascii="Arial Narrow" w:hAnsi="Arial Narrow"/>
                  <w:sz w:val="18"/>
                  <w:szCs w:val="18"/>
                </w:rPr>
                <w:t>https://www.smartcane.com.au/home.aspx</w:t>
              </w:r>
            </w:hyperlink>
            <w:r w:rsidR="00242993">
              <w:rPr>
                <w:rFonts w:ascii="Arial Narrow" w:hAnsi="Arial Narrow"/>
                <w:sz w:val="18"/>
                <w:szCs w:val="18"/>
              </w:rPr>
              <w:t xml:space="preserve"> </w:t>
            </w:r>
            <w:hyperlink r:id="rId443" w:tooltip="document link" w:history="1">
              <w:r w:rsidRPr="00E70A11">
                <w:rPr>
                  <w:rStyle w:val="Hyperlink"/>
                  <w:rFonts w:ascii="Arial Narrow" w:hAnsi="Arial Narrow"/>
                  <w:sz w:val="18"/>
                  <w:szCs w:val="18"/>
                </w:rPr>
                <w:t>https://www.cms.bmpgrazing.com.au/</w:t>
              </w:r>
            </w:hyperlink>
            <w:r w:rsidRPr="00E70A11">
              <w:rPr>
                <w:rFonts w:ascii="Arial Narrow" w:hAnsi="Arial Narrow"/>
                <w:sz w:val="18"/>
                <w:szCs w:val="18"/>
              </w:rPr>
              <w:t xml:space="preserve"> </w:t>
            </w:r>
          </w:p>
          <w:p w14:paraId="5761EB58" w14:textId="009733B0"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44" w:tooltip="document link" w:history="1">
              <w:r w:rsidR="00A56EE9" w:rsidRPr="00E70A11">
                <w:rPr>
                  <w:rStyle w:val="Hyperlink"/>
                  <w:rFonts w:ascii="Arial Narrow" w:hAnsi="Arial Narrow"/>
                  <w:sz w:val="18"/>
                  <w:szCs w:val="18"/>
                </w:rPr>
                <w:t>https://abgc.org.au/projects-resources/best-management-practices-bmp/</w:t>
              </w:r>
            </w:hyperlink>
          </w:p>
          <w:p w14:paraId="5761EB5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tc>
        <w:tc>
          <w:tcPr>
            <w:tcW w:w="1090" w:type="dxa"/>
            <w:tcBorders>
              <w:top w:val="single" w:sz="4" w:space="0" w:color="auto"/>
              <w:left w:val="single" w:sz="4" w:space="0" w:color="auto"/>
              <w:bottom w:val="single" w:sz="4" w:space="0" w:color="auto"/>
              <w:right w:val="single" w:sz="4" w:space="0" w:color="auto"/>
            </w:tcBorders>
          </w:tcPr>
          <w:p w14:paraId="5761EB5A"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B5B"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EB63"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5D"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community benefits of the environment have progressed in accordance with timeframes specified in those documents</w:t>
            </w:r>
          </w:p>
        </w:tc>
        <w:tc>
          <w:tcPr>
            <w:tcW w:w="840" w:type="dxa"/>
            <w:tcBorders>
              <w:top w:val="single" w:sz="4" w:space="0" w:color="auto"/>
              <w:left w:val="single" w:sz="4" w:space="0" w:color="auto"/>
              <w:bottom w:val="single" w:sz="4" w:space="0" w:color="auto"/>
              <w:right w:val="single" w:sz="4" w:space="0" w:color="auto"/>
            </w:tcBorders>
          </w:tcPr>
          <w:p w14:paraId="5761EB5E"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5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This is variable across the programs, with many of the</w:t>
            </w:r>
            <w:r>
              <w:rPr>
                <w:rStyle w:val="BookTitle"/>
                <w:rFonts w:ascii="Arial Narrow" w:hAnsi="Arial Narrow"/>
                <w:sz w:val="18"/>
                <w:szCs w:val="18"/>
              </w:rPr>
              <w:t xml:space="preserve"> </w:t>
            </w:r>
            <w:r w:rsidRPr="00E70A11">
              <w:rPr>
                <w:rStyle w:val="BookTitle"/>
                <w:rFonts w:ascii="Arial Narrow" w:hAnsi="Arial Narrow"/>
                <w:sz w:val="18"/>
                <w:szCs w:val="18"/>
              </w:rPr>
              <w:t>programs progressing in accordance with timeframes</w:t>
            </w:r>
          </w:p>
        </w:tc>
        <w:tc>
          <w:tcPr>
            <w:tcW w:w="4383" w:type="dxa"/>
            <w:tcBorders>
              <w:top w:val="single" w:sz="4" w:space="0" w:color="auto"/>
              <w:left w:val="single" w:sz="4" w:space="0" w:color="auto"/>
              <w:bottom w:val="single" w:sz="4" w:space="0" w:color="auto"/>
              <w:right w:val="single" w:sz="4" w:space="0" w:color="auto"/>
            </w:tcBorders>
          </w:tcPr>
          <w:p w14:paraId="5761EB6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tc>
        <w:tc>
          <w:tcPr>
            <w:tcW w:w="1090" w:type="dxa"/>
            <w:tcBorders>
              <w:top w:val="single" w:sz="4" w:space="0" w:color="auto"/>
              <w:left w:val="single" w:sz="4" w:space="0" w:color="auto"/>
              <w:bottom w:val="single" w:sz="4" w:space="0" w:color="auto"/>
              <w:right w:val="single" w:sz="4" w:space="0" w:color="auto"/>
            </w:tcBorders>
          </w:tcPr>
          <w:p w14:paraId="5761EB61"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B62"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EB6A"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64"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B65"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6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Many of the programs</w:t>
            </w:r>
            <w:r>
              <w:rPr>
                <w:rStyle w:val="BookTitle"/>
                <w:rFonts w:ascii="Arial Narrow" w:hAnsi="Arial Narrow"/>
                <w:sz w:val="18"/>
                <w:szCs w:val="18"/>
              </w:rPr>
              <w:t xml:space="preserve"> </w:t>
            </w:r>
            <w:r w:rsidRPr="00E70A11">
              <w:rPr>
                <w:rStyle w:val="BookTitle"/>
                <w:rFonts w:ascii="Arial Narrow" w:hAnsi="Arial Narrow"/>
                <w:sz w:val="18"/>
                <w:szCs w:val="18"/>
              </w:rPr>
              <w:t>(Reef 2050 Plan, Reef 2050 WQIP) meeting their objectives</w:t>
            </w:r>
          </w:p>
        </w:tc>
        <w:tc>
          <w:tcPr>
            <w:tcW w:w="4383" w:type="dxa"/>
            <w:tcBorders>
              <w:top w:val="single" w:sz="4" w:space="0" w:color="auto"/>
              <w:left w:val="single" w:sz="4" w:space="0" w:color="auto"/>
              <w:bottom w:val="single" w:sz="4" w:space="0" w:color="auto"/>
              <w:right w:val="single" w:sz="4" w:space="0" w:color="auto"/>
            </w:tcBorders>
          </w:tcPr>
          <w:p w14:paraId="5761EB6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tc>
        <w:tc>
          <w:tcPr>
            <w:tcW w:w="1090" w:type="dxa"/>
            <w:tcBorders>
              <w:top w:val="single" w:sz="4" w:space="0" w:color="auto"/>
              <w:left w:val="single" w:sz="4" w:space="0" w:color="auto"/>
              <w:bottom w:val="single" w:sz="4" w:space="0" w:color="auto"/>
              <w:right w:val="single" w:sz="4" w:space="0" w:color="auto"/>
            </w:tcBorders>
          </w:tcPr>
          <w:p w14:paraId="5761EB68"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B69"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EB71"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6B"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community benefits of the environment</w:t>
            </w:r>
          </w:p>
        </w:tc>
        <w:tc>
          <w:tcPr>
            <w:tcW w:w="840" w:type="dxa"/>
            <w:tcBorders>
              <w:top w:val="single" w:sz="4" w:space="0" w:color="auto"/>
              <w:left w:val="single" w:sz="4" w:space="0" w:color="auto"/>
              <w:bottom w:val="single" w:sz="4" w:space="0" w:color="auto"/>
              <w:right w:val="single" w:sz="4" w:space="0" w:color="auto"/>
            </w:tcBorders>
          </w:tcPr>
          <w:p w14:paraId="5761EB6C"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6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Products under Reef 2050 Plan are on track. </w:t>
            </w:r>
          </w:p>
        </w:tc>
        <w:tc>
          <w:tcPr>
            <w:tcW w:w="4383" w:type="dxa"/>
            <w:tcBorders>
              <w:top w:val="single" w:sz="4" w:space="0" w:color="auto"/>
              <w:left w:val="single" w:sz="4" w:space="0" w:color="auto"/>
              <w:bottom w:val="single" w:sz="4" w:space="0" w:color="auto"/>
              <w:right w:val="single" w:sz="4" w:space="0" w:color="auto"/>
            </w:tcBorders>
          </w:tcPr>
          <w:p w14:paraId="5761EB6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tc>
        <w:tc>
          <w:tcPr>
            <w:tcW w:w="1090" w:type="dxa"/>
            <w:tcBorders>
              <w:top w:val="single" w:sz="4" w:space="0" w:color="auto"/>
              <w:left w:val="single" w:sz="4" w:space="0" w:color="auto"/>
              <w:bottom w:val="single" w:sz="4" w:space="0" w:color="auto"/>
              <w:right w:val="single" w:sz="4" w:space="0" w:color="auto"/>
            </w:tcBorders>
          </w:tcPr>
          <w:p w14:paraId="5761EB6F"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B70"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EB82"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shd w:val="clear" w:color="auto" w:fill="auto"/>
          </w:tcPr>
          <w:p w14:paraId="5761EB72"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community benefits of the environment are in place within agencies</w:t>
            </w:r>
          </w:p>
        </w:tc>
        <w:tc>
          <w:tcPr>
            <w:tcW w:w="840" w:type="dxa"/>
            <w:tcBorders>
              <w:top w:val="single" w:sz="4" w:space="0" w:color="auto"/>
              <w:left w:val="single" w:sz="4" w:space="0" w:color="auto"/>
              <w:bottom w:val="single" w:sz="4" w:space="0" w:color="auto"/>
              <w:right w:val="single" w:sz="4" w:space="0" w:color="auto"/>
            </w:tcBorders>
          </w:tcPr>
          <w:p w14:paraId="5761EB73"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7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Management of scientific information procedures are in place and are delivered at whole-of-GBRMPA using RefWorks as its database and citation management tool</w:t>
            </w:r>
          </w:p>
          <w:p w14:paraId="5761EB7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Tools to disseminate information about values and impacts on them are available, and undergoing development to improve service delivery – e.g. the </w:t>
            </w:r>
            <w:r w:rsidRPr="00E70A11">
              <w:rPr>
                <w:rFonts w:ascii="Arial Narrow" w:hAnsi="Arial Narrow"/>
                <w:bCs/>
                <w:sz w:val="18"/>
                <w:szCs w:val="18"/>
              </w:rPr>
              <w:t>integrated Eye on the Reef</w:t>
            </w:r>
            <w:r w:rsidRPr="00E70A11">
              <w:rPr>
                <w:rFonts w:ascii="Arial Narrow" w:hAnsi="Arial Narrow"/>
                <w:sz w:val="18"/>
                <w:szCs w:val="18"/>
              </w:rPr>
              <w:t xml:space="preserve"> program to provide a centralised database for Reef health information, Reef Explorer is an interactive tool for displaying spatial information</w:t>
            </w:r>
          </w:p>
          <w:p w14:paraId="5761EB7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 significant amount of monitoring data will be strongly embedded within RIMReP and will have multiple representatives involved in the technical working groups currently responsible for designing reef-wide monitoring programs. </w:t>
            </w:r>
          </w:p>
          <w:p w14:paraId="5761EB7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bCs/>
                <w:sz w:val="18"/>
                <w:szCs w:val="18"/>
              </w:rPr>
              <w:t>Information</w:t>
            </w:r>
            <w:r w:rsidRPr="00E70A11">
              <w:rPr>
                <w:rFonts w:ascii="Arial Narrow" w:hAnsi="Arial Narrow"/>
                <w:sz w:val="18"/>
                <w:szCs w:val="18"/>
              </w:rPr>
              <w:t xml:space="preserve"> for communities are available through various mediums (e.g. TV community announcements, billboards, boat shows, publications, websites)</w:t>
            </w:r>
          </w:p>
          <w:p w14:paraId="5761EB7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Cultural Knowledge Management System Database, which is used to record on country meeting and events, for further information please refer to TUMR evidence table.</w:t>
            </w:r>
          </w:p>
          <w:p w14:paraId="5761EB7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existence of effective environmental knowledge management systems and sharing of them with the community, is in itself a community benefit.</w:t>
            </w:r>
          </w:p>
        </w:tc>
        <w:tc>
          <w:tcPr>
            <w:tcW w:w="4383" w:type="dxa"/>
            <w:tcBorders>
              <w:top w:val="single" w:sz="4" w:space="0" w:color="auto"/>
              <w:left w:val="single" w:sz="4" w:space="0" w:color="auto"/>
              <w:bottom w:val="single" w:sz="4" w:space="0" w:color="auto"/>
              <w:right w:val="single" w:sz="4" w:space="0" w:color="auto"/>
            </w:tcBorders>
          </w:tcPr>
          <w:p w14:paraId="5761EB7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45" w:history="1">
              <w:r w:rsidR="00A56EE9" w:rsidRPr="00E70A11">
                <w:rPr>
                  <w:rStyle w:val="Hyperlink"/>
                  <w:rFonts w:ascii="Arial Narrow" w:hAnsi="Arial Narrow"/>
                  <w:sz w:val="18"/>
                  <w:szCs w:val="18"/>
                </w:rPr>
                <w:t>Permits search</w:t>
              </w:r>
            </w:hyperlink>
          </w:p>
          <w:p w14:paraId="5761EB7B"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46" w:history="1">
              <w:r w:rsidR="00A56EE9" w:rsidRPr="00E70A11">
                <w:rPr>
                  <w:rStyle w:val="Hyperlink"/>
                  <w:rFonts w:ascii="Arial Narrow" w:hAnsi="Arial Narrow"/>
                  <w:sz w:val="18"/>
                  <w:szCs w:val="18"/>
                </w:rPr>
                <w:t>Bookings Online</w:t>
              </w:r>
            </w:hyperlink>
          </w:p>
          <w:p w14:paraId="5761EB7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47" w:history="1">
              <w:r w:rsidR="00A56EE9" w:rsidRPr="00E70A11">
                <w:rPr>
                  <w:rStyle w:val="Hyperlink"/>
                  <w:rFonts w:ascii="Arial Narrow" w:hAnsi="Arial Narrow"/>
                  <w:sz w:val="18"/>
                  <w:szCs w:val="18"/>
                </w:rPr>
                <w:t>EMC Online</w:t>
              </w:r>
            </w:hyperlink>
            <w:r w:rsidR="00A56EE9" w:rsidRPr="00E70A11">
              <w:rPr>
                <w:rFonts w:ascii="Arial Narrow" w:hAnsi="Arial Narrow"/>
                <w:sz w:val="18"/>
                <w:szCs w:val="18"/>
              </w:rPr>
              <w:t xml:space="preserve"> </w:t>
            </w:r>
          </w:p>
          <w:p w14:paraId="5761EB7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bCs/>
                <w:sz w:val="18"/>
                <w:szCs w:val="18"/>
              </w:rPr>
              <w:t>Eye on the Reef</w:t>
            </w:r>
          </w:p>
          <w:p w14:paraId="5761EB7E" w14:textId="77777777" w:rsidR="00A56EE9" w:rsidRPr="00E70A11" w:rsidRDefault="008B5998" w:rsidP="00A11869">
            <w:pPr>
              <w:pStyle w:val="ListParagraph"/>
              <w:numPr>
                <w:ilvl w:val="0"/>
                <w:numId w:val="24"/>
              </w:numPr>
              <w:spacing w:after="200" w:line="276" w:lineRule="auto"/>
              <w:rPr>
                <w:rFonts w:ascii="Arial Narrow" w:hAnsi="Arial Narrow"/>
                <w:bCs/>
                <w:sz w:val="18"/>
                <w:szCs w:val="18"/>
                <w:u w:val="single"/>
              </w:rPr>
            </w:pPr>
            <w:hyperlink r:id="rId448" w:history="1">
              <w:r w:rsidR="00A56EE9" w:rsidRPr="00E70A11">
                <w:rPr>
                  <w:rStyle w:val="Hyperlink"/>
                  <w:rFonts w:ascii="Arial Narrow" w:hAnsi="Arial Narrow"/>
                  <w:sz w:val="18"/>
                  <w:szCs w:val="18"/>
                </w:rPr>
                <w:t>Reef Explorer</w:t>
              </w:r>
            </w:hyperlink>
          </w:p>
          <w:p w14:paraId="5761EB7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tc>
        <w:tc>
          <w:tcPr>
            <w:tcW w:w="1090" w:type="dxa"/>
            <w:tcBorders>
              <w:top w:val="single" w:sz="4" w:space="0" w:color="auto"/>
              <w:left w:val="single" w:sz="4" w:space="0" w:color="auto"/>
              <w:bottom w:val="single" w:sz="4" w:space="0" w:color="auto"/>
              <w:right w:val="single" w:sz="4" w:space="0" w:color="auto"/>
            </w:tcBorders>
          </w:tcPr>
          <w:p w14:paraId="5761EB80"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B8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BA6"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83"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community benefits of the environment with the community</w:t>
            </w:r>
          </w:p>
        </w:tc>
        <w:tc>
          <w:tcPr>
            <w:tcW w:w="840" w:type="dxa"/>
            <w:tcBorders>
              <w:top w:val="single" w:sz="4" w:space="0" w:color="auto"/>
              <w:left w:val="single" w:sz="4" w:space="0" w:color="auto"/>
              <w:bottom w:val="single" w:sz="4" w:space="0" w:color="auto"/>
              <w:right w:val="single" w:sz="4" w:space="0" w:color="auto"/>
            </w:tcBorders>
          </w:tcPr>
          <w:p w14:paraId="5761EB84"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8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Many knowledge management systems are also the system through which knowledge is shared.</w:t>
            </w:r>
          </w:p>
          <w:p w14:paraId="5761EB8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Community benefits associated with effective knowledge systems relate to community desire to have access to information about the environment and its management and to contribute knowledge.</w:t>
            </w:r>
            <w:r>
              <w:rPr>
                <w:rFonts w:ascii="Arial Narrow" w:hAnsi="Arial Narrow"/>
                <w:sz w:val="18"/>
                <w:szCs w:val="18"/>
              </w:rPr>
              <w:t xml:space="preserve"> </w:t>
            </w:r>
            <w:r w:rsidRPr="00E70A11">
              <w:rPr>
                <w:rFonts w:ascii="Arial Narrow" w:hAnsi="Arial Narrow"/>
                <w:sz w:val="18"/>
                <w:szCs w:val="18"/>
              </w:rPr>
              <w:t xml:space="preserve">Effective systems are in place within agencies to provide: </w:t>
            </w:r>
          </w:p>
          <w:p w14:paraId="5761EB87" w14:textId="77777777" w:rsidR="00A56EE9" w:rsidRPr="00E70A11" w:rsidRDefault="00A56EE9" w:rsidP="00A11869">
            <w:pPr>
              <w:pStyle w:val="ListParagraph"/>
              <w:numPr>
                <w:ilvl w:val="0"/>
                <w:numId w:val="24"/>
              </w:numPr>
              <w:spacing w:after="200" w:line="276" w:lineRule="auto"/>
              <w:ind w:left="644"/>
              <w:rPr>
                <w:rFonts w:ascii="Arial Narrow" w:hAnsi="Arial Narrow"/>
                <w:sz w:val="18"/>
                <w:szCs w:val="18"/>
              </w:rPr>
            </w:pPr>
            <w:r w:rsidRPr="00E70A11">
              <w:rPr>
                <w:rFonts w:ascii="Arial Narrow" w:hAnsi="Arial Narrow"/>
                <w:sz w:val="18"/>
                <w:szCs w:val="18"/>
              </w:rPr>
              <w:t>Information about the environment – educational resources (e.g. GBRMPA website ‘About the Reef’, resources on other government agencies, NRM groups, industry bodies), scientific information (e.g. Refworks, research institutes systems to access research information), condition (e.g. various report cards), spatial information (e.g. Reef Explorer, QLD Globe)</w:t>
            </w:r>
          </w:p>
          <w:p w14:paraId="5761EB8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Management information – about specific permits and planning/use decisions (e.g. Permit search, EPBC Act Notices database), grants and funding programs to assist community environmental action (e.g NQ Grants hub.); industry ‘best practice’ information resources (e.g.</w:t>
            </w:r>
            <w:r>
              <w:rPr>
                <w:rFonts w:ascii="Arial Narrow" w:hAnsi="Arial Narrow"/>
                <w:sz w:val="18"/>
                <w:szCs w:val="18"/>
              </w:rPr>
              <w:t xml:space="preserve"> </w:t>
            </w:r>
            <w:r w:rsidRPr="00E70A11">
              <w:rPr>
                <w:rFonts w:ascii="Arial Narrow" w:hAnsi="Arial Narrow"/>
                <w:sz w:val="18"/>
                <w:szCs w:val="18"/>
              </w:rPr>
              <w:t>see PR3).</w:t>
            </w:r>
          </w:p>
          <w:p w14:paraId="5761EB8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Access to the environment – booking use (e.g. Reef bookings online, systems for booking visits to State and National parks), zoning maps (e.g. Marine Park zones being incorporated into navigation and fisheries app).</w:t>
            </w:r>
          </w:p>
          <w:p w14:paraId="5761EB8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Gathering of community knowledge – citizen science data platforms (e.g. Eye on the Reef, Sightings network); advisory groups (e.g. LMAC communiques), Cultural Knowledge Management System Database.</w:t>
            </w:r>
          </w:p>
          <w:p w14:paraId="5761EB8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bCs/>
                <w:sz w:val="18"/>
                <w:szCs w:val="18"/>
              </w:rPr>
              <w:t>Regional based staff</w:t>
            </w:r>
            <w:r w:rsidRPr="00E70A11">
              <w:rPr>
                <w:rFonts w:ascii="Arial Narrow" w:hAnsi="Arial Narrow"/>
                <w:sz w:val="18"/>
                <w:szCs w:val="18"/>
              </w:rPr>
              <w:t xml:space="preserve"> provide stakeholders and local communities with easier access to managers</w:t>
            </w:r>
          </w:p>
          <w:p w14:paraId="5761EB8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Communication platforms raise awareness of the above and associated information/knowledge (e.g. e-newsletters, social media channels, mainstream media, stalls at relevant community events)</w:t>
            </w:r>
          </w:p>
          <w:p w14:paraId="5761EB8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Communication through plain-English products summarising outcomes of scientific research is undertaken to some extent, but not systematically</w:t>
            </w:r>
          </w:p>
          <w:p w14:paraId="5761EB8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49" w:history="1">
              <w:r w:rsidR="00A56EE9" w:rsidRPr="00E70A11">
                <w:rPr>
                  <w:rStyle w:val="Hyperlink"/>
                  <w:rFonts w:ascii="Arial Narrow" w:hAnsi="Arial Narrow"/>
                  <w:sz w:val="18"/>
                  <w:szCs w:val="18"/>
                </w:rPr>
                <w:t xml:space="preserve">e-Library </w:t>
              </w:r>
            </w:hyperlink>
            <w:r w:rsidR="00A56EE9" w:rsidRPr="00E70A11">
              <w:rPr>
                <w:rFonts w:ascii="Arial Narrow" w:hAnsi="Arial Narrow"/>
                <w:sz w:val="18"/>
                <w:szCs w:val="18"/>
              </w:rPr>
              <w:t xml:space="preserve">(GBRMPA external website) provides access to publications </w:t>
            </w:r>
          </w:p>
          <w:p w14:paraId="5761EB8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50" w:history="1">
              <w:r w:rsidR="00A56EE9" w:rsidRPr="00E70A11">
                <w:rPr>
                  <w:rStyle w:val="Hyperlink"/>
                  <w:rFonts w:ascii="Arial Narrow" w:hAnsi="Arial Narrow"/>
                  <w:sz w:val="18"/>
                  <w:szCs w:val="18"/>
                </w:rPr>
                <w:t>eResearch Archive</w:t>
              </w:r>
            </w:hyperlink>
            <w:r w:rsidR="00A56EE9" w:rsidRPr="00E70A11">
              <w:rPr>
                <w:rFonts w:ascii="Arial Narrow" w:hAnsi="Arial Narrow"/>
                <w:sz w:val="18"/>
                <w:szCs w:val="18"/>
              </w:rPr>
              <w:t xml:space="preserve"> is a digital repository of scientific and research publications, and datasets authored by DAFF staff, including journal articles, book chapters, conference papers, theses and raw data collected in the course of research</w:t>
            </w:r>
          </w:p>
          <w:p w14:paraId="5761EB9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non-scientific community is engaged via the GBRMPA’s LMACs, magazines – e.g. Reef Beat, media releases etc</w:t>
            </w:r>
          </w:p>
          <w:p w14:paraId="5761EB9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QRWIQP created a Preserve the Wonder campaign to share the beauty of the Reef with the general public and promote the good work that is being done to manage Reef water quality outcomes </w:t>
            </w:r>
          </w:p>
          <w:p w14:paraId="5761EB9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agricultural sector is taking positive steps to support progress towards the Reef water quality targets. Amongst others, the Smartcane Best Management Practice (BMP), Grazing BMP and Banana BMP programs for farm management are examples of strong partnerships involving the agricultural industry, natural resource management bodies, land managers and governments to improve productivity, profitability and sustainability of farm enterprises.</w:t>
            </w:r>
          </w:p>
        </w:tc>
        <w:tc>
          <w:tcPr>
            <w:tcW w:w="4383" w:type="dxa"/>
            <w:tcBorders>
              <w:top w:val="single" w:sz="4" w:space="0" w:color="auto"/>
              <w:left w:val="single" w:sz="4" w:space="0" w:color="auto"/>
              <w:bottom w:val="single" w:sz="4" w:space="0" w:color="auto"/>
              <w:right w:val="single" w:sz="4" w:space="0" w:color="auto"/>
            </w:tcBorders>
          </w:tcPr>
          <w:p w14:paraId="5761EB9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Facebook, Instagram, Twitter, LinkedIn</w:t>
            </w:r>
          </w:p>
          <w:p w14:paraId="5761EB9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w:t>
            </w:r>
            <w:hyperlink r:id="rId451" w:history="1">
              <w:r w:rsidRPr="00E70A11">
                <w:rPr>
                  <w:rStyle w:val="Hyperlink"/>
                  <w:rFonts w:ascii="Arial Narrow" w:hAnsi="Arial Narrow"/>
                  <w:sz w:val="18"/>
                  <w:szCs w:val="18"/>
                </w:rPr>
                <w:t>About the Reef</w:t>
              </w:r>
            </w:hyperlink>
            <w:r w:rsidRPr="00E70A11">
              <w:rPr>
                <w:rFonts w:ascii="Arial Narrow" w:hAnsi="Arial Narrow"/>
                <w:sz w:val="18"/>
                <w:szCs w:val="18"/>
              </w:rPr>
              <w:t xml:space="preserve"> &amp; </w:t>
            </w:r>
            <w:hyperlink r:id="rId452" w:history="1">
              <w:r w:rsidRPr="00E70A11">
                <w:rPr>
                  <w:rStyle w:val="Hyperlink"/>
                  <w:rFonts w:ascii="Arial Narrow" w:hAnsi="Arial Narrow"/>
                  <w:sz w:val="18"/>
                  <w:szCs w:val="18"/>
                </w:rPr>
                <w:t>Learn about the Reef</w:t>
              </w:r>
            </w:hyperlink>
          </w:p>
          <w:p w14:paraId="5761EB95"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53" w:history="1">
              <w:r w:rsidR="00A56EE9" w:rsidRPr="00E70A11">
                <w:rPr>
                  <w:rStyle w:val="Hyperlink"/>
                  <w:rFonts w:ascii="Arial Narrow" w:hAnsi="Arial Narrow"/>
                  <w:sz w:val="18"/>
                  <w:szCs w:val="18"/>
                </w:rPr>
                <w:t>FLOW</w:t>
              </w:r>
            </w:hyperlink>
          </w:p>
          <w:p w14:paraId="5761EB9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Water Quality Improvement Plan report cards</w:t>
            </w:r>
          </w:p>
          <w:p w14:paraId="5761EB9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54" w:history="1">
              <w:r w:rsidR="00A56EE9" w:rsidRPr="00E70A11">
                <w:rPr>
                  <w:rStyle w:val="Hyperlink"/>
                  <w:rFonts w:ascii="Arial Narrow" w:hAnsi="Arial Narrow"/>
                  <w:sz w:val="18"/>
                  <w:szCs w:val="18"/>
                </w:rPr>
                <w:t>Reef Explorer</w:t>
              </w:r>
            </w:hyperlink>
          </w:p>
          <w:p w14:paraId="5761EB9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55" w:history="1">
              <w:r w:rsidR="00A56EE9" w:rsidRPr="00E70A11">
                <w:rPr>
                  <w:rStyle w:val="Hyperlink"/>
                  <w:rFonts w:ascii="Arial Narrow" w:hAnsi="Arial Narrow"/>
                  <w:sz w:val="18"/>
                  <w:szCs w:val="18"/>
                </w:rPr>
                <w:t>Queensland Globe</w:t>
              </w:r>
            </w:hyperlink>
          </w:p>
          <w:p w14:paraId="5761EB9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56" w:history="1">
              <w:r w:rsidR="00A56EE9" w:rsidRPr="00E70A11">
                <w:rPr>
                  <w:rStyle w:val="Hyperlink"/>
                  <w:rFonts w:ascii="Arial Narrow" w:hAnsi="Arial Narrow"/>
                  <w:sz w:val="18"/>
                  <w:szCs w:val="18"/>
                </w:rPr>
                <w:t>Permits online</w:t>
              </w:r>
            </w:hyperlink>
          </w:p>
          <w:p w14:paraId="5761EB9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57" w:history="1">
              <w:r w:rsidR="00A56EE9" w:rsidRPr="00E70A11">
                <w:rPr>
                  <w:rStyle w:val="Hyperlink"/>
                  <w:rFonts w:ascii="Arial Narrow" w:hAnsi="Arial Narrow"/>
                  <w:sz w:val="18"/>
                  <w:szCs w:val="18"/>
                </w:rPr>
                <w:t>EPBC Act Notices database</w:t>
              </w:r>
            </w:hyperlink>
          </w:p>
          <w:p w14:paraId="5761EB9B"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58" w:history="1">
              <w:r w:rsidR="00A56EE9" w:rsidRPr="00E70A11">
                <w:rPr>
                  <w:rStyle w:val="Hyperlink"/>
                  <w:rFonts w:ascii="Arial Narrow" w:hAnsi="Arial Narrow"/>
                  <w:sz w:val="18"/>
                  <w:szCs w:val="18"/>
                </w:rPr>
                <w:t>North Queensland Grants hub</w:t>
              </w:r>
            </w:hyperlink>
          </w:p>
          <w:p w14:paraId="5761EB9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59" w:history="1">
              <w:r w:rsidR="00A56EE9" w:rsidRPr="00E70A11">
                <w:rPr>
                  <w:rStyle w:val="Hyperlink"/>
                  <w:rFonts w:ascii="Arial Narrow" w:hAnsi="Arial Narrow"/>
                  <w:sz w:val="18"/>
                  <w:szCs w:val="18"/>
                </w:rPr>
                <w:t>Bookings online</w:t>
              </w:r>
            </w:hyperlink>
          </w:p>
          <w:p w14:paraId="5761EB9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60" w:history="1">
              <w:r w:rsidR="00A56EE9" w:rsidRPr="00E70A11">
                <w:rPr>
                  <w:rStyle w:val="Hyperlink"/>
                  <w:rFonts w:ascii="Arial Narrow" w:hAnsi="Arial Narrow"/>
                  <w:sz w:val="18"/>
                  <w:szCs w:val="18"/>
                </w:rPr>
                <w:t>Queensland National Parks Booking Service</w:t>
              </w:r>
            </w:hyperlink>
          </w:p>
          <w:p w14:paraId="5761EB9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61" w:history="1">
              <w:r w:rsidR="00A56EE9" w:rsidRPr="00E70A11">
                <w:rPr>
                  <w:rStyle w:val="Hyperlink"/>
                  <w:rFonts w:ascii="Arial Narrow" w:hAnsi="Arial Narrow"/>
                  <w:sz w:val="18"/>
                  <w:szCs w:val="18"/>
                </w:rPr>
                <w:t>Eye on the Reef Survey activity</w:t>
              </w:r>
            </w:hyperlink>
          </w:p>
          <w:p w14:paraId="5761EB9F"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462" w:history="1">
              <w:r w:rsidR="00A56EE9" w:rsidRPr="00E70A11">
                <w:rPr>
                  <w:rStyle w:val="Hyperlink"/>
                  <w:rFonts w:ascii="Arial Narrow" w:hAnsi="Arial Narrow"/>
                  <w:sz w:val="18"/>
                  <w:szCs w:val="18"/>
                </w:rPr>
                <w:t>LMAC communiques</w:t>
              </w:r>
            </w:hyperlink>
          </w:p>
          <w:p w14:paraId="5761EBA0" w14:textId="63624BA2" w:rsidR="00A56EE9" w:rsidRPr="00E70A11" w:rsidRDefault="008B5998" w:rsidP="00A11869">
            <w:pPr>
              <w:pStyle w:val="ListParagraph"/>
              <w:numPr>
                <w:ilvl w:val="0"/>
                <w:numId w:val="24"/>
              </w:numPr>
              <w:spacing w:after="200" w:line="276" w:lineRule="auto"/>
              <w:rPr>
                <w:rFonts w:ascii="Arial Narrow" w:hAnsi="Arial Narrow"/>
                <w:color w:val="0000FF"/>
                <w:sz w:val="18"/>
                <w:szCs w:val="18"/>
                <w:u w:val="single"/>
              </w:rPr>
            </w:pPr>
            <w:hyperlink r:id="rId463" w:tooltip="document link" w:history="1">
              <w:r w:rsidR="00A56EE9" w:rsidRPr="00E70A11">
                <w:rPr>
                  <w:rFonts w:ascii="Arial Narrow" w:hAnsi="Arial Narrow"/>
                  <w:sz w:val="18"/>
                  <w:szCs w:val="18"/>
                </w:rPr>
                <w:t>https://preservethewonder.initiatives.qld.gov.au/</w:t>
              </w:r>
            </w:hyperlink>
            <w:r w:rsidR="00A56EE9" w:rsidRPr="00E70A11">
              <w:rPr>
                <w:rFonts w:ascii="Arial Narrow" w:hAnsi="Arial Narrow"/>
                <w:color w:val="0000FF"/>
                <w:sz w:val="18"/>
                <w:szCs w:val="18"/>
                <w:u w:val="single"/>
              </w:rPr>
              <w:t xml:space="preserve"> </w:t>
            </w:r>
          </w:p>
          <w:p w14:paraId="5761EBA1" w14:textId="6C250F16"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64" w:tooltip="document link" w:history="1">
              <w:r w:rsidR="00A56EE9" w:rsidRPr="00E70A11">
                <w:rPr>
                  <w:rFonts w:ascii="Arial Narrow" w:hAnsi="Arial Narrow"/>
                  <w:sz w:val="18"/>
                  <w:szCs w:val="18"/>
                </w:rPr>
                <w:t>https://www.smartcane.com.au/home.aspx</w:t>
              </w:r>
            </w:hyperlink>
            <w:r w:rsidR="00242993">
              <w:rPr>
                <w:rFonts w:ascii="Arial Narrow" w:hAnsi="Arial Narrow"/>
                <w:sz w:val="18"/>
                <w:szCs w:val="18"/>
              </w:rPr>
              <w:t xml:space="preserve"> </w:t>
            </w:r>
            <w:hyperlink r:id="rId465" w:tooltip="document link" w:history="1">
              <w:r w:rsidR="00A56EE9" w:rsidRPr="00E70A11">
                <w:rPr>
                  <w:rFonts w:ascii="Arial Narrow" w:hAnsi="Arial Narrow"/>
                  <w:sz w:val="18"/>
                  <w:szCs w:val="18"/>
                </w:rPr>
                <w:t>https://www.cms.bmpgrazing.com.au/</w:t>
              </w:r>
            </w:hyperlink>
            <w:r w:rsidR="00A56EE9" w:rsidRPr="00E70A11">
              <w:rPr>
                <w:rFonts w:ascii="Arial Narrow" w:hAnsi="Arial Narrow"/>
                <w:sz w:val="18"/>
                <w:szCs w:val="18"/>
              </w:rPr>
              <w:t xml:space="preserve"> </w:t>
            </w:r>
          </w:p>
          <w:p w14:paraId="5761EBA2" w14:textId="06CA99A9"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66" w:tooltip="document link" w:history="1">
              <w:r w:rsidR="00A56EE9" w:rsidRPr="00E70A11">
                <w:rPr>
                  <w:rFonts w:ascii="Arial Narrow" w:hAnsi="Arial Narrow"/>
                  <w:sz w:val="18"/>
                  <w:szCs w:val="18"/>
                </w:rPr>
                <w:t>https://abgc.org.au/projects-resources/best-management-practices-bmp/</w:t>
              </w:r>
            </w:hyperlink>
          </w:p>
          <w:p w14:paraId="5761EBA3" w14:textId="77777777" w:rsidR="00A56EE9" w:rsidRPr="00E70A11" w:rsidRDefault="00A56EE9" w:rsidP="00BB6AD5">
            <w:pPr>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BA4"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BA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BAD"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A7" w14:textId="77777777" w:rsidR="00A56EE9" w:rsidRPr="00E70A11" w:rsidRDefault="00A56EE9" w:rsidP="00BB6AD5">
            <w:pPr>
              <w:pStyle w:val="Tablebulletlist"/>
              <w:rPr>
                <w:rStyle w:val="BookTitle"/>
              </w:rPr>
            </w:pPr>
            <w:r w:rsidRPr="00E70A11">
              <w:rPr>
                <w:rStyle w:val="BookTitle"/>
              </w:rPr>
              <w:t>OUTCOMES</w:t>
            </w:r>
          </w:p>
        </w:tc>
        <w:tc>
          <w:tcPr>
            <w:tcW w:w="84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A8" w14:textId="77777777" w:rsidR="00A56EE9" w:rsidRPr="00E70A11" w:rsidRDefault="00A56EE9" w:rsidP="00BB6AD5">
            <w:pPr>
              <w:pStyle w:val="Tablebulletlist"/>
              <w:rPr>
                <w:rStyle w:val="BookTitle"/>
              </w:rPr>
            </w:pPr>
          </w:p>
        </w:tc>
        <w:tc>
          <w:tcPr>
            <w:tcW w:w="39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A9" w14:textId="77777777" w:rsidR="00A56EE9" w:rsidRPr="00E70A11" w:rsidRDefault="00A56EE9" w:rsidP="00BB6AD5">
            <w:pPr>
              <w:pStyle w:val="ListParagraph"/>
              <w:ind w:left="360"/>
              <w:rPr>
                <w:rStyle w:val="BookTitle"/>
                <w:rFonts w:ascii="Arial Narrow" w:hAnsi="Arial Narrow"/>
                <w:sz w:val="18"/>
                <w:szCs w:val="18"/>
              </w:rPr>
            </w:pPr>
          </w:p>
        </w:tc>
        <w:tc>
          <w:tcPr>
            <w:tcW w:w="438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AA"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AB"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BAC" w14:textId="77777777" w:rsidR="00A56EE9" w:rsidRPr="00E70A11" w:rsidRDefault="00A56EE9" w:rsidP="00BB6AD5">
            <w:pPr>
              <w:pStyle w:val="Tablebulletlist"/>
              <w:rPr>
                <w:rStyle w:val="BookTitle"/>
              </w:rPr>
            </w:pPr>
          </w:p>
        </w:tc>
      </w:tr>
      <w:tr w:rsidR="00A56EE9" w:rsidRPr="00E70A11" w14:paraId="5761EBBB"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AE"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community benefits of the environment and moving towards the attainment of the desired outcomes.</w:t>
            </w:r>
          </w:p>
        </w:tc>
        <w:tc>
          <w:tcPr>
            <w:tcW w:w="840" w:type="dxa"/>
            <w:tcBorders>
              <w:top w:val="single" w:sz="4" w:space="0" w:color="auto"/>
              <w:left w:val="single" w:sz="4" w:space="0" w:color="auto"/>
              <w:bottom w:val="single" w:sz="4" w:space="0" w:color="auto"/>
              <w:right w:val="single" w:sz="4" w:space="0" w:color="auto"/>
            </w:tcBorders>
          </w:tcPr>
          <w:p w14:paraId="5761EBAF"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B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GBRMPA’s recognition of the range of community benefits is shown through the Recreational Management Strategy, the Reef Guardian programs, Reef HQ, High Standard Tourism program, and support for the tourism industry.</w:t>
            </w:r>
          </w:p>
          <w:p w14:paraId="5761EBB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Reef 2050 Plan’s economic benefits theme focuses on improving and maintaining the ecological, social and economic sustainability of Reef-dependent and Reef-associated industries.</w:t>
            </w:r>
          </w:p>
          <w:p w14:paraId="5761EBB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 Reef 2050 Water Quality Improvement Plan also considers human dimensions </w:t>
            </w:r>
          </w:p>
        </w:tc>
        <w:tc>
          <w:tcPr>
            <w:tcW w:w="4383" w:type="dxa"/>
            <w:tcBorders>
              <w:top w:val="single" w:sz="4" w:space="0" w:color="auto"/>
              <w:left w:val="single" w:sz="4" w:space="0" w:color="auto"/>
              <w:bottom w:val="single" w:sz="4" w:space="0" w:color="auto"/>
              <w:right w:val="single" w:sz="4" w:space="0" w:color="auto"/>
            </w:tcBorders>
          </w:tcPr>
          <w:p w14:paraId="5761EBB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Recreational Management Strategy</w:t>
            </w:r>
          </w:p>
          <w:p w14:paraId="5761EBB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Reef Guardian programs</w:t>
            </w:r>
          </w:p>
          <w:p w14:paraId="5761EBB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HQ</w:t>
            </w:r>
          </w:p>
          <w:p w14:paraId="5761EBB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High Standard Tourism program</w:t>
            </w:r>
          </w:p>
          <w:p w14:paraId="5761EBB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Plan</w:t>
            </w:r>
          </w:p>
          <w:p w14:paraId="5761EBB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Reef 2050 Water Quality Improvement Plan</w:t>
            </w:r>
          </w:p>
        </w:tc>
        <w:tc>
          <w:tcPr>
            <w:tcW w:w="1090" w:type="dxa"/>
            <w:tcBorders>
              <w:top w:val="single" w:sz="4" w:space="0" w:color="auto"/>
              <w:left w:val="single" w:sz="4" w:space="0" w:color="auto"/>
              <w:bottom w:val="single" w:sz="4" w:space="0" w:color="auto"/>
              <w:right w:val="single" w:sz="4" w:space="0" w:color="auto"/>
            </w:tcBorders>
          </w:tcPr>
          <w:p w14:paraId="5761EBB9"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BBA"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BC4"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BC"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community benefits of the environment are on track to ensure the values of the Great Barrier Reef are protected (refer CO1)</w:t>
            </w:r>
          </w:p>
        </w:tc>
        <w:tc>
          <w:tcPr>
            <w:tcW w:w="840" w:type="dxa"/>
            <w:tcBorders>
              <w:top w:val="single" w:sz="4" w:space="0" w:color="auto"/>
              <w:left w:val="single" w:sz="4" w:space="0" w:color="auto"/>
              <w:bottom w:val="single" w:sz="4" w:space="0" w:color="auto"/>
              <w:right w:val="single" w:sz="4" w:space="0" w:color="auto"/>
            </w:tcBorders>
          </w:tcPr>
          <w:p w14:paraId="5761EBBD"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B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Programs such as the Reef HQ aquarium, the Reef Guardians and High Standard Tourism program</w:t>
            </w:r>
            <w:r w:rsidRPr="00E70A11" w:rsidDel="008E466D">
              <w:rPr>
                <w:rFonts w:ascii="Arial Narrow" w:hAnsi="Arial Narrow"/>
                <w:sz w:val="18"/>
                <w:szCs w:val="18"/>
              </w:rPr>
              <w:t xml:space="preserve"> </w:t>
            </w:r>
            <w:r w:rsidRPr="00E70A11">
              <w:rPr>
                <w:rFonts w:ascii="Arial Narrow" w:hAnsi="Arial Narrow"/>
                <w:sz w:val="18"/>
                <w:szCs w:val="18"/>
              </w:rPr>
              <w:t>engender positive community attitudes to protect the values of the reef</w:t>
            </w:r>
          </w:p>
        </w:tc>
        <w:tc>
          <w:tcPr>
            <w:tcW w:w="4383" w:type="dxa"/>
            <w:tcBorders>
              <w:top w:val="single" w:sz="4" w:space="0" w:color="auto"/>
              <w:left w:val="single" w:sz="4" w:space="0" w:color="auto"/>
              <w:bottom w:val="single" w:sz="4" w:space="0" w:color="auto"/>
              <w:right w:val="single" w:sz="4" w:space="0" w:color="auto"/>
            </w:tcBorders>
          </w:tcPr>
          <w:p w14:paraId="5761EBB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HQ aquarium</w:t>
            </w:r>
          </w:p>
          <w:p w14:paraId="5761EBC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Reef Guardians </w:t>
            </w:r>
          </w:p>
          <w:p w14:paraId="5761EBC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High Standard Tourism program</w:t>
            </w:r>
          </w:p>
        </w:tc>
        <w:tc>
          <w:tcPr>
            <w:tcW w:w="1090" w:type="dxa"/>
            <w:tcBorders>
              <w:top w:val="single" w:sz="4" w:space="0" w:color="auto"/>
              <w:left w:val="single" w:sz="4" w:space="0" w:color="auto"/>
              <w:bottom w:val="single" w:sz="4" w:space="0" w:color="auto"/>
              <w:right w:val="single" w:sz="4" w:space="0" w:color="auto"/>
            </w:tcBorders>
          </w:tcPr>
          <w:p w14:paraId="5761EBC2"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BC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BCE"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C5"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community benefits of the environment are reducing the major risks and the threats to the Great Barrier Reef</w:t>
            </w:r>
          </w:p>
        </w:tc>
        <w:tc>
          <w:tcPr>
            <w:tcW w:w="840" w:type="dxa"/>
            <w:tcBorders>
              <w:top w:val="single" w:sz="4" w:space="0" w:color="auto"/>
              <w:left w:val="single" w:sz="4" w:space="0" w:color="auto"/>
              <w:bottom w:val="single" w:sz="4" w:space="0" w:color="auto"/>
              <w:right w:val="single" w:sz="4" w:space="0" w:color="auto"/>
            </w:tcBorders>
          </w:tcPr>
          <w:p w14:paraId="5761EBC6"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C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Positive community attitudes gained through the community engagement programs can reduce risks of negative decisions being made. This assists in reducing there major risks and threats to the Reef.</w:t>
            </w:r>
          </w:p>
          <w:p w14:paraId="5761EBC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SELTMP 2017 survey includes new questions of community perceptions of water quality and inshore environments</w:t>
            </w:r>
          </w:p>
          <w:p w14:paraId="5761EBC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Prioritisation of Reef Trust investments involves a collaborative approach with scientific institutions, community and management agencies to ensure a robust scientific and economic process to identify the high priority actions to reduce major threats to the Reef.</w:t>
            </w:r>
          </w:p>
        </w:tc>
        <w:tc>
          <w:tcPr>
            <w:tcW w:w="4383" w:type="dxa"/>
            <w:tcBorders>
              <w:top w:val="single" w:sz="4" w:space="0" w:color="auto"/>
              <w:left w:val="single" w:sz="4" w:space="0" w:color="auto"/>
              <w:bottom w:val="single" w:sz="4" w:space="0" w:color="auto"/>
              <w:right w:val="single" w:sz="4" w:space="0" w:color="auto"/>
            </w:tcBorders>
          </w:tcPr>
          <w:p w14:paraId="5761EBC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BCB"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BCC"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BCD"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EBD8"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CF"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community benefits of the environment is demonstrably environmentally sustainable</w:t>
            </w:r>
          </w:p>
        </w:tc>
        <w:tc>
          <w:tcPr>
            <w:tcW w:w="840" w:type="dxa"/>
            <w:tcBorders>
              <w:top w:val="single" w:sz="4" w:space="0" w:color="auto"/>
              <w:left w:val="single" w:sz="4" w:space="0" w:color="auto"/>
              <w:bottom w:val="single" w:sz="4" w:space="0" w:color="auto"/>
              <w:right w:val="single" w:sz="4" w:space="0" w:color="auto"/>
            </w:tcBorders>
          </w:tcPr>
          <w:p w14:paraId="5761EBD0"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BD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health of the Great Barrier Reef is declining, and management is not keeping pace with the cumulative impacts that are acting on the system. The causes of decline are known and the potential for restoration is there provided we avoid a ‘business as usual’ approach. Without urgent and effective additional management intervention the Region’s biodiversity values are likely to continue to deteriorate. Given community benefits are intricately linked with the health of the reef and its ecosystem processes (e.g. fishing, traditional values, health and wellbeing), it is likely that the condition of community benefits is also declining.</w:t>
            </w:r>
          </w:p>
        </w:tc>
        <w:tc>
          <w:tcPr>
            <w:tcW w:w="4383" w:type="dxa"/>
            <w:tcBorders>
              <w:top w:val="single" w:sz="4" w:space="0" w:color="auto"/>
              <w:left w:val="single" w:sz="4" w:space="0" w:color="auto"/>
              <w:bottom w:val="single" w:sz="4" w:space="0" w:color="auto"/>
              <w:right w:val="single" w:sz="4" w:space="0" w:color="auto"/>
            </w:tcBorders>
          </w:tcPr>
          <w:p w14:paraId="5761EBD2"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467" w:history="1">
              <w:r w:rsidR="00A56EE9" w:rsidRPr="00E70A11">
                <w:rPr>
                  <w:rStyle w:val="Hyperlink"/>
                  <w:rFonts w:ascii="Arial Narrow" w:hAnsi="Arial Narrow"/>
                  <w:sz w:val="18"/>
                  <w:szCs w:val="18"/>
                  <w:lang w:val="en"/>
                </w:rPr>
                <w:t>Deloitte Access Economics Report</w:t>
              </w:r>
            </w:hyperlink>
            <w:r w:rsidR="00A56EE9" w:rsidRPr="00E70A11">
              <w:rPr>
                <w:rFonts w:ascii="Arial Narrow" w:hAnsi="Arial Narrow"/>
                <w:sz w:val="18"/>
                <w:szCs w:val="18"/>
                <w:lang w:val="en"/>
              </w:rPr>
              <w:t xml:space="preserve"> 2017 – At what price? The economic, social and icon value of the Great Barrier Reef</w:t>
            </w:r>
          </w:p>
          <w:p w14:paraId="5761EBD3"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lang w:val="en"/>
              </w:rPr>
              <w:t xml:space="preserve">Deloitte Access Economics Report </w:t>
            </w:r>
            <w:hyperlink r:id="rId468" w:tooltip="Economic contribution of the Great Barrier Reef March 2013" w:history="1">
              <w:r w:rsidRPr="00E70A11">
                <w:rPr>
                  <w:rStyle w:val="Hyperlink"/>
                  <w:rFonts w:ascii="Arial Narrow" w:hAnsi="Arial Narrow"/>
                  <w:sz w:val="18"/>
                  <w:szCs w:val="18"/>
                  <w:lang w:val="en"/>
                </w:rPr>
                <w:t>Economic contribution of the Great Barrier Reef</w:t>
              </w:r>
            </w:hyperlink>
          </w:p>
          <w:p w14:paraId="5761EBD4"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69" w:history="1">
              <w:r w:rsidR="00A56EE9" w:rsidRPr="00E70A11">
                <w:rPr>
                  <w:rStyle w:val="Hyperlink"/>
                  <w:rFonts w:ascii="Arial Narrow" w:hAnsi="Arial Narrow"/>
                  <w:sz w:val="18"/>
                  <w:szCs w:val="18"/>
                </w:rPr>
                <w:t>Experimental Environmental-Economic Accounts for the Great Barrier Reef, 2017</w:t>
              </w:r>
            </w:hyperlink>
          </w:p>
          <w:p w14:paraId="5761EBD5"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BD6"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BD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BE4"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D9"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community benefits of the environment is demonstrably economically sustainable</w:t>
            </w:r>
          </w:p>
        </w:tc>
        <w:tc>
          <w:tcPr>
            <w:tcW w:w="840" w:type="dxa"/>
            <w:tcBorders>
              <w:top w:val="single" w:sz="4" w:space="0" w:color="auto"/>
              <w:left w:val="single" w:sz="4" w:space="0" w:color="auto"/>
              <w:bottom w:val="single" w:sz="4" w:space="0" w:color="auto"/>
              <w:right w:val="single" w:sz="4" w:space="0" w:color="auto"/>
            </w:tcBorders>
          </w:tcPr>
          <w:p w14:paraId="5761EBDA" w14:textId="77777777" w:rsidR="00A56EE9" w:rsidRPr="00E70A11" w:rsidRDefault="00A56EE9" w:rsidP="00BB6AD5">
            <w:pPr>
              <w:pStyle w:val="Tablebulletlist"/>
              <w:rPr>
                <w:rStyle w:val="BookTitle"/>
              </w:rPr>
            </w:pPr>
            <w:r w:rsidRPr="00E70A11">
              <w:rPr>
                <w:rStyle w:val="BookTitle"/>
              </w:rPr>
              <w:t>4</w:t>
            </w:r>
          </w:p>
        </w:tc>
        <w:tc>
          <w:tcPr>
            <w:tcW w:w="3999" w:type="dxa"/>
            <w:tcBorders>
              <w:top w:val="single" w:sz="4" w:space="0" w:color="auto"/>
              <w:left w:val="single" w:sz="4" w:space="0" w:color="auto"/>
              <w:bottom w:val="single" w:sz="4" w:space="0" w:color="auto"/>
              <w:right w:val="single" w:sz="4" w:space="0" w:color="auto"/>
            </w:tcBorders>
          </w:tcPr>
          <w:p w14:paraId="5761EBD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Economic sustainability is shown through reports such as Deloitte Access Economics</w:t>
            </w:r>
          </w:p>
          <w:p w14:paraId="5761EBD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East Coast Otter Trawl Fishery</w:t>
            </w:r>
          </w:p>
          <w:p w14:paraId="5761EBD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SELTMP 2017 report to provide new insights into recreational Reef uses, tourists, tourism operators and commercial fishers.</w:t>
            </w:r>
          </w:p>
        </w:tc>
        <w:tc>
          <w:tcPr>
            <w:tcW w:w="4383" w:type="dxa"/>
            <w:tcBorders>
              <w:top w:val="single" w:sz="4" w:space="0" w:color="auto"/>
              <w:left w:val="single" w:sz="4" w:space="0" w:color="auto"/>
              <w:bottom w:val="single" w:sz="4" w:space="0" w:color="auto"/>
              <w:right w:val="single" w:sz="4" w:space="0" w:color="auto"/>
            </w:tcBorders>
          </w:tcPr>
          <w:p w14:paraId="5761EBDE"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470" w:history="1">
              <w:r w:rsidR="00A56EE9" w:rsidRPr="00E70A11">
                <w:rPr>
                  <w:rStyle w:val="Hyperlink"/>
                  <w:rFonts w:ascii="Arial Narrow" w:hAnsi="Arial Narrow"/>
                  <w:sz w:val="18"/>
                  <w:szCs w:val="18"/>
                  <w:lang w:val="en"/>
                </w:rPr>
                <w:t>Deloitte Access Economics Report</w:t>
              </w:r>
            </w:hyperlink>
            <w:r w:rsidR="00A56EE9" w:rsidRPr="00E70A11">
              <w:rPr>
                <w:rFonts w:ascii="Arial Narrow" w:hAnsi="Arial Narrow"/>
                <w:sz w:val="18"/>
                <w:szCs w:val="18"/>
                <w:lang w:val="en"/>
              </w:rPr>
              <w:t xml:space="preserve"> 2017 – At what price? The economic, social and icon value of the Great Barrier Reef</w:t>
            </w:r>
          </w:p>
          <w:p w14:paraId="5761EBDF"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lang w:val="en"/>
              </w:rPr>
              <w:t xml:space="preserve">Deloitte Access Economics Report </w:t>
            </w:r>
            <w:hyperlink r:id="rId471" w:tooltip="Economic contribution of the Great Barrier Reef March 2013" w:history="1">
              <w:r w:rsidRPr="00E70A11">
                <w:rPr>
                  <w:rStyle w:val="Hyperlink"/>
                  <w:rFonts w:ascii="Arial Narrow" w:hAnsi="Arial Narrow"/>
                  <w:sz w:val="18"/>
                  <w:szCs w:val="18"/>
                  <w:lang w:val="en"/>
                </w:rPr>
                <w:t>Economic contribution of the Great Barrier Reef</w:t>
              </w:r>
            </w:hyperlink>
          </w:p>
          <w:p w14:paraId="5761EBE0"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472" w:history="1">
              <w:r w:rsidR="00A56EE9" w:rsidRPr="00E70A11">
                <w:rPr>
                  <w:rStyle w:val="Hyperlink"/>
                  <w:rFonts w:ascii="Arial Narrow" w:hAnsi="Arial Narrow"/>
                  <w:sz w:val="18"/>
                  <w:szCs w:val="18"/>
                </w:rPr>
                <w:t>Experimental Environmental-Economic Accounts for the Great Barrier Reef, 2017</w:t>
              </w:r>
            </w:hyperlink>
          </w:p>
          <w:p w14:paraId="5761EBE1"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tc>
        <w:tc>
          <w:tcPr>
            <w:tcW w:w="1090" w:type="dxa"/>
            <w:tcBorders>
              <w:top w:val="single" w:sz="4" w:space="0" w:color="auto"/>
              <w:left w:val="single" w:sz="4" w:space="0" w:color="auto"/>
              <w:bottom w:val="single" w:sz="4" w:space="0" w:color="auto"/>
              <w:right w:val="single" w:sz="4" w:space="0" w:color="auto"/>
            </w:tcBorders>
          </w:tcPr>
          <w:p w14:paraId="5761EBE2" w14:textId="77777777" w:rsidR="00A56EE9" w:rsidRPr="00E70A11" w:rsidRDefault="00A56EE9" w:rsidP="00BB6AD5">
            <w:pPr>
              <w:pStyle w:val="Tablebulletlist"/>
              <w:rPr>
                <w:rStyle w:val="BookTitle"/>
              </w:rPr>
            </w:pPr>
            <w:r w:rsidRPr="00E70A11">
              <w:rPr>
                <w:rStyle w:val="BookTitle"/>
              </w:rPr>
              <w:t>Limited</w:t>
            </w:r>
          </w:p>
        </w:tc>
        <w:tc>
          <w:tcPr>
            <w:tcW w:w="865" w:type="dxa"/>
            <w:tcBorders>
              <w:top w:val="single" w:sz="4" w:space="0" w:color="auto"/>
              <w:left w:val="single" w:sz="4" w:space="0" w:color="auto"/>
              <w:bottom w:val="single" w:sz="4" w:space="0" w:color="auto"/>
              <w:right w:val="single" w:sz="4" w:space="0" w:color="auto"/>
            </w:tcBorders>
          </w:tcPr>
          <w:p w14:paraId="5761EBE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BFD"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E5"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community benefits of the environment is demonstrably socially sustainable understanding and/or enjoyment</w:t>
            </w:r>
          </w:p>
        </w:tc>
        <w:tc>
          <w:tcPr>
            <w:tcW w:w="840" w:type="dxa"/>
            <w:tcBorders>
              <w:top w:val="single" w:sz="4" w:space="0" w:color="auto"/>
              <w:left w:val="single" w:sz="4" w:space="0" w:color="auto"/>
              <w:bottom w:val="single" w:sz="4" w:space="0" w:color="auto"/>
              <w:right w:val="single" w:sz="4" w:space="0" w:color="auto"/>
            </w:tcBorders>
          </w:tcPr>
          <w:p w14:paraId="5761EBE6" w14:textId="77777777" w:rsidR="00A56EE9" w:rsidRPr="00E70A11" w:rsidRDefault="00A56EE9" w:rsidP="00BB6AD5">
            <w:pPr>
              <w:pStyle w:val="Tablebulletlist"/>
              <w:rPr>
                <w:rStyle w:val="BookTitle"/>
              </w:rPr>
            </w:pPr>
            <w:r w:rsidRPr="00E70A11">
              <w:rPr>
                <w:rStyle w:val="BookTitle"/>
              </w:rPr>
              <w:t>4</w:t>
            </w:r>
          </w:p>
        </w:tc>
        <w:tc>
          <w:tcPr>
            <w:tcW w:w="3999" w:type="dxa"/>
            <w:tcBorders>
              <w:top w:val="single" w:sz="4" w:space="0" w:color="auto"/>
              <w:left w:val="single" w:sz="4" w:space="0" w:color="auto"/>
              <w:bottom w:val="single" w:sz="4" w:space="0" w:color="auto"/>
              <w:right w:val="single" w:sz="4" w:space="0" w:color="auto"/>
            </w:tcBorders>
          </w:tcPr>
          <w:p w14:paraId="5761EBE7"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US"/>
              </w:rPr>
            </w:pPr>
            <w:r w:rsidRPr="00E70A11">
              <w:rPr>
                <w:rFonts w:ascii="Arial Narrow" w:hAnsi="Arial Narrow"/>
                <w:sz w:val="18"/>
                <w:szCs w:val="18"/>
                <w:lang w:val="en-US"/>
              </w:rPr>
              <w:t>Surveys show 80% of Australians and 70% of Queensland visitors satisfied with their Great Barrier Reef experience</w:t>
            </w:r>
          </w:p>
          <w:p w14:paraId="5761EBE8"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US"/>
              </w:rPr>
            </w:pPr>
            <w:r w:rsidRPr="00E70A11">
              <w:rPr>
                <w:rFonts w:ascii="Arial Narrow" w:hAnsi="Arial Narrow"/>
                <w:sz w:val="18"/>
                <w:szCs w:val="18"/>
                <w:lang w:val="en-US"/>
              </w:rPr>
              <w:t>Uptake of Reef Guardian program within community is indicative of community interest in and concern for the GBR</w:t>
            </w:r>
          </w:p>
          <w:p w14:paraId="5761EBE9"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US"/>
              </w:rPr>
            </w:pPr>
            <w:r w:rsidRPr="00E70A11">
              <w:rPr>
                <w:rFonts w:ascii="Arial Narrow" w:hAnsi="Arial Narrow"/>
                <w:sz w:val="18"/>
                <w:szCs w:val="18"/>
                <w:lang w:val="en-US"/>
              </w:rPr>
              <w:t>A significant move forward since Outlook 2009 has been a stronger focus on embedding the Authority’s key communication messages as part of exhibition development in the GBR Aquarium.</w:t>
            </w:r>
            <w:r>
              <w:rPr>
                <w:rFonts w:ascii="Arial Narrow" w:hAnsi="Arial Narrow"/>
                <w:sz w:val="18"/>
                <w:szCs w:val="18"/>
                <w:lang w:val="en-US"/>
              </w:rPr>
              <w:t xml:space="preserve"> </w:t>
            </w:r>
            <w:r w:rsidRPr="00E70A11">
              <w:rPr>
                <w:rFonts w:ascii="Arial Narrow" w:hAnsi="Arial Narrow"/>
                <w:sz w:val="18"/>
                <w:szCs w:val="18"/>
                <w:lang w:val="en-US"/>
              </w:rPr>
              <w:t>This provides a community engagement / education opportunity that helps to distil often quite complex and scientific based information into thematic formats that are more easily understood</w:t>
            </w:r>
          </w:p>
          <w:p w14:paraId="5761EBEA"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bCs/>
                <w:sz w:val="18"/>
                <w:szCs w:val="18"/>
              </w:rPr>
              <w:t>The following show contributions to personal connection, enjoyment and understanding:</w:t>
            </w:r>
          </w:p>
          <w:p w14:paraId="5761EBEB" w14:textId="77777777" w:rsidR="00A56EE9" w:rsidRPr="00E70A11" w:rsidRDefault="00A56EE9" w:rsidP="00A11869">
            <w:pPr>
              <w:pStyle w:val="ListParagraph"/>
              <w:numPr>
                <w:ilvl w:val="1"/>
                <w:numId w:val="24"/>
              </w:numPr>
              <w:spacing w:after="200" w:line="276" w:lineRule="auto"/>
              <w:ind w:left="593"/>
              <w:rPr>
                <w:rFonts w:ascii="Arial Narrow" w:hAnsi="Arial Narrow"/>
                <w:bCs/>
                <w:sz w:val="18"/>
                <w:szCs w:val="18"/>
              </w:rPr>
            </w:pPr>
            <w:r w:rsidRPr="00E70A11">
              <w:rPr>
                <w:rFonts w:ascii="Arial Narrow" w:hAnsi="Arial Narrow"/>
                <w:bCs/>
                <w:sz w:val="18"/>
                <w:szCs w:val="18"/>
              </w:rPr>
              <w:t xml:space="preserve">Reef HQ </w:t>
            </w:r>
          </w:p>
          <w:p w14:paraId="5761EBEC" w14:textId="77777777" w:rsidR="00A56EE9" w:rsidRPr="00E70A11" w:rsidRDefault="00A56EE9" w:rsidP="00A11869">
            <w:pPr>
              <w:pStyle w:val="ListParagraph"/>
              <w:numPr>
                <w:ilvl w:val="1"/>
                <w:numId w:val="24"/>
              </w:numPr>
              <w:spacing w:after="200" w:line="276" w:lineRule="auto"/>
              <w:ind w:left="593"/>
              <w:rPr>
                <w:rFonts w:ascii="Arial Narrow" w:hAnsi="Arial Narrow"/>
                <w:bCs/>
                <w:sz w:val="18"/>
                <w:szCs w:val="18"/>
              </w:rPr>
            </w:pPr>
            <w:r w:rsidRPr="00E70A11">
              <w:rPr>
                <w:rFonts w:ascii="Arial Narrow" w:hAnsi="Arial Narrow"/>
                <w:bCs/>
                <w:sz w:val="18"/>
                <w:szCs w:val="18"/>
              </w:rPr>
              <w:t xml:space="preserve">Reef Videoconferencing Outreach: </w:t>
            </w:r>
            <w:r w:rsidRPr="00E70A11">
              <w:rPr>
                <w:rFonts w:ascii="Arial Narrow" w:hAnsi="Arial Narrow"/>
                <w:sz w:val="18"/>
                <w:szCs w:val="18"/>
              </w:rPr>
              <w:t xml:space="preserve">Reef Video conferencing is breaking down geographical barriers to the latest in reef education. </w:t>
            </w:r>
          </w:p>
          <w:p w14:paraId="5761EBED" w14:textId="77777777" w:rsidR="00A56EE9" w:rsidRPr="00E70A11" w:rsidRDefault="00A56EE9" w:rsidP="00A11869">
            <w:pPr>
              <w:pStyle w:val="ListParagraph"/>
              <w:numPr>
                <w:ilvl w:val="1"/>
                <w:numId w:val="24"/>
              </w:numPr>
              <w:spacing w:after="200" w:line="276" w:lineRule="auto"/>
              <w:ind w:left="593"/>
              <w:rPr>
                <w:rFonts w:ascii="Arial Narrow" w:hAnsi="Arial Narrow"/>
                <w:bCs/>
                <w:sz w:val="18"/>
                <w:szCs w:val="18"/>
              </w:rPr>
            </w:pPr>
            <w:r w:rsidRPr="00E70A11">
              <w:rPr>
                <w:rFonts w:ascii="Arial Narrow" w:hAnsi="Arial Narrow"/>
                <w:bCs/>
                <w:sz w:val="18"/>
                <w:szCs w:val="18"/>
              </w:rPr>
              <w:t>Volunteer Program</w:t>
            </w:r>
          </w:p>
          <w:p w14:paraId="5761EBEE" w14:textId="77777777" w:rsidR="00A56EE9" w:rsidRPr="00E70A11" w:rsidRDefault="00A56EE9" w:rsidP="00A11869">
            <w:pPr>
              <w:pStyle w:val="ListParagraph"/>
              <w:numPr>
                <w:ilvl w:val="1"/>
                <w:numId w:val="24"/>
              </w:numPr>
              <w:spacing w:after="200" w:line="276" w:lineRule="auto"/>
              <w:ind w:left="593"/>
              <w:rPr>
                <w:rFonts w:ascii="Arial Narrow" w:hAnsi="Arial Narrow"/>
                <w:bCs/>
                <w:sz w:val="18"/>
                <w:szCs w:val="18"/>
              </w:rPr>
            </w:pPr>
            <w:r w:rsidRPr="00E70A11">
              <w:rPr>
                <w:rFonts w:ascii="Arial Narrow" w:hAnsi="Arial Narrow"/>
                <w:bCs/>
                <w:sz w:val="18"/>
                <w:szCs w:val="18"/>
              </w:rPr>
              <w:t>Interpretive services</w:t>
            </w:r>
          </w:p>
          <w:p w14:paraId="5761EBEF" w14:textId="77777777" w:rsidR="00A56EE9" w:rsidRPr="00E70A11" w:rsidRDefault="00A56EE9" w:rsidP="00A11869">
            <w:pPr>
              <w:pStyle w:val="ListParagraph"/>
              <w:numPr>
                <w:ilvl w:val="1"/>
                <w:numId w:val="24"/>
              </w:numPr>
              <w:spacing w:after="200" w:line="276" w:lineRule="auto"/>
              <w:ind w:left="593"/>
              <w:rPr>
                <w:rFonts w:ascii="Arial Narrow" w:hAnsi="Arial Narrow"/>
                <w:bCs/>
                <w:sz w:val="18"/>
                <w:szCs w:val="18"/>
              </w:rPr>
            </w:pPr>
            <w:r w:rsidRPr="00E70A11">
              <w:rPr>
                <w:rFonts w:ascii="Arial Narrow" w:hAnsi="Arial Narrow"/>
                <w:bCs/>
                <w:sz w:val="18"/>
                <w:szCs w:val="18"/>
              </w:rPr>
              <w:t xml:space="preserve">ReefED Website </w:t>
            </w:r>
          </w:p>
          <w:p w14:paraId="5761EBF0" w14:textId="77777777" w:rsidR="00A56EE9" w:rsidRPr="00E70A11" w:rsidRDefault="00A56EE9" w:rsidP="00A11869">
            <w:pPr>
              <w:pStyle w:val="ListParagraph"/>
              <w:numPr>
                <w:ilvl w:val="1"/>
                <w:numId w:val="24"/>
              </w:numPr>
              <w:spacing w:after="200" w:line="276" w:lineRule="auto"/>
              <w:ind w:left="593"/>
              <w:rPr>
                <w:rFonts w:ascii="Arial Narrow" w:hAnsi="Arial Narrow"/>
                <w:sz w:val="18"/>
                <w:szCs w:val="18"/>
              </w:rPr>
            </w:pPr>
            <w:r w:rsidRPr="00E70A11">
              <w:rPr>
                <w:rFonts w:ascii="Arial Narrow" w:hAnsi="Arial Narrow"/>
                <w:bCs/>
                <w:sz w:val="18"/>
                <w:szCs w:val="18"/>
              </w:rPr>
              <w:t xml:space="preserve">Visiting the Reef website: </w:t>
            </w:r>
            <w:r w:rsidRPr="00E70A11">
              <w:rPr>
                <w:rFonts w:ascii="Arial Narrow" w:hAnsi="Arial Narrow"/>
                <w:sz w:val="18"/>
                <w:szCs w:val="18"/>
              </w:rPr>
              <w:t>information and tips on access and enhancing the reef experience</w:t>
            </w:r>
          </w:p>
          <w:p w14:paraId="5761EBF1" w14:textId="77777777" w:rsidR="00A56EE9" w:rsidRPr="00E70A11" w:rsidRDefault="00A56EE9" w:rsidP="00A11869">
            <w:pPr>
              <w:pStyle w:val="ListParagraph"/>
              <w:numPr>
                <w:ilvl w:val="0"/>
                <w:numId w:val="24"/>
              </w:numPr>
              <w:spacing w:after="200" w:line="276" w:lineRule="auto"/>
              <w:rPr>
                <w:rStyle w:val="BookTitle"/>
                <w:rFonts w:ascii="Arial Narrow" w:hAnsi="Arial Narrow"/>
                <w:bCs/>
                <w:sz w:val="18"/>
                <w:szCs w:val="18"/>
              </w:rPr>
            </w:pPr>
            <w:r w:rsidRPr="00E70A11">
              <w:rPr>
                <w:rFonts w:ascii="Arial Narrow" w:hAnsi="Arial Narrow"/>
                <w:bCs/>
                <w:sz w:val="18"/>
                <w:szCs w:val="18"/>
              </w:rPr>
              <w:t xml:space="preserve">QRWQP created a Preserve the Wonder campaign to share the beauty of the Reef with the general public and promote the good work that is being done to manage Reef water quality outcomes </w:t>
            </w:r>
          </w:p>
        </w:tc>
        <w:tc>
          <w:tcPr>
            <w:tcW w:w="4383" w:type="dxa"/>
            <w:tcBorders>
              <w:top w:val="single" w:sz="4" w:space="0" w:color="auto"/>
              <w:left w:val="single" w:sz="4" w:space="0" w:color="auto"/>
              <w:bottom w:val="single" w:sz="4" w:space="0" w:color="auto"/>
              <w:right w:val="single" w:sz="4" w:space="0" w:color="auto"/>
            </w:tcBorders>
          </w:tcPr>
          <w:p w14:paraId="5761EBF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Regional Offices/Industry Engagement Officer (Tourism)</w:t>
            </w:r>
          </w:p>
          <w:p w14:paraId="5761EBF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Accredited Research Institutions</w:t>
            </w:r>
          </w:p>
          <w:p w14:paraId="5761EBF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HQ Volunteer Program and Members Programs</w:t>
            </w:r>
          </w:p>
          <w:p w14:paraId="5761EBF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Public Information Unit </w:t>
            </w:r>
          </w:p>
          <w:p w14:paraId="5761EBF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Volunteer Program</w:t>
            </w:r>
          </w:p>
          <w:p w14:paraId="5761EBF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Interpretive services</w:t>
            </w:r>
          </w:p>
          <w:p w14:paraId="5761EBF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ReefED Website </w:t>
            </w:r>
          </w:p>
          <w:p w14:paraId="5761EBF9" w14:textId="151E9BFA"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73" w:tooltip="document link" w:history="1">
              <w:r w:rsidR="00A56EE9" w:rsidRPr="00E70A11">
                <w:rPr>
                  <w:rStyle w:val="Hyperlink"/>
                  <w:rFonts w:ascii="Arial Narrow" w:hAnsi="Arial Narrow"/>
                  <w:sz w:val="18"/>
                  <w:szCs w:val="18"/>
                </w:rPr>
                <w:t>https://preservethewonder.initiatives.qld.gov.au/</w:t>
              </w:r>
            </w:hyperlink>
            <w:r w:rsidR="00A56EE9" w:rsidRPr="00E70A11">
              <w:rPr>
                <w:rFonts w:ascii="Arial Narrow" w:hAnsi="Arial Narrow"/>
                <w:sz w:val="18"/>
                <w:szCs w:val="18"/>
              </w:rPr>
              <w:t xml:space="preserve"> </w:t>
            </w:r>
          </w:p>
          <w:p w14:paraId="5761EBFA" w14:textId="77777777" w:rsidR="00A56EE9" w:rsidRPr="00E70A11"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BFB"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BF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C0D" w14:textId="77777777" w:rsidTr="00BB6AD5">
        <w:trPr>
          <w:trHeight w:val="170"/>
        </w:trPr>
        <w:tc>
          <w:tcPr>
            <w:tcW w:w="3385" w:type="dxa"/>
            <w:tcBorders>
              <w:top w:val="single" w:sz="4" w:space="0" w:color="auto"/>
              <w:left w:val="single" w:sz="4" w:space="0" w:color="auto"/>
              <w:bottom w:val="single" w:sz="4" w:space="0" w:color="auto"/>
              <w:right w:val="single" w:sz="4" w:space="0" w:color="auto"/>
            </w:tcBorders>
          </w:tcPr>
          <w:p w14:paraId="5761EBFE"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community benefits of the environment </w:t>
            </w:r>
          </w:p>
        </w:tc>
        <w:tc>
          <w:tcPr>
            <w:tcW w:w="840" w:type="dxa"/>
            <w:tcBorders>
              <w:top w:val="single" w:sz="4" w:space="0" w:color="auto"/>
              <w:left w:val="single" w:sz="4" w:space="0" w:color="auto"/>
              <w:bottom w:val="single" w:sz="4" w:space="0" w:color="auto"/>
              <w:right w:val="single" w:sz="4" w:space="0" w:color="auto"/>
            </w:tcBorders>
          </w:tcPr>
          <w:p w14:paraId="5761EBFF" w14:textId="77777777" w:rsidR="00A56EE9" w:rsidRPr="00E70A11" w:rsidRDefault="00A56EE9" w:rsidP="00BB6AD5">
            <w:pPr>
              <w:pStyle w:val="Tablebulletlist"/>
              <w:rPr>
                <w:rStyle w:val="BookTitle"/>
              </w:rPr>
            </w:pPr>
            <w:r w:rsidRPr="00E70A11">
              <w:rPr>
                <w:rStyle w:val="BookTitle"/>
              </w:rPr>
              <w:t>3</w:t>
            </w:r>
          </w:p>
        </w:tc>
        <w:tc>
          <w:tcPr>
            <w:tcW w:w="3999" w:type="dxa"/>
            <w:tcBorders>
              <w:top w:val="single" w:sz="4" w:space="0" w:color="auto"/>
              <w:left w:val="single" w:sz="4" w:space="0" w:color="auto"/>
              <w:bottom w:val="single" w:sz="4" w:space="0" w:color="auto"/>
              <w:right w:val="single" w:sz="4" w:space="0" w:color="auto"/>
            </w:tcBorders>
          </w:tcPr>
          <w:p w14:paraId="5761EC0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 general, stakeholder engagement is one of the strongest aspects of the Authority’s management. The agency uses a suite of communication tools to reach the community and encourage stakeholders to become stewards of the Reef. Communication and Education officers liaise with stakeholders via all means (face to face, phone, social media, public workshops, etc)</w:t>
            </w:r>
          </w:p>
          <w:p w14:paraId="5761EC0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agricultural sector is taking positive steps to support progress towards the Reef water quality targets. Amongst others, the Smartcane Best Management Practice (BMP), Grazing BMP and Banana BMP programs for farm management are examples of strong partnerships involving the agricultural industry, natural resource management bodies, land managers and governments to improve productivity, profitability and sustainability of farm enterprises.</w:t>
            </w:r>
          </w:p>
        </w:tc>
        <w:tc>
          <w:tcPr>
            <w:tcW w:w="4383" w:type="dxa"/>
            <w:tcBorders>
              <w:top w:val="single" w:sz="4" w:space="0" w:color="auto"/>
              <w:left w:val="single" w:sz="4" w:space="0" w:color="auto"/>
              <w:bottom w:val="single" w:sz="4" w:space="0" w:color="auto"/>
              <w:right w:val="single" w:sz="4" w:space="0" w:color="auto"/>
            </w:tcBorders>
          </w:tcPr>
          <w:p w14:paraId="5761EC0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Guardians Programs</w:t>
            </w:r>
          </w:p>
          <w:p w14:paraId="5761EC0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Regional Offices/Industry Engagement Officer (Tourism)</w:t>
            </w:r>
          </w:p>
          <w:p w14:paraId="5761EC0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Accredited Research Institutions</w:t>
            </w:r>
          </w:p>
          <w:p w14:paraId="5761EC0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HQ Volunteer Program and Members Programs</w:t>
            </w:r>
          </w:p>
          <w:p w14:paraId="5761EC0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Public Information Unit </w:t>
            </w:r>
          </w:p>
          <w:p w14:paraId="5761EC0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Guardians</w:t>
            </w:r>
          </w:p>
          <w:p w14:paraId="5761EC08" w14:textId="51DE0E0D"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74" w:tooltip="document link" w:history="1">
              <w:r w:rsidR="00A56EE9" w:rsidRPr="00E70A11">
                <w:rPr>
                  <w:rStyle w:val="Hyperlink"/>
                  <w:rFonts w:ascii="Arial Narrow" w:hAnsi="Arial Narrow"/>
                  <w:sz w:val="18"/>
                  <w:szCs w:val="18"/>
                </w:rPr>
                <w:t>https://www.smartcane.com.au/home.aspx</w:t>
              </w:r>
            </w:hyperlink>
            <w:r w:rsidR="00242993">
              <w:rPr>
                <w:rFonts w:ascii="Arial Narrow" w:hAnsi="Arial Narrow"/>
                <w:sz w:val="18"/>
                <w:szCs w:val="18"/>
              </w:rPr>
              <w:t xml:space="preserve"> </w:t>
            </w:r>
            <w:hyperlink r:id="rId475" w:tooltip="document link" w:history="1">
              <w:r w:rsidR="00A56EE9" w:rsidRPr="00E70A11">
                <w:rPr>
                  <w:rStyle w:val="Hyperlink"/>
                  <w:rFonts w:ascii="Arial Narrow" w:hAnsi="Arial Narrow"/>
                  <w:sz w:val="18"/>
                  <w:szCs w:val="18"/>
                </w:rPr>
                <w:t>https://www.cms.bmpgrazing.com.au/</w:t>
              </w:r>
            </w:hyperlink>
            <w:r w:rsidR="00A56EE9" w:rsidRPr="00E70A11">
              <w:rPr>
                <w:rFonts w:ascii="Arial Narrow" w:hAnsi="Arial Narrow"/>
                <w:sz w:val="18"/>
                <w:szCs w:val="18"/>
              </w:rPr>
              <w:t xml:space="preserve"> </w:t>
            </w:r>
          </w:p>
          <w:p w14:paraId="5761EC09" w14:textId="4D017218"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76" w:tooltip="document link" w:history="1">
              <w:r w:rsidR="00A56EE9" w:rsidRPr="00E70A11">
                <w:rPr>
                  <w:rStyle w:val="Hyperlink"/>
                  <w:rFonts w:ascii="Arial Narrow" w:hAnsi="Arial Narrow"/>
                  <w:sz w:val="18"/>
                  <w:szCs w:val="18"/>
                </w:rPr>
                <w:t>https://abgc.org.au/projects-resources/best-management-practices-bmp/</w:t>
              </w:r>
            </w:hyperlink>
          </w:p>
          <w:p w14:paraId="5761EC0A" w14:textId="77777777" w:rsidR="00A56EE9" w:rsidRPr="00774D6C" w:rsidRDefault="00A56EE9" w:rsidP="00BB6AD5">
            <w:pPr>
              <w:pStyle w:val="ListParagraph"/>
              <w:ind w:left="360"/>
              <w:rPr>
                <w:rStyle w:val="BookTitle"/>
                <w:rFonts w:ascii="Arial Narrow" w:hAnsi="Arial Narrow"/>
                <w:sz w:val="18"/>
                <w:szCs w:val="18"/>
              </w:rPr>
            </w:pPr>
          </w:p>
        </w:tc>
        <w:tc>
          <w:tcPr>
            <w:tcW w:w="1090" w:type="dxa"/>
            <w:tcBorders>
              <w:top w:val="single" w:sz="4" w:space="0" w:color="auto"/>
              <w:left w:val="single" w:sz="4" w:space="0" w:color="auto"/>
              <w:bottom w:val="single" w:sz="4" w:space="0" w:color="auto"/>
              <w:right w:val="single" w:sz="4" w:space="0" w:color="auto"/>
            </w:tcBorders>
          </w:tcPr>
          <w:p w14:paraId="5761EC0B" w14:textId="77777777" w:rsidR="00A56EE9" w:rsidRPr="00E70A11" w:rsidRDefault="00A56EE9" w:rsidP="00BB6AD5">
            <w:pPr>
              <w:pStyle w:val="Tablebulletlist"/>
              <w:rPr>
                <w:rStyle w:val="BookTitle"/>
              </w:rPr>
            </w:pPr>
            <w:r w:rsidRPr="00E70A11">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C0C" w14:textId="77777777" w:rsidR="00A56EE9" w:rsidRPr="00E70A11" w:rsidRDefault="00A56EE9" w:rsidP="00BB6AD5">
            <w:pPr>
              <w:pStyle w:val="Tablebulletlist"/>
              <w:rPr>
                <w:rStyle w:val="BookTitle"/>
              </w:rPr>
            </w:pPr>
            <w:r w:rsidRPr="00E70A11">
              <w:rPr>
                <w:rStyle w:val="BookTitle"/>
              </w:rPr>
              <w:t>Stable</w:t>
            </w:r>
          </w:p>
        </w:tc>
      </w:tr>
    </w:tbl>
    <w:p w14:paraId="5761EC0E" w14:textId="77777777" w:rsidR="00A56EE9" w:rsidRPr="00E70A11" w:rsidRDefault="00A56EE9" w:rsidP="00BB6AD5">
      <w:pPr>
        <w:rPr>
          <w:rFonts w:ascii="Arial Narrow" w:hAnsi="Arial Narrow"/>
          <w:sz w:val="18"/>
          <w:szCs w:val="18"/>
        </w:rPr>
      </w:pPr>
    </w:p>
    <w:p w14:paraId="5761EC0F" w14:textId="77777777" w:rsidR="00A56EE9" w:rsidRPr="00E70A11" w:rsidRDefault="00A56EE9" w:rsidP="00BB6AD5">
      <w:pPr>
        <w:rPr>
          <w:rFonts w:ascii="Arial Narrow" w:hAnsi="Arial Narrow"/>
          <w:sz w:val="18"/>
          <w:szCs w:val="18"/>
        </w:rPr>
      </w:pPr>
    </w:p>
    <w:p w14:paraId="5761EC1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br w:type="page"/>
      </w:r>
    </w:p>
    <w:p w14:paraId="5761EC11" w14:textId="77777777" w:rsidR="00A56EE9" w:rsidRPr="00E70A11" w:rsidRDefault="00A56EE9" w:rsidP="00BB6AD5">
      <w:pPr>
        <w:rPr>
          <w:rFonts w:ascii="Arial Narrow" w:hAnsi="Arial Narrow"/>
          <w:sz w:val="18"/>
          <w:szCs w:val="18"/>
        </w:rPr>
      </w:pPr>
    </w:p>
    <w:p w14:paraId="5761EC12" w14:textId="36089FD9" w:rsidR="00A56EE9" w:rsidRPr="00E70A11" w:rsidRDefault="00A56EE9" w:rsidP="009C7D6F">
      <w:pPr>
        <w:pStyle w:val="Heading4"/>
      </w:pPr>
      <w:bookmarkStart w:id="191" w:name="_Toc522532004"/>
      <w:bookmarkStart w:id="192" w:name="_Toc525654471"/>
      <w:r>
        <w:t xml:space="preserve">Table </w:t>
      </w:r>
      <w:r>
        <w:rPr>
          <w:noProof/>
        </w:rPr>
        <w:fldChar w:fldCharType="begin"/>
      </w:r>
      <w:r>
        <w:rPr>
          <w:noProof/>
        </w:rPr>
        <w:instrText xml:space="preserve"> SEQ Table \* ARABIC </w:instrText>
      </w:r>
      <w:r>
        <w:rPr>
          <w:noProof/>
        </w:rPr>
        <w:fldChar w:fldCharType="separate"/>
      </w:r>
      <w:r w:rsidR="00A4170C">
        <w:rPr>
          <w:noProof/>
        </w:rPr>
        <w:t>26</w:t>
      </w:r>
      <w:r>
        <w:rPr>
          <w:noProof/>
        </w:rPr>
        <w:fldChar w:fldCharType="end"/>
      </w:r>
      <w:r>
        <w:t xml:space="preserve"> </w:t>
      </w:r>
      <w:r w:rsidRPr="00E70A11">
        <w:t>Calculation of grades for defence activities</w:t>
      </w:r>
      <w:bookmarkEnd w:id="187"/>
      <w:bookmarkEnd w:id="191"/>
      <w:bookmarkEnd w:id="19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26 Calculation of grades for defence activities"/>
        <w:tblDescription w:val="Table showing the ratings,  justificaiton and evidence for each of the components for the management effectiveness for defence activities.  Confidence in the assessment and trend since Outlook 2014 is also provided"/>
      </w:tblPr>
      <w:tblGrid>
        <w:gridCol w:w="2302"/>
        <w:gridCol w:w="739"/>
        <w:gridCol w:w="4580"/>
        <w:gridCol w:w="5326"/>
        <w:gridCol w:w="976"/>
        <w:gridCol w:w="865"/>
      </w:tblGrid>
      <w:tr w:rsidR="00A56EE9" w:rsidRPr="00E70A11" w14:paraId="5761EC19"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C13" w14:textId="77777777" w:rsidR="00A56EE9" w:rsidRPr="00E70A11" w:rsidRDefault="00A56EE9" w:rsidP="00BB6AD5">
            <w:pPr>
              <w:pStyle w:val="Tablebulletlist"/>
              <w:rPr>
                <w:rStyle w:val="BookTitle"/>
              </w:rPr>
            </w:pPr>
            <w:r w:rsidRPr="00E70A11">
              <w:rPr>
                <w:rStyle w:val="BookTitle"/>
              </w:rPr>
              <w:t>Component of Management</w:t>
            </w:r>
          </w:p>
        </w:tc>
        <w:tc>
          <w:tcPr>
            <w:tcW w:w="739" w:type="dxa"/>
            <w:tcBorders>
              <w:top w:val="single" w:sz="4" w:space="0" w:color="auto"/>
              <w:left w:val="single" w:sz="4" w:space="0" w:color="auto"/>
              <w:bottom w:val="single" w:sz="4" w:space="0" w:color="auto"/>
              <w:right w:val="single" w:sz="4" w:space="0" w:color="auto"/>
            </w:tcBorders>
          </w:tcPr>
          <w:p w14:paraId="5761EC14" w14:textId="77777777" w:rsidR="00A56EE9" w:rsidRPr="00E70A11" w:rsidRDefault="00A56EE9" w:rsidP="00BB6AD5">
            <w:pPr>
              <w:pStyle w:val="Tablebulletlist"/>
              <w:rPr>
                <w:rStyle w:val="BookTitle"/>
              </w:rPr>
            </w:pPr>
            <w:r w:rsidRPr="00E70A11">
              <w:rPr>
                <w:rStyle w:val="BookTitle"/>
              </w:rPr>
              <w:t>Rating</w:t>
            </w:r>
          </w:p>
        </w:tc>
        <w:tc>
          <w:tcPr>
            <w:tcW w:w="4580" w:type="dxa"/>
            <w:tcBorders>
              <w:top w:val="single" w:sz="4" w:space="0" w:color="auto"/>
              <w:left w:val="single" w:sz="4" w:space="0" w:color="auto"/>
              <w:bottom w:val="single" w:sz="4" w:space="0" w:color="auto"/>
              <w:right w:val="single" w:sz="4" w:space="0" w:color="auto"/>
            </w:tcBorders>
          </w:tcPr>
          <w:p w14:paraId="5761EC15" w14:textId="77777777" w:rsidR="00A56EE9" w:rsidRPr="00E70A11" w:rsidRDefault="00A56EE9" w:rsidP="00BB6AD5">
            <w:pPr>
              <w:pStyle w:val="Tablebulletlist"/>
              <w:rPr>
                <w:rStyle w:val="BookTitle"/>
              </w:rPr>
            </w:pPr>
            <w:r w:rsidRPr="00E70A11">
              <w:rPr>
                <w:rStyle w:val="BookTitle"/>
              </w:rPr>
              <w:t>Justification</w:t>
            </w:r>
          </w:p>
        </w:tc>
        <w:tc>
          <w:tcPr>
            <w:tcW w:w="5326" w:type="dxa"/>
            <w:tcBorders>
              <w:top w:val="single" w:sz="4" w:space="0" w:color="auto"/>
              <w:left w:val="single" w:sz="4" w:space="0" w:color="auto"/>
              <w:bottom w:val="single" w:sz="4" w:space="0" w:color="auto"/>
              <w:right w:val="single" w:sz="4" w:space="0" w:color="auto"/>
            </w:tcBorders>
          </w:tcPr>
          <w:p w14:paraId="5761EC16" w14:textId="77777777" w:rsidR="00A56EE9" w:rsidRPr="00E70A11" w:rsidRDefault="00A56EE9" w:rsidP="00BB6AD5">
            <w:pPr>
              <w:pStyle w:val="Tablebulletlist"/>
              <w:rPr>
                <w:rStyle w:val="BookTitle"/>
              </w:rPr>
            </w:pPr>
            <w:r w:rsidRPr="00E70A11">
              <w:rPr>
                <w:rStyle w:val="BookTitle"/>
              </w:rPr>
              <w:t>Evidence/sources</w:t>
            </w:r>
          </w:p>
        </w:tc>
        <w:tc>
          <w:tcPr>
            <w:tcW w:w="976" w:type="dxa"/>
            <w:tcBorders>
              <w:top w:val="single" w:sz="4" w:space="0" w:color="auto"/>
              <w:left w:val="single" w:sz="4" w:space="0" w:color="auto"/>
              <w:bottom w:val="single" w:sz="4" w:space="0" w:color="auto"/>
              <w:right w:val="single" w:sz="4" w:space="0" w:color="auto"/>
            </w:tcBorders>
          </w:tcPr>
          <w:p w14:paraId="5761EC17" w14:textId="77777777" w:rsidR="00A56EE9" w:rsidRPr="00E70A11" w:rsidRDefault="00A56EE9" w:rsidP="00BB6AD5">
            <w:pPr>
              <w:pStyle w:val="Tablebulletlist"/>
              <w:rPr>
                <w:rStyle w:val="BookTitle"/>
              </w:rPr>
            </w:pPr>
            <w:r w:rsidRPr="00E70A11">
              <w:rPr>
                <w:rStyle w:val="BookTitle"/>
              </w:rPr>
              <w:t>Confidence</w:t>
            </w:r>
          </w:p>
        </w:tc>
        <w:tc>
          <w:tcPr>
            <w:tcW w:w="865" w:type="dxa"/>
            <w:tcBorders>
              <w:top w:val="single" w:sz="4" w:space="0" w:color="auto"/>
              <w:left w:val="single" w:sz="4" w:space="0" w:color="auto"/>
              <w:bottom w:val="single" w:sz="4" w:space="0" w:color="auto"/>
              <w:right w:val="single" w:sz="4" w:space="0" w:color="auto"/>
            </w:tcBorders>
          </w:tcPr>
          <w:p w14:paraId="5761EC18"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1EC20"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shd w:val="clear" w:color="auto" w:fill="EEECE1"/>
          </w:tcPr>
          <w:p w14:paraId="5761EC1A" w14:textId="77777777" w:rsidR="00A56EE9" w:rsidRPr="00E70A11" w:rsidRDefault="00A56EE9" w:rsidP="00BB6AD5">
            <w:pPr>
              <w:pStyle w:val="Tablebulletlist"/>
              <w:rPr>
                <w:rStyle w:val="BookTitle"/>
              </w:rPr>
            </w:pPr>
            <w:r w:rsidRPr="00E70A11">
              <w:rPr>
                <w:rStyle w:val="BookTitle"/>
              </w:rPr>
              <w:t>CONTEXT</w:t>
            </w:r>
          </w:p>
        </w:tc>
        <w:tc>
          <w:tcPr>
            <w:tcW w:w="739" w:type="dxa"/>
            <w:tcBorders>
              <w:top w:val="single" w:sz="4" w:space="0" w:color="auto"/>
              <w:left w:val="single" w:sz="4" w:space="0" w:color="auto"/>
              <w:bottom w:val="single" w:sz="4" w:space="0" w:color="auto"/>
              <w:right w:val="single" w:sz="4" w:space="0" w:color="auto"/>
            </w:tcBorders>
            <w:shd w:val="clear" w:color="auto" w:fill="EEECE1"/>
          </w:tcPr>
          <w:p w14:paraId="5761EC1B" w14:textId="77777777" w:rsidR="00A56EE9" w:rsidRPr="00E70A11" w:rsidRDefault="00A56EE9" w:rsidP="00BB6AD5">
            <w:pPr>
              <w:pStyle w:val="Tablebulletlist"/>
              <w:rPr>
                <w:rStyle w:val="BookTitle"/>
              </w:rPr>
            </w:pPr>
          </w:p>
        </w:tc>
        <w:tc>
          <w:tcPr>
            <w:tcW w:w="4580" w:type="dxa"/>
            <w:tcBorders>
              <w:top w:val="single" w:sz="4" w:space="0" w:color="auto"/>
              <w:left w:val="single" w:sz="4" w:space="0" w:color="auto"/>
              <w:bottom w:val="single" w:sz="4" w:space="0" w:color="auto"/>
              <w:right w:val="single" w:sz="4" w:space="0" w:color="auto"/>
            </w:tcBorders>
            <w:shd w:val="clear" w:color="auto" w:fill="EEECE1"/>
          </w:tcPr>
          <w:p w14:paraId="5761EC1C" w14:textId="77777777" w:rsidR="00A56EE9" w:rsidRPr="00E70A11" w:rsidRDefault="00A56EE9" w:rsidP="00BB6AD5">
            <w:pPr>
              <w:pStyle w:val="Tablebulletlist"/>
              <w:rPr>
                <w:rStyle w:val="BookTitle"/>
              </w:rPr>
            </w:pPr>
          </w:p>
        </w:tc>
        <w:tc>
          <w:tcPr>
            <w:tcW w:w="5326" w:type="dxa"/>
            <w:tcBorders>
              <w:top w:val="single" w:sz="4" w:space="0" w:color="auto"/>
              <w:left w:val="single" w:sz="4" w:space="0" w:color="auto"/>
              <w:bottom w:val="single" w:sz="4" w:space="0" w:color="auto"/>
              <w:right w:val="single" w:sz="4" w:space="0" w:color="auto"/>
            </w:tcBorders>
            <w:shd w:val="clear" w:color="auto" w:fill="EEECE1"/>
          </w:tcPr>
          <w:p w14:paraId="5761EC1D" w14:textId="77777777" w:rsidR="00A56EE9" w:rsidRPr="00E70A11" w:rsidRDefault="00A56EE9" w:rsidP="00BB6AD5">
            <w:pPr>
              <w:pStyle w:val="Tablebulletlist"/>
              <w:rPr>
                <w:rStyle w:val="BookTitle"/>
              </w:rPr>
            </w:pPr>
          </w:p>
        </w:tc>
        <w:tc>
          <w:tcPr>
            <w:tcW w:w="976" w:type="dxa"/>
            <w:tcBorders>
              <w:top w:val="single" w:sz="4" w:space="0" w:color="auto"/>
              <w:left w:val="single" w:sz="4" w:space="0" w:color="auto"/>
              <w:bottom w:val="single" w:sz="4" w:space="0" w:color="auto"/>
              <w:right w:val="single" w:sz="4" w:space="0" w:color="auto"/>
            </w:tcBorders>
            <w:shd w:val="clear" w:color="auto" w:fill="EEECE1"/>
          </w:tcPr>
          <w:p w14:paraId="5761EC1E"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EECE1"/>
          </w:tcPr>
          <w:p w14:paraId="5761EC1F" w14:textId="77777777" w:rsidR="00A56EE9" w:rsidRPr="00E70A11" w:rsidRDefault="00A56EE9" w:rsidP="00BB6AD5">
            <w:pPr>
              <w:pStyle w:val="Tablebulletlist"/>
              <w:rPr>
                <w:rStyle w:val="BookTitle"/>
              </w:rPr>
            </w:pPr>
          </w:p>
        </w:tc>
      </w:tr>
      <w:tr w:rsidR="00A56EE9" w:rsidRPr="00E70A11" w14:paraId="5761EC4F"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C21" w14:textId="77777777" w:rsidR="00A56EE9" w:rsidRPr="00E70A11" w:rsidRDefault="00A56EE9" w:rsidP="00BB6AD5">
            <w:pPr>
              <w:pStyle w:val="Tablebulletlist"/>
              <w:rPr>
                <w:rStyle w:val="BookTitle"/>
              </w:rPr>
            </w:pPr>
            <w:r w:rsidRPr="00E70A11">
              <w:rPr>
                <w:rStyle w:val="BookTitle"/>
              </w:rPr>
              <w:t>CO1 The values of the Great Barrier Reef relevant to defence activities are understood by managers</w:t>
            </w:r>
          </w:p>
        </w:tc>
        <w:tc>
          <w:tcPr>
            <w:tcW w:w="739" w:type="dxa"/>
            <w:tcBorders>
              <w:top w:val="single" w:sz="4" w:space="0" w:color="auto"/>
              <w:left w:val="single" w:sz="4" w:space="0" w:color="auto"/>
              <w:bottom w:val="single" w:sz="4" w:space="0" w:color="auto"/>
              <w:right w:val="single" w:sz="4" w:space="0" w:color="auto"/>
            </w:tcBorders>
          </w:tcPr>
          <w:p w14:paraId="5761EC22"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C2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values for which the Great Barrier Reef has been protected are well understood by GBRMPA and Defence environmental managers, with close cooperation evident between the two agencies extending back many years. </w:t>
            </w:r>
          </w:p>
          <w:p w14:paraId="5761EC2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is a GBRMPA-Defence Memorandum of Understanding (updated for 2016/20) which facilitates sharing of information between the agencies enabling:</w:t>
            </w:r>
          </w:p>
          <w:p w14:paraId="5761EC25"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GBRMPA to appreciate the scale and nature of Defence activities;</w:t>
            </w:r>
          </w:p>
          <w:p w14:paraId="5761EC26"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Defence to understand GBR priorities and management requirements;</w:t>
            </w:r>
          </w:p>
          <w:p w14:paraId="5761EC27"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Timely input by each agency to policy development and management of new technology and upcoming activities;</w:t>
            </w:r>
          </w:p>
          <w:p w14:paraId="5761EC28"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GBRMPA attendance at Defence key activities such as the biennial Talisman Saber series of exercises.</w:t>
            </w:r>
            <w:r>
              <w:rPr>
                <w:rFonts w:ascii="Arial Narrow" w:hAnsi="Arial Narrow"/>
                <w:sz w:val="18"/>
                <w:szCs w:val="18"/>
              </w:rPr>
              <w:t xml:space="preserve"> </w:t>
            </w:r>
          </w:p>
          <w:p w14:paraId="5761EC2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Managers are aware that the Great Barrier Reef is a multiple use area that accommodates routine training for the Australian defence forces (and some foreign forces) for over 100 years. Defence training at Shoalwater Bay Training Area (SWBTA) began before the Great Barrier Reef Marine Park Act was proclaimed in 1975.</w:t>
            </w:r>
            <w:r>
              <w:rPr>
                <w:rFonts w:ascii="Arial Narrow" w:hAnsi="Arial Narrow"/>
                <w:sz w:val="18"/>
                <w:szCs w:val="18"/>
              </w:rPr>
              <w:t xml:space="preserve"> </w:t>
            </w:r>
            <w:r w:rsidRPr="00E70A11">
              <w:rPr>
                <w:rFonts w:ascii="Arial Narrow" w:hAnsi="Arial Narrow"/>
                <w:sz w:val="18"/>
                <w:szCs w:val="18"/>
              </w:rPr>
              <w:t xml:space="preserve">Defence use of SWBTA includes land and sea based exercises involving live fire from air, land and sea, manoeuvre, amphibious operations, mine hunting and a range of supporting operations all of which have some potential to impact on the values of the GBR. </w:t>
            </w:r>
          </w:p>
          <w:p w14:paraId="5761EC2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is also responsible for a range of activities that contribute to management information essential for managing and understanding the values of the GBR including hydrographic, border protection/ quarantine and other monitoring/ surveillance/ security related services that to management.</w:t>
            </w:r>
            <w:r>
              <w:rPr>
                <w:rFonts w:ascii="Arial Narrow" w:hAnsi="Arial Narrow"/>
                <w:sz w:val="18"/>
                <w:szCs w:val="18"/>
              </w:rPr>
              <w:t xml:space="preserve"> </w:t>
            </w:r>
          </w:p>
          <w:p w14:paraId="5761EC2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has also supported research and monitoring (see CO2) that has contributed to knowledge about important GBR values including for species such as whales, seagrass, turtles and dugongs.</w:t>
            </w:r>
          </w:p>
          <w:p w14:paraId="5761EC2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are three major Defence training areas in, or adjacent to, the GBR (Shoalwater Bay/Cowley Beach/Halifax Bay). Defence’s Tully, and Townsville Field Training Areas are in catchments which drain into GBR (as does RAAF Base Townsville).</w:t>
            </w:r>
            <w:r>
              <w:rPr>
                <w:rFonts w:ascii="Arial Narrow" w:hAnsi="Arial Narrow"/>
                <w:sz w:val="18"/>
                <w:szCs w:val="18"/>
              </w:rPr>
              <w:t xml:space="preserve"> </w:t>
            </w:r>
            <w:r w:rsidRPr="00E70A11">
              <w:rPr>
                <w:rFonts w:ascii="Arial Narrow" w:hAnsi="Arial Narrow"/>
                <w:sz w:val="18"/>
                <w:szCs w:val="18"/>
              </w:rPr>
              <w:t>A number of other marine locations are gazetted Defence practice areas where live firing of weapons is permitted (refer to Figure 5.9 in 2014 Outlook Report).</w:t>
            </w:r>
          </w:p>
          <w:p w14:paraId="5761EC2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importance of Shoalwater Bay for dugongs and turtles and other species is also well recognised by Defence and GBRMPA managers </w:t>
            </w:r>
          </w:p>
          <w:p w14:paraId="5761EC2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Shoalwater Bay Training Area has been recognised for its important environmental significance and is managed by Defence to deliver training and environmental outcomes in equal measure </w:t>
            </w:r>
          </w:p>
          <w:p w14:paraId="5761EC2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are few references addressing what is known about aesthetic and social values of the GBR and their intersection/interaction with Defence activities.</w:t>
            </w:r>
          </w:p>
          <w:p w14:paraId="5761EC3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Since the 2014 assessment the following management initiatives have been implemented:</w:t>
            </w:r>
          </w:p>
          <w:p w14:paraId="5761EC31"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Defence funded video production for environmental awareness of GBR world heritage values for Exercise Talisman Saber 2017 participants </w:t>
            </w:r>
          </w:p>
          <w:p w14:paraId="5761EC32"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All training conducted on QPWS managed areas may have conditions placed on the activity if necessary to protect cultural and use values </w:t>
            </w:r>
          </w:p>
          <w:p w14:paraId="5761EC33"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Increasing focus on heritage in the GBR by Defence</w:t>
            </w:r>
          </w:p>
          <w:p w14:paraId="5761EC34"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GBRMPA/Defence MOU has been updated and continues to recognise the importance of reducing environmental impacts on the Great Barrier Reef </w:t>
            </w:r>
          </w:p>
          <w:p w14:paraId="5761EC35"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Defence environmental management doctrine applicable to the GBR is being routinely updated and is implemented by Defence managers.</w:t>
            </w:r>
          </w:p>
        </w:tc>
        <w:tc>
          <w:tcPr>
            <w:tcW w:w="5326" w:type="dxa"/>
            <w:tcBorders>
              <w:top w:val="single" w:sz="4" w:space="0" w:color="auto"/>
              <w:left w:val="single" w:sz="4" w:space="0" w:color="auto"/>
              <w:bottom w:val="single" w:sz="4" w:space="0" w:color="auto"/>
              <w:right w:val="single" w:sz="4" w:space="0" w:color="auto"/>
            </w:tcBorders>
          </w:tcPr>
          <w:p w14:paraId="5761EC3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77" w:history="1">
              <w:r w:rsidR="00A56EE9" w:rsidRPr="00E70A11">
                <w:rPr>
                  <w:rStyle w:val="Hyperlink"/>
                  <w:rFonts w:ascii="Arial Narrow" w:hAnsi="Arial Narrow"/>
                  <w:sz w:val="18"/>
                  <w:szCs w:val="18"/>
                </w:rPr>
                <w:t>Strategic environmental assessment of Defence activities in the GBRWHA</w:t>
              </w:r>
            </w:hyperlink>
            <w:r w:rsidR="00A56EE9" w:rsidRPr="00E70A11">
              <w:rPr>
                <w:rFonts w:ascii="Arial Narrow" w:hAnsi="Arial Narrow"/>
                <w:sz w:val="18"/>
                <w:szCs w:val="18"/>
              </w:rPr>
              <w:t xml:space="preserve"> 2006</w:t>
            </w:r>
          </w:p>
          <w:p w14:paraId="5761EC3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GBRMPA/Defence </w:t>
            </w:r>
            <w:hyperlink r:id="rId478" w:history="1">
              <w:r w:rsidRPr="00E70A11">
                <w:rPr>
                  <w:rStyle w:val="Hyperlink"/>
                  <w:rFonts w:ascii="Arial Narrow" w:hAnsi="Arial Narrow"/>
                  <w:sz w:val="18"/>
                  <w:szCs w:val="18"/>
                </w:rPr>
                <w:t>Management Agreement 2012-2016</w:t>
              </w:r>
            </w:hyperlink>
          </w:p>
          <w:p w14:paraId="5761EC3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79" w:history="1">
              <w:r w:rsidR="00A56EE9" w:rsidRPr="00E70A11">
                <w:rPr>
                  <w:rStyle w:val="Hyperlink"/>
                  <w:rFonts w:ascii="Arial Narrow" w:hAnsi="Arial Narrow"/>
                  <w:sz w:val="18"/>
                  <w:szCs w:val="18"/>
                </w:rPr>
                <w:t>State of the Environment Report for Shoalwater Bay Training Area</w:t>
              </w:r>
            </w:hyperlink>
            <w:r w:rsidR="00A56EE9" w:rsidRPr="00E70A11">
              <w:rPr>
                <w:rFonts w:ascii="Arial Narrow" w:hAnsi="Arial Narrow"/>
                <w:sz w:val="18"/>
                <w:szCs w:val="18"/>
              </w:rPr>
              <w:t xml:space="preserve"> 2008 </w:t>
            </w:r>
          </w:p>
          <w:p w14:paraId="5761EC3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 xml:space="preserve">Wu, W., Wang, X., Paull, D. and Kesby, J. 2010, </w:t>
            </w:r>
            <w:hyperlink r:id="rId480" w:history="1">
              <w:r w:rsidRPr="00E70A11">
                <w:rPr>
                  <w:rStyle w:val="Hyperlink"/>
                  <w:rFonts w:ascii="Arial Narrow" w:hAnsi="Arial Narrow"/>
                  <w:sz w:val="18"/>
                  <w:szCs w:val="18"/>
                  <w:lang w:val="en"/>
                </w:rPr>
                <w:t>Defence force activities in marine protected areas: environmental management of Shoalwater Bay Training Area</w:t>
              </w:r>
            </w:hyperlink>
            <w:r w:rsidRPr="00E70A11">
              <w:rPr>
                <w:rFonts w:ascii="Arial Narrow" w:hAnsi="Arial Narrow"/>
                <w:sz w:val="18"/>
                <w:szCs w:val="18"/>
                <w:lang w:val="en"/>
              </w:rPr>
              <w:t xml:space="preserve">, Queensland, Australia, </w:t>
            </w:r>
            <w:r w:rsidRPr="00E70A11">
              <w:rPr>
                <w:rFonts w:ascii="Arial Narrow" w:hAnsi="Arial Narrow"/>
                <w:i/>
                <w:iCs/>
                <w:sz w:val="18"/>
                <w:szCs w:val="18"/>
                <w:lang w:val="en"/>
              </w:rPr>
              <w:t xml:space="preserve">Chinese Journal of Oceanology and Limnology </w:t>
            </w:r>
            <w:r w:rsidRPr="00E70A11">
              <w:rPr>
                <w:rFonts w:ascii="Arial Narrow" w:hAnsi="Arial Narrow"/>
                <w:sz w:val="18"/>
                <w:szCs w:val="18"/>
                <w:lang w:val="en"/>
              </w:rPr>
              <w:t>28(3): 667-676.</w:t>
            </w:r>
          </w:p>
          <w:p w14:paraId="5761EC3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81" w:history="1">
              <w:r w:rsidR="00A56EE9" w:rsidRPr="00E70A11">
                <w:rPr>
                  <w:rStyle w:val="Hyperlink"/>
                  <w:rFonts w:ascii="Arial Narrow" w:hAnsi="Arial Narrow"/>
                  <w:sz w:val="18"/>
                  <w:szCs w:val="18"/>
                </w:rPr>
                <w:t>Defence Environment Policy</w:t>
              </w:r>
            </w:hyperlink>
            <w:r w:rsidR="00A56EE9" w:rsidRPr="00E70A11">
              <w:rPr>
                <w:rFonts w:ascii="Arial Narrow" w:hAnsi="Arial Narrow"/>
                <w:sz w:val="18"/>
                <w:szCs w:val="18"/>
              </w:rPr>
              <w:t xml:space="preserve"> </w:t>
            </w:r>
          </w:p>
          <w:p w14:paraId="5761EC3B"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82" w:history="1">
              <w:r w:rsidR="00A56EE9" w:rsidRPr="00E70A11">
                <w:rPr>
                  <w:rStyle w:val="Hyperlink"/>
                  <w:rFonts w:ascii="Arial Narrow" w:hAnsi="Arial Narrow"/>
                  <w:sz w:val="18"/>
                  <w:szCs w:val="18"/>
                </w:rPr>
                <w:t>GBRMPA and Defence work strategically on environmental management</w:t>
              </w:r>
            </w:hyperlink>
            <w:r w:rsidR="00A56EE9" w:rsidRPr="00E70A11">
              <w:rPr>
                <w:rFonts w:ascii="Arial Narrow" w:hAnsi="Arial Narrow"/>
                <w:sz w:val="18"/>
                <w:szCs w:val="18"/>
              </w:rPr>
              <w:t xml:space="preserve"> p9 The Environmental Practitioner</w:t>
            </w:r>
          </w:p>
          <w:p w14:paraId="5761EC3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83" w:history="1">
              <w:r w:rsidR="00A56EE9" w:rsidRPr="00E70A11">
                <w:rPr>
                  <w:rStyle w:val="Hyperlink"/>
                  <w:rFonts w:ascii="Arial Narrow" w:hAnsi="Arial Narrow"/>
                  <w:sz w:val="18"/>
                  <w:szCs w:val="18"/>
                </w:rPr>
                <w:t>Strategic environmental assessment of defence activities in the Great Barrier Reef World Heritage Area</w:t>
              </w:r>
            </w:hyperlink>
            <w:r w:rsidR="00A56EE9" w:rsidRPr="00E70A11">
              <w:rPr>
                <w:rFonts w:ascii="Arial Narrow" w:hAnsi="Arial Narrow"/>
                <w:sz w:val="18"/>
                <w:szCs w:val="18"/>
              </w:rPr>
              <w:t>, 2014</w:t>
            </w:r>
          </w:p>
          <w:p w14:paraId="5761EC3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84" w:history="1">
              <w:r w:rsidR="00A56EE9" w:rsidRPr="00E70A11">
                <w:rPr>
                  <w:rStyle w:val="Hyperlink"/>
                  <w:rFonts w:ascii="Arial Narrow" w:hAnsi="Arial Narrow"/>
                  <w:sz w:val="18"/>
                  <w:szCs w:val="18"/>
                </w:rPr>
                <w:t>Great Barrier Reef Strategic Assessment Report</w:t>
              </w:r>
            </w:hyperlink>
            <w:r w:rsidR="00A56EE9" w:rsidRPr="00E70A11">
              <w:rPr>
                <w:rFonts w:ascii="Arial Narrow" w:hAnsi="Arial Narrow"/>
                <w:sz w:val="18"/>
                <w:szCs w:val="18"/>
              </w:rPr>
              <w:t>, Chapter 4</w:t>
            </w:r>
          </w:p>
          <w:p w14:paraId="5761EC3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85" w:history="1">
              <w:r w:rsidR="00A56EE9" w:rsidRPr="00E70A11">
                <w:rPr>
                  <w:rStyle w:val="Hyperlink"/>
                  <w:rFonts w:ascii="Arial Narrow" w:hAnsi="Arial Narrow"/>
                  <w:sz w:val="18"/>
                  <w:szCs w:val="18"/>
                </w:rPr>
                <w:t>Great Barrier Reef Coastal Zone Strategic Assessment</w:t>
              </w:r>
            </w:hyperlink>
            <w:r w:rsidR="00A56EE9" w:rsidRPr="00E70A11">
              <w:rPr>
                <w:rFonts w:ascii="Arial Narrow" w:hAnsi="Arial Narrow"/>
                <w:sz w:val="18"/>
                <w:szCs w:val="18"/>
              </w:rPr>
              <w:t xml:space="preserve"> 2014</w:t>
            </w:r>
          </w:p>
          <w:p w14:paraId="5761EC3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86" w:history="1">
              <w:r w:rsidR="00A56EE9" w:rsidRPr="00E70A11">
                <w:rPr>
                  <w:rStyle w:val="Hyperlink"/>
                  <w:rFonts w:ascii="Arial Narrow" w:hAnsi="Arial Narrow"/>
                  <w:sz w:val="18"/>
                  <w:szCs w:val="18"/>
                </w:rPr>
                <w:t>Outlook Report 2014</w:t>
              </w:r>
            </w:hyperlink>
            <w:r w:rsidR="00A56EE9" w:rsidRPr="00E70A11">
              <w:rPr>
                <w:rFonts w:ascii="Arial Narrow" w:hAnsi="Arial Narrow"/>
                <w:sz w:val="18"/>
                <w:szCs w:val="18"/>
              </w:rPr>
              <w:t>, Ch5</w:t>
            </w:r>
          </w:p>
          <w:p w14:paraId="5761EC40"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C4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r w:rsidRPr="00E70A11">
              <w:rPr>
                <w:rFonts w:ascii="Arial Narrow" w:hAnsi="Arial Narrow"/>
                <w:i/>
                <w:sz w:val="18"/>
                <w:szCs w:val="18"/>
              </w:rPr>
              <w:t>(Defence (DEPA) can provide copies of relevant documentation</w:t>
            </w:r>
            <w:r w:rsidRPr="00E70A11">
              <w:rPr>
                <w:rFonts w:ascii="Arial Narrow" w:hAnsi="Arial Narrow"/>
                <w:sz w:val="18"/>
                <w:szCs w:val="18"/>
              </w:rPr>
              <w:t xml:space="preserve"> </w:t>
            </w:r>
            <w:r w:rsidRPr="00E70A11">
              <w:rPr>
                <w:rFonts w:ascii="Arial Narrow" w:hAnsi="Arial Narrow"/>
                <w:i/>
                <w:sz w:val="18"/>
                <w:szCs w:val="18"/>
              </w:rPr>
              <w:t xml:space="preserve">if </w:t>
            </w:r>
            <w:r w:rsidRPr="00E70A11">
              <w:rPr>
                <w:rFonts w:ascii="Arial Narrow" w:hAnsi="Arial Narrow"/>
                <w:sz w:val="18"/>
                <w:szCs w:val="18"/>
              </w:rPr>
              <w:t>required)</w:t>
            </w:r>
          </w:p>
          <w:p w14:paraId="5761EC42"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487" w:history="1">
              <w:r w:rsidR="00A56EE9" w:rsidRPr="00E70A11">
                <w:rPr>
                  <w:rStyle w:val="Hyperlink"/>
                  <w:rFonts w:ascii="Arial Narrow" w:hAnsi="Arial Narrow"/>
                  <w:sz w:val="18"/>
                  <w:szCs w:val="18"/>
                  <w:lang w:val="en"/>
                </w:rPr>
                <w:t>TS17 PER, technical reports, videos and post exercise report</w:t>
              </w:r>
            </w:hyperlink>
            <w:r w:rsidR="00A56EE9" w:rsidRPr="00E70A11">
              <w:rPr>
                <w:rFonts w:ascii="Arial Narrow" w:hAnsi="Arial Narrow"/>
                <w:sz w:val="18"/>
                <w:szCs w:val="18"/>
                <w:u w:val="single"/>
              </w:rPr>
              <w:t xml:space="preserve"> </w:t>
            </w:r>
          </w:p>
          <w:p w14:paraId="5761EC43"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TS19 will be conducted around June-August 2019, the environmental assessment for this exercise is likely to be published late in 2018/ early 2019 and will be further ‘new’ information relevant to the TS series of exercises</w:t>
            </w:r>
          </w:p>
          <w:p w14:paraId="5761EC44"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488" w:history="1">
              <w:r w:rsidR="00A56EE9" w:rsidRPr="00E70A11">
                <w:rPr>
                  <w:rStyle w:val="Hyperlink"/>
                  <w:rFonts w:ascii="Arial Narrow" w:hAnsi="Arial Narrow"/>
                  <w:sz w:val="18"/>
                  <w:szCs w:val="18"/>
                  <w:lang w:val="en"/>
                </w:rPr>
                <w:t>Defence activities on QPWS managed areas</w:t>
              </w:r>
            </w:hyperlink>
            <w:r w:rsidR="00A56EE9" w:rsidRPr="00E70A11">
              <w:rPr>
                <w:rFonts w:ascii="Arial Narrow" w:hAnsi="Arial Narrow"/>
                <w:sz w:val="18"/>
                <w:szCs w:val="18"/>
                <w:lang w:val="en"/>
              </w:rPr>
              <w:t xml:space="preserve"> 2015</w:t>
            </w:r>
          </w:p>
          <w:p w14:paraId="5761EC45"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489" w:history="1">
              <w:r w:rsidR="00A56EE9" w:rsidRPr="00E70A11">
                <w:rPr>
                  <w:rStyle w:val="Hyperlink"/>
                  <w:rFonts w:ascii="Arial Narrow" w:hAnsi="Arial Narrow"/>
                  <w:sz w:val="18"/>
                  <w:szCs w:val="18"/>
                </w:rPr>
                <w:t>GBRMPA website on Defence</w:t>
              </w:r>
            </w:hyperlink>
          </w:p>
          <w:p w14:paraId="5761EC4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90" w:history="1">
              <w:r w:rsidR="00A56EE9" w:rsidRPr="00E70A11">
                <w:rPr>
                  <w:rStyle w:val="Hyperlink"/>
                  <w:rFonts w:ascii="Arial Narrow" w:hAnsi="Arial Narrow"/>
                  <w:sz w:val="18"/>
                  <w:szCs w:val="18"/>
                </w:rPr>
                <w:t>2016-2036 Defence Environmental Strategy</w:t>
              </w:r>
            </w:hyperlink>
          </w:p>
          <w:p w14:paraId="5761EC4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Environment and Heritage Management in Defence – internal Defence document only (don’t have access)</w:t>
            </w:r>
          </w:p>
          <w:p w14:paraId="5761EC4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Defence’s </w:t>
            </w:r>
            <w:hyperlink r:id="rId491" w:history="1">
              <w:r w:rsidRPr="00E70A11">
                <w:rPr>
                  <w:rStyle w:val="Hyperlink"/>
                  <w:rFonts w:ascii="Arial Narrow" w:hAnsi="Arial Narrow"/>
                  <w:sz w:val="18"/>
                  <w:szCs w:val="18"/>
                </w:rPr>
                <w:t>Environmental Policy 2016</w:t>
              </w:r>
            </w:hyperlink>
            <w:r w:rsidRPr="00E70A11">
              <w:rPr>
                <w:rFonts w:ascii="Arial Narrow" w:hAnsi="Arial Narrow"/>
                <w:sz w:val="18"/>
                <w:szCs w:val="18"/>
                <w:u w:val="single"/>
              </w:rPr>
              <w:t xml:space="preserve"> </w:t>
            </w:r>
            <w:r w:rsidRPr="00E70A11">
              <w:rPr>
                <w:rFonts w:ascii="Arial Narrow" w:hAnsi="Arial Narrow"/>
                <w:sz w:val="18"/>
                <w:szCs w:val="18"/>
              </w:rPr>
              <w:t xml:space="preserve">and </w:t>
            </w:r>
            <w:hyperlink r:id="rId492" w:history="1">
              <w:r w:rsidRPr="00E70A11">
                <w:rPr>
                  <w:rStyle w:val="Hyperlink"/>
                  <w:rFonts w:ascii="Arial Narrow" w:hAnsi="Arial Narrow"/>
                  <w:sz w:val="18"/>
                  <w:szCs w:val="18"/>
                </w:rPr>
                <w:t>strategy</w:t>
              </w:r>
            </w:hyperlink>
          </w:p>
          <w:p w14:paraId="5761EC4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493" w:history="1">
              <w:r w:rsidR="00A56EE9" w:rsidRPr="00E70A11">
                <w:rPr>
                  <w:rStyle w:val="Hyperlink"/>
                  <w:rFonts w:ascii="Arial Narrow" w:hAnsi="Arial Narrow"/>
                  <w:sz w:val="18"/>
                  <w:szCs w:val="18"/>
                </w:rPr>
                <w:t>Defence Estate Heritage Strategy</w:t>
              </w:r>
            </w:hyperlink>
          </w:p>
          <w:p w14:paraId="5761EC4A"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494" w:history="1">
              <w:r w:rsidR="00A56EE9" w:rsidRPr="00E70A11">
                <w:rPr>
                  <w:rStyle w:val="Hyperlink"/>
                  <w:rFonts w:ascii="Arial Narrow" w:hAnsi="Arial Narrow"/>
                  <w:sz w:val="18"/>
                  <w:szCs w:val="18"/>
                  <w:lang w:val="en"/>
                </w:rPr>
                <w:t>MOU 2016-2020 between Defence and GBRMPA on Management of Defence Activities in the GBRMP Region</w:t>
              </w:r>
            </w:hyperlink>
          </w:p>
          <w:p w14:paraId="5761EC4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Commonwealth of Australia, Resource Assessment Commission, Inquiry into Shoalwater Bay, Capricornia Coast, Queensland, 1993-94</w:t>
            </w:r>
          </w:p>
          <w:p w14:paraId="5761EC4C" w14:textId="77777777" w:rsidR="00A56EE9" w:rsidRPr="00E70A11" w:rsidRDefault="00A56EE9" w:rsidP="00BB6AD5">
            <w:pPr>
              <w:pStyle w:val="ListParagraph"/>
              <w:ind w:left="360"/>
              <w:rPr>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C4D"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C4E" w14:textId="77777777" w:rsidR="00A56EE9" w:rsidRPr="00E70A11" w:rsidRDefault="00A56EE9" w:rsidP="00BB6AD5">
            <w:pPr>
              <w:pStyle w:val="Tablebulletlist"/>
              <w:rPr>
                <w:rStyle w:val="BookTitle"/>
              </w:rPr>
            </w:pPr>
            <w:r w:rsidRPr="00E70A11">
              <w:rPr>
                <w:rStyle w:val="BookTitle"/>
                <w:color w:val="000000" w:themeColor="text1"/>
              </w:rPr>
              <w:t>Stable</w:t>
            </w:r>
          </w:p>
        </w:tc>
      </w:tr>
      <w:tr w:rsidR="00A56EE9" w:rsidRPr="00E70A11" w14:paraId="5761EC72"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C50"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to defence activities are known by managers</w:t>
            </w:r>
          </w:p>
        </w:tc>
        <w:tc>
          <w:tcPr>
            <w:tcW w:w="739" w:type="dxa"/>
            <w:tcBorders>
              <w:top w:val="single" w:sz="4" w:space="0" w:color="auto"/>
              <w:left w:val="single" w:sz="4" w:space="0" w:color="auto"/>
              <w:bottom w:val="single" w:sz="4" w:space="0" w:color="auto"/>
              <w:right w:val="single" w:sz="4" w:space="0" w:color="auto"/>
            </w:tcBorders>
          </w:tcPr>
          <w:p w14:paraId="5761EC51"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C5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Managers are aware of the condition of the GBR which is being monitored by GBRMPA.</w:t>
            </w:r>
            <w:r>
              <w:rPr>
                <w:rFonts w:ascii="Arial Narrow" w:hAnsi="Arial Narrow"/>
                <w:sz w:val="18"/>
                <w:szCs w:val="18"/>
              </w:rPr>
              <w:t xml:space="preserve"> </w:t>
            </w:r>
            <w:r w:rsidRPr="00E70A11">
              <w:rPr>
                <w:rFonts w:ascii="Arial Narrow" w:hAnsi="Arial Narrow"/>
                <w:sz w:val="18"/>
                <w:szCs w:val="18"/>
              </w:rPr>
              <w:t>Regarding Defence activities most knowledge is evident for the areas most commonly used by Defence such as SWBTA.</w:t>
            </w:r>
          </w:p>
          <w:p w14:paraId="5761EC5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Knowledge is not perfect and there are still some gaps. For example GBRMPA has noted that there has been no evaluation or regular monitoring of the aesthetic values relevant to Defence use undertaken in the World Heritage Area.</w:t>
            </w:r>
            <w:r>
              <w:rPr>
                <w:rFonts w:ascii="Arial Narrow" w:hAnsi="Arial Narrow"/>
                <w:sz w:val="18"/>
                <w:szCs w:val="18"/>
              </w:rPr>
              <w:t xml:space="preserve"> </w:t>
            </w:r>
            <w:r w:rsidRPr="00E70A11">
              <w:rPr>
                <w:rFonts w:ascii="Arial Narrow" w:hAnsi="Arial Narrow"/>
                <w:sz w:val="18"/>
                <w:szCs w:val="18"/>
              </w:rPr>
              <w:t>However, most Defence-related infrastructure is generally discretely located and Defence assesses all its works proposals internally. These assessments take account of the potential for adverse impacts on the range of World Heritage Values. In addition, Defence activities are typically undertaken in locations with minimal public visitation or interaction.</w:t>
            </w:r>
          </w:p>
          <w:p w14:paraId="5761EC5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QPWS also undertake some monitoring in Shoalwater Bay, with patrols, dealing with marine mammal and turtle strandings, undertaking a range of natural resource management actions (see Field Management Program documents etc.), often in concert with Defence. </w:t>
            </w:r>
          </w:p>
          <w:p w14:paraId="5761EC5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This assessment makes the following observations regarding knowledge associated with the condition of the reef relevant to Defence use: </w:t>
            </w:r>
          </w:p>
          <w:p w14:paraId="5761EC56"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The current condition and trend of some species in defence areas are well known (e.g. foraging turtles, dugongs, seagrass) however in general there is still a paucity of information on the current condition and trend of ecosystem values in defence areas </w:t>
            </w:r>
          </w:p>
          <w:p w14:paraId="5761EC57"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Turtle nesting survey data is required for the eastern Shoalwater Bay defence military training area, including Townsend Island, and islands immediately to the north. (</w:t>
            </w:r>
            <w:proofErr w:type="gramStart"/>
            <w:r w:rsidRPr="00E70A11">
              <w:rPr>
                <w:rFonts w:ascii="Arial Narrow" w:hAnsi="Arial Narrow"/>
                <w:sz w:val="18"/>
                <w:szCs w:val="18"/>
              </w:rPr>
              <w:t>i.e</w:t>
            </w:r>
            <w:proofErr w:type="gramEnd"/>
            <w:r w:rsidRPr="00E70A11">
              <w:rPr>
                <w:rFonts w:ascii="Arial Narrow" w:hAnsi="Arial Narrow"/>
                <w:sz w:val="18"/>
                <w:szCs w:val="18"/>
              </w:rPr>
              <w:t>. this is a gap in the east coast Qld coverage). It is noted however, that the eastern beaches of Townshend Island, being adjacent to an impact area, may have a significant UXO risk that ultimately may compromise the achievement of this Reef 2050 objective (see BA10).</w:t>
            </w:r>
          </w:p>
          <w:p w14:paraId="5761EC58"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Only limited telemetry data is available to define inter-nesting habitat requirements adjacent to the beaches for all species and stocks for Shoalwater Bay training area. </w:t>
            </w:r>
          </w:p>
          <w:p w14:paraId="5761EC59"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Managers acknowledge that there is minimal information available regarding the presence, activities or habitat requirements of inshore dolphins in Shoalwater Bay (and more generally elsewhere).</w:t>
            </w:r>
          </w:p>
          <w:p w14:paraId="5761EC5A"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Marine turtle species foraging surveys have been undertaken in the key index foraging areas supporting GBR breeding turtles including Shoalwater Bay.</w:t>
            </w:r>
          </w:p>
          <w:p w14:paraId="5761EC5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color w:val="000000" w:themeColor="text1"/>
                <w:sz w:val="18"/>
                <w:szCs w:val="18"/>
                <w:lang w:val="en"/>
              </w:rPr>
              <w:t>Defence has funded research projects providing valuable information to GBR managers:</w:t>
            </w:r>
            <w:r w:rsidRPr="00E70A11">
              <w:rPr>
                <w:rFonts w:ascii="Arial Narrow" w:hAnsi="Arial Narrow"/>
                <w:sz w:val="18"/>
                <w:szCs w:val="18"/>
              </w:rPr>
              <w:t xml:space="preserve"> </w:t>
            </w:r>
          </w:p>
          <w:p w14:paraId="5761EC5C"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color w:val="000000" w:themeColor="text1"/>
                <w:sz w:val="18"/>
                <w:szCs w:val="18"/>
                <w:lang w:val="en"/>
              </w:rPr>
              <w:t>Dugong and satellite tagging study within Shoalwater Bay in 2014</w:t>
            </w:r>
          </w:p>
          <w:p w14:paraId="5761EC5D"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Dugong and large marine turtle aerial surveys at Shoalwater Bay in 2016. Sobtzick et al present results showing Shoalwater Bay is a hotspot for dugongs and turtles </w:t>
            </w:r>
          </w:p>
          <w:p w14:paraId="5761EC5E"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cs="Helvetica 45 Light"/>
                <w:color w:val="000000"/>
                <w:sz w:val="18"/>
                <w:szCs w:val="18"/>
              </w:rPr>
              <w:t xml:space="preserve">GBRMPA worked with the Department of Defence and the Queensland Department of Environment and Heritage Protection to explore the use of satellite tagging to detect potential behavioural responses of turtles to defence activities in Shoalwater Bay </w:t>
            </w:r>
          </w:p>
          <w:p w14:paraId="5761EC5F"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Efforts are underway by researchers to provide frameworks and indicators for monitoring aesthetic values of the GBR generally</w:t>
            </w:r>
          </w:p>
        </w:tc>
        <w:tc>
          <w:tcPr>
            <w:tcW w:w="5326" w:type="dxa"/>
            <w:tcBorders>
              <w:top w:val="single" w:sz="4" w:space="0" w:color="auto"/>
              <w:left w:val="single" w:sz="4" w:space="0" w:color="auto"/>
              <w:bottom w:val="single" w:sz="4" w:space="0" w:color="auto"/>
              <w:right w:val="single" w:sz="4" w:space="0" w:color="auto"/>
            </w:tcBorders>
          </w:tcPr>
          <w:p w14:paraId="5761EC60" w14:textId="77777777" w:rsidR="00A56EE9" w:rsidRPr="00E70A11" w:rsidRDefault="008B5998" w:rsidP="00A11869">
            <w:pPr>
              <w:pStyle w:val="ListParagraph"/>
              <w:numPr>
                <w:ilvl w:val="0"/>
                <w:numId w:val="24"/>
              </w:numPr>
              <w:spacing w:after="200" w:line="276" w:lineRule="auto"/>
              <w:ind w:left="501"/>
              <w:rPr>
                <w:rFonts w:ascii="Arial Narrow" w:hAnsi="Arial Narrow"/>
                <w:sz w:val="18"/>
                <w:szCs w:val="18"/>
              </w:rPr>
            </w:pPr>
            <w:hyperlink r:id="rId495" w:history="1">
              <w:r w:rsidR="00A56EE9" w:rsidRPr="00E70A11">
                <w:rPr>
                  <w:rStyle w:val="Hyperlink"/>
                  <w:rFonts w:ascii="Arial Narrow" w:hAnsi="Arial Narrow"/>
                  <w:sz w:val="18"/>
                  <w:szCs w:val="18"/>
                </w:rPr>
                <w:t>State of the Environment Report for Shoalwater Bay Training Area 2008</w:t>
              </w:r>
            </w:hyperlink>
            <w:r w:rsidR="00A56EE9" w:rsidRPr="00E70A11">
              <w:rPr>
                <w:rFonts w:ascii="Arial Narrow" w:hAnsi="Arial Narrow"/>
                <w:sz w:val="18"/>
                <w:szCs w:val="18"/>
              </w:rPr>
              <w:t xml:space="preserve"> </w:t>
            </w:r>
          </w:p>
          <w:p w14:paraId="5761EC61" w14:textId="77777777" w:rsidR="00A56EE9" w:rsidRPr="00E70A11" w:rsidRDefault="00A56EE9" w:rsidP="00A11869">
            <w:pPr>
              <w:pStyle w:val="ListParagraph"/>
              <w:numPr>
                <w:ilvl w:val="0"/>
                <w:numId w:val="24"/>
              </w:numPr>
              <w:spacing w:after="200" w:line="276" w:lineRule="auto"/>
              <w:ind w:left="501"/>
              <w:rPr>
                <w:rFonts w:ascii="Arial Narrow" w:hAnsi="Arial Narrow"/>
                <w:sz w:val="18"/>
                <w:szCs w:val="18"/>
              </w:rPr>
            </w:pPr>
            <w:r w:rsidRPr="00E70A11">
              <w:rPr>
                <w:rFonts w:ascii="Arial Narrow" w:hAnsi="Arial Narrow"/>
                <w:sz w:val="18"/>
                <w:szCs w:val="18"/>
              </w:rPr>
              <w:t xml:space="preserve">Sobtzick, S., Hagihara, R., Grech, A. and Marsh, H. 2012, </w:t>
            </w:r>
            <w:hyperlink r:id="rId496" w:history="1">
              <w:r w:rsidRPr="00E70A11">
                <w:rPr>
                  <w:rStyle w:val="Hyperlink"/>
                  <w:rFonts w:ascii="Arial Narrow" w:hAnsi="Arial Narrow"/>
                  <w:sz w:val="18"/>
                  <w:szCs w:val="18"/>
                </w:rPr>
                <w:t>Aerial survey of the urban coast of Queensland to evaluate the response of the dugong population to the widespread effects of the extreme weather events of the summer of 2010-11</w:t>
              </w:r>
            </w:hyperlink>
            <w:r w:rsidRPr="00E70A11">
              <w:rPr>
                <w:rFonts w:ascii="Arial Narrow" w:hAnsi="Arial Narrow"/>
                <w:sz w:val="18"/>
                <w:szCs w:val="18"/>
              </w:rPr>
              <w:t>. Final report to the Australian Marine Mammal Centre and the National Environmental Research Program, James Cook University</w:t>
            </w:r>
          </w:p>
          <w:p w14:paraId="5761EC62" w14:textId="77777777" w:rsidR="00A56EE9" w:rsidRPr="00E70A11" w:rsidRDefault="008B5998" w:rsidP="00A11869">
            <w:pPr>
              <w:pStyle w:val="ListParagraph"/>
              <w:numPr>
                <w:ilvl w:val="0"/>
                <w:numId w:val="24"/>
              </w:numPr>
              <w:spacing w:after="200" w:line="276" w:lineRule="auto"/>
              <w:ind w:left="501"/>
              <w:rPr>
                <w:rFonts w:ascii="Arial Narrow" w:hAnsi="Arial Narrow"/>
                <w:sz w:val="18"/>
                <w:szCs w:val="18"/>
              </w:rPr>
            </w:pPr>
            <w:hyperlink r:id="rId497" w:tgtFrame="_blank" w:history="1">
              <w:r w:rsidR="00A56EE9" w:rsidRPr="00E70A11">
                <w:rPr>
                  <w:rStyle w:val="Hyperlink"/>
                  <w:rFonts w:ascii="Arial Narrow" w:hAnsi="Arial Narrow"/>
                  <w:sz w:val="18"/>
                  <w:szCs w:val="18"/>
                  <w:lang w:val="en"/>
                </w:rPr>
                <w:t>Defining the aesthetic values of the Great Barrier Reef World Heritage Area:</w:t>
              </w:r>
            </w:hyperlink>
            <w:r w:rsidR="00A56EE9" w:rsidRPr="00E70A11">
              <w:rPr>
                <w:rFonts w:ascii="Arial Narrow" w:hAnsi="Arial Narrow"/>
                <w:sz w:val="18"/>
                <w:szCs w:val="18"/>
                <w:lang w:val="en"/>
              </w:rPr>
              <w:t xml:space="preserve"> 2013. Identified and mapped aesthetic values of outstanding universal value and analyse the sensitivity of those values to particular impacts.</w:t>
            </w:r>
            <w:r w:rsidR="00A56EE9" w:rsidRPr="00E70A11">
              <w:rPr>
                <w:rFonts w:ascii="Arial Narrow" w:hAnsi="Arial Narrow"/>
                <w:sz w:val="18"/>
                <w:szCs w:val="18"/>
              </w:rPr>
              <w:t xml:space="preserve"> </w:t>
            </w:r>
          </w:p>
          <w:p w14:paraId="5761EC63" w14:textId="77777777" w:rsidR="00A56EE9" w:rsidRPr="00E70A11" w:rsidRDefault="008B5998" w:rsidP="00A11869">
            <w:pPr>
              <w:pStyle w:val="ListParagraph"/>
              <w:numPr>
                <w:ilvl w:val="0"/>
                <w:numId w:val="24"/>
              </w:numPr>
              <w:spacing w:after="200" w:line="276" w:lineRule="auto"/>
              <w:ind w:left="501"/>
              <w:rPr>
                <w:rFonts w:ascii="Arial Narrow" w:hAnsi="Arial Narrow"/>
                <w:sz w:val="18"/>
                <w:szCs w:val="18"/>
              </w:rPr>
            </w:pPr>
            <w:hyperlink r:id="rId498" w:history="1">
              <w:r w:rsidR="00A56EE9" w:rsidRPr="00E70A11">
                <w:rPr>
                  <w:rStyle w:val="Hyperlink"/>
                  <w:rFonts w:ascii="Arial Narrow" w:hAnsi="Arial Narrow"/>
                  <w:sz w:val="18"/>
                  <w:szCs w:val="18"/>
                </w:rPr>
                <w:t>Outlook Report 2014</w:t>
              </w:r>
            </w:hyperlink>
            <w:r w:rsidR="00A56EE9" w:rsidRPr="00E70A11">
              <w:rPr>
                <w:rFonts w:ascii="Arial Narrow" w:hAnsi="Arial Narrow"/>
                <w:sz w:val="18"/>
                <w:szCs w:val="18"/>
              </w:rPr>
              <w:t>, Ch5 defence section and Ch 2,3 etc</w:t>
            </w:r>
          </w:p>
          <w:p w14:paraId="5761EC64" w14:textId="77777777" w:rsidR="00A56EE9" w:rsidRPr="00E70A11" w:rsidRDefault="008B5998" w:rsidP="00A11869">
            <w:pPr>
              <w:pStyle w:val="ListParagraph"/>
              <w:numPr>
                <w:ilvl w:val="0"/>
                <w:numId w:val="24"/>
              </w:numPr>
              <w:spacing w:after="200" w:line="276" w:lineRule="auto"/>
              <w:ind w:left="501"/>
              <w:rPr>
                <w:rFonts w:ascii="Arial Narrow" w:hAnsi="Arial Narrow"/>
                <w:sz w:val="18"/>
                <w:szCs w:val="18"/>
              </w:rPr>
            </w:pPr>
            <w:hyperlink r:id="rId499" w:tooltip="gbr-strat-assessment-ind-review-report.pdf" w:history="1">
              <w:r w:rsidR="00A56EE9" w:rsidRPr="00E70A11">
                <w:rPr>
                  <w:rStyle w:val="Hyperlink"/>
                  <w:rFonts w:ascii="Arial Narrow" w:hAnsi="Arial Narrow"/>
                  <w:sz w:val="18"/>
                  <w:szCs w:val="18"/>
                  <w:lang w:val="en"/>
                </w:rPr>
                <w:t>Great Barrier Reef Coastal Zone Strategic Assessment: Independent Review Report)</w:t>
              </w:r>
            </w:hyperlink>
            <w:r w:rsidR="00A56EE9" w:rsidRPr="00E70A11">
              <w:rPr>
                <w:rFonts w:ascii="Arial Narrow" w:hAnsi="Arial Narrow"/>
                <w:sz w:val="18"/>
                <w:szCs w:val="18"/>
                <w:lang w:val="en"/>
              </w:rPr>
              <w:t xml:space="preserve"> </w:t>
            </w:r>
          </w:p>
          <w:p w14:paraId="5761EC65" w14:textId="77777777" w:rsidR="00A56EE9" w:rsidRPr="00E70A11" w:rsidRDefault="008B5998" w:rsidP="00A11869">
            <w:pPr>
              <w:pStyle w:val="ListParagraph"/>
              <w:numPr>
                <w:ilvl w:val="0"/>
                <w:numId w:val="24"/>
              </w:numPr>
              <w:spacing w:after="200" w:line="276" w:lineRule="auto"/>
              <w:ind w:left="501"/>
              <w:rPr>
                <w:rStyle w:val="BookTitle"/>
                <w:rFonts w:ascii="Arial Narrow" w:hAnsi="Arial Narrow"/>
                <w:sz w:val="18"/>
                <w:szCs w:val="18"/>
              </w:rPr>
            </w:pPr>
            <w:hyperlink r:id="rId500" w:history="1">
              <w:r w:rsidR="00A56EE9" w:rsidRPr="00E70A11">
                <w:rPr>
                  <w:rStyle w:val="Hyperlink"/>
                  <w:rFonts w:ascii="Arial Narrow" w:hAnsi="Arial Narrow"/>
                  <w:sz w:val="18"/>
                  <w:szCs w:val="18"/>
                </w:rPr>
                <w:t>Great Barrier Reef Strategic Assessment Report</w:t>
              </w:r>
            </w:hyperlink>
            <w:r w:rsidR="00A56EE9" w:rsidRPr="00E70A11">
              <w:rPr>
                <w:rStyle w:val="BookTitle"/>
                <w:rFonts w:ascii="Arial Narrow" w:hAnsi="Arial Narrow"/>
                <w:sz w:val="18"/>
                <w:szCs w:val="18"/>
              </w:rPr>
              <w:t>, Chapter 7</w:t>
            </w:r>
          </w:p>
          <w:p w14:paraId="5761EC66" w14:textId="77777777" w:rsidR="00A56EE9" w:rsidRPr="00E70A11" w:rsidRDefault="00A56EE9" w:rsidP="00A11869">
            <w:pPr>
              <w:pStyle w:val="ListParagraph"/>
              <w:numPr>
                <w:ilvl w:val="0"/>
                <w:numId w:val="24"/>
              </w:numPr>
              <w:spacing w:after="200" w:line="276" w:lineRule="auto"/>
              <w:ind w:left="501"/>
              <w:rPr>
                <w:rFonts w:ascii="Arial Narrow" w:hAnsi="Arial Narrow"/>
                <w:b/>
                <w:sz w:val="18"/>
                <w:szCs w:val="18"/>
                <w:u w:val="single"/>
              </w:rPr>
            </w:pPr>
            <w:r w:rsidRPr="00E70A11">
              <w:rPr>
                <w:rFonts w:ascii="Arial Narrow" w:hAnsi="Arial Narrow"/>
                <w:sz w:val="18"/>
                <w:szCs w:val="18"/>
              </w:rPr>
              <w:t>Talisman Saber exercise series:</w:t>
            </w:r>
          </w:p>
          <w:p w14:paraId="5761EC67"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C68" w14:textId="77777777" w:rsidR="00A56EE9" w:rsidRPr="00E70A11" w:rsidRDefault="008B5998" w:rsidP="00A11869">
            <w:pPr>
              <w:pStyle w:val="ListParagraph"/>
              <w:numPr>
                <w:ilvl w:val="1"/>
                <w:numId w:val="24"/>
              </w:numPr>
              <w:spacing w:after="200" w:line="276" w:lineRule="auto"/>
              <w:rPr>
                <w:rFonts w:ascii="Arial Narrow" w:hAnsi="Arial Narrow"/>
                <w:b/>
                <w:sz w:val="18"/>
                <w:szCs w:val="18"/>
                <w:u w:val="single"/>
              </w:rPr>
            </w:pPr>
            <w:hyperlink r:id="rId501"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Style w:val="Hyperlink"/>
                <w:rFonts w:ascii="Arial Narrow" w:hAnsi="Arial Narrow"/>
                <w:sz w:val="18"/>
                <w:szCs w:val="18"/>
              </w:rPr>
              <w:t xml:space="preserve"> </w:t>
            </w:r>
          </w:p>
          <w:p w14:paraId="5761EC69" w14:textId="77777777" w:rsidR="00A56EE9" w:rsidRPr="00E70A11" w:rsidRDefault="008B5998" w:rsidP="00A11869">
            <w:pPr>
              <w:pStyle w:val="ListParagraph"/>
              <w:numPr>
                <w:ilvl w:val="0"/>
                <w:numId w:val="24"/>
              </w:numPr>
              <w:spacing w:after="200" w:line="276" w:lineRule="auto"/>
              <w:ind w:left="501"/>
              <w:rPr>
                <w:rFonts w:ascii="Arial Narrow" w:hAnsi="Arial Narrow"/>
                <w:b/>
                <w:sz w:val="18"/>
                <w:szCs w:val="18"/>
                <w:u w:val="single"/>
              </w:rPr>
            </w:pPr>
            <w:hyperlink r:id="rId502" w:history="1">
              <w:r w:rsidR="00A56EE9" w:rsidRPr="00E70A11">
                <w:rPr>
                  <w:rStyle w:val="Hyperlink"/>
                  <w:rFonts w:ascii="Arial Narrow" w:hAnsi="Arial Narrow"/>
                  <w:sz w:val="18"/>
                  <w:szCs w:val="18"/>
                  <w:lang w:val="en"/>
                </w:rPr>
                <w:t>Defence activities on QPWS managed areas</w:t>
              </w:r>
            </w:hyperlink>
            <w:r w:rsidR="00A56EE9" w:rsidRPr="00E70A11">
              <w:rPr>
                <w:rFonts w:ascii="Arial Narrow" w:hAnsi="Arial Narrow"/>
                <w:sz w:val="18"/>
                <w:szCs w:val="18"/>
                <w:lang w:val="en"/>
              </w:rPr>
              <w:t xml:space="preserve"> 2015</w:t>
            </w:r>
          </w:p>
          <w:p w14:paraId="5761EC6A" w14:textId="77777777" w:rsidR="00A56EE9" w:rsidRPr="00E70A11" w:rsidRDefault="00A56EE9" w:rsidP="00A11869">
            <w:pPr>
              <w:pStyle w:val="ListParagraph"/>
              <w:numPr>
                <w:ilvl w:val="0"/>
                <w:numId w:val="24"/>
              </w:numPr>
              <w:autoSpaceDE w:val="0"/>
              <w:autoSpaceDN w:val="0"/>
              <w:adjustRightInd w:val="0"/>
              <w:spacing w:after="0" w:line="240" w:lineRule="auto"/>
              <w:ind w:left="501"/>
              <w:rPr>
                <w:rFonts w:ascii="Arial Narrow" w:hAnsi="Arial Narrow"/>
                <w:sz w:val="18"/>
                <w:szCs w:val="18"/>
              </w:rPr>
            </w:pPr>
            <w:r w:rsidRPr="00E70A11">
              <w:rPr>
                <w:rFonts w:ascii="Arial Narrow" w:hAnsi="Arial Narrow" w:cs="ArialMT"/>
                <w:sz w:val="18"/>
                <w:szCs w:val="18"/>
              </w:rPr>
              <w:t xml:space="preserve">Sobtzick, S., Cleguer, C., Hagihara, R., and Marsh, H. 2017. </w:t>
            </w:r>
            <w:hyperlink r:id="rId503" w:history="1">
              <w:r w:rsidRPr="00E70A11">
                <w:rPr>
                  <w:rStyle w:val="Hyperlink"/>
                  <w:rFonts w:ascii="Arial Narrow" w:hAnsi="Arial Narrow" w:cs="ArialMT"/>
                  <w:sz w:val="18"/>
                  <w:szCs w:val="18"/>
                </w:rPr>
                <w:t>Distribution and abundance of dugong and large marine turtles in Moreton Bay, Hervey Bay and the southern Great Barrier Reef.</w:t>
              </w:r>
            </w:hyperlink>
            <w:r w:rsidRPr="00E70A11">
              <w:rPr>
                <w:rFonts w:ascii="Arial Narrow" w:hAnsi="Arial Narrow" w:cs="ArialMT"/>
                <w:sz w:val="18"/>
                <w:szCs w:val="18"/>
              </w:rPr>
              <w:t xml:space="preserve"> A report to the Great Barrier Reef Marine Park Authority. Centre for Tropical Water &amp; Aquatic Ecosystem Research (TropWATER) Publication 17/21, James Cook University,</w:t>
            </w:r>
            <w:r>
              <w:rPr>
                <w:rFonts w:ascii="Arial Narrow" w:hAnsi="Arial Narrow" w:cs="ArialMT"/>
                <w:sz w:val="18"/>
                <w:szCs w:val="18"/>
              </w:rPr>
              <w:t xml:space="preserve"> </w:t>
            </w:r>
          </w:p>
          <w:p w14:paraId="5761EC6B" w14:textId="77777777" w:rsidR="00A56EE9" w:rsidRPr="00E70A11" w:rsidRDefault="008B5998" w:rsidP="00A11869">
            <w:pPr>
              <w:pStyle w:val="ListParagraph"/>
              <w:numPr>
                <w:ilvl w:val="0"/>
                <w:numId w:val="24"/>
              </w:numPr>
              <w:autoSpaceDE w:val="0"/>
              <w:autoSpaceDN w:val="0"/>
              <w:adjustRightInd w:val="0"/>
              <w:spacing w:after="0" w:line="240" w:lineRule="auto"/>
              <w:ind w:left="501"/>
              <w:rPr>
                <w:rStyle w:val="Hyperlink"/>
                <w:rFonts w:ascii="Arial Narrow" w:hAnsi="Arial Narrow"/>
                <w:sz w:val="18"/>
                <w:szCs w:val="18"/>
              </w:rPr>
            </w:pPr>
            <w:hyperlink r:id="rId504" w:history="1">
              <w:r w:rsidR="00A56EE9" w:rsidRPr="00E70A11">
                <w:rPr>
                  <w:rStyle w:val="Hyperlink"/>
                  <w:rFonts w:ascii="Arial Narrow" w:hAnsi="Arial Narrow" w:cs="ArialMT"/>
                  <w:sz w:val="18"/>
                  <w:szCs w:val="18"/>
                </w:rPr>
                <w:t>MMP seagrass monitoring program</w:t>
              </w:r>
            </w:hyperlink>
          </w:p>
          <w:p w14:paraId="5761EC6C" w14:textId="77777777" w:rsidR="00A56EE9" w:rsidRPr="00E70A11" w:rsidRDefault="008B5998" w:rsidP="00A11869">
            <w:pPr>
              <w:pStyle w:val="ListParagraph"/>
              <w:numPr>
                <w:ilvl w:val="0"/>
                <w:numId w:val="24"/>
              </w:numPr>
              <w:spacing w:after="200" w:line="276" w:lineRule="auto"/>
              <w:ind w:left="459"/>
              <w:rPr>
                <w:rFonts w:ascii="Arial Narrow" w:hAnsi="Arial Narrow"/>
                <w:sz w:val="18"/>
                <w:szCs w:val="18"/>
                <w:lang w:val="en"/>
              </w:rPr>
            </w:pPr>
            <w:hyperlink r:id="rId505" w:history="1">
              <w:r w:rsidR="00A56EE9" w:rsidRPr="00E70A11">
                <w:rPr>
                  <w:rStyle w:val="Hyperlink"/>
                  <w:rFonts w:ascii="Arial Narrow" w:hAnsi="Arial Narrow"/>
                  <w:sz w:val="18"/>
                  <w:szCs w:val="18"/>
                  <w:lang w:val="en"/>
                </w:rPr>
                <w:t>Defining, assessing and monitoring Great Barrier Reef aesthetics</w:t>
              </w:r>
            </w:hyperlink>
            <w:r w:rsidR="00A56EE9" w:rsidRPr="00E70A11">
              <w:rPr>
                <w:rFonts w:ascii="Arial Narrow" w:hAnsi="Arial Narrow"/>
                <w:sz w:val="18"/>
                <w:szCs w:val="18"/>
                <w:lang w:val="en"/>
              </w:rPr>
              <w:t xml:space="preserve">: a </w:t>
            </w:r>
            <w:r w:rsidR="00A56EE9" w:rsidRPr="00E70A11">
              <w:rPr>
                <w:rFonts w:ascii="Arial Narrow" w:hAnsi="Arial Narrow"/>
                <w:sz w:val="18"/>
                <w:szCs w:val="18"/>
              </w:rPr>
              <w:t>current NESP project underway.</w:t>
            </w:r>
          </w:p>
          <w:p w14:paraId="5761EC6D" w14:textId="77777777" w:rsidR="00A56EE9" w:rsidRPr="00E70A11" w:rsidRDefault="008B5998" w:rsidP="00A11869">
            <w:pPr>
              <w:pStyle w:val="ListParagraph"/>
              <w:numPr>
                <w:ilvl w:val="0"/>
                <w:numId w:val="24"/>
              </w:numPr>
              <w:spacing w:after="200" w:line="276" w:lineRule="auto"/>
              <w:ind w:left="459"/>
              <w:rPr>
                <w:rStyle w:val="Hyperlink"/>
                <w:rFonts w:ascii="Arial Narrow" w:hAnsi="Arial Narrow"/>
                <w:sz w:val="18"/>
                <w:szCs w:val="18"/>
                <w:lang w:val="en"/>
              </w:rPr>
            </w:pPr>
            <w:hyperlink r:id="rId506" w:history="1">
              <w:r w:rsidR="00A56EE9" w:rsidRPr="00E70A11">
                <w:rPr>
                  <w:rStyle w:val="Hyperlink"/>
                  <w:rFonts w:ascii="Arial Narrow" w:hAnsi="Arial Narrow"/>
                  <w:sz w:val="18"/>
                  <w:szCs w:val="18"/>
                  <w:lang w:val="en"/>
                </w:rPr>
                <w:t>GBRMPA Annual Report 2014-15</w:t>
              </w:r>
            </w:hyperlink>
            <w:r w:rsidR="00A56EE9" w:rsidRPr="00E70A11">
              <w:rPr>
                <w:rStyle w:val="Hyperlink"/>
                <w:rFonts w:ascii="Arial Narrow" w:hAnsi="Arial Narrow"/>
                <w:sz w:val="18"/>
                <w:szCs w:val="18"/>
                <w:lang w:val="en"/>
              </w:rPr>
              <w:t>, p27</w:t>
            </w:r>
          </w:p>
          <w:p w14:paraId="5761EC6E" w14:textId="77777777" w:rsidR="00A56EE9" w:rsidRPr="00E70A11" w:rsidRDefault="00A56EE9" w:rsidP="00BB6AD5">
            <w:pPr>
              <w:rPr>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C6F" w14:textId="77777777" w:rsidR="00A56EE9" w:rsidRPr="00E70A11" w:rsidRDefault="00A56EE9" w:rsidP="00BB6AD5">
            <w:pPr>
              <w:pStyle w:val="Tablebulletlist"/>
              <w:rPr>
                <w:rStyle w:val="BookTitle"/>
                <w:color w:val="000000" w:themeColor="text1"/>
              </w:rPr>
            </w:pPr>
            <w:r w:rsidRPr="00E70A11">
              <w:rPr>
                <w:rStyle w:val="BookTitle"/>
                <w:color w:val="000000" w:themeColor="text1"/>
              </w:rPr>
              <w:t>Adequate</w:t>
            </w:r>
          </w:p>
          <w:p w14:paraId="5761EC70"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tcPr>
          <w:p w14:paraId="5761EC71" w14:textId="77777777" w:rsidR="00A56EE9" w:rsidRPr="00E70A11" w:rsidRDefault="00A56EE9" w:rsidP="00BB6AD5">
            <w:pPr>
              <w:pStyle w:val="Tablebulletlist"/>
              <w:rPr>
                <w:rStyle w:val="BookTitle"/>
              </w:rPr>
            </w:pPr>
            <w:r w:rsidRPr="00E70A11">
              <w:rPr>
                <w:rStyle w:val="BookTitle"/>
                <w:color w:val="000000" w:themeColor="text1"/>
              </w:rPr>
              <w:t>Stable</w:t>
            </w:r>
          </w:p>
        </w:tc>
      </w:tr>
      <w:tr w:rsidR="00A56EE9" w:rsidRPr="00E70A11" w14:paraId="5761EC8D"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C73"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Impacts (direct, indirect and cumulative) associated with defence activities are understood by managers.</w:t>
            </w:r>
          </w:p>
        </w:tc>
        <w:tc>
          <w:tcPr>
            <w:tcW w:w="739" w:type="dxa"/>
            <w:tcBorders>
              <w:top w:val="single" w:sz="4" w:space="0" w:color="auto"/>
              <w:left w:val="single" w:sz="4" w:space="0" w:color="auto"/>
              <w:bottom w:val="single" w:sz="4" w:space="0" w:color="auto"/>
              <w:right w:val="single" w:sz="4" w:space="0" w:color="auto"/>
            </w:tcBorders>
          </w:tcPr>
          <w:p w14:paraId="5761EC74"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C7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From an environmental management perspective defence activities continue to be well planned, managed and resourced.</w:t>
            </w:r>
            <w:r>
              <w:rPr>
                <w:rFonts w:ascii="Arial Narrow" w:hAnsi="Arial Narrow"/>
                <w:sz w:val="18"/>
                <w:szCs w:val="18"/>
              </w:rPr>
              <w:t xml:space="preserve"> </w:t>
            </w:r>
            <w:r w:rsidRPr="00E70A11">
              <w:rPr>
                <w:rFonts w:ascii="Arial Narrow" w:hAnsi="Arial Narrow"/>
                <w:sz w:val="18"/>
                <w:szCs w:val="18"/>
              </w:rPr>
              <w:t xml:space="preserve">The risk of incidents causing lasting environmental harm to the GBR remains low. Standard operating procedures and contingency plans cover the range of defence activities, and any incidents are promptly reported and closely investigated. However, by their nature, defence activities do pose some unique risks which must be continually monitored and managed. </w:t>
            </w:r>
          </w:p>
          <w:p w14:paraId="5761EC7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Defence Risk Assessment on GBR Website – indicates that risks well known and addressed – specific management actions have been developed to manage each of these risks down to a low level </w:t>
            </w:r>
          </w:p>
          <w:p w14:paraId="5761EC7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managers (in consultation with GBRMPA staff), consider new activities, deployment of equipment, and all major exercises, through environmental impact and risk assessment processes </w:t>
            </w:r>
          </w:p>
          <w:p w14:paraId="5761EC7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activities that occur within the GBR are effectively managed under the framework established under the Strategic Environmental Assessment that Defence developed in collaboration with the GBRMPA. This document identifies the direct and indirect impact associated with a specific suite of defence activities and detai</w:t>
            </w:r>
            <w:r>
              <w:rPr>
                <w:rFonts w:ascii="Arial Narrow" w:hAnsi="Arial Narrow"/>
                <w:sz w:val="18"/>
                <w:szCs w:val="18"/>
              </w:rPr>
              <w:t>ls how they will be mitigated.</w:t>
            </w:r>
            <w:r w:rsidRPr="00E70A11">
              <w:rPr>
                <w:rFonts w:ascii="Arial Narrow" w:hAnsi="Arial Narrow"/>
                <w:sz w:val="18"/>
                <w:szCs w:val="18"/>
              </w:rPr>
              <w:t xml:space="preserve"> For example, it is noted that all RAN vessels (except HMAS </w:t>
            </w:r>
            <w:r w:rsidRPr="00E70A11">
              <w:rPr>
                <w:rFonts w:ascii="Arial Narrow" w:hAnsi="Arial Narrow"/>
                <w:i/>
                <w:sz w:val="18"/>
                <w:szCs w:val="18"/>
              </w:rPr>
              <w:t>Sirius</w:t>
            </w:r>
            <w:r w:rsidRPr="00E70A11">
              <w:rPr>
                <w:rFonts w:ascii="Arial Narrow" w:hAnsi="Arial Narrow"/>
                <w:sz w:val="18"/>
                <w:szCs w:val="18"/>
              </w:rPr>
              <w:t>) now run on diesel fuel (i.e. no heavy fuel oil on board) which reduces the risks of serious pollution incidents.</w:t>
            </w:r>
          </w:p>
          <w:p w14:paraId="5761EC7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Managers consider that social perceptions and risks are not always well understood (e.g. as demonstrated by public response to UXO incidents although it is recognised that initial 2013 Defence / USN UXO incident public releases possibly reinforced negative public reactions.</w:t>
            </w:r>
          </w:p>
          <w:p w14:paraId="5761EC7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In 2012 Defence funded the GBRMPA research project: </w:t>
            </w:r>
            <w:r w:rsidRPr="00E70A11">
              <w:rPr>
                <w:rFonts w:ascii="Arial Narrow" w:hAnsi="Arial Narrow"/>
                <w:i/>
                <w:sz w:val="18"/>
                <w:szCs w:val="18"/>
              </w:rPr>
              <w:t xml:space="preserve">Assessing aspects of the health of the seagrass meadows and green turtle population in Shoalwater Bay </w:t>
            </w:r>
            <w:r w:rsidRPr="00E70A11">
              <w:rPr>
                <w:rFonts w:ascii="Arial Narrow" w:hAnsi="Arial Narrow"/>
                <w:sz w:val="18"/>
                <w:szCs w:val="18"/>
              </w:rPr>
              <w:t>included quantifying the type and amount of impacts on them (e.g. numb</w:t>
            </w:r>
            <w:r>
              <w:rPr>
                <w:rFonts w:ascii="Arial Narrow" w:hAnsi="Arial Narrow"/>
                <w:sz w:val="18"/>
                <w:szCs w:val="18"/>
              </w:rPr>
              <w:t xml:space="preserve">er with propeller damage etc). </w:t>
            </w:r>
          </w:p>
          <w:p w14:paraId="5761EC7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noted that Defence is obliged to notify GBRMPA of activities in the GBRMP however it does not require permission to enter or conduct most ‘defence activities’ that fall within the scope of the Strategic Assessment. The Authority may apply further management controls by issuing directions that Defence must comply with.</w:t>
            </w:r>
            <w:r>
              <w:rPr>
                <w:rFonts w:ascii="Arial Narrow" w:hAnsi="Arial Narrow"/>
                <w:sz w:val="18"/>
                <w:szCs w:val="18"/>
              </w:rPr>
              <w:t xml:space="preserve"> </w:t>
            </w:r>
            <w:r w:rsidRPr="00E70A11">
              <w:rPr>
                <w:rFonts w:ascii="Arial Narrow" w:hAnsi="Arial Narrow"/>
                <w:sz w:val="18"/>
                <w:szCs w:val="18"/>
              </w:rPr>
              <w:t>There is no specific requirement for a Part 5 direction. Managers from GBRMPA and Defence cooperate in the development of mitigation measures and exercise design and for TS17 this included close collaboration on all relevant aspects of the exercise. It is understood that the collaboration and concurrence on measures for mitigation/management planning and working together on environmental aspects of exercise design generally avoids the need for a Part 5 direction. Any directions that are issued by GBRMPA take into account the potential impacts of the activities (direct and indirect). GBRMPA also require reporting and evaluation of the effectiveness of environmental controls post-activity.</w:t>
            </w:r>
            <w:r>
              <w:rPr>
                <w:rFonts w:ascii="Arial Narrow" w:hAnsi="Arial Narrow"/>
                <w:sz w:val="18"/>
                <w:szCs w:val="18"/>
              </w:rPr>
              <w:t xml:space="preserve"> </w:t>
            </w:r>
            <w:r w:rsidRPr="00E70A11">
              <w:rPr>
                <w:rFonts w:ascii="Arial Narrow" w:hAnsi="Arial Narrow"/>
                <w:sz w:val="18"/>
                <w:szCs w:val="18"/>
              </w:rPr>
              <w:t>Historically this approach has proven robust and has been effective in managing the foreseeable risks arising from Defence activities.</w:t>
            </w:r>
          </w:p>
          <w:p w14:paraId="5761EC7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Improved understanding and cooperation between agencies considering environmental management of Defence activities is evidenced by the TS17 Post Exercise Report documents where it describes how the conduct of TS17 met the pre-exercise commitments made by Defence to manage and mitigate environmental impacts that it had documented in the Public Environment Report (PER).</w:t>
            </w:r>
          </w:p>
          <w:p w14:paraId="5761EC7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It is noted that there are specific environmental risk management procedures in place that focus on dugongs and turtles. Managers accept that further research is required for dolphins however it is expected that they will be given similar level of protection as dugongs and turtles when decisions are made about Defence use. </w:t>
            </w:r>
          </w:p>
          <w:p w14:paraId="5761EC7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and GBRMPA managers also understand that underwater explosions can affect or cause adverse behavioural effects on marine fauna (turtles, dugongs and dolphins). </w:t>
            </w:r>
          </w:p>
          <w:p w14:paraId="5761EC7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has evaluated potential risks of noise and adheres to a comprehensive suite of environmental mitigation controls (for all forms of sonar, underwater telephones, acoustic influence minesweeping gear etc), supported by research to better understand and characterise underwater acoustic propagation and the possible effects upon sensitive marine fauna</w:t>
            </w:r>
          </w:p>
          <w:p w14:paraId="5761EC8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undertakes extensive consultation at the local and regional level to identify potential external influences – e.g. undertakes NGOs &amp; community consultation.</w:t>
            </w:r>
            <w:r>
              <w:rPr>
                <w:rFonts w:ascii="Arial Narrow" w:hAnsi="Arial Narrow"/>
                <w:sz w:val="18"/>
                <w:szCs w:val="18"/>
              </w:rPr>
              <w:t xml:space="preserve"> </w:t>
            </w:r>
            <w:r w:rsidRPr="00E70A11">
              <w:rPr>
                <w:rFonts w:ascii="Arial Narrow" w:hAnsi="Arial Narrow"/>
                <w:sz w:val="18"/>
                <w:szCs w:val="18"/>
              </w:rPr>
              <w:t xml:space="preserve">Defence managers have established an Environmental Advisory Committee (EAC) for each Training area. </w:t>
            </w:r>
          </w:p>
          <w:p w14:paraId="5761EC8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recognised that managers have considered that there is very low potential for nuclear-powered vessel accident and the risk is encompassed in existing risk assessments.</w:t>
            </w:r>
          </w:p>
          <w:p w14:paraId="5761EC8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potential impact of greatest concern is the introduction of marine pests. Defence advises that it employs stringent quarantine measures to reduce this risk. Australia also has a number of guidelines for ballast water management for international and domestic vessels and Defence complies with recent legislative changes concerning ballast water management.</w:t>
            </w:r>
          </w:p>
          <w:p w14:paraId="5761EC8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Defence estate organisation also has an Energy Strategy (2014-2019) in place which looks to reduce climate change impacts and minimise other environmental consequences</w:t>
            </w:r>
            <w:r>
              <w:rPr>
                <w:rFonts w:ascii="Arial Narrow" w:hAnsi="Arial Narrow"/>
                <w:sz w:val="18"/>
                <w:szCs w:val="18"/>
              </w:rPr>
              <w:t xml:space="preserve"> arising from fossil fuel use. </w:t>
            </w:r>
          </w:p>
          <w:p w14:paraId="5761EC84"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UXO, other than what might have been located or generated during conduct of the exercise, is referenced on a Defence webpage. There is a paucity of knowledge about the legacy aspects of this issue which means that the information is not sufficiently detailed by itself to guide reef planning and management decisions at the site level.</w:t>
            </w:r>
            <w:r>
              <w:rPr>
                <w:rFonts w:ascii="Arial Narrow" w:hAnsi="Arial Narrow"/>
                <w:sz w:val="18"/>
                <w:szCs w:val="18"/>
              </w:rPr>
              <w:t xml:space="preserve"> </w:t>
            </w:r>
            <w:r w:rsidRPr="00E70A11">
              <w:rPr>
                <w:rFonts w:ascii="Arial Narrow" w:hAnsi="Arial Narrow"/>
                <w:sz w:val="18"/>
                <w:szCs w:val="18"/>
              </w:rPr>
              <w:t>It is not clear exactly how GBRMPA managers can address the somewhat diffuse risk that UXO may present where it could potentially effect day-to-day decisions about use of the marine park.</w:t>
            </w:r>
          </w:p>
          <w:p w14:paraId="5761EC85" w14:textId="3E5C7C3E" w:rsidR="00A56EE9" w:rsidRPr="0091564C" w:rsidRDefault="00A56EE9" w:rsidP="00A11869">
            <w:pPr>
              <w:pStyle w:val="ListParagraph"/>
              <w:numPr>
                <w:ilvl w:val="0"/>
                <w:numId w:val="24"/>
              </w:numPr>
              <w:spacing w:after="200" w:line="276" w:lineRule="auto"/>
              <w:rPr>
                <w:rFonts w:ascii="Arial Narrow" w:hAnsi="Arial Narrow"/>
                <w:sz w:val="18"/>
                <w:szCs w:val="18"/>
              </w:rPr>
            </w:pPr>
            <w:r>
              <w:rPr>
                <w:rFonts w:ascii="Arial Narrow" w:hAnsi="Arial Narrow"/>
                <w:sz w:val="18"/>
                <w:szCs w:val="18"/>
              </w:rPr>
              <w:t>S</w:t>
            </w:r>
            <w:r w:rsidRPr="0091564C">
              <w:rPr>
                <w:rFonts w:ascii="Arial Narrow" w:hAnsi="Arial Narrow"/>
                <w:sz w:val="18"/>
                <w:szCs w:val="18"/>
              </w:rPr>
              <w:t>onar systems in use and in particular those brought into service since finalisation of the 2014 Outlook report are generally consistent with descriptions provided by pages on the Department of Environment and Energy (</w:t>
            </w:r>
            <w:hyperlink r:id="rId507" w:tooltip="document link" w:history="1">
              <w:r w:rsidRPr="0091564C">
                <w:rPr>
                  <w:rFonts w:ascii="Arial Narrow" w:hAnsi="Arial Narrow"/>
                  <w:sz w:val="18"/>
                  <w:szCs w:val="18"/>
                </w:rPr>
                <w:t>http://www.environment.gov.au/marine/marine-species/cetaceans/sonar-seismic-impacts</w:t>
              </w:r>
            </w:hyperlink>
            <w:r w:rsidRPr="0091564C">
              <w:rPr>
                <w:rFonts w:ascii="Arial Narrow" w:hAnsi="Arial Narrow"/>
                <w:sz w:val="18"/>
                <w:szCs w:val="18"/>
              </w:rPr>
              <w:t>) and the Royal Australian Navy (</w:t>
            </w:r>
            <w:hyperlink r:id="rId508" w:tooltip="document link" w:history="1">
              <w:r w:rsidRPr="0091564C">
                <w:rPr>
                  <w:rFonts w:ascii="Arial Narrow" w:hAnsi="Arial Narrow"/>
                  <w:sz w:val="18"/>
                  <w:szCs w:val="18"/>
                </w:rPr>
                <w:t>http://www.navy.gov.au/about/organisation/environment</w:t>
              </w:r>
            </w:hyperlink>
            <w:r w:rsidRPr="0091564C">
              <w:rPr>
                <w:rFonts w:ascii="Arial Narrow" w:hAnsi="Arial Narrow"/>
                <w:sz w:val="18"/>
                <w:szCs w:val="18"/>
              </w:rPr>
              <w:t>) websites. In some instances these systems do not represent new capability, only an upgrade on previous systems however can be summarised as follows:</w:t>
            </w:r>
          </w:p>
          <w:p w14:paraId="5761EC86" w14:textId="77777777" w:rsidR="00A56EE9" w:rsidRPr="0091564C" w:rsidRDefault="00A56EE9" w:rsidP="00A11869">
            <w:pPr>
              <w:pStyle w:val="ListParagraph"/>
              <w:numPr>
                <w:ilvl w:val="0"/>
                <w:numId w:val="24"/>
              </w:numPr>
              <w:spacing w:after="200" w:line="276" w:lineRule="auto"/>
              <w:ind w:left="644"/>
              <w:rPr>
                <w:rFonts w:ascii="Arial Narrow" w:hAnsi="Arial Narrow"/>
                <w:sz w:val="18"/>
                <w:szCs w:val="18"/>
              </w:rPr>
            </w:pPr>
            <w:r w:rsidRPr="0091564C">
              <w:rPr>
                <w:rFonts w:ascii="Arial Narrow" w:hAnsi="Arial Narrow"/>
                <w:sz w:val="18"/>
                <w:szCs w:val="18"/>
              </w:rPr>
              <w:t>aircraft deployable sonobuoys</w:t>
            </w:r>
          </w:p>
          <w:p w14:paraId="5761EC87" w14:textId="77777777" w:rsidR="00A56EE9" w:rsidRPr="0091564C" w:rsidRDefault="00A56EE9" w:rsidP="00A11869">
            <w:pPr>
              <w:pStyle w:val="ListParagraph"/>
              <w:numPr>
                <w:ilvl w:val="0"/>
                <w:numId w:val="24"/>
              </w:numPr>
              <w:spacing w:after="200" w:line="276" w:lineRule="auto"/>
              <w:ind w:left="644"/>
              <w:rPr>
                <w:rFonts w:ascii="Arial Narrow" w:hAnsi="Arial Narrow"/>
                <w:sz w:val="18"/>
                <w:szCs w:val="18"/>
              </w:rPr>
            </w:pPr>
            <w:r w:rsidRPr="0091564C">
              <w:rPr>
                <w:rFonts w:ascii="Arial Narrow" w:hAnsi="Arial Narrow"/>
                <w:sz w:val="18"/>
                <w:szCs w:val="18"/>
              </w:rPr>
              <w:t>sonar suite of the Hobart Class DDG</w:t>
            </w:r>
          </w:p>
          <w:p w14:paraId="5761EC88" w14:textId="77777777" w:rsidR="00A56EE9" w:rsidRPr="0091564C" w:rsidRDefault="00A56EE9" w:rsidP="00A11869">
            <w:pPr>
              <w:pStyle w:val="ListParagraph"/>
              <w:numPr>
                <w:ilvl w:val="0"/>
                <w:numId w:val="24"/>
              </w:numPr>
              <w:spacing w:after="200" w:line="276" w:lineRule="auto"/>
              <w:ind w:left="644"/>
              <w:rPr>
                <w:rFonts w:ascii="Arial Narrow" w:hAnsi="Arial Narrow"/>
                <w:sz w:val="18"/>
                <w:szCs w:val="18"/>
              </w:rPr>
            </w:pPr>
            <w:r w:rsidRPr="0091564C">
              <w:rPr>
                <w:rFonts w:ascii="Arial Narrow" w:hAnsi="Arial Narrow"/>
                <w:sz w:val="18"/>
                <w:szCs w:val="18"/>
              </w:rPr>
              <w:t>helicopter active dipping sonar</w:t>
            </w:r>
          </w:p>
          <w:p w14:paraId="5761EC89" w14:textId="748FE05E" w:rsidR="00A56EE9" w:rsidRPr="00EE459B" w:rsidRDefault="00A56EE9" w:rsidP="00A11869">
            <w:pPr>
              <w:pStyle w:val="ListParagraph"/>
              <w:numPr>
                <w:ilvl w:val="0"/>
                <w:numId w:val="24"/>
              </w:numPr>
              <w:spacing w:after="200" w:line="276" w:lineRule="auto"/>
              <w:ind w:left="644"/>
              <w:rPr>
                <w:rFonts w:ascii="Arial Narrow" w:hAnsi="Arial Narrow"/>
                <w:sz w:val="18"/>
                <w:szCs w:val="18"/>
              </w:rPr>
            </w:pPr>
            <w:r w:rsidRPr="0091564C">
              <w:rPr>
                <w:rFonts w:ascii="Arial Narrow" w:hAnsi="Arial Narrow"/>
                <w:sz w:val="18"/>
                <w:szCs w:val="18"/>
              </w:rPr>
              <w:t>The response of the RAN to an ABC radio interview relating to underwater noise (30 August 2016) provides clarity around the nature of the process of ongoing review and update of the Maritime Activities Environment Management Plan (MAEMP) (</w:t>
            </w:r>
            <w:hyperlink r:id="rId509" w:tooltip="document link" w:history="1">
              <w:r w:rsidRPr="0091564C">
                <w:rPr>
                  <w:rFonts w:ascii="Arial Narrow" w:hAnsi="Arial Narrow"/>
                  <w:sz w:val="18"/>
                  <w:szCs w:val="18"/>
                </w:rPr>
                <w:t>http://www.abc.net.au/radionational/programs/lawreport/sea-noise-pollution/7793280</w:t>
              </w:r>
            </w:hyperlink>
            <w:r w:rsidRPr="0091564C">
              <w:rPr>
                <w:rFonts w:ascii="Arial Narrow" w:hAnsi="Arial Narrow"/>
                <w:sz w:val="18"/>
                <w:szCs w:val="18"/>
              </w:rPr>
              <w:t xml:space="preserve">). </w:t>
            </w:r>
          </w:p>
        </w:tc>
        <w:tc>
          <w:tcPr>
            <w:tcW w:w="5326" w:type="dxa"/>
            <w:tcBorders>
              <w:top w:val="single" w:sz="4" w:space="0" w:color="auto"/>
              <w:left w:val="single" w:sz="4" w:space="0" w:color="auto"/>
              <w:bottom w:val="single" w:sz="4" w:space="0" w:color="auto"/>
              <w:right w:val="single" w:sz="4" w:space="0" w:color="auto"/>
            </w:tcBorders>
          </w:tcPr>
          <w:p w14:paraId="5761EC8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 xml:space="preserve">Wu, W., Wang, X., Paull, D. and Kesby, J. 2010, </w:t>
            </w:r>
            <w:hyperlink r:id="rId510" w:history="1">
              <w:r w:rsidRPr="00E70A11">
                <w:rPr>
                  <w:rStyle w:val="Hyperlink"/>
                  <w:rFonts w:ascii="Arial Narrow" w:hAnsi="Arial Narrow"/>
                  <w:sz w:val="18"/>
                  <w:szCs w:val="18"/>
                  <w:lang w:val="en"/>
                </w:rPr>
                <w:t>Defence force activities in marine protected areas: environmental management of Shoalwater Bay Training Area</w:t>
              </w:r>
            </w:hyperlink>
            <w:r w:rsidRPr="00E70A11">
              <w:rPr>
                <w:rFonts w:ascii="Arial Narrow" w:hAnsi="Arial Narrow"/>
                <w:sz w:val="18"/>
                <w:szCs w:val="18"/>
                <w:lang w:val="en"/>
              </w:rPr>
              <w:t xml:space="preserve">, Queensland, Australia, </w:t>
            </w:r>
            <w:r w:rsidRPr="00E70A11">
              <w:rPr>
                <w:rFonts w:ascii="Arial Narrow" w:hAnsi="Arial Narrow"/>
                <w:i/>
                <w:iCs/>
                <w:sz w:val="18"/>
                <w:szCs w:val="18"/>
                <w:lang w:val="en"/>
              </w:rPr>
              <w:t>Chinese Journal of Oceanology and Limnology</w:t>
            </w:r>
          </w:p>
        </w:tc>
        <w:tc>
          <w:tcPr>
            <w:tcW w:w="976" w:type="dxa"/>
            <w:tcBorders>
              <w:top w:val="single" w:sz="4" w:space="0" w:color="auto"/>
              <w:left w:val="single" w:sz="4" w:space="0" w:color="auto"/>
              <w:bottom w:val="single" w:sz="4" w:space="0" w:color="auto"/>
              <w:right w:val="single" w:sz="4" w:space="0" w:color="auto"/>
            </w:tcBorders>
          </w:tcPr>
          <w:p w14:paraId="5761EC8B"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C8C" w14:textId="77777777" w:rsidR="00A56EE9" w:rsidRPr="00E70A11" w:rsidRDefault="00A56EE9" w:rsidP="00BB6AD5">
            <w:pPr>
              <w:pStyle w:val="Tablebulletlist"/>
              <w:rPr>
                <w:rStyle w:val="BookTitle"/>
              </w:rPr>
            </w:pPr>
            <w:r w:rsidRPr="00E70A11">
              <w:rPr>
                <w:rStyle w:val="BookTitle"/>
                <w:color w:val="000000" w:themeColor="text1"/>
              </w:rPr>
              <w:t>Stable</w:t>
            </w:r>
          </w:p>
        </w:tc>
      </w:tr>
      <w:tr w:rsidR="00A56EE9" w:rsidRPr="00E70A11" w14:paraId="5761ECA1"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C8E"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defence activities are understood by managers.</w:t>
            </w:r>
          </w:p>
        </w:tc>
        <w:tc>
          <w:tcPr>
            <w:tcW w:w="739" w:type="dxa"/>
            <w:tcBorders>
              <w:top w:val="single" w:sz="4" w:space="0" w:color="auto"/>
              <w:left w:val="single" w:sz="4" w:space="0" w:color="auto"/>
              <w:bottom w:val="single" w:sz="4" w:space="0" w:color="auto"/>
              <w:right w:val="single" w:sz="4" w:space="0" w:color="auto"/>
            </w:tcBorders>
          </w:tcPr>
          <w:p w14:paraId="5761EC8F"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C9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GBRMPA/Defence MOU provides a forum for the sharing of information about trends and influences that might drive changes in Defence use of the GBR over time.</w:t>
            </w:r>
          </w:p>
          <w:p w14:paraId="5761EC9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has made it known that since around 2012 the USA has shifted its global military focus to enhance its capabilities in the Asia-P</w:t>
            </w:r>
            <w:r>
              <w:rPr>
                <w:rFonts w:ascii="Arial Narrow" w:hAnsi="Arial Narrow"/>
                <w:sz w:val="18"/>
                <w:szCs w:val="18"/>
              </w:rPr>
              <w:t xml:space="preserve">acific region (Defence, 2013). </w:t>
            </w:r>
            <w:r w:rsidRPr="00E70A11">
              <w:rPr>
                <w:rFonts w:ascii="Arial Narrow" w:hAnsi="Arial Narrow"/>
                <w:sz w:val="18"/>
                <w:szCs w:val="18"/>
              </w:rPr>
              <w:t>As a result, Defence expects combined training exercises between Australian and U.S. forces to increase in frequency and intensity. Shoalwater Bay and other sites in the GBR will therefore increase in importance for major exercises such as Talisman Saber. While U.S. forces operate under instructions during combined training exercises, any visiting foreign force increases the complexity of the policy environment and communications with participants which have some level of risk of unforseen impacts. Defence and GBRMPA managers cooperate to develop management plans for major exercises such as Talisman Saber, to address the ramp up of activity when large exercises occur.</w:t>
            </w:r>
          </w:p>
          <w:p w14:paraId="5761EC9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Management challenges are also arising from the activities of other international forces training in Australia (US, Singapore, others) and the complexities of working with a foreign force (to which the GBRMPA Act may not apply) – in addition to Australian Defence activities.</w:t>
            </w:r>
            <w:r>
              <w:rPr>
                <w:rFonts w:ascii="Arial Narrow" w:hAnsi="Arial Narrow"/>
                <w:sz w:val="18"/>
                <w:szCs w:val="18"/>
              </w:rPr>
              <w:t xml:space="preserve"> </w:t>
            </w:r>
            <w:r w:rsidRPr="00E70A11">
              <w:rPr>
                <w:rFonts w:ascii="Arial Narrow" w:hAnsi="Arial Narrow"/>
                <w:sz w:val="18"/>
                <w:szCs w:val="18"/>
              </w:rPr>
              <w:t>It is considered that given the other controls on the activities of foreign forces operating in the Australia jurisdiction, any risk would be low.</w:t>
            </w:r>
          </w:p>
          <w:p w14:paraId="5761EC9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Region has a relatively sporadic Defence vessel presence on the east coast at the moment, which could shift in frequency if more patrols are required (e.g. PNG, Darwin in response to illegal fishing, or arrival of asylum seekers by boat).</w:t>
            </w:r>
          </w:p>
          <w:p w14:paraId="5761EC9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extent to which future defence activities require port expansions (channel access – relating to dredging etc) are unknown but it is recognised that these vessels are can operate in more shallow waters than the bulk carriers and that port works proposals would likely also be considered under other legislation (e.g. EPBC Act).</w:t>
            </w:r>
          </w:p>
          <w:p w14:paraId="5761EC9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Increased ‘whole of government’ engagement by Defence concerning its activities particularly in relation to the Talisman Saber series has included other Commonwealth agencies such as DFAT, DoEE and GBRMPA in addition to State regulators who contribute to management of the GBR region such as DEHP and DAF</w:t>
            </w:r>
          </w:p>
          <w:p w14:paraId="5761EC9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While Australian domestic level policy influences are well known, e.g. climate change policy (footprints, targets, govt organisation energy efficiency) the policy shifts of the US Government and how these might effect operational aspects of US forces engagement with the ADF in activities in the region are uncertain (e.g. the consequences of US military response to changes in policy on energy, environmental protection and climate change issues). </w:t>
            </w:r>
          </w:p>
        </w:tc>
        <w:tc>
          <w:tcPr>
            <w:tcW w:w="5326" w:type="dxa"/>
            <w:tcBorders>
              <w:top w:val="single" w:sz="4" w:space="0" w:color="auto"/>
              <w:left w:val="single" w:sz="4" w:space="0" w:color="auto"/>
              <w:bottom w:val="single" w:sz="4" w:space="0" w:color="auto"/>
              <w:right w:val="single" w:sz="4" w:space="0" w:color="auto"/>
            </w:tcBorders>
          </w:tcPr>
          <w:p w14:paraId="5761EC9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URS Australia Pty Ltd 2006, </w:t>
            </w:r>
            <w:hyperlink r:id="rId511" w:history="1">
              <w:r w:rsidRPr="00E70A11">
                <w:rPr>
                  <w:rStyle w:val="Hyperlink"/>
                  <w:rFonts w:ascii="Arial Narrow" w:hAnsi="Arial Narrow"/>
                  <w:i/>
                  <w:iCs/>
                  <w:sz w:val="18"/>
                  <w:szCs w:val="18"/>
                </w:rPr>
                <w:t>Strategic Environmental Assessment of Defence Activities in the Great Barrier Reef World Heritage Area</w:t>
              </w:r>
            </w:hyperlink>
          </w:p>
          <w:p w14:paraId="5761EC98"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lang w:val="en"/>
              </w:rPr>
              <w:t xml:space="preserve">Wu, W., Wang, X., Paull, D. and Kesby, J. 2010, </w:t>
            </w:r>
            <w:hyperlink r:id="rId512" w:history="1">
              <w:r w:rsidRPr="00E70A11">
                <w:rPr>
                  <w:rStyle w:val="Hyperlink"/>
                  <w:rFonts w:ascii="Arial Narrow" w:hAnsi="Arial Narrow"/>
                  <w:sz w:val="18"/>
                  <w:szCs w:val="18"/>
                  <w:lang w:val="en"/>
                </w:rPr>
                <w:t>Defence force activities in marine protected areas: environmental management of Shoalwater Bay Training Area</w:t>
              </w:r>
            </w:hyperlink>
            <w:r w:rsidRPr="00E70A11">
              <w:rPr>
                <w:rFonts w:ascii="Arial Narrow" w:hAnsi="Arial Narrow"/>
                <w:sz w:val="18"/>
                <w:szCs w:val="18"/>
              </w:rPr>
              <w:t xml:space="preserve"> </w:t>
            </w:r>
          </w:p>
          <w:p w14:paraId="5761EC99"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513" w:history="1">
              <w:r w:rsidR="00A56EE9" w:rsidRPr="00E70A11">
                <w:rPr>
                  <w:rStyle w:val="Hyperlink"/>
                  <w:rFonts w:ascii="Arial Narrow" w:hAnsi="Arial Narrow"/>
                  <w:sz w:val="18"/>
                  <w:szCs w:val="18"/>
                </w:rPr>
                <w:t>Outlook Report 2014</w:t>
              </w:r>
            </w:hyperlink>
            <w:r w:rsidR="00A56EE9" w:rsidRPr="00E70A11">
              <w:rPr>
                <w:rFonts w:ascii="Arial Narrow" w:hAnsi="Arial Narrow"/>
                <w:sz w:val="18"/>
                <w:szCs w:val="18"/>
              </w:rPr>
              <w:t xml:space="preserve"> </w:t>
            </w:r>
          </w:p>
          <w:p w14:paraId="5761EC9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Department of Defence 2016, </w:t>
            </w:r>
            <w:hyperlink r:id="rId514" w:history="1">
              <w:r w:rsidRPr="00E70A11">
                <w:rPr>
                  <w:rStyle w:val="Hyperlink"/>
                  <w:rFonts w:ascii="Arial Narrow" w:hAnsi="Arial Narrow"/>
                  <w:i/>
                  <w:iCs/>
                  <w:sz w:val="18"/>
                  <w:szCs w:val="18"/>
                </w:rPr>
                <w:t>Defence White Paper</w:t>
              </w:r>
            </w:hyperlink>
            <w:r w:rsidRPr="00E70A11">
              <w:rPr>
                <w:rFonts w:ascii="Arial Narrow" w:hAnsi="Arial Narrow"/>
                <w:sz w:val="18"/>
                <w:szCs w:val="18"/>
              </w:rPr>
              <w:t>, Commonwealth of Australia, Canberra.</w:t>
            </w:r>
          </w:p>
          <w:p w14:paraId="5761EC9B"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C9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C9D"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515"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C9E" w14:textId="77777777" w:rsidR="00A56EE9" w:rsidRPr="00E70A11" w:rsidRDefault="00A56EE9" w:rsidP="00BB6AD5">
            <w:pPr>
              <w:rPr>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C9F"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CA0" w14:textId="77777777" w:rsidR="00A56EE9" w:rsidRPr="00E70A11" w:rsidRDefault="00A56EE9" w:rsidP="00BB6AD5">
            <w:pPr>
              <w:pStyle w:val="Tablebulletlist"/>
              <w:rPr>
                <w:rStyle w:val="BookTitle"/>
              </w:rPr>
            </w:pPr>
            <w:r w:rsidRPr="00E70A11">
              <w:rPr>
                <w:rStyle w:val="BookTitle"/>
                <w:color w:val="000000" w:themeColor="text1"/>
              </w:rPr>
              <w:t>Stable</w:t>
            </w:r>
          </w:p>
        </w:tc>
      </w:tr>
      <w:tr w:rsidR="00A56EE9" w:rsidRPr="00E70A11" w14:paraId="5761ECB3"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CA2"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defence activities are well known by managers.</w:t>
            </w:r>
          </w:p>
        </w:tc>
        <w:tc>
          <w:tcPr>
            <w:tcW w:w="739" w:type="dxa"/>
            <w:tcBorders>
              <w:top w:val="single" w:sz="4" w:space="0" w:color="auto"/>
              <w:left w:val="single" w:sz="4" w:space="0" w:color="auto"/>
              <w:bottom w:val="single" w:sz="4" w:space="0" w:color="auto"/>
              <w:right w:val="single" w:sz="4" w:space="0" w:color="auto"/>
            </w:tcBorders>
          </w:tcPr>
          <w:p w14:paraId="5761ECA3"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CA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hold a number of forums (e.g. an ‘Annual Forum’) where stakeholders are engaged about Defence intentions, e.g. at Cairns, Halifax Bay and throughout the Region</w:t>
            </w:r>
          </w:p>
          <w:p w14:paraId="5761ECA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Engagement occurs on an ad-hoc basis and to a lesser extent through cooperation with GBRMPA in forums like RACs and LMACs</w:t>
            </w:r>
          </w:p>
          <w:p w14:paraId="5761ECA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Depending upon the nature and scale of the specific training activity, Defence routinely liaises at the local level with GBRMPA and QPWS about its planned activities.</w:t>
            </w:r>
          </w:p>
          <w:p w14:paraId="5761ECA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produces Public Environment Reports for comment prior to major exercises. Liaison with stakeholders is now routine throughout the planning cycle for activities (and has been for many years). Uptake of social media technology has also enabled Defence to engage more widely with the community about major exercises.</w:t>
            </w:r>
          </w:p>
          <w:p w14:paraId="5761ECA8"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For most activities within Shoalwater Bay Training Area, consultation and communication occurs routinely with GBRMPA, DEE, QEHP, SWBTA Environmental Advisory Committee, residents and the local community.</w:t>
            </w:r>
          </w:p>
          <w:p w14:paraId="5761ECA9"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For new activities proposed outside existing training areas e.g. in relation to use of Stanage Bay for amphibious activities during Talisman Saber 17 consultation with GBRMPA and QLD occurred once Defence’s internal concept approval processes had concluded.</w:t>
            </w:r>
          </w:p>
          <w:p w14:paraId="5761ECA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advise that they take an increasingly ‘whole of government’ approach to the planning and management of essential Defence training activities such as the Talisman Saber series.</w:t>
            </w:r>
          </w:p>
        </w:tc>
        <w:tc>
          <w:tcPr>
            <w:tcW w:w="5326" w:type="dxa"/>
            <w:tcBorders>
              <w:top w:val="single" w:sz="4" w:space="0" w:color="auto"/>
              <w:left w:val="single" w:sz="4" w:space="0" w:color="auto"/>
              <w:bottom w:val="single" w:sz="4" w:space="0" w:color="auto"/>
              <w:right w:val="single" w:sz="4" w:space="0" w:color="auto"/>
            </w:tcBorders>
          </w:tcPr>
          <w:p w14:paraId="5761ECAB" w14:textId="77777777" w:rsidR="00A56EE9" w:rsidRPr="00E70A11" w:rsidRDefault="00A56EE9" w:rsidP="00A11869">
            <w:pPr>
              <w:pStyle w:val="ListParagraph"/>
              <w:numPr>
                <w:ilvl w:val="0"/>
                <w:numId w:val="24"/>
              </w:numPr>
              <w:spacing w:after="200" w:line="276" w:lineRule="auto"/>
              <w:ind w:left="501"/>
              <w:rPr>
                <w:rStyle w:val="Hyperlink"/>
                <w:rFonts w:ascii="Arial Narrow" w:hAnsi="Arial Narrow"/>
                <w:sz w:val="18"/>
                <w:szCs w:val="18"/>
                <w:lang w:val="en"/>
              </w:rPr>
            </w:pPr>
            <w:r w:rsidRPr="00E70A11">
              <w:rPr>
                <w:rFonts w:ascii="Arial Narrow" w:hAnsi="Arial Narrow"/>
                <w:sz w:val="18"/>
                <w:szCs w:val="18"/>
                <w:lang w:val="en"/>
              </w:rPr>
              <w:t xml:space="preserve"> Wu, W., Wang, X., Paull, D. and Kesby, J. 2010, </w:t>
            </w:r>
            <w:hyperlink r:id="rId516" w:history="1">
              <w:r w:rsidRPr="00E70A11">
                <w:rPr>
                  <w:rStyle w:val="Hyperlink"/>
                  <w:rFonts w:ascii="Arial Narrow" w:hAnsi="Arial Narrow"/>
                  <w:sz w:val="18"/>
                  <w:szCs w:val="18"/>
                  <w:lang w:val="en"/>
                </w:rPr>
                <w:t>Defence force activities in marine protected areas: environmental management of Shoalwater Bay Training Area</w:t>
              </w:r>
            </w:hyperlink>
          </w:p>
          <w:p w14:paraId="5761ECAC" w14:textId="77777777" w:rsidR="00A56EE9" w:rsidRPr="00E70A11" w:rsidRDefault="00A56EE9" w:rsidP="00A11869">
            <w:pPr>
              <w:pStyle w:val="ListParagraph"/>
              <w:numPr>
                <w:ilvl w:val="0"/>
                <w:numId w:val="24"/>
              </w:numPr>
              <w:spacing w:after="200" w:line="276" w:lineRule="auto"/>
              <w:ind w:left="501"/>
              <w:rPr>
                <w:rFonts w:ascii="Arial Narrow" w:hAnsi="Arial Narrow"/>
                <w:b/>
                <w:sz w:val="18"/>
                <w:szCs w:val="18"/>
                <w:u w:val="single"/>
              </w:rPr>
            </w:pPr>
            <w:r w:rsidRPr="00E70A11">
              <w:rPr>
                <w:rFonts w:ascii="Arial Narrow" w:hAnsi="Arial Narrow"/>
                <w:sz w:val="18"/>
                <w:szCs w:val="18"/>
              </w:rPr>
              <w:t>Talisman Saber exercise series:</w:t>
            </w:r>
          </w:p>
          <w:p w14:paraId="5761ECAD"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CAE" w14:textId="77777777" w:rsidR="00A56EE9" w:rsidRPr="00E70A11" w:rsidRDefault="008B5998" w:rsidP="00A11869">
            <w:pPr>
              <w:pStyle w:val="ListParagraph"/>
              <w:numPr>
                <w:ilvl w:val="1"/>
                <w:numId w:val="24"/>
              </w:numPr>
              <w:spacing w:after="200" w:line="276" w:lineRule="auto"/>
              <w:rPr>
                <w:rFonts w:ascii="Arial Narrow" w:hAnsi="Arial Narrow"/>
                <w:b/>
                <w:sz w:val="18"/>
                <w:szCs w:val="18"/>
                <w:u w:val="single"/>
              </w:rPr>
            </w:pPr>
            <w:hyperlink r:id="rId517"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Style w:val="Hyperlink"/>
                <w:rFonts w:ascii="Arial Narrow" w:hAnsi="Arial Narrow"/>
                <w:sz w:val="18"/>
                <w:szCs w:val="18"/>
              </w:rPr>
              <w:t xml:space="preserve"> </w:t>
            </w:r>
          </w:p>
          <w:p w14:paraId="5761ECAF" w14:textId="77777777" w:rsidR="00A56EE9" w:rsidRPr="00E70A11" w:rsidRDefault="00A56EE9" w:rsidP="00A11869">
            <w:pPr>
              <w:pStyle w:val="ListParagraph"/>
              <w:numPr>
                <w:ilvl w:val="0"/>
                <w:numId w:val="24"/>
              </w:numPr>
              <w:spacing w:after="200" w:line="276" w:lineRule="auto"/>
              <w:ind w:left="501"/>
              <w:rPr>
                <w:rFonts w:ascii="Arial Narrow" w:hAnsi="Arial Narrow"/>
                <w:sz w:val="18"/>
                <w:szCs w:val="18"/>
              </w:rPr>
            </w:pPr>
            <w:r w:rsidRPr="00E70A11">
              <w:rPr>
                <w:rFonts w:ascii="Arial Narrow" w:hAnsi="Arial Narrow"/>
                <w:sz w:val="18"/>
                <w:szCs w:val="18"/>
              </w:rPr>
              <w:t xml:space="preserve">Defence webpage for </w:t>
            </w:r>
            <w:hyperlink r:id="rId518"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CB0" w14:textId="77777777" w:rsidR="00A56EE9" w:rsidRPr="00E70A11" w:rsidRDefault="00A56EE9" w:rsidP="00BB6AD5">
            <w:pPr>
              <w:ind w:left="141"/>
              <w:rPr>
                <w:rFonts w:ascii="Arial Narrow" w:hAnsi="Arial Narrow"/>
                <w:color w:val="FF0000"/>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CB1" w14:textId="4ECDE316" w:rsidR="00A56EE9" w:rsidRPr="00E70A11" w:rsidRDefault="0086089F" w:rsidP="00BB6AD5">
            <w:pPr>
              <w:pStyle w:val="Tablebulletlist"/>
              <w:rPr>
                <w:rStyle w:val="BookTitle"/>
              </w:rPr>
            </w:pPr>
            <w:r>
              <w:rPr>
                <w:rStyle w:val="BookTitle"/>
              </w:rPr>
              <w:t>Adequate</w:t>
            </w:r>
          </w:p>
        </w:tc>
        <w:tc>
          <w:tcPr>
            <w:tcW w:w="865" w:type="dxa"/>
            <w:tcBorders>
              <w:top w:val="single" w:sz="4" w:space="0" w:color="auto"/>
              <w:left w:val="single" w:sz="4" w:space="0" w:color="auto"/>
              <w:bottom w:val="single" w:sz="4" w:space="0" w:color="auto"/>
              <w:right w:val="single" w:sz="4" w:space="0" w:color="auto"/>
            </w:tcBorders>
          </w:tcPr>
          <w:p w14:paraId="5761ECB2" w14:textId="77777777" w:rsidR="00A56EE9" w:rsidRPr="00E70A11" w:rsidRDefault="00A56EE9" w:rsidP="00BB6AD5">
            <w:pPr>
              <w:pStyle w:val="Tablebulletlist"/>
              <w:rPr>
                <w:rStyle w:val="BookTitle"/>
              </w:rPr>
            </w:pPr>
            <w:r w:rsidRPr="00E70A11">
              <w:rPr>
                <w:rStyle w:val="BookTitle"/>
                <w:color w:val="000000" w:themeColor="text1"/>
              </w:rPr>
              <w:t>Stable</w:t>
            </w:r>
          </w:p>
        </w:tc>
      </w:tr>
      <w:tr w:rsidR="00A56EE9" w:rsidRPr="00E70A11" w14:paraId="5761ECBA"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CB4" w14:textId="77777777" w:rsidR="00A56EE9" w:rsidRPr="00E70A11" w:rsidRDefault="00A56EE9" w:rsidP="00BB6AD5">
            <w:pPr>
              <w:pStyle w:val="Tablebulletlist"/>
              <w:rPr>
                <w:rStyle w:val="BookTitle"/>
              </w:rPr>
            </w:pPr>
            <w:r w:rsidRPr="00E70A11">
              <w:rPr>
                <w:rStyle w:val="BookTitle"/>
              </w:rPr>
              <w:t>PLANNING</w:t>
            </w:r>
          </w:p>
        </w:tc>
        <w:tc>
          <w:tcPr>
            <w:tcW w:w="73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CB5" w14:textId="77777777" w:rsidR="00A56EE9" w:rsidRPr="00E70A11" w:rsidRDefault="00A56EE9" w:rsidP="00BB6AD5">
            <w:pPr>
              <w:pStyle w:val="Tablebulletlist"/>
              <w:rPr>
                <w:rStyle w:val="BookTitle"/>
              </w:rPr>
            </w:pPr>
          </w:p>
        </w:tc>
        <w:tc>
          <w:tcPr>
            <w:tcW w:w="458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CB6" w14:textId="77777777" w:rsidR="00A56EE9" w:rsidRPr="00E70A11" w:rsidRDefault="00A56EE9" w:rsidP="00BB6AD5">
            <w:pPr>
              <w:pStyle w:val="ListParagraph"/>
              <w:ind w:left="360"/>
              <w:rPr>
                <w:rStyle w:val="BookTitle"/>
                <w:rFonts w:ascii="Arial Narrow" w:hAnsi="Arial Narrow"/>
                <w:sz w:val="18"/>
                <w:szCs w:val="18"/>
              </w:rPr>
            </w:pPr>
          </w:p>
        </w:tc>
        <w:tc>
          <w:tcPr>
            <w:tcW w:w="532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CB7"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CB8"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CB9" w14:textId="77777777" w:rsidR="00A56EE9" w:rsidRPr="00E70A11" w:rsidRDefault="00A56EE9" w:rsidP="00BB6AD5">
            <w:pPr>
              <w:pStyle w:val="Tablebulletlist"/>
              <w:rPr>
                <w:rStyle w:val="BookTitle"/>
              </w:rPr>
            </w:pPr>
          </w:p>
        </w:tc>
      </w:tr>
      <w:tr w:rsidR="00A56EE9" w:rsidRPr="00E70A11" w14:paraId="5761ECDD"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CBB"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defence activities </w:t>
            </w:r>
          </w:p>
        </w:tc>
        <w:tc>
          <w:tcPr>
            <w:tcW w:w="739" w:type="dxa"/>
            <w:tcBorders>
              <w:top w:val="single" w:sz="4" w:space="0" w:color="auto"/>
              <w:left w:val="single" w:sz="4" w:space="0" w:color="auto"/>
              <w:bottom w:val="single" w:sz="4" w:space="0" w:color="auto"/>
              <w:right w:val="single" w:sz="4" w:space="0" w:color="auto"/>
            </w:tcBorders>
          </w:tcPr>
          <w:p w14:paraId="5761ECBC"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CB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planning framework for management of Defence activities in the GBR is extensive and is implemented by the responsible managers.</w:t>
            </w:r>
          </w:p>
          <w:p w14:paraId="5761ECB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has been noted above (see CO1) that Defence is currently enhancing its amphibious capabilities, including the acquisition of new landing vessels (LHD’s and attendant landing craft). The key amphibious training areas in or adjacent to the Region are Shoalwater Bay and Cowley Beach.</w:t>
            </w:r>
            <w:r>
              <w:rPr>
                <w:rFonts w:ascii="Arial Narrow" w:hAnsi="Arial Narrow"/>
                <w:sz w:val="18"/>
                <w:szCs w:val="18"/>
              </w:rPr>
              <w:t xml:space="preserve"> </w:t>
            </w:r>
          </w:p>
          <w:p w14:paraId="5761ECB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Army’s major deployable force is now based in Townsville.</w:t>
            </w:r>
            <w:r>
              <w:rPr>
                <w:rFonts w:ascii="Arial Narrow" w:hAnsi="Arial Narrow"/>
                <w:sz w:val="18"/>
                <w:szCs w:val="18"/>
              </w:rPr>
              <w:t xml:space="preserve"> </w:t>
            </w:r>
            <w:r w:rsidRPr="00E70A11">
              <w:rPr>
                <w:rFonts w:ascii="Arial Narrow" w:hAnsi="Arial Narrow"/>
                <w:sz w:val="18"/>
                <w:szCs w:val="18"/>
              </w:rPr>
              <w:t>Defence environmental managers are expecting more frequent and intensive amphibious training exercises in the Region. Defence has flagged with GBRMPA that additional areas for training may also be required to develop and maintain this new amphibious capability. An increase in near-shore vessel movements may increase the risk of vessel groundings, oil spills, seabed scouring, foreshore erosion, wildlife disturbance and sediment mobilisation (which can affect seagrasses or corals).</w:t>
            </w:r>
          </w:p>
          <w:p w14:paraId="5761ECC0"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rPr>
              <w:t>Defence has an Environmental Management System (EMS) in place to assist military environmental management. GBRMPA is consulted to seek advice and concurrence concerning variations to maritime activities management procedures. The Maritime Activities EMP provides the framework for (in particular) Navy operations and compliance with this avoids the requirement for GBRMPA to issue Part 5 directions for standard day-to-day activities</w:t>
            </w:r>
          </w:p>
          <w:p w14:paraId="5761ECC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doctrine outlines responsibilities for the planning and implementation of environmental protection measures during the planning and conduct of exercises, in terms of protecting areas for future use, maintaining public confidence and compliance with statutory requirements including the </w:t>
            </w:r>
            <w:r w:rsidRPr="00E70A11">
              <w:rPr>
                <w:rFonts w:ascii="Arial Narrow" w:hAnsi="Arial Narrow"/>
                <w:i/>
                <w:sz w:val="18"/>
                <w:szCs w:val="18"/>
              </w:rPr>
              <w:t>Great Barrier Reef Marine Park Act 1975</w:t>
            </w:r>
            <w:r w:rsidRPr="00E70A11">
              <w:rPr>
                <w:rFonts w:ascii="Arial Narrow" w:hAnsi="Arial Narrow"/>
                <w:sz w:val="18"/>
                <w:szCs w:val="18"/>
              </w:rPr>
              <w:t xml:space="preserve"> and the </w:t>
            </w:r>
            <w:r w:rsidRPr="00E70A11">
              <w:rPr>
                <w:rFonts w:ascii="Arial Narrow" w:hAnsi="Arial Narrow"/>
                <w:i/>
                <w:sz w:val="18"/>
                <w:szCs w:val="18"/>
              </w:rPr>
              <w:t>Environment Protection and Biodiversity Conservation Act 1999</w:t>
            </w:r>
            <w:r w:rsidRPr="00E70A11">
              <w:rPr>
                <w:rFonts w:ascii="Arial Narrow" w:hAnsi="Arial Narrow"/>
                <w:sz w:val="18"/>
                <w:szCs w:val="18"/>
              </w:rPr>
              <w:t xml:space="preserve">. </w:t>
            </w:r>
          </w:p>
          <w:p w14:paraId="5761ECC2"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rPr>
              <w:t xml:space="preserve">The 2014 Strategic Assessment of Defence activities (which is understood to be subject to a review and updating process) addressed the previously identified gap regarding lack of a masterplan with Defence for the Region. Defence is also considering the implementation of environmental controls such as routine Environmental Assessment Reports and Environmental Clearance Certificates which underpin many operational environmental management approaches used in training areas in/ adjacent to the GBR). Additionally, training areas are subject to Range Standing Orders which include many environmental controls and specify what may occur, how frequently, and where. Any activities that occur outside of formal Defence areas are subject to further assessment and review in addition to consultation with relevant external stakeholders/regulators. </w:t>
            </w:r>
          </w:p>
          <w:p w14:paraId="5761ECC3"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rPr>
              <w:t>The ADF Maritime Activities EMP provides a framework for conduct of all training activities in the marine environment.</w:t>
            </w:r>
            <w:r w:rsidRPr="00E70A11">
              <w:rPr>
                <w:rFonts w:ascii="Arial Narrow" w:hAnsi="Arial Narrow"/>
                <w:sz w:val="18"/>
                <w:szCs w:val="18"/>
                <w:lang w:val="en"/>
              </w:rPr>
              <w:t xml:space="preserve"> This document is being reviewed and updated with a particular focus on measures to address the day-to-day management of activities in the GBR region.</w:t>
            </w:r>
          </w:p>
          <w:p w14:paraId="5761ECC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Defence has agreed to implement a moratorium on the use of high explosives in the Great Barrier Reef World Heritage Area except at the underwater demolitions training facility at Triangular Island in the Shoalwater Bay Training Area. The</w:t>
            </w:r>
            <w:r>
              <w:rPr>
                <w:rFonts w:ascii="Arial Narrow" w:hAnsi="Arial Narrow"/>
                <w:sz w:val="18"/>
                <w:szCs w:val="18"/>
                <w:lang w:val="en"/>
              </w:rPr>
              <w:t xml:space="preserve"> </w:t>
            </w:r>
            <w:r w:rsidRPr="00E70A11">
              <w:rPr>
                <w:rFonts w:ascii="Arial Narrow" w:hAnsi="Arial Narrow"/>
                <w:sz w:val="18"/>
                <w:szCs w:val="18"/>
                <w:lang w:val="en"/>
              </w:rPr>
              <w:t xml:space="preserve">arrangement is formalised through a document describing terms of use for Triangular Island which was developed following consultation with GBRMPA and other stakeholders. Part 5 Direction from GBRMPA requires conduct of activities to be in accordance with the </w:t>
            </w:r>
            <w:r w:rsidRPr="00E70A11">
              <w:rPr>
                <w:rFonts w:ascii="Arial Narrow" w:hAnsi="Arial Narrow"/>
                <w:sz w:val="18"/>
                <w:szCs w:val="18"/>
              </w:rPr>
              <w:t>Triangular lsland Maritime Warfare Facility Construction: Environmental Review and Management Framework (ERMF)</w:t>
            </w:r>
          </w:p>
          <w:p w14:paraId="5761ECC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There are numerous other acts examples that influence planning for Defence activities e.g. </w:t>
            </w:r>
            <w:r w:rsidRPr="00E70A11">
              <w:rPr>
                <w:rFonts w:ascii="Arial Narrow" w:hAnsi="Arial Narrow"/>
                <w:i/>
                <w:sz w:val="18"/>
                <w:szCs w:val="18"/>
              </w:rPr>
              <w:t>Protection of the Sea (prevention of pollution from ships) Act 1983</w:t>
            </w:r>
            <w:r w:rsidRPr="00E70A11">
              <w:rPr>
                <w:rFonts w:ascii="Arial Narrow" w:hAnsi="Arial Narrow"/>
                <w:sz w:val="18"/>
                <w:szCs w:val="18"/>
              </w:rPr>
              <w:t xml:space="preserve">, and </w:t>
            </w:r>
            <w:r w:rsidRPr="00E70A11">
              <w:rPr>
                <w:rFonts w:ascii="Arial Narrow" w:hAnsi="Arial Narrow"/>
                <w:i/>
                <w:sz w:val="18"/>
                <w:szCs w:val="18"/>
              </w:rPr>
              <w:t>Environment Protection (sea dumping) Act 1981.</w:t>
            </w:r>
          </w:p>
          <w:p w14:paraId="5761ECC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personnel (as ‘maritime officers’) are also delegated under the </w:t>
            </w:r>
            <w:r w:rsidRPr="00E70A11">
              <w:rPr>
                <w:rFonts w:ascii="Arial Narrow" w:hAnsi="Arial Narrow"/>
                <w:i/>
                <w:sz w:val="18"/>
                <w:szCs w:val="18"/>
              </w:rPr>
              <w:t>Maritime Powers Act 2013</w:t>
            </w:r>
            <w:r w:rsidRPr="00E70A11">
              <w:rPr>
                <w:rFonts w:ascii="Arial Narrow" w:hAnsi="Arial Narrow"/>
                <w:sz w:val="18"/>
                <w:szCs w:val="18"/>
              </w:rPr>
              <w:t xml:space="preserve"> for powers of detention and monitoring in relation to the EPBC Act among other legislation. The MP Act includes provisions for consideration of the environment in the exercise of powers enabling the disposal of things taken under that Act.</w:t>
            </w:r>
          </w:p>
          <w:p w14:paraId="5761ECC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The MOU between GBRMPA and Defence states: To assist Defence in meeting its strategic and national security interests, GBRMPA will proactively consider Defence’s use of the GBRR and adjacent areas when making decisions about Great Barrier Reef management matters. As a general principle, where management controls need to be applied they will be implemented in a way that protects the environment and balances competing pressures, aiming to minimise the effect on Defence use to the greatest practicable extent.</w:t>
            </w:r>
          </w:p>
          <w:p w14:paraId="5761ECC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Defence has a centralised environmental management assessment and aprroval system within the Directorate of Environment Protection and Assessments (DEPA).</w:t>
            </w:r>
            <w:r>
              <w:rPr>
                <w:rFonts w:ascii="Arial Narrow" w:hAnsi="Arial Narrow"/>
                <w:sz w:val="18"/>
                <w:szCs w:val="18"/>
                <w:lang w:val="en"/>
              </w:rPr>
              <w:t xml:space="preserve"> </w:t>
            </w:r>
            <w:r w:rsidRPr="00E70A11">
              <w:rPr>
                <w:rFonts w:ascii="Arial Narrow" w:hAnsi="Arial Narrow"/>
                <w:sz w:val="18"/>
                <w:szCs w:val="18"/>
                <w:lang w:val="en"/>
              </w:rPr>
              <w:t xml:space="preserve">DEPA coordinates environmental assessment and approval of developments, activities and capability in order to meet environmental legislative obligations. </w:t>
            </w:r>
          </w:p>
          <w:p w14:paraId="5761ECC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All Defence activities are subject to some form of environmental assessment and approval, and are conducted under the guidance of standard controls including but not limited to:</w:t>
            </w:r>
          </w:p>
          <w:p w14:paraId="5761ECCA"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Maritime Activities EMP (e.g. for naval activities anywhere in the GBR region and beyond)</w:t>
            </w:r>
          </w:p>
          <w:p w14:paraId="5761ECCB"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Range Standing Orders (e.g. site-specific order for activities such as at Shoalwater Bay Training Area, Halifax Bay Training Area, etc.)</w:t>
            </w:r>
          </w:p>
          <w:p w14:paraId="5761ECCC"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Fonts w:ascii="Arial Narrow" w:hAnsi="Arial Narrow"/>
                <w:sz w:val="18"/>
                <w:szCs w:val="18"/>
              </w:rPr>
              <w:t>Standard Operating Procedures (e.g. measures to protect the environment form part of the training of personnel for different equipment)</w:t>
            </w:r>
          </w:p>
        </w:tc>
        <w:tc>
          <w:tcPr>
            <w:tcW w:w="5326" w:type="dxa"/>
            <w:tcBorders>
              <w:top w:val="single" w:sz="4" w:space="0" w:color="auto"/>
              <w:left w:val="single" w:sz="4" w:space="0" w:color="auto"/>
              <w:bottom w:val="single" w:sz="4" w:space="0" w:color="auto"/>
              <w:right w:val="single" w:sz="4" w:space="0" w:color="auto"/>
            </w:tcBorders>
          </w:tcPr>
          <w:p w14:paraId="5761ECC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 xml:space="preserve">Department of Defence 2010, </w:t>
            </w:r>
            <w:hyperlink r:id="rId519" w:history="1">
              <w:r w:rsidRPr="00E70A11">
                <w:rPr>
                  <w:rStyle w:val="Hyperlink"/>
                  <w:rFonts w:ascii="Arial Narrow" w:hAnsi="Arial Narrow"/>
                  <w:i/>
                  <w:iCs/>
                  <w:sz w:val="18"/>
                  <w:szCs w:val="18"/>
                  <w:lang w:val="en"/>
                </w:rPr>
                <w:t>Defence Environmental Strategic Plan 2010-2014</w:t>
              </w:r>
            </w:hyperlink>
            <w:r w:rsidRPr="00E70A11">
              <w:rPr>
                <w:rFonts w:ascii="Arial Narrow" w:hAnsi="Arial Narrow"/>
                <w:sz w:val="18"/>
                <w:szCs w:val="18"/>
                <w:lang w:val="en"/>
              </w:rPr>
              <w:t xml:space="preserve">, Department of Defence, Canberra. </w:t>
            </w:r>
          </w:p>
          <w:p w14:paraId="5761ECC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GBRMPA/Defence </w:t>
            </w:r>
            <w:hyperlink r:id="rId520" w:history="1">
              <w:r w:rsidRPr="00E70A11">
                <w:rPr>
                  <w:rStyle w:val="Hyperlink"/>
                  <w:rFonts w:ascii="Arial Narrow" w:hAnsi="Arial Narrow"/>
                  <w:sz w:val="18"/>
                  <w:szCs w:val="18"/>
                </w:rPr>
                <w:t>Management Agreement 2012-2016</w:t>
              </w:r>
            </w:hyperlink>
          </w:p>
          <w:p w14:paraId="5761ECC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t>
            </w:r>
            <w:hyperlink r:id="rId521" w:history="1">
              <w:r w:rsidRPr="00E70A11">
                <w:rPr>
                  <w:rStyle w:val="Hyperlink"/>
                  <w:rFonts w:ascii="Arial Narrow" w:hAnsi="Arial Narrow"/>
                  <w:sz w:val="18"/>
                  <w:szCs w:val="18"/>
                </w:rPr>
                <w:t>environmental impact assessment guidance and factsheets</w:t>
              </w:r>
            </w:hyperlink>
            <w:r w:rsidRPr="00E70A11">
              <w:rPr>
                <w:rFonts w:ascii="Arial Narrow" w:hAnsi="Arial Narrow"/>
                <w:sz w:val="18"/>
                <w:szCs w:val="18"/>
              </w:rPr>
              <w:t xml:space="preserve"> </w:t>
            </w:r>
          </w:p>
          <w:p w14:paraId="5761ECD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22" w:history="1">
              <w:r w:rsidR="00A56EE9" w:rsidRPr="00E70A11">
                <w:rPr>
                  <w:rStyle w:val="Hyperlink"/>
                  <w:rFonts w:ascii="Arial Narrow" w:hAnsi="Arial Narrow"/>
                  <w:sz w:val="18"/>
                  <w:szCs w:val="18"/>
                </w:rPr>
                <w:t>Defence doctrine</w:t>
              </w:r>
            </w:hyperlink>
            <w:r w:rsidR="00A56EE9" w:rsidRPr="00E70A11">
              <w:rPr>
                <w:rFonts w:ascii="Arial Narrow" w:hAnsi="Arial Narrow"/>
                <w:sz w:val="18"/>
                <w:szCs w:val="18"/>
              </w:rPr>
              <w:t>, e.g. Defence Instructions General</w:t>
            </w:r>
          </w:p>
          <w:p w14:paraId="5761ECD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23" w:history="1">
              <w:r w:rsidR="00A56EE9" w:rsidRPr="00E70A11">
                <w:rPr>
                  <w:rStyle w:val="Hyperlink"/>
                  <w:rFonts w:ascii="Arial Narrow" w:hAnsi="Arial Narrow"/>
                  <w:sz w:val="18"/>
                  <w:szCs w:val="18"/>
                </w:rPr>
                <w:t>Outlook Report 2014</w:t>
              </w:r>
            </w:hyperlink>
            <w:r w:rsidR="00A56EE9" w:rsidRPr="00E70A11">
              <w:rPr>
                <w:rFonts w:ascii="Arial Narrow" w:hAnsi="Arial Narrow"/>
                <w:sz w:val="18"/>
                <w:szCs w:val="18"/>
              </w:rPr>
              <w:t xml:space="preserve"> </w:t>
            </w:r>
          </w:p>
          <w:p w14:paraId="5761ECD2"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524" w:history="1">
              <w:r w:rsidR="00A56EE9" w:rsidRPr="00E70A11">
                <w:rPr>
                  <w:rStyle w:val="Hyperlink"/>
                  <w:rFonts w:ascii="Arial Narrow" w:hAnsi="Arial Narrow"/>
                  <w:sz w:val="18"/>
                  <w:szCs w:val="18"/>
                </w:rPr>
                <w:t>Great Barrier Reef Strategic Assessment Report</w:t>
              </w:r>
            </w:hyperlink>
            <w:r w:rsidR="00A56EE9" w:rsidRPr="00E70A11">
              <w:rPr>
                <w:rFonts w:ascii="Arial Narrow" w:hAnsi="Arial Narrow"/>
                <w:sz w:val="18"/>
                <w:szCs w:val="18"/>
              </w:rPr>
              <w:t>, Chapter 6</w:t>
            </w:r>
          </w:p>
          <w:p w14:paraId="5761ECD3"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25" w:tooltip="gbr-strat-assessment-ind-review-report.pdf" w:history="1">
              <w:r w:rsidR="00A56EE9" w:rsidRPr="00E70A11">
                <w:rPr>
                  <w:rStyle w:val="Hyperlink"/>
                  <w:rFonts w:ascii="Arial Narrow" w:hAnsi="Arial Narrow"/>
                  <w:sz w:val="18"/>
                  <w:szCs w:val="18"/>
                  <w:lang w:val="en"/>
                </w:rPr>
                <w:t>Great Barrier Reef Coastal Zone Strategic Assessment: Independent Review Report)</w:t>
              </w:r>
            </w:hyperlink>
            <w:r w:rsidR="00A56EE9" w:rsidRPr="00E70A11">
              <w:rPr>
                <w:rFonts w:ascii="Arial Narrow" w:hAnsi="Arial Narrow"/>
                <w:sz w:val="18"/>
                <w:szCs w:val="18"/>
                <w:lang w:val="en"/>
              </w:rPr>
              <w:t xml:space="preserve"> Chapter 5 &amp;</w:t>
            </w:r>
            <w:r w:rsidR="00A56EE9">
              <w:rPr>
                <w:rFonts w:ascii="Arial Narrow" w:hAnsi="Arial Narrow"/>
                <w:sz w:val="18"/>
                <w:szCs w:val="18"/>
                <w:lang w:val="en"/>
              </w:rPr>
              <w:t xml:space="preserve"> </w:t>
            </w:r>
            <w:r w:rsidR="00A56EE9" w:rsidRPr="00E70A11">
              <w:rPr>
                <w:rFonts w:ascii="Arial Narrow" w:hAnsi="Arial Narrow"/>
                <w:sz w:val="18"/>
                <w:szCs w:val="18"/>
                <w:lang w:val="en"/>
              </w:rPr>
              <w:t>6</w:t>
            </w:r>
          </w:p>
          <w:p w14:paraId="5761ECD4"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526" w:history="1">
              <w:r w:rsidR="00A56EE9" w:rsidRPr="00E70A11">
                <w:rPr>
                  <w:rStyle w:val="Hyperlink"/>
                  <w:rFonts w:ascii="Arial Narrow" w:hAnsi="Arial Narrow"/>
                  <w:sz w:val="18"/>
                  <w:szCs w:val="18"/>
                  <w:lang w:val="en"/>
                </w:rPr>
                <w:t>MOU 2016-2020 between Defence and GBRMPA on Management of Defence Activities in the GBRMP Region</w:t>
              </w:r>
            </w:hyperlink>
            <w:r w:rsidR="00A56EE9" w:rsidRPr="00E70A11">
              <w:rPr>
                <w:rFonts w:ascii="Arial Narrow" w:hAnsi="Arial Narrow"/>
                <w:sz w:val="18"/>
                <w:szCs w:val="18"/>
                <w:lang w:val="en"/>
              </w:rPr>
              <w:t xml:space="preserve"> </w:t>
            </w:r>
          </w:p>
          <w:p w14:paraId="5761ECD5"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27" w:history="1">
              <w:r w:rsidR="00A56EE9" w:rsidRPr="00E70A11">
                <w:rPr>
                  <w:rStyle w:val="Hyperlink"/>
                  <w:rFonts w:ascii="Arial Narrow" w:hAnsi="Arial Narrow"/>
                  <w:sz w:val="18"/>
                  <w:szCs w:val="18"/>
                </w:rPr>
                <w:t>Strategic Environmental Assessment of defence activities in the Great Barrier Reef World Heritage Area, 2014</w:t>
              </w:r>
            </w:hyperlink>
          </w:p>
          <w:p w14:paraId="5761ECD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Department of Defence 2016, </w:t>
            </w:r>
            <w:hyperlink r:id="rId528" w:history="1">
              <w:r w:rsidRPr="00E70A11">
                <w:rPr>
                  <w:rStyle w:val="Hyperlink"/>
                  <w:rFonts w:ascii="Arial Narrow" w:hAnsi="Arial Narrow"/>
                  <w:i/>
                  <w:iCs/>
                  <w:sz w:val="18"/>
                  <w:szCs w:val="18"/>
                </w:rPr>
                <w:t>Defence White Paper</w:t>
              </w:r>
            </w:hyperlink>
            <w:r w:rsidRPr="00E70A11">
              <w:rPr>
                <w:rFonts w:ascii="Arial Narrow" w:hAnsi="Arial Narrow"/>
                <w:sz w:val="18"/>
                <w:szCs w:val="18"/>
              </w:rPr>
              <w:t>, Commonwealth of Australia, Canberra.</w:t>
            </w:r>
          </w:p>
          <w:p w14:paraId="5761ECD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29" w:history="1">
              <w:r w:rsidR="00A56EE9" w:rsidRPr="00E70A11">
                <w:rPr>
                  <w:rStyle w:val="Hyperlink"/>
                  <w:rFonts w:ascii="Arial Narrow" w:hAnsi="Arial Narrow"/>
                  <w:sz w:val="18"/>
                  <w:szCs w:val="18"/>
                </w:rPr>
                <w:t>Defence Environment Strategy and Policy 2016-2036</w:t>
              </w:r>
            </w:hyperlink>
            <w:r w:rsidR="00A56EE9" w:rsidRPr="00E70A11">
              <w:rPr>
                <w:rFonts w:ascii="Arial Narrow" w:hAnsi="Arial Narrow"/>
                <w:sz w:val="18"/>
                <w:szCs w:val="18"/>
              </w:rPr>
              <w:t xml:space="preserve"> </w:t>
            </w:r>
          </w:p>
          <w:p w14:paraId="5761ECD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30" w:history="1">
              <w:r w:rsidR="00A56EE9" w:rsidRPr="00E70A11">
                <w:rPr>
                  <w:rStyle w:val="Hyperlink"/>
                  <w:rFonts w:ascii="Arial Narrow" w:hAnsi="Arial Narrow"/>
                  <w:sz w:val="18"/>
                  <w:szCs w:val="18"/>
                </w:rPr>
                <w:t>Reef 2050 Long-term sustainability plan</w:t>
              </w:r>
            </w:hyperlink>
          </w:p>
          <w:p w14:paraId="5761ECD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31" w:history="1">
              <w:r w:rsidR="00A56EE9" w:rsidRPr="00E70A11">
                <w:rPr>
                  <w:rStyle w:val="Hyperlink"/>
                  <w:rFonts w:ascii="Arial Narrow" w:hAnsi="Arial Narrow"/>
                  <w:sz w:val="18"/>
                  <w:szCs w:val="18"/>
                </w:rPr>
                <w:t>GBRMPA Annual Report 2015-16</w:t>
              </w:r>
            </w:hyperlink>
            <w:r w:rsidR="00A56EE9" w:rsidRPr="00E70A11">
              <w:rPr>
                <w:rFonts w:ascii="Arial Narrow" w:hAnsi="Arial Narrow"/>
                <w:sz w:val="18"/>
                <w:szCs w:val="18"/>
                <w:u w:val="single"/>
              </w:rPr>
              <w:t>, p 61</w:t>
            </w:r>
          </w:p>
          <w:p w14:paraId="5761ECDA" w14:textId="77777777" w:rsidR="00A56EE9" w:rsidRPr="00E70A11" w:rsidRDefault="00A56EE9" w:rsidP="00BB6AD5">
            <w:pPr>
              <w:pStyle w:val="ListParagraph"/>
              <w:ind w:left="360"/>
              <w:rPr>
                <w:rStyle w:val="BookTitle"/>
                <w:rFonts w:ascii="Arial Narrow" w:hAnsi="Arial Narrow"/>
                <w:sz w:val="18"/>
                <w:szCs w:val="18"/>
                <w:u w:val="single"/>
              </w:rPr>
            </w:pPr>
          </w:p>
        </w:tc>
        <w:tc>
          <w:tcPr>
            <w:tcW w:w="976" w:type="dxa"/>
            <w:tcBorders>
              <w:top w:val="single" w:sz="4" w:space="0" w:color="auto"/>
              <w:left w:val="single" w:sz="4" w:space="0" w:color="auto"/>
              <w:bottom w:val="single" w:sz="4" w:space="0" w:color="auto"/>
              <w:right w:val="single" w:sz="4" w:space="0" w:color="auto"/>
            </w:tcBorders>
          </w:tcPr>
          <w:p w14:paraId="5761ECDB"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CDC"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CF3"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CDE"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defence activities addresses the major factors influencing the Great Barrier Reef Region’s values.</w:t>
            </w:r>
          </w:p>
        </w:tc>
        <w:tc>
          <w:tcPr>
            <w:tcW w:w="739" w:type="dxa"/>
            <w:tcBorders>
              <w:top w:val="single" w:sz="4" w:space="0" w:color="auto"/>
              <w:left w:val="single" w:sz="4" w:space="0" w:color="auto"/>
              <w:bottom w:val="single" w:sz="4" w:space="0" w:color="auto"/>
              <w:right w:val="single" w:sz="4" w:space="0" w:color="auto"/>
            </w:tcBorders>
          </w:tcPr>
          <w:p w14:paraId="5761ECDF"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CE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evidence available points to a comprehensive planning framework which is well understood and implemented by the responsible managers in Defence and GBRMPA.</w:t>
            </w:r>
          </w:p>
          <w:p w14:paraId="5761ECE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training areas within the GBRMP have undergone numerous rigorous environmental assessments. These training areas have comprehensive Environmental Management Plans that place strict environmental controls that aim to protect environmentally sensitive features within or adjacent to training areas, mitigating the potential for detrimental physical impact in the course of conducting training all-year-round.</w:t>
            </w:r>
          </w:p>
          <w:p w14:paraId="5761ECE2"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Defence activities with a high risk of impact are confined to specific localised areas and are limited to specific activities (such as live fire) or that occur for just a few weeks per year.</w:t>
            </w:r>
          </w:p>
          <w:p w14:paraId="5761ECE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Many defence activities are conducted with dedicated shipboard and aerial observers who can collect data on marine wildlife sightings, and ensure activities that might pose a risk to wildlife are delayed or relocated if required</w:t>
            </w:r>
          </w:p>
          <w:p w14:paraId="5761ECE4"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lang w:val="en"/>
              </w:rPr>
              <w:t xml:space="preserve">It is noted that the planning system is not able to address legacy UXO contamination issues (except with generic warnings). Confirmed information about the location of UXO, particularly from WWII, is sparse and often records from the period are unreliable. As such UXO risks, including environmental contamination, is not systematically addressed in a way that other forms of contamination might be prioritised (which contrasts to the approach taken with anti fouling paint following a ship grounding). However, outside of specific impact sites in training areas, the risk is generally accepted to be low </w:t>
            </w:r>
          </w:p>
          <w:p w14:paraId="5761ECE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
              </w:rPr>
              <w:t>The updated GBRMPA/Defence MoU (section 5) specifically recognises two of the key threats to the GBR outlined by the 2014 Outlook Report – climate change and water quality.</w:t>
            </w:r>
          </w:p>
        </w:tc>
        <w:tc>
          <w:tcPr>
            <w:tcW w:w="5326" w:type="dxa"/>
            <w:tcBorders>
              <w:top w:val="single" w:sz="4" w:space="0" w:color="auto"/>
              <w:left w:val="single" w:sz="4" w:space="0" w:color="auto"/>
              <w:bottom w:val="single" w:sz="4" w:space="0" w:color="auto"/>
              <w:right w:val="single" w:sz="4" w:space="0" w:color="auto"/>
            </w:tcBorders>
          </w:tcPr>
          <w:p w14:paraId="5761ECE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32" w:tooltip="gbr-strat-assessment-ind-review-report.pdf" w:history="1">
              <w:r w:rsidR="00A56EE9" w:rsidRPr="00E70A11">
                <w:rPr>
                  <w:rStyle w:val="Hyperlink"/>
                  <w:rFonts w:ascii="Arial Narrow" w:hAnsi="Arial Narrow"/>
                  <w:sz w:val="18"/>
                  <w:szCs w:val="18"/>
                  <w:lang w:val="en"/>
                </w:rPr>
                <w:t>Great Barrier Reef Coastal Zone Strategic Assessment: Independent Review Report (PDF - 2.84 MB)</w:t>
              </w:r>
            </w:hyperlink>
            <w:r w:rsidR="00A56EE9" w:rsidRPr="00E70A11">
              <w:rPr>
                <w:rFonts w:ascii="Arial Narrow" w:hAnsi="Arial Narrow"/>
                <w:sz w:val="18"/>
                <w:szCs w:val="18"/>
                <w:lang w:val="en"/>
              </w:rPr>
              <w:t xml:space="preserve"> Chapter 5 and 6</w:t>
            </w:r>
          </w:p>
          <w:p w14:paraId="5761ECE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33" w:history="1">
              <w:r w:rsidR="00A56EE9" w:rsidRPr="00E70A11">
                <w:rPr>
                  <w:rStyle w:val="Hyperlink"/>
                  <w:rFonts w:ascii="Arial Narrow" w:hAnsi="Arial Narrow"/>
                  <w:sz w:val="18"/>
                  <w:szCs w:val="18"/>
                </w:rPr>
                <w:t>Great Barrier Reef Strategic Assessment Report</w:t>
              </w:r>
            </w:hyperlink>
            <w:r w:rsidR="00A56EE9" w:rsidRPr="00E70A11">
              <w:rPr>
                <w:rFonts w:ascii="Arial Narrow" w:hAnsi="Arial Narrow"/>
                <w:sz w:val="18"/>
                <w:szCs w:val="18"/>
              </w:rPr>
              <w:t>,</w:t>
            </w:r>
          </w:p>
          <w:p w14:paraId="5761ECE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Part 5 direction for Triangular Island Maritime Warfare Facility Construction (included Part 5 direction, letter to Defence, Environmental Clearance Certificate and the Environmental Review and Management framework – like an EMP) </w:t>
            </w:r>
            <w:r w:rsidRPr="00E70A11">
              <w:rPr>
                <w:rFonts w:ascii="Arial Narrow" w:hAnsi="Arial Narrow"/>
                <w:i/>
                <w:sz w:val="18"/>
                <w:szCs w:val="18"/>
              </w:rPr>
              <w:t>– available on request</w:t>
            </w:r>
          </w:p>
          <w:p w14:paraId="5761ECE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34" w:history="1">
              <w:r w:rsidR="00A56EE9" w:rsidRPr="00E70A11">
                <w:rPr>
                  <w:rStyle w:val="Hyperlink"/>
                  <w:rFonts w:ascii="Arial Narrow" w:hAnsi="Arial Narrow"/>
                  <w:sz w:val="18"/>
                  <w:szCs w:val="18"/>
                </w:rPr>
                <w:t>Maritime Activities Environmental Management Plan</w:t>
              </w:r>
            </w:hyperlink>
          </w:p>
          <w:p w14:paraId="5761ECE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webpages on </w:t>
            </w:r>
            <w:hyperlink r:id="rId535" w:history="1">
              <w:r w:rsidRPr="00E70A11">
                <w:rPr>
                  <w:rStyle w:val="Hyperlink"/>
                  <w:rFonts w:ascii="Arial Narrow" w:hAnsi="Arial Narrow"/>
                  <w:sz w:val="18"/>
                  <w:szCs w:val="18"/>
                </w:rPr>
                <w:t>UXO</w:t>
              </w:r>
            </w:hyperlink>
          </w:p>
          <w:p w14:paraId="5761ECE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536"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CE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37" w:history="1">
              <w:r w:rsidR="00A56EE9" w:rsidRPr="00E70A11">
                <w:rPr>
                  <w:rStyle w:val="Hyperlink"/>
                  <w:rFonts w:ascii="Arial Narrow" w:hAnsi="Arial Narrow"/>
                  <w:sz w:val="18"/>
                  <w:szCs w:val="18"/>
                </w:rPr>
                <w:t>Defence Estate Energy Strategy 2014-2019</w:t>
              </w:r>
            </w:hyperlink>
            <w:r w:rsidR="00A56EE9" w:rsidRPr="00E70A11">
              <w:rPr>
                <w:rFonts w:ascii="Arial Narrow" w:hAnsi="Arial Narrow"/>
                <w:sz w:val="18"/>
                <w:szCs w:val="18"/>
              </w:rPr>
              <w:t xml:space="preserve"> </w:t>
            </w:r>
          </w:p>
          <w:p w14:paraId="5761ECE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38" w:history="1">
              <w:r w:rsidR="00A56EE9" w:rsidRPr="00E70A11">
                <w:rPr>
                  <w:rStyle w:val="Hyperlink"/>
                  <w:rFonts w:ascii="Arial Narrow" w:hAnsi="Arial Narrow"/>
                  <w:sz w:val="18"/>
                  <w:szCs w:val="18"/>
                </w:rPr>
                <w:t>Defence Estate Water Strategy 2014-2019</w:t>
              </w:r>
            </w:hyperlink>
          </w:p>
          <w:p w14:paraId="5761ECE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39" w:history="1">
              <w:r w:rsidR="00A56EE9" w:rsidRPr="00E70A11">
                <w:rPr>
                  <w:rStyle w:val="Hyperlink"/>
                  <w:rFonts w:ascii="Arial Narrow" w:hAnsi="Arial Narrow"/>
                  <w:sz w:val="18"/>
                  <w:szCs w:val="18"/>
                </w:rPr>
                <w:t>DEQMS</w:t>
              </w:r>
            </w:hyperlink>
          </w:p>
          <w:p w14:paraId="5761ECE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40" w:history="1">
              <w:r w:rsidR="00A56EE9" w:rsidRPr="00E70A11">
                <w:rPr>
                  <w:rStyle w:val="Hyperlink"/>
                  <w:rFonts w:ascii="Arial Narrow" w:hAnsi="Arial Narrow"/>
                  <w:sz w:val="18"/>
                  <w:szCs w:val="18"/>
                  <w:lang w:val="en"/>
                </w:rPr>
                <w:t>MOU 2016-2020 between Defence and GBRMPA on Management of Defence Activities in the GBRMP Region</w:t>
              </w:r>
            </w:hyperlink>
          </w:p>
          <w:p w14:paraId="5761ECF0" w14:textId="77777777" w:rsidR="00A56EE9" w:rsidRPr="00E70A11" w:rsidRDefault="00A56EE9" w:rsidP="00BB6AD5">
            <w:pPr>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CF1"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CF2"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0D"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CF4"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defence activities are clearly identified within the plan </w:t>
            </w:r>
          </w:p>
        </w:tc>
        <w:tc>
          <w:tcPr>
            <w:tcW w:w="739" w:type="dxa"/>
            <w:tcBorders>
              <w:top w:val="single" w:sz="4" w:space="0" w:color="auto"/>
              <w:left w:val="single" w:sz="4" w:space="0" w:color="auto"/>
              <w:bottom w:val="single" w:sz="4" w:space="0" w:color="auto"/>
              <w:right w:val="single" w:sz="4" w:space="0" w:color="auto"/>
            </w:tcBorders>
          </w:tcPr>
          <w:p w14:paraId="5761ECF5"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CF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range of management doctrine available to Defence managers and GBRMPA is extensive. The consultative process identifies the actions required by those responsible to implement their obligations.</w:t>
            </w:r>
          </w:p>
          <w:p w14:paraId="5761ECF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It is noted that Defence activities are managed through a comprehensive planning framework with elements at the strategic, regional and activity specific level. </w:t>
            </w:r>
          </w:p>
          <w:p w14:paraId="5761ECF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This includes procedures to control possible environmental impacts. These are supplemented by Standard Operating Procedures and site-specific environmental controls that apply to all ongoing training activities held by Defence.</w:t>
            </w:r>
          </w:p>
          <w:p w14:paraId="5761ECF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Maritime Activities Environmental Management Plan details environmental mitigation and reporting procedures for all activities occurring at sea</w:t>
            </w:r>
          </w:p>
          <w:p w14:paraId="5761ECF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 Zoning Plan – notification when using Training Areas (including “Notice to Mariners” etc NOTAM, “Notice to Airmen”)</w:t>
            </w:r>
          </w:p>
          <w:p w14:paraId="5761ECF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EMPs are prepared for development of infrastructure, activities and for Training Areas</w:t>
            </w:r>
          </w:p>
          <w:p w14:paraId="5761ECF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ECCs (Environmental Clearance Certificates) provide site level operational controls where these do not exist in Range Standing Orders</w:t>
            </w:r>
          </w:p>
          <w:p w14:paraId="5761ECF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 Strategic Environmental Assessment of Defence Activities – provides the overarching planning framework</w:t>
            </w:r>
          </w:p>
          <w:p w14:paraId="5761ECF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Environmental Management System – hierarchy of plans aligned to ISO standards </w:t>
            </w:r>
          </w:p>
          <w:p w14:paraId="5761ECF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Major exercises all have specific, comprehensive planning arrangements with mandated lead-in timeframes.</w:t>
            </w:r>
            <w:r>
              <w:rPr>
                <w:rFonts w:ascii="Arial Narrow" w:hAnsi="Arial Narrow"/>
                <w:sz w:val="18"/>
                <w:szCs w:val="18"/>
              </w:rPr>
              <w:t xml:space="preserve"> </w:t>
            </w:r>
            <w:r w:rsidRPr="00E70A11">
              <w:rPr>
                <w:rFonts w:ascii="Arial Narrow" w:hAnsi="Arial Narrow"/>
                <w:sz w:val="18"/>
                <w:szCs w:val="18"/>
              </w:rPr>
              <w:t xml:space="preserve">These correspond to the overall complexity and size of the exercise (e.g. 18 month (+) lead time for Talisman Saber). </w:t>
            </w:r>
          </w:p>
        </w:tc>
        <w:tc>
          <w:tcPr>
            <w:tcW w:w="5326" w:type="dxa"/>
            <w:tcBorders>
              <w:top w:val="single" w:sz="4" w:space="0" w:color="auto"/>
              <w:left w:val="single" w:sz="4" w:space="0" w:color="auto"/>
              <w:bottom w:val="single" w:sz="4" w:space="0" w:color="auto"/>
              <w:right w:val="single" w:sz="4" w:space="0" w:color="auto"/>
            </w:tcBorders>
          </w:tcPr>
          <w:p w14:paraId="5761ED0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See PL2</w:t>
            </w:r>
          </w:p>
          <w:p w14:paraId="5761ED0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41" w:history="1">
              <w:r w:rsidR="00A56EE9" w:rsidRPr="00E70A11">
                <w:rPr>
                  <w:rStyle w:val="Hyperlink"/>
                  <w:rFonts w:ascii="Arial Narrow" w:hAnsi="Arial Narrow"/>
                  <w:sz w:val="18"/>
                  <w:szCs w:val="18"/>
                </w:rPr>
                <w:t>Maritime Activities Environmental Management Plan</w:t>
              </w:r>
            </w:hyperlink>
          </w:p>
          <w:p w14:paraId="5761ED0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42" w:history="1">
              <w:r w:rsidR="00A56EE9" w:rsidRPr="00E70A11">
                <w:rPr>
                  <w:rStyle w:val="Hyperlink"/>
                  <w:rFonts w:ascii="Arial Narrow" w:hAnsi="Arial Narrow"/>
                  <w:sz w:val="18"/>
                  <w:szCs w:val="18"/>
                </w:rPr>
                <w:t>Great Barrier Reef Marine Park Zoning Plan 2003</w:t>
              </w:r>
            </w:hyperlink>
          </w:p>
          <w:p w14:paraId="5761ED03"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43" w:history="1">
              <w:r w:rsidR="00A56EE9" w:rsidRPr="00E70A11">
                <w:rPr>
                  <w:rStyle w:val="Hyperlink"/>
                  <w:rFonts w:ascii="Arial Narrow" w:hAnsi="Arial Narrow"/>
                  <w:sz w:val="18"/>
                  <w:szCs w:val="18"/>
                </w:rPr>
                <w:t>Strategic Environmental Assessment of defence activities in the Great Barrier Reef World Heritage Area, 2014</w:t>
              </w:r>
            </w:hyperlink>
          </w:p>
          <w:p w14:paraId="5761ED04"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D0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D0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44"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D0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545"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D0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46" w:history="1">
              <w:r w:rsidR="00A56EE9" w:rsidRPr="00E70A11">
                <w:rPr>
                  <w:rStyle w:val="Hyperlink"/>
                  <w:rFonts w:ascii="Arial Narrow" w:hAnsi="Arial Narrow"/>
                  <w:sz w:val="18"/>
                  <w:szCs w:val="18"/>
                </w:rPr>
                <w:t>Defence Estate Energy Strategy 2014-2019</w:t>
              </w:r>
            </w:hyperlink>
            <w:r w:rsidR="00A56EE9" w:rsidRPr="00E70A11">
              <w:rPr>
                <w:rFonts w:ascii="Arial Narrow" w:hAnsi="Arial Narrow"/>
                <w:sz w:val="18"/>
                <w:szCs w:val="18"/>
              </w:rPr>
              <w:t xml:space="preserve"> </w:t>
            </w:r>
          </w:p>
          <w:p w14:paraId="5761ED0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47" w:history="1">
              <w:r w:rsidR="00A56EE9" w:rsidRPr="00E70A11">
                <w:rPr>
                  <w:rStyle w:val="Hyperlink"/>
                  <w:rFonts w:ascii="Arial Narrow" w:hAnsi="Arial Narrow"/>
                  <w:sz w:val="18"/>
                  <w:szCs w:val="18"/>
                </w:rPr>
                <w:t>Defence Estate Water Strategy 2014-2019</w:t>
              </w:r>
            </w:hyperlink>
          </w:p>
          <w:p w14:paraId="5761ED0A"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D0B"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0C"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1A"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0E"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defence activities have been documented</w:t>
            </w:r>
          </w:p>
        </w:tc>
        <w:tc>
          <w:tcPr>
            <w:tcW w:w="739" w:type="dxa"/>
            <w:tcBorders>
              <w:top w:val="single" w:sz="4" w:space="0" w:color="auto"/>
              <w:left w:val="single" w:sz="4" w:space="0" w:color="auto"/>
              <w:bottom w:val="single" w:sz="4" w:space="0" w:color="auto"/>
              <w:right w:val="single" w:sz="4" w:space="0" w:color="auto"/>
            </w:tcBorders>
          </w:tcPr>
          <w:p w14:paraId="5761ED0F"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D1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objectives to protect the values of the GBR WHA are defined and where these intersect with Defence the planning priorities are identified in a range of tools and documents – for example in the Defence Risk Assessment – ERT (Environmental Risk Tool) </w:t>
            </w:r>
          </w:p>
          <w:p w14:paraId="5761ED1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Since 2002 Defence has had an Environment Strategy document which outlines its objectives for management of environmental performance </w:t>
            </w:r>
          </w:p>
        </w:tc>
        <w:tc>
          <w:tcPr>
            <w:tcW w:w="5326" w:type="dxa"/>
            <w:tcBorders>
              <w:top w:val="single" w:sz="4" w:space="0" w:color="auto"/>
              <w:left w:val="single" w:sz="4" w:space="0" w:color="auto"/>
              <w:bottom w:val="single" w:sz="4" w:space="0" w:color="auto"/>
              <w:right w:val="single" w:sz="4" w:space="0" w:color="auto"/>
            </w:tcBorders>
          </w:tcPr>
          <w:p w14:paraId="5761ED1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See PL2</w:t>
            </w:r>
          </w:p>
          <w:p w14:paraId="5761ED1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 xml:space="preserve">Wu, W., Wang, X., Paull, D. and Kesby, J. 2010, </w:t>
            </w:r>
            <w:hyperlink r:id="rId548" w:history="1">
              <w:r w:rsidRPr="00E70A11">
                <w:rPr>
                  <w:rStyle w:val="Hyperlink"/>
                  <w:rFonts w:ascii="Arial Narrow" w:hAnsi="Arial Narrow"/>
                  <w:sz w:val="18"/>
                  <w:szCs w:val="18"/>
                  <w:lang w:val="en"/>
                </w:rPr>
                <w:t>Defence force activities in marine protected areas: environmental management of Shoalwater Bay Training Area</w:t>
              </w:r>
            </w:hyperlink>
            <w:r w:rsidRPr="00E70A11">
              <w:rPr>
                <w:rFonts w:ascii="Arial Narrow" w:hAnsi="Arial Narrow"/>
                <w:sz w:val="18"/>
                <w:szCs w:val="18"/>
              </w:rPr>
              <w:t xml:space="preserve"> </w:t>
            </w:r>
          </w:p>
          <w:p w14:paraId="5761ED14"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49" w:history="1">
              <w:r w:rsidR="00A56EE9" w:rsidRPr="00E70A11">
                <w:rPr>
                  <w:rStyle w:val="Hyperlink"/>
                  <w:rFonts w:ascii="Arial Narrow" w:hAnsi="Arial Narrow"/>
                  <w:sz w:val="18"/>
                  <w:szCs w:val="18"/>
                </w:rPr>
                <w:t>DEQMS</w:t>
              </w:r>
            </w:hyperlink>
            <w:r w:rsidR="00A56EE9" w:rsidRPr="00E70A11">
              <w:rPr>
                <w:rFonts w:ascii="Arial Narrow" w:hAnsi="Arial Narrow"/>
                <w:sz w:val="18"/>
                <w:szCs w:val="18"/>
              </w:rPr>
              <w:t xml:space="preserve"> – Environmental Management (Environmental Impact Assessment and Approval) </w:t>
            </w:r>
          </w:p>
          <w:p w14:paraId="5761ED15"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50" w:history="1">
              <w:r w:rsidR="00A56EE9" w:rsidRPr="00E70A11">
                <w:rPr>
                  <w:rStyle w:val="Hyperlink"/>
                  <w:rFonts w:ascii="Arial Narrow" w:hAnsi="Arial Narrow"/>
                  <w:sz w:val="18"/>
                  <w:szCs w:val="18"/>
                </w:rPr>
                <w:t>Defence Environment Strategy and Policy 2016-2036</w:t>
              </w:r>
            </w:hyperlink>
            <w:r w:rsidR="00A56EE9" w:rsidRPr="00E70A11">
              <w:rPr>
                <w:rFonts w:ascii="Arial Narrow" w:hAnsi="Arial Narrow"/>
                <w:sz w:val="18"/>
                <w:szCs w:val="18"/>
              </w:rPr>
              <w:t xml:space="preserve"> </w:t>
            </w:r>
          </w:p>
          <w:p w14:paraId="5761ED1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51" w:history="1">
              <w:r w:rsidR="00A56EE9" w:rsidRPr="00E70A11">
                <w:rPr>
                  <w:rStyle w:val="Hyperlink"/>
                  <w:rFonts w:ascii="Arial Narrow" w:hAnsi="Arial Narrow"/>
                  <w:sz w:val="18"/>
                  <w:szCs w:val="18"/>
                </w:rPr>
                <w:t>Defence Estate Energy Strategy 2014-2019</w:t>
              </w:r>
            </w:hyperlink>
            <w:r w:rsidR="00A56EE9" w:rsidRPr="00E70A11">
              <w:rPr>
                <w:rFonts w:ascii="Arial Narrow" w:hAnsi="Arial Narrow"/>
                <w:sz w:val="18"/>
                <w:szCs w:val="18"/>
              </w:rPr>
              <w:t xml:space="preserve"> </w:t>
            </w:r>
          </w:p>
          <w:p w14:paraId="5761ED17"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552" w:history="1">
              <w:r w:rsidR="00A56EE9" w:rsidRPr="00E70A11">
                <w:rPr>
                  <w:rStyle w:val="Hyperlink"/>
                  <w:rFonts w:ascii="Arial Narrow" w:hAnsi="Arial Narrow"/>
                  <w:sz w:val="18"/>
                  <w:szCs w:val="18"/>
                </w:rPr>
                <w:t>Defence Estate Water Strategy 2014-2019</w:t>
              </w:r>
            </w:hyperlink>
          </w:p>
        </w:tc>
        <w:tc>
          <w:tcPr>
            <w:tcW w:w="976" w:type="dxa"/>
            <w:tcBorders>
              <w:top w:val="single" w:sz="4" w:space="0" w:color="auto"/>
              <w:left w:val="single" w:sz="4" w:space="0" w:color="auto"/>
              <w:bottom w:val="single" w:sz="4" w:space="0" w:color="auto"/>
              <w:right w:val="single" w:sz="4" w:space="0" w:color="auto"/>
            </w:tcBorders>
          </w:tcPr>
          <w:p w14:paraId="5761ED18"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19"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28"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1B"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defence activities</w:t>
            </w:r>
          </w:p>
        </w:tc>
        <w:tc>
          <w:tcPr>
            <w:tcW w:w="739" w:type="dxa"/>
            <w:tcBorders>
              <w:top w:val="single" w:sz="4" w:space="0" w:color="auto"/>
              <w:left w:val="single" w:sz="4" w:space="0" w:color="auto"/>
              <w:bottom w:val="single" w:sz="4" w:space="0" w:color="auto"/>
              <w:right w:val="single" w:sz="4" w:space="0" w:color="auto"/>
            </w:tcBorders>
          </w:tcPr>
          <w:p w14:paraId="5761ED1C"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D1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Monitoring and reporting is part of the internal approval process for all Defence activities.</w:t>
            </w:r>
            <w:r>
              <w:rPr>
                <w:rFonts w:ascii="Arial Narrow" w:hAnsi="Arial Narrow"/>
                <w:sz w:val="18"/>
                <w:szCs w:val="18"/>
              </w:rPr>
              <w:t xml:space="preserve"> </w:t>
            </w:r>
            <w:r w:rsidRPr="00E70A11">
              <w:rPr>
                <w:rFonts w:ascii="Arial Narrow" w:hAnsi="Arial Narrow"/>
                <w:sz w:val="18"/>
                <w:szCs w:val="18"/>
              </w:rPr>
              <w:t xml:space="preserve">This is usually documented in an Environmental Assessment Report (EAR) and is implemented on the ground through an Environmental Clearance Certificate (ECC) which includes a requirement for a post-activity report (PAR). These PAR’s provide a feedback loop into the next planning and assessment cycle to ensure environmental effects are evaluated and understood, protection measures are continually refined, and these are routinely reviewed for effectiveness, appropriateness and adequacy (e.g. </w:t>
            </w:r>
            <w:r w:rsidRPr="00E70A11">
              <w:rPr>
                <w:rFonts w:ascii="Arial Narrow" w:hAnsi="Arial Narrow"/>
                <w:sz w:val="18"/>
                <w:szCs w:val="18"/>
                <w:lang w:val="en"/>
              </w:rPr>
              <w:t>Defence/GBRMPA research program on t</w:t>
            </w:r>
            <w:r w:rsidRPr="00E70A11">
              <w:rPr>
                <w:rFonts w:ascii="Arial Narrow" w:hAnsi="Arial Narrow"/>
                <w:sz w:val="18"/>
                <w:szCs w:val="18"/>
              </w:rPr>
              <w:t>turtle, seagrass and dugong research).</w:t>
            </w:r>
          </w:p>
          <w:p w14:paraId="5761ED1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Environmental post-exercise reporting is also conducted following Talisman Saber exercises, with identification of “lessons learned” (most recently in 2017) forming an input to subsequent exercise planning.</w:t>
            </w:r>
          </w:p>
          <w:p w14:paraId="5761ED1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 policy statement and a plan with actions and accountabilities for implementation accompany defence Environment Strategy 2016-2036.</w:t>
            </w:r>
            <w:r>
              <w:rPr>
                <w:rFonts w:ascii="Arial Narrow" w:hAnsi="Arial Narrow"/>
                <w:sz w:val="18"/>
                <w:szCs w:val="18"/>
              </w:rPr>
              <w:t xml:space="preserve"> </w:t>
            </w:r>
            <w:r w:rsidRPr="00E70A11">
              <w:rPr>
                <w:rFonts w:ascii="Arial Narrow" w:hAnsi="Arial Narrow"/>
                <w:sz w:val="18"/>
                <w:szCs w:val="18"/>
              </w:rPr>
              <w:t>A Defence working group maintains oversight of the implementation and monitors progress towards achieving the Strategic Aims of the strategy</w:t>
            </w:r>
          </w:p>
        </w:tc>
        <w:tc>
          <w:tcPr>
            <w:tcW w:w="5326" w:type="dxa"/>
            <w:tcBorders>
              <w:top w:val="single" w:sz="4" w:space="0" w:color="auto"/>
              <w:left w:val="single" w:sz="4" w:space="0" w:color="auto"/>
              <w:bottom w:val="single" w:sz="4" w:space="0" w:color="auto"/>
              <w:right w:val="single" w:sz="4" w:space="0" w:color="auto"/>
            </w:tcBorders>
          </w:tcPr>
          <w:p w14:paraId="5761ED2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53" w:history="1">
              <w:r w:rsidR="00A56EE9" w:rsidRPr="00E70A11">
                <w:rPr>
                  <w:rStyle w:val="Hyperlink"/>
                  <w:rFonts w:ascii="Arial Narrow" w:hAnsi="Arial Narrow"/>
                  <w:sz w:val="18"/>
                  <w:szCs w:val="18"/>
                </w:rPr>
                <w:t>Defence Environment Strategy and Policy 2016-2036</w:t>
              </w:r>
            </w:hyperlink>
            <w:r w:rsidR="00A56EE9" w:rsidRPr="00E70A11">
              <w:rPr>
                <w:rFonts w:ascii="Arial Narrow" w:hAnsi="Arial Narrow"/>
                <w:sz w:val="18"/>
                <w:szCs w:val="18"/>
              </w:rPr>
              <w:t xml:space="preserve"> </w:t>
            </w:r>
          </w:p>
          <w:p w14:paraId="5761ED2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54" w:history="1">
              <w:r w:rsidR="00A56EE9" w:rsidRPr="00E70A11">
                <w:rPr>
                  <w:rStyle w:val="Hyperlink"/>
                  <w:rFonts w:ascii="Arial Narrow" w:hAnsi="Arial Narrow"/>
                  <w:sz w:val="18"/>
                  <w:szCs w:val="18"/>
                </w:rPr>
                <w:t>Defence Estate Energy Strategy 2014-2019</w:t>
              </w:r>
            </w:hyperlink>
            <w:r w:rsidR="00A56EE9" w:rsidRPr="00E70A11">
              <w:rPr>
                <w:rFonts w:ascii="Arial Narrow" w:hAnsi="Arial Narrow"/>
                <w:sz w:val="18"/>
                <w:szCs w:val="18"/>
              </w:rPr>
              <w:t xml:space="preserve"> </w:t>
            </w:r>
          </w:p>
          <w:p w14:paraId="5761ED22"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D23"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D24" w14:textId="77777777" w:rsidR="00A56EE9" w:rsidRPr="00E70A11" w:rsidRDefault="008B5998" w:rsidP="00A11869">
            <w:pPr>
              <w:pStyle w:val="ListParagraph"/>
              <w:numPr>
                <w:ilvl w:val="1"/>
                <w:numId w:val="24"/>
              </w:numPr>
              <w:spacing w:after="200" w:line="276" w:lineRule="auto"/>
              <w:rPr>
                <w:rFonts w:ascii="Arial Narrow" w:hAnsi="Arial Narrow"/>
                <w:b/>
                <w:sz w:val="18"/>
                <w:szCs w:val="18"/>
                <w:u w:val="single"/>
              </w:rPr>
            </w:pPr>
            <w:hyperlink r:id="rId555"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D2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Defence webpage of </w:t>
            </w:r>
            <w:hyperlink r:id="rId556"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tc>
        <w:tc>
          <w:tcPr>
            <w:tcW w:w="976" w:type="dxa"/>
            <w:tcBorders>
              <w:top w:val="single" w:sz="4" w:space="0" w:color="auto"/>
              <w:left w:val="single" w:sz="4" w:space="0" w:color="auto"/>
              <w:bottom w:val="single" w:sz="4" w:space="0" w:color="auto"/>
              <w:right w:val="single" w:sz="4" w:space="0" w:color="auto"/>
            </w:tcBorders>
          </w:tcPr>
          <w:p w14:paraId="5761ED26"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27"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41"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29"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defence activities</w:t>
            </w:r>
          </w:p>
        </w:tc>
        <w:tc>
          <w:tcPr>
            <w:tcW w:w="739" w:type="dxa"/>
            <w:tcBorders>
              <w:top w:val="single" w:sz="4" w:space="0" w:color="auto"/>
              <w:left w:val="single" w:sz="4" w:space="0" w:color="auto"/>
              <w:bottom w:val="single" w:sz="4" w:space="0" w:color="auto"/>
              <w:right w:val="single" w:sz="4" w:space="0" w:color="auto"/>
            </w:tcBorders>
          </w:tcPr>
          <w:p w14:paraId="5761ED2A"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D2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undertakes extensive consultation at the local and regional level to identify potential external influences – e.g. undertakes consultation interest groups and local communities.</w:t>
            </w:r>
            <w:r>
              <w:rPr>
                <w:rFonts w:ascii="Arial Narrow" w:hAnsi="Arial Narrow"/>
                <w:sz w:val="18"/>
                <w:szCs w:val="18"/>
              </w:rPr>
              <w:t xml:space="preserve"> </w:t>
            </w:r>
            <w:r w:rsidRPr="00E70A11">
              <w:rPr>
                <w:rFonts w:ascii="Arial Narrow" w:hAnsi="Arial Narrow"/>
                <w:sz w:val="18"/>
                <w:szCs w:val="18"/>
              </w:rPr>
              <w:t>Defence managers have established an Environmental Advisory Committee (EAC) for each Training area and site management decisions with the potential to impact on GBR values are raised with GBRMPA.</w:t>
            </w:r>
          </w:p>
          <w:p w14:paraId="5761ED2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is good evidence that a range of consultation methods are employed for defence activities that have the potential to effect the community and that these vary according to the scale and nature of the activity.</w:t>
            </w:r>
            <w:r>
              <w:rPr>
                <w:rFonts w:ascii="Arial Narrow" w:hAnsi="Arial Narrow"/>
                <w:sz w:val="18"/>
                <w:szCs w:val="18"/>
              </w:rPr>
              <w:t xml:space="preserve"> </w:t>
            </w:r>
            <w:r w:rsidRPr="00E70A11">
              <w:rPr>
                <w:rFonts w:ascii="Arial Narrow" w:hAnsi="Arial Narrow"/>
                <w:sz w:val="18"/>
                <w:szCs w:val="18"/>
              </w:rPr>
              <w:t>For example, the Talisman Saber series of exercises includes the following consultation methods (See also CO5):</w:t>
            </w:r>
          </w:p>
          <w:p w14:paraId="5761ED2D"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Community information sessions in Rockhampton and Yeppoon</w:t>
            </w:r>
          </w:p>
          <w:p w14:paraId="5761ED2E"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Advertisements in local and state newspapers</w:t>
            </w:r>
          </w:p>
          <w:p w14:paraId="5761ED2F"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Information provided on a dedicated website</w:t>
            </w:r>
          </w:p>
          <w:p w14:paraId="5761ED30"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A free-call number for queries</w:t>
            </w:r>
          </w:p>
          <w:p w14:paraId="5761ED31" w14:textId="77777777" w:rsidR="00A56EE9" w:rsidRPr="00E70A11" w:rsidRDefault="00A56EE9" w:rsidP="00A11869">
            <w:pPr>
              <w:pStyle w:val="ListParagraph"/>
              <w:numPr>
                <w:ilvl w:val="1"/>
                <w:numId w:val="24"/>
              </w:numPr>
              <w:spacing w:after="200" w:line="276" w:lineRule="auto"/>
              <w:rPr>
                <w:rFonts w:ascii="Arial Narrow" w:hAnsi="Arial Narrow"/>
                <w:b/>
                <w:sz w:val="18"/>
                <w:szCs w:val="18"/>
                <w:u w:val="single"/>
              </w:rPr>
            </w:pPr>
            <w:r w:rsidRPr="00E70A11">
              <w:rPr>
                <w:rFonts w:ascii="Arial Narrow" w:hAnsi="Arial Narrow"/>
                <w:sz w:val="18"/>
                <w:szCs w:val="18"/>
              </w:rPr>
              <w:t>Library displays throughout the consultation period</w:t>
            </w:r>
          </w:p>
          <w:p w14:paraId="5761ED3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exercise planning doctrine identifies key requirements which include environment and community engagement. The process of EIA in Defence includes guidance that directs planners to consider community stakeholders. The requirement for consultation and which external stakeholders need to be approached will be determined through implementation of the Defence EIA process. </w:t>
            </w:r>
          </w:p>
          <w:p w14:paraId="5761ED3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has been extensive consultation between Defence and the GBRMPA, past and continuing, to identify and minimise impacts on that marine environment as associated with Talisman Saber Exercises and with military activities more broadly.</w:t>
            </w:r>
          </w:p>
          <w:p w14:paraId="5761ED3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Public consultation for Talisman Saber exercises comprehensive – Public Environment Report out for public comment (complies with EPBC requirements) – EMS at local level </w:t>
            </w:r>
          </w:p>
          <w:p w14:paraId="5761ED3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A Senate Inquiry in 2017 considered the Impact of Defence training activities and facilities on rural and regional communities. Submissions were made by GBRMPA, Defence and other organisations associated with the GBR Region. </w:t>
            </w:r>
          </w:p>
        </w:tc>
        <w:tc>
          <w:tcPr>
            <w:tcW w:w="5326" w:type="dxa"/>
            <w:tcBorders>
              <w:top w:val="single" w:sz="4" w:space="0" w:color="auto"/>
              <w:left w:val="single" w:sz="4" w:space="0" w:color="auto"/>
              <w:bottom w:val="single" w:sz="4" w:space="0" w:color="auto"/>
              <w:right w:val="single" w:sz="4" w:space="0" w:color="auto"/>
            </w:tcBorders>
          </w:tcPr>
          <w:p w14:paraId="5761ED3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 xml:space="preserve">Wu, W., Wang, X., Paull, D. and Kesby, J. 2010, </w:t>
            </w:r>
            <w:hyperlink r:id="rId557" w:history="1">
              <w:r w:rsidRPr="00E70A11">
                <w:rPr>
                  <w:rStyle w:val="Hyperlink"/>
                  <w:rFonts w:ascii="Arial Narrow" w:hAnsi="Arial Narrow"/>
                  <w:sz w:val="18"/>
                  <w:szCs w:val="18"/>
                  <w:lang w:val="en"/>
                </w:rPr>
                <w:t>Defence force activities in marine protected areas: environmental management of Shoalwater Bay Training Area</w:t>
              </w:r>
            </w:hyperlink>
            <w:r w:rsidRPr="00E70A11">
              <w:rPr>
                <w:rFonts w:ascii="Arial Narrow" w:hAnsi="Arial Narrow"/>
                <w:sz w:val="18"/>
                <w:szCs w:val="18"/>
              </w:rPr>
              <w:t xml:space="preserve"> </w:t>
            </w:r>
          </w:p>
          <w:p w14:paraId="5761ED3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58" w:history="1">
              <w:r w:rsidR="00A56EE9" w:rsidRPr="00E70A11">
                <w:rPr>
                  <w:rStyle w:val="Hyperlink"/>
                  <w:rFonts w:ascii="Arial Narrow" w:hAnsi="Arial Narrow"/>
                  <w:sz w:val="18"/>
                  <w:szCs w:val="18"/>
                </w:rPr>
                <w:t>DEQMS</w:t>
              </w:r>
            </w:hyperlink>
            <w:r w:rsidR="00A56EE9" w:rsidRPr="00E70A11">
              <w:rPr>
                <w:rFonts w:ascii="Arial Narrow" w:hAnsi="Arial Narrow"/>
                <w:sz w:val="18"/>
                <w:szCs w:val="18"/>
              </w:rPr>
              <w:t xml:space="preserve"> – Environmental Management (Environmental Impact Assessment and Approval) </w:t>
            </w:r>
          </w:p>
          <w:p w14:paraId="5761ED3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59" w:history="1">
              <w:r w:rsidR="00A56EE9" w:rsidRPr="00E70A11">
                <w:rPr>
                  <w:rStyle w:val="Hyperlink"/>
                  <w:rFonts w:ascii="Arial Narrow" w:hAnsi="Arial Narrow"/>
                  <w:sz w:val="18"/>
                  <w:szCs w:val="18"/>
                </w:rPr>
                <w:t>Defence Estate Strategy 2016-2036</w:t>
              </w:r>
            </w:hyperlink>
          </w:p>
          <w:p w14:paraId="5761ED39"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D3A" w14:textId="77777777" w:rsidR="00A56EE9" w:rsidRPr="00E70A11" w:rsidRDefault="00A56EE9" w:rsidP="00A11869">
            <w:pPr>
              <w:pStyle w:val="ListParagraph"/>
              <w:numPr>
                <w:ilvl w:val="0"/>
                <w:numId w:val="24"/>
              </w:numPr>
              <w:tabs>
                <w:tab w:val="num" w:pos="1440"/>
              </w:tabs>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D3B" w14:textId="77777777" w:rsidR="00A56EE9" w:rsidRPr="00E70A11" w:rsidRDefault="008B5998" w:rsidP="00A11869">
            <w:pPr>
              <w:pStyle w:val="ListParagraph"/>
              <w:numPr>
                <w:ilvl w:val="0"/>
                <w:numId w:val="24"/>
              </w:numPr>
              <w:tabs>
                <w:tab w:val="num" w:pos="1440"/>
              </w:tabs>
              <w:spacing w:after="200" w:line="276" w:lineRule="auto"/>
              <w:rPr>
                <w:rFonts w:ascii="Arial Narrow" w:hAnsi="Arial Narrow"/>
                <w:b/>
                <w:sz w:val="18"/>
                <w:szCs w:val="18"/>
                <w:u w:val="single"/>
              </w:rPr>
            </w:pPr>
            <w:hyperlink r:id="rId560"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D3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561"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D3D"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rPr>
              <w:t xml:space="preserve">Senate Inquiry: </w:t>
            </w:r>
            <w:hyperlink r:id="rId562" w:history="1">
              <w:r w:rsidRPr="00E70A11">
                <w:rPr>
                  <w:rStyle w:val="Hyperlink"/>
                  <w:rFonts w:ascii="Arial Narrow" w:hAnsi="Arial Narrow"/>
                  <w:sz w:val="18"/>
                  <w:szCs w:val="18"/>
                  <w:lang w:val="en"/>
                </w:rPr>
                <w:t>Impact of Defence training activities and facilities on rural and regional communities</w:t>
              </w:r>
            </w:hyperlink>
          </w:p>
          <w:p w14:paraId="5761ED3E" w14:textId="77777777" w:rsidR="00A56EE9" w:rsidRPr="00E70A11" w:rsidRDefault="00A56EE9" w:rsidP="00BB6AD5">
            <w:pPr>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D3F"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40"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50"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42"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defence activities</w:t>
            </w:r>
          </w:p>
        </w:tc>
        <w:tc>
          <w:tcPr>
            <w:tcW w:w="739" w:type="dxa"/>
            <w:tcBorders>
              <w:top w:val="single" w:sz="4" w:space="0" w:color="auto"/>
              <w:left w:val="single" w:sz="4" w:space="0" w:color="auto"/>
              <w:bottom w:val="single" w:sz="4" w:space="0" w:color="auto"/>
              <w:right w:val="single" w:sz="4" w:space="0" w:color="auto"/>
            </w:tcBorders>
          </w:tcPr>
          <w:p w14:paraId="5761ED43"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D4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are few policy gaps in relation to risks associated with Defence activities.</w:t>
            </w:r>
            <w:r>
              <w:rPr>
                <w:rFonts w:ascii="Arial Narrow" w:hAnsi="Arial Narrow"/>
                <w:sz w:val="18"/>
                <w:szCs w:val="18"/>
              </w:rPr>
              <w:t xml:space="preserve"> </w:t>
            </w:r>
            <w:r w:rsidRPr="00E70A11">
              <w:rPr>
                <w:rFonts w:ascii="Arial Narrow" w:hAnsi="Arial Narrow"/>
                <w:sz w:val="18"/>
                <w:szCs w:val="18"/>
              </w:rPr>
              <w:t>Those that do exist generally relate to the management of legacy issues around the use of explosives, management of hazardous material contamination, legacy ordnance dump sites, and management of UXO arising from training:</w:t>
            </w:r>
          </w:p>
          <w:p w14:paraId="5761ED45"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GBRMPA policy on UXO arising from Defence activities is not formalised e.g. the policy for a moratorium on high explosive use outside of Shoalwater Bay is voluntary. However, any proposal contrary to this policy would be subject to review, assessment and approval through the existing management channels.</w:t>
            </w:r>
          </w:p>
          <w:p w14:paraId="5761ED46"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The dedicated Defence website referencing UXO outside training areas provides a good general overview but the information is not sufficiently detailed to be of great assistance to GBR managers making site-level decisions on a day to day basis.</w:t>
            </w:r>
          </w:p>
          <w:p w14:paraId="5761ED4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lang w:val="en"/>
              </w:rPr>
            </w:pPr>
            <w:r w:rsidRPr="00E70A11">
              <w:rPr>
                <w:rFonts w:ascii="Arial Narrow" w:hAnsi="Arial Narrow"/>
                <w:sz w:val="18"/>
                <w:szCs w:val="18"/>
              </w:rPr>
              <w:t xml:space="preserve">There are </w:t>
            </w:r>
            <w:r w:rsidRPr="00E70A11">
              <w:rPr>
                <w:rFonts w:ascii="Arial Narrow" w:hAnsi="Arial Narrow"/>
                <w:sz w:val="18"/>
                <w:szCs w:val="18"/>
                <w:lang w:val="en"/>
              </w:rPr>
              <w:t>reviews planned or currently underway to update the SWBTA S</w:t>
            </w:r>
            <w:r>
              <w:rPr>
                <w:rFonts w:ascii="Arial Narrow" w:hAnsi="Arial Narrow"/>
                <w:sz w:val="18"/>
                <w:szCs w:val="18"/>
                <w:lang w:val="en"/>
              </w:rPr>
              <w:t xml:space="preserve">tate of the Environment Report </w:t>
            </w:r>
            <w:r w:rsidRPr="00E70A11">
              <w:rPr>
                <w:rFonts w:ascii="Arial Narrow" w:hAnsi="Arial Narrow"/>
                <w:sz w:val="18"/>
                <w:szCs w:val="18"/>
                <w:lang w:val="en"/>
              </w:rPr>
              <w:t>and the Marine Activities EMP. The latter will result in the production of a planning handbook for Defence activities in the Great Barrier Reef.</w:t>
            </w:r>
          </w:p>
        </w:tc>
        <w:tc>
          <w:tcPr>
            <w:tcW w:w="5326" w:type="dxa"/>
            <w:tcBorders>
              <w:top w:val="single" w:sz="4" w:space="0" w:color="auto"/>
              <w:left w:val="single" w:sz="4" w:space="0" w:color="auto"/>
              <w:bottom w:val="single" w:sz="4" w:space="0" w:color="auto"/>
              <w:right w:val="single" w:sz="4" w:space="0" w:color="auto"/>
            </w:tcBorders>
          </w:tcPr>
          <w:p w14:paraId="5761ED4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 xml:space="preserve">Wu, W., Wang, X., Paull, D. and Kesby, J. 2010, </w:t>
            </w:r>
            <w:hyperlink r:id="rId563" w:history="1">
              <w:r w:rsidRPr="00E70A11">
                <w:rPr>
                  <w:rStyle w:val="Hyperlink"/>
                  <w:rFonts w:ascii="Arial Narrow" w:hAnsi="Arial Narrow"/>
                  <w:sz w:val="18"/>
                  <w:szCs w:val="18"/>
                  <w:lang w:val="en"/>
                </w:rPr>
                <w:t>Defence force activities in marine protected areas: environmental management of Shoalwater Bay Training Area</w:t>
              </w:r>
            </w:hyperlink>
          </w:p>
          <w:p w14:paraId="5761ED4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GBRMPA/Defence </w:t>
            </w:r>
            <w:hyperlink r:id="rId564" w:history="1">
              <w:r w:rsidRPr="00E70A11">
                <w:rPr>
                  <w:rStyle w:val="Hyperlink"/>
                  <w:rFonts w:ascii="Arial Narrow" w:hAnsi="Arial Narrow"/>
                  <w:sz w:val="18"/>
                  <w:szCs w:val="18"/>
                </w:rPr>
                <w:t>Management Agreement 2012-2016</w:t>
              </w:r>
            </w:hyperlink>
          </w:p>
          <w:p w14:paraId="5761ED4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webpages on </w:t>
            </w:r>
            <w:hyperlink r:id="rId565" w:history="1">
              <w:r w:rsidRPr="00E70A11">
                <w:rPr>
                  <w:rStyle w:val="Hyperlink"/>
                  <w:rFonts w:ascii="Arial Narrow" w:hAnsi="Arial Narrow"/>
                  <w:sz w:val="18"/>
                  <w:szCs w:val="18"/>
                </w:rPr>
                <w:t>UXO</w:t>
              </w:r>
            </w:hyperlink>
          </w:p>
          <w:p w14:paraId="5761ED4B"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566" w:history="1">
              <w:r w:rsidR="00A56EE9" w:rsidRPr="00E70A11">
                <w:rPr>
                  <w:rStyle w:val="Hyperlink"/>
                  <w:rFonts w:ascii="Arial Narrow" w:hAnsi="Arial Narrow"/>
                  <w:sz w:val="18"/>
                  <w:szCs w:val="18"/>
                  <w:lang w:val="en"/>
                </w:rPr>
                <w:t>MOU 2016-2020 between Defence and GBRMPA on Management of Defence Activities in the GBRMP Region</w:t>
              </w:r>
            </w:hyperlink>
            <w:r w:rsidR="00A56EE9" w:rsidRPr="00E70A11">
              <w:rPr>
                <w:rFonts w:ascii="Arial Narrow" w:hAnsi="Arial Narrow"/>
                <w:sz w:val="18"/>
                <w:szCs w:val="18"/>
                <w:lang w:val="en"/>
              </w:rPr>
              <w:t xml:space="preserve"> </w:t>
            </w:r>
          </w:p>
          <w:p w14:paraId="5761ED4C"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567" w:history="1">
              <w:r w:rsidR="00A56EE9" w:rsidRPr="00E70A11">
                <w:rPr>
                  <w:rStyle w:val="Hyperlink"/>
                  <w:rFonts w:ascii="Arial Narrow" w:hAnsi="Arial Narrow"/>
                  <w:sz w:val="18"/>
                  <w:szCs w:val="18"/>
                </w:rPr>
                <w:t>Defence Estate Water Strategy 2014-2019</w:t>
              </w:r>
            </w:hyperlink>
          </w:p>
          <w:p w14:paraId="5761ED4D"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D4E"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4F"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5A"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shd w:val="clear" w:color="auto" w:fill="FFFFFF"/>
          </w:tcPr>
          <w:p w14:paraId="5761ED51" w14:textId="77777777" w:rsidR="00A56EE9" w:rsidRPr="00E70A11" w:rsidRDefault="00A56EE9" w:rsidP="00BB6AD5">
            <w:pPr>
              <w:pStyle w:val="Tablebulletlist"/>
              <w:rPr>
                <w:rStyle w:val="BookTitle"/>
              </w:rPr>
            </w:pPr>
            <w:r w:rsidRPr="00E70A11">
              <w:rPr>
                <w:rStyle w:val="BookTitle"/>
              </w:rPr>
              <w:t>PL8 There is consistency across jurisdictions when planning for defence activities</w:t>
            </w:r>
          </w:p>
        </w:tc>
        <w:tc>
          <w:tcPr>
            <w:tcW w:w="739" w:type="dxa"/>
            <w:tcBorders>
              <w:top w:val="single" w:sz="4" w:space="0" w:color="auto"/>
              <w:left w:val="single" w:sz="4" w:space="0" w:color="auto"/>
              <w:bottom w:val="single" w:sz="4" w:space="0" w:color="auto"/>
              <w:right w:val="single" w:sz="4" w:space="0" w:color="auto"/>
            </w:tcBorders>
            <w:shd w:val="clear" w:color="auto" w:fill="FFFFFF"/>
          </w:tcPr>
          <w:p w14:paraId="5761ED52"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shd w:val="clear" w:color="auto" w:fill="FFFFFF"/>
          </w:tcPr>
          <w:p w14:paraId="5761ED53"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It is generally true that due to the cross-jurisdictional nature of Defence activities (often involving sea, land and air – includng across maritime and national boundaries) Defence takes overall responsibility for supervision of its activities from inception to conclusion and engages with responsible managers on relevant aspects of an overall activity.</w:t>
            </w:r>
            <w:r>
              <w:rPr>
                <w:rFonts w:ascii="Arial Narrow" w:hAnsi="Arial Narrow"/>
                <w:sz w:val="18"/>
                <w:szCs w:val="18"/>
                <w:lang w:val="en"/>
              </w:rPr>
              <w:t xml:space="preserve"> </w:t>
            </w:r>
            <w:r w:rsidRPr="00E70A11">
              <w:rPr>
                <w:rFonts w:ascii="Arial Narrow" w:hAnsi="Arial Narrow"/>
                <w:sz w:val="18"/>
                <w:szCs w:val="18"/>
                <w:lang w:val="en"/>
              </w:rPr>
              <w:t xml:space="preserve">In the case of the GBR managers are involved in the planning stages of major activities to ensure consistent information and approaches are applied in managing potential risks. </w:t>
            </w:r>
          </w:p>
          <w:p w14:paraId="5761ED5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
              </w:rPr>
              <w:t xml:space="preserve">The approach has been proven to be effective and has been </w:t>
            </w:r>
            <w:r w:rsidRPr="00E70A11">
              <w:rPr>
                <w:rFonts w:ascii="Arial Narrow" w:hAnsi="Arial Narrow"/>
                <w:sz w:val="18"/>
                <w:szCs w:val="18"/>
              </w:rPr>
              <w:t>well tested over the years, particularly in relation to major exercises.</w:t>
            </w:r>
          </w:p>
        </w:tc>
        <w:tc>
          <w:tcPr>
            <w:tcW w:w="5326" w:type="dxa"/>
            <w:tcBorders>
              <w:top w:val="single" w:sz="4" w:space="0" w:color="auto"/>
              <w:left w:val="single" w:sz="4" w:space="0" w:color="auto"/>
              <w:bottom w:val="single" w:sz="4" w:space="0" w:color="auto"/>
              <w:right w:val="single" w:sz="4" w:space="0" w:color="auto"/>
            </w:tcBorders>
            <w:shd w:val="clear" w:color="auto" w:fill="FFFFFF"/>
          </w:tcPr>
          <w:p w14:paraId="5761ED55"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68" w:history="1">
              <w:r w:rsidR="00A56EE9" w:rsidRPr="00E70A11">
                <w:rPr>
                  <w:rStyle w:val="Hyperlink"/>
                  <w:rFonts w:ascii="Arial Narrow" w:hAnsi="Arial Narrow"/>
                  <w:sz w:val="18"/>
                  <w:szCs w:val="18"/>
                </w:rPr>
                <w:t>Memorandum of Understanding 2012-2016</w:t>
              </w:r>
            </w:hyperlink>
          </w:p>
          <w:p w14:paraId="5761ED56"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569" w:history="1">
              <w:r w:rsidR="00A56EE9" w:rsidRPr="00E70A11">
                <w:rPr>
                  <w:rStyle w:val="Hyperlink"/>
                  <w:rFonts w:ascii="Arial Narrow" w:hAnsi="Arial Narrow"/>
                  <w:sz w:val="18"/>
                  <w:szCs w:val="18"/>
                  <w:lang w:val="en"/>
                </w:rPr>
                <w:t>MOU 2016-2020 between Defence and GBRMPA on Management of Defence Activities in the GBRMP Region</w:t>
              </w:r>
            </w:hyperlink>
            <w:r w:rsidR="00A56EE9" w:rsidRPr="00E70A11">
              <w:rPr>
                <w:rFonts w:ascii="Arial Narrow" w:hAnsi="Arial Narrow"/>
                <w:sz w:val="18"/>
                <w:szCs w:val="18"/>
                <w:lang w:val="en"/>
              </w:rPr>
              <w:t xml:space="preserve"> </w:t>
            </w:r>
          </w:p>
          <w:p w14:paraId="5761ED57"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shd w:val="clear" w:color="auto" w:fill="FFFFFF"/>
          </w:tcPr>
          <w:p w14:paraId="5761ED58"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5761ED59"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68"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shd w:val="clear" w:color="auto" w:fill="auto"/>
          </w:tcPr>
          <w:p w14:paraId="5761ED5B"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defence activities provide certainty regarding where uses may occur, the type of activities allowed, conditions under which activities may proceed and circumstances where impacts are likely to be acceptable.</w:t>
            </w:r>
          </w:p>
        </w:tc>
        <w:tc>
          <w:tcPr>
            <w:tcW w:w="739" w:type="dxa"/>
            <w:tcBorders>
              <w:top w:val="single" w:sz="4" w:space="0" w:color="auto"/>
              <w:left w:val="single" w:sz="4" w:space="0" w:color="auto"/>
              <w:bottom w:val="single" w:sz="4" w:space="0" w:color="auto"/>
              <w:right w:val="single" w:sz="4" w:space="0" w:color="auto"/>
            </w:tcBorders>
          </w:tcPr>
          <w:p w14:paraId="5761ED5C"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D5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Managers follow strict protocols in relation to defence actions that may involve some measured element of risk.</w:t>
            </w:r>
            <w:r>
              <w:rPr>
                <w:rFonts w:ascii="Arial Narrow" w:hAnsi="Arial Narrow"/>
                <w:sz w:val="18"/>
                <w:szCs w:val="18"/>
              </w:rPr>
              <w:t xml:space="preserve"> </w:t>
            </w:r>
            <w:r w:rsidRPr="00E70A11">
              <w:rPr>
                <w:rFonts w:ascii="Arial Narrow" w:hAnsi="Arial Narrow"/>
                <w:sz w:val="18"/>
                <w:szCs w:val="18"/>
              </w:rPr>
              <w:t>For example, Defence has a voluntary moratorium on the use of high explosives in the GBR World Heritage Area (except in SWBTA where explosives are still used at for underwater demolitions training at Triangular Island and at the air weapons range on Townshend Island).</w:t>
            </w:r>
            <w:r>
              <w:rPr>
                <w:rFonts w:ascii="Arial Narrow" w:hAnsi="Arial Narrow"/>
                <w:sz w:val="18"/>
                <w:szCs w:val="18"/>
              </w:rPr>
              <w:t xml:space="preserve"> </w:t>
            </w:r>
            <w:r w:rsidRPr="00E70A11">
              <w:rPr>
                <w:rFonts w:ascii="Arial Narrow" w:hAnsi="Arial Narrow"/>
                <w:sz w:val="18"/>
                <w:szCs w:val="18"/>
              </w:rPr>
              <w:t>Stringent environmental procedures are followed when high explosives are used, including a requirement to maintain a safety zones for marine fauna particularly whales, dolphins, dugongs and turtles. When high explosives are being detonated in the water there are dedicated shipboard and aerial observers who communicate any marine wildlife sightings to exercise and other participants.</w:t>
            </w:r>
          </w:p>
          <w:p w14:paraId="5761ED5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managers have visibility of the internal Defence processes applied to consider environmental assessments for the activities described in Defence environmental policies and strategies. There is also good awareness in GBRMPA of the Defence Maritime Activities EMP which provides guidance for Defence planners and operators to ensure that the need for protection of environmental values in the Marine environment, including the GBR, are recognised avoided where practicable.</w:t>
            </w:r>
          </w:p>
          <w:p w14:paraId="5761ED5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Range Standing Orders for training areas within (or adjacent to) the GBR specify what activities may or may not occur and where such limitations may exist.</w:t>
            </w:r>
          </w:p>
          <w:p w14:paraId="5761ED6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lang w:val="en"/>
              </w:rPr>
            </w:pPr>
            <w:r w:rsidRPr="00E70A11">
              <w:rPr>
                <w:rFonts w:ascii="Arial Narrow" w:hAnsi="Arial Narrow"/>
                <w:sz w:val="18"/>
                <w:szCs w:val="18"/>
              </w:rPr>
              <w:t xml:space="preserve">GBRMPA and QLD Program Reports from the comprehensive strategic assessment </w:t>
            </w:r>
          </w:p>
        </w:tc>
        <w:tc>
          <w:tcPr>
            <w:tcW w:w="5326" w:type="dxa"/>
            <w:tcBorders>
              <w:top w:val="single" w:sz="4" w:space="0" w:color="auto"/>
              <w:left w:val="single" w:sz="4" w:space="0" w:color="auto"/>
              <w:bottom w:val="single" w:sz="4" w:space="0" w:color="auto"/>
              <w:right w:val="single" w:sz="4" w:space="0" w:color="auto"/>
            </w:tcBorders>
          </w:tcPr>
          <w:p w14:paraId="5761ED6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GBRMPA/Defence </w:t>
            </w:r>
            <w:hyperlink r:id="rId570" w:history="1">
              <w:r w:rsidRPr="00E70A11">
                <w:rPr>
                  <w:rStyle w:val="Hyperlink"/>
                  <w:rFonts w:ascii="Arial Narrow" w:hAnsi="Arial Narrow"/>
                  <w:sz w:val="18"/>
                  <w:szCs w:val="18"/>
                </w:rPr>
                <w:t>Management Agreement 2012-2016</w:t>
              </w:r>
            </w:hyperlink>
          </w:p>
          <w:p w14:paraId="5761ED6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71" w:history="1">
              <w:r w:rsidR="00A56EE9" w:rsidRPr="00E70A11">
                <w:rPr>
                  <w:rStyle w:val="Hyperlink"/>
                  <w:rFonts w:ascii="Arial Narrow" w:hAnsi="Arial Narrow"/>
                  <w:sz w:val="18"/>
                  <w:szCs w:val="18"/>
                </w:rPr>
                <w:t>Strategic Environmental Assessment of defence activities in the Great Barrier Reef World Heritage Area, 2014</w:t>
              </w:r>
            </w:hyperlink>
          </w:p>
          <w:p w14:paraId="5761ED63"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572" w:history="1">
              <w:r w:rsidR="00A56EE9" w:rsidRPr="00E70A11">
                <w:rPr>
                  <w:rStyle w:val="Hyperlink"/>
                  <w:rFonts w:ascii="Arial Narrow" w:hAnsi="Arial Narrow"/>
                  <w:sz w:val="18"/>
                  <w:szCs w:val="18"/>
                </w:rPr>
                <w:t>GBRMPA</w:t>
              </w:r>
            </w:hyperlink>
            <w:r w:rsidR="00A56EE9" w:rsidRPr="00E70A11">
              <w:rPr>
                <w:rFonts w:ascii="Arial Narrow" w:hAnsi="Arial Narrow"/>
                <w:sz w:val="18"/>
                <w:szCs w:val="18"/>
              </w:rPr>
              <w:t xml:space="preserve"> and </w:t>
            </w:r>
            <w:hyperlink r:id="rId573" w:history="1">
              <w:r w:rsidR="00A56EE9" w:rsidRPr="00E70A11">
                <w:rPr>
                  <w:rStyle w:val="Hyperlink"/>
                  <w:rFonts w:ascii="Arial Narrow" w:hAnsi="Arial Narrow"/>
                  <w:sz w:val="18"/>
                  <w:szCs w:val="18"/>
                </w:rPr>
                <w:t>QLD</w:t>
              </w:r>
            </w:hyperlink>
            <w:r w:rsidR="00A56EE9" w:rsidRPr="00E70A11">
              <w:rPr>
                <w:rFonts w:ascii="Arial Narrow" w:hAnsi="Arial Narrow"/>
                <w:sz w:val="18"/>
                <w:szCs w:val="18"/>
              </w:rPr>
              <w:t xml:space="preserve"> Strategic Assessment Program Reports</w:t>
            </w:r>
          </w:p>
          <w:p w14:paraId="5761ED64"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574" w:history="1">
              <w:r w:rsidR="00A56EE9" w:rsidRPr="00E70A11">
                <w:rPr>
                  <w:rStyle w:val="Hyperlink"/>
                  <w:rFonts w:ascii="Arial Narrow" w:hAnsi="Arial Narrow"/>
                  <w:sz w:val="18"/>
                  <w:szCs w:val="18"/>
                  <w:lang w:val="en"/>
                </w:rPr>
                <w:t>MOU 2016-2020 between Defence and GBRMPA on Management of Defence Activities in the GBRMP Region</w:t>
              </w:r>
            </w:hyperlink>
            <w:r w:rsidR="00A56EE9" w:rsidRPr="00E70A11">
              <w:rPr>
                <w:rFonts w:ascii="Arial Narrow" w:hAnsi="Arial Narrow"/>
                <w:sz w:val="18"/>
                <w:szCs w:val="18"/>
                <w:lang w:val="en"/>
              </w:rPr>
              <w:t xml:space="preserve"> </w:t>
            </w:r>
          </w:p>
          <w:p w14:paraId="5761ED65" w14:textId="77777777" w:rsidR="00A56EE9" w:rsidRPr="00E70A11" w:rsidRDefault="00A56EE9" w:rsidP="00BB6AD5">
            <w:pPr>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D66"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67"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6F"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69" w14:textId="77777777" w:rsidR="00A56EE9" w:rsidRPr="00E70A11" w:rsidRDefault="00A56EE9" w:rsidP="00BB6AD5">
            <w:pPr>
              <w:pStyle w:val="Tablebulletlist"/>
              <w:rPr>
                <w:rStyle w:val="BookTitle"/>
              </w:rPr>
            </w:pPr>
            <w:r w:rsidRPr="00E70A11">
              <w:rPr>
                <w:rStyle w:val="BookTitle"/>
              </w:rPr>
              <w:t>INPUTS</w:t>
            </w:r>
          </w:p>
        </w:tc>
        <w:tc>
          <w:tcPr>
            <w:tcW w:w="73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6A" w14:textId="77777777" w:rsidR="00A56EE9" w:rsidRPr="00E70A11" w:rsidRDefault="00A56EE9" w:rsidP="00BB6AD5">
            <w:pPr>
              <w:pStyle w:val="Tablebulletlist"/>
              <w:rPr>
                <w:rStyle w:val="BookTitle"/>
              </w:rPr>
            </w:pPr>
          </w:p>
        </w:tc>
        <w:tc>
          <w:tcPr>
            <w:tcW w:w="458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6B" w14:textId="77777777" w:rsidR="00A56EE9" w:rsidRPr="00E70A11" w:rsidRDefault="00A56EE9" w:rsidP="00BB6AD5">
            <w:pPr>
              <w:pStyle w:val="ListParagraph"/>
              <w:ind w:left="360"/>
              <w:rPr>
                <w:rStyle w:val="BookTitle"/>
                <w:rFonts w:ascii="Arial Narrow" w:hAnsi="Arial Narrow"/>
                <w:sz w:val="18"/>
                <w:szCs w:val="18"/>
              </w:rPr>
            </w:pPr>
          </w:p>
        </w:tc>
        <w:tc>
          <w:tcPr>
            <w:tcW w:w="532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6C"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6D"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6E" w14:textId="77777777" w:rsidR="00A56EE9" w:rsidRPr="00E70A11" w:rsidRDefault="00A56EE9" w:rsidP="00BB6AD5">
            <w:pPr>
              <w:pStyle w:val="Tablebulletlist"/>
              <w:rPr>
                <w:rStyle w:val="BookTitle"/>
              </w:rPr>
            </w:pPr>
          </w:p>
        </w:tc>
      </w:tr>
      <w:tr w:rsidR="00A56EE9" w:rsidRPr="00E70A11" w14:paraId="5761ED83"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70"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defence activities </w:t>
            </w:r>
          </w:p>
        </w:tc>
        <w:tc>
          <w:tcPr>
            <w:tcW w:w="739" w:type="dxa"/>
            <w:tcBorders>
              <w:top w:val="single" w:sz="4" w:space="0" w:color="auto"/>
              <w:left w:val="single" w:sz="4" w:space="0" w:color="auto"/>
              <w:bottom w:val="single" w:sz="4" w:space="0" w:color="auto"/>
              <w:right w:val="single" w:sz="4" w:space="0" w:color="auto"/>
            </w:tcBorders>
          </w:tcPr>
          <w:p w14:paraId="5761ED71"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D7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It is noted that GBRMPA does not specifically allocate financial resources to manage Defence activities </w:t>
            </w:r>
            <w:r w:rsidRPr="00E70A11">
              <w:rPr>
                <w:rFonts w:ascii="Arial Narrow" w:hAnsi="Arial Narrow"/>
                <w:i/>
                <w:sz w:val="18"/>
                <w:szCs w:val="18"/>
              </w:rPr>
              <w:t>per se</w:t>
            </w:r>
            <w:r w:rsidRPr="00E70A11">
              <w:rPr>
                <w:rFonts w:ascii="Arial Narrow" w:hAnsi="Arial Narrow"/>
                <w:sz w:val="18"/>
                <w:szCs w:val="18"/>
              </w:rPr>
              <w:t>.</w:t>
            </w:r>
            <w:r>
              <w:rPr>
                <w:rFonts w:ascii="Arial Narrow" w:hAnsi="Arial Narrow"/>
                <w:sz w:val="18"/>
                <w:szCs w:val="18"/>
              </w:rPr>
              <w:t xml:space="preserve"> </w:t>
            </w:r>
            <w:r w:rsidRPr="00E70A11">
              <w:rPr>
                <w:rFonts w:ascii="Arial Narrow" w:hAnsi="Arial Narrow"/>
                <w:sz w:val="18"/>
                <w:szCs w:val="18"/>
              </w:rPr>
              <w:t xml:space="preserve">Defence activities are considered comparatively low risk and are regarded as well managed by the environmental management expertise available within Defence. </w:t>
            </w:r>
          </w:p>
          <w:p w14:paraId="5761ED7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activities routinely receive some funding to undertake environmental assessments and to ensure approvals are in place.</w:t>
            </w:r>
            <w:r>
              <w:rPr>
                <w:rFonts w:ascii="Arial Narrow" w:hAnsi="Arial Narrow"/>
                <w:sz w:val="18"/>
                <w:szCs w:val="18"/>
              </w:rPr>
              <w:t xml:space="preserve"> </w:t>
            </w:r>
            <w:r w:rsidRPr="00E70A11">
              <w:rPr>
                <w:rFonts w:ascii="Arial Narrow" w:hAnsi="Arial Narrow"/>
                <w:sz w:val="18"/>
                <w:szCs w:val="18"/>
              </w:rPr>
              <w:t>These internal processes are known to GBRMPA managers and are the mechanism used to implement environmental controls to ensure all necessary environmental protection measures are in place when activities are undertaken.</w:t>
            </w:r>
          </w:p>
          <w:p w14:paraId="5761ED7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Government has committed to the Defence budget growing by ‘</w:t>
            </w:r>
            <w:r w:rsidRPr="00E70A11">
              <w:rPr>
                <w:rFonts w:ascii="Arial Narrow" w:hAnsi="Arial Narrow"/>
                <w:i/>
                <w:sz w:val="18"/>
                <w:szCs w:val="18"/>
              </w:rPr>
              <w:t>to two per cent of GDP by 2020–21…’</w:t>
            </w:r>
            <w:r>
              <w:rPr>
                <w:rFonts w:ascii="Arial Narrow" w:hAnsi="Arial Narrow"/>
                <w:i/>
                <w:sz w:val="18"/>
                <w:szCs w:val="18"/>
              </w:rPr>
              <w:t xml:space="preserve"> </w:t>
            </w:r>
            <w:r w:rsidRPr="00E70A11">
              <w:rPr>
                <w:rFonts w:ascii="Arial Narrow" w:hAnsi="Arial Narrow"/>
                <w:sz w:val="18"/>
                <w:szCs w:val="18"/>
              </w:rPr>
              <w:t>It is reasonable to assume that the Defence environmental management budget will keep in step with this undertaking to deal with emerging issues arising from any new priorities.</w:t>
            </w:r>
            <w:r w:rsidRPr="00E70A11">
              <w:rPr>
                <w:rFonts w:ascii="Arial Narrow" w:hAnsi="Arial Narrow"/>
                <w:i/>
                <w:sz w:val="18"/>
                <w:szCs w:val="18"/>
              </w:rPr>
              <w:t xml:space="preserve"> </w:t>
            </w:r>
          </w:p>
          <w:p w14:paraId="5761ED75"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US"/>
              </w:rPr>
            </w:pPr>
            <w:r w:rsidRPr="00E70A11">
              <w:rPr>
                <w:rFonts w:ascii="Arial Narrow" w:hAnsi="Arial Narrow"/>
                <w:sz w:val="18"/>
                <w:szCs w:val="18"/>
              </w:rPr>
              <w:t xml:space="preserve">Significant financial resources are referred to in the Defence 2017/18 PBS for contamination remediation works –particularly associated with </w:t>
            </w:r>
            <w:proofErr w:type="gramStart"/>
            <w:r w:rsidRPr="00E70A11">
              <w:rPr>
                <w:rFonts w:ascii="Arial Narrow" w:hAnsi="Arial Narrow"/>
                <w:sz w:val="18"/>
                <w:szCs w:val="18"/>
                <w:lang w:val="en-US"/>
              </w:rPr>
              <w:t>Per-</w:t>
            </w:r>
            <w:proofErr w:type="gramEnd"/>
            <w:r w:rsidRPr="00E70A11">
              <w:rPr>
                <w:rFonts w:ascii="Arial Narrow" w:hAnsi="Arial Narrow"/>
                <w:sz w:val="18"/>
                <w:szCs w:val="18"/>
                <w:lang w:val="en-US"/>
              </w:rPr>
              <w:t xml:space="preserve">and Poly-Fluorinated Alkyl substances </w:t>
            </w:r>
            <w:r w:rsidRPr="00E70A11">
              <w:rPr>
                <w:rFonts w:ascii="MS Gothic" w:eastAsia="MS Gothic" w:hAnsi="MS Gothic" w:cs="MS Gothic" w:hint="eastAsia"/>
                <w:sz w:val="18"/>
                <w:szCs w:val="18"/>
                <w:lang w:val="en-US"/>
              </w:rPr>
              <w:t> </w:t>
            </w:r>
            <w:r w:rsidRPr="00E70A11">
              <w:rPr>
                <w:rFonts w:ascii="Arial Narrow" w:hAnsi="Arial Narrow"/>
                <w:sz w:val="18"/>
                <w:szCs w:val="18"/>
                <w:lang w:val="en-US"/>
              </w:rPr>
              <w:t>arising from the use of firefighting foam from the 1970’s.</w:t>
            </w:r>
            <w:r>
              <w:rPr>
                <w:rFonts w:ascii="Arial Narrow" w:hAnsi="Arial Narrow"/>
                <w:sz w:val="18"/>
                <w:szCs w:val="18"/>
                <w:lang w:val="en-US"/>
              </w:rPr>
              <w:t xml:space="preserve"> </w:t>
            </w:r>
            <w:r w:rsidRPr="00E70A11">
              <w:rPr>
                <w:rFonts w:ascii="Arial Narrow" w:hAnsi="Arial Narrow"/>
                <w:sz w:val="18"/>
                <w:szCs w:val="18"/>
                <w:lang w:val="en-US"/>
              </w:rPr>
              <w:t>Sites such as RAAF Base Townsville that drain to the GBR have been the subject of assessments for contamination.</w:t>
            </w:r>
            <w:r>
              <w:rPr>
                <w:rFonts w:ascii="Arial Narrow" w:hAnsi="Arial Narrow"/>
                <w:sz w:val="18"/>
                <w:szCs w:val="18"/>
                <w:lang w:val="en-US"/>
              </w:rPr>
              <w:t xml:space="preserve"> </w:t>
            </w:r>
            <w:r w:rsidRPr="00E70A11">
              <w:rPr>
                <w:rFonts w:ascii="Arial Narrow" w:hAnsi="Arial Narrow"/>
                <w:sz w:val="18"/>
                <w:szCs w:val="18"/>
                <w:lang w:val="en-US"/>
              </w:rPr>
              <w:t>The 2018/19 Federal Budget also announced</w:t>
            </w:r>
            <w:r w:rsidRPr="00E70A11">
              <w:rPr>
                <w:rFonts w:ascii="Arial Narrow" w:hAnsi="Arial Narrow"/>
                <w:sz w:val="18"/>
                <w:szCs w:val="18"/>
              </w:rPr>
              <w:t xml:space="preserve"> $34.1 million over five years from 2017-18 for research and associated activities related to per- and poly-fluorinated alkyl substances (PFAS).</w:t>
            </w:r>
            <w:r w:rsidRPr="00E70A11">
              <w:rPr>
                <w:rFonts w:ascii="Arial Narrow" w:hAnsi="Arial Narrow"/>
                <w:sz w:val="18"/>
                <w:szCs w:val="18"/>
                <w:lang w:val="en-US"/>
              </w:rPr>
              <w:t xml:space="preserve"> </w:t>
            </w:r>
          </w:p>
          <w:p w14:paraId="5761ED7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Defence allocates resources to address the need to comply with the EPBC and GBRMPA Acts.</w:t>
            </w:r>
          </w:p>
        </w:tc>
        <w:tc>
          <w:tcPr>
            <w:tcW w:w="5326" w:type="dxa"/>
            <w:tcBorders>
              <w:top w:val="single" w:sz="4" w:space="0" w:color="auto"/>
              <w:left w:val="single" w:sz="4" w:space="0" w:color="auto"/>
              <w:bottom w:val="single" w:sz="4" w:space="0" w:color="auto"/>
              <w:right w:val="single" w:sz="4" w:space="0" w:color="auto"/>
            </w:tcBorders>
          </w:tcPr>
          <w:p w14:paraId="5761ED7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PER (2004) – National Defence</w:t>
            </w:r>
          </w:p>
          <w:p w14:paraId="5761ED7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t>
            </w:r>
            <w:hyperlink r:id="rId575" w:history="1">
              <w:r w:rsidRPr="00E70A11">
                <w:rPr>
                  <w:rStyle w:val="Hyperlink"/>
                  <w:rFonts w:ascii="Arial Narrow" w:hAnsi="Arial Narrow"/>
                  <w:sz w:val="18"/>
                  <w:szCs w:val="18"/>
                </w:rPr>
                <w:t>Annual Reports</w:t>
              </w:r>
            </w:hyperlink>
          </w:p>
          <w:p w14:paraId="5761ED7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76" w:history="1">
              <w:r w:rsidR="00A56EE9" w:rsidRPr="00E70A11">
                <w:rPr>
                  <w:rStyle w:val="Hyperlink"/>
                  <w:rFonts w:ascii="Arial Narrow" w:hAnsi="Arial Narrow"/>
                  <w:sz w:val="18"/>
                  <w:szCs w:val="18"/>
                </w:rPr>
                <w:t>GBRMPA Annual Reports</w:t>
              </w:r>
            </w:hyperlink>
          </w:p>
          <w:p w14:paraId="5761ED7A"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D7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D7C"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577"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D7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578"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D7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79" w:history="1">
              <w:r w:rsidR="00A56EE9" w:rsidRPr="00E70A11">
                <w:rPr>
                  <w:rStyle w:val="Hyperlink"/>
                  <w:rFonts w:ascii="Arial Narrow" w:hAnsi="Arial Narrow"/>
                  <w:sz w:val="18"/>
                  <w:szCs w:val="18"/>
                </w:rPr>
                <w:t>Minister statement on Defence budget</w:t>
              </w:r>
            </w:hyperlink>
            <w:r w:rsidR="00A56EE9" w:rsidRPr="00E70A11">
              <w:rPr>
                <w:rFonts w:ascii="Arial Narrow" w:hAnsi="Arial Narrow"/>
                <w:sz w:val="18"/>
                <w:szCs w:val="18"/>
              </w:rPr>
              <w:t xml:space="preserve"> overview</w:t>
            </w:r>
          </w:p>
          <w:p w14:paraId="5761ED7F"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Fonts w:ascii="Arial Narrow" w:hAnsi="Arial Narrow"/>
                <w:sz w:val="18"/>
                <w:szCs w:val="18"/>
              </w:rPr>
              <w:t xml:space="preserve">Defence Portfolio Budget Statements 2017/18 (table 50 page 111) </w:t>
            </w:r>
            <w:hyperlink r:id="rId580" w:history="1">
              <w:r w:rsidRPr="00E70A11">
                <w:rPr>
                  <w:rStyle w:val="Hyperlink"/>
                  <w:rFonts w:ascii="Arial Narrow" w:hAnsi="Arial Narrow"/>
                  <w:sz w:val="18"/>
                  <w:szCs w:val="18"/>
                </w:rPr>
                <w:t>/2017-18_Defence_PBS_00_Complete.pdf</w:t>
              </w:r>
            </w:hyperlink>
          </w:p>
          <w:p w14:paraId="5761ED80" w14:textId="07246935"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Defence Portfolio Budget Statement 2018-19</w:t>
            </w:r>
            <w:r>
              <w:rPr>
                <w:rFonts w:ascii="Arial Narrow" w:hAnsi="Arial Narrow"/>
                <w:sz w:val="18"/>
                <w:szCs w:val="18"/>
              </w:rPr>
              <w:t xml:space="preserve"> </w:t>
            </w:r>
            <w:hyperlink r:id="rId581" w:tooltip="document link" w:history="1">
              <w:r w:rsidRPr="00E70A11">
                <w:rPr>
                  <w:rStyle w:val="Hyperlink"/>
                  <w:rFonts w:ascii="Arial Narrow" w:hAnsi="Arial Narrow"/>
                  <w:sz w:val="18"/>
                  <w:szCs w:val="18"/>
                </w:rPr>
                <w:t>https://budget.gov.au/2018-19/content/bp2/download/bp2_combined.pdf</w:t>
              </w:r>
            </w:hyperlink>
          </w:p>
        </w:tc>
        <w:tc>
          <w:tcPr>
            <w:tcW w:w="976" w:type="dxa"/>
            <w:tcBorders>
              <w:top w:val="single" w:sz="4" w:space="0" w:color="auto"/>
              <w:left w:val="single" w:sz="4" w:space="0" w:color="auto"/>
              <w:bottom w:val="single" w:sz="4" w:space="0" w:color="auto"/>
              <w:right w:val="single" w:sz="4" w:space="0" w:color="auto"/>
            </w:tcBorders>
          </w:tcPr>
          <w:p w14:paraId="5761ED81"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82" w14:textId="77777777" w:rsidR="00A56EE9" w:rsidRPr="00E70A11" w:rsidRDefault="00A56EE9" w:rsidP="00BB6AD5">
            <w:pPr>
              <w:pStyle w:val="Tablebulletlist"/>
              <w:rPr>
                <w:rStyle w:val="BookTitle"/>
              </w:rPr>
            </w:pPr>
            <w:r w:rsidRPr="00E70A11">
              <w:rPr>
                <w:rStyle w:val="BookTitle"/>
                <w:color w:val="000000" w:themeColor="text1"/>
              </w:rPr>
              <w:t>Stable</w:t>
            </w:r>
          </w:p>
        </w:tc>
      </w:tr>
      <w:tr w:rsidR="00A56EE9" w:rsidRPr="00E70A11" w14:paraId="5761ED90"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84"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defence activities </w:t>
            </w:r>
          </w:p>
        </w:tc>
        <w:tc>
          <w:tcPr>
            <w:tcW w:w="739" w:type="dxa"/>
            <w:tcBorders>
              <w:top w:val="single" w:sz="4" w:space="0" w:color="auto"/>
              <w:left w:val="single" w:sz="4" w:space="0" w:color="auto"/>
              <w:bottom w:val="single" w:sz="4" w:space="0" w:color="auto"/>
              <w:right w:val="single" w:sz="4" w:space="0" w:color="auto"/>
            </w:tcBorders>
          </w:tcPr>
          <w:p w14:paraId="5761ED85"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D8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noted that GBRMPA is reliant on Defence to continue the high level of self-management and monitoring of their environmental effects.</w:t>
            </w:r>
            <w:r>
              <w:rPr>
                <w:rFonts w:ascii="Arial Narrow" w:hAnsi="Arial Narrow"/>
                <w:sz w:val="18"/>
                <w:szCs w:val="18"/>
              </w:rPr>
              <w:t xml:space="preserve"> </w:t>
            </w:r>
            <w:r w:rsidRPr="00E70A11">
              <w:rPr>
                <w:rFonts w:ascii="Arial Narrow" w:hAnsi="Arial Narrow"/>
                <w:sz w:val="18"/>
                <w:szCs w:val="18"/>
              </w:rPr>
              <w:t>Given the acknowledged low risk, and nature of the activities this is considered appropriate.</w:t>
            </w:r>
            <w:r>
              <w:rPr>
                <w:rFonts w:ascii="Arial Narrow" w:hAnsi="Arial Narrow"/>
                <w:sz w:val="18"/>
                <w:szCs w:val="18"/>
              </w:rPr>
              <w:t xml:space="preserve"> </w:t>
            </w:r>
            <w:r w:rsidRPr="00E70A11">
              <w:rPr>
                <w:rFonts w:ascii="Arial Narrow" w:hAnsi="Arial Narrow"/>
                <w:sz w:val="18"/>
                <w:szCs w:val="18"/>
              </w:rPr>
              <w:t>For GBRMPA the effectiveness of a self-managed approach will inevitably depend on Defence ensuring that there are adequate resources available (currently 6-10 FTE) for its own environmental managers to maintain the existing standards.</w:t>
            </w:r>
          </w:p>
          <w:p w14:paraId="5761ED8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considered that GBRMPA’s main management priorities are rightly in areas other than the limited risks associated with Defence training. Consequently, there is strong competition for resources for monitoring Defence compliance and it can be foreseen that in future these may be inadequate if there is increased levels of training activity.</w:t>
            </w:r>
          </w:p>
          <w:p w14:paraId="5761ED8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Defence/GBR Field Management do undertake some joint patrols especially when training areas are closed to the public for safety and security reasons.</w:t>
            </w:r>
          </w:p>
          <w:p w14:paraId="5761ED8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has a specialist environmental impact assessment unit (the Directorate of Environmental Protection and Assessments - DEPA) to ensure compliance with regulatory and internal Defence requirements such as Environmental Clearance Certificates, Environmental Assessment Reports and Environmental Reports.</w:t>
            </w:r>
          </w:p>
          <w:p w14:paraId="5761ED8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Resourcing in Defence includes APS and contracted specialist staff. This includes approximately 0.5 FTE focussed on GBRMPA strategic level matters within Estate &amp; Infrastructure Group in addition to other APS and contracted resources in Navy HQ and Fleet. </w:t>
            </w:r>
          </w:p>
          <w:p w14:paraId="5761ED8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Defence regional environmental staff are responsible for Defence estate within the GBR catchment are also focussed on management of Defence activities with respect to GBR values.</w:t>
            </w:r>
          </w:p>
        </w:tc>
        <w:tc>
          <w:tcPr>
            <w:tcW w:w="5326" w:type="dxa"/>
            <w:tcBorders>
              <w:top w:val="single" w:sz="4" w:space="0" w:color="auto"/>
              <w:left w:val="single" w:sz="4" w:space="0" w:color="auto"/>
              <w:bottom w:val="single" w:sz="4" w:space="0" w:color="auto"/>
              <w:right w:val="single" w:sz="4" w:space="0" w:color="auto"/>
            </w:tcBorders>
          </w:tcPr>
          <w:p w14:paraId="5761ED8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t>
            </w:r>
            <w:hyperlink r:id="rId582" w:history="1">
              <w:r w:rsidRPr="00E70A11">
                <w:rPr>
                  <w:rStyle w:val="Hyperlink"/>
                  <w:rFonts w:ascii="Arial Narrow" w:hAnsi="Arial Narrow"/>
                  <w:sz w:val="18"/>
                  <w:szCs w:val="18"/>
                </w:rPr>
                <w:t>Annual Reports</w:t>
              </w:r>
            </w:hyperlink>
          </w:p>
          <w:p w14:paraId="5761ED8D"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583" w:history="1">
              <w:r w:rsidR="00A56EE9" w:rsidRPr="00E70A11">
                <w:rPr>
                  <w:rStyle w:val="Hyperlink"/>
                  <w:rFonts w:ascii="Arial Narrow" w:hAnsi="Arial Narrow"/>
                  <w:sz w:val="18"/>
                  <w:szCs w:val="18"/>
                </w:rPr>
                <w:t>GBRMPA Annual Reports</w:t>
              </w:r>
            </w:hyperlink>
          </w:p>
        </w:tc>
        <w:tc>
          <w:tcPr>
            <w:tcW w:w="976" w:type="dxa"/>
            <w:tcBorders>
              <w:top w:val="single" w:sz="4" w:space="0" w:color="auto"/>
              <w:left w:val="single" w:sz="4" w:space="0" w:color="auto"/>
              <w:bottom w:val="single" w:sz="4" w:space="0" w:color="auto"/>
              <w:right w:val="single" w:sz="4" w:space="0" w:color="auto"/>
            </w:tcBorders>
          </w:tcPr>
          <w:p w14:paraId="5761ED8E"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8F"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98"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91"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defence activities</w:t>
            </w:r>
          </w:p>
        </w:tc>
        <w:tc>
          <w:tcPr>
            <w:tcW w:w="739" w:type="dxa"/>
            <w:tcBorders>
              <w:top w:val="single" w:sz="4" w:space="0" w:color="auto"/>
              <w:left w:val="single" w:sz="4" w:space="0" w:color="auto"/>
              <w:bottom w:val="single" w:sz="4" w:space="0" w:color="auto"/>
              <w:right w:val="single" w:sz="4" w:space="0" w:color="auto"/>
            </w:tcBorders>
          </w:tcPr>
          <w:p w14:paraId="5761ED92"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D9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noted that within GBRMPA the right skill set and expertise exists within an admitted small number of staff (2 maximum) to undertake the tasks necessary to manage defence activities.</w:t>
            </w:r>
            <w:r>
              <w:rPr>
                <w:rFonts w:ascii="Arial Narrow" w:hAnsi="Arial Narrow"/>
                <w:sz w:val="18"/>
                <w:szCs w:val="18"/>
              </w:rPr>
              <w:t xml:space="preserve"> </w:t>
            </w:r>
            <w:r w:rsidRPr="00E70A11">
              <w:rPr>
                <w:rFonts w:ascii="Arial Narrow" w:hAnsi="Arial Narrow"/>
                <w:sz w:val="18"/>
                <w:szCs w:val="18"/>
              </w:rPr>
              <w:t>With a small number of individuals when those staff are on leave or seconded to another section the corporate knowledge is displaced and often inaccessible until the staff return to the Environment Assessment and Protection or Field Management Unit.</w:t>
            </w:r>
          </w:p>
          <w:p w14:paraId="5761ED9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Defence’s own environmental personnel are also limited in number but are generally very experienced with a strong understanding of the obligations on Defence in relation to GBR regulation under the GBRMP Act and EPBC Act.</w:t>
            </w:r>
            <w:r>
              <w:rPr>
                <w:rFonts w:ascii="Arial Narrow" w:hAnsi="Arial Narrow"/>
                <w:sz w:val="18"/>
                <w:szCs w:val="18"/>
              </w:rPr>
              <w:t xml:space="preserve"> </w:t>
            </w:r>
            <w:r w:rsidRPr="00E70A11">
              <w:rPr>
                <w:rFonts w:ascii="Arial Narrow" w:hAnsi="Arial Narrow"/>
                <w:sz w:val="18"/>
                <w:szCs w:val="18"/>
              </w:rPr>
              <w:t>Defence’s directly employed regional staff are few in number but are supported by contractors who undertake some environmental management tasks.</w:t>
            </w:r>
          </w:p>
        </w:tc>
        <w:tc>
          <w:tcPr>
            <w:tcW w:w="5326" w:type="dxa"/>
            <w:tcBorders>
              <w:top w:val="single" w:sz="4" w:space="0" w:color="auto"/>
              <w:left w:val="single" w:sz="4" w:space="0" w:color="auto"/>
              <w:bottom w:val="single" w:sz="4" w:space="0" w:color="auto"/>
              <w:right w:val="single" w:sz="4" w:space="0" w:color="auto"/>
            </w:tcBorders>
          </w:tcPr>
          <w:p w14:paraId="5761ED9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D96"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97"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A1"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99"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defence activities</w:t>
            </w:r>
          </w:p>
        </w:tc>
        <w:tc>
          <w:tcPr>
            <w:tcW w:w="739" w:type="dxa"/>
            <w:tcBorders>
              <w:top w:val="single" w:sz="4" w:space="0" w:color="auto"/>
              <w:left w:val="single" w:sz="4" w:space="0" w:color="auto"/>
              <w:bottom w:val="single" w:sz="4" w:space="0" w:color="auto"/>
              <w:right w:val="single" w:sz="4" w:space="0" w:color="auto"/>
            </w:tcBorders>
          </w:tcPr>
          <w:p w14:paraId="5761ED9A"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D9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Biophysical information is available to GBRMPA from Defence on some aspects, e.g. hydrographic surveys.</w:t>
            </w:r>
            <w:r>
              <w:rPr>
                <w:rFonts w:ascii="Arial Narrow" w:hAnsi="Arial Narrow"/>
                <w:sz w:val="18"/>
                <w:szCs w:val="18"/>
              </w:rPr>
              <w:t xml:space="preserve"> </w:t>
            </w:r>
            <w:r w:rsidRPr="00E70A11">
              <w:rPr>
                <w:rFonts w:ascii="Arial Narrow" w:hAnsi="Arial Narrow"/>
                <w:sz w:val="18"/>
                <w:szCs w:val="18"/>
              </w:rPr>
              <w:t>Training areas also undertake a suite of routine environmental monitoring evaluations relating to a range of issues (e.g. groundcover, contamination, water quality etc). Some of the best available biophysical information is used by GBRMPA managers e.g. seagrass mapping</w:t>
            </w:r>
          </w:p>
        </w:tc>
        <w:tc>
          <w:tcPr>
            <w:tcW w:w="5326" w:type="dxa"/>
            <w:tcBorders>
              <w:top w:val="single" w:sz="4" w:space="0" w:color="auto"/>
              <w:left w:val="single" w:sz="4" w:space="0" w:color="auto"/>
              <w:bottom w:val="single" w:sz="4" w:space="0" w:color="auto"/>
              <w:right w:val="single" w:sz="4" w:space="0" w:color="auto"/>
            </w:tcBorders>
          </w:tcPr>
          <w:p w14:paraId="5761ED9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84" w:history="1">
              <w:r w:rsidR="00A56EE9" w:rsidRPr="00E70A11">
                <w:rPr>
                  <w:rStyle w:val="Hyperlink"/>
                  <w:rFonts w:ascii="Arial Narrow" w:hAnsi="Arial Narrow"/>
                  <w:sz w:val="18"/>
                  <w:szCs w:val="18"/>
                </w:rPr>
                <w:t>State of the Environment Report for Shoalwater Bay Training Area</w:t>
              </w:r>
            </w:hyperlink>
            <w:r w:rsidR="00A56EE9" w:rsidRPr="00E70A11">
              <w:rPr>
                <w:rFonts w:ascii="Arial Narrow" w:hAnsi="Arial Narrow"/>
                <w:sz w:val="18"/>
                <w:szCs w:val="18"/>
              </w:rPr>
              <w:t xml:space="preserve"> 2008 </w:t>
            </w:r>
          </w:p>
          <w:p w14:paraId="5761ED9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85" w:history="1">
              <w:r w:rsidR="00A56EE9" w:rsidRPr="00E70A11">
                <w:rPr>
                  <w:rStyle w:val="Hyperlink"/>
                  <w:rFonts w:ascii="Arial Narrow" w:hAnsi="Arial Narrow"/>
                  <w:sz w:val="18"/>
                  <w:szCs w:val="18"/>
                </w:rPr>
                <w:t>Tier 3 Marine Monitoring Program</w:t>
              </w:r>
            </w:hyperlink>
            <w:r w:rsidR="00A56EE9" w:rsidRPr="00E70A11">
              <w:rPr>
                <w:rFonts w:ascii="Arial Narrow" w:hAnsi="Arial Narrow"/>
                <w:sz w:val="18"/>
                <w:szCs w:val="18"/>
              </w:rPr>
              <w:t xml:space="preserve"> inshore seagrass</w:t>
            </w:r>
          </w:p>
          <w:p w14:paraId="5761ED9E"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586" w:history="1">
              <w:r w:rsidR="00A56EE9" w:rsidRPr="00E70A11">
                <w:rPr>
                  <w:rStyle w:val="Hyperlink"/>
                  <w:rFonts w:ascii="Arial Narrow" w:hAnsi="Arial Narrow"/>
                  <w:sz w:val="18"/>
                  <w:szCs w:val="18"/>
                </w:rPr>
                <w:t>Seagrass Watch – Shoalwater Bay</w:t>
              </w:r>
            </w:hyperlink>
          </w:p>
        </w:tc>
        <w:tc>
          <w:tcPr>
            <w:tcW w:w="976" w:type="dxa"/>
            <w:tcBorders>
              <w:top w:val="single" w:sz="4" w:space="0" w:color="auto"/>
              <w:left w:val="single" w:sz="4" w:space="0" w:color="auto"/>
              <w:bottom w:val="single" w:sz="4" w:space="0" w:color="auto"/>
              <w:right w:val="single" w:sz="4" w:space="0" w:color="auto"/>
            </w:tcBorders>
          </w:tcPr>
          <w:p w14:paraId="5761ED9F"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A0"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B5"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A2"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defence activities</w:t>
            </w:r>
          </w:p>
        </w:tc>
        <w:tc>
          <w:tcPr>
            <w:tcW w:w="739" w:type="dxa"/>
            <w:tcBorders>
              <w:top w:val="single" w:sz="4" w:space="0" w:color="auto"/>
              <w:left w:val="single" w:sz="4" w:space="0" w:color="auto"/>
              <w:bottom w:val="single" w:sz="4" w:space="0" w:color="auto"/>
              <w:right w:val="single" w:sz="4" w:space="0" w:color="auto"/>
            </w:tcBorders>
          </w:tcPr>
          <w:p w14:paraId="5761EDA3"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DA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iCs/>
                <w:sz w:val="18"/>
                <w:szCs w:val="18"/>
              </w:rPr>
              <w:t>It is difficult to compare total economic value of defence use of the GBR with, for example, tourism, fishing, or shipping – because most of the economic data is either not collected or the Defence economic effect is diffuse across the wider regional or national economy.</w:t>
            </w:r>
          </w:p>
          <w:p w14:paraId="5761EDA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iCs/>
                <w:sz w:val="18"/>
                <w:szCs w:val="18"/>
              </w:rPr>
              <w:t>There are no alternative areas for the type of combined defence training that occurs at Shoalwater Bay which retains significant strategic, social and economic value particularly if considered against the costs of acquiring and establishing a new training area.</w:t>
            </w:r>
          </w:p>
          <w:p w14:paraId="5761EDA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Data regarding defence use of the GBR (which is sometimes on an exclusive basis e.g. for security or safety reasons), and which may </w:t>
            </w:r>
            <w:r>
              <w:rPr>
                <w:rFonts w:ascii="Arial Narrow" w:hAnsi="Arial Narrow"/>
                <w:sz w:val="18"/>
                <w:szCs w:val="18"/>
              </w:rPr>
              <w:t>a</w:t>
            </w:r>
            <w:r w:rsidRPr="00E70A11">
              <w:rPr>
                <w:rFonts w:ascii="Arial Narrow" w:hAnsi="Arial Narrow"/>
                <w:sz w:val="18"/>
                <w:szCs w:val="18"/>
              </w:rPr>
              <w:t>ffect other activities and the uses of the marine park is very limited with fishing and tourism activities the most likely to be displaced.</w:t>
            </w:r>
          </w:p>
          <w:p w14:paraId="5761EDA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Some effort is made to describe the social impacts of the large scale Talisman Saber exercise which is assessed in the planning stages of the exercise. </w:t>
            </w:r>
          </w:p>
          <w:p w14:paraId="5761EDA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Social and economic benefits derive from Defence presence and training activities for the entire Australian community.</w:t>
            </w:r>
            <w:r>
              <w:rPr>
                <w:rFonts w:ascii="Arial Narrow" w:hAnsi="Arial Narrow"/>
                <w:sz w:val="18"/>
                <w:szCs w:val="18"/>
              </w:rPr>
              <w:t xml:space="preserve"> </w:t>
            </w:r>
            <w:r w:rsidRPr="00E70A11">
              <w:rPr>
                <w:rFonts w:ascii="Arial Narrow" w:hAnsi="Arial Narrow"/>
                <w:sz w:val="18"/>
                <w:szCs w:val="18"/>
              </w:rPr>
              <w:t>Defence bases at Cairns and Townsville also support these regional economies. The economic benefits of small-scale defence training activities at other locations adjacent to the Region is difficult to evaluate, although Talisman Saber 2017 was predicted to contribute $4 million to the Rockhampton economy and $200,000 to the Townsville economy. Periodic visits from U.S., New Zealand and Singapore naval ships to ports at Townsville and Cairns also generate short-term economic benefits, related to increased visitation and tourism</w:t>
            </w:r>
          </w:p>
          <w:p w14:paraId="5761EDA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KPMG conducted a socio-economic impact assessment for the Australia-Singapore Military Training Initiative (ASMTI), report released in 2017. Australia-Singapore “</w:t>
            </w:r>
            <w:r w:rsidRPr="00E70A11">
              <w:rPr>
                <w:rFonts w:ascii="Arial Narrow" w:hAnsi="Arial Narrow"/>
                <w:sz w:val="18"/>
                <w:szCs w:val="18"/>
                <w:lang w:val="en"/>
              </w:rPr>
              <w:t>Memorandum of Understanding” delivers a framework to implement increased Singapore Armed Forces unilateral training in Australia. It sets the conditions for upgrading Central and North Queensland to deliver enhanced training outcomes for both the Singapore Armed Forces and the Australian Defence Force. Under the Initiative, up to 14,000 Singapore Armed Forces personnel will conduct unilateral training in Australia for up to 18 weeks per year.</w:t>
            </w:r>
            <w:r w:rsidRPr="00E70A11">
              <w:rPr>
                <w:rFonts w:ascii="Arial Narrow" w:hAnsi="Arial Narrow"/>
                <w:sz w:val="18"/>
                <w:szCs w:val="18"/>
              </w:rPr>
              <w:t>”</w:t>
            </w:r>
          </w:p>
          <w:p w14:paraId="5761EDA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A Senate Inquiry interim report – “Impact of Defence training activities and facilities on rural and regional communities” and submissions by GBRMPA, Defence and other organisations associated with the GBR Region document some aspects of the socio-economic effects of defence presence and use </w:t>
            </w:r>
          </w:p>
        </w:tc>
        <w:tc>
          <w:tcPr>
            <w:tcW w:w="5326" w:type="dxa"/>
            <w:tcBorders>
              <w:top w:val="single" w:sz="4" w:space="0" w:color="auto"/>
              <w:left w:val="single" w:sz="4" w:space="0" w:color="auto"/>
              <w:bottom w:val="single" w:sz="4" w:space="0" w:color="auto"/>
              <w:right w:val="single" w:sz="4" w:space="0" w:color="auto"/>
            </w:tcBorders>
          </w:tcPr>
          <w:p w14:paraId="5761EDAB"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DA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DAD"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587"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DA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588"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DA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89" w:history="1">
              <w:r w:rsidR="00A56EE9" w:rsidRPr="00E70A11">
                <w:rPr>
                  <w:rStyle w:val="Hyperlink"/>
                  <w:rFonts w:ascii="Arial Narrow" w:hAnsi="Arial Narrow"/>
                  <w:sz w:val="18"/>
                  <w:szCs w:val="18"/>
                </w:rPr>
                <w:t>Townsville North Queensland Destination Tourism Plan</w:t>
              </w:r>
            </w:hyperlink>
          </w:p>
          <w:p w14:paraId="5761EDB0"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rPr>
              <w:t xml:space="preserve">Senate Inquiry: </w:t>
            </w:r>
            <w:hyperlink r:id="rId590" w:history="1">
              <w:r w:rsidRPr="00E70A11">
                <w:rPr>
                  <w:rStyle w:val="Hyperlink"/>
                  <w:rFonts w:ascii="Arial Narrow" w:hAnsi="Arial Narrow"/>
                  <w:sz w:val="18"/>
                  <w:szCs w:val="18"/>
                  <w:lang w:val="en"/>
                </w:rPr>
                <w:t>Impact of Defence training activities and facilities on rural and regional communities</w:t>
              </w:r>
            </w:hyperlink>
          </w:p>
          <w:p w14:paraId="5761EDB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ASMTI </w:t>
            </w:r>
            <w:hyperlink r:id="rId591" w:history="1">
              <w:r w:rsidRPr="00E70A11">
                <w:rPr>
                  <w:rStyle w:val="Hyperlink"/>
                  <w:rFonts w:ascii="Arial Narrow" w:hAnsi="Arial Narrow"/>
                  <w:sz w:val="18"/>
                  <w:szCs w:val="18"/>
                </w:rPr>
                <w:t>SEIA report and factsheets</w:t>
              </w:r>
            </w:hyperlink>
            <w:r w:rsidRPr="00E70A11">
              <w:rPr>
                <w:rFonts w:ascii="Arial Narrow" w:hAnsi="Arial Narrow"/>
                <w:sz w:val="18"/>
                <w:szCs w:val="18"/>
              </w:rPr>
              <w:t xml:space="preserve"> (Shoalwater Bay, Townsville, Qld regions)</w:t>
            </w:r>
            <w:r>
              <w:rPr>
                <w:rFonts w:ascii="Arial Narrow" w:hAnsi="Arial Narrow"/>
                <w:sz w:val="18"/>
                <w:szCs w:val="18"/>
              </w:rPr>
              <w:t xml:space="preserve"> </w:t>
            </w:r>
          </w:p>
          <w:p w14:paraId="5761EDB2"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592" w:history="1">
              <w:r w:rsidR="00A56EE9" w:rsidRPr="00E70A11">
                <w:rPr>
                  <w:rStyle w:val="Hyperlink"/>
                  <w:rFonts w:ascii="Arial Narrow" w:hAnsi="Arial Narrow"/>
                  <w:sz w:val="18"/>
                  <w:szCs w:val="18"/>
                </w:rPr>
                <w:t>ASTMI overview</w:t>
              </w:r>
            </w:hyperlink>
            <w:r w:rsidR="00A56EE9" w:rsidRPr="00E70A11">
              <w:rPr>
                <w:rFonts w:ascii="Arial Narrow" w:hAnsi="Arial Narrow"/>
                <w:sz w:val="18"/>
                <w:szCs w:val="18"/>
              </w:rPr>
              <w:t xml:space="preserve"> webpage</w:t>
            </w:r>
          </w:p>
        </w:tc>
        <w:tc>
          <w:tcPr>
            <w:tcW w:w="976" w:type="dxa"/>
            <w:tcBorders>
              <w:top w:val="single" w:sz="4" w:space="0" w:color="auto"/>
              <w:left w:val="single" w:sz="4" w:space="0" w:color="auto"/>
              <w:bottom w:val="single" w:sz="4" w:space="0" w:color="auto"/>
              <w:right w:val="single" w:sz="4" w:space="0" w:color="auto"/>
            </w:tcBorders>
          </w:tcPr>
          <w:p w14:paraId="5761EDB3"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B4"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C6" w14:textId="77777777" w:rsidTr="00BB6AD5">
        <w:trPr>
          <w:trHeight w:val="1699"/>
        </w:trPr>
        <w:tc>
          <w:tcPr>
            <w:tcW w:w="2302" w:type="dxa"/>
            <w:tcBorders>
              <w:top w:val="single" w:sz="4" w:space="0" w:color="auto"/>
              <w:left w:val="single" w:sz="4" w:space="0" w:color="auto"/>
              <w:bottom w:val="single" w:sz="4" w:space="0" w:color="auto"/>
              <w:right w:val="single" w:sz="4" w:space="0" w:color="auto"/>
            </w:tcBorders>
          </w:tcPr>
          <w:p w14:paraId="5761EDB6"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defence activities</w:t>
            </w:r>
          </w:p>
        </w:tc>
        <w:tc>
          <w:tcPr>
            <w:tcW w:w="739" w:type="dxa"/>
            <w:tcBorders>
              <w:top w:val="single" w:sz="4" w:space="0" w:color="auto"/>
              <w:left w:val="single" w:sz="4" w:space="0" w:color="auto"/>
              <w:bottom w:val="single" w:sz="4" w:space="0" w:color="auto"/>
              <w:right w:val="single" w:sz="4" w:space="0" w:color="auto"/>
            </w:tcBorders>
          </w:tcPr>
          <w:p w14:paraId="5761EDB7"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DB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Managers advise GBRMPA and Defence generally apply a precautionary approach that promotes avoidance of indigenous heritage sites in the first place.</w:t>
            </w:r>
            <w:r>
              <w:rPr>
                <w:rFonts w:ascii="Arial Narrow" w:hAnsi="Arial Narrow"/>
                <w:sz w:val="18"/>
                <w:szCs w:val="18"/>
              </w:rPr>
              <w:t xml:space="preserve"> </w:t>
            </w:r>
            <w:r w:rsidRPr="00E70A11">
              <w:rPr>
                <w:rFonts w:ascii="Arial Narrow" w:hAnsi="Arial Narrow"/>
                <w:sz w:val="18"/>
                <w:szCs w:val="18"/>
              </w:rPr>
              <w:t>In the event that avoidance is not possible then it is understood that formal notification protocols are implemented e.g. in event that a possible indigenous artefact is found.</w:t>
            </w:r>
            <w:r>
              <w:rPr>
                <w:rFonts w:ascii="Arial Narrow" w:hAnsi="Arial Narrow"/>
                <w:sz w:val="18"/>
                <w:szCs w:val="18"/>
              </w:rPr>
              <w:t xml:space="preserve"> </w:t>
            </w:r>
            <w:r w:rsidRPr="00E70A11">
              <w:rPr>
                <w:rFonts w:ascii="Arial Narrow" w:hAnsi="Arial Narrow"/>
                <w:sz w:val="18"/>
                <w:szCs w:val="18"/>
              </w:rPr>
              <w:t>On Defence managed property recognised sites and buffer areas are specified as ‘no go’ areas.</w:t>
            </w:r>
          </w:p>
          <w:p w14:paraId="5761EDB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considered that there is a good understanding of indigenous heritage for Shoalwater Bay, and some for Cowley Bay/Halifax Bay</w:t>
            </w:r>
          </w:p>
          <w:p w14:paraId="5761EDBA" w14:textId="77777777" w:rsidR="00A56EE9" w:rsidRPr="00E70A11" w:rsidRDefault="00A56EE9" w:rsidP="00A11869">
            <w:pPr>
              <w:pStyle w:val="ListParagraph"/>
              <w:keepNext/>
              <w:keepLines/>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has extensive resources that guide, encourage and require engagement with traditional owners, indigenous communities and Native Title holders. These include a specific ‘Defence Heritage Toolkit’ for managers </w:t>
            </w:r>
            <w:r w:rsidRPr="00E70A11">
              <w:rPr>
                <w:rFonts w:ascii="Arial Narrow" w:hAnsi="Arial Narrow"/>
                <w:i/>
                <w:sz w:val="18"/>
                <w:szCs w:val="18"/>
              </w:rPr>
              <w:t>(currently under revision)</w:t>
            </w:r>
            <w:r w:rsidRPr="00E70A11">
              <w:rPr>
                <w:rFonts w:ascii="Arial Narrow" w:hAnsi="Arial Narrow"/>
                <w:sz w:val="18"/>
                <w:szCs w:val="18"/>
              </w:rPr>
              <w:t>, the adoption of the Burra Charter and implementation of the Australian Heritage Commission’s ‘Ask First’ policy.</w:t>
            </w:r>
          </w:p>
          <w:p w14:paraId="5761EDB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Traditional Owners are able to access Defence training areas subject to safety, security and operational requirements.</w:t>
            </w:r>
            <w:r>
              <w:rPr>
                <w:rFonts w:ascii="Arial Narrow" w:hAnsi="Arial Narrow"/>
                <w:sz w:val="18"/>
                <w:szCs w:val="18"/>
              </w:rPr>
              <w:t xml:space="preserve"> </w:t>
            </w:r>
            <w:r w:rsidRPr="00E70A11">
              <w:rPr>
                <w:rFonts w:ascii="Arial Narrow" w:hAnsi="Arial Narrow"/>
                <w:sz w:val="18"/>
                <w:szCs w:val="18"/>
              </w:rPr>
              <w:t>There is extensive consultation and engagement with Indigenous communities on a day-to-day basis and also specifically in relation to individual activities; e.g. engagement with Darumbal at Shoalwater Bay and Stanage Bay for TS17 and on an ongoing basis through the Shoalwater Bay Training Area Environmental Advisory Committee and also as required; engagement with Juru Traditional Owners at Upstart Bay for TS17 rehearsals</w:t>
            </w:r>
          </w:p>
        </w:tc>
        <w:tc>
          <w:tcPr>
            <w:tcW w:w="5326" w:type="dxa"/>
            <w:tcBorders>
              <w:top w:val="single" w:sz="4" w:space="0" w:color="auto"/>
              <w:left w:val="single" w:sz="4" w:space="0" w:color="auto"/>
              <w:bottom w:val="single" w:sz="4" w:space="0" w:color="auto"/>
              <w:right w:val="single" w:sz="4" w:space="0" w:color="auto"/>
            </w:tcBorders>
          </w:tcPr>
          <w:p w14:paraId="5761EDB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93" w:history="1">
              <w:r w:rsidR="00A56EE9" w:rsidRPr="00E70A11">
                <w:rPr>
                  <w:rStyle w:val="Hyperlink"/>
                  <w:rFonts w:ascii="Arial Narrow" w:hAnsi="Arial Narrow"/>
                  <w:sz w:val="18"/>
                  <w:szCs w:val="18"/>
                </w:rPr>
                <w:t>Ask First: a guide to respecting Indigenous heritage places and values</w:t>
              </w:r>
            </w:hyperlink>
            <w:r w:rsidR="00A56EE9" w:rsidRPr="00E70A11">
              <w:rPr>
                <w:rFonts w:ascii="Arial Narrow" w:hAnsi="Arial Narrow"/>
                <w:sz w:val="18"/>
                <w:szCs w:val="18"/>
              </w:rPr>
              <w:t xml:space="preserve"> </w:t>
            </w:r>
          </w:p>
          <w:p w14:paraId="5761EDB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94" w:history="1">
              <w:r w:rsidR="00A56EE9" w:rsidRPr="00E70A11">
                <w:rPr>
                  <w:rStyle w:val="Hyperlink"/>
                  <w:rFonts w:ascii="Arial Narrow" w:hAnsi="Arial Narrow"/>
                  <w:sz w:val="18"/>
                  <w:szCs w:val="18"/>
                </w:rPr>
                <w:t>Burra Charter</w:t>
              </w:r>
            </w:hyperlink>
            <w:r w:rsidR="00A56EE9" w:rsidRPr="00E70A11">
              <w:rPr>
                <w:rFonts w:ascii="Arial Narrow" w:hAnsi="Arial Narrow"/>
                <w:sz w:val="18"/>
                <w:szCs w:val="18"/>
              </w:rPr>
              <w:t xml:space="preserve"> </w:t>
            </w:r>
          </w:p>
          <w:p w14:paraId="5761EDB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95" w:history="1">
              <w:r w:rsidR="00A56EE9" w:rsidRPr="00E70A11">
                <w:rPr>
                  <w:rStyle w:val="Hyperlink"/>
                  <w:rFonts w:ascii="Arial Narrow" w:hAnsi="Arial Narrow"/>
                  <w:sz w:val="18"/>
                  <w:szCs w:val="18"/>
                </w:rPr>
                <w:t>Defence Heritage Toolkit</w:t>
              </w:r>
            </w:hyperlink>
            <w:r w:rsidR="00A56EE9" w:rsidRPr="00E70A11">
              <w:rPr>
                <w:rFonts w:ascii="Arial Narrow" w:hAnsi="Arial Narrow"/>
                <w:sz w:val="18"/>
                <w:szCs w:val="18"/>
              </w:rPr>
              <w:t xml:space="preserve"> </w:t>
            </w:r>
          </w:p>
          <w:p w14:paraId="5761EDBF"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DC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DC1"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596"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DC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597"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DC3"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598" w:history="1">
              <w:r w:rsidR="00A56EE9" w:rsidRPr="00E70A11">
                <w:rPr>
                  <w:rStyle w:val="Hyperlink"/>
                  <w:rFonts w:ascii="Arial Narrow" w:hAnsi="Arial Narrow"/>
                  <w:sz w:val="18"/>
                  <w:szCs w:val="18"/>
                </w:rPr>
                <w:t>Defence Estate Heritage Strategy</w:t>
              </w:r>
            </w:hyperlink>
          </w:p>
        </w:tc>
        <w:tc>
          <w:tcPr>
            <w:tcW w:w="976" w:type="dxa"/>
            <w:tcBorders>
              <w:top w:val="single" w:sz="4" w:space="0" w:color="auto"/>
              <w:left w:val="single" w:sz="4" w:space="0" w:color="auto"/>
              <w:bottom w:val="single" w:sz="4" w:space="0" w:color="auto"/>
              <w:right w:val="single" w:sz="4" w:space="0" w:color="auto"/>
            </w:tcBorders>
          </w:tcPr>
          <w:p w14:paraId="5761EDC4"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C5"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D3"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C7"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defence activities</w:t>
            </w:r>
          </w:p>
        </w:tc>
        <w:tc>
          <w:tcPr>
            <w:tcW w:w="739" w:type="dxa"/>
            <w:tcBorders>
              <w:top w:val="single" w:sz="4" w:space="0" w:color="auto"/>
              <w:left w:val="single" w:sz="4" w:space="0" w:color="auto"/>
              <w:bottom w:val="single" w:sz="4" w:space="0" w:color="auto"/>
              <w:right w:val="single" w:sz="4" w:space="0" w:color="auto"/>
            </w:tcBorders>
          </w:tcPr>
          <w:p w14:paraId="5761EDC8"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DC9" w14:textId="77777777" w:rsidR="00A56EE9" w:rsidRPr="00E70A11" w:rsidRDefault="00A56EE9" w:rsidP="00BB6AD5">
            <w:pPr>
              <w:pStyle w:val="ListParagraph"/>
              <w:ind w:left="360"/>
              <w:rPr>
                <w:rFonts w:ascii="Arial Narrow" w:hAnsi="Arial Narrow"/>
                <w:sz w:val="18"/>
                <w:szCs w:val="18"/>
              </w:rPr>
            </w:pPr>
            <w:r w:rsidRPr="00E70A11">
              <w:rPr>
                <w:rFonts w:ascii="Arial Narrow" w:hAnsi="Arial Narrow"/>
                <w:sz w:val="18"/>
                <w:szCs w:val="18"/>
              </w:rPr>
              <w:t>GBRMPA advises that it maintains an internal Heritage database which is considered effective.</w:t>
            </w:r>
            <w:r>
              <w:rPr>
                <w:rFonts w:ascii="Arial Narrow" w:hAnsi="Arial Narrow"/>
                <w:sz w:val="18"/>
                <w:szCs w:val="18"/>
              </w:rPr>
              <w:t xml:space="preserve"> </w:t>
            </w:r>
            <w:r w:rsidRPr="00E70A11">
              <w:rPr>
                <w:rFonts w:ascii="Arial Narrow" w:hAnsi="Arial Narrow"/>
                <w:sz w:val="18"/>
                <w:szCs w:val="18"/>
              </w:rPr>
              <w:t>Limits are sometimes needed in relation to access to information on some sites/events. For example the identification of the WWII seaplane Catalina offshore from Bowen raised a number of issues at the time – e.g. who was responsible, was the site to be treated as a war graves area etc.</w:t>
            </w:r>
          </w:p>
          <w:p w14:paraId="5761EDC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legacy from UXOs and other sea-dumped war material, which may be impacting on heritage values is poorly documented with the historic reports now accepted as being commonly unreliable – e.g. historical sea dumping of munitions – see PR8</w:t>
            </w:r>
          </w:p>
          <w:p w14:paraId="5761EDC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also maintains a record of heritage values on Defence estate with accompanying Heritage Management Plans (HMP). The HMP relate to historical and indigenous heritage with the Traditional Owners being consulted and approving the management actions that relate to indigenous heritage on the Defence estate.</w:t>
            </w:r>
          </w:p>
          <w:p w14:paraId="5761EDC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Defence has implemented a new integrated database ‘Garrison and Estate Management System’ (GEMS) which provides a greater level of fidelity on the heritage (and other) values of areas within the Defence estate. This system also allows improved knowledge and tracking of values on non-Defence training areas utilised on an ad hoc basis (e.g. Stanage Bay during TS17)</w:t>
            </w:r>
          </w:p>
        </w:tc>
        <w:tc>
          <w:tcPr>
            <w:tcW w:w="5326" w:type="dxa"/>
            <w:tcBorders>
              <w:top w:val="single" w:sz="4" w:space="0" w:color="auto"/>
              <w:left w:val="single" w:sz="4" w:space="0" w:color="auto"/>
              <w:bottom w:val="single" w:sz="4" w:space="0" w:color="auto"/>
              <w:right w:val="single" w:sz="4" w:space="0" w:color="auto"/>
            </w:tcBorders>
          </w:tcPr>
          <w:p w14:paraId="5761EDC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Heritage database (internal document)</w:t>
            </w:r>
          </w:p>
          <w:p w14:paraId="5761EDC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599" w:history="1">
              <w:r w:rsidR="00A56EE9" w:rsidRPr="00E70A11">
                <w:rPr>
                  <w:rStyle w:val="Hyperlink"/>
                  <w:rFonts w:ascii="Arial Narrow" w:hAnsi="Arial Narrow"/>
                  <w:sz w:val="18"/>
                  <w:szCs w:val="18"/>
                </w:rPr>
                <w:t>Australian National Shipwreck database</w:t>
              </w:r>
            </w:hyperlink>
          </w:p>
          <w:p w14:paraId="5761EDC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00" w:history="1">
              <w:r w:rsidR="00A56EE9" w:rsidRPr="00E70A11">
                <w:rPr>
                  <w:rStyle w:val="Hyperlink"/>
                  <w:rFonts w:ascii="Arial Narrow" w:hAnsi="Arial Narrow"/>
                  <w:sz w:val="18"/>
                  <w:szCs w:val="18"/>
                </w:rPr>
                <w:t>Outlook Report 2014</w:t>
              </w:r>
            </w:hyperlink>
            <w:r w:rsidR="00A56EE9" w:rsidRPr="00E70A11">
              <w:rPr>
                <w:rFonts w:ascii="Arial Narrow" w:hAnsi="Arial Narrow"/>
                <w:sz w:val="18"/>
                <w:szCs w:val="18"/>
              </w:rPr>
              <w:t>, Ch4</w:t>
            </w:r>
          </w:p>
          <w:p w14:paraId="5761EDD0"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601" w:history="1">
              <w:r w:rsidR="00A56EE9" w:rsidRPr="00E70A11">
                <w:rPr>
                  <w:rStyle w:val="Hyperlink"/>
                  <w:rFonts w:ascii="Arial Narrow" w:hAnsi="Arial Narrow"/>
                  <w:sz w:val="18"/>
                  <w:szCs w:val="18"/>
                </w:rPr>
                <w:t>Defence Estate Heritage Strategy</w:t>
              </w:r>
            </w:hyperlink>
          </w:p>
        </w:tc>
        <w:tc>
          <w:tcPr>
            <w:tcW w:w="976" w:type="dxa"/>
            <w:tcBorders>
              <w:top w:val="single" w:sz="4" w:space="0" w:color="auto"/>
              <w:left w:val="single" w:sz="4" w:space="0" w:color="auto"/>
              <w:bottom w:val="single" w:sz="4" w:space="0" w:color="auto"/>
              <w:right w:val="single" w:sz="4" w:space="0" w:color="auto"/>
            </w:tcBorders>
          </w:tcPr>
          <w:p w14:paraId="5761EDD1"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D2"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DE"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shd w:val="clear" w:color="auto" w:fill="auto"/>
          </w:tcPr>
          <w:p w14:paraId="5761EDD4"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defence activities</w:t>
            </w:r>
          </w:p>
        </w:tc>
        <w:tc>
          <w:tcPr>
            <w:tcW w:w="739" w:type="dxa"/>
            <w:tcBorders>
              <w:top w:val="single" w:sz="4" w:space="0" w:color="auto"/>
              <w:left w:val="single" w:sz="4" w:space="0" w:color="auto"/>
              <w:bottom w:val="single" w:sz="4" w:space="0" w:color="auto"/>
              <w:right w:val="single" w:sz="4" w:space="0" w:color="auto"/>
            </w:tcBorders>
          </w:tcPr>
          <w:p w14:paraId="5761EDD5"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DD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It is encouraging that Defence does have a network of volunteers who do provide assistance at some defence establishments with maintaining the heritage values of, for example, museum collections, historic buildings and artefacts. There may be examples that apply to Defence sites adjacent to the GBR.</w:t>
            </w:r>
            <w:r>
              <w:rPr>
                <w:rStyle w:val="BookTitle"/>
                <w:rFonts w:ascii="Arial Narrow" w:hAnsi="Arial Narrow"/>
                <w:sz w:val="18"/>
                <w:szCs w:val="18"/>
              </w:rPr>
              <w:t xml:space="preserve"> </w:t>
            </w:r>
            <w:r w:rsidRPr="00E70A11">
              <w:rPr>
                <w:rStyle w:val="BookTitle"/>
                <w:rFonts w:ascii="Arial Narrow" w:hAnsi="Arial Narrow"/>
                <w:sz w:val="18"/>
                <w:szCs w:val="18"/>
              </w:rPr>
              <w:t>It is known that Defence routinely cooperates with its neighbours and volunteers on environmental management and conservation initiatives such as weed, feral animal and bushfire controls – all of which may indirectly contribute to the overall conservation of important WH values e.g. such as those dependent upon maintaining water quality</w:t>
            </w:r>
          </w:p>
          <w:p w14:paraId="5761EDD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Research and baseline environmental studies and surveys are also permitted on many Defence training areas subject to routine safety and operational requirements.</w:t>
            </w:r>
          </w:p>
          <w:p w14:paraId="5761EDD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also makes extensive use of contracted expertise.</w:t>
            </w:r>
          </w:p>
          <w:p w14:paraId="5761EDD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enables access to Shoalwater Bay, (and other parts of the Defence estate) to facilitate research which accords with the findings of the Commonwealth Commission of Inquiry into Shoalwater Bay from 1995. </w:t>
            </w:r>
          </w:p>
          <w:p w14:paraId="5761EDD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Shoalwater Bay Training Area Environmental Advisory Committee (EAC) provides a forum for feedback to Defence by the community and key stakeholders in relation to Defence activities on Shoalwater Bay Training Area. The Environmental Advisory Committee was established</w:t>
            </w:r>
            <w:r>
              <w:rPr>
                <w:rFonts w:ascii="Arial Narrow" w:hAnsi="Arial Narrow"/>
                <w:sz w:val="18"/>
                <w:szCs w:val="18"/>
              </w:rPr>
              <w:t xml:space="preserve"> </w:t>
            </w:r>
            <w:r w:rsidRPr="00E70A11">
              <w:rPr>
                <w:rFonts w:ascii="Arial Narrow" w:hAnsi="Arial Narrow"/>
                <w:sz w:val="18"/>
                <w:szCs w:val="18"/>
              </w:rPr>
              <w:t>in response to the Commission of Inquiry in the mid 1990’s and has operated ever since.</w:t>
            </w:r>
          </w:p>
        </w:tc>
        <w:tc>
          <w:tcPr>
            <w:tcW w:w="5326" w:type="dxa"/>
            <w:tcBorders>
              <w:top w:val="single" w:sz="4" w:space="0" w:color="auto"/>
              <w:left w:val="single" w:sz="4" w:space="0" w:color="auto"/>
              <w:bottom w:val="single" w:sz="4" w:space="0" w:color="auto"/>
              <w:right w:val="single" w:sz="4" w:space="0" w:color="auto"/>
            </w:tcBorders>
          </w:tcPr>
          <w:p w14:paraId="5761EDDB" w14:textId="77777777" w:rsidR="00A56EE9" w:rsidRPr="00E70A11" w:rsidRDefault="00A56EE9" w:rsidP="00BB6AD5">
            <w:pPr>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DDC"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DD"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E5"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DF" w14:textId="77777777" w:rsidR="00A56EE9" w:rsidRPr="00E70A11" w:rsidRDefault="00A56EE9" w:rsidP="00BB6AD5">
            <w:pPr>
              <w:pStyle w:val="Tablebulletlist"/>
              <w:rPr>
                <w:rStyle w:val="BookTitle"/>
              </w:rPr>
            </w:pPr>
            <w:r w:rsidRPr="00E70A11">
              <w:rPr>
                <w:rStyle w:val="BookTitle"/>
              </w:rPr>
              <w:t>PROCESSES</w:t>
            </w:r>
          </w:p>
        </w:tc>
        <w:tc>
          <w:tcPr>
            <w:tcW w:w="73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E0" w14:textId="77777777" w:rsidR="00A56EE9" w:rsidRPr="00E70A11" w:rsidRDefault="00A56EE9" w:rsidP="00BB6AD5">
            <w:pPr>
              <w:pStyle w:val="Tablebulletlist"/>
              <w:rPr>
                <w:rStyle w:val="BookTitle"/>
              </w:rPr>
            </w:pPr>
          </w:p>
        </w:tc>
        <w:tc>
          <w:tcPr>
            <w:tcW w:w="458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E1" w14:textId="77777777" w:rsidR="00A56EE9" w:rsidRPr="00E70A11" w:rsidRDefault="00A56EE9" w:rsidP="00BB6AD5">
            <w:pPr>
              <w:pStyle w:val="ListParagraph"/>
              <w:ind w:left="360"/>
              <w:rPr>
                <w:rStyle w:val="BookTitle"/>
                <w:rFonts w:ascii="Arial Narrow" w:hAnsi="Arial Narrow"/>
                <w:sz w:val="18"/>
                <w:szCs w:val="18"/>
              </w:rPr>
            </w:pPr>
          </w:p>
        </w:tc>
        <w:tc>
          <w:tcPr>
            <w:tcW w:w="532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E2"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E3"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DE4" w14:textId="77777777" w:rsidR="00A56EE9" w:rsidRPr="00E70A11" w:rsidRDefault="00A56EE9" w:rsidP="00BB6AD5">
            <w:pPr>
              <w:pStyle w:val="Tablebulletlist"/>
              <w:rPr>
                <w:rStyle w:val="BookTitle"/>
              </w:rPr>
            </w:pPr>
          </w:p>
        </w:tc>
      </w:tr>
      <w:tr w:rsidR="00A56EE9" w:rsidRPr="00E70A11" w14:paraId="5761EDEE"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E6"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defence activities</w:t>
            </w:r>
          </w:p>
        </w:tc>
        <w:tc>
          <w:tcPr>
            <w:tcW w:w="739" w:type="dxa"/>
            <w:tcBorders>
              <w:top w:val="single" w:sz="4" w:space="0" w:color="auto"/>
              <w:left w:val="single" w:sz="4" w:space="0" w:color="auto"/>
              <w:bottom w:val="single" w:sz="4" w:space="0" w:color="auto"/>
              <w:right w:val="single" w:sz="4" w:space="0" w:color="auto"/>
            </w:tcBorders>
          </w:tcPr>
          <w:p w14:paraId="5761EDE7"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DE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Defence and GBRMPA have in place processes that ensure key stakeholders are engaged in the processes applied to approve defence use of the GBR (See PL6)</w:t>
            </w:r>
          </w:p>
        </w:tc>
        <w:tc>
          <w:tcPr>
            <w:tcW w:w="5326" w:type="dxa"/>
            <w:tcBorders>
              <w:top w:val="single" w:sz="4" w:space="0" w:color="auto"/>
              <w:left w:val="single" w:sz="4" w:space="0" w:color="auto"/>
              <w:bottom w:val="single" w:sz="4" w:space="0" w:color="auto"/>
              <w:right w:val="single" w:sz="4" w:space="0" w:color="auto"/>
            </w:tcBorders>
          </w:tcPr>
          <w:p w14:paraId="5761EDE9"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602" w:history="1">
              <w:r w:rsidR="00A56EE9" w:rsidRPr="00E70A11">
                <w:rPr>
                  <w:rStyle w:val="Hyperlink"/>
                  <w:rFonts w:ascii="Arial Narrow" w:hAnsi="Arial Narrow"/>
                  <w:sz w:val="18"/>
                  <w:szCs w:val="18"/>
                  <w:lang w:val="en"/>
                </w:rPr>
                <w:t>MOU 2016-2020 between Defence and GBRMPA on Management of Defence Activities in the GBRMP Region</w:t>
              </w:r>
            </w:hyperlink>
            <w:r w:rsidR="00A56EE9" w:rsidRPr="00E70A11">
              <w:rPr>
                <w:rFonts w:ascii="Arial Narrow" w:hAnsi="Arial Narrow"/>
                <w:sz w:val="18"/>
                <w:szCs w:val="18"/>
                <w:lang w:val="en"/>
              </w:rPr>
              <w:t xml:space="preserve"> </w:t>
            </w:r>
          </w:p>
          <w:p w14:paraId="5761EDE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GBRMPA/Defence Annual Forum</w:t>
            </w:r>
          </w:p>
          <w:p w14:paraId="5761EDE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Relevant Legislation and regulations</w:t>
            </w:r>
          </w:p>
        </w:tc>
        <w:tc>
          <w:tcPr>
            <w:tcW w:w="976" w:type="dxa"/>
            <w:tcBorders>
              <w:top w:val="single" w:sz="4" w:space="0" w:color="auto"/>
              <w:left w:val="single" w:sz="4" w:space="0" w:color="auto"/>
              <w:bottom w:val="single" w:sz="4" w:space="0" w:color="auto"/>
              <w:right w:val="single" w:sz="4" w:space="0" w:color="auto"/>
            </w:tcBorders>
          </w:tcPr>
          <w:p w14:paraId="5761EDEC"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ED"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DFF"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DEF"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defence activities</w:t>
            </w:r>
          </w:p>
        </w:tc>
        <w:tc>
          <w:tcPr>
            <w:tcW w:w="739" w:type="dxa"/>
            <w:tcBorders>
              <w:top w:val="single" w:sz="4" w:space="0" w:color="auto"/>
              <w:left w:val="single" w:sz="4" w:space="0" w:color="auto"/>
              <w:bottom w:val="single" w:sz="4" w:space="0" w:color="auto"/>
              <w:right w:val="single" w:sz="4" w:space="0" w:color="auto"/>
            </w:tcBorders>
          </w:tcPr>
          <w:p w14:paraId="5761EDF0"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DF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managers have established an Environmental Advisory Committee (EAC) for each Training area – e.g. Shoalwater Bay Training Area Environmental Advisory Committee (EAC).</w:t>
            </w:r>
          </w:p>
          <w:p w14:paraId="5761EDF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For GBRMPA, engagement is through RACs and LMACs, but this is issues-driven and ad-hoc in relation to defence activities</w:t>
            </w:r>
          </w:p>
          <w:p w14:paraId="5761EDF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Managers consider that stakeholders are effectively engaged through the various advisory committees convened by Defence and GBRMPA. </w:t>
            </w:r>
          </w:p>
          <w:p w14:paraId="5761EDF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Major exercises also publicise activities, impact assessments and have a public presence on social media</w:t>
            </w:r>
          </w:p>
        </w:tc>
        <w:tc>
          <w:tcPr>
            <w:tcW w:w="5326" w:type="dxa"/>
            <w:tcBorders>
              <w:top w:val="single" w:sz="4" w:space="0" w:color="auto"/>
              <w:left w:val="single" w:sz="4" w:space="0" w:color="auto"/>
              <w:bottom w:val="single" w:sz="4" w:space="0" w:color="auto"/>
              <w:right w:val="single" w:sz="4" w:space="0" w:color="auto"/>
            </w:tcBorders>
          </w:tcPr>
          <w:p w14:paraId="5761EDF5"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 xml:space="preserve">Wu, W., Wang, X., Paull, D. and Kesby, J. 2010, </w:t>
            </w:r>
            <w:hyperlink r:id="rId603" w:history="1">
              <w:r w:rsidRPr="00E70A11">
                <w:rPr>
                  <w:rStyle w:val="Hyperlink"/>
                  <w:rFonts w:ascii="Arial Narrow" w:hAnsi="Arial Narrow"/>
                  <w:sz w:val="18"/>
                  <w:szCs w:val="18"/>
                  <w:lang w:val="en"/>
                </w:rPr>
                <w:t>Defence force activities in marine protected areas: environmental management of Shoalwater Bay Training Area</w:t>
              </w:r>
            </w:hyperlink>
          </w:p>
          <w:p w14:paraId="5761EDF6"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604" w:history="1">
              <w:r w:rsidR="00A56EE9" w:rsidRPr="00E70A11">
                <w:rPr>
                  <w:rStyle w:val="Hyperlink"/>
                  <w:rFonts w:ascii="Arial Narrow" w:hAnsi="Arial Narrow"/>
                  <w:sz w:val="18"/>
                  <w:szCs w:val="18"/>
                  <w:lang w:val="en"/>
                </w:rPr>
                <w:t>Talisman Saber 2013 Public Environment Report</w:t>
              </w:r>
            </w:hyperlink>
            <w:r w:rsidR="00A56EE9" w:rsidRPr="00E70A11">
              <w:rPr>
                <w:rFonts w:ascii="Arial Narrow" w:hAnsi="Arial Narrow"/>
                <w:sz w:val="18"/>
                <w:szCs w:val="18"/>
                <w:lang w:val="en"/>
              </w:rPr>
              <w:t xml:space="preserve"> (</w:t>
            </w:r>
            <w:r w:rsidR="00A56EE9" w:rsidRPr="00E70A11">
              <w:rPr>
                <w:rFonts w:ascii="Arial Narrow" w:hAnsi="Arial Narrow"/>
                <w:i/>
                <w:sz w:val="18"/>
                <w:szCs w:val="18"/>
                <w:lang w:val="en"/>
              </w:rPr>
              <w:t>final report</w:t>
            </w:r>
            <w:r w:rsidR="00A56EE9" w:rsidRPr="00E70A11">
              <w:rPr>
                <w:rFonts w:ascii="Arial Narrow" w:hAnsi="Arial Narrow"/>
                <w:sz w:val="18"/>
                <w:szCs w:val="18"/>
                <w:lang w:val="en"/>
              </w:rPr>
              <w:t xml:space="preserve">) </w:t>
            </w:r>
          </w:p>
          <w:p w14:paraId="5761EDF7"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DF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DF9"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605"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DF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606"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DFB"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Defence community consultation web pages</w:t>
            </w:r>
          </w:p>
          <w:p w14:paraId="5761EDF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u w:val="single"/>
              </w:rPr>
            </w:pPr>
            <w:r w:rsidRPr="00E70A11">
              <w:rPr>
                <w:rFonts w:ascii="Arial Narrow" w:hAnsi="Arial Narrow"/>
                <w:sz w:val="18"/>
                <w:szCs w:val="18"/>
              </w:rPr>
              <w:t xml:space="preserve">Senate Inquiry: </w:t>
            </w:r>
            <w:hyperlink r:id="rId607" w:history="1">
              <w:r w:rsidRPr="00E70A11">
                <w:rPr>
                  <w:rStyle w:val="Hyperlink"/>
                  <w:rFonts w:ascii="Arial Narrow" w:hAnsi="Arial Narrow"/>
                  <w:sz w:val="18"/>
                  <w:szCs w:val="18"/>
                  <w:lang w:val="en"/>
                </w:rPr>
                <w:t>Impact of Defence training activities and facilities on rural and regional communities</w:t>
              </w:r>
            </w:hyperlink>
          </w:p>
        </w:tc>
        <w:tc>
          <w:tcPr>
            <w:tcW w:w="976" w:type="dxa"/>
            <w:tcBorders>
              <w:top w:val="single" w:sz="4" w:space="0" w:color="auto"/>
              <w:left w:val="single" w:sz="4" w:space="0" w:color="auto"/>
              <w:bottom w:val="single" w:sz="4" w:space="0" w:color="auto"/>
              <w:right w:val="single" w:sz="4" w:space="0" w:color="auto"/>
            </w:tcBorders>
          </w:tcPr>
          <w:p w14:paraId="5761EDFD"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DFE"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0D"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00"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There is a sound governance system in place to address defence activities</w:t>
            </w:r>
          </w:p>
        </w:tc>
        <w:tc>
          <w:tcPr>
            <w:tcW w:w="739" w:type="dxa"/>
            <w:tcBorders>
              <w:top w:val="single" w:sz="4" w:space="0" w:color="auto"/>
              <w:left w:val="single" w:sz="4" w:space="0" w:color="auto"/>
              <w:bottom w:val="single" w:sz="4" w:space="0" w:color="auto"/>
              <w:right w:val="single" w:sz="4" w:space="0" w:color="auto"/>
            </w:tcBorders>
          </w:tcPr>
          <w:p w14:paraId="5761EE01"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0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is notified about defence activities in the Region and can issue directions to Defence to minimise risks to the Great Barrier Reef - Part 5 of GBRMP Zoning Plan</w:t>
            </w:r>
          </w:p>
          <w:p w14:paraId="5761EE0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complies with GBRMP Zone Plan and all relevant legislation to the extent practicable </w:t>
            </w:r>
          </w:p>
          <w:p w14:paraId="5761EE0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Defence’s system of planning, environmental assessment and approvals is designed to ensure compliance with relevant legislation. This is guided by the ISO9001 certified Defence Environmental and Quality Management System (DEQMS)</w:t>
            </w:r>
          </w:p>
          <w:p w14:paraId="5761EE0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Routine Defence activities are managed through the strategic environmental assessment. Activities deemed to be low risk are managed by standard Defence procedures. </w:t>
            </w:r>
          </w:p>
          <w:p w14:paraId="5761EE0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also supports border protection activities such as environment and fisheries protection, immigration controls, and biosecurity. </w:t>
            </w:r>
          </w:p>
          <w:p w14:paraId="5761EE0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GBRMPA and the QPWS work collaboratively with Defence to manage activities within the Marine Park.</w:t>
            </w:r>
          </w:p>
        </w:tc>
        <w:tc>
          <w:tcPr>
            <w:tcW w:w="5326" w:type="dxa"/>
            <w:tcBorders>
              <w:top w:val="single" w:sz="4" w:space="0" w:color="auto"/>
              <w:left w:val="single" w:sz="4" w:space="0" w:color="auto"/>
              <w:bottom w:val="single" w:sz="4" w:space="0" w:color="auto"/>
              <w:right w:val="single" w:sz="4" w:space="0" w:color="auto"/>
            </w:tcBorders>
          </w:tcPr>
          <w:p w14:paraId="5761EE0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08" w:history="1">
              <w:r w:rsidR="00A56EE9" w:rsidRPr="00E70A11">
                <w:rPr>
                  <w:rStyle w:val="Hyperlink"/>
                  <w:rFonts w:ascii="Arial Narrow" w:hAnsi="Arial Narrow"/>
                  <w:sz w:val="18"/>
                  <w:szCs w:val="18"/>
                </w:rPr>
                <w:t>DEQMS</w:t>
              </w:r>
            </w:hyperlink>
          </w:p>
          <w:p w14:paraId="5761EE09"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609" w:history="1">
              <w:r w:rsidR="00A56EE9" w:rsidRPr="00E70A11">
                <w:rPr>
                  <w:rStyle w:val="Hyperlink"/>
                  <w:rFonts w:ascii="Arial Narrow" w:hAnsi="Arial Narrow"/>
                  <w:sz w:val="18"/>
                  <w:szCs w:val="18"/>
                  <w:lang w:val="en"/>
                </w:rPr>
                <w:t>MOU 2016-2020 between Defence and GBRMPA on Management of Defence Activities in the GBRMP Region</w:t>
              </w:r>
            </w:hyperlink>
            <w:r w:rsidR="00A56EE9" w:rsidRPr="00E70A11">
              <w:rPr>
                <w:rFonts w:ascii="Arial Narrow" w:hAnsi="Arial Narrow"/>
                <w:sz w:val="18"/>
                <w:szCs w:val="18"/>
                <w:lang w:val="en"/>
              </w:rPr>
              <w:t xml:space="preserve"> </w:t>
            </w:r>
          </w:p>
          <w:p w14:paraId="5761EE0A"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610" w:history="1">
              <w:r w:rsidR="00A56EE9" w:rsidRPr="00E70A11">
                <w:rPr>
                  <w:rStyle w:val="Hyperlink"/>
                  <w:rFonts w:ascii="Arial Narrow" w:hAnsi="Arial Narrow"/>
                  <w:sz w:val="18"/>
                  <w:szCs w:val="18"/>
                </w:rPr>
                <w:t>Strategic environmental assessment of defence activities in the Great Barrier Reef World Heritage Area</w:t>
              </w:r>
            </w:hyperlink>
            <w:r w:rsidR="00A56EE9" w:rsidRPr="00E70A11">
              <w:rPr>
                <w:rFonts w:ascii="Arial Narrow" w:hAnsi="Arial Narrow"/>
                <w:sz w:val="18"/>
                <w:szCs w:val="18"/>
              </w:rPr>
              <w:t>, 2014</w:t>
            </w:r>
          </w:p>
        </w:tc>
        <w:tc>
          <w:tcPr>
            <w:tcW w:w="976" w:type="dxa"/>
            <w:tcBorders>
              <w:top w:val="single" w:sz="4" w:space="0" w:color="auto"/>
              <w:left w:val="single" w:sz="4" w:space="0" w:color="auto"/>
              <w:bottom w:val="single" w:sz="4" w:space="0" w:color="auto"/>
              <w:right w:val="single" w:sz="4" w:space="0" w:color="auto"/>
            </w:tcBorders>
          </w:tcPr>
          <w:p w14:paraId="5761EE0B"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0C"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1D"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0E"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defence activities</w:t>
            </w:r>
          </w:p>
        </w:tc>
        <w:tc>
          <w:tcPr>
            <w:tcW w:w="739" w:type="dxa"/>
            <w:tcBorders>
              <w:top w:val="single" w:sz="4" w:space="0" w:color="auto"/>
              <w:left w:val="single" w:sz="4" w:space="0" w:color="auto"/>
              <w:bottom w:val="single" w:sz="4" w:space="0" w:color="auto"/>
              <w:right w:val="single" w:sz="4" w:space="0" w:color="auto"/>
            </w:tcBorders>
          </w:tcPr>
          <w:p w14:paraId="5761EE0F"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E1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Most systems GBRMPA and Defence have put in place include the important monitoring and feedback mechanisms that enhance overall effectiveness for management.</w:t>
            </w:r>
          </w:p>
          <w:p w14:paraId="5761EE1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Some monitoring and evaluation of potential cumulative impacts is also occurring e.g. seagrass cover in SWBTA and water quality inputs to GBR</w:t>
            </w:r>
          </w:p>
          <w:p w14:paraId="5761EE1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Evaluation of activities and forward planning is conducted annually at each GBRMPA/Defence forum e.g. climate change, ecologically sustainable use and communication (Ref 23)</w:t>
            </w:r>
          </w:p>
          <w:p w14:paraId="5761EE1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Reporting is required where GBRMPA issues a Part 5 direction - which also provides for performance monitoring </w:t>
            </w:r>
          </w:p>
          <w:p w14:paraId="5761EE1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Monitoring for compliance is comprehensive for major exercises like Talisman Sabre</w:t>
            </w:r>
          </w:p>
          <w:p w14:paraId="5761EE1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All internal Defence approvals have a requirement for some degree of post activity reporting </w:t>
            </w:r>
          </w:p>
          <w:p w14:paraId="5761EE1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Defence and Queensland agencies cooperate to monitor compliance particularly for major exercises </w:t>
            </w:r>
          </w:p>
          <w:p w14:paraId="5761EE1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Talisman Saber produces a post exercise environmental report.</w:t>
            </w:r>
          </w:p>
        </w:tc>
        <w:tc>
          <w:tcPr>
            <w:tcW w:w="5326" w:type="dxa"/>
            <w:tcBorders>
              <w:top w:val="single" w:sz="4" w:space="0" w:color="auto"/>
              <w:left w:val="single" w:sz="4" w:space="0" w:color="auto"/>
              <w:bottom w:val="single" w:sz="4" w:space="0" w:color="auto"/>
              <w:right w:val="single" w:sz="4" w:space="0" w:color="auto"/>
            </w:tcBorders>
          </w:tcPr>
          <w:p w14:paraId="5761EE18"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lang w:val="en"/>
              </w:rPr>
              <w:t xml:space="preserve">Wu, W., Wang, X., Paull, D. and Kesby, J. 2010, </w:t>
            </w:r>
            <w:hyperlink r:id="rId611" w:history="1">
              <w:r w:rsidRPr="00E70A11">
                <w:rPr>
                  <w:rStyle w:val="Hyperlink"/>
                  <w:rFonts w:ascii="Arial Narrow" w:hAnsi="Arial Narrow"/>
                  <w:sz w:val="18"/>
                  <w:szCs w:val="18"/>
                  <w:lang w:val="en"/>
                </w:rPr>
                <w:t>Defence force activities in marine protected areas: environmental management of Shoalwater Bay Training Area</w:t>
              </w:r>
            </w:hyperlink>
          </w:p>
          <w:p w14:paraId="5761EE19"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612" w:history="1">
              <w:r w:rsidR="00A56EE9" w:rsidRPr="00E70A11">
                <w:rPr>
                  <w:rStyle w:val="Hyperlink"/>
                  <w:rFonts w:ascii="Arial Narrow" w:hAnsi="Arial Narrow"/>
                  <w:sz w:val="18"/>
                  <w:szCs w:val="18"/>
                  <w:lang w:val="en"/>
                </w:rPr>
                <w:t>MOU 2016-2020 between Defence and GBRMPA on Management of Defence Activities in the GBRMP Region</w:t>
              </w:r>
            </w:hyperlink>
            <w:r w:rsidR="00A56EE9" w:rsidRPr="00E70A11">
              <w:rPr>
                <w:rFonts w:ascii="Arial Narrow" w:hAnsi="Arial Narrow"/>
                <w:sz w:val="18"/>
                <w:szCs w:val="18"/>
                <w:lang w:val="en"/>
              </w:rPr>
              <w:t xml:space="preserve"> </w:t>
            </w:r>
          </w:p>
          <w:p w14:paraId="5761EE1A" w14:textId="77777777" w:rsidR="00A56EE9" w:rsidRPr="00E70A11" w:rsidRDefault="00A56EE9" w:rsidP="00BB6AD5">
            <w:pPr>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E1B"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1C"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2D"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1E"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defence activities</w:t>
            </w:r>
          </w:p>
        </w:tc>
        <w:tc>
          <w:tcPr>
            <w:tcW w:w="739" w:type="dxa"/>
            <w:tcBorders>
              <w:top w:val="single" w:sz="4" w:space="0" w:color="auto"/>
              <w:left w:val="single" w:sz="4" w:space="0" w:color="auto"/>
              <w:bottom w:val="single" w:sz="4" w:space="0" w:color="auto"/>
              <w:right w:val="single" w:sz="4" w:space="0" w:color="auto"/>
            </w:tcBorders>
          </w:tcPr>
          <w:p w14:paraId="5761EE1F"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E2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noted that Defence do undertake induction training, produce information DVD’s and awareness cards for all visitors to Defence training areas including participants in training exercises. Induction training is tailored to the areas that the ‘visitor’ will be accessing and the tasks they will be undertaking.</w:t>
            </w:r>
            <w:r>
              <w:rPr>
                <w:rFonts w:ascii="Arial Narrow" w:hAnsi="Arial Narrow"/>
                <w:sz w:val="18"/>
                <w:szCs w:val="18"/>
              </w:rPr>
              <w:t xml:space="preserve"> </w:t>
            </w:r>
            <w:r w:rsidRPr="00E70A11">
              <w:rPr>
                <w:rFonts w:ascii="Arial Narrow" w:hAnsi="Arial Narrow"/>
                <w:sz w:val="18"/>
                <w:szCs w:val="18"/>
              </w:rPr>
              <w:t>Briefings include consideration of terrestrial and marine environments and also address compliance requirements, points of contact in the event of an incident and associated immediate actions.</w:t>
            </w:r>
            <w:r>
              <w:rPr>
                <w:rFonts w:ascii="Arial Narrow" w:hAnsi="Arial Narrow"/>
                <w:sz w:val="18"/>
                <w:szCs w:val="18"/>
              </w:rPr>
              <w:t xml:space="preserve"> </w:t>
            </w:r>
            <w:r w:rsidRPr="00E70A11">
              <w:rPr>
                <w:rFonts w:ascii="Arial Narrow" w:hAnsi="Arial Narrow"/>
                <w:sz w:val="18"/>
                <w:szCs w:val="18"/>
              </w:rPr>
              <w:t>It is considered that overall these messages are well received by users and compliance is effective.</w:t>
            </w:r>
          </w:p>
          <w:p w14:paraId="5761EE2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Maintaining the expertise and number of Defence staff engaged in environmental management on training ranges and in policy areas is important to ensure Defence has capacity to undertake compliance monitoring and enforcement of conditions attached to exercise approvals within the Great Barrier Reef Region.</w:t>
            </w:r>
          </w:p>
          <w:p w14:paraId="5761EE2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See also IN3, CO2</w:t>
            </w:r>
          </w:p>
          <w:p w14:paraId="5761EE2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In June-July 2015 a GBRMPA staff member undertook a 10-day secondment to Talisman Saber to work with Defence environment team in Shoalwater Bay (GBR) and Fog Bay (NT). </w:t>
            </w:r>
          </w:p>
          <w:p w14:paraId="5761EE2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GBRMPA (with assistance from Defence) has provided opportunities for relevant staff to gain an understanding of Defence exercises in the GBRMP (including recently). Defence has historically reciprocated. Ongoing staff exchanges and training promote shared knowledge of procedures, requirements, issues etc. and ensure this is maintained over time – especially where personnel are changings. </w:t>
            </w:r>
          </w:p>
        </w:tc>
        <w:tc>
          <w:tcPr>
            <w:tcW w:w="5326" w:type="dxa"/>
            <w:tcBorders>
              <w:top w:val="single" w:sz="4" w:space="0" w:color="auto"/>
              <w:left w:val="single" w:sz="4" w:space="0" w:color="auto"/>
              <w:bottom w:val="single" w:sz="4" w:space="0" w:color="auto"/>
              <w:right w:val="single" w:sz="4" w:space="0" w:color="auto"/>
            </w:tcBorders>
          </w:tcPr>
          <w:p w14:paraId="5761EE25"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lang w:val="en"/>
              </w:rPr>
              <w:t xml:space="preserve">Wu, W., Wang, X., Paull, D. and Kesby, J. 2010, </w:t>
            </w:r>
            <w:hyperlink r:id="rId613" w:history="1">
              <w:r w:rsidRPr="00E70A11">
                <w:rPr>
                  <w:rStyle w:val="Hyperlink"/>
                  <w:rFonts w:ascii="Arial Narrow" w:hAnsi="Arial Narrow"/>
                  <w:sz w:val="18"/>
                  <w:szCs w:val="18"/>
                  <w:lang w:val="en"/>
                </w:rPr>
                <w:t>Defence force activities in marine protected areas: environmental management of Shoalwater Bay Training Area</w:t>
              </w:r>
            </w:hyperlink>
          </w:p>
          <w:p w14:paraId="5761EE26"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E2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E28"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614"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E2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615"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E2A"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616" w:history="1">
              <w:r w:rsidR="00A56EE9" w:rsidRPr="00E70A11">
                <w:rPr>
                  <w:rStyle w:val="Hyperlink"/>
                  <w:rFonts w:ascii="Arial Narrow" w:hAnsi="Arial Narrow"/>
                  <w:sz w:val="18"/>
                  <w:szCs w:val="18"/>
                </w:rPr>
                <w:t>GBRMPA Annual Report 2015-16</w:t>
              </w:r>
            </w:hyperlink>
            <w:r w:rsidR="00A56EE9" w:rsidRPr="00E70A11">
              <w:rPr>
                <w:rFonts w:ascii="Arial Narrow" w:hAnsi="Arial Narrow"/>
                <w:sz w:val="18"/>
                <w:szCs w:val="18"/>
                <w:u w:val="single"/>
              </w:rPr>
              <w:t>, p61</w:t>
            </w:r>
          </w:p>
        </w:tc>
        <w:tc>
          <w:tcPr>
            <w:tcW w:w="976" w:type="dxa"/>
            <w:tcBorders>
              <w:top w:val="single" w:sz="4" w:space="0" w:color="auto"/>
              <w:left w:val="single" w:sz="4" w:space="0" w:color="auto"/>
              <w:bottom w:val="single" w:sz="4" w:space="0" w:color="auto"/>
              <w:right w:val="single" w:sz="4" w:space="0" w:color="auto"/>
            </w:tcBorders>
          </w:tcPr>
          <w:p w14:paraId="5761EE2B"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2C"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38"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2E"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defence activities is consistently implemented across the relevant jurisdictions</w:t>
            </w:r>
          </w:p>
        </w:tc>
        <w:tc>
          <w:tcPr>
            <w:tcW w:w="739" w:type="dxa"/>
            <w:tcBorders>
              <w:top w:val="single" w:sz="4" w:space="0" w:color="auto"/>
              <w:left w:val="single" w:sz="4" w:space="0" w:color="auto"/>
              <w:bottom w:val="single" w:sz="4" w:space="0" w:color="auto"/>
              <w:right w:val="single" w:sz="4" w:space="0" w:color="auto"/>
            </w:tcBorders>
          </w:tcPr>
          <w:p w14:paraId="5761EE2F"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3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partnership approach between Defence/GBRMPA has developed at the regional and national levels points to a high level of consistency in approach, with a formal annual meetings of Defence/GBRMPA officials as well as ad hoc consultation on a range of issues of mutual importance.</w:t>
            </w:r>
            <w:r>
              <w:rPr>
                <w:rFonts w:ascii="Arial Narrow" w:hAnsi="Arial Narrow"/>
                <w:sz w:val="18"/>
                <w:szCs w:val="18"/>
              </w:rPr>
              <w:t xml:space="preserve"> </w:t>
            </w:r>
          </w:p>
          <w:p w14:paraId="5761EE3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cooperative process for considering risks also provides an opportunity for addresses differing views (if any)</w:t>
            </w:r>
          </w:p>
          <w:p w14:paraId="5761EE3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Managers advise that Defence activities are managed relatively consistently across all areas of operation including in the GBR. Where site specific management of activities is needed this is guided by Range Standing Orders (RSO (e.g. SWBTA) and/or other management tools such as the Marine Activities EMP.</w:t>
            </w:r>
            <w:r>
              <w:rPr>
                <w:rFonts w:ascii="Arial Narrow" w:hAnsi="Arial Narrow"/>
                <w:sz w:val="18"/>
                <w:szCs w:val="18"/>
              </w:rPr>
              <w:t xml:space="preserve"> </w:t>
            </w:r>
            <w:r w:rsidRPr="00E70A11">
              <w:rPr>
                <w:rFonts w:ascii="Arial Narrow" w:hAnsi="Arial Narrow"/>
                <w:sz w:val="18"/>
                <w:szCs w:val="18"/>
              </w:rPr>
              <w:t>Compliance with Qld and GBRMPA regulations by Defence is consistent to the extent required within the GBR</w:t>
            </w:r>
          </w:p>
          <w:p w14:paraId="5761EE3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All activities undertaken by Defence within the GBR are notified to GBRMPA with an invitation to comment on the adequacy of environmental management controls</w:t>
            </w:r>
          </w:p>
          <w:p w14:paraId="5761EE3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Status of Forces Agreements (SoFA) for activities involving international military requires compliance with environmental and maritime laws</w:t>
            </w:r>
          </w:p>
        </w:tc>
        <w:tc>
          <w:tcPr>
            <w:tcW w:w="5326" w:type="dxa"/>
            <w:tcBorders>
              <w:top w:val="single" w:sz="4" w:space="0" w:color="auto"/>
              <w:left w:val="single" w:sz="4" w:space="0" w:color="auto"/>
              <w:bottom w:val="single" w:sz="4" w:space="0" w:color="auto"/>
              <w:right w:val="single" w:sz="4" w:space="0" w:color="auto"/>
            </w:tcBorders>
          </w:tcPr>
          <w:p w14:paraId="5761EE35"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lang w:val="en"/>
              </w:rPr>
            </w:pPr>
            <w:hyperlink r:id="rId617" w:history="1">
              <w:r w:rsidR="00A56EE9" w:rsidRPr="00E70A11">
                <w:rPr>
                  <w:rStyle w:val="Hyperlink"/>
                  <w:rFonts w:ascii="Arial Narrow" w:hAnsi="Arial Narrow"/>
                  <w:sz w:val="18"/>
                  <w:szCs w:val="18"/>
                  <w:lang w:val="en"/>
                </w:rPr>
                <w:t>MOU 2016-2020 between Defence and GBRMPA on Management of Defence Activities in the GBRMP Region</w:t>
              </w:r>
            </w:hyperlink>
            <w:r w:rsidR="00A56EE9" w:rsidRPr="00E70A11">
              <w:rPr>
                <w:rFonts w:ascii="Arial Narrow" w:hAnsi="Arial Narrow"/>
                <w:sz w:val="18"/>
                <w:szCs w:val="18"/>
                <w:lang w:val="en"/>
              </w:rPr>
              <w:t xml:space="preserve"> </w:t>
            </w:r>
          </w:p>
        </w:tc>
        <w:tc>
          <w:tcPr>
            <w:tcW w:w="976" w:type="dxa"/>
            <w:tcBorders>
              <w:top w:val="single" w:sz="4" w:space="0" w:color="auto"/>
              <w:left w:val="single" w:sz="4" w:space="0" w:color="auto"/>
              <w:bottom w:val="single" w:sz="4" w:space="0" w:color="auto"/>
              <w:right w:val="single" w:sz="4" w:space="0" w:color="auto"/>
            </w:tcBorders>
          </w:tcPr>
          <w:p w14:paraId="5761EE36"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37"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44"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39"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defence activities</w:t>
            </w:r>
          </w:p>
        </w:tc>
        <w:tc>
          <w:tcPr>
            <w:tcW w:w="739" w:type="dxa"/>
            <w:tcBorders>
              <w:top w:val="single" w:sz="4" w:space="0" w:color="auto"/>
              <w:left w:val="single" w:sz="4" w:space="0" w:color="auto"/>
              <w:bottom w:val="single" w:sz="4" w:space="0" w:color="auto"/>
              <w:right w:val="single" w:sz="4" w:space="0" w:color="auto"/>
            </w:tcBorders>
          </w:tcPr>
          <w:p w14:paraId="5761EE3A"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3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evidence points to effective processes being in place guiding a range of decisions about Defence activities.</w:t>
            </w:r>
            <w:r>
              <w:rPr>
                <w:rFonts w:ascii="Arial Narrow" w:hAnsi="Arial Narrow"/>
                <w:sz w:val="18"/>
                <w:szCs w:val="18"/>
              </w:rPr>
              <w:t xml:space="preserve"> </w:t>
            </w:r>
            <w:r w:rsidRPr="00E70A11">
              <w:rPr>
                <w:rFonts w:ascii="Arial Narrow" w:hAnsi="Arial Narrow"/>
                <w:sz w:val="18"/>
                <w:szCs w:val="18"/>
              </w:rPr>
              <w:t>Historical conflict about the use of Defence training areas in Shoalwater Bay in the late 1980’s and Halifax Bay a decade later lead to the development of improved collaborative management approaches between Defence and GBRMPA. The processes in place have ensured that management decisions about Defence activities have been based on understanding and consensus.</w:t>
            </w:r>
          </w:p>
          <w:p w14:paraId="5761EE3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recognises that has a ‘social licence’ to continue to operate, as long as potential environmental concerns are effectively addressed in the GBRWHA (e.g. retrieval of jettisoned live ordnance following a training exercise in 2013)</w:t>
            </w:r>
          </w:p>
          <w:p w14:paraId="5761EE3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partnership between Defence/GBRMPA at all levels e.g. annual meeting of Defence/GBRMPA officers provides a forum for sharing information and discussing potential areas of conflict.</w:t>
            </w:r>
          </w:p>
          <w:p w14:paraId="5761EE3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Risk assessment processes for individual projects/activities also provide opportunities to address differing views.</w:t>
            </w:r>
            <w:r>
              <w:rPr>
                <w:rFonts w:ascii="Arial Narrow" w:hAnsi="Arial Narrow"/>
                <w:sz w:val="18"/>
                <w:szCs w:val="18"/>
              </w:rPr>
              <w:t xml:space="preserve"> </w:t>
            </w:r>
            <w:r w:rsidRPr="00E70A11">
              <w:rPr>
                <w:rFonts w:ascii="Arial Narrow" w:hAnsi="Arial Narrow"/>
                <w:sz w:val="18"/>
                <w:szCs w:val="18"/>
              </w:rPr>
              <w:t>There is routine communication and discussion means that issues are resolved through agreement and consensus</w:t>
            </w:r>
          </w:p>
          <w:p w14:paraId="5761EE3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All activities undertaken by Defence within the GBR are notified to GBRMPA with an invitation to comment on the adequacy of environmental management controls</w:t>
            </w:r>
          </w:p>
        </w:tc>
        <w:tc>
          <w:tcPr>
            <w:tcW w:w="5326" w:type="dxa"/>
            <w:tcBorders>
              <w:top w:val="single" w:sz="4" w:space="0" w:color="auto"/>
              <w:left w:val="single" w:sz="4" w:space="0" w:color="auto"/>
              <w:bottom w:val="single" w:sz="4" w:space="0" w:color="auto"/>
              <w:right w:val="single" w:sz="4" w:space="0" w:color="auto"/>
            </w:tcBorders>
          </w:tcPr>
          <w:p w14:paraId="5761EE40"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rPr>
              <w:t xml:space="preserve"> </w:t>
            </w:r>
            <w:hyperlink r:id="rId618" w:history="1">
              <w:r w:rsidRPr="00E70A11">
                <w:rPr>
                  <w:rStyle w:val="Hyperlink"/>
                  <w:rFonts w:ascii="Arial Narrow" w:hAnsi="Arial Narrow"/>
                  <w:sz w:val="18"/>
                  <w:szCs w:val="18"/>
                  <w:lang w:val="en"/>
                </w:rPr>
                <w:t>MOU 2016-2020 between Defence and GBRMPA on Management of Defence Activities in the GBRMP Region</w:t>
              </w:r>
            </w:hyperlink>
            <w:r w:rsidRPr="00E70A11">
              <w:rPr>
                <w:rFonts w:ascii="Arial Narrow" w:hAnsi="Arial Narrow"/>
                <w:sz w:val="18"/>
                <w:szCs w:val="18"/>
                <w:lang w:val="en"/>
              </w:rPr>
              <w:t xml:space="preserve"> </w:t>
            </w:r>
          </w:p>
          <w:p w14:paraId="5761EE41" w14:textId="77777777" w:rsidR="00A56EE9" w:rsidRPr="00E70A11" w:rsidRDefault="00A56EE9" w:rsidP="00BB6AD5">
            <w:pPr>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E42"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43" w14:textId="77777777" w:rsidR="00A56EE9" w:rsidRPr="00E70A11" w:rsidRDefault="00A56EE9" w:rsidP="00BB6AD5">
            <w:pPr>
              <w:pStyle w:val="Tablebulletlist"/>
              <w:rPr>
                <w:rStyle w:val="BookTitle"/>
              </w:rPr>
            </w:pPr>
            <w:r w:rsidRPr="00E70A11">
              <w:rPr>
                <w:rStyle w:val="BookTitle"/>
                <w:color w:val="000000" w:themeColor="text1"/>
              </w:rPr>
              <w:t>Improving</w:t>
            </w:r>
          </w:p>
        </w:tc>
      </w:tr>
      <w:tr w:rsidR="00A56EE9" w:rsidRPr="00E70A11" w14:paraId="5761EE66"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45"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defence activities are appropriately considered.</w:t>
            </w:r>
          </w:p>
        </w:tc>
        <w:tc>
          <w:tcPr>
            <w:tcW w:w="739" w:type="dxa"/>
            <w:tcBorders>
              <w:top w:val="single" w:sz="4" w:space="0" w:color="auto"/>
              <w:left w:val="single" w:sz="4" w:space="0" w:color="auto"/>
              <w:bottom w:val="single" w:sz="4" w:space="0" w:color="auto"/>
              <w:right w:val="single" w:sz="4" w:space="0" w:color="auto"/>
            </w:tcBorders>
          </w:tcPr>
          <w:p w14:paraId="5761EE46"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4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considered that there would be very few, if any, exceptions where the impacts of a planned Defence activity was not well understood and well managed.</w:t>
            </w:r>
            <w:r>
              <w:rPr>
                <w:rFonts w:ascii="Arial Narrow" w:hAnsi="Arial Narrow"/>
                <w:sz w:val="18"/>
                <w:szCs w:val="18"/>
              </w:rPr>
              <w:t xml:space="preserve"> </w:t>
            </w:r>
            <w:r w:rsidRPr="00E70A11">
              <w:rPr>
                <w:rFonts w:ascii="Arial Narrow" w:hAnsi="Arial Narrow"/>
                <w:sz w:val="18"/>
                <w:szCs w:val="18"/>
              </w:rPr>
              <w:t xml:space="preserve">Major incidents causing harm are also very rare </w:t>
            </w:r>
          </w:p>
          <w:p w14:paraId="5761EE4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There are a few legacy issues associated with historical events (e.g. WWII) and defence training activities. Most significant is the presence of UXO (such as artillery shells, mortars, mines and bombs) dating from WWII. The largest post-war dumpsites were recorded as located offshore from Cairns and Townsville, however these locations have never been validated. The presence of dumped munitions at other unrecorded sites in the Region suggests that post war records are not reliable. Small quantities of chemical warfare agents were also dumped off Bowen and Proserpine in the late 1940s. While some records were kept about the location of this dumping the precise locations, quantities and types of materials dumped are unknown </w:t>
            </w:r>
          </w:p>
          <w:p w14:paraId="5761EE4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is some evidence that these legacy issues are being treated with increased importance to Defence. A pilot study was undertaken at John Brewer Reef offshore Townsville to evaluate the risks posed by unexploded ordnance at an unofficial dumping site there.</w:t>
            </w:r>
            <w:r>
              <w:rPr>
                <w:rFonts w:ascii="Arial Narrow" w:hAnsi="Arial Narrow"/>
                <w:sz w:val="18"/>
                <w:szCs w:val="18"/>
              </w:rPr>
              <w:t xml:space="preserve"> </w:t>
            </w:r>
            <w:r w:rsidRPr="00E70A11">
              <w:rPr>
                <w:rFonts w:ascii="Arial Narrow" w:hAnsi="Arial Narrow"/>
                <w:sz w:val="18"/>
                <w:szCs w:val="18"/>
              </w:rPr>
              <w:t>GBRMPA and Defence continue to work to address the risks posed by both historic and contemporary defence activities.</w:t>
            </w:r>
            <w:r>
              <w:rPr>
                <w:rFonts w:ascii="Arial Narrow" w:hAnsi="Arial Narrow"/>
                <w:sz w:val="18"/>
                <w:szCs w:val="18"/>
              </w:rPr>
              <w:t xml:space="preserve"> </w:t>
            </w:r>
          </w:p>
          <w:p w14:paraId="5761EE4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Further evidence is available to support this conclusion e.g. four bombs jettisoned in July 2013 in a habitat protection zone near Shoalwater Bay in the marine park were recovered with planning and recovery actions involving GBRMPA, Australian and US Defence Forces working together on the recover response. </w:t>
            </w:r>
          </w:p>
          <w:p w14:paraId="5761EE4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High impact activities are confined to specific, localised areas and are generally confined to a few weeks per year. </w:t>
            </w:r>
          </w:p>
          <w:p w14:paraId="5761EE4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Many defence activities are conducted with dedicated shipboard and aerial observers who can collect data on marine wildlife sightings, and ensure activities are adapted to avoid impacts or otherwise delayed if required. </w:t>
            </w:r>
          </w:p>
          <w:p w14:paraId="5761EE4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has new energy, water, heritage and overarching strategies for the Defence Estate </w:t>
            </w:r>
          </w:p>
          <w:p w14:paraId="5761EE4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An accident resulting in the sinking and recovery of an Osprey aircraft in 2017 did not result in significant environmental impacts. </w:t>
            </w:r>
          </w:p>
          <w:p w14:paraId="5761EE4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Presence of contamination from fire fighting foam (PFAS) is being examined in groundwater and freshwater and marine systems for several Defence operation locations, one of which is adjacent to the Reef (RAAF Base Townsville). </w:t>
            </w:r>
          </w:p>
          <w:p w14:paraId="5761EE5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2013 ordnance jettisoning incident has since facilitated further strategic planning for response to future events which are unlikely, unpredictable but which may have adverse impacts on either environmental values, social aspects or Defence’s reputation. This has resulted in significantly increased collaboration across Australian state and Commonwealth government agencies </w:t>
            </w:r>
          </w:p>
          <w:p w14:paraId="5761EE5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acquisition of new equipment and platforms such as LHD’s means that the cumulative impacts of increased training activity in the littoral zone around SWBTA may pose a possible risk in future.</w:t>
            </w:r>
          </w:p>
        </w:tc>
        <w:tc>
          <w:tcPr>
            <w:tcW w:w="5326" w:type="dxa"/>
            <w:tcBorders>
              <w:top w:val="single" w:sz="4" w:space="0" w:color="auto"/>
              <w:left w:val="single" w:sz="4" w:space="0" w:color="auto"/>
              <w:bottom w:val="single" w:sz="4" w:space="0" w:color="auto"/>
              <w:right w:val="single" w:sz="4" w:space="0" w:color="auto"/>
            </w:tcBorders>
          </w:tcPr>
          <w:p w14:paraId="5761EE5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19" w:history="1">
              <w:r w:rsidR="00A56EE9" w:rsidRPr="00E70A11">
                <w:rPr>
                  <w:rStyle w:val="Hyperlink"/>
                  <w:rFonts w:ascii="Arial Narrow" w:hAnsi="Arial Narrow"/>
                  <w:sz w:val="18"/>
                  <w:szCs w:val="18"/>
                </w:rPr>
                <w:t>Sea dumping in Australia: historical and contemporary aspects</w:t>
              </w:r>
            </w:hyperlink>
            <w:r w:rsidR="00A56EE9" w:rsidRPr="00E70A11">
              <w:rPr>
                <w:rFonts w:ascii="Arial Narrow" w:hAnsi="Arial Narrow"/>
                <w:sz w:val="18"/>
                <w:szCs w:val="18"/>
              </w:rPr>
              <w:t xml:space="preserve"> (Geoff Plunkett)</w:t>
            </w:r>
            <w:r w:rsidR="00A56EE9">
              <w:rPr>
                <w:rFonts w:ascii="Arial Narrow" w:hAnsi="Arial Narrow"/>
                <w:sz w:val="18"/>
                <w:szCs w:val="18"/>
              </w:rPr>
              <w:t xml:space="preserve"> </w:t>
            </w:r>
            <w:r w:rsidR="00A56EE9" w:rsidRPr="00E70A11">
              <w:rPr>
                <w:rFonts w:ascii="Arial Narrow" w:hAnsi="Arial Narrow"/>
                <w:sz w:val="18"/>
                <w:szCs w:val="18"/>
              </w:rPr>
              <w:t>- NB. This document is being reviewed for reissue.</w:t>
            </w:r>
          </w:p>
          <w:p w14:paraId="5761EE5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Sydney Morning Herald 1947, </w:t>
            </w:r>
            <w:r w:rsidRPr="00E70A11">
              <w:rPr>
                <w:rFonts w:ascii="Arial Narrow" w:hAnsi="Arial Narrow"/>
                <w:iCs/>
                <w:sz w:val="18"/>
                <w:szCs w:val="18"/>
              </w:rPr>
              <w:t>Dangerous tasks for men of the navy</w:t>
            </w:r>
            <w:r w:rsidRPr="00E70A11">
              <w:rPr>
                <w:rFonts w:ascii="Arial Narrow" w:hAnsi="Arial Narrow"/>
                <w:sz w:val="18"/>
                <w:szCs w:val="18"/>
              </w:rPr>
              <w:t>, 18 June edn, Fairfax Media, Sydney.</w:t>
            </w:r>
          </w:p>
          <w:p w14:paraId="5761EE5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Cairns Post 1948, </w:t>
            </w:r>
            <w:r w:rsidRPr="00E70A11">
              <w:rPr>
                <w:rFonts w:ascii="Arial Narrow" w:hAnsi="Arial Narrow"/>
                <w:iCs/>
                <w:sz w:val="18"/>
                <w:szCs w:val="18"/>
              </w:rPr>
              <w:t>Mine sweeping ends</w:t>
            </w:r>
            <w:r w:rsidRPr="00E70A11">
              <w:rPr>
                <w:rFonts w:ascii="Arial Narrow" w:hAnsi="Arial Narrow"/>
                <w:sz w:val="18"/>
                <w:szCs w:val="18"/>
              </w:rPr>
              <w:t>, 7 August edn, News Ltd, Cairns.</w:t>
            </w:r>
          </w:p>
          <w:p w14:paraId="5761EE5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Royal Australian Navy 2013,</w:t>
            </w:r>
            <w:r w:rsidRPr="00E70A11">
              <w:rPr>
                <w:rFonts w:ascii="Arial Narrow" w:hAnsi="Arial Narrow"/>
                <w:i/>
                <w:iCs/>
                <w:sz w:val="18"/>
                <w:szCs w:val="18"/>
              </w:rPr>
              <w:t xml:space="preserve"> </w:t>
            </w:r>
            <w:hyperlink r:id="rId620" w:history="1">
              <w:r w:rsidRPr="00E70A11">
                <w:rPr>
                  <w:rStyle w:val="Hyperlink"/>
                  <w:rFonts w:ascii="Arial Narrow" w:hAnsi="Arial Narrow"/>
                  <w:i/>
                  <w:iCs/>
                  <w:sz w:val="18"/>
                  <w:szCs w:val="18"/>
                </w:rPr>
                <w:t>HMAS Bungaree</w:t>
              </w:r>
            </w:hyperlink>
            <w:r w:rsidRPr="00E70A11">
              <w:rPr>
                <w:rFonts w:ascii="Arial Narrow" w:hAnsi="Arial Narrow"/>
                <w:i/>
                <w:iCs/>
                <w:sz w:val="18"/>
                <w:szCs w:val="18"/>
              </w:rPr>
              <w:t xml:space="preserve">, </w:t>
            </w:r>
            <w:r w:rsidRPr="00E70A11">
              <w:rPr>
                <w:rFonts w:ascii="Arial Narrow" w:hAnsi="Arial Narrow"/>
                <w:sz w:val="18"/>
                <w:szCs w:val="18"/>
              </w:rPr>
              <w:t>Royal Australian Navy</w:t>
            </w:r>
          </w:p>
          <w:p w14:paraId="5761EE5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Department of Defence 2002, Royal Australian Navy detonates World War II mine on Great Barrier Reef, Department of Defence, Brisbane</w:t>
            </w:r>
          </w:p>
          <w:p w14:paraId="5761EE5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 xml:space="preserve">Wu, W., Wang, X., Paull, D. and Kesby, J. 2010, </w:t>
            </w:r>
            <w:hyperlink r:id="rId621" w:history="1">
              <w:r w:rsidRPr="00E70A11">
                <w:rPr>
                  <w:rStyle w:val="Hyperlink"/>
                  <w:rFonts w:ascii="Arial Narrow" w:hAnsi="Arial Narrow"/>
                  <w:sz w:val="18"/>
                  <w:szCs w:val="18"/>
                  <w:lang w:val="en"/>
                </w:rPr>
                <w:t>Defence force activities in marine protected areas: environmental management of Shoalwater Bay Training Area</w:t>
              </w:r>
            </w:hyperlink>
          </w:p>
          <w:p w14:paraId="5761EE5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22" w:history="1">
              <w:r w:rsidR="00A56EE9" w:rsidRPr="00E70A11">
                <w:rPr>
                  <w:rStyle w:val="Hyperlink"/>
                  <w:rFonts w:ascii="Arial Narrow" w:hAnsi="Arial Narrow"/>
                  <w:sz w:val="18"/>
                  <w:szCs w:val="18"/>
                </w:rPr>
                <w:t>Strategic environmental assessment of defence activities in the Great Barrier Reef World Heritage Area</w:t>
              </w:r>
            </w:hyperlink>
            <w:r w:rsidR="00A56EE9" w:rsidRPr="00E70A11">
              <w:rPr>
                <w:rFonts w:ascii="Arial Narrow" w:hAnsi="Arial Narrow"/>
                <w:sz w:val="18"/>
                <w:szCs w:val="18"/>
              </w:rPr>
              <w:t>, 2014</w:t>
            </w:r>
          </w:p>
          <w:p w14:paraId="5761EE59"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 xml:space="preserve"> Talisman Saber exercise series:</w:t>
            </w:r>
          </w:p>
          <w:p w14:paraId="5761EE5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E5B"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623"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E5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624"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E5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25" w:history="1">
              <w:r w:rsidR="00A56EE9" w:rsidRPr="00E70A11">
                <w:rPr>
                  <w:rStyle w:val="Hyperlink"/>
                  <w:rFonts w:ascii="Arial Narrow" w:hAnsi="Arial Narrow"/>
                  <w:sz w:val="18"/>
                  <w:szCs w:val="18"/>
                </w:rPr>
                <w:t>Defence Estate Energy Strategy 2014-2019</w:t>
              </w:r>
            </w:hyperlink>
            <w:r w:rsidR="00A56EE9" w:rsidRPr="00E70A11">
              <w:rPr>
                <w:rFonts w:ascii="Arial Narrow" w:hAnsi="Arial Narrow"/>
                <w:sz w:val="18"/>
                <w:szCs w:val="18"/>
              </w:rPr>
              <w:t xml:space="preserve"> </w:t>
            </w:r>
          </w:p>
          <w:p w14:paraId="5761EE5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26" w:history="1">
              <w:r w:rsidR="00A56EE9" w:rsidRPr="00E70A11">
                <w:rPr>
                  <w:rStyle w:val="Hyperlink"/>
                  <w:rFonts w:ascii="Arial Narrow" w:hAnsi="Arial Narrow"/>
                  <w:sz w:val="18"/>
                  <w:szCs w:val="18"/>
                </w:rPr>
                <w:t>Defence Estate Water Strategy 2014-2019</w:t>
              </w:r>
            </w:hyperlink>
          </w:p>
          <w:p w14:paraId="5761EE5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27" w:history="1">
              <w:r w:rsidR="00A56EE9" w:rsidRPr="00E70A11">
                <w:rPr>
                  <w:rStyle w:val="Hyperlink"/>
                  <w:rFonts w:ascii="Arial Narrow" w:hAnsi="Arial Narrow"/>
                  <w:sz w:val="18"/>
                  <w:szCs w:val="18"/>
                </w:rPr>
                <w:t>Defence Estate Heritage Strategy</w:t>
              </w:r>
            </w:hyperlink>
          </w:p>
          <w:p w14:paraId="5761EE6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28" w:history="1">
              <w:r w:rsidR="00A56EE9" w:rsidRPr="00E70A11">
                <w:rPr>
                  <w:rStyle w:val="Hyperlink"/>
                  <w:rFonts w:ascii="Arial Narrow" w:hAnsi="Arial Narrow"/>
                  <w:sz w:val="18"/>
                  <w:szCs w:val="18"/>
                </w:rPr>
                <w:t>Defence Estate Strategy 2016-2036</w:t>
              </w:r>
            </w:hyperlink>
          </w:p>
          <w:p w14:paraId="5761EE6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29" w:history="1">
              <w:r w:rsidR="00A56EE9" w:rsidRPr="00E70A11">
                <w:rPr>
                  <w:rStyle w:val="Hyperlink"/>
                  <w:rFonts w:ascii="Arial Narrow" w:hAnsi="Arial Narrow"/>
                  <w:sz w:val="18"/>
                  <w:szCs w:val="18"/>
                </w:rPr>
                <w:t>Reef 2050 Long-term sustainability plan</w:t>
              </w:r>
            </w:hyperlink>
          </w:p>
          <w:p w14:paraId="5761EE6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30" w:history="1">
              <w:r w:rsidR="00A56EE9" w:rsidRPr="00E70A11">
                <w:rPr>
                  <w:rStyle w:val="Hyperlink"/>
                  <w:rFonts w:ascii="Arial Narrow" w:hAnsi="Arial Narrow"/>
                  <w:sz w:val="18"/>
                  <w:szCs w:val="18"/>
                </w:rPr>
                <w:t>GBRMPA Annual Report 2015-16</w:t>
              </w:r>
            </w:hyperlink>
            <w:r w:rsidR="00A56EE9" w:rsidRPr="00E70A11">
              <w:rPr>
                <w:rFonts w:ascii="Arial Narrow" w:hAnsi="Arial Narrow"/>
                <w:sz w:val="18"/>
                <w:szCs w:val="18"/>
                <w:u w:val="single"/>
              </w:rPr>
              <w:t>, p61</w:t>
            </w:r>
          </w:p>
          <w:p w14:paraId="5761EE6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Defence </w:t>
            </w:r>
            <w:hyperlink r:id="rId631" w:history="1">
              <w:r w:rsidRPr="00E70A11">
                <w:rPr>
                  <w:rStyle w:val="Hyperlink"/>
                  <w:rFonts w:ascii="Arial Narrow" w:hAnsi="Arial Narrow"/>
                  <w:sz w:val="18"/>
                  <w:szCs w:val="18"/>
                </w:rPr>
                <w:t>PFAS</w:t>
              </w:r>
            </w:hyperlink>
            <w:r w:rsidRPr="00E70A11">
              <w:rPr>
                <w:rFonts w:ascii="Arial Narrow" w:hAnsi="Arial Narrow"/>
                <w:sz w:val="18"/>
                <w:szCs w:val="18"/>
              </w:rPr>
              <w:t xml:space="preserve"> and </w:t>
            </w:r>
            <w:hyperlink r:id="rId632" w:history="1">
              <w:r w:rsidRPr="00E70A11">
                <w:rPr>
                  <w:rStyle w:val="Hyperlink"/>
                  <w:rFonts w:ascii="Arial Narrow" w:hAnsi="Arial Narrow"/>
                  <w:sz w:val="18"/>
                  <w:szCs w:val="18"/>
                </w:rPr>
                <w:t>RAAF base Townsville investigation</w:t>
              </w:r>
            </w:hyperlink>
            <w:r w:rsidRPr="00E70A11">
              <w:rPr>
                <w:rFonts w:ascii="Arial Narrow" w:hAnsi="Arial Narrow"/>
                <w:sz w:val="18"/>
                <w:szCs w:val="18"/>
              </w:rPr>
              <w:t xml:space="preserve"> webpages</w:t>
            </w:r>
          </w:p>
        </w:tc>
        <w:tc>
          <w:tcPr>
            <w:tcW w:w="976" w:type="dxa"/>
            <w:tcBorders>
              <w:top w:val="single" w:sz="4" w:space="0" w:color="auto"/>
              <w:left w:val="single" w:sz="4" w:space="0" w:color="auto"/>
              <w:bottom w:val="single" w:sz="4" w:space="0" w:color="auto"/>
              <w:right w:val="single" w:sz="4" w:space="0" w:color="auto"/>
            </w:tcBorders>
          </w:tcPr>
          <w:p w14:paraId="5761EE64"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65"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77"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67"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defence activities</w:t>
            </w:r>
          </w:p>
        </w:tc>
        <w:tc>
          <w:tcPr>
            <w:tcW w:w="739" w:type="dxa"/>
            <w:tcBorders>
              <w:top w:val="single" w:sz="4" w:space="0" w:color="auto"/>
              <w:left w:val="single" w:sz="4" w:space="0" w:color="auto"/>
              <w:bottom w:val="single" w:sz="4" w:space="0" w:color="auto"/>
              <w:right w:val="single" w:sz="4" w:space="0" w:color="auto"/>
            </w:tcBorders>
          </w:tcPr>
          <w:p w14:paraId="5761EE68"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6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It is considered that the information available to Defence for planning its activities is some of the most comprehensive available. </w:t>
            </w:r>
          </w:p>
          <w:p w14:paraId="5761EE6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Validation of historic records regarding WWII sea dumping sites is absent, as is knowledge of any potential pollution/contamination risks. </w:t>
            </w:r>
          </w:p>
        </w:tc>
        <w:tc>
          <w:tcPr>
            <w:tcW w:w="5326" w:type="dxa"/>
            <w:tcBorders>
              <w:top w:val="single" w:sz="4" w:space="0" w:color="auto"/>
              <w:left w:val="single" w:sz="4" w:space="0" w:color="auto"/>
              <w:bottom w:val="single" w:sz="4" w:space="0" w:color="auto"/>
              <w:right w:val="single" w:sz="4" w:space="0" w:color="auto"/>
            </w:tcBorders>
          </w:tcPr>
          <w:p w14:paraId="5761EE6B"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633" w:history="1">
              <w:r w:rsidR="00A56EE9" w:rsidRPr="00E70A11">
                <w:rPr>
                  <w:rStyle w:val="Hyperlink"/>
                  <w:rFonts w:ascii="Arial Narrow" w:hAnsi="Arial Narrow"/>
                  <w:sz w:val="18"/>
                  <w:szCs w:val="18"/>
                  <w:lang w:val="en"/>
                </w:rPr>
                <w:t>Talisman Saber 2013 Public Environment Report</w:t>
              </w:r>
            </w:hyperlink>
            <w:r w:rsidR="00A56EE9" w:rsidRPr="00E70A11">
              <w:rPr>
                <w:rFonts w:ascii="Arial Narrow" w:hAnsi="Arial Narrow"/>
                <w:sz w:val="18"/>
                <w:szCs w:val="18"/>
                <w:lang w:val="en"/>
              </w:rPr>
              <w:t xml:space="preserve"> (</w:t>
            </w:r>
            <w:r w:rsidR="00A56EE9" w:rsidRPr="00E70A11">
              <w:rPr>
                <w:rFonts w:ascii="Arial Narrow" w:hAnsi="Arial Narrow"/>
                <w:i/>
                <w:sz w:val="18"/>
                <w:szCs w:val="18"/>
                <w:lang w:val="en"/>
              </w:rPr>
              <w:t>final report</w:t>
            </w:r>
            <w:r w:rsidR="00A56EE9" w:rsidRPr="00E70A11">
              <w:rPr>
                <w:rFonts w:ascii="Arial Narrow" w:hAnsi="Arial Narrow"/>
                <w:sz w:val="18"/>
                <w:szCs w:val="18"/>
                <w:lang w:val="en"/>
              </w:rPr>
              <w:t xml:space="preserve">) </w:t>
            </w:r>
          </w:p>
          <w:p w14:paraId="5761EE6C"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rPr>
              <w:t xml:space="preserve">Contaminated site assessments of Defence sites in Queensland – </w:t>
            </w:r>
            <w:hyperlink r:id="rId634" w:history="1">
              <w:r w:rsidRPr="00E70A11">
                <w:rPr>
                  <w:rStyle w:val="Hyperlink"/>
                  <w:rFonts w:ascii="Arial Narrow" w:hAnsi="Arial Narrow"/>
                  <w:sz w:val="18"/>
                  <w:szCs w:val="18"/>
                </w:rPr>
                <w:t>details can be viewed online</w:t>
              </w:r>
            </w:hyperlink>
            <w:r w:rsidRPr="00E70A11">
              <w:rPr>
                <w:rFonts w:ascii="Arial Narrow" w:hAnsi="Arial Narrow"/>
                <w:sz w:val="18"/>
                <w:szCs w:val="18"/>
              </w:rPr>
              <w:t xml:space="preserve"> </w:t>
            </w:r>
          </w:p>
          <w:p w14:paraId="5761EE6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35" w:history="1">
              <w:r w:rsidR="00A56EE9" w:rsidRPr="00E70A11">
                <w:rPr>
                  <w:rStyle w:val="Hyperlink"/>
                  <w:rFonts w:ascii="Arial Narrow" w:hAnsi="Arial Narrow"/>
                  <w:sz w:val="18"/>
                  <w:szCs w:val="18"/>
                </w:rPr>
                <w:t>Strategic environmental assessment of defence activities in the Great Barrier Reef World Heritage Area</w:t>
              </w:r>
            </w:hyperlink>
            <w:r w:rsidR="00A56EE9" w:rsidRPr="00E70A11">
              <w:rPr>
                <w:rFonts w:ascii="Arial Narrow" w:hAnsi="Arial Narrow"/>
                <w:sz w:val="18"/>
                <w:szCs w:val="18"/>
              </w:rPr>
              <w:t>, 2014</w:t>
            </w:r>
          </w:p>
          <w:p w14:paraId="5761EE6E"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E6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E70"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636"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E7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637"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E72"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 xml:space="preserve">Sobtzick, S., Cleguer, C., Hagihara, R., and Marsh, H. 2017. </w:t>
            </w:r>
            <w:hyperlink r:id="rId638" w:history="1">
              <w:r w:rsidRPr="00E70A11">
                <w:rPr>
                  <w:rStyle w:val="Hyperlink"/>
                  <w:rFonts w:ascii="Arial Narrow" w:hAnsi="Arial Narrow"/>
                  <w:sz w:val="18"/>
                  <w:szCs w:val="18"/>
                </w:rPr>
                <w:t>Distribution and abundance of dugong and large marine turtles in Moreton Bay, Hervey Bay and the southern Great Barrier Reef.</w:t>
              </w:r>
            </w:hyperlink>
            <w:r w:rsidRPr="00E70A11">
              <w:rPr>
                <w:rFonts w:ascii="Arial Narrow" w:hAnsi="Arial Narrow"/>
                <w:sz w:val="18"/>
                <w:szCs w:val="18"/>
              </w:rPr>
              <w:t xml:space="preserve"> </w:t>
            </w:r>
          </w:p>
          <w:p w14:paraId="5761EE73"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39" w:history="1">
              <w:r w:rsidR="00A56EE9" w:rsidRPr="00E70A11">
                <w:rPr>
                  <w:rStyle w:val="Hyperlink"/>
                  <w:rFonts w:ascii="Arial Narrow" w:hAnsi="Arial Narrow"/>
                  <w:sz w:val="18"/>
                  <w:szCs w:val="18"/>
                </w:rPr>
                <w:t>Reef 2050 Long-term sustainability plan</w:t>
              </w:r>
            </w:hyperlink>
          </w:p>
          <w:p w14:paraId="5761EE74"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640" w:history="1">
              <w:r w:rsidR="00A56EE9" w:rsidRPr="00E70A11">
                <w:rPr>
                  <w:rStyle w:val="Hyperlink"/>
                  <w:rFonts w:ascii="Arial Narrow" w:hAnsi="Arial Narrow"/>
                  <w:sz w:val="18"/>
                  <w:szCs w:val="18"/>
                </w:rPr>
                <w:t>GBRMPA Annual Report 2015-16</w:t>
              </w:r>
            </w:hyperlink>
          </w:p>
        </w:tc>
        <w:tc>
          <w:tcPr>
            <w:tcW w:w="976" w:type="dxa"/>
            <w:tcBorders>
              <w:top w:val="single" w:sz="4" w:space="0" w:color="auto"/>
              <w:left w:val="single" w:sz="4" w:space="0" w:color="auto"/>
              <w:bottom w:val="single" w:sz="4" w:space="0" w:color="auto"/>
              <w:right w:val="single" w:sz="4" w:space="0" w:color="auto"/>
            </w:tcBorders>
          </w:tcPr>
          <w:p w14:paraId="5761EE75"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76"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81"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78"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defence activities</w:t>
            </w:r>
          </w:p>
        </w:tc>
        <w:tc>
          <w:tcPr>
            <w:tcW w:w="739" w:type="dxa"/>
            <w:tcBorders>
              <w:top w:val="single" w:sz="4" w:space="0" w:color="auto"/>
              <w:left w:val="single" w:sz="4" w:space="0" w:color="auto"/>
              <w:bottom w:val="single" w:sz="4" w:space="0" w:color="auto"/>
              <w:right w:val="single" w:sz="4" w:space="0" w:color="auto"/>
            </w:tcBorders>
          </w:tcPr>
          <w:p w14:paraId="5761EE79"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7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iCs/>
                <w:sz w:val="18"/>
                <w:szCs w:val="18"/>
              </w:rPr>
              <w:t>Some socio-economic data is available pertaining to the value of a Defence presence to local communities (e.g. KPMG Ref 202). Managers may find it challenging to compare socio-economic data such as the total economic value of defence use of the GBR with, for example, tourism, fishing, or shipping – because most of the economic data is either not collected or the Defence economic effect is diffuse across the wider Australian economy. To the extent that it is relevant to making decisions about Defence activities it is considered that the information available (such as it is) remains adequate and relevant. (See also IN5 above).</w:t>
            </w:r>
            <w:r>
              <w:rPr>
                <w:rFonts w:ascii="Arial Narrow" w:hAnsi="Arial Narrow"/>
                <w:iCs/>
                <w:sz w:val="18"/>
                <w:szCs w:val="18"/>
              </w:rPr>
              <w:t xml:space="preserve"> </w:t>
            </w:r>
          </w:p>
          <w:p w14:paraId="5761EE7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A Senate Inquiry interim report – “Impact of Defence training activities and facilities on rural and regional communities” and submissions by GBRMPA, Defence and other organisations associated with the GBR Region document some aspects of socio-economic issues arising from the Defence presence and use of the GBR </w:t>
            </w:r>
          </w:p>
        </w:tc>
        <w:tc>
          <w:tcPr>
            <w:tcW w:w="5326" w:type="dxa"/>
            <w:tcBorders>
              <w:top w:val="single" w:sz="4" w:space="0" w:color="auto"/>
              <w:left w:val="single" w:sz="4" w:space="0" w:color="auto"/>
              <w:bottom w:val="single" w:sz="4" w:space="0" w:color="auto"/>
              <w:right w:val="single" w:sz="4" w:space="0" w:color="auto"/>
            </w:tcBorders>
          </w:tcPr>
          <w:p w14:paraId="5761EE7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EE7D"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Fonts w:ascii="Arial Narrow" w:hAnsi="Arial Narrow"/>
                <w:sz w:val="18"/>
                <w:szCs w:val="18"/>
              </w:rPr>
              <w:t xml:space="preserve">Senate Inquiry: </w:t>
            </w:r>
            <w:hyperlink r:id="rId641" w:history="1">
              <w:r w:rsidRPr="00E70A11">
                <w:rPr>
                  <w:rStyle w:val="Hyperlink"/>
                  <w:rFonts w:ascii="Arial Narrow" w:hAnsi="Arial Narrow"/>
                  <w:sz w:val="18"/>
                  <w:szCs w:val="18"/>
                  <w:lang w:val="en"/>
                </w:rPr>
                <w:t>Impact of Defence training activities and facilities on rural and regional communities</w:t>
              </w:r>
            </w:hyperlink>
          </w:p>
          <w:p w14:paraId="5761EE7E"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u w:val="single"/>
              </w:rPr>
            </w:pPr>
            <w:hyperlink r:id="rId642" w:history="1">
              <w:r w:rsidR="00A56EE9" w:rsidRPr="00E70A11">
                <w:rPr>
                  <w:rStyle w:val="Hyperlink"/>
                  <w:rFonts w:ascii="Arial Narrow" w:hAnsi="Arial Narrow"/>
                  <w:sz w:val="18"/>
                  <w:szCs w:val="18"/>
                </w:rPr>
                <w:t>ASTMI overview</w:t>
              </w:r>
            </w:hyperlink>
            <w:r w:rsidR="00A56EE9" w:rsidRPr="00E70A11">
              <w:rPr>
                <w:rFonts w:ascii="Arial Narrow" w:hAnsi="Arial Narrow"/>
                <w:sz w:val="18"/>
                <w:szCs w:val="18"/>
              </w:rPr>
              <w:t xml:space="preserve"> webpage</w:t>
            </w:r>
          </w:p>
        </w:tc>
        <w:tc>
          <w:tcPr>
            <w:tcW w:w="976" w:type="dxa"/>
            <w:tcBorders>
              <w:top w:val="single" w:sz="4" w:space="0" w:color="auto"/>
              <w:left w:val="single" w:sz="4" w:space="0" w:color="auto"/>
              <w:bottom w:val="single" w:sz="4" w:space="0" w:color="auto"/>
              <w:right w:val="single" w:sz="4" w:space="0" w:color="auto"/>
            </w:tcBorders>
          </w:tcPr>
          <w:p w14:paraId="5761EE7F"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80"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90"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82"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defence activities</w:t>
            </w:r>
          </w:p>
        </w:tc>
        <w:tc>
          <w:tcPr>
            <w:tcW w:w="739" w:type="dxa"/>
            <w:tcBorders>
              <w:top w:val="single" w:sz="4" w:space="0" w:color="auto"/>
              <w:left w:val="single" w:sz="4" w:space="0" w:color="auto"/>
              <w:bottom w:val="single" w:sz="4" w:space="0" w:color="auto"/>
              <w:right w:val="single" w:sz="4" w:space="0" w:color="auto"/>
            </w:tcBorders>
          </w:tcPr>
          <w:p w14:paraId="5761EE83"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8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Managers advise that where information is available about indigenous heritage it is used to guide management decisions – but information is sometimes limited.</w:t>
            </w:r>
          </w:p>
          <w:p w14:paraId="5761EE8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also advises that it routinely engages with indigenous communities, native title holders and traditional owners on matters relating to the Defence estate with further consultation in advance of larger scale activities such as the Talisman Saber series of exercises or facilities development projects on training areas. </w:t>
            </w:r>
          </w:p>
          <w:p w14:paraId="5761EE8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follows a comprehensive suite of guidance documents in order to ensure heritage values are respected in decision making. </w:t>
            </w:r>
          </w:p>
          <w:p w14:paraId="5761EE8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Some new strategies have been developed for Defence estate management </w:t>
            </w:r>
          </w:p>
        </w:tc>
        <w:tc>
          <w:tcPr>
            <w:tcW w:w="5326" w:type="dxa"/>
            <w:tcBorders>
              <w:top w:val="single" w:sz="4" w:space="0" w:color="auto"/>
              <w:left w:val="single" w:sz="4" w:space="0" w:color="auto"/>
              <w:bottom w:val="single" w:sz="4" w:space="0" w:color="auto"/>
              <w:right w:val="single" w:sz="4" w:space="0" w:color="auto"/>
            </w:tcBorders>
          </w:tcPr>
          <w:p w14:paraId="5761EE8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43" w:history="1">
              <w:r w:rsidR="00A56EE9" w:rsidRPr="00E70A11">
                <w:rPr>
                  <w:rStyle w:val="Hyperlink"/>
                  <w:rFonts w:ascii="Arial Narrow" w:hAnsi="Arial Narrow"/>
                  <w:sz w:val="18"/>
                  <w:szCs w:val="18"/>
                </w:rPr>
                <w:t>Ask First: a guide to respecting Indigenous heritage places and values</w:t>
              </w:r>
            </w:hyperlink>
            <w:r w:rsidR="00A56EE9" w:rsidRPr="00E70A11">
              <w:rPr>
                <w:rFonts w:ascii="Arial Narrow" w:hAnsi="Arial Narrow"/>
                <w:sz w:val="18"/>
                <w:szCs w:val="18"/>
              </w:rPr>
              <w:t xml:space="preserve"> </w:t>
            </w:r>
          </w:p>
          <w:p w14:paraId="5761EE8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44" w:history="1">
              <w:r w:rsidR="00A56EE9" w:rsidRPr="00E70A11">
                <w:rPr>
                  <w:rStyle w:val="Hyperlink"/>
                  <w:rFonts w:ascii="Arial Narrow" w:hAnsi="Arial Narrow"/>
                  <w:sz w:val="18"/>
                  <w:szCs w:val="18"/>
                </w:rPr>
                <w:t>Burra Charter</w:t>
              </w:r>
            </w:hyperlink>
            <w:r w:rsidR="00A56EE9" w:rsidRPr="00E70A11">
              <w:rPr>
                <w:rFonts w:ascii="Arial Narrow" w:hAnsi="Arial Narrow"/>
                <w:sz w:val="18"/>
                <w:szCs w:val="18"/>
              </w:rPr>
              <w:t xml:space="preserve"> </w:t>
            </w:r>
          </w:p>
          <w:p w14:paraId="5761EE8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45" w:history="1">
              <w:r w:rsidR="00A56EE9" w:rsidRPr="00E70A11">
                <w:rPr>
                  <w:rStyle w:val="Hyperlink"/>
                  <w:rFonts w:ascii="Arial Narrow" w:hAnsi="Arial Narrow"/>
                  <w:sz w:val="18"/>
                  <w:szCs w:val="18"/>
                </w:rPr>
                <w:t>Defence Heritage Toolkit</w:t>
              </w:r>
            </w:hyperlink>
            <w:r w:rsidR="00A56EE9" w:rsidRPr="00E70A11">
              <w:rPr>
                <w:rFonts w:ascii="Arial Narrow" w:hAnsi="Arial Narrow"/>
                <w:sz w:val="18"/>
                <w:szCs w:val="18"/>
              </w:rPr>
              <w:t xml:space="preserve"> </w:t>
            </w:r>
          </w:p>
          <w:p w14:paraId="5761EE8B"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646" w:history="1">
              <w:r w:rsidR="00A56EE9" w:rsidRPr="00E70A11">
                <w:rPr>
                  <w:rStyle w:val="Hyperlink"/>
                  <w:rFonts w:ascii="Arial Narrow" w:hAnsi="Arial Narrow"/>
                  <w:sz w:val="18"/>
                  <w:szCs w:val="18"/>
                </w:rPr>
                <w:t>Defence Estate Heritage Strategy</w:t>
              </w:r>
            </w:hyperlink>
          </w:p>
          <w:p w14:paraId="5761EE8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47" w:history="1">
              <w:r w:rsidR="00A56EE9" w:rsidRPr="00E70A11">
                <w:rPr>
                  <w:rStyle w:val="Hyperlink"/>
                  <w:rFonts w:ascii="Arial Narrow" w:hAnsi="Arial Narrow"/>
                  <w:sz w:val="18"/>
                  <w:szCs w:val="18"/>
                </w:rPr>
                <w:t>Defence Estate Strategy 2016-2036</w:t>
              </w:r>
            </w:hyperlink>
          </w:p>
          <w:p w14:paraId="5761EE8D" w14:textId="77777777" w:rsidR="00A56EE9" w:rsidRPr="00E70A11" w:rsidRDefault="00A56EE9" w:rsidP="00BB6AD5">
            <w:pPr>
              <w:pStyle w:val="ListParagraph"/>
              <w:ind w:left="360"/>
              <w:rPr>
                <w:rStyle w:val="BookTitle"/>
                <w:rFonts w:ascii="Arial Narrow" w:hAnsi="Arial Narrow"/>
                <w:sz w:val="18"/>
                <w:szCs w:val="18"/>
                <w:u w:val="single"/>
              </w:rPr>
            </w:pPr>
          </w:p>
        </w:tc>
        <w:tc>
          <w:tcPr>
            <w:tcW w:w="976" w:type="dxa"/>
            <w:tcBorders>
              <w:top w:val="single" w:sz="4" w:space="0" w:color="auto"/>
              <w:left w:val="single" w:sz="4" w:space="0" w:color="auto"/>
              <w:bottom w:val="single" w:sz="4" w:space="0" w:color="auto"/>
              <w:right w:val="single" w:sz="4" w:space="0" w:color="auto"/>
            </w:tcBorders>
          </w:tcPr>
          <w:p w14:paraId="5761EE8E"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8F"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9C"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91"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defence activities</w:t>
            </w:r>
          </w:p>
        </w:tc>
        <w:tc>
          <w:tcPr>
            <w:tcW w:w="739" w:type="dxa"/>
            <w:tcBorders>
              <w:top w:val="single" w:sz="4" w:space="0" w:color="auto"/>
              <w:left w:val="single" w:sz="4" w:space="0" w:color="auto"/>
              <w:bottom w:val="single" w:sz="4" w:space="0" w:color="auto"/>
              <w:right w:val="single" w:sz="4" w:space="0" w:color="auto"/>
            </w:tcBorders>
          </w:tcPr>
          <w:p w14:paraId="5761EE92"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9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Where information is available about historic heritage it is used to guide management decisions but information is sometimes limited</w:t>
            </w:r>
          </w:p>
          <w:p w14:paraId="5761EE9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u w:val="single"/>
              </w:rPr>
            </w:pPr>
            <w:r w:rsidRPr="00E70A11">
              <w:rPr>
                <w:rFonts w:ascii="Arial Narrow" w:hAnsi="Arial Narrow"/>
                <w:sz w:val="18"/>
                <w:szCs w:val="18"/>
              </w:rPr>
              <w:t xml:space="preserve">Defence has follows a comprehensive suite of guidance documents in order to ensure heritage values are respected in decision making </w:t>
            </w:r>
          </w:p>
        </w:tc>
        <w:tc>
          <w:tcPr>
            <w:tcW w:w="5326" w:type="dxa"/>
            <w:tcBorders>
              <w:top w:val="single" w:sz="4" w:space="0" w:color="auto"/>
              <w:left w:val="single" w:sz="4" w:space="0" w:color="auto"/>
              <w:bottom w:val="single" w:sz="4" w:space="0" w:color="auto"/>
              <w:right w:val="single" w:sz="4" w:space="0" w:color="auto"/>
            </w:tcBorders>
          </w:tcPr>
          <w:p w14:paraId="5761EE95"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48" w:history="1">
              <w:r w:rsidR="00A56EE9" w:rsidRPr="00E70A11">
                <w:rPr>
                  <w:rStyle w:val="Hyperlink"/>
                  <w:rFonts w:ascii="Arial Narrow" w:hAnsi="Arial Narrow"/>
                  <w:sz w:val="18"/>
                  <w:szCs w:val="18"/>
                </w:rPr>
                <w:t>Burra Charter</w:t>
              </w:r>
            </w:hyperlink>
            <w:r w:rsidR="00A56EE9" w:rsidRPr="00E70A11">
              <w:rPr>
                <w:rFonts w:ascii="Arial Narrow" w:hAnsi="Arial Narrow"/>
                <w:sz w:val="18"/>
                <w:szCs w:val="18"/>
              </w:rPr>
              <w:t xml:space="preserve"> </w:t>
            </w:r>
          </w:p>
          <w:p w14:paraId="5761EE9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49" w:history="1">
              <w:r w:rsidR="00A56EE9" w:rsidRPr="00E70A11">
                <w:rPr>
                  <w:rStyle w:val="Hyperlink"/>
                  <w:rFonts w:ascii="Arial Narrow" w:hAnsi="Arial Narrow"/>
                  <w:sz w:val="18"/>
                  <w:szCs w:val="18"/>
                </w:rPr>
                <w:t>Defence Heritage Toolkit</w:t>
              </w:r>
            </w:hyperlink>
            <w:r w:rsidR="00A56EE9" w:rsidRPr="00E70A11">
              <w:rPr>
                <w:rFonts w:ascii="Arial Narrow" w:hAnsi="Arial Narrow"/>
                <w:sz w:val="18"/>
                <w:szCs w:val="18"/>
              </w:rPr>
              <w:t xml:space="preserve"> </w:t>
            </w:r>
          </w:p>
          <w:p w14:paraId="5761EE97"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650" w:history="1">
              <w:r w:rsidR="00A56EE9" w:rsidRPr="00E70A11">
                <w:rPr>
                  <w:rStyle w:val="Hyperlink"/>
                  <w:rFonts w:ascii="Arial Narrow" w:hAnsi="Arial Narrow"/>
                  <w:sz w:val="18"/>
                  <w:szCs w:val="18"/>
                </w:rPr>
                <w:t>Defence Estate Heritage Strategy</w:t>
              </w:r>
            </w:hyperlink>
          </w:p>
          <w:p w14:paraId="5761EE9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51" w:history="1">
              <w:r w:rsidR="00A56EE9" w:rsidRPr="00E70A11">
                <w:rPr>
                  <w:rStyle w:val="Hyperlink"/>
                  <w:rFonts w:ascii="Arial Narrow" w:hAnsi="Arial Narrow"/>
                  <w:sz w:val="18"/>
                  <w:szCs w:val="18"/>
                </w:rPr>
                <w:t>Defence Estate Strategy 2016-2036</w:t>
              </w:r>
            </w:hyperlink>
          </w:p>
          <w:p w14:paraId="5761EE99" w14:textId="77777777" w:rsidR="00A56EE9" w:rsidRPr="00E70A11" w:rsidRDefault="00A56EE9" w:rsidP="00BB6AD5">
            <w:pPr>
              <w:pStyle w:val="ListParagraph"/>
              <w:ind w:left="360"/>
              <w:rPr>
                <w:rStyle w:val="BookTitle"/>
                <w:rFonts w:ascii="Arial Narrow" w:hAnsi="Arial Narrow"/>
                <w:sz w:val="18"/>
                <w:szCs w:val="18"/>
                <w:u w:val="single"/>
              </w:rPr>
            </w:pPr>
          </w:p>
        </w:tc>
        <w:tc>
          <w:tcPr>
            <w:tcW w:w="976" w:type="dxa"/>
            <w:tcBorders>
              <w:top w:val="single" w:sz="4" w:space="0" w:color="auto"/>
              <w:left w:val="single" w:sz="4" w:space="0" w:color="auto"/>
              <w:bottom w:val="single" w:sz="4" w:space="0" w:color="auto"/>
              <w:right w:val="single" w:sz="4" w:space="0" w:color="auto"/>
            </w:tcBorders>
          </w:tcPr>
          <w:p w14:paraId="5761EE9A"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9B"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AB"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shd w:val="clear" w:color="auto" w:fill="auto"/>
          </w:tcPr>
          <w:p w14:paraId="5761EE9D"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defence activities</w:t>
            </w:r>
          </w:p>
        </w:tc>
        <w:tc>
          <w:tcPr>
            <w:tcW w:w="739" w:type="dxa"/>
            <w:tcBorders>
              <w:top w:val="single" w:sz="4" w:space="0" w:color="auto"/>
              <w:left w:val="single" w:sz="4" w:space="0" w:color="auto"/>
              <w:bottom w:val="single" w:sz="4" w:space="0" w:color="auto"/>
              <w:right w:val="single" w:sz="4" w:space="0" w:color="auto"/>
            </w:tcBorders>
          </w:tcPr>
          <w:p w14:paraId="5761EE9E"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9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Objectives for performance are outlined in various doctrine including the GBRMPA/Defence MOU.</w:t>
            </w:r>
            <w:r>
              <w:rPr>
                <w:rFonts w:ascii="Arial Narrow" w:hAnsi="Arial Narrow"/>
                <w:sz w:val="18"/>
                <w:szCs w:val="18"/>
              </w:rPr>
              <w:t xml:space="preserve"> </w:t>
            </w:r>
            <w:r w:rsidRPr="00E70A11">
              <w:rPr>
                <w:rFonts w:ascii="Arial Narrow" w:hAnsi="Arial Narrow"/>
                <w:sz w:val="18"/>
                <w:szCs w:val="18"/>
              </w:rPr>
              <w:t xml:space="preserve">At the higher levels e.g. the major exercise program, it has comprehensive environmental monitoring in place with very few incidents reported pointing to high standards continuing to be met for environmental management. </w:t>
            </w:r>
          </w:p>
          <w:p w14:paraId="5761EEA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Some monitoring and evaluation of potential cumulative impacts is also occurring e.g. seagrass cover in SWBTA and water quality inputs to GBR</w:t>
            </w:r>
          </w:p>
          <w:p w14:paraId="5761EEA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Range Standing Orders and the Defence environmental impact assessment and management framework are consistently applied.</w:t>
            </w:r>
          </w:p>
          <w:p w14:paraId="5761EEA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Authority considers Defence activities within the GBRMP as/when required in accordance with regulations and the zoning plan.</w:t>
            </w:r>
            <w:r>
              <w:rPr>
                <w:rFonts w:ascii="Arial Narrow" w:hAnsi="Arial Narrow"/>
                <w:sz w:val="18"/>
                <w:szCs w:val="18"/>
              </w:rPr>
              <w:t xml:space="preserve"> </w:t>
            </w:r>
            <w:r w:rsidRPr="00E70A11">
              <w:rPr>
                <w:rFonts w:ascii="Arial Narrow" w:hAnsi="Arial Narrow"/>
                <w:sz w:val="18"/>
                <w:szCs w:val="18"/>
              </w:rPr>
              <w:t>Managers advise that any directions issued are complied with which suggests an effective approach.</w:t>
            </w:r>
          </w:p>
          <w:p w14:paraId="5761EEA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Underwater explosions can cause adverse behavioural effects on sensitive marine fauna (e.g. turtles, dugongs and dolphins) (Ref 32).</w:t>
            </w:r>
            <w:r>
              <w:rPr>
                <w:rFonts w:ascii="Arial Narrow" w:hAnsi="Arial Narrow"/>
                <w:sz w:val="18"/>
                <w:szCs w:val="18"/>
              </w:rPr>
              <w:t xml:space="preserve"> </w:t>
            </w:r>
            <w:r w:rsidRPr="00E70A11">
              <w:rPr>
                <w:rFonts w:ascii="Arial Narrow" w:hAnsi="Arial Narrow"/>
                <w:sz w:val="18"/>
                <w:szCs w:val="18"/>
              </w:rPr>
              <w:t xml:space="preserve">Studies have been conducted and specific environmental risk management procedures are in place to manage underwater demolitions training at Triangular Island. </w:t>
            </w:r>
          </w:p>
          <w:p w14:paraId="5761EEA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Specific environmental risk management procedures are in place with a particular focus on dugongs and turtles. A need for further research has been identified for inshore dolphins however it is expected that they will be given similar level of protection as dugongs and turtles. </w:t>
            </w:r>
          </w:p>
          <w:p w14:paraId="5761EEA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Defence has evaluated potential risks of noise and adheres to a comprehensive suite of environmental mitigation controls (for all acoustic sources including explosives, sonar, underwater communications, acoustic influence minesweeping gear etc), supported by research to better understand and characterise underwater acoustic propagation and the possible effects upon sensitive marine fauna. </w:t>
            </w:r>
          </w:p>
        </w:tc>
        <w:tc>
          <w:tcPr>
            <w:tcW w:w="5326" w:type="dxa"/>
            <w:tcBorders>
              <w:top w:val="single" w:sz="4" w:space="0" w:color="auto"/>
              <w:left w:val="single" w:sz="4" w:space="0" w:color="auto"/>
              <w:bottom w:val="single" w:sz="4" w:space="0" w:color="auto"/>
              <w:right w:val="single" w:sz="4" w:space="0" w:color="auto"/>
            </w:tcBorders>
          </w:tcPr>
          <w:p w14:paraId="5761EEA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GBRMPA/Defence </w:t>
            </w:r>
            <w:hyperlink r:id="rId652" w:history="1">
              <w:r w:rsidRPr="00E70A11">
                <w:rPr>
                  <w:rStyle w:val="Hyperlink"/>
                  <w:rFonts w:ascii="Arial Narrow" w:hAnsi="Arial Narrow"/>
                  <w:sz w:val="18"/>
                  <w:szCs w:val="18"/>
                </w:rPr>
                <w:t>Management Agreement 2012-2016</w:t>
              </w:r>
            </w:hyperlink>
          </w:p>
          <w:p w14:paraId="5761EEA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Southall etal 2009, US Interagency Task Force Study on Anthropogenic Sound and the Marine Environment </w:t>
            </w:r>
          </w:p>
          <w:p w14:paraId="5761EEA8" w14:textId="77777777" w:rsidR="00A56EE9" w:rsidRPr="00E70A11" w:rsidRDefault="00A56EE9" w:rsidP="00BB6AD5">
            <w:pPr>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EA9"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AA"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B9"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AC"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Targets have been established to benchmark management performance for defence activities</w:t>
            </w:r>
          </w:p>
        </w:tc>
        <w:tc>
          <w:tcPr>
            <w:tcW w:w="739" w:type="dxa"/>
            <w:tcBorders>
              <w:top w:val="single" w:sz="4" w:space="0" w:color="auto"/>
              <w:left w:val="single" w:sz="4" w:space="0" w:color="auto"/>
              <w:bottom w:val="single" w:sz="4" w:space="0" w:color="auto"/>
              <w:right w:val="single" w:sz="4" w:space="0" w:color="auto"/>
            </w:tcBorders>
          </w:tcPr>
          <w:p w14:paraId="5761EEAD"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EA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Managers advise that GBRMPA evaluation of Defence performance is generally issues-driven rather than formally measured against specific targets. This is considered appropriate for the majority of activities defence might undertake though consideration of some objectives and targets for addressing potential cumulative impacts might enhance overall effectiveness. </w:t>
            </w:r>
          </w:p>
          <w:p w14:paraId="5761EEAF"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rPr>
              <w:t>The Environmental Clearance Certificates for Defence activities generally set some performance indicators and outline reporting responsibilities. GBRMPA does not have an ecosystem wide approach to target setting within areas managed for Defence use (e.g. seagrass cover maintained at X% by 2020).</w:t>
            </w:r>
          </w:p>
          <w:p w14:paraId="5761EEB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Updated GBRMPA/Defence MOU refers to environmental performance reporting, but there are no specific targets mentioned </w:t>
            </w:r>
          </w:p>
          <w:p w14:paraId="5761EEB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Notwithstanding the potential management benefit of ecosystem-based targets (such as seagrass % cover), the distribution of seagrass in Shoalwater Bay is subject to natural fluctuation in distribution in response to events such as floods and cyclones. Defence activities are usually very geographically restricted but potentially of high intensity at those locations where they do occur. Range Standing Orders seek to mitigate the impact of these activities by prescribing times, locations and the nature of activities that can be undertaken. Many of the environmental impacts that may occur within Shoalwater Bay marine environments are buffered by the good quality catchment of the training area but still subject to external influences caused by agricultural runoff from adjacent catchments in addition to other external influences such as water temperature and extreme weather events.</w:t>
            </w:r>
          </w:p>
          <w:p w14:paraId="5761EEB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Practicable targets for Defence activities would most appropriately relate to compliance with Range Standing Orders (RSO) and the maximum footprint of disturbance for locations where activities are permitted under RSO</w:t>
            </w:r>
          </w:p>
          <w:p w14:paraId="5761EEB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 defence estate water strategy contains broad goals for water use efficiency </w:t>
            </w:r>
          </w:p>
        </w:tc>
        <w:tc>
          <w:tcPr>
            <w:tcW w:w="5326" w:type="dxa"/>
            <w:tcBorders>
              <w:top w:val="single" w:sz="4" w:space="0" w:color="auto"/>
              <w:left w:val="single" w:sz="4" w:space="0" w:color="auto"/>
              <w:bottom w:val="single" w:sz="4" w:space="0" w:color="auto"/>
              <w:right w:val="single" w:sz="4" w:space="0" w:color="auto"/>
            </w:tcBorders>
          </w:tcPr>
          <w:p w14:paraId="5761EEB4"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rPr>
              <w:t xml:space="preserve"> </w:t>
            </w:r>
            <w:hyperlink r:id="rId653" w:history="1">
              <w:r w:rsidRPr="00E70A11">
                <w:rPr>
                  <w:rStyle w:val="Hyperlink"/>
                  <w:rFonts w:ascii="Arial Narrow" w:hAnsi="Arial Narrow"/>
                  <w:sz w:val="18"/>
                  <w:szCs w:val="18"/>
                  <w:lang w:val="en"/>
                </w:rPr>
                <w:t>MOU 2016-2020 between Defence and GBRMPA on Management of Defence Activities in the GBRMP Region</w:t>
              </w:r>
            </w:hyperlink>
            <w:r w:rsidRPr="00E70A11">
              <w:rPr>
                <w:rFonts w:ascii="Arial Narrow" w:hAnsi="Arial Narrow"/>
                <w:sz w:val="18"/>
                <w:szCs w:val="18"/>
              </w:rPr>
              <w:t>, e.g. section 7</w:t>
            </w:r>
          </w:p>
          <w:p w14:paraId="5761EEB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w:t>
            </w:r>
            <w:hyperlink r:id="rId654" w:history="1">
              <w:r w:rsidRPr="00E70A11">
                <w:rPr>
                  <w:rStyle w:val="Hyperlink"/>
                  <w:rFonts w:ascii="Arial Narrow" w:hAnsi="Arial Narrow"/>
                  <w:sz w:val="18"/>
                  <w:szCs w:val="18"/>
                </w:rPr>
                <w:t>Defence Estate Water Strategy 2014-2019</w:t>
              </w:r>
            </w:hyperlink>
          </w:p>
          <w:p w14:paraId="5761EEB6"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EB7"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B8" w14:textId="77777777" w:rsidR="00A56EE9" w:rsidRPr="00E70A11" w:rsidRDefault="00A56EE9" w:rsidP="00BB6AD5">
            <w:pPr>
              <w:pStyle w:val="Tablebulletlist"/>
              <w:rPr>
                <w:rStyle w:val="BookTitle"/>
              </w:rPr>
            </w:pPr>
            <w:r w:rsidRPr="00E70A11">
              <w:rPr>
                <w:rStyle w:val="BookTitle"/>
                <w:color w:val="000000" w:themeColor="text1"/>
              </w:rPr>
              <w:t xml:space="preserve">Improving </w:t>
            </w:r>
          </w:p>
        </w:tc>
      </w:tr>
      <w:tr w:rsidR="00A56EE9" w:rsidRPr="00E70A11" w14:paraId="5761EEC0"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EBA" w14:textId="77777777" w:rsidR="00A56EE9" w:rsidRPr="00E70A11" w:rsidRDefault="00A56EE9" w:rsidP="00BB6AD5">
            <w:pPr>
              <w:pStyle w:val="Tablebulletlist"/>
              <w:rPr>
                <w:rStyle w:val="BookTitle"/>
              </w:rPr>
            </w:pPr>
            <w:r w:rsidRPr="00E70A11">
              <w:rPr>
                <w:rStyle w:val="BookTitle"/>
              </w:rPr>
              <w:t>OUTPUTS</w:t>
            </w:r>
          </w:p>
        </w:tc>
        <w:tc>
          <w:tcPr>
            <w:tcW w:w="73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EBB" w14:textId="77777777" w:rsidR="00A56EE9" w:rsidRPr="00E70A11" w:rsidRDefault="00A56EE9" w:rsidP="00BB6AD5">
            <w:pPr>
              <w:pStyle w:val="Tablebulletlist"/>
              <w:rPr>
                <w:rStyle w:val="BookTitle"/>
              </w:rPr>
            </w:pPr>
          </w:p>
        </w:tc>
        <w:tc>
          <w:tcPr>
            <w:tcW w:w="458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EBC" w14:textId="77777777" w:rsidR="00A56EE9" w:rsidRPr="00E70A11" w:rsidRDefault="00A56EE9" w:rsidP="00BB6AD5">
            <w:pPr>
              <w:pStyle w:val="ListParagraph"/>
              <w:ind w:left="360"/>
              <w:rPr>
                <w:rStyle w:val="BookTitle"/>
                <w:rFonts w:ascii="Arial Narrow" w:hAnsi="Arial Narrow"/>
                <w:sz w:val="18"/>
                <w:szCs w:val="18"/>
              </w:rPr>
            </w:pPr>
          </w:p>
        </w:tc>
        <w:tc>
          <w:tcPr>
            <w:tcW w:w="532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EBD"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EBE"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EBF" w14:textId="77777777" w:rsidR="00A56EE9" w:rsidRPr="00E70A11" w:rsidRDefault="00A56EE9" w:rsidP="00BB6AD5">
            <w:pPr>
              <w:pStyle w:val="Tablebulletlist"/>
              <w:rPr>
                <w:rStyle w:val="BookTitle"/>
              </w:rPr>
            </w:pPr>
          </w:p>
        </w:tc>
      </w:tr>
      <w:tr w:rsidR="00A56EE9" w:rsidRPr="00E70A11" w14:paraId="5761EEDC"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C1"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defence activities </w:t>
            </w:r>
          </w:p>
        </w:tc>
        <w:tc>
          <w:tcPr>
            <w:tcW w:w="739" w:type="dxa"/>
            <w:tcBorders>
              <w:top w:val="single" w:sz="4" w:space="0" w:color="auto"/>
              <w:left w:val="single" w:sz="4" w:space="0" w:color="auto"/>
              <w:bottom w:val="single" w:sz="4" w:space="0" w:color="auto"/>
              <w:right w:val="single" w:sz="4" w:space="0" w:color="auto"/>
            </w:tcBorders>
          </w:tcPr>
          <w:p w14:paraId="5761EEC2"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C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managers advise that there have been some measures of effectiveness in past exercises through the reporting framework.</w:t>
            </w:r>
            <w:r>
              <w:rPr>
                <w:rFonts w:ascii="Arial Narrow" w:hAnsi="Arial Narrow"/>
                <w:sz w:val="18"/>
                <w:szCs w:val="18"/>
              </w:rPr>
              <w:t xml:space="preserve"> </w:t>
            </w:r>
            <w:r w:rsidRPr="00E70A11">
              <w:rPr>
                <w:rFonts w:ascii="Arial Narrow" w:hAnsi="Arial Narrow"/>
                <w:sz w:val="18"/>
                <w:szCs w:val="18"/>
              </w:rPr>
              <w:t>These reports are generally qualitative and adverse effects are reported as exceptions, usually where an incident has occurred.</w:t>
            </w:r>
            <w:r>
              <w:rPr>
                <w:rFonts w:ascii="Arial Narrow" w:hAnsi="Arial Narrow"/>
                <w:sz w:val="18"/>
                <w:szCs w:val="18"/>
              </w:rPr>
              <w:t xml:space="preserve"> </w:t>
            </w:r>
            <w:r w:rsidRPr="00E70A11">
              <w:rPr>
                <w:rFonts w:ascii="Arial Narrow" w:hAnsi="Arial Narrow"/>
                <w:sz w:val="18"/>
                <w:szCs w:val="18"/>
              </w:rPr>
              <w:t>Cumulative impacts are difficult to quantify as no KPIs have been identified and agreed.</w:t>
            </w:r>
          </w:p>
          <w:p w14:paraId="5761EEC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management ‘program’ effectively revolves around the major exercise planning cycle which serves as a major driver for management.</w:t>
            </w:r>
          </w:p>
          <w:p w14:paraId="5761EEC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Environment outputs attributable to Defence use are good/excellent and overall show minimal pressure on marine environment, e.g. in catchments.</w:t>
            </w:r>
          </w:p>
          <w:p w14:paraId="5761EEC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is generally perceived as a good steward of the environment although there are some local concerns e.g. regarding exclusive use of areas</w:t>
            </w:r>
          </w:p>
          <w:p w14:paraId="5761EEC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has historically been responsive to community concerns and scientific evidence, e.g. aerial bombardment no longer occurs at Halifax Bay close to Townsville. Munitions used in training have lower explosive yields and are use of explosive ordnance is directed to locations where they will land in water or on the shore.</w:t>
            </w:r>
            <w:r>
              <w:rPr>
                <w:rFonts w:ascii="Arial Narrow" w:hAnsi="Arial Narrow"/>
                <w:sz w:val="18"/>
                <w:szCs w:val="18"/>
              </w:rPr>
              <w:t xml:space="preserve"> </w:t>
            </w:r>
            <w:r w:rsidRPr="00E70A11">
              <w:rPr>
                <w:rFonts w:ascii="Arial Narrow" w:hAnsi="Arial Narrow"/>
                <w:sz w:val="18"/>
                <w:szCs w:val="18"/>
              </w:rPr>
              <w:t>Activities are being less disruptive to shorebirds and the marine environment. Refer to 2016 Defence-GBRMPA annual meeting (Ref 86):</w:t>
            </w:r>
          </w:p>
          <w:p w14:paraId="5761EEC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Army took over management of Halifax Bay training range from RAAF in 2015 and will use the islands and beaches for: </w:t>
            </w:r>
          </w:p>
          <w:p w14:paraId="5761EEC9"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Army watercraft and small boat training</w:t>
            </w:r>
          </w:p>
          <w:p w14:paraId="5761EECA"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Amphibious ready group procedural training</w:t>
            </w:r>
          </w:p>
          <w:p w14:paraId="5761EECB"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Pre-landing force training</w:t>
            </w:r>
          </w:p>
          <w:p w14:paraId="5761EECC"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Amphibious beach assault</w:t>
            </w:r>
          </w:p>
          <w:p w14:paraId="5761EEC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equipment and training is being used ‘smarter’ to reduce environmental risks e.g. LHD Landing Craft (LLC) can modify beach profiles and use adaptive management and prohibition of use in certain locations. </w:t>
            </w:r>
          </w:p>
          <w:p w14:paraId="5761EEC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Talisman Saber 17 post exercise report addresses the effectiveness of management and mitigation measures employed during the exercise. This will identify the evolution of procedures from preceding exercises on the basis of lessons learned and also in response to feedback by GBRMPA, examples:</w:t>
            </w:r>
          </w:p>
          <w:p w14:paraId="5761EECF"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blackwater discharge locations and provisions</w:t>
            </w:r>
          </w:p>
          <w:p w14:paraId="5761EED0"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ordnance jettison procedures</w:t>
            </w:r>
          </w:p>
          <w:p w14:paraId="5761EED1"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ordnance recovery procedures</w:t>
            </w:r>
          </w:p>
          <w:p w14:paraId="5761EED2"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communications strategy and </w:t>
            </w:r>
          </w:p>
          <w:p w14:paraId="5761EED3"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Fonts w:ascii="Arial Narrow" w:hAnsi="Arial Narrow"/>
                <w:sz w:val="18"/>
                <w:szCs w:val="18"/>
              </w:rPr>
              <w:t>major incident response procedures</w:t>
            </w:r>
          </w:p>
        </w:tc>
        <w:tc>
          <w:tcPr>
            <w:tcW w:w="5326" w:type="dxa"/>
            <w:tcBorders>
              <w:top w:val="single" w:sz="4" w:space="0" w:color="auto"/>
              <w:left w:val="single" w:sz="4" w:space="0" w:color="auto"/>
              <w:bottom w:val="single" w:sz="4" w:space="0" w:color="auto"/>
              <w:right w:val="single" w:sz="4" w:space="0" w:color="auto"/>
            </w:tcBorders>
          </w:tcPr>
          <w:p w14:paraId="5761EED4"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lang w:val="en"/>
              </w:rPr>
              <w:t xml:space="preserve">Wu, W., Wang, X., Paull, D. and Kesby, J. 2010, </w:t>
            </w:r>
            <w:hyperlink r:id="rId655" w:history="1">
              <w:r w:rsidRPr="00E70A11">
                <w:rPr>
                  <w:rStyle w:val="Hyperlink"/>
                  <w:rFonts w:ascii="Arial Narrow" w:hAnsi="Arial Narrow"/>
                  <w:sz w:val="18"/>
                  <w:szCs w:val="18"/>
                  <w:lang w:val="en"/>
                </w:rPr>
                <w:t>Defence force activities in marine protected areas: environmental management of Shoalwater Bay Training Area</w:t>
              </w:r>
            </w:hyperlink>
          </w:p>
          <w:p w14:paraId="5761EED5"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ED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ED7"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656"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ED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657"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ED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2016 Defence-GBRMPA Annual meeting minutes </w:t>
            </w:r>
            <w:r w:rsidRPr="00E70A11">
              <w:rPr>
                <w:rFonts w:ascii="Arial Narrow" w:hAnsi="Arial Narrow"/>
                <w:i/>
                <w:sz w:val="18"/>
                <w:szCs w:val="18"/>
              </w:rPr>
              <w:t>(available on request)</w:t>
            </w:r>
          </w:p>
        </w:tc>
        <w:tc>
          <w:tcPr>
            <w:tcW w:w="976" w:type="dxa"/>
            <w:tcBorders>
              <w:top w:val="single" w:sz="4" w:space="0" w:color="auto"/>
              <w:left w:val="single" w:sz="4" w:space="0" w:color="auto"/>
              <w:bottom w:val="single" w:sz="4" w:space="0" w:color="auto"/>
              <w:right w:val="single" w:sz="4" w:space="0" w:color="auto"/>
            </w:tcBorders>
          </w:tcPr>
          <w:p w14:paraId="5761EEDA"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DB" w14:textId="77777777" w:rsidR="00A56EE9" w:rsidRPr="00E70A11" w:rsidRDefault="00A56EE9" w:rsidP="00BB6AD5">
            <w:pPr>
              <w:pStyle w:val="Tablebulletlist"/>
              <w:rPr>
                <w:rStyle w:val="BookTitle"/>
              </w:rPr>
            </w:pPr>
            <w:r w:rsidRPr="00E70A11">
              <w:rPr>
                <w:rStyle w:val="BookTitle"/>
                <w:color w:val="000000" w:themeColor="text1"/>
              </w:rPr>
              <w:t xml:space="preserve">Improving </w:t>
            </w:r>
          </w:p>
        </w:tc>
      </w:tr>
      <w:tr w:rsidR="00A56EE9" w:rsidRPr="00E70A11" w14:paraId="5761EEE3"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DD"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defence activities have progressed in accordance with timeframes specified in those documents</w:t>
            </w:r>
          </w:p>
        </w:tc>
        <w:tc>
          <w:tcPr>
            <w:tcW w:w="739" w:type="dxa"/>
            <w:tcBorders>
              <w:top w:val="single" w:sz="4" w:space="0" w:color="auto"/>
              <w:left w:val="single" w:sz="4" w:space="0" w:color="auto"/>
              <w:bottom w:val="single" w:sz="4" w:space="0" w:color="auto"/>
              <w:right w:val="single" w:sz="4" w:space="0" w:color="auto"/>
            </w:tcBorders>
          </w:tcPr>
          <w:p w14:paraId="5761EEDE"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D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As previously mentioned, Defence training activities tend to be cyclic (such as the major exercise planning program for Talisman Sabre) so this planning process reviews management documents and/or programs regularly.</w:t>
            </w:r>
          </w:p>
        </w:tc>
        <w:tc>
          <w:tcPr>
            <w:tcW w:w="5326" w:type="dxa"/>
            <w:tcBorders>
              <w:top w:val="single" w:sz="4" w:space="0" w:color="auto"/>
              <w:left w:val="single" w:sz="4" w:space="0" w:color="auto"/>
              <w:bottom w:val="single" w:sz="4" w:space="0" w:color="auto"/>
              <w:right w:val="single" w:sz="4" w:space="0" w:color="auto"/>
            </w:tcBorders>
          </w:tcPr>
          <w:p w14:paraId="5761EEE0" w14:textId="77777777" w:rsidR="00A56EE9" w:rsidRPr="00E70A11" w:rsidRDefault="00A56EE9" w:rsidP="00BB6AD5">
            <w:pPr>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EE1"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E2"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F1" w14:textId="77777777" w:rsidTr="00BB6AD5">
        <w:trPr>
          <w:trHeight w:val="2426"/>
        </w:trPr>
        <w:tc>
          <w:tcPr>
            <w:tcW w:w="2302" w:type="dxa"/>
            <w:tcBorders>
              <w:top w:val="single" w:sz="4" w:space="0" w:color="auto"/>
              <w:left w:val="single" w:sz="4" w:space="0" w:color="auto"/>
              <w:bottom w:val="single" w:sz="4" w:space="0" w:color="auto"/>
              <w:right w:val="single" w:sz="4" w:space="0" w:color="auto"/>
            </w:tcBorders>
          </w:tcPr>
          <w:p w14:paraId="5761EEE4"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defence activities</w:t>
            </w:r>
          </w:p>
        </w:tc>
        <w:tc>
          <w:tcPr>
            <w:tcW w:w="739" w:type="dxa"/>
            <w:tcBorders>
              <w:top w:val="single" w:sz="4" w:space="0" w:color="auto"/>
              <w:left w:val="single" w:sz="4" w:space="0" w:color="auto"/>
              <w:bottom w:val="single" w:sz="4" w:space="0" w:color="auto"/>
              <w:right w:val="single" w:sz="4" w:space="0" w:color="auto"/>
            </w:tcBorders>
          </w:tcPr>
          <w:p w14:paraId="5761EEE5"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E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advises that all Defence training doctrine that applies to management of environmental risks to the GBR are taken seriously and implemented effectively.</w:t>
            </w:r>
            <w:r>
              <w:rPr>
                <w:rFonts w:ascii="Arial Narrow" w:hAnsi="Arial Narrow"/>
                <w:sz w:val="18"/>
                <w:szCs w:val="18"/>
              </w:rPr>
              <w:t xml:space="preserve"> </w:t>
            </w:r>
            <w:r w:rsidRPr="00E70A11">
              <w:rPr>
                <w:rFonts w:ascii="Arial Narrow" w:hAnsi="Arial Narrow"/>
                <w:sz w:val="18"/>
                <w:szCs w:val="18"/>
              </w:rPr>
              <w:t>Doctrine is predicated on not causing any significant impacts.</w:t>
            </w:r>
            <w:r>
              <w:rPr>
                <w:rFonts w:ascii="Arial Narrow" w:hAnsi="Arial Narrow"/>
                <w:sz w:val="18"/>
                <w:szCs w:val="18"/>
              </w:rPr>
              <w:t xml:space="preserve"> </w:t>
            </w:r>
            <w:r w:rsidRPr="00E70A11">
              <w:rPr>
                <w:rFonts w:ascii="Arial Narrow" w:hAnsi="Arial Narrow"/>
                <w:sz w:val="18"/>
                <w:szCs w:val="18"/>
              </w:rPr>
              <w:t xml:space="preserve">This outcome appears to be supported by the Defence record. </w:t>
            </w:r>
          </w:p>
          <w:p w14:paraId="5761EEE7" w14:textId="77777777" w:rsidR="00A56EE9" w:rsidRPr="00E70A11" w:rsidRDefault="00A56EE9" w:rsidP="00A11869">
            <w:pPr>
              <w:pStyle w:val="ListParagraph"/>
              <w:numPr>
                <w:ilvl w:val="0"/>
                <w:numId w:val="24"/>
              </w:numPr>
              <w:spacing w:after="200" w:line="276" w:lineRule="auto"/>
              <w:rPr>
                <w:rStyle w:val="BookTitle"/>
                <w:rFonts w:ascii="Arial Narrow" w:hAnsi="Arial Narrow"/>
                <w:b/>
                <w:sz w:val="18"/>
                <w:szCs w:val="18"/>
                <w:u w:val="single"/>
              </w:rPr>
            </w:pPr>
            <w:r w:rsidRPr="00E70A11">
              <w:rPr>
                <w:rFonts w:ascii="Arial Narrow" w:hAnsi="Arial Narrow"/>
                <w:sz w:val="18"/>
                <w:szCs w:val="18"/>
              </w:rPr>
              <w:t xml:space="preserve">Effective planning and incident response is evidenced by response to the MV22 Osprey crash after the conclusion of Talisman Saber 17. </w:t>
            </w:r>
            <w:proofErr w:type="gramStart"/>
            <w:r w:rsidRPr="00E70A11">
              <w:rPr>
                <w:rFonts w:ascii="Arial Narrow" w:hAnsi="Arial Narrow"/>
                <w:sz w:val="18"/>
                <w:szCs w:val="18"/>
              </w:rPr>
              <w:t>which</w:t>
            </w:r>
            <w:proofErr w:type="gramEnd"/>
            <w:r w:rsidRPr="00E70A11">
              <w:rPr>
                <w:rFonts w:ascii="Arial Narrow" w:hAnsi="Arial Narrow"/>
                <w:sz w:val="18"/>
                <w:szCs w:val="18"/>
              </w:rPr>
              <w:t xml:space="preserve"> resulted in no significant environmental harm.</w:t>
            </w:r>
          </w:p>
        </w:tc>
        <w:tc>
          <w:tcPr>
            <w:tcW w:w="5326" w:type="dxa"/>
            <w:tcBorders>
              <w:top w:val="single" w:sz="4" w:space="0" w:color="auto"/>
              <w:left w:val="single" w:sz="4" w:space="0" w:color="auto"/>
              <w:bottom w:val="single" w:sz="4" w:space="0" w:color="auto"/>
              <w:right w:val="single" w:sz="4" w:space="0" w:color="auto"/>
            </w:tcBorders>
          </w:tcPr>
          <w:p w14:paraId="5761EEE8"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 xml:space="preserve">Wu, W., Wang, X., Paull, D. and Kesby, J. 2010, </w:t>
            </w:r>
            <w:hyperlink r:id="rId658" w:history="1">
              <w:r w:rsidRPr="00E70A11">
                <w:rPr>
                  <w:rStyle w:val="Hyperlink"/>
                  <w:rFonts w:ascii="Arial Narrow" w:hAnsi="Arial Narrow"/>
                  <w:sz w:val="18"/>
                  <w:szCs w:val="18"/>
                  <w:lang w:val="en"/>
                </w:rPr>
                <w:t>Defence force activities in marine protected areas: environmental management of Shoalwater Bay Training Area</w:t>
              </w:r>
            </w:hyperlink>
            <w:r w:rsidRPr="00E70A11">
              <w:rPr>
                <w:rFonts w:ascii="Arial Narrow" w:hAnsi="Arial Narrow"/>
                <w:sz w:val="18"/>
                <w:szCs w:val="18"/>
                <w:lang w:val="en"/>
              </w:rPr>
              <w:t>.</w:t>
            </w:r>
          </w:p>
          <w:p w14:paraId="5761EEE9"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659" w:history="1">
              <w:r w:rsidR="00A56EE9" w:rsidRPr="00E70A11">
                <w:rPr>
                  <w:rStyle w:val="Hyperlink"/>
                  <w:rFonts w:ascii="Arial Narrow" w:hAnsi="Arial Narrow"/>
                  <w:sz w:val="18"/>
                  <w:szCs w:val="18"/>
                  <w:lang w:val="en"/>
                </w:rPr>
                <w:t>Talisman Saber 2013 Public Environment Report</w:t>
              </w:r>
            </w:hyperlink>
            <w:r w:rsidR="00A56EE9" w:rsidRPr="00E70A11">
              <w:rPr>
                <w:rFonts w:ascii="Arial Narrow" w:hAnsi="Arial Narrow"/>
                <w:sz w:val="18"/>
                <w:szCs w:val="18"/>
                <w:lang w:val="en"/>
              </w:rPr>
              <w:t xml:space="preserve"> (</w:t>
            </w:r>
            <w:r w:rsidR="00A56EE9" w:rsidRPr="00E70A11">
              <w:rPr>
                <w:rFonts w:ascii="Arial Narrow" w:hAnsi="Arial Narrow"/>
                <w:i/>
                <w:sz w:val="18"/>
                <w:szCs w:val="18"/>
                <w:lang w:val="en"/>
              </w:rPr>
              <w:t>final report</w:t>
            </w:r>
            <w:r w:rsidR="00A56EE9" w:rsidRPr="00E70A11">
              <w:rPr>
                <w:rFonts w:ascii="Arial Narrow" w:hAnsi="Arial Narrow"/>
                <w:sz w:val="18"/>
                <w:szCs w:val="18"/>
                <w:lang w:val="en"/>
              </w:rPr>
              <w:t xml:space="preserve">) </w:t>
            </w:r>
          </w:p>
          <w:p w14:paraId="5761EEEA"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EE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EEC"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660"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EE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webpage for </w:t>
            </w:r>
            <w:hyperlink r:id="rId661"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p w14:paraId="5761EEEE"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EEF"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F0"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EF9"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EF2"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defence activities</w:t>
            </w:r>
          </w:p>
        </w:tc>
        <w:tc>
          <w:tcPr>
            <w:tcW w:w="739" w:type="dxa"/>
            <w:tcBorders>
              <w:top w:val="single" w:sz="4" w:space="0" w:color="auto"/>
              <w:left w:val="single" w:sz="4" w:space="0" w:color="auto"/>
              <w:bottom w:val="single" w:sz="4" w:space="0" w:color="auto"/>
              <w:right w:val="single" w:sz="4" w:space="0" w:color="auto"/>
            </w:tcBorders>
          </w:tcPr>
          <w:p w14:paraId="5761EEF3"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F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Defence has routinely produced various management planning documents e.g. Talisman Sabre 17, Range Standing Orders etc. and provided GBRMPA with opportunities for input.</w:t>
            </w:r>
            <w:r>
              <w:rPr>
                <w:rFonts w:ascii="Arial Narrow" w:hAnsi="Arial Narrow"/>
                <w:sz w:val="18"/>
                <w:szCs w:val="18"/>
              </w:rPr>
              <w:t xml:space="preserve"> </w:t>
            </w:r>
            <w:r w:rsidRPr="00E70A11">
              <w:rPr>
                <w:rFonts w:ascii="Arial Narrow" w:hAnsi="Arial Narrow"/>
                <w:sz w:val="18"/>
                <w:szCs w:val="18"/>
              </w:rPr>
              <w:t>The available evidence supports Defence’s contention that the obligations to protect the values of the GBRWHA are taken seriously and executed effectively.</w:t>
            </w:r>
          </w:p>
        </w:tc>
        <w:tc>
          <w:tcPr>
            <w:tcW w:w="5326" w:type="dxa"/>
            <w:tcBorders>
              <w:top w:val="single" w:sz="4" w:space="0" w:color="auto"/>
              <w:left w:val="single" w:sz="4" w:space="0" w:color="auto"/>
              <w:bottom w:val="single" w:sz="4" w:space="0" w:color="auto"/>
              <w:right w:val="single" w:sz="4" w:space="0" w:color="auto"/>
            </w:tcBorders>
          </w:tcPr>
          <w:p w14:paraId="5761EEF6" w14:textId="3EE490C9" w:rsidR="00A56EE9" w:rsidRPr="0086089F" w:rsidRDefault="008B5998" w:rsidP="0086089F">
            <w:pPr>
              <w:pStyle w:val="ListParagraph"/>
              <w:numPr>
                <w:ilvl w:val="0"/>
                <w:numId w:val="24"/>
              </w:numPr>
              <w:spacing w:after="200" w:line="276" w:lineRule="auto"/>
              <w:rPr>
                <w:rStyle w:val="BookTitle"/>
                <w:rFonts w:ascii="Arial Narrow" w:hAnsi="Arial Narrow"/>
                <w:sz w:val="18"/>
                <w:szCs w:val="18"/>
              </w:rPr>
            </w:pPr>
            <w:hyperlink r:id="rId662" w:tooltip="document link" w:history="1">
              <w:r w:rsidR="00A56EE9" w:rsidRPr="00EB5D32">
                <w:rPr>
                  <w:rStyle w:val="Hyperlink"/>
                  <w:rFonts w:ascii="Arial Narrow" w:hAnsi="Arial Narrow"/>
                  <w:sz w:val="18"/>
                  <w:szCs w:val="18"/>
                </w:rPr>
                <w:t>http://www.defence.gov.au/Exercises/TS17/EnvironmentalPlanning.asp</w:t>
              </w:r>
            </w:hyperlink>
          </w:p>
        </w:tc>
        <w:tc>
          <w:tcPr>
            <w:tcW w:w="976" w:type="dxa"/>
            <w:tcBorders>
              <w:top w:val="single" w:sz="4" w:space="0" w:color="auto"/>
              <w:left w:val="single" w:sz="4" w:space="0" w:color="auto"/>
              <w:bottom w:val="single" w:sz="4" w:space="0" w:color="auto"/>
              <w:right w:val="single" w:sz="4" w:space="0" w:color="auto"/>
            </w:tcBorders>
          </w:tcPr>
          <w:p w14:paraId="5761EEF7"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F8"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F00"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shd w:val="clear" w:color="auto" w:fill="auto"/>
          </w:tcPr>
          <w:p w14:paraId="5761EEFA"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defence activities are in place within agencies</w:t>
            </w:r>
          </w:p>
        </w:tc>
        <w:tc>
          <w:tcPr>
            <w:tcW w:w="739" w:type="dxa"/>
            <w:tcBorders>
              <w:top w:val="single" w:sz="4" w:space="0" w:color="auto"/>
              <w:left w:val="single" w:sz="4" w:space="0" w:color="auto"/>
              <w:bottom w:val="single" w:sz="4" w:space="0" w:color="auto"/>
              <w:right w:val="single" w:sz="4" w:space="0" w:color="auto"/>
            </w:tcBorders>
          </w:tcPr>
          <w:p w14:paraId="5761EEFB"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EF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u w:val="single"/>
              </w:rPr>
            </w:pPr>
            <w:r w:rsidRPr="00E70A11">
              <w:rPr>
                <w:rFonts w:ascii="Arial Narrow" w:hAnsi="Arial Narrow"/>
                <w:sz w:val="18"/>
                <w:szCs w:val="18"/>
              </w:rPr>
              <w:t>Defence and GBRMPA have a variety of systems are in place for managers to record and update data relevant to managing Defence activities.</w:t>
            </w:r>
            <w:r>
              <w:rPr>
                <w:rFonts w:ascii="Arial Narrow" w:hAnsi="Arial Narrow"/>
                <w:sz w:val="18"/>
                <w:szCs w:val="18"/>
              </w:rPr>
              <w:t xml:space="preserve"> </w:t>
            </w:r>
            <w:r w:rsidRPr="00E70A11">
              <w:rPr>
                <w:rFonts w:ascii="Arial Narrow" w:hAnsi="Arial Narrow"/>
                <w:sz w:val="18"/>
                <w:szCs w:val="18"/>
              </w:rPr>
              <w:t>Defence uses a database (known as GEMS) that</w:t>
            </w:r>
            <w:r w:rsidRPr="00E70A11">
              <w:rPr>
                <w:rFonts w:ascii="Arial Narrow" w:hAnsi="Arial Narrow"/>
                <w:sz w:val="18"/>
                <w:szCs w:val="18"/>
                <w:u w:val="single"/>
              </w:rPr>
              <w:t xml:space="preserve"> </w:t>
            </w:r>
            <w:r w:rsidRPr="00E70A11">
              <w:rPr>
                <w:rFonts w:ascii="Arial Narrow" w:hAnsi="Arial Narrow"/>
                <w:sz w:val="18"/>
                <w:szCs w:val="18"/>
              </w:rPr>
              <w:t>consolidates information regarding environmental and heritage values across the entire Defence estate including owned and leased properties in addition to non-Defence training areas (e.g. Stanage Bay). The data in the GEMS system enables early identification of potential constraints to activities in addition to the tracking of environmental risks and mitigation.</w:t>
            </w:r>
          </w:p>
        </w:tc>
        <w:tc>
          <w:tcPr>
            <w:tcW w:w="5326" w:type="dxa"/>
            <w:tcBorders>
              <w:top w:val="single" w:sz="4" w:space="0" w:color="auto"/>
              <w:left w:val="single" w:sz="4" w:space="0" w:color="auto"/>
              <w:bottom w:val="single" w:sz="4" w:space="0" w:color="auto"/>
              <w:right w:val="single" w:sz="4" w:space="0" w:color="auto"/>
            </w:tcBorders>
          </w:tcPr>
          <w:p w14:paraId="5761EEF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Defence Garrison and Estate Management System (GEMS), Restricted Defence database/management system </w:t>
            </w:r>
          </w:p>
        </w:tc>
        <w:tc>
          <w:tcPr>
            <w:tcW w:w="976" w:type="dxa"/>
            <w:tcBorders>
              <w:top w:val="single" w:sz="4" w:space="0" w:color="auto"/>
              <w:left w:val="single" w:sz="4" w:space="0" w:color="auto"/>
              <w:bottom w:val="single" w:sz="4" w:space="0" w:color="auto"/>
              <w:right w:val="single" w:sz="4" w:space="0" w:color="auto"/>
            </w:tcBorders>
          </w:tcPr>
          <w:p w14:paraId="5761EEFE"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EFF"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F0E"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F01"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defence activities with the community</w:t>
            </w:r>
          </w:p>
        </w:tc>
        <w:tc>
          <w:tcPr>
            <w:tcW w:w="739" w:type="dxa"/>
            <w:tcBorders>
              <w:top w:val="single" w:sz="4" w:space="0" w:color="auto"/>
              <w:left w:val="single" w:sz="4" w:space="0" w:color="auto"/>
              <w:bottom w:val="single" w:sz="4" w:space="0" w:color="auto"/>
              <w:right w:val="single" w:sz="4" w:space="0" w:color="auto"/>
            </w:tcBorders>
          </w:tcPr>
          <w:p w14:paraId="5761EF02"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F0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main avenues managers are using for sharing information with the community include websites and now social media with and more traditional forms of engagement including formation of consultative groups and project-based information programs (e.g. Talisman Sabre PER).</w:t>
            </w:r>
            <w:r>
              <w:rPr>
                <w:rFonts w:ascii="Arial Narrow" w:hAnsi="Arial Narrow"/>
                <w:sz w:val="18"/>
                <w:szCs w:val="18"/>
              </w:rPr>
              <w:t xml:space="preserve"> </w:t>
            </w:r>
            <w:r w:rsidRPr="00E70A11">
              <w:rPr>
                <w:rFonts w:ascii="Arial Narrow" w:hAnsi="Arial Narrow"/>
                <w:sz w:val="18"/>
                <w:szCs w:val="18"/>
              </w:rPr>
              <w:t>This is considered to be effective.</w:t>
            </w:r>
          </w:p>
          <w:p w14:paraId="5761EF0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Shoalwater Bay Training Area Environmental Advisory Committee is an example of a forum for feedback and interaction with the community around Shoalwater Bay especially regarding the conduct of major Defence exercises e.g. Talisman Saber</w:t>
            </w:r>
          </w:p>
          <w:p w14:paraId="5761EF0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Defence website provides links to a range of information and updates about the conduct of Defence activities. </w:t>
            </w:r>
          </w:p>
        </w:tc>
        <w:tc>
          <w:tcPr>
            <w:tcW w:w="5326" w:type="dxa"/>
            <w:tcBorders>
              <w:top w:val="single" w:sz="4" w:space="0" w:color="auto"/>
              <w:left w:val="single" w:sz="4" w:space="0" w:color="auto"/>
              <w:bottom w:val="single" w:sz="4" w:space="0" w:color="auto"/>
              <w:right w:val="single" w:sz="4" w:space="0" w:color="auto"/>
            </w:tcBorders>
          </w:tcPr>
          <w:p w14:paraId="5761EF0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website. Among others, key pages are:</w:t>
            </w:r>
          </w:p>
          <w:p w14:paraId="5761EF0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63" w:history="1">
              <w:r w:rsidR="00A56EE9" w:rsidRPr="00E70A11">
                <w:rPr>
                  <w:rStyle w:val="Hyperlink"/>
                  <w:rFonts w:ascii="Arial Narrow" w:hAnsi="Arial Narrow"/>
                  <w:sz w:val="18"/>
                  <w:szCs w:val="18"/>
                </w:rPr>
                <w:t>News and media</w:t>
              </w:r>
            </w:hyperlink>
            <w:r w:rsidR="00A56EE9" w:rsidRPr="00E70A11">
              <w:rPr>
                <w:rFonts w:ascii="Arial Narrow" w:hAnsi="Arial Narrow"/>
                <w:sz w:val="18"/>
                <w:szCs w:val="18"/>
              </w:rPr>
              <w:t xml:space="preserve"> </w:t>
            </w:r>
          </w:p>
          <w:p w14:paraId="5761EF0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64" w:history="1">
              <w:r w:rsidR="00A56EE9" w:rsidRPr="00E70A11">
                <w:rPr>
                  <w:rStyle w:val="Hyperlink"/>
                  <w:rFonts w:ascii="Arial Narrow" w:hAnsi="Arial Narrow"/>
                  <w:sz w:val="18"/>
                  <w:szCs w:val="18"/>
                </w:rPr>
                <w:t>Media releases</w:t>
              </w:r>
            </w:hyperlink>
            <w:r w:rsidR="00A56EE9" w:rsidRPr="00E70A11">
              <w:rPr>
                <w:rFonts w:ascii="Arial Narrow" w:hAnsi="Arial Narrow"/>
                <w:sz w:val="18"/>
                <w:szCs w:val="18"/>
              </w:rPr>
              <w:t xml:space="preserve"> </w:t>
            </w:r>
          </w:p>
          <w:p w14:paraId="5761EF0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65" w:history="1">
              <w:r w:rsidR="00A56EE9" w:rsidRPr="00E70A11">
                <w:rPr>
                  <w:rStyle w:val="Hyperlink"/>
                  <w:rFonts w:ascii="Arial Narrow" w:hAnsi="Arial Narrow"/>
                  <w:sz w:val="18"/>
                  <w:szCs w:val="18"/>
                </w:rPr>
                <w:t>Exercises</w:t>
              </w:r>
            </w:hyperlink>
            <w:r w:rsidR="00A56EE9" w:rsidRPr="00E70A11">
              <w:rPr>
                <w:rFonts w:ascii="Arial Narrow" w:hAnsi="Arial Narrow"/>
                <w:sz w:val="18"/>
                <w:szCs w:val="18"/>
              </w:rPr>
              <w:t xml:space="preserve"> </w:t>
            </w:r>
          </w:p>
          <w:p w14:paraId="5761EF0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66" w:history="1">
              <w:r w:rsidR="00A56EE9" w:rsidRPr="00E70A11">
                <w:rPr>
                  <w:rStyle w:val="Hyperlink"/>
                  <w:rFonts w:ascii="Arial Narrow" w:hAnsi="Arial Narrow"/>
                  <w:sz w:val="18"/>
                  <w:szCs w:val="18"/>
                </w:rPr>
                <w:t>Publications</w:t>
              </w:r>
            </w:hyperlink>
            <w:r w:rsidR="00A56EE9" w:rsidRPr="00E70A11">
              <w:rPr>
                <w:rFonts w:ascii="Arial Narrow" w:hAnsi="Arial Narrow"/>
                <w:sz w:val="18"/>
                <w:szCs w:val="18"/>
              </w:rPr>
              <w:t xml:space="preserve"> </w:t>
            </w:r>
          </w:p>
          <w:p w14:paraId="5761EF0B"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F0C"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F0D"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F15"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0F" w14:textId="77777777" w:rsidR="00A56EE9" w:rsidRPr="00E70A11" w:rsidRDefault="00A56EE9" w:rsidP="00BB6AD5">
            <w:pPr>
              <w:pStyle w:val="Tablebulletlist"/>
              <w:rPr>
                <w:rStyle w:val="BookTitle"/>
              </w:rPr>
            </w:pPr>
            <w:r w:rsidRPr="00E70A11">
              <w:rPr>
                <w:rStyle w:val="BookTitle"/>
              </w:rPr>
              <w:t>OUTCOMES</w:t>
            </w:r>
          </w:p>
        </w:tc>
        <w:tc>
          <w:tcPr>
            <w:tcW w:w="73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10" w14:textId="77777777" w:rsidR="00A56EE9" w:rsidRPr="00E70A11" w:rsidRDefault="00A56EE9" w:rsidP="00BB6AD5">
            <w:pPr>
              <w:pStyle w:val="Tablebulletlist"/>
              <w:rPr>
                <w:rStyle w:val="BookTitle"/>
              </w:rPr>
            </w:pPr>
          </w:p>
        </w:tc>
        <w:tc>
          <w:tcPr>
            <w:tcW w:w="458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11" w14:textId="77777777" w:rsidR="00A56EE9" w:rsidRPr="00E70A11" w:rsidRDefault="00A56EE9" w:rsidP="00BB6AD5">
            <w:pPr>
              <w:pStyle w:val="ListParagraph"/>
              <w:ind w:left="360"/>
              <w:rPr>
                <w:rStyle w:val="BookTitle"/>
                <w:rFonts w:ascii="Arial Narrow" w:hAnsi="Arial Narrow"/>
                <w:sz w:val="18"/>
                <w:szCs w:val="18"/>
              </w:rPr>
            </w:pPr>
          </w:p>
        </w:tc>
        <w:tc>
          <w:tcPr>
            <w:tcW w:w="532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12"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13" w14:textId="77777777" w:rsidR="00A56EE9" w:rsidRPr="00E70A11" w:rsidRDefault="00A56EE9" w:rsidP="00BB6AD5">
            <w:pPr>
              <w:pStyle w:val="Tablebulletlist"/>
              <w:rPr>
                <w:rStyle w:val="BookTitle"/>
              </w:rPr>
            </w:pPr>
          </w:p>
        </w:tc>
        <w:tc>
          <w:tcPr>
            <w:tcW w:w="86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14" w14:textId="77777777" w:rsidR="00A56EE9" w:rsidRPr="00E70A11" w:rsidRDefault="00A56EE9" w:rsidP="00BB6AD5">
            <w:pPr>
              <w:pStyle w:val="Tablebulletlist"/>
              <w:rPr>
                <w:rStyle w:val="BookTitle"/>
              </w:rPr>
            </w:pPr>
          </w:p>
        </w:tc>
      </w:tr>
      <w:tr w:rsidR="00A56EE9" w:rsidRPr="00E70A11" w14:paraId="5761EF1D"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F16"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defence activities and moving towards the attainment of the desired outcomes.</w:t>
            </w:r>
          </w:p>
        </w:tc>
        <w:tc>
          <w:tcPr>
            <w:tcW w:w="739" w:type="dxa"/>
            <w:tcBorders>
              <w:top w:val="single" w:sz="4" w:space="0" w:color="auto"/>
              <w:left w:val="single" w:sz="4" w:space="0" w:color="auto"/>
              <w:bottom w:val="single" w:sz="4" w:space="0" w:color="auto"/>
              <w:right w:val="single" w:sz="4" w:space="0" w:color="auto"/>
            </w:tcBorders>
          </w:tcPr>
          <w:p w14:paraId="5761EF17"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F1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and Defence managers advise that there is a good compliance and enforcement record for the conduct of Defence activities, particularly for the 3 major training areas.</w:t>
            </w:r>
            <w:r>
              <w:rPr>
                <w:rFonts w:ascii="Arial Narrow" w:hAnsi="Arial Narrow"/>
                <w:sz w:val="18"/>
                <w:szCs w:val="18"/>
              </w:rPr>
              <w:t xml:space="preserve"> </w:t>
            </w:r>
            <w:r w:rsidRPr="00E70A11">
              <w:rPr>
                <w:rFonts w:ascii="Arial Narrow" w:hAnsi="Arial Narrow"/>
                <w:sz w:val="18"/>
                <w:szCs w:val="18"/>
              </w:rPr>
              <w:t>Routine operations report by exception but where incidents occur GBRMPA is routinely informed.</w:t>
            </w:r>
            <w:r>
              <w:rPr>
                <w:rFonts w:ascii="Arial Narrow" w:hAnsi="Arial Narrow"/>
                <w:sz w:val="18"/>
                <w:szCs w:val="18"/>
              </w:rPr>
              <w:t xml:space="preserve"> </w:t>
            </w:r>
            <w:r w:rsidRPr="00E70A11">
              <w:rPr>
                <w:rFonts w:ascii="Arial Narrow" w:hAnsi="Arial Narrow"/>
                <w:sz w:val="18"/>
                <w:szCs w:val="18"/>
              </w:rPr>
              <w:t>Where performance outcomes are agreed – such as in relation to Part 5 directions, these are taken seriously and strictly applied.</w:t>
            </w:r>
          </w:p>
          <w:p w14:paraId="5761EF19"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rPr>
              <w:t>There have been some impacts that have occurred from time to time, however the effects are considered to be localised, transient and short term.</w:t>
            </w:r>
            <w:r>
              <w:rPr>
                <w:rFonts w:ascii="Arial Narrow" w:hAnsi="Arial Narrow"/>
                <w:sz w:val="18"/>
                <w:szCs w:val="18"/>
              </w:rPr>
              <w:t xml:space="preserve"> </w:t>
            </w:r>
            <w:r w:rsidRPr="00E70A11">
              <w:rPr>
                <w:rFonts w:ascii="Arial Narrow" w:hAnsi="Arial Narrow"/>
                <w:sz w:val="18"/>
                <w:szCs w:val="18"/>
              </w:rPr>
              <w:t>Defence does make an effort to minimise or mitigate these where this is possible.</w:t>
            </w:r>
          </w:p>
        </w:tc>
        <w:tc>
          <w:tcPr>
            <w:tcW w:w="5326" w:type="dxa"/>
            <w:tcBorders>
              <w:top w:val="single" w:sz="4" w:space="0" w:color="auto"/>
              <w:left w:val="single" w:sz="4" w:space="0" w:color="auto"/>
              <w:bottom w:val="single" w:sz="4" w:space="0" w:color="auto"/>
              <w:right w:val="single" w:sz="4" w:space="0" w:color="auto"/>
            </w:tcBorders>
          </w:tcPr>
          <w:p w14:paraId="5761EF1A" w14:textId="77777777" w:rsidR="00A56EE9" w:rsidRPr="0086089F" w:rsidRDefault="00A56EE9" w:rsidP="0086089F">
            <w:pPr>
              <w:pStyle w:val="ListParagraph"/>
              <w:numPr>
                <w:ilvl w:val="0"/>
                <w:numId w:val="24"/>
              </w:numPr>
              <w:rPr>
                <w:rStyle w:val="BookTitle"/>
                <w:rFonts w:ascii="Arial Narrow" w:hAnsi="Arial Narrow"/>
                <w:sz w:val="18"/>
                <w:szCs w:val="18"/>
              </w:rPr>
            </w:pPr>
            <w:r w:rsidRPr="0086089F">
              <w:rPr>
                <w:rStyle w:val="BookTitle"/>
                <w:rFonts w:ascii="Arial Narrow" w:hAnsi="Arial Narrow"/>
                <w:sz w:val="18"/>
                <w:szCs w:val="18"/>
              </w:rPr>
              <w:t xml:space="preserve">Workshops and discussions </w:t>
            </w:r>
          </w:p>
        </w:tc>
        <w:tc>
          <w:tcPr>
            <w:tcW w:w="976" w:type="dxa"/>
            <w:tcBorders>
              <w:top w:val="single" w:sz="4" w:space="0" w:color="auto"/>
              <w:left w:val="single" w:sz="4" w:space="0" w:color="auto"/>
              <w:bottom w:val="single" w:sz="4" w:space="0" w:color="auto"/>
              <w:right w:val="single" w:sz="4" w:space="0" w:color="auto"/>
            </w:tcBorders>
          </w:tcPr>
          <w:p w14:paraId="5761EF1B"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F1C"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F2A"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F1E"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defence activities are on track to ensure the values of the Great Barrier Reef are protected (refer CO1)</w:t>
            </w:r>
          </w:p>
        </w:tc>
        <w:tc>
          <w:tcPr>
            <w:tcW w:w="739" w:type="dxa"/>
            <w:tcBorders>
              <w:top w:val="single" w:sz="4" w:space="0" w:color="auto"/>
              <w:left w:val="single" w:sz="4" w:space="0" w:color="auto"/>
              <w:bottom w:val="single" w:sz="4" w:space="0" w:color="auto"/>
              <w:right w:val="single" w:sz="4" w:space="0" w:color="auto"/>
            </w:tcBorders>
          </w:tcPr>
          <w:p w14:paraId="5761EF1F"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F2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noted that there is an ongoing dialog between Defence and GBRMPA with both agencies engaging to improve performance and modify activities where necessary e.g. such as in response to extreme weather to ensure the values of the GBR are protected while Defence training outcomes are delivered.</w:t>
            </w:r>
          </w:p>
          <w:p w14:paraId="5761EF2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personnel are aware of their obligations under GBRMP and EPBC Acts and of GBRMPA’s national and international responsibilities.</w:t>
            </w:r>
            <w:r>
              <w:rPr>
                <w:rFonts w:ascii="Arial Narrow" w:hAnsi="Arial Narrow"/>
                <w:sz w:val="18"/>
                <w:szCs w:val="18"/>
              </w:rPr>
              <w:t xml:space="preserve"> </w:t>
            </w:r>
            <w:r w:rsidRPr="00E70A11">
              <w:rPr>
                <w:rFonts w:ascii="Arial Narrow" w:hAnsi="Arial Narrow"/>
                <w:sz w:val="18"/>
                <w:szCs w:val="18"/>
              </w:rPr>
              <w:t xml:space="preserve">Cooperation in management of Defence activities also improves understanding how these obligations interact with Defence’s responsibilities </w:t>
            </w:r>
          </w:p>
          <w:p w14:paraId="5761EF2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Significant advancement of the integrated nature of planning, assessment and consultation by Defence across other Aus. Govt agencies was evidenced through the TS17 planning process which included regular interaction with GBRMPA, DoEE and DFAT in relation to the domestic and international sensitivities surrounding the GBR.</w:t>
            </w:r>
            <w:r>
              <w:rPr>
                <w:rFonts w:ascii="Arial Narrow" w:hAnsi="Arial Narrow"/>
                <w:sz w:val="18"/>
                <w:szCs w:val="18"/>
              </w:rPr>
              <w:t xml:space="preserve"> </w:t>
            </w:r>
            <w:r w:rsidRPr="00E70A11">
              <w:rPr>
                <w:rFonts w:ascii="Arial Narrow" w:hAnsi="Arial Narrow"/>
                <w:sz w:val="18"/>
                <w:szCs w:val="18"/>
              </w:rPr>
              <w:t>Defence and GBRMPA point to the effectiveness of this planning in the coordination of the recovery response to MV22 Osprey crash</w:t>
            </w:r>
            <w:r>
              <w:rPr>
                <w:rFonts w:ascii="Arial Narrow" w:hAnsi="Arial Narrow"/>
                <w:sz w:val="18"/>
                <w:szCs w:val="18"/>
              </w:rPr>
              <w:t xml:space="preserve"> </w:t>
            </w:r>
          </w:p>
        </w:tc>
        <w:tc>
          <w:tcPr>
            <w:tcW w:w="5326" w:type="dxa"/>
            <w:tcBorders>
              <w:top w:val="single" w:sz="4" w:space="0" w:color="auto"/>
              <w:left w:val="single" w:sz="4" w:space="0" w:color="auto"/>
              <w:bottom w:val="single" w:sz="4" w:space="0" w:color="auto"/>
              <w:right w:val="single" w:sz="4" w:space="0" w:color="auto"/>
            </w:tcBorders>
          </w:tcPr>
          <w:p w14:paraId="5761EF23"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67" w:history="1">
              <w:r w:rsidR="00A56EE9" w:rsidRPr="00E70A11">
                <w:rPr>
                  <w:rStyle w:val="Hyperlink"/>
                  <w:rFonts w:ascii="Arial Narrow" w:hAnsi="Arial Narrow"/>
                  <w:sz w:val="18"/>
                  <w:szCs w:val="18"/>
                </w:rPr>
                <w:t>GBRMP Act</w:t>
              </w:r>
            </w:hyperlink>
          </w:p>
          <w:p w14:paraId="5761EF24"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F2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F26"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668"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F2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Defence webpage for </w:t>
            </w:r>
            <w:hyperlink r:id="rId669" w:history="1">
              <w:r w:rsidRPr="00E70A11">
                <w:rPr>
                  <w:rStyle w:val="Hyperlink"/>
                  <w:rFonts w:ascii="Arial Narrow" w:hAnsi="Arial Narrow"/>
                  <w:sz w:val="18"/>
                  <w:szCs w:val="18"/>
                </w:rPr>
                <w:t>Talisman Saber exercise</w:t>
              </w:r>
            </w:hyperlink>
          </w:p>
        </w:tc>
        <w:tc>
          <w:tcPr>
            <w:tcW w:w="976" w:type="dxa"/>
            <w:tcBorders>
              <w:top w:val="single" w:sz="4" w:space="0" w:color="auto"/>
              <w:left w:val="single" w:sz="4" w:space="0" w:color="auto"/>
              <w:bottom w:val="single" w:sz="4" w:space="0" w:color="auto"/>
              <w:right w:val="single" w:sz="4" w:space="0" w:color="auto"/>
            </w:tcBorders>
          </w:tcPr>
          <w:p w14:paraId="5761EF28"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F29"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F37"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F2B"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defence activities are reducing the major risks and the threats to the Great Barrier Reef</w:t>
            </w:r>
          </w:p>
        </w:tc>
        <w:tc>
          <w:tcPr>
            <w:tcW w:w="739" w:type="dxa"/>
            <w:tcBorders>
              <w:top w:val="single" w:sz="4" w:space="0" w:color="auto"/>
              <w:left w:val="single" w:sz="4" w:space="0" w:color="auto"/>
              <w:bottom w:val="single" w:sz="4" w:space="0" w:color="auto"/>
              <w:right w:val="single" w:sz="4" w:space="0" w:color="auto"/>
            </w:tcBorders>
          </w:tcPr>
          <w:p w14:paraId="5761EF2C"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F2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managers </w:t>
            </w:r>
            <w:proofErr w:type="gramStart"/>
            <w:r w:rsidRPr="00E70A11">
              <w:rPr>
                <w:rFonts w:ascii="Arial Narrow" w:hAnsi="Arial Narrow"/>
                <w:sz w:val="18"/>
                <w:szCs w:val="18"/>
              </w:rPr>
              <w:t>advise</w:t>
            </w:r>
            <w:proofErr w:type="gramEnd"/>
            <w:r w:rsidRPr="00E70A11">
              <w:rPr>
                <w:rFonts w:ascii="Arial Narrow" w:hAnsi="Arial Narrow"/>
                <w:sz w:val="18"/>
                <w:szCs w:val="18"/>
              </w:rPr>
              <w:t xml:space="preserve"> that incidents involving Defence activities are very uncommon and the impacts usually minor and temporary.</w:t>
            </w:r>
            <w:r>
              <w:rPr>
                <w:rFonts w:ascii="Arial Narrow" w:hAnsi="Arial Narrow"/>
                <w:sz w:val="18"/>
                <w:szCs w:val="18"/>
              </w:rPr>
              <w:t xml:space="preserve"> </w:t>
            </w:r>
            <w:r w:rsidRPr="00E70A11">
              <w:rPr>
                <w:rFonts w:ascii="Arial Narrow" w:hAnsi="Arial Narrow"/>
                <w:sz w:val="18"/>
                <w:szCs w:val="18"/>
              </w:rPr>
              <w:t>This suggests a high level of compliance with an effective management regime in place.</w:t>
            </w:r>
            <w:r>
              <w:rPr>
                <w:rFonts w:ascii="Arial Narrow" w:hAnsi="Arial Narrow"/>
                <w:sz w:val="18"/>
                <w:szCs w:val="18"/>
              </w:rPr>
              <w:t xml:space="preserve"> </w:t>
            </w:r>
          </w:p>
          <w:p w14:paraId="5761EF2E" w14:textId="77777777" w:rsidR="00A56EE9" w:rsidRPr="00E70A11" w:rsidRDefault="00A56EE9" w:rsidP="00A11869">
            <w:pPr>
              <w:pStyle w:val="ListParagraph"/>
              <w:numPr>
                <w:ilvl w:val="0"/>
                <w:numId w:val="24"/>
              </w:numPr>
              <w:spacing w:after="0" w:line="276" w:lineRule="auto"/>
              <w:rPr>
                <w:rStyle w:val="BookTitle"/>
                <w:rFonts w:ascii="Arial Narrow" w:hAnsi="Arial Narrow"/>
                <w:b/>
                <w:sz w:val="18"/>
                <w:szCs w:val="18"/>
                <w:u w:val="single"/>
              </w:rPr>
            </w:pPr>
            <w:r w:rsidRPr="00E70A11">
              <w:rPr>
                <w:rFonts w:ascii="Arial Narrow" w:hAnsi="Arial Narrow"/>
                <w:sz w:val="18"/>
                <w:szCs w:val="18"/>
              </w:rPr>
              <w:t>Defence and GBRMPA routinely review risks/threats as part of the cycle of major exercise planning and through the review of other environmental and heritage doctrine relevant to the GBR.</w:t>
            </w:r>
          </w:p>
        </w:tc>
        <w:tc>
          <w:tcPr>
            <w:tcW w:w="5326" w:type="dxa"/>
            <w:tcBorders>
              <w:top w:val="single" w:sz="4" w:space="0" w:color="auto"/>
              <w:left w:val="single" w:sz="4" w:space="0" w:color="auto"/>
              <w:bottom w:val="single" w:sz="4" w:space="0" w:color="auto"/>
              <w:right w:val="single" w:sz="4" w:space="0" w:color="auto"/>
            </w:tcBorders>
          </w:tcPr>
          <w:p w14:paraId="5761EF2F"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 xml:space="preserve">Wu, W., Wang, X., Paull, D. and Kesby, J. 2010, </w:t>
            </w:r>
            <w:hyperlink r:id="rId670" w:history="1">
              <w:r w:rsidRPr="00E70A11">
                <w:rPr>
                  <w:rStyle w:val="Hyperlink"/>
                  <w:rFonts w:ascii="Arial Narrow" w:hAnsi="Arial Narrow"/>
                  <w:sz w:val="18"/>
                  <w:szCs w:val="18"/>
                  <w:lang w:val="en"/>
                </w:rPr>
                <w:t>Defence force activities in marine protected areas: environmental management of Shoalwater Bay Training Area</w:t>
              </w:r>
            </w:hyperlink>
          </w:p>
          <w:p w14:paraId="5761EF30"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671" w:history="1">
              <w:r w:rsidR="00A56EE9" w:rsidRPr="00E70A11">
                <w:rPr>
                  <w:rStyle w:val="Hyperlink"/>
                  <w:rFonts w:ascii="Arial Narrow" w:hAnsi="Arial Narrow"/>
                  <w:sz w:val="18"/>
                  <w:szCs w:val="18"/>
                  <w:lang w:val="en"/>
                </w:rPr>
                <w:t>Talisman Saber 2013 Public Environment Report</w:t>
              </w:r>
            </w:hyperlink>
            <w:r w:rsidR="00A56EE9" w:rsidRPr="00E70A11">
              <w:rPr>
                <w:rFonts w:ascii="Arial Narrow" w:hAnsi="Arial Narrow"/>
                <w:sz w:val="18"/>
                <w:szCs w:val="18"/>
                <w:lang w:val="en"/>
              </w:rPr>
              <w:t xml:space="preserve"> (</w:t>
            </w:r>
            <w:r w:rsidR="00A56EE9" w:rsidRPr="00E70A11">
              <w:rPr>
                <w:rFonts w:ascii="Arial Narrow" w:hAnsi="Arial Narrow"/>
                <w:i/>
                <w:sz w:val="18"/>
                <w:szCs w:val="18"/>
                <w:lang w:val="en"/>
              </w:rPr>
              <w:t>final report</w:t>
            </w:r>
            <w:r w:rsidR="00A56EE9" w:rsidRPr="00E70A11">
              <w:rPr>
                <w:rFonts w:ascii="Arial Narrow" w:hAnsi="Arial Narrow"/>
                <w:sz w:val="18"/>
                <w:szCs w:val="18"/>
                <w:lang w:val="en"/>
              </w:rPr>
              <w:t xml:space="preserve">) </w:t>
            </w:r>
          </w:p>
          <w:p w14:paraId="5761EF31"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F32"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F33" w14:textId="77777777" w:rsidR="00A56EE9" w:rsidRPr="00E70A11" w:rsidRDefault="008B5998" w:rsidP="00A11869">
            <w:pPr>
              <w:pStyle w:val="ListParagraph"/>
              <w:numPr>
                <w:ilvl w:val="1"/>
                <w:numId w:val="24"/>
              </w:numPr>
              <w:spacing w:after="200" w:line="276" w:lineRule="auto"/>
              <w:rPr>
                <w:rFonts w:ascii="Arial Narrow" w:hAnsi="Arial Narrow"/>
                <w:b/>
                <w:sz w:val="18"/>
                <w:szCs w:val="18"/>
                <w:u w:val="single"/>
              </w:rPr>
            </w:pPr>
            <w:hyperlink r:id="rId672"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F34"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rPr>
              <w:t xml:space="preserve">Defence webpage for </w:t>
            </w:r>
            <w:hyperlink r:id="rId673" w:history="1">
              <w:r w:rsidRPr="00E70A11">
                <w:rPr>
                  <w:rStyle w:val="Hyperlink"/>
                  <w:rFonts w:ascii="Arial Narrow" w:hAnsi="Arial Narrow"/>
                  <w:sz w:val="18"/>
                  <w:szCs w:val="18"/>
                </w:rPr>
                <w:t>Talisman Saber exercise</w:t>
              </w:r>
            </w:hyperlink>
            <w:r w:rsidRPr="00E70A11">
              <w:rPr>
                <w:rFonts w:ascii="Arial Narrow" w:hAnsi="Arial Narrow"/>
                <w:sz w:val="18"/>
                <w:szCs w:val="18"/>
              </w:rPr>
              <w:t xml:space="preserve"> </w:t>
            </w:r>
          </w:p>
        </w:tc>
        <w:tc>
          <w:tcPr>
            <w:tcW w:w="976" w:type="dxa"/>
            <w:tcBorders>
              <w:top w:val="single" w:sz="4" w:space="0" w:color="auto"/>
              <w:left w:val="single" w:sz="4" w:space="0" w:color="auto"/>
              <w:bottom w:val="single" w:sz="4" w:space="0" w:color="auto"/>
              <w:right w:val="single" w:sz="4" w:space="0" w:color="auto"/>
            </w:tcBorders>
          </w:tcPr>
          <w:p w14:paraId="5761EF35"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F36"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F4E"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F38"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defence activities is demonstrably environmentally sustainable</w:t>
            </w:r>
          </w:p>
        </w:tc>
        <w:tc>
          <w:tcPr>
            <w:tcW w:w="739" w:type="dxa"/>
            <w:tcBorders>
              <w:top w:val="single" w:sz="4" w:space="0" w:color="auto"/>
              <w:left w:val="single" w:sz="4" w:space="0" w:color="auto"/>
              <w:bottom w:val="single" w:sz="4" w:space="0" w:color="auto"/>
              <w:right w:val="single" w:sz="4" w:space="0" w:color="auto"/>
            </w:tcBorders>
          </w:tcPr>
          <w:p w14:paraId="5761EF39" w14:textId="77777777" w:rsidR="00A56EE9" w:rsidRPr="00E70A11" w:rsidRDefault="00A56EE9" w:rsidP="00BB6AD5">
            <w:pPr>
              <w:pStyle w:val="Tablebulletlist"/>
              <w:rPr>
                <w:rStyle w:val="BookTitle"/>
              </w:rPr>
            </w:pPr>
            <w:r w:rsidRPr="00E70A11">
              <w:rPr>
                <w:rStyle w:val="BookTitle"/>
              </w:rPr>
              <w:t>3</w:t>
            </w:r>
          </w:p>
        </w:tc>
        <w:tc>
          <w:tcPr>
            <w:tcW w:w="4580" w:type="dxa"/>
            <w:tcBorders>
              <w:top w:val="single" w:sz="4" w:space="0" w:color="auto"/>
              <w:left w:val="single" w:sz="4" w:space="0" w:color="auto"/>
              <w:bottom w:val="single" w:sz="4" w:space="0" w:color="auto"/>
              <w:right w:val="single" w:sz="4" w:space="0" w:color="auto"/>
            </w:tcBorders>
          </w:tcPr>
          <w:p w14:paraId="5761EF3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As previously mentioned, incidents involving Defence activities are very uncommon and the impacts usually minor and temporary. </w:t>
            </w:r>
          </w:p>
          <w:p w14:paraId="5761EF3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Training activities are regularly undertaken in designated areas of the Region, covering less than four per cent of the area. While most of the designated defence training areas within or adjacent to the Region are small, the Shoalwater Bay Defence Training Area near Rockhampton is one of Australia’s largest and is regularly used. </w:t>
            </w:r>
          </w:p>
          <w:p w14:paraId="5761EF3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activities in the Region directly contribute to the training and operation of Australia’s defence services. In addition, the acquisition of Shoalwater Bay in 1965 has provided environmental benefits. The land component remains largely undisturbed and is able to maintain natural environmental processes. It also supports high biodiversity, including internationally significant migratory species and wetlands, and has stunning landscape features. </w:t>
            </w:r>
          </w:p>
          <w:p w14:paraId="5761EF3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Environmental monitoring has shown activities, such as low-flying aircraft, are not posing significant biological threats to the wetland and the species which rely upon it (for example roosting seabirds). </w:t>
            </w:r>
          </w:p>
          <w:p w14:paraId="5761EF3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Shoalwater Bay remains largely undisturbed and is able to maintain natural environmental processes. It also supports high biodiversity, including internationally significant migratory species and wetlands, and has stunning landscape features. </w:t>
            </w:r>
          </w:p>
          <w:p w14:paraId="5761EF3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Good outcomes have been demonstrated for seagrass, dugongs and turtles in Shoalwater Bay. Aerial surveys have confirmed that Shoalwater Bay is the very important for dugong on the Queensland coast south of Cooktown, supporting more than a quarter of the dugong in the region. Compared to most other areas in the region it has less tourism, recreational boating or commercial fishing, and impacts from upstream land uses are minimal because only small creeks run into the Bay from adjacent coastal lands. </w:t>
            </w:r>
          </w:p>
          <w:p w14:paraId="5761EF4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While defence training activities are well-managed and have negligible impacts on the Great Barrier Reef, the predicted intensification of defence activities in the Region coincides with a decline in the Region’s ecosystem health caused by a range of other pressures. Defence advises that it is working with GBRMPA to review the risks posed by defence activities in light of new information about the Region’s declining ecosystem resilience and cumulative impacts.</w:t>
            </w:r>
          </w:p>
        </w:tc>
        <w:tc>
          <w:tcPr>
            <w:tcW w:w="5326" w:type="dxa"/>
            <w:tcBorders>
              <w:top w:val="single" w:sz="4" w:space="0" w:color="auto"/>
              <w:left w:val="single" w:sz="4" w:space="0" w:color="auto"/>
              <w:bottom w:val="single" w:sz="4" w:space="0" w:color="auto"/>
              <w:right w:val="single" w:sz="4" w:space="0" w:color="auto"/>
            </w:tcBorders>
          </w:tcPr>
          <w:p w14:paraId="5761EF4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74" w:history="1">
              <w:r w:rsidR="00A56EE9" w:rsidRPr="00E70A11">
                <w:rPr>
                  <w:rStyle w:val="Hyperlink"/>
                  <w:rFonts w:ascii="Arial Narrow" w:hAnsi="Arial Narrow"/>
                  <w:sz w:val="18"/>
                  <w:szCs w:val="18"/>
                </w:rPr>
                <w:t>State of the Environment Report for Shoalwater Bay Training Area</w:t>
              </w:r>
            </w:hyperlink>
            <w:r w:rsidR="00A56EE9" w:rsidRPr="00E70A11">
              <w:rPr>
                <w:rFonts w:ascii="Arial Narrow" w:hAnsi="Arial Narrow"/>
                <w:sz w:val="18"/>
                <w:szCs w:val="18"/>
              </w:rPr>
              <w:t xml:space="preserve"> 2008 </w:t>
            </w:r>
          </w:p>
          <w:p w14:paraId="5761EF4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 xml:space="preserve">Wu, W., Wang, X., Paull, D. and Kesby, J. 2010, </w:t>
            </w:r>
            <w:hyperlink r:id="rId675" w:history="1">
              <w:r w:rsidRPr="00E70A11">
                <w:rPr>
                  <w:rStyle w:val="Hyperlink"/>
                  <w:rFonts w:ascii="Arial Narrow" w:hAnsi="Arial Narrow"/>
                  <w:sz w:val="18"/>
                  <w:szCs w:val="18"/>
                  <w:lang w:val="en"/>
                </w:rPr>
                <w:t>Defence force activities in marine protected areas: environmental management of Shoalwater Bay Training Area</w:t>
              </w:r>
            </w:hyperlink>
          </w:p>
          <w:p w14:paraId="5761EF43"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76" w:history="1">
              <w:r w:rsidR="00A56EE9" w:rsidRPr="00E70A11">
                <w:rPr>
                  <w:rStyle w:val="Hyperlink"/>
                  <w:rFonts w:ascii="Arial Narrow" w:hAnsi="Arial Narrow"/>
                  <w:sz w:val="18"/>
                  <w:szCs w:val="18"/>
                </w:rPr>
                <w:t>Monitoring green turtle population dynamics in Shoalwater Bay: 2000-2004</w:t>
              </w:r>
            </w:hyperlink>
            <w:r w:rsidR="00A56EE9" w:rsidRPr="00E70A11">
              <w:rPr>
                <w:rFonts w:ascii="Arial Narrow" w:hAnsi="Arial Narrow"/>
                <w:sz w:val="18"/>
                <w:szCs w:val="18"/>
              </w:rPr>
              <w:t xml:space="preserve"> Research Publication No. 83</w:t>
            </w:r>
          </w:p>
          <w:p w14:paraId="5761EF4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Defence information on MNES (seagrasses, saltmarshes and mangroves): </w:t>
            </w:r>
          </w:p>
          <w:p w14:paraId="5761EF45" w14:textId="5AC15B74"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rPr>
              <w:t xml:space="preserve">O'Neill, P. 2009b, Marine fauna, in State of the Environment report for Shoalwater Bay Training Area 2008 Department of Defence, Canberra. </w:t>
            </w:r>
            <w:hyperlink r:id="rId677" w:tooltip="document link" w:history="1">
              <w:r w:rsidRPr="00E70A11">
                <w:rPr>
                  <w:rStyle w:val="Hyperlink"/>
                  <w:rFonts w:ascii="Arial Narrow" w:hAnsi="Arial Narrow"/>
                  <w:sz w:val="18"/>
                  <w:szCs w:val="18"/>
                </w:rPr>
                <w:t>http://www.defence.gov.au/environment/swbta/Defence%20SOE%20report_chapter%209f.pdf</w:t>
              </w:r>
            </w:hyperlink>
          </w:p>
          <w:p w14:paraId="5761EF4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 H. 2000, </w:t>
            </w:r>
            <w:hyperlink r:id="rId678" w:history="1">
              <w:r w:rsidRPr="00E70A11">
                <w:rPr>
                  <w:rStyle w:val="Hyperlink"/>
                  <w:rFonts w:ascii="Arial Narrow" w:hAnsi="Arial Narrow"/>
                  <w:sz w:val="18"/>
                  <w:szCs w:val="18"/>
                </w:rPr>
                <w:t>Evaluating management initiatives aimed at reducing the mortality of dugongs in gill and mesh nets in the Great Barrier Reef World Heritage Area</w:t>
              </w:r>
            </w:hyperlink>
            <w:r w:rsidRPr="00E70A11">
              <w:rPr>
                <w:rFonts w:ascii="Arial Narrow" w:hAnsi="Arial Narrow"/>
                <w:sz w:val="18"/>
                <w:szCs w:val="18"/>
              </w:rPr>
              <w:t>, Marine Mammal Science 16(3): 684-694.</w:t>
            </w:r>
          </w:p>
          <w:p w14:paraId="5761EF4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Marsh, H. and Lawler, I.R. 2001, Dugong distribution and abundance in the southern Great Barrier Reef Marine Park and Hervey Bay: results of an aerial survey in October-December 1999, Great Barrier Reef Marine Park Authority, Townsville.</w:t>
            </w:r>
          </w:p>
          <w:p w14:paraId="5761EF4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 H. et al. 2006, </w:t>
            </w:r>
            <w:hyperlink r:id="rId679" w:history="1">
              <w:r w:rsidRPr="00E70A11">
                <w:rPr>
                  <w:rStyle w:val="Hyperlink"/>
                  <w:rFonts w:ascii="Arial Narrow" w:hAnsi="Arial Narrow"/>
                  <w:sz w:val="18"/>
                  <w:szCs w:val="18"/>
                </w:rPr>
                <w:t>Dugong distribution and abundance on the urban coast of Queensland: a basis for management</w:t>
              </w:r>
            </w:hyperlink>
            <w:r w:rsidRPr="00E70A11">
              <w:rPr>
                <w:rFonts w:ascii="Arial Narrow" w:hAnsi="Arial Narrow"/>
                <w:sz w:val="18"/>
                <w:szCs w:val="18"/>
              </w:rPr>
              <w:t>: final report to Marine and Tropical Research Sciences Facility interim projects 2005-6, James Cook University, Townsville.</w:t>
            </w:r>
          </w:p>
          <w:p w14:paraId="5761EF4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 H., Corkeron, P., Lawler, I.R., Lanyon, J. and Preen, A.R. 1996, </w:t>
            </w:r>
            <w:hyperlink r:id="rId680" w:history="1">
              <w:r w:rsidRPr="00E70A11">
                <w:rPr>
                  <w:rStyle w:val="Hyperlink"/>
                  <w:rFonts w:ascii="Arial Narrow" w:hAnsi="Arial Narrow"/>
                  <w:sz w:val="18"/>
                  <w:szCs w:val="18"/>
                </w:rPr>
                <w:t>The status of the dugong in the Southern Great Barrier Reef Marine Park, Research publication no. 41</w:t>
              </w:r>
            </w:hyperlink>
            <w:r w:rsidRPr="00E70A11">
              <w:rPr>
                <w:rFonts w:ascii="Arial Narrow" w:hAnsi="Arial Narrow"/>
                <w:sz w:val="18"/>
                <w:szCs w:val="18"/>
              </w:rPr>
              <w:t xml:space="preserve"> edn, Great Barrier Reef Marine Park Authority, Townsville.</w:t>
            </w:r>
          </w:p>
          <w:p w14:paraId="5761EF4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Sobtzick, S., Hagihara, R., Grech, A. and Marsh, H. 2012, </w:t>
            </w:r>
            <w:hyperlink r:id="rId681" w:history="1">
              <w:r w:rsidRPr="00E70A11">
                <w:rPr>
                  <w:rStyle w:val="Hyperlink"/>
                  <w:rFonts w:ascii="Arial Narrow" w:hAnsi="Arial Narrow"/>
                  <w:sz w:val="18"/>
                  <w:szCs w:val="18"/>
                </w:rPr>
                <w:t>Aerial survey of the urban coast of Queensland to evaluate the response of the dugong population to the widespread effects of the extreme weather events of the summer of 2010-11</w:t>
              </w:r>
            </w:hyperlink>
            <w:r w:rsidRPr="00E70A11">
              <w:rPr>
                <w:rFonts w:ascii="Arial Narrow" w:hAnsi="Arial Narrow"/>
                <w:sz w:val="18"/>
                <w:szCs w:val="18"/>
              </w:rPr>
              <w:t>. Final report to the Australian Marine Mammal Centre and the National Environmental Research Program, James Cook University</w:t>
            </w:r>
          </w:p>
          <w:p w14:paraId="5761EF4B" w14:textId="77777777" w:rsidR="00A56EE9" w:rsidRPr="00E70A11" w:rsidRDefault="00A56EE9" w:rsidP="00BB6AD5">
            <w:pPr>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F4C"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F4D"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F58"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F4F"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defence activities is demonstrably economically sustainable</w:t>
            </w:r>
          </w:p>
        </w:tc>
        <w:tc>
          <w:tcPr>
            <w:tcW w:w="739" w:type="dxa"/>
            <w:tcBorders>
              <w:top w:val="single" w:sz="4" w:space="0" w:color="auto"/>
              <w:left w:val="single" w:sz="4" w:space="0" w:color="auto"/>
              <w:bottom w:val="single" w:sz="4" w:space="0" w:color="auto"/>
              <w:right w:val="single" w:sz="4" w:space="0" w:color="auto"/>
            </w:tcBorders>
          </w:tcPr>
          <w:p w14:paraId="5761EF50"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F5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and Defence managers appreciate that Defence use of the GBR is driven by national security and not economic drivers expressed in government policy e.g. Defence White Paper </w:t>
            </w:r>
          </w:p>
          <w:p w14:paraId="5761EF5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Defence bases at Cairns and Townsville support these regional economies. Little is known of the economic benefits of small-scale defence training activities to the coastal communities adjacent to the Region</w:t>
            </w:r>
            <w:r w:rsidRPr="00E70A11">
              <w:rPr>
                <w:rFonts w:ascii="Arial Narrow" w:hAnsi="Arial Narrow"/>
                <w:b/>
                <w:sz w:val="18"/>
                <w:szCs w:val="18"/>
              </w:rPr>
              <w:t xml:space="preserve">, </w:t>
            </w:r>
            <w:r w:rsidRPr="00E70A11">
              <w:rPr>
                <w:rFonts w:ascii="Arial Narrow" w:hAnsi="Arial Narrow"/>
                <w:sz w:val="18"/>
                <w:szCs w:val="18"/>
              </w:rPr>
              <w:t xml:space="preserve">although Talisman Saber 2017 was predicted to contribute $4 million to the Rockhampton economy and $200,000 to the Townsville economy. </w:t>
            </w:r>
          </w:p>
          <w:p w14:paraId="5761EF5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Periodic visits from U.S., New Zealand and Singapore naval ships to ports at Townsville and Cairns also generate short-term economic benefits, related to increased visitation and tourism.</w:t>
            </w:r>
          </w:p>
        </w:tc>
        <w:tc>
          <w:tcPr>
            <w:tcW w:w="5326" w:type="dxa"/>
            <w:tcBorders>
              <w:top w:val="single" w:sz="4" w:space="0" w:color="auto"/>
              <w:left w:val="single" w:sz="4" w:space="0" w:color="auto"/>
              <w:bottom w:val="single" w:sz="4" w:space="0" w:color="auto"/>
              <w:right w:val="single" w:sz="4" w:space="0" w:color="auto"/>
            </w:tcBorders>
          </w:tcPr>
          <w:p w14:paraId="5761EF5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Department of Defence 2016, </w:t>
            </w:r>
            <w:hyperlink r:id="rId682" w:history="1">
              <w:r w:rsidRPr="00E70A11">
                <w:rPr>
                  <w:rStyle w:val="Hyperlink"/>
                  <w:rFonts w:ascii="Arial Narrow" w:hAnsi="Arial Narrow"/>
                  <w:i/>
                  <w:iCs/>
                  <w:sz w:val="18"/>
                  <w:szCs w:val="18"/>
                </w:rPr>
                <w:t>Defence White Paper</w:t>
              </w:r>
            </w:hyperlink>
            <w:r w:rsidRPr="00E70A11">
              <w:rPr>
                <w:rFonts w:ascii="Arial Narrow" w:hAnsi="Arial Narrow"/>
                <w:sz w:val="18"/>
                <w:szCs w:val="18"/>
              </w:rPr>
              <w:t>, Commonwealth of Australia, Canberra.</w:t>
            </w:r>
          </w:p>
          <w:p w14:paraId="5761EF55"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F56"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F57"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F66"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F59"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defence activities is demonstrably socially sustainable understanding and/or enjoyment</w:t>
            </w:r>
          </w:p>
        </w:tc>
        <w:tc>
          <w:tcPr>
            <w:tcW w:w="739" w:type="dxa"/>
            <w:tcBorders>
              <w:top w:val="single" w:sz="4" w:space="0" w:color="auto"/>
              <w:left w:val="single" w:sz="4" w:space="0" w:color="auto"/>
              <w:bottom w:val="single" w:sz="4" w:space="0" w:color="auto"/>
              <w:right w:val="single" w:sz="4" w:space="0" w:color="auto"/>
            </w:tcBorders>
          </w:tcPr>
          <w:p w14:paraId="5761EF5A"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F5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and Defence managers appreciate that Defence use of the GBR is driven by national security.</w:t>
            </w:r>
            <w:r>
              <w:rPr>
                <w:rFonts w:ascii="Arial Narrow" w:hAnsi="Arial Narrow"/>
                <w:sz w:val="18"/>
                <w:szCs w:val="18"/>
              </w:rPr>
              <w:t xml:space="preserve"> </w:t>
            </w:r>
            <w:r w:rsidRPr="00E70A11">
              <w:rPr>
                <w:rFonts w:ascii="Arial Narrow" w:hAnsi="Arial Narrow"/>
                <w:sz w:val="18"/>
                <w:szCs w:val="18"/>
              </w:rPr>
              <w:t>While social values are acknowledged the is also recognition that Defence training is essential to provide for national security and that a presence at Shoalwater Bay, in particular, is critical to maintaining Defence’s capability.</w:t>
            </w:r>
            <w:r>
              <w:rPr>
                <w:rFonts w:ascii="Arial Narrow" w:hAnsi="Arial Narrow"/>
                <w:sz w:val="18"/>
                <w:szCs w:val="18"/>
              </w:rPr>
              <w:t xml:space="preserve"> </w:t>
            </w:r>
            <w:r w:rsidRPr="00E70A11">
              <w:rPr>
                <w:rFonts w:ascii="Arial Narrow" w:hAnsi="Arial Narrow"/>
                <w:sz w:val="18"/>
                <w:szCs w:val="18"/>
              </w:rPr>
              <w:t>While some elements of the community object to a Defence presence it would seem that Defence retains the support of the majority of the community as an environmental steward of the GBR.</w:t>
            </w:r>
          </w:p>
          <w:p w14:paraId="5761EF5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 defence presence and the associated operational activities can also help, directly and indirectly, to achieve management objectives for the Region e.g. hydrographic surveys, fisheries and border protection patrols and UXO remediation. </w:t>
            </w:r>
          </w:p>
          <w:p w14:paraId="5761EF5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Public access to Defence areas is usually restricted, therefore defence activities are unlikely to significantly affect people’s understanding and enjoyment of the area.</w:t>
            </w:r>
            <w:r>
              <w:rPr>
                <w:rFonts w:ascii="Arial Narrow" w:hAnsi="Arial Narrow"/>
                <w:sz w:val="18"/>
                <w:szCs w:val="18"/>
              </w:rPr>
              <w:t xml:space="preserve"> </w:t>
            </w:r>
            <w:r w:rsidRPr="00E70A11">
              <w:rPr>
                <w:rFonts w:ascii="Arial Narrow" w:hAnsi="Arial Narrow"/>
                <w:sz w:val="18"/>
                <w:szCs w:val="18"/>
              </w:rPr>
              <w:t>Though it is recognised that the necessity for exclusive use does the limit other opportunities for enjoyment, appreciation and pursuit of economic activities. Defence use can enhance the Aboriginal and Torres Strait Islander communities’ enjoyment and understanding as the controlled access, remoteness and conservation ethos is consistent with many aspects of traditional use and protection of values.</w:t>
            </w:r>
          </w:p>
          <w:p w14:paraId="5761EF5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Increased use of non-Defence training areas (NDTA) such as Stanage Bay and Upstart Bay during Talisman Saber 17 anticipated potential concerns of local communities. Extensive consultation was undertaken before, during and after the exercise which sought to ensure the activities were conducted in a socially responsible manner. All incidents were promptly followed up to address concerns of any stakeholder affected and rectify where possible.</w:t>
            </w:r>
            <w:r>
              <w:rPr>
                <w:rFonts w:ascii="Arial Narrow" w:hAnsi="Arial Narrow"/>
                <w:sz w:val="18"/>
                <w:szCs w:val="18"/>
              </w:rPr>
              <w:t xml:space="preserve"> </w:t>
            </w:r>
          </w:p>
          <w:p w14:paraId="5761EF5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It is reasonable that Defence consult widely and justify why training activities need to occur outside of the existing large areas that Government have specifically set aside for Defence to train.</w:t>
            </w:r>
          </w:p>
        </w:tc>
        <w:tc>
          <w:tcPr>
            <w:tcW w:w="5326" w:type="dxa"/>
            <w:tcBorders>
              <w:top w:val="single" w:sz="4" w:space="0" w:color="auto"/>
              <w:left w:val="single" w:sz="4" w:space="0" w:color="auto"/>
              <w:bottom w:val="single" w:sz="4" w:space="0" w:color="auto"/>
              <w:right w:val="single" w:sz="4" w:space="0" w:color="auto"/>
            </w:tcBorders>
          </w:tcPr>
          <w:p w14:paraId="5761EF60"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F6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F62"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683"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F63" w14:textId="77777777" w:rsidR="00A56EE9" w:rsidRPr="00E70A11" w:rsidRDefault="00A56EE9" w:rsidP="00BB6AD5">
            <w:pPr>
              <w:pStyle w:val="ListParagraph"/>
              <w:ind w:left="360"/>
              <w:rPr>
                <w:rStyle w:val="BookTitle"/>
                <w:rFonts w:ascii="Arial Narrow" w:hAnsi="Arial Narrow"/>
                <w:sz w:val="18"/>
                <w:szCs w:val="18"/>
              </w:rPr>
            </w:pPr>
          </w:p>
        </w:tc>
        <w:tc>
          <w:tcPr>
            <w:tcW w:w="976" w:type="dxa"/>
            <w:tcBorders>
              <w:top w:val="single" w:sz="4" w:space="0" w:color="auto"/>
              <w:left w:val="single" w:sz="4" w:space="0" w:color="auto"/>
              <w:bottom w:val="single" w:sz="4" w:space="0" w:color="auto"/>
              <w:right w:val="single" w:sz="4" w:space="0" w:color="auto"/>
            </w:tcBorders>
          </w:tcPr>
          <w:p w14:paraId="5761EF64"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F65"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r w:rsidR="00A56EE9" w:rsidRPr="00E70A11" w14:paraId="5761EF75" w14:textId="77777777" w:rsidTr="00BB6AD5">
        <w:trPr>
          <w:trHeight w:val="170"/>
        </w:trPr>
        <w:tc>
          <w:tcPr>
            <w:tcW w:w="2302" w:type="dxa"/>
            <w:tcBorders>
              <w:top w:val="single" w:sz="4" w:space="0" w:color="auto"/>
              <w:left w:val="single" w:sz="4" w:space="0" w:color="auto"/>
              <w:bottom w:val="single" w:sz="4" w:space="0" w:color="auto"/>
              <w:right w:val="single" w:sz="4" w:space="0" w:color="auto"/>
            </w:tcBorders>
          </w:tcPr>
          <w:p w14:paraId="5761EF67"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defence activities </w:t>
            </w:r>
          </w:p>
        </w:tc>
        <w:tc>
          <w:tcPr>
            <w:tcW w:w="739" w:type="dxa"/>
            <w:tcBorders>
              <w:top w:val="single" w:sz="4" w:space="0" w:color="auto"/>
              <w:left w:val="single" w:sz="4" w:space="0" w:color="auto"/>
              <w:bottom w:val="single" w:sz="4" w:space="0" w:color="auto"/>
              <w:right w:val="single" w:sz="4" w:space="0" w:color="auto"/>
            </w:tcBorders>
          </w:tcPr>
          <w:p w14:paraId="5761EF68" w14:textId="77777777" w:rsidR="00A56EE9" w:rsidRPr="00E70A11" w:rsidRDefault="00A56EE9" w:rsidP="00BB6AD5">
            <w:pPr>
              <w:pStyle w:val="Tablebulletlist"/>
              <w:rPr>
                <w:rStyle w:val="BookTitle"/>
              </w:rPr>
            </w:pPr>
            <w:r w:rsidRPr="00E70A11">
              <w:rPr>
                <w:rStyle w:val="BookTitle"/>
              </w:rPr>
              <w:t>4</w:t>
            </w:r>
          </w:p>
        </w:tc>
        <w:tc>
          <w:tcPr>
            <w:tcW w:w="4580" w:type="dxa"/>
            <w:tcBorders>
              <w:top w:val="single" w:sz="4" w:space="0" w:color="auto"/>
              <w:left w:val="single" w:sz="4" w:space="0" w:color="auto"/>
              <w:bottom w:val="single" w:sz="4" w:space="0" w:color="auto"/>
              <w:right w:val="single" w:sz="4" w:space="0" w:color="auto"/>
            </w:tcBorders>
          </w:tcPr>
          <w:p w14:paraId="5761EF6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Defence and Queensland agencies are all involved in the Defence Training Area Environmental Advisory Committees (EAC’s – e.g. Shoalwater Bay) which are considered to provide effective forums for feedback to Defence by the community and key stakeholders in relation to Defence activities </w:t>
            </w:r>
          </w:p>
          <w:p w14:paraId="5761EF6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major Defence exercise program e.g. Talisman Saber also provides opportunities for Defence to consult with stakeholders about its use of the GBR and its record of environmental management performance.</w:t>
            </w:r>
          </w:p>
          <w:p w14:paraId="5761EF6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Defence has developed good partnerships with local communities/other stakeholders and regulators that support the observation that its use of areas for training has become less contentious over the past 15 - 20 years.</w:t>
            </w:r>
          </w:p>
        </w:tc>
        <w:tc>
          <w:tcPr>
            <w:tcW w:w="5326" w:type="dxa"/>
            <w:tcBorders>
              <w:top w:val="single" w:sz="4" w:space="0" w:color="auto"/>
              <w:left w:val="single" w:sz="4" w:space="0" w:color="auto"/>
              <w:bottom w:val="single" w:sz="4" w:space="0" w:color="auto"/>
              <w:right w:val="single" w:sz="4" w:space="0" w:color="auto"/>
            </w:tcBorders>
          </w:tcPr>
          <w:p w14:paraId="5761EF6C"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 xml:space="preserve">Wu, W., Wang, X., Paull, D. and Kesby, J. 2010, </w:t>
            </w:r>
            <w:hyperlink r:id="rId684" w:history="1">
              <w:r w:rsidRPr="00E70A11">
                <w:rPr>
                  <w:rStyle w:val="Hyperlink"/>
                  <w:rFonts w:ascii="Arial Narrow" w:hAnsi="Arial Narrow"/>
                  <w:sz w:val="18"/>
                  <w:szCs w:val="18"/>
                  <w:lang w:val="en"/>
                </w:rPr>
                <w:t>Defence force activities in marine protected areas: environmental management of Shoalwater Bay Training Area</w:t>
              </w:r>
            </w:hyperlink>
          </w:p>
          <w:p w14:paraId="5761EF6D"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685" w:history="1">
              <w:r w:rsidR="00A56EE9" w:rsidRPr="00E70A11">
                <w:rPr>
                  <w:rStyle w:val="Hyperlink"/>
                  <w:rFonts w:ascii="Arial Narrow" w:hAnsi="Arial Narrow"/>
                  <w:sz w:val="18"/>
                  <w:szCs w:val="18"/>
                  <w:lang w:val="en"/>
                </w:rPr>
                <w:t>Talisman Saber 2013 Public Environment Report</w:t>
              </w:r>
            </w:hyperlink>
            <w:r w:rsidR="00A56EE9" w:rsidRPr="00E70A11">
              <w:rPr>
                <w:rFonts w:ascii="Arial Narrow" w:hAnsi="Arial Narrow"/>
                <w:sz w:val="18"/>
                <w:szCs w:val="18"/>
                <w:lang w:val="en"/>
              </w:rPr>
              <w:t xml:space="preserve"> (</w:t>
            </w:r>
            <w:r w:rsidR="00A56EE9" w:rsidRPr="00E70A11">
              <w:rPr>
                <w:rFonts w:ascii="Arial Narrow" w:hAnsi="Arial Narrow"/>
                <w:i/>
                <w:sz w:val="18"/>
                <w:szCs w:val="18"/>
                <w:lang w:val="en"/>
              </w:rPr>
              <w:t>final report</w:t>
            </w:r>
            <w:r w:rsidR="00A56EE9" w:rsidRPr="00E70A11">
              <w:rPr>
                <w:rFonts w:ascii="Arial Narrow" w:hAnsi="Arial Narrow"/>
                <w:sz w:val="18"/>
                <w:szCs w:val="18"/>
                <w:lang w:val="en"/>
              </w:rPr>
              <w:t xml:space="preserve">) </w:t>
            </w:r>
          </w:p>
          <w:p w14:paraId="5761EF6E"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rPr>
              <w:t xml:space="preserve">Bowett, J. Davidson, A. Danvers, T. (2012) </w:t>
            </w:r>
            <w:hyperlink r:id="rId686" w:history="1">
              <w:r w:rsidRPr="00E70A11">
                <w:rPr>
                  <w:rStyle w:val="Hyperlink"/>
                  <w:rFonts w:ascii="Arial Narrow" w:hAnsi="Arial Narrow"/>
                  <w:sz w:val="18"/>
                  <w:szCs w:val="18"/>
                </w:rPr>
                <w:t>Innovation in Management: Shoalwater Bay Training Area: capability, conservation and collaboration</w:t>
              </w:r>
            </w:hyperlink>
            <w:r w:rsidRPr="00E70A11">
              <w:rPr>
                <w:rFonts w:ascii="Arial Narrow" w:hAnsi="Arial Narrow"/>
                <w:sz w:val="18"/>
                <w:szCs w:val="18"/>
              </w:rPr>
              <w:t>; The Nature Conservancy</w:t>
            </w:r>
          </w:p>
          <w:p w14:paraId="5761EF6F"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Talisman Saber exercise series:</w:t>
            </w:r>
          </w:p>
          <w:p w14:paraId="5761EF7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TS15 PER and associated documentation </w:t>
            </w:r>
          </w:p>
          <w:p w14:paraId="5761EF71" w14:textId="77777777" w:rsidR="00A56EE9" w:rsidRPr="00E70A11" w:rsidRDefault="008B5998" w:rsidP="00A11869">
            <w:pPr>
              <w:pStyle w:val="ListParagraph"/>
              <w:numPr>
                <w:ilvl w:val="0"/>
                <w:numId w:val="24"/>
              </w:numPr>
              <w:spacing w:after="200" w:line="276" w:lineRule="auto"/>
              <w:rPr>
                <w:rFonts w:ascii="Arial Narrow" w:hAnsi="Arial Narrow"/>
                <w:b/>
                <w:sz w:val="18"/>
                <w:szCs w:val="18"/>
                <w:u w:val="single"/>
              </w:rPr>
            </w:pPr>
            <w:hyperlink r:id="rId687" w:history="1">
              <w:r w:rsidR="00A56EE9" w:rsidRPr="00E70A11">
                <w:rPr>
                  <w:rStyle w:val="Hyperlink"/>
                  <w:rFonts w:ascii="Arial Narrow" w:hAnsi="Arial Narrow"/>
                  <w:sz w:val="18"/>
                  <w:szCs w:val="18"/>
                </w:rPr>
                <w:t>TS17</w:t>
              </w:r>
              <w:r w:rsidR="00A56EE9" w:rsidRPr="00E70A11">
                <w:rPr>
                  <w:rStyle w:val="Hyperlink"/>
                  <w:rFonts w:ascii="Arial Narrow" w:hAnsi="Arial Narrow"/>
                  <w:sz w:val="18"/>
                  <w:szCs w:val="18"/>
                  <w:lang w:val="en"/>
                </w:rPr>
                <w:t xml:space="preserve"> PER, technical reports, videos and post exercise report</w:t>
              </w:r>
            </w:hyperlink>
            <w:r w:rsidR="00A56EE9" w:rsidRPr="00E70A11">
              <w:rPr>
                <w:rFonts w:ascii="Arial Narrow" w:hAnsi="Arial Narrow"/>
                <w:sz w:val="18"/>
                <w:szCs w:val="18"/>
                <w:u w:val="single"/>
              </w:rPr>
              <w:t xml:space="preserve"> </w:t>
            </w:r>
          </w:p>
          <w:p w14:paraId="5761EF7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Defence webpage for </w:t>
            </w:r>
            <w:hyperlink r:id="rId688" w:history="1">
              <w:r w:rsidRPr="00E70A11">
                <w:rPr>
                  <w:rStyle w:val="Hyperlink"/>
                  <w:rFonts w:ascii="Arial Narrow" w:hAnsi="Arial Narrow"/>
                  <w:sz w:val="18"/>
                  <w:szCs w:val="18"/>
                </w:rPr>
                <w:t>Talisman Saber exercise</w:t>
              </w:r>
            </w:hyperlink>
          </w:p>
        </w:tc>
        <w:tc>
          <w:tcPr>
            <w:tcW w:w="976" w:type="dxa"/>
            <w:tcBorders>
              <w:top w:val="single" w:sz="4" w:space="0" w:color="auto"/>
              <w:left w:val="single" w:sz="4" w:space="0" w:color="auto"/>
              <w:bottom w:val="single" w:sz="4" w:space="0" w:color="auto"/>
              <w:right w:val="single" w:sz="4" w:space="0" w:color="auto"/>
            </w:tcBorders>
          </w:tcPr>
          <w:p w14:paraId="5761EF73" w14:textId="77777777" w:rsidR="00A56EE9" w:rsidRPr="00E70A11" w:rsidRDefault="00A56EE9" w:rsidP="00BB6AD5">
            <w:pPr>
              <w:pStyle w:val="Tablebulletlist"/>
              <w:rPr>
                <w:rStyle w:val="BookTitle"/>
              </w:rPr>
            </w:pPr>
            <w:r w:rsidRPr="00E70A11">
              <w:rPr>
                <w:rStyle w:val="BookTitle"/>
                <w:color w:val="000000" w:themeColor="text1"/>
              </w:rPr>
              <w:t>Adequate</w:t>
            </w:r>
          </w:p>
        </w:tc>
        <w:tc>
          <w:tcPr>
            <w:tcW w:w="865" w:type="dxa"/>
            <w:tcBorders>
              <w:top w:val="single" w:sz="4" w:space="0" w:color="auto"/>
              <w:left w:val="single" w:sz="4" w:space="0" w:color="auto"/>
              <w:bottom w:val="single" w:sz="4" w:space="0" w:color="auto"/>
              <w:right w:val="single" w:sz="4" w:space="0" w:color="auto"/>
            </w:tcBorders>
          </w:tcPr>
          <w:p w14:paraId="5761EF74" w14:textId="77777777" w:rsidR="00A56EE9" w:rsidRPr="00E70A11" w:rsidRDefault="00A56EE9" w:rsidP="00BB6AD5">
            <w:pPr>
              <w:pStyle w:val="Tablebulletlist"/>
              <w:rPr>
                <w:rStyle w:val="BookTitle"/>
              </w:rPr>
            </w:pPr>
            <w:r w:rsidRPr="00E70A11">
              <w:rPr>
                <w:rStyle w:val="BookTitle"/>
                <w:color w:val="000000" w:themeColor="text1"/>
              </w:rPr>
              <w:t xml:space="preserve">Stable </w:t>
            </w:r>
          </w:p>
        </w:tc>
      </w:tr>
    </w:tbl>
    <w:p w14:paraId="5761EF7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br w:type="page"/>
      </w:r>
    </w:p>
    <w:p w14:paraId="5761EF77" w14:textId="55DFBCFF" w:rsidR="00A56EE9" w:rsidRPr="00E70A11" w:rsidRDefault="00A56EE9" w:rsidP="009C7D6F">
      <w:pPr>
        <w:pStyle w:val="Heading4"/>
      </w:pPr>
      <w:bookmarkStart w:id="193" w:name="_Toc369686747"/>
      <w:bookmarkStart w:id="194" w:name="_Toc522532005"/>
      <w:bookmarkStart w:id="195" w:name="_Toc525654472"/>
      <w:bookmarkStart w:id="196" w:name="_Toc369686750"/>
      <w:r>
        <w:t xml:space="preserve">Table </w:t>
      </w:r>
      <w:r>
        <w:rPr>
          <w:noProof/>
        </w:rPr>
        <w:fldChar w:fldCharType="begin"/>
      </w:r>
      <w:r>
        <w:rPr>
          <w:noProof/>
        </w:rPr>
        <w:instrText xml:space="preserve"> SEQ Table \* ARABIC </w:instrText>
      </w:r>
      <w:r>
        <w:rPr>
          <w:noProof/>
        </w:rPr>
        <w:fldChar w:fldCharType="separate"/>
      </w:r>
      <w:r w:rsidR="00A4170C">
        <w:rPr>
          <w:noProof/>
        </w:rPr>
        <w:t>27</w:t>
      </w:r>
      <w:r>
        <w:rPr>
          <w:noProof/>
        </w:rPr>
        <w:fldChar w:fldCharType="end"/>
      </w:r>
      <w:r>
        <w:t xml:space="preserve"> </w:t>
      </w:r>
      <w:r w:rsidRPr="00E70A11">
        <w:t>Calculation of grades for fishing (commercial)</w:t>
      </w:r>
      <w:bookmarkEnd w:id="193"/>
      <w:bookmarkEnd w:id="194"/>
      <w:bookmarkEnd w:id="19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27 Calculation of grades for fishing (commercial)"/>
        <w:tblDescription w:val="Table showing the ratings,  justificaiton and evidence for each of the components for the management effectiveness for fishing (commercial).  Confidence in the assessment and trend since Outlook 2014 is also provided"/>
      </w:tblPr>
      <w:tblGrid>
        <w:gridCol w:w="2461"/>
        <w:gridCol w:w="1366"/>
        <w:gridCol w:w="3727"/>
        <w:gridCol w:w="4347"/>
        <w:gridCol w:w="986"/>
        <w:gridCol w:w="1061"/>
      </w:tblGrid>
      <w:tr w:rsidR="00A56EE9" w:rsidRPr="00E70A11" w14:paraId="5761EF7E"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EF78" w14:textId="77777777" w:rsidR="00A56EE9" w:rsidRPr="00E70A11" w:rsidRDefault="00A56EE9" w:rsidP="00BB6AD5">
            <w:pPr>
              <w:pStyle w:val="Tablebulletlist"/>
              <w:rPr>
                <w:rStyle w:val="BookTitle"/>
              </w:rPr>
            </w:pPr>
            <w:r w:rsidRPr="00E70A11">
              <w:rPr>
                <w:rStyle w:val="BookTitle"/>
              </w:rPr>
              <w:t>Component of Management</w:t>
            </w:r>
          </w:p>
        </w:tc>
        <w:tc>
          <w:tcPr>
            <w:tcW w:w="1505" w:type="dxa"/>
            <w:tcBorders>
              <w:top w:val="single" w:sz="4" w:space="0" w:color="auto"/>
              <w:left w:val="single" w:sz="4" w:space="0" w:color="auto"/>
              <w:bottom w:val="single" w:sz="4" w:space="0" w:color="auto"/>
              <w:right w:val="single" w:sz="4" w:space="0" w:color="auto"/>
            </w:tcBorders>
          </w:tcPr>
          <w:p w14:paraId="5761EF79" w14:textId="77777777" w:rsidR="00A56EE9" w:rsidRPr="00E70A11" w:rsidRDefault="00A56EE9" w:rsidP="00BB6AD5">
            <w:pPr>
              <w:pStyle w:val="Tablebulletlist"/>
              <w:rPr>
                <w:rStyle w:val="BookTitle"/>
              </w:rPr>
            </w:pPr>
            <w:r w:rsidRPr="00E70A11">
              <w:rPr>
                <w:rStyle w:val="BookTitle"/>
              </w:rPr>
              <w:t>Rating</w:t>
            </w:r>
          </w:p>
        </w:tc>
        <w:tc>
          <w:tcPr>
            <w:tcW w:w="3961" w:type="dxa"/>
            <w:tcBorders>
              <w:top w:val="single" w:sz="4" w:space="0" w:color="auto"/>
              <w:left w:val="single" w:sz="4" w:space="0" w:color="auto"/>
              <w:bottom w:val="single" w:sz="4" w:space="0" w:color="auto"/>
              <w:right w:val="single" w:sz="4" w:space="0" w:color="auto"/>
            </w:tcBorders>
          </w:tcPr>
          <w:p w14:paraId="5761EF7A" w14:textId="77777777" w:rsidR="00A56EE9" w:rsidRPr="00E70A11" w:rsidRDefault="00A56EE9" w:rsidP="00BB6AD5">
            <w:pPr>
              <w:pStyle w:val="Tablebulletlist"/>
              <w:rPr>
                <w:rStyle w:val="BookTitle"/>
              </w:rPr>
            </w:pPr>
            <w:r w:rsidRPr="00E70A11">
              <w:rPr>
                <w:rStyle w:val="BookTitle"/>
              </w:rPr>
              <w:t>Justification</w:t>
            </w:r>
          </w:p>
        </w:tc>
        <w:tc>
          <w:tcPr>
            <w:tcW w:w="4356" w:type="dxa"/>
            <w:tcBorders>
              <w:top w:val="single" w:sz="4" w:space="0" w:color="auto"/>
              <w:left w:val="single" w:sz="4" w:space="0" w:color="auto"/>
              <w:bottom w:val="single" w:sz="4" w:space="0" w:color="auto"/>
              <w:right w:val="single" w:sz="4" w:space="0" w:color="auto"/>
            </w:tcBorders>
          </w:tcPr>
          <w:p w14:paraId="5761EF7B" w14:textId="77777777" w:rsidR="00A56EE9" w:rsidRPr="00E70A11" w:rsidRDefault="00A56EE9" w:rsidP="00BB6AD5">
            <w:pPr>
              <w:pStyle w:val="Tablebulletlist"/>
              <w:rPr>
                <w:rStyle w:val="BookTitle"/>
              </w:rPr>
            </w:pPr>
            <w:r w:rsidRPr="00E70A11">
              <w:rPr>
                <w:rStyle w:val="BookTitle"/>
              </w:rPr>
              <w:t>Evidence/sources</w:t>
            </w:r>
          </w:p>
        </w:tc>
        <w:tc>
          <w:tcPr>
            <w:tcW w:w="990" w:type="dxa"/>
            <w:tcBorders>
              <w:top w:val="single" w:sz="4" w:space="0" w:color="auto"/>
              <w:left w:val="single" w:sz="4" w:space="0" w:color="auto"/>
              <w:bottom w:val="single" w:sz="4" w:space="0" w:color="auto"/>
              <w:right w:val="single" w:sz="4" w:space="0" w:color="auto"/>
            </w:tcBorders>
          </w:tcPr>
          <w:p w14:paraId="5761EF7C" w14:textId="77777777" w:rsidR="00A56EE9" w:rsidRPr="00E70A11" w:rsidRDefault="00A56EE9" w:rsidP="00BB6AD5">
            <w:pPr>
              <w:pStyle w:val="Tablebulletlist"/>
              <w:rPr>
                <w:rStyle w:val="BookTitle"/>
              </w:rPr>
            </w:pPr>
            <w:r w:rsidRPr="00E70A11">
              <w:rPr>
                <w:rStyle w:val="BookTitle"/>
              </w:rPr>
              <w:t>Confidence</w:t>
            </w:r>
          </w:p>
        </w:tc>
        <w:tc>
          <w:tcPr>
            <w:tcW w:w="1061" w:type="dxa"/>
            <w:tcBorders>
              <w:top w:val="single" w:sz="4" w:space="0" w:color="auto"/>
              <w:left w:val="single" w:sz="4" w:space="0" w:color="auto"/>
              <w:bottom w:val="single" w:sz="4" w:space="0" w:color="auto"/>
              <w:right w:val="single" w:sz="4" w:space="0" w:color="auto"/>
            </w:tcBorders>
          </w:tcPr>
          <w:p w14:paraId="5761EF7D"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1EF85"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shd w:val="clear" w:color="auto" w:fill="EEECE1"/>
          </w:tcPr>
          <w:p w14:paraId="5761EF7F" w14:textId="77777777" w:rsidR="00A56EE9" w:rsidRPr="00E70A11" w:rsidRDefault="00A56EE9" w:rsidP="00BB6AD5">
            <w:pPr>
              <w:pStyle w:val="Tablebulletlist"/>
              <w:rPr>
                <w:rStyle w:val="BookTitle"/>
              </w:rPr>
            </w:pPr>
            <w:r w:rsidRPr="00E70A11">
              <w:rPr>
                <w:rStyle w:val="BookTitle"/>
              </w:rPr>
              <w:t>CONTEXT</w:t>
            </w:r>
          </w:p>
        </w:tc>
        <w:tc>
          <w:tcPr>
            <w:tcW w:w="1505" w:type="dxa"/>
            <w:tcBorders>
              <w:top w:val="single" w:sz="4" w:space="0" w:color="auto"/>
              <w:left w:val="single" w:sz="4" w:space="0" w:color="auto"/>
              <w:bottom w:val="single" w:sz="4" w:space="0" w:color="auto"/>
              <w:right w:val="single" w:sz="4" w:space="0" w:color="auto"/>
            </w:tcBorders>
            <w:shd w:val="clear" w:color="auto" w:fill="EEECE1"/>
          </w:tcPr>
          <w:p w14:paraId="5761EF80" w14:textId="77777777" w:rsidR="00A56EE9" w:rsidRPr="00E70A11" w:rsidRDefault="00A56EE9" w:rsidP="00BB6AD5">
            <w:pPr>
              <w:pStyle w:val="Tablebulletlist"/>
              <w:rPr>
                <w:rStyle w:val="BookTitle"/>
              </w:rPr>
            </w:pPr>
          </w:p>
        </w:tc>
        <w:tc>
          <w:tcPr>
            <w:tcW w:w="3961" w:type="dxa"/>
            <w:tcBorders>
              <w:top w:val="single" w:sz="4" w:space="0" w:color="auto"/>
              <w:left w:val="single" w:sz="4" w:space="0" w:color="auto"/>
              <w:bottom w:val="single" w:sz="4" w:space="0" w:color="auto"/>
              <w:right w:val="single" w:sz="4" w:space="0" w:color="auto"/>
            </w:tcBorders>
            <w:shd w:val="clear" w:color="auto" w:fill="EEECE1"/>
          </w:tcPr>
          <w:p w14:paraId="5761EF81" w14:textId="77777777" w:rsidR="00A56EE9" w:rsidRPr="00E70A11" w:rsidRDefault="00A56EE9" w:rsidP="00BB6AD5">
            <w:pPr>
              <w:pStyle w:val="Tablebulletlist"/>
              <w:rPr>
                <w:rStyle w:val="BookTitle"/>
              </w:rPr>
            </w:pPr>
          </w:p>
        </w:tc>
        <w:tc>
          <w:tcPr>
            <w:tcW w:w="4356" w:type="dxa"/>
            <w:tcBorders>
              <w:top w:val="single" w:sz="4" w:space="0" w:color="auto"/>
              <w:left w:val="single" w:sz="4" w:space="0" w:color="auto"/>
              <w:bottom w:val="single" w:sz="4" w:space="0" w:color="auto"/>
              <w:right w:val="single" w:sz="4" w:space="0" w:color="auto"/>
            </w:tcBorders>
            <w:shd w:val="clear" w:color="auto" w:fill="EEECE1"/>
          </w:tcPr>
          <w:p w14:paraId="5761EF82" w14:textId="77777777" w:rsidR="00A56EE9" w:rsidRPr="00E70A11" w:rsidRDefault="00A56EE9" w:rsidP="00BB6AD5">
            <w:pPr>
              <w:pStyle w:val="Tablebulletlist"/>
              <w:rPr>
                <w:rStyle w:val="BookTitle"/>
              </w:rPr>
            </w:pPr>
          </w:p>
        </w:tc>
        <w:tc>
          <w:tcPr>
            <w:tcW w:w="990" w:type="dxa"/>
            <w:tcBorders>
              <w:top w:val="single" w:sz="4" w:space="0" w:color="auto"/>
              <w:left w:val="single" w:sz="4" w:space="0" w:color="auto"/>
              <w:bottom w:val="single" w:sz="4" w:space="0" w:color="auto"/>
              <w:right w:val="single" w:sz="4" w:space="0" w:color="auto"/>
            </w:tcBorders>
            <w:shd w:val="clear" w:color="auto" w:fill="EEECE1"/>
          </w:tcPr>
          <w:p w14:paraId="5761EF83"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EECE1"/>
          </w:tcPr>
          <w:p w14:paraId="5761EF84" w14:textId="77777777" w:rsidR="00A56EE9" w:rsidRPr="00E70A11" w:rsidRDefault="00A56EE9" w:rsidP="00BB6AD5">
            <w:pPr>
              <w:pStyle w:val="Tablebulletlist"/>
              <w:rPr>
                <w:rStyle w:val="BookTitle"/>
              </w:rPr>
            </w:pPr>
          </w:p>
        </w:tc>
      </w:tr>
      <w:tr w:rsidR="00A56EE9" w:rsidRPr="00E70A11" w14:paraId="5761EF9D"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EF86" w14:textId="77777777" w:rsidR="00A56EE9" w:rsidRPr="00E70A11" w:rsidRDefault="00A56EE9" w:rsidP="00BB6AD5">
            <w:pPr>
              <w:pStyle w:val="Tablebulletlist"/>
              <w:rPr>
                <w:rStyle w:val="BookTitle"/>
              </w:rPr>
            </w:pPr>
            <w:r w:rsidRPr="00E70A11">
              <w:rPr>
                <w:rStyle w:val="BookTitle"/>
              </w:rPr>
              <w:t>CO1</w:t>
            </w:r>
            <w:r>
              <w:rPr>
                <w:rStyle w:val="BookTitle"/>
              </w:rPr>
              <w:t xml:space="preserve"> </w:t>
            </w:r>
            <w:r w:rsidRPr="00E70A11">
              <w:rPr>
                <w:rStyle w:val="BookTitle"/>
              </w:rPr>
              <w:t>The values of the Great Barrier Reef relevant to commercial fishing are understood by managers</w:t>
            </w:r>
          </w:p>
        </w:tc>
        <w:tc>
          <w:tcPr>
            <w:tcW w:w="1505" w:type="dxa"/>
            <w:tcBorders>
              <w:top w:val="single" w:sz="4" w:space="0" w:color="auto"/>
              <w:left w:val="single" w:sz="4" w:space="0" w:color="auto"/>
              <w:bottom w:val="single" w:sz="4" w:space="0" w:color="auto"/>
              <w:right w:val="single" w:sz="4" w:space="0" w:color="auto"/>
            </w:tcBorders>
          </w:tcPr>
          <w:p w14:paraId="5761EF87" w14:textId="77777777" w:rsidR="00A56EE9" w:rsidRPr="00E70A11" w:rsidRDefault="00A56EE9" w:rsidP="00BB6AD5">
            <w:pPr>
              <w:pStyle w:val="Tablebulletlist"/>
              <w:rPr>
                <w:rStyle w:val="BookTitle"/>
              </w:rPr>
            </w:pPr>
          </w:p>
          <w:p w14:paraId="5761EF8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3961" w:type="dxa"/>
            <w:tcBorders>
              <w:top w:val="single" w:sz="4" w:space="0" w:color="auto"/>
              <w:left w:val="single" w:sz="4" w:space="0" w:color="auto"/>
              <w:bottom w:val="single" w:sz="4" w:space="0" w:color="auto"/>
              <w:right w:val="single" w:sz="4" w:space="0" w:color="auto"/>
            </w:tcBorders>
          </w:tcPr>
          <w:p w14:paraId="5761EF89" w14:textId="77777777" w:rsidR="00A56EE9" w:rsidRPr="004C7930" w:rsidRDefault="00A56EE9" w:rsidP="00A11869">
            <w:pPr>
              <w:pStyle w:val="ListParagraph"/>
              <w:numPr>
                <w:ilvl w:val="0"/>
                <w:numId w:val="24"/>
              </w:numPr>
              <w:spacing w:after="200" w:line="276" w:lineRule="auto"/>
              <w:rPr>
                <w:rFonts w:ascii="Arial Narrow" w:hAnsi="Arial Narrow"/>
                <w:sz w:val="18"/>
                <w:szCs w:val="18"/>
              </w:rPr>
            </w:pPr>
            <w:r w:rsidRPr="004C7930">
              <w:rPr>
                <w:rFonts w:ascii="Arial Narrow" w:hAnsi="Arial Narrow"/>
                <w:bCs/>
                <w:sz w:val="18"/>
                <w:szCs w:val="18"/>
              </w:rPr>
              <w:t>The economic and social value of commercial fisheries in the Region are understood.</w:t>
            </w:r>
          </w:p>
          <w:p w14:paraId="5761EF8A" w14:textId="77777777" w:rsidR="00A56EE9" w:rsidRPr="004C7930" w:rsidRDefault="00A56EE9" w:rsidP="00A11869">
            <w:pPr>
              <w:pStyle w:val="ListParagraph"/>
              <w:numPr>
                <w:ilvl w:val="0"/>
                <w:numId w:val="24"/>
              </w:numPr>
              <w:spacing w:after="200" w:line="276" w:lineRule="auto"/>
              <w:rPr>
                <w:rFonts w:ascii="Arial Narrow" w:hAnsi="Arial Narrow"/>
                <w:sz w:val="18"/>
                <w:szCs w:val="18"/>
              </w:rPr>
            </w:pPr>
            <w:r w:rsidRPr="004C7930">
              <w:rPr>
                <w:rFonts w:ascii="Arial Narrow" w:hAnsi="Arial Narrow"/>
                <w:bCs/>
                <w:sz w:val="18"/>
                <w:szCs w:val="18"/>
              </w:rPr>
              <w:t>The ecosystems that underpin commercial fishing are known but precise effect from ecosystem degradation on fisheries productivity is not understood the impacts of the net and line East Coast Inshore Fin Fish Fishery on the seabed communities and ecosystem structures are considered negligible</w:t>
            </w:r>
          </w:p>
          <w:p w14:paraId="5761EF8B" w14:textId="77777777" w:rsidR="00A56EE9" w:rsidRPr="004C7930" w:rsidRDefault="00A56EE9" w:rsidP="00A11869">
            <w:pPr>
              <w:pStyle w:val="ListParagraph"/>
              <w:numPr>
                <w:ilvl w:val="0"/>
                <w:numId w:val="24"/>
              </w:numPr>
              <w:spacing w:after="200" w:line="276" w:lineRule="auto"/>
              <w:rPr>
                <w:rFonts w:ascii="Arial Narrow" w:hAnsi="Arial Narrow"/>
                <w:bCs/>
                <w:sz w:val="18"/>
                <w:szCs w:val="18"/>
              </w:rPr>
            </w:pPr>
            <w:r w:rsidRPr="004C7930">
              <w:rPr>
                <w:rFonts w:ascii="Arial Narrow" w:hAnsi="Arial Narrow"/>
                <w:bCs/>
                <w:sz w:val="18"/>
                <w:szCs w:val="18"/>
              </w:rPr>
              <w:t>The Queensland Sustainable Fisheries Strategy 2017-2027 commits to 10 major reform areas, including improved monitoring and research and environmental risk assessments, which will improve understanding of GBR values.</w:t>
            </w:r>
          </w:p>
          <w:p w14:paraId="5761EF8C" w14:textId="77777777" w:rsidR="00A56EE9" w:rsidRPr="004A60BB" w:rsidRDefault="00A56EE9" w:rsidP="00A11869">
            <w:pPr>
              <w:pStyle w:val="ListParagraph"/>
              <w:numPr>
                <w:ilvl w:val="0"/>
                <w:numId w:val="24"/>
              </w:numPr>
              <w:spacing w:after="200" w:line="276" w:lineRule="auto"/>
              <w:rPr>
                <w:rFonts w:ascii="Arial Narrow" w:hAnsi="Arial Narrow"/>
                <w:bCs/>
                <w:sz w:val="18"/>
                <w:szCs w:val="18"/>
              </w:rPr>
            </w:pPr>
            <w:r w:rsidRPr="004A60BB">
              <w:rPr>
                <w:rFonts w:ascii="Arial Narrow" w:hAnsi="Arial Narrow"/>
                <w:bCs/>
                <w:sz w:val="18"/>
                <w:szCs w:val="18"/>
              </w:rPr>
              <w:t>ERA guideline was published in early 2018 and will guide the work on ERAs</w:t>
            </w:r>
          </w:p>
          <w:p w14:paraId="5761EF8D" w14:textId="77777777" w:rsidR="00A56EE9" w:rsidRPr="004C7930" w:rsidRDefault="00A56EE9" w:rsidP="00A11869">
            <w:pPr>
              <w:pStyle w:val="ListParagraph"/>
              <w:numPr>
                <w:ilvl w:val="0"/>
                <w:numId w:val="24"/>
              </w:numPr>
              <w:spacing w:after="200" w:line="276" w:lineRule="auto"/>
              <w:rPr>
                <w:rFonts w:ascii="Arial Narrow" w:hAnsi="Arial Narrow"/>
                <w:bCs/>
                <w:sz w:val="18"/>
                <w:szCs w:val="18"/>
              </w:rPr>
            </w:pPr>
            <w:r>
              <w:rPr>
                <w:rFonts w:ascii="Arial Narrow" w:hAnsi="Arial Narrow"/>
                <w:bCs/>
                <w:sz w:val="18"/>
                <w:szCs w:val="18"/>
              </w:rPr>
              <w:t>An example of understanding is a</w:t>
            </w:r>
            <w:r w:rsidRPr="004C7930">
              <w:rPr>
                <w:rFonts w:ascii="Arial Narrow" w:hAnsi="Arial Narrow"/>
                <w:bCs/>
                <w:sz w:val="18"/>
                <w:szCs w:val="18"/>
              </w:rPr>
              <w:t xml:space="preserve">n assessment of the Queensland East Coast Inshore Fin Fish Fishery and other fisheries assessments outline gear used for commercial fishing, commercial harvest for 2011-2015, and the value of the harvest </w:t>
            </w:r>
          </w:p>
          <w:p w14:paraId="5761EF8E" w14:textId="77777777" w:rsidR="00A56EE9" w:rsidRPr="004C7930" w:rsidRDefault="00A56EE9" w:rsidP="00A11869">
            <w:pPr>
              <w:pStyle w:val="ListParagraph"/>
              <w:numPr>
                <w:ilvl w:val="0"/>
                <w:numId w:val="24"/>
              </w:numPr>
              <w:spacing w:after="200" w:line="276" w:lineRule="auto"/>
              <w:rPr>
                <w:rFonts w:ascii="Arial Narrow" w:hAnsi="Arial Narrow"/>
                <w:bCs/>
                <w:sz w:val="18"/>
                <w:szCs w:val="18"/>
              </w:rPr>
            </w:pPr>
            <w:r w:rsidRPr="004C7930">
              <w:rPr>
                <w:rFonts w:ascii="Arial Narrow" w:hAnsi="Arial Narrow"/>
                <w:bCs/>
                <w:sz w:val="18"/>
                <w:szCs w:val="18"/>
              </w:rPr>
              <w:t xml:space="preserve">The impact of net fishing on values was recognised, with three net-free fishing zones introduced in Cains, Mackey and Rockhampton. </w:t>
            </w:r>
          </w:p>
          <w:p w14:paraId="5761EF8F" w14:textId="77777777" w:rsidR="00A56EE9" w:rsidRPr="004C7930" w:rsidRDefault="00A56EE9" w:rsidP="00A11869">
            <w:pPr>
              <w:pStyle w:val="ListParagraph"/>
              <w:numPr>
                <w:ilvl w:val="0"/>
                <w:numId w:val="24"/>
              </w:numPr>
              <w:spacing w:after="200" w:line="276" w:lineRule="auto"/>
              <w:rPr>
                <w:rFonts w:ascii="Arial Narrow" w:hAnsi="Arial Narrow"/>
                <w:bCs/>
                <w:sz w:val="18"/>
                <w:szCs w:val="18"/>
              </w:rPr>
            </w:pPr>
            <w:r w:rsidRPr="004C7930">
              <w:rPr>
                <w:rFonts w:ascii="Arial Narrow" w:hAnsi="Arial Narrow"/>
                <w:bCs/>
                <w:sz w:val="18"/>
                <w:szCs w:val="18"/>
              </w:rPr>
              <w:t>Stock assessments for 45 species of fish was undertaken I 2016.</w:t>
            </w:r>
          </w:p>
          <w:p w14:paraId="5761EF90" w14:textId="77777777" w:rsidR="00A56EE9" w:rsidRPr="004C7930" w:rsidRDefault="00A56EE9" w:rsidP="00A11869">
            <w:pPr>
              <w:pStyle w:val="ListParagraph"/>
              <w:numPr>
                <w:ilvl w:val="0"/>
                <w:numId w:val="24"/>
              </w:numPr>
              <w:spacing w:after="200" w:line="276" w:lineRule="auto"/>
              <w:rPr>
                <w:rFonts w:ascii="Arial Narrow" w:hAnsi="Arial Narrow"/>
                <w:bCs/>
                <w:sz w:val="18"/>
                <w:szCs w:val="18"/>
              </w:rPr>
            </w:pPr>
            <w:r w:rsidRPr="004C7930">
              <w:rPr>
                <w:rFonts w:ascii="Arial Narrow" w:hAnsi="Arial Narrow"/>
                <w:bCs/>
                <w:sz w:val="18"/>
                <w:szCs w:val="18"/>
              </w:rPr>
              <w:t>The impact of specific commercial fishing activities on the values of the Reef is also summarised in the FMP Strategic Compliance Risk Management Plan 2017-2018</w:t>
            </w:r>
          </w:p>
        </w:tc>
        <w:tc>
          <w:tcPr>
            <w:tcW w:w="4356" w:type="dxa"/>
            <w:tcBorders>
              <w:top w:val="single" w:sz="4" w:space="0" w:color="auto"/>
              <w:left w:val="single" w:sz="4" w:space="0" w:color="auto"/>
              <w:bottom w:val="single" w:sz="4" w:space="0" w:color="auto"/>
              <w:right w:val="single" w:sz="4" w:space="0" w:color="auto"/>
            </w:tcBorders>
          </w:tcPr>
          <w:p w14:paraId="5761EF91" w14:textId="77777777" w:rsidR="00A56EE9" w:rsidRPr="004C7930" w:rsidRDefault="008B5998" w:rsidP="00A11869">
            <w:pPr>
              <w:pStyle w:val="ListParagraph"/>
              <w:numPr>
                <w:ilvl w:val="0"/>
                <w:numId w:val="24"/>
              </w:numPr>
              <w:spacing w:after="200" w:line="276" w:lineRule="auto"/>
              <w:rPr>
                <w:rFonts w:ascii="Arial Narrow" w:hAnsi="Arial Narrow"/>
                <w:sz w:val="18"/>
                <w:szCs w:val="18"/>
              </w:rPr>
            </w:pPr>
            <w:hyperlink r:id="rId689" w:history="1">
              <w:r w:rsidR="00A56EE9" w:rsidRPr="004C7930">
                <w:rPr>
                  <w:rStyle w:val="Hyperlink"/>
                  <w:rFonts w:ascii="Arial Narrow" w:hAnsi="Arial Narrow"/>
                  <w:sz w:val="18"/>
                  <w:szCs w:val="18"/>
                </w:rPr>
                <w:t>GBR Outlook Report 2014</w:t>
              </w:r>
            </w:hyperlink>
          </w:p>
          <w:p w14:paraId="5761EF92" w14:textId="77777777" w:rsidR="00A56EE9" w:rsidRPr="004C7930" w:rsidRDefault="008B5998" w:rsidP="00A11869">
            <w:pPr>
              <w:pStyle w:val="ListParagraph"/>
              <w:numPr>
                <w:ilvl w:val="0"/>
                <w:numId w:val="24"/>
              </w:numPr>
              <w:spacing w:after="200" w:line="276" w:lineRule="auto"/>
              <w:rPr>
                <w:rFonts w:ascii="Arial Narrow" w:hAnsi="Arial Narrow"/>
                <w:sz w:val="18"/>
                <w:szCs w:val="18"/>
              </w:rPr>
            </w:pPr>
            <w:hyperlink r:id="rId690" w:history="1">
              <w:r w:rsidR="00A56EE9" w:rsidRPr="004C7930">
                <w:rPr>
                  <w:rStyle w:val="Hyperlink"/>
                  <w:rFonts w:ascii="Arial Narrow" w:hAnsi="Arial Narrow"/>
                  <w:iCs/>
                  <w:sz w:val="18"/>
                  <w:szCs w:val="18"/>
                </w:rPr>
                <w:t>Great Barrier Reef Region Strategic Assessment: Strategic assessment report 2014</w:t>
              </w:r>
            </w:hyperlink>
          </w:p>
          <w:p w14:paraId="5761EF93" w14:textId="77777777" w:rsidR="00A56EE9" w:rsidRPr="004C7930" w:rsidRDefault="008B5998" w:rsidP="00A11869">
            <w:pPr>
              <w:pStyle w:val="ListParagraph"/>
              <w:numPr>
                <w:ilvl w:val="0"/>
                <w:numId w:val="24"/>
              </w:numPr>
              <w:spacing w:after="200" w:line="276" w:lineRule="auto"/>
              <w:rPr>
                <w:rFonts w:ascii="Arial Narrow" w:hAnsi="Arial Narrow"/>
                <w:sz w:val="18"/>
                <w:szCs w:val="18"/>
              </w:rPr>
            </w:pPr>
            <w:hyperlink r:id="rId691" w:history="1">
              <w:r w:rsidR="00A56EE9" w:rsidRPr="004C7930">
                <w:rPr>
                  <w:rStyle w:val="Hyperlink"/>
                  <w:rFonts w:ascii="Arial Narrow" w:hAnsi="Arial Narrow"/>
                  <w:sz w:val="18"/>
                  <w:szCs w:val="18"/>
                </w:rPr>
                <w:t>Queensland's commercial fisheries</w:t>
              </w:r>
            </w:hyperlink>
          </w:p>
          <w:p w14:paraId="5761EF94" w14:textId="77777777" w:rsidR="00A56EE9" w:rsidRPr="004C7930" w:rsidRDefault="008B5998" w:rsidP="00A11869">
            <w:pPr>
              <w:pStyle w:val="ListParagraph"/>
              <w:numPr>
                <w:ilvl w:val="0"/>
                <w:numId w:val="24"/>
              </w:numPr>
              <w:spacing w:after="200" w:line="276" w:lineRule="auto"/>
              <w:rPr>
                <w:rFonts w:ascii="Arial Narrow" w:hAnsi="Arial Narrow"/>
                <w:sz w:val="18"/>
                <w:szCs w:val="18"/>
              </w:rPr>
            </w:pPr>
            <w:hyperlink r:id="rId692" w:history="1">
              <w:r w:rsidR="00A56EE9" w:rsidRPr="004C7930">
                <w:rPr>
                  <w:rStyle w:val="Hyperlink"/>
                  <w:rFonts w:ascii="Arial Narrow" w:hAnsi="Arial Narrow"/>
                  <w:sz w:val="18"/>
                  <w:szCs w:val="18"/>
                </w:rPr>
                <w:t>Queensland managed fisheries assessments under the EPBC Act</w:t>
              </w:r>
            </w:hyperlink>
          </w:p>
          <w:p w14:paraId="5761EF95" w14:textId="77777777" w:rsidR="00A56EE9" w:rsidRPr="004C7930" w:rsidRDefault="008B5998" w:rsidP="00A11869">
            <w:pPr>
              <w:pStyle w:val="ListParagraph"/>
              <w:numPr>
                <w:ilvl w:val="0"/>
                <w:numId w:val="24"/>
              </w:numPr>
              <w:spacing w:after="200" w:line="276" w:lineRule="auto"/>
              <w:rPr>
                <w:rFonts w:ascii="Arial Narrow" w:hAnsi="Arial Narrow"/>
                <w:sz w:val="18"/>
                <w:szCs w:val="18"/>
              </w:rPr>
            </w:pPr>
            <w:hyperlink r:id="rId693" w:history="1">
              <w:r w:rsidR="00A56EE9" w:rsidRPr="004C7930">
                <w:rPr>
                  <w:rStyle w:val="Hyperlink"/>
                  <w:rFonts w:ascii="Arial Narrow" w:hAnsi="Arial Narrow"/>
                  <w:sz w:val="18"/>
                  <w:szCs w:val="18"/>
                </w:rPr>
                <w:t>Queensland Sustainable Fisheries Strategy 2017-2027</w:t>
              </w:r>
            </w:hyperlink>
          </w:p>
          <w:p w14:paraId="5761EF96" w14:textId="77777777" w:rsidR="00A56EE9" w:rsidRPr="004C7930" w:rsidRDefault="008B5998" w:rsidP="00A11869">
            <w:pPr>
              <w:pStyle w:val="ListParagraph"/>
              <w:numPr>
                <w:ilvl w:val="0"/>
                <w:numId w:val="24"/>
              </w:numPr>
              <w:spacing w:after="200" w:line="276" w:lineRule="auto"/>
              <w:rPr>
                <w:rStyle w:val="Hyperlink"/>
                <w:rFonts w:ascii="Arial Narrow" w:hAnsi="Arial Narrow"/>
                <w:sz w:val="18"/>
                <w:szCs w:val="18"/>
              </w:rPr>
            </w:pPr>
            <w:hyperlink r:id="rId694" w:history="1">
              <w:r w:rsidR="00A56EE9" w:rsidRPr="004C7930">
                <w:rPr>
                  <w:rStyle w:val="Hyperlink"/>
                  <w:rFonts w:ascii="Arial Narrow" w:hAnsi="Arial Narrow"/>
                  <w:sz w:val="18"/>
                  <w:szCs w:val="18"/>
                </w:rPr>
                <w:t>QDAF sustainability reporting on Queensland's fisheries</w:t>
              </w:r>
            </w:hyperlink>
          </w:p>
          <w:p w14:paraId="5761EF97" w14:textId="77777777" w:rsidR="00A56EE9" w:rsidRPr="004C7930" w:rsidRDefault="00A56EE9" w:rsidP="00A11869">
            <w:pPr>
              <w:pStyle w:val="ListParagraph"/>
              <w:numPr>
                <w:ilvl w:val="0"/>
                <w:numId w:val="24"/>
              </w:numPr>
              <w:spacing w:after="200" w:line="276" w:lineRule="auto"/>
              <w:rPr>
                <w:rFonts w:ascii="Arial Narrow" w:hAnsi="Arial Narrow"/>
                <w:sz w:val="18"/>
                <w:szCs w:val="18"/>
              </w:rPr>
            </w:pPr>
            <w:r w:rsidRPr="004C7930">
              <w:rPr>
                <w:rFonts w:ascii="Arial Narrow" w:hAnsi="Arial Narrow"/>
                <w:bCs/>
                <w:sz w:val="18"/>
                <w:szCs w:val="18"/>
              </w:rPr>
              <w:t>Queensland East Coast Inshore Fin Fish Fishery 2016</w:t>
            </w:r>
          </w:p>
          <w:p w14:paraId="5761EF98" w14:textId="77777777" w:rsidR="00A56EE9" w:rsidRPr="004C7930" w:rsidRDefault="008B5998" w:rsidP="00A11869">
            <w:pPr>
              <w:pStyle w:val="ListParagraph"/>
              <w:numPr>
                <w:ilvl w:val="0"/>
                <w:numId w:val="24"/>
              </w:numPr>
              <w:spacing w:after="200" w:line="276" w:lineRule="auto"/>
              <w:rPr>
                <w:rStyle w:val="Hyperlink"/>
                <w:rFonts w:ascii="Arial Narrow" w:hAnsi="Arial Narrow"/>
                <w:sz w:val="18"/>
                <w:szCs w:val="18"/>
              </w:rPr>
            </w:pPr>
            <w:hyperlink r:id="rId695" w:history="1">
              <w:r w:rsidR="00A56EE9" w:rsidRPr="004C7930">
                <w:rPr>
                  <w:rStyle w:val="Hyperlink"/>
                  <w:rFonts w:ascii="Arial Narrow" w:hAnsi="Arial Narrow"/>
                  <w:sz w:val="18"/>
                  <w:szCs w:val="18"/>
                </w:rPr>
                <w:t>Summary of Stock Status for Queensland Species 2016</w:t>
              </w:r>
            </w:hyperlink>
          </w:p>
          <w:p w14:paraId="5761EF99" w14:textId="77777777" w:rsidR="00A56EE9" w:rsidRPr="004C7930" w:rsidRDefault="00A56EE9" w:rsidP="00A11869">
            <w:pPr>
              <w:pStyle w:val="ListParagraph"/>
              <w:numPr>
                <w:ilvl w:val="0"/>
                <w:numId w:val="24"/>
              </w:numPr>
              <w:spacing w:after="200" w:line="276" w:lineRule="auto"/>
              <w:rPr>
                <w:rFonts w:ascii="Arial Narrow" w:hAnsi="Arial Narrow"/>
                <w:sz w:val="18"/>
                <w:szCs w:val="18"/>
              </w:rPr>
            </w:pPr>
            <w:r w:rsidRPr="004C7930">
              <w:rPr>
                <w:rFonts w:ascii="Arial Narrow" w:hAnsi="Arial Narrow"/>
                <w:bCs/>
                <w:sz w:val="18"/>
                <w:szCs w:val="18"/>
              </w:rPr>
              <w:t>FMP Strategic Compliance Risk Management Plan 2017-2018</w:t>
            </w:r>
          </w:p>
          <w:p w14:paraId="5761EF9A" w14:textId="695DFD7F" w:rsidR="00A56EE9" w:rsidRPr="004C7930" w:rsidRDefault="00A56EE9" w:rsidP="00A11869">
            <w:pPr>
              <w:pStyle w:val="ListParagraph"/>
              <w:numPr>
                <w:ilvl w:val="0"/>
                <w:numId w:val="24"/>
              </w:numPr>
              <w:spacing w:after="200" w:line="276" w:lineRule="auto"/>
              <w:rPr>
                <w:rFonts w:ascii="Arial Narrow" w:hAnsi="Arial Narrow"/>
                <w:sz w:val="18"/>
                <w:szCs w:val="18"/>
              </w:rPr>
            </w:pPr>
            <w:r w:rsidRPr="004A60BB">
              <w:rPr>
                <w:rFonts w:ascii="Arial Narrow" w:hAnsi="Arial Narrow"/>
                <w:bCs/>
                <w:sz w:val="18"/>
                <w:szCs w:val="18"/>
              </w:rPr>
              <w:t xml:space="preserve">ERA guideline: </w:t>
            </w:r>
            <w:hyperlink r:id="rId696" w:tooltip="document link" w:history="1">
              <w:r w:rsidRPr="004A60BB">
                <w:rPr>
                  <w:rStyle w:val="Hyperlink"/>
                  <w:rFonts w:ascii="Arial Narrow" w:hAnsi="Arial Narrow"/>
                  <w:sz w:val="18"/>
                  <w:szCs w:val="18"/>
                </w:rPr>
                <w:t>https://www.daf.qld.gov.au/business-priorities/fisheries/sustainable-fisheries-strategy/ecological-risk-assessment-guidelines</w:t>
              </w:r>
            </w:hyperlink>
          </w:p>
        </w:tc>
        <w:tc>
          <w:tcPr>
            <w:tcW w:w="990" w:type="dxa"/>
            <w:tcBorders>
              <w:top w:val="single" w:sz="4" w:space="0" w:color="auto"/>
              <w:left w:val="single" w:sz="4" w:space="0" w:color="auto"/>
              <w:bottom w:val="single" w:sz="4" w:space="0" w:color="auto"/>
              <w:right w:val="single" w:sz="4" w:space="0" w:color="auto"/>
            </w:tcBorders>
          </w:tcPr>
          <w:p w14:paraId="5761EF9B"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EF9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FB5"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EF9E"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to commercial fishing are known by managers</w:t>
            </w:r>
          </w:p>
        </w:tc>
        <w:tc>
          <w:tcPr>
            <w:tcW w:w="1505" w:type="dxa"/>
            <w:tcBorders>
              <w:top w:val="single" w:sz="4" w:space="0" w:color="auto"/>
              <w:left w:val="single" w:sz="4" w:space="0" w:color="auto"/>
              <w:bottom w:val="single" w:sz="4" w:space="0" w:color="auto"/>
              <w:right w:val="single" w:sz="4" w:space="0" w:color="auto"/>
            </w:tcBorders>
          </w:tcPr>
          <w:p w14:paraId="5761EF9F"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EFA0"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Queensland Department of Agriculture and Fisheries undertake </w:t>
            </w:r>
            <w:r>
              <w:rPr>
                <w:rFonts w:ascii="Arial Narrow" w:hAnsi="Arial Narrow"/>
                <w:sz w:val="18"/>
                <w:szCs w:val="18"/>
              </w:rPr>
              <w:t xml:space="preserve">annual stock status </w:t>
            </w:r>
            <w:r w:rsidRPr="00E70A11">
              <w:rPr>
                <w:rFonts w:ascii="Arial Narrow" w:hAnsi="Arial Narrow"/>
                <w:sz w:val="18"/>
                <w:szCs w:val="18"/>
              </w:rPr>
              <w:t xml:space="preserve">Sustainability reporting on Queensland's fisheries </w:t>
            </w:r>
            <w:r w:rsidRPr="00942BDC">
              <w:rPr>
                <w:rFonts w:ascii="Arial Narrow" w:hAnsi="Arial Narrow"/>
                <w:sz w:val="18"/>
                <w:szCs w:val="18"/>
              </w:rPr>
              <w:t>against national guidelines and publishes them online</w:t>
            </w:r>
          </w:p>
          <w:p w14:paraId="5761EFA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Little independent data is available. Knowledge of condition and trends would be greatly enhanced by fisheries independent data, including recruitment indices. </w:t>
            </w:r>
          </w:p>
          <w:p w14:paraId="5761EFA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Stock status reporting is often state-wide and may not identify trends in the GBR or localised depletion.</w:t>
            </w:r>
          </w:p>
          <w:p w14:paraId="5761EFA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 2016, Fisheries Queensland completed the stock status assessment of 45 important species comprising of 65 individual stocks or management units. However stock status reporting is often statewide and may not identify trends in the Region or localised depletion.</w:t>
            </w:r>
          </w:p>
          <w:p w14:paraId="5761EFA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current condition and trend and importance of Fish Spawning Aggregation Sites (FSAS) is unknown. The location and timing of Reef-associated FSAS is known across only a limited number of reefs in the Region.</w:t>
            </w:r>
            <w:r>
              <w:rPr>
                <w:rFonts w:ascii="Arial Narrow" w:hAnsi="Arial Narrow"/>
                <w:sz w:val="18"/>
                <w:szCs w:val="18"/>
              </w:rPr>
              <w:t xml:space="preserve"> </w:t>
            </w:r>
          </w:p>
          <w:p w14:paraId="5761EFA5" w14:textId="131CA52D"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Examples of species with declining current catch rates include snapper (roughly one-ninth of historic catch rates) pearl perch (classified as transitional-depleting).</w:t>
            </w:r>
            <w:r w:rsidR="00242993">
              <w:rPr>
                <w:rFonts w:ascii="Arial Narrow" w:hAnsi="Arial Narrow"/>
                <w:sz w:val="18"/>
                <w:szCs w:val="18"/>
              </w:rPr>
              <w:t xml:space="preserve"> </w:t>
            </w:r>
            <w:r w:rsidRPr="00E70A11">
              <w:rPr>
                <w:rFonts w:ascii="Arial Narrow" w:hAnsi="Arial Narrow"/>
                <w:sz w:val="18"/>
                <w:szCs w:val="18"/>
              </w:rPr>
              <w:t>Large declines in Spanish mackerel spawning aggregation and catch rates for this specie have also been reported.</w:t>
            </w:r>
          </w:p>
          <w:p w14:paraId="5761EFA6" w14:textId="77777777" w:rsidR="00A56EE9" w:rsidRPr="00EE459B"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Pratchett et.al. (2013) shows that coral trout are sensitive to changes in habitat and environmental conditions which are expected to occur as a consequence of sustained and ongoing climate change. These changes include degradation of coral reef habitats and increasing temperature which have occurred during the 2016-17 GBR mass bleaching event. Though considered high risk to the future sustainability of coral trout, how recent bleaching events and further climate change impacts will affect these species into future is uncertai</w:t>
            </w:r>
            <w:r>
              <w:rPr>
                <w:rFonts w:ascii="Arial Narrow" w:hAnsi="Arial Narrow"/>
                <w:sz w:val="18"/>
                <w:szCs w:val="18"/>
              </w:rPr>
              <w:t>n</w:t>
            </w:r>
          </w:p>
        </w:tc>
        <w:tc>
          <w:tcPr>
            <w:tcW w:w="4356" w:type="dxa"/>
            <w:tcBorders>
              <w:top w:val="single" w:sz="4" w:space="0" w:color="auto"/>
              <w:left w:val="single" w:sz="4" w:space="0" w:color="auto"/>
              <w:bottom w:val="single" w:sz="4" w:space="0" w:color="auto"/>
              <w:right w:val="single" w:sz="4" w:space="0" w:color="auto"/>
            </w:tcBorders>
          </w:tcPr>
          <w:p w14:paraId="5761EFA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97" w:history="1">
              <w:r w:rsidR="00A56EE9" w:rsidRPr="00E70A11">
                <w:rPr>
                  <w:rStyle w:val="Hyperlink"/>
                  <w:rFonts w:ascii="Arial Narrow" w:hAnsi="Arial Narrow"/>
                  <w:sz w:val="18"/>
                  <w:szCs w:val="18"/>
                </w:rPr>
                <w:t>Queensland's commercial fisheries</w:t>
              </w:r>
            </w:hyperlink>
          </w:p>
          <w:p w14:paraId="5761EFA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98" w:history="1">
              <w:r w:rsidR="00A56EE9" w:rsidRPr="00E70A11">
                <w:rPr>
                  <w:rStyle w:val="Hyperlink"/>
                  <w:rFonts w:ascii="Arial Narrow" w:hAnsi="Arial Narrow"/>
                  <w:sz w:val="18"/>
                  <w:szCs w:val="18"/>
                </w:rPr>
                <w:t>Queensland managed fisheries assessments under the EPBC Act</w:t>
              </w:r>
            </w:hyperlink>
          </w:p>
          <w:p w14:paraId="5761EFA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699" w:history="1">
              <w:r w:rsidR="00A56EE9" w:rsidRPr="00E70A11">
                <w:rPr>
                  <w:rStyle w:val="Hyperlink"/>
                  <w:rFonts w:ascii="Arial Narrow" w:hAnsi="Arial Narrow"/>
                  <w:sz w:val="18"/>
                  <w:szCs w:val="18"/>
                </w:rPr>
                <w:t>Queensland Sustainable Fisheries Strategy 2017-2027</w:t>
              </w:r>
            </w:hyperlink>
          </w:p>
          <w:p w14:paraId="5761EFA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00" w:history="1">
              <w:r w:rsidR="00A56EE9" w:rsidRPr="00E70A11">
                <w:rPr>
                  <w:rStyle w:val="Hyperlink"/>
                  <w:rFonts w:ascii="Arial Narrow" w:hAnsi="Arial Narrow"/>
                  <w:sz w:val="18"/>
                  <w:szCs w:val="18"/>
                </w:rPr>
                <w:t>QDAF sustainability reporting on Queensland's fisheries</w:t>
              </w:r>
            </w:hyperlink>
          </w:p>
          <w:p w14:paraId="5761EFAB"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01" w:history="1">
              <w:r w:rsidR="00A56EE9" w:rsidRPr="00E70A11">
                <w:rPr>
                  <w:rStyle w:val="Hyperlink"/>
                  <w:rFonts w:ascii="Arial Narrow" w:hAnsi="Arial Narrow"/>
                  <w:sz w:val="18"/>
                  <w:szCs w:val="18"/>
                </w:rPr>
                <w:t>Summary of Stock Status for Queensland Species 2016</w:t>
              </w:r>
            </w:hyperlink>
          </w:p>
          <w:p w14:paraId="5761EFA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02" w:history="1">
              <w:r w:rsidR="00A56EE9" w:rsidRPr="00E70A11">
                <w:rPr>
                  <w:rStyle w:val="Hyperlink"/>
                  <w:rFonts w:ascii="Arial Narrow" w:hAnsi="Arial Narrow"/>
                  <w:sz w:val="18"/>
                  <w:szCs w:val="18"/>
                </w:rPr>
                <w:t>QDAF fish stock assessment reports</w:t>
              </w:r>
            </w:hyperlink>
          </w:p>
          <w:p w14:paraId="5761EFAD" w14:textId="77777777" w:rsidR="00A56EE9" w:rsidRPr="00E70A11" w:rsidRDefault="008B5998" w:rsidP="00A11869">
            <w:pPr>
              <w:pStyle w:val="ListParagraph"/>
              <w:numPr>
                <w:ilvl w:val="0"/>
                <w:numId w:val="14"/>
              </w:numPr>
              <w:spacing w:after="200" w:line="276" w:lineRule="auto"/>
              <w:rPr>
                <w:rFonts w:ascii="Arial Narrow" w:hAnsi="Arial Narrow"/>
                <w:sz w:val="18"/>
                <w:szCs w:val="18"/>
              </w:rPr>
            </w:pPr>
            <w:hyperlink r:id="rId703" w:history="1">
              <w:r w:rsidR="00A56EE9" w:rsidRPr="00E70A11">
                <w:rPr>
                  <w:rStyle w:val="Hyperlink"/>
                  <w:rFonts w:ascii="Arial Narrow" w:hAnsi="Arial Narrow"/>
                  <w:sz w:val="18"/>
                  <w:szCs w:val="18"/>
                </w:rPr>
                <w:t>Thurstan et.al. 2016 Nineteenth century narratives reveal historic catch rates for Australian snapper (Pagrus auratus)</w:t>
              </w:r>
            </w:hyperlink>
            <w:r w:rsidR="00A56EE9" w:rsidRPr="00E70A11">
              <w:rPr>
                <w:rFonts w:ascii="Arial Narrow" w:hAnsi="Arial Narrow"/>
                <w:sz w:val="18"/>
                <w:szCs w:val="18"/>
              </w:rPr>
              <w:t>.</w:t>
            </w:r>
          </w:p>
          <w:p w14:paraId="5761EFAE" w14:textId="77777777" w:rsidR="00A56EE9" w:rsidRPr="00E70A11" w:rsidRDefault="008B5998" w:rsidP="00A11869">
            <w:pPr>
              <w:pStyle w:val="ListParagraph"/>
              <w:numPr>
                <w:ilvl w:val="0"/>
                <w:numId w:val="14"/>
              </w:numPr>
              <w:spacing w:after="200" w:line="276" w:lineRule="auto"/>
              <w:rPr>
                <w:rFonts w:ascii="Arial Narrow" w:hAnsi="Arial Narrow"/>
                <w:sz w:val="18"/>
                <w:szCs w:val="18"/>
              </w:rPr>
            </w:pPr>
            <w:hyperlink r:id="rId704" w:history="1">
              <w:r w:rsidR="00A56EE9" w:rsidRPr="00E70A11">
                <w:rPr>
                  <w:rStyle w:val="Hyperlink"/>
                  <w:rFonts w:ascii="Arial Narrow" w:hAnsi="Arial Narrow"/>
                  <w:sz w:val="18"/>
                  <w:szCs w:val="18"/>
                </w:rPr>
                <w:t>Tobin et.al. (2014) Utilising innovative technology to better understand Spanish mackerel spawning aggregations and the protection offered by marine protected areas</w:t>
              </w:r>
            </w:hyperlink>
          </w:p>
          <w:p w14:paraId="5761EFAF" w14:textId="77777777" w:rsidR="00A56EE9" w:rsidRPr="00E70A11" w:rsidRDefault="00A56EE9" w:rsidP="00A11869">
            <w:pPr>
              <w:pStyle w:val="ListParagraph"/>
              <w:numPr>
                <w:ilvl w:val="0"/>
                <w:numId w:val="14"/>
              </w:numPr>
              <w:spacing w:after="200" w:line="276" w:lineRule="auto"/>
              <w:rPr>
                <w:rStyle w:val="Hyperlink"/>
                <w:rFonts w:ascii="Arial Narrow" w:hAnsi="Arial Narrow"/>
                <w:sz w:val="18"/>
                <w:szCs w:val="18"/>
              </w:rPr>
            </w:pPr>
            <w:r w:rsidRPr="00E70A11">
              <w:rPr>
                <w:rFonts w:ascii="Arial Narrow" w:hAnsi="Arial Narrow"/>
                <w:sz w:val="18"/>
                <w:szCs w:val="18"/>
              </w:rPr>
              <w:t xml:space="preserve"> </w:t>
            </w:r>
            <w:hyperlink r:id="rId705" w:history="1">
              <w:r w:rsidRPr="00E70A11">
                <w:rPr>
                  <w:rStyle w:val="Hyperlink"/>
                  <w:rFonts w:ascii="Arial Narrow" w:hAnsi="Arial Narrow"/>
                  <w:sz w:val="18"/>
                  <w:szCs w:val="18"/>
                </w:rPr>
                <w:t>Pratchett et.al. (2013) Effects of climate change on reproduction, larval development, and adult health of coral trout (Plectropomus spp.)</w:t>
              </w:r>
            </w:hyperlink>
          </w:p>
          <w:p w14:paraId="5761EFB0" w14:textId="77777777" w:rsidR="00A56EE9" w:rsidRPr="00E70A11" w:rsidRDefault="00A56EE9" w:rsidP="00A11869">
            <w:pPr>
              <w:pStyle w:val="ListParagraph"/>
              <w:numPr>
                <w:ilvl w:val="0"/>
                <w:numId w:val="14"/>
              </w:numPr>
              <w:spacing w:after="0" w:line="276" w:lineRule="auto"/>
              <w:rPr>
                <w:rFonts w:ascii="Arial Narrow" w:hAnsi="Arial Narrow"/>
                <w:sz w:val="18"/>
                <w:szCs w:val="18"/>
              </w:rPr>
            </w:pPr>
            <w:r w:rsidRPr="00E70A11">
              <w:rPr>
                <w:rFonts w:ascii="Arial Narrow" w:hAnsi="Arial Narrow"/>
                <w:sz w:val="18"/>
                <w:szCs w:val="18"/>
              </w:rPr>
              <w:t>Buckley, S.M., Thurstan, R.H., Tobin, A. and Pandolfi, J.M. 2017, Historical spatial reconstruction of a spawning-aggregation fishery, </w:t>
            </w:r>
            <w:r w:rsidRPr="00E70A11">
              <w:rPr>
                <w:rFonts w:ascii="Arial Narrow" w:hAnsi="Arial Narrow"/>
                <w:i/>
                <w:iCs/>
                <w:sz w:val="18"/>
                <w:szCs w:val="18"/>
              </w:rPr>
              <w:t>Conservation Biology </w:t>
            </w:r>
          </w:p>
          <w:p w14:paraId="5761EFB1" w14:textId="77777777" w:rsidR="00A56EE9" w:rsidRPr="00942BDC" w:rsidRDefault="00A56EE9" w:rsidP="00BB6AD5">
            <w:pPr>
              <w:pStyle w:val="ListBullet"/>
              <w:rPr>
                <w:rFonts w:eastAsiaTheme="minorHAnsi"/>
              </w:rPr>
            </w:pPr>
            <w:r w:rsidRPr="00942BDC">
              <w:rPr>
                <w:rFonts w:eastAsiaTheme="minorHAnsi"/>
              </w:rPr>
              <w:t xml:space="preserve">Advance Queensland SBIR </w:t>
            </w:r>
            <w:r w:rsidRPr="00942BDC">
              <w:t xml:space="preserve">project: </w:t>
            </w:r>
            <w:hyperlink r:id="rId706" w:anchor="_past" w:history="1">
              <w:r w:rsidRPr="00942BDC">
                <w:rPr>
                  <w:rStyle w:val="Hyperlink"/>
                  <w:rFonts w:eastAsiaTheme="minorHAnsi"/>
                </w:rPr>
                <w:t>https://advance.qld.gov.au/small-business/sbir/challenges.aspx#_past</w:t>
              </w:r>
            </w:hyperlink>
            <w:r w:rsidRPr="00942BDC">
              <w:rPr>
                <w:rFonts w:eastAsiaTheme="minorHAnsi" w:cs="Arial"/>
              </w:rPr>
              <w:t xml:space="preserve"> </w:t>
            </w:r>
          </w:p>
          <w:p w14:paraId="5761EFB2" w14:textId="77777777" w:rsidR="00A56EE9" w:rsidRPr="00867C2E" w:rsidRDefault="00A56EE9" w:rsidP="00BB6AD5">
            <w:pPr>
              <w:rPr>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EFB3"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EFB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FD5"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EFB6"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Impacts (direct, indirect and cumulative) associated with commercial fishing are understood by managers.</w:t>
            </w:r>
          </w:p>
        </w:tc>
        <w:tc>
          <w:tcPr>
            <w:tcW w:w="1505" w:type="dxa"/>
            <w:tcBorders>
              <w:top w:val="single" w:sz="4" w:space="0" w:color="auto"/>
              <w:left w:val="single" w:sz="4" w:space="0" w:color="auto"/>
              <w:bottom w:val="single" w:sz="4" w:space="0" w:color="auto"/>
              <w:right w:val="single" w:sz="4" w:space="0" w:color="auto"/>
            </w:tcBorders>
          </w:tcPr>
          <w:p w14:paraId="5761EFB7"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EFB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While fishing related risks are known the direct, indirect and cumulative impacts of fishing of a range of fisheries operating in the GBR are not well understood and large information gaps and risks to GBR ecosystem are still widely unknown.</w:t>
            </w:r>
          </w:p>
          <w:p w14:paraId="5761EFB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GBR Outlook Report 2014 identifies the following very high and high fishing related risks: </w:t>
            </w:r>
          </w:p>
          <w:p w14:paraId="5761EFBA"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Incidental catch of species of conservation concern</w:t>
            </w:r>
          </w:p>
          <w:p w14:paraId="5761EFBB"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Illegal fishing and poaching</w:t>
            </w:r>
          </w:p>
          <w:p w14:paraId="5761EFBC"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Extraction of predators</w:t>
            </w:r>
          </w:p>
          <w:p w14:paraId="5761EFBD"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Discarded catch</w:t>
            </w:r>
          </w:p>
          <w:p w14:paraId="5761EFBE"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Extraction from spawning aggregations</w:t>
            </w:r>
          </w:p>
          <w:p w14:paraId="5761EFB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Vulnerability assessment indicate that dugong, sawfish, inshore dolphins, marine turtles and sea snakes are at risk as fisheries bycatch species, while threadfin salmon, grey mackerel and snapper are target species vulnerable to fishing pressure.</w:t>
            </w:r>
          </w:p>
          <w:p w14:paraId="5761EFC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impacts of the net and line East Coast Inshore Fin Fish Fishery on the seabed communities and ecosystem structures are considered negligible </w:t>
            </w:r>
          </w:p>
          <w:p w14:paraId="5761EFC1" w14:textId="78646963" w:rsidR="00A56EE9" w:rsidRPr="00A666B2"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As an example of impacts, the Australian Government Assessment indicates that impact of the East Coast Fin Fish Fishery on the values of the Region are considered unlikely due to the marine park zoning, gear size, harvest restrictions and harvesting methods.</w:t>
            </w:r>
            <w:r w:rsidR="00242993">
              <w:rPr>
                <w:rFonts w:ascii="Arial Narrow" w:hAnsi="Arial Narrow"/>
                <w:sz w:val="18"/>
                <w:szCs w:val="18"/>
              </w:rPr>
              <w:t xml:space="preserve"> </w:t>
            </w:r>
            <w:r>
              <w:rPr>
                <w:rFonts w:ascii="Arial Narrow" w:hAnsi="Arial Narrow"/>
                <w:sz w:val="18"/>
                <w:szCs w:val="18"/>
              </w:rPr>
              <w:t xml:space="preserve"> </w:t>
            </w:r>
            <w:r w:rsidRPr="00A666B2">
              <w:rPr>
                <w:rFonts w:ascii="Arial Narrow" w:hAnsi="Arial Narrow"/>
                <w:sz w:val="18"/>
                <w:szCs w:val="18"/>
              </w:rPr>
              <w:t xml:space="preserve">Assessments have been undertaken for other Qld fisheries </w:t>
            </w:r>
            <w:r>
              <w:rPr>
                <w:rFonts w:ascii="Arial Narrow" w:hAnsi="Arial Narrow"/>
                <w:sz w:val="18"/>
                <w:szCs w:val="18"/>
              </w:rPr>
              <w:t>i</w:t>
            </w:r>
            <w:r w:rsidRPr="00A666B2">
              <w:rPr>
                <w:rFonts w:ascii="Arial Narrow" w:hAnsi="Arial Narrow"/>
                <w:sz w:val="18"/>
                <w:szCs w:val="18"/>
              </w:rPr>
              <w:t>ncluding</w:t>
            </w:r>
            <w:r w:rsidR="00242993">
              <w:rPr>
                <w:rFonts w:ascii="Arial Narrow" w:hAnsi="Arial Narrow"/>
                <w:sz w:val="18"/>
                <w:szCs w:val="18"/>
              </w:rPr>
              <w:t xml:space="preserve"> </w:t>
            </w:r>
            <w:r w:rsidRPr="00A666B2">
              <w:rPr>
                <w:rFonts w:ascii="Arial Narrow" w:hAnsi="Arial Narrow"/>
                <w:sz w:val="18"/>
                <w:szCs w:val="18"/>
              </w:rPr>
              <w:t>Queensland</w:t>
            </w:r>
            <w:r w:rsidR="00242993">
              <w:rPr>
                <w:rFonts w:ascii="Arial Narrow" w:hAnsi="Arial Narrow"/>
                <w:sz w:val="18"/>
                <w:szCs w:val="18"/>
              </w:rPr>
              <w:t xml:space="preserve"> </w:t>
            </w:r>
            <w:r w:rsidRPr="00A666B2">
              <w:rPr>
                <w:rFonts w:ascii="Arial Narrow" w:hAnsi="Arial Narrow"/>
                <w:sz w:val="18"/>
                <w:szCs w:val="18"/>
              </w:rPr>
              <w:t>East Coast Otter Trawl Fishery.</w:t>
            </w:r>
            <w:r>
              <w:rPr>
                <w:rFonts w:ascii="Arial Narrow" w:hAnsi="Arial Narrow"/>
                <w:sz w:val="18"/>
                <w:szCs w:val="18"/>
              </w:rPr>
              <w:t xml:space="preserve"> There is an argument that impacts are not propeorly considered through this assessment process. </w:t>
            </w:r>
          </w:p>
          <w:p w14:paraId="5761EFC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Queensland ha</w:t>
            </w:r>
            <w:r>
              <w:rPr>
                <w:rFonts w:ascii="Arial Narrow" w:hAnsi="Arial Narrow"/>
                <w:sz w:val="18"/>
                <w:szCs w:val="18"/>
              </w:rPr>
              <w:t>.</w:t>
            </w:r>
            <w:r w:rsidRPr="00E70A11">
              <w:rPr>
                <w:rFonts w:ascii="Arial Narrow" w:hAnsi="Arial Narrow"/>
                <w:sz w:val="18"/>
                <w:szCs w:val="18"/>
              </w:rPr>
              <w:t>ve indicated harvest strategies planned for all Queensland fisheries will consider broader impacts such as climate change, habitat modification, catchment runoff etc. and the whole stock, which may cross into other boundaries. However this work has yet to be completed.</w:t>
            </w:r>
          </w:p>
          <w:p w14:paraId="5761EFC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 guideline for undertaking Ecological risk assessments has been developed as part of the QSFS 2017-2022 and further investment in this area will improve the situation where limited ERAs have been conducted or acted upon in recent years. </w:t>
            </w:r>
          </w:p>
          <w:p w14:paraId="5761EFC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Independent validation of Species of Conservation Concern (SOCI) reporting does not presently occur and most interactions are likely unreported. The effect of such interactions and associated mortality on populations is not known, but considered unsustainable for most SOCI species.</w:t>
            </w:r>
          </w:p>
          <w:p w14:paraId="5761EFC5"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Except for species of conservation interest, commercial fishers are not required to report discards of targeted and bycatch species, and there are no contemporary estimates of the quantum of bycatch and discards across all fisheries</w:t>
            </w:r>
          </w:p>
          <w:p w14:paraId="5761EFC6" w14:textId="77777777" w:rsidR="00A56EE9" w:rsidRPr="00EE459B"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Discussion papers on fisheries reforms were released in March 2018 and identified key issues for trawl, inshore, crab and reef line fisheries and options to address them. This included risks to target, by-product, bycatch and protected species. Preferred options are to be implemented in 2019.</w:t>
            </w:r>
          </w:p>
        </w:tc>
        <w:tc>
          <w:tcPr>
            <w:tcW w:w="4356" w:type="dxa"/>
            <w:tcBorders>
              <w:top w:val="single" w:sz="4" w:space="0" w:color="auto"/>
              <w:left w:val="single" w:sz="4" w:space="0" w:color="auto"/>
              <w:bottom w:val="single" w:sz="4" w:space="0" w:color="auto"/>
              <w:right w:val="single" w:sz="4" w:space="0" w:color="auto"/>
            </w:tcBorders>
          </w:tcPr>
          <w:p w14:paraId="5761EFC7"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707" w:history="1">
              <w:r w:rsidR="00A56EE9" w:rsidRPr="00E70A11">
                <w:rPr>
                  <w:rStyle w:val="Hyperlink"/>
                  <w:rFonts w:ascii="Arial Narrow" w:hAnsi="Arial Narrow"/>
                  <w:sz w:val="18"/>
                  <w:szCs w:val="18"/>
                </w:rPr>
                <w:t>GBR Outlook Report 2014</w:t>
              </w:r>
            </w:hyperlink>
          </w:p>
          <w:p w14:paraId="5761EFC8" w14:textId="77777777" w:rsidR="00A56EE9" w:rsidRPr="00E70A11" w:rsidRDefault="008B5998" w:rsidP="00A11869">
            <w:pPr>
              <w:pStyle w:val="ListParagraph"/>
              <w:numPr>
                <w:ilvl w:val="0"/>
                <w:numId w:val="24"/>
              </w:numPr>
              <w:spacing w:after="200" w:line="276" w:lineRule="auto"/>
              <w:rPr>
                <w:rFonts w:ascii="Arial Narrow" w:hAnsi="Arial Narrow"/>
                <w:iCs/>
                <w:sz w:val="18"/>
                <w:szCs w:val="18"/>
                <w:u w:val="single"/>
              </w:rPr>
            </w:pPr>
            <w:hyperlink r:id="rId708" w:history="1">
              <w:r w:rsidR="00A56EE9" w:rsidRPr="00E70A11">
                <w:rPr>
                  <w:rStyle w:val="Hyperlink"/>
                  <w:rFonts w:ascii="Arial Narrow" w:hAnsi="Arial Narrow"/>
                  <w:iCs/>
                  <w:sz w:val="18"/>
                  <w:szCs w:val="18"/>
                </w:rPr>
                <w:t>Great Barrier Reef Region Strategic Assessment: Strategic assessment report 2014</w:t>
              </w:r>
            </w:hyperlink>
          </w:p>
          <w:p w14:paraId="5761EFC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09" w:history="1">
              <w:r w:rsidR="00A56EE9" w:rsidRPr="00E70A11">
                <w:rPr>
                  <w:rStyle w:val="Hyperlink"/>
                  <w:rFonts w:ascii="Arial Narrow" w:hAnsi="Arial Narrow"/>
                  <w:sz w:val="18"/>
                  <w:szCs w:val="18"/>
                </w:rPr>
                <w:t>Queensland Sustainable Fisheries Strategy 2017-2027</w:t>
              </w:r>
            </w:hyperlink>
          </w:p>
          <w:p w14:paraId="5761EFC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10" w:history="1">
              <w:r w:rsidR="00A56EE9" w:rsidRPr="00E70A11">
                <w:rPr>
                  <w:rStyle w:val="Hyperlink"/>
                  <w:rFonts w:ascii="Arial Narrow" w:hAnsi="Arial Narrow"/>
                  <w:sz w:val="18"/>
                  <w:szCs w:val="18"/>
                </w:rPr>
                <w:t>Buckley et.al. (2017)</w:t>
              </w:r>
              <w:r w:rsidR="00A56EE9">
                <w:rPr>
                  <w:rStyle w:val="Hyperlink"/>
                  <w:rFonts w:ascii="Arial Narrow" w:hAnsi="Arial Narrow"/>
                  <w:sz w:val="18"/>
                  <w:szCs w:val="18"/>
                </w:rPr>
                <w:t xml:space="preserve"> </w:t>
              </w:r>
              <w:r w:rsidR="00A56EE9" w:rsidRPr="00E70A11">
                <w:rPr>
                  <w:rStyle w:val="Hyperlink"/>
                  <w:rFonts w:ascii="Arial Narrow" w:hAnsi="Arial Narrow"/>
                  <w:sz w:val="18"/>
                  <w:szCs w:val="18"/>
                </w:rPr>
                <w:t>Historical spatial reconstruction of a spawning-aggregation ﬁshery</w:t>
              </w:r>
            </w:hyperlink>
            <w:r w:rsidR="00A56EE9" w:rsidRPr="00E70A11">
              <w:rPr>
                <w:rFonts w:ascii="Arial Narrow" w:hAnsi="Arial Narrow"/>
                <w:sz w:val="18"/>
                <w:szCs w:val="18"/>
              </w:rPr>
              <w:t>.</w:t>
            </w:r>
          </w:p>
          <w:p w14:paraId="5761EFCB"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711" w:history="1">
              <w:r w:rsidR="00A56EE9" w:rsidRPr="00E70A11">
                <w:rPr>
                  <w:rStyle w:val="Hyperlink"/>
                  <w:rFonts w:ascii="Arial Narrow" w:hAnsi="Arial Narrow"/>
                  <w:sz w:val="18"/>
                  <w:szCs w:val="18"/>
                </w:rPr>
                <w:t>Tobin et.al. (2014) Utilising innovative technology to better understand Spanish mackerel spawning aggregations and the protection offered by marine protected areas</w:t>
              </w:r>
            </w:hyperlink>
          </w:p>
          <w:p w14:paraId="5761EFC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12" w:history="1">
              <w:r w:rsidR="00A56EE9" w:rsidRPr="00E70A11">
                <w:rPr>
                  <w:rStyle w:val="Hyperlink"/>
                  <w:rFonts w:ascii="Arial Narrow" w:hAnsi="Arial Narrow"/>
                  <w:sz w:val="18"/>
                  <w:szCs w:val="18"/>
                </w:rPr>
                <w:t>QDAF Ecological risk assessments</w:t>
              </w:r>
            </w:hyperlink>
          </w:p>
          <w:p w14:paraId="5761EFC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13" w:history="1">
              <w:r w:rsidR="00A56EE9" w:rsidRPr="00E70A11">
                <w:rPr>
                  <w:rStyle w:val="Hyperlink"/>
                  <w:rFonts w:ascii="Arial Narrow" w:hAnsi="Arial Narrow"/>
                  <w:sz w:val="18"/>
                  <w:szCs w:val="18"/>
                </w:rPr>
                <w:t>GBRMPA ecological risk assessment of trawling</w:t>
              </w:r>
            </w:hyperlink>
          </w:p>
          <w:p w14:paraId="5761EFC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14" w:history="1">
              <w:r w:rsidR="00A56EE9" w:rsidRPr="00E70A11">
                <w:rPr>
                  <w:rStyle w:val="Hyperlink"/>
                  <w:rFonts w:ascii="Arial Narrow" w:hAnsi="Arial Narrow"/>
                  <w:sz w:val="18"/>
                  <w:szCs w:val="18"/>
                </w:rPr>
                <w:t>Assessment of the Queensland East Coast Inshore Fin Fish Fishery September 2016</w:t>
              </w:r>
            </w:hyperlink>
          </w:p>
          <w:p w14:paraId="5761EFC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15" w:history="1">
              <w:r w:rsidR="00A56EE9" w:rsidRPr="00E70A11">
                <w:rPr>
                  <w:rStyle w:val="Hyperlink"/>
                  <w:rFonts w:ascii="Arial Narrow" w:hAnsi="Arial Narrow"/>
                  <w:sz w:val="18"/>
                  <w:szCs w:val="18"/>
                </w:rPr>
                <w:t>GBRMPA Vulnerability Assessments</w:t>
              </w:r>
            </w:hyperlink>
          </w:p>
          <w:p w14:paraId="5761EFD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16" w:history="1">
              <w:r w:rsidR="00A56EE9" w:rsidRPr="00E70A11">
                <w:rPr>
                  <w:rStyle w:val="Hyperlink"/>
                  <w:rFonts w:ascii="Arial Narrow" w:hAnsi="Arial Narrow"/>
                  <w:sz w:val="18"/>
                  <w:szCs w:val="18"/>
                </w:rPr>
                <w:t>FRDC - Estimating fishing mortality of major target species and species of conservation interest in the Queensland east coast shark fishery.</w:t>
              </w:r>
            </w:hyperlink>
          </w:p>
          <w:p w14:paraId="5761EFD1" w14:textId="77777777" w:rsidR="00A56EE9" w:rsidRPr="004C7930" w:rsidRDefault="008B5998" w:rsidP="00A11869">
            <w:pPr>
              <w:pStyle w:val="ListParagraph"/>
              <w:numPr>
                <w:ilvl w:val="0"/>
                <w:numId w:val="24"/>
              </w:numPr>
              <w:spacing w:after="200" w:line="276" w:lineRule="auto"/>
              <w:rPr>
                <w:rStyle w:val="Hyperlink"/>
                <w:rFonts w:ascii="Arial Narrow" w:hAnsi="Arial Narrow"/>
                <w:sz w:val="18"/>
                <w:szCs w:val="18"/>
              </w:rPr>
            </w:pPr>
            <w:hyperlink r:id="rId717" w:anchor="publication-history" w:history="1">
              <w:r w:rsidR="00A56EE9" w:rsidRPr="00E70A11">
                <w:rPr>
                  <w:rStyle w:val="Hyperlink"/>
                  <w:rFonts w:ascii="Arial Narrow" w:hAnsi="Arial Narrow"/>
                  <w:sz w:val="18"/>
                  <w:szCs w:val="18"/>
                </w:rPr>
                <w:t>Fish spawning aggregations: where well-placed management actions can yield big benefits for fisheries and conservation</w:t>
              </w:r>
            </w:hyperlink>
          </w:p>
          <w:p w14:paraId="5761EFD2" w14:textId="738C0B78"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Discussion papers on fisheries reform:</w:t>
            </w:r>
            <w:r w:rsidRPr="00942BDC">
              <w:rPr>
                <w:rStyle w:val="Hyperlink"/>
                <w:rFonts w:ascii="Arial Narrow" w:hAnsi="Arial Narrow"/>
                <w:sz w:val="18"/>
                <w:szCs w:val="18"/>
              </w:rPr>
              <w:t xml:space="preserve"> </w:t>
            </w:r>
            <w:hyperlink r:id="rId718" w:tooltip="document link" w:history="1">
              <w:r w:rsidRPr="00942BDC">
                <w:rPr>
                  <w:rStyle w:val="Hyperlink"/>
                  <w:rFonts w:ascii="Arial Narrow" w:hAnsi="Arial Narrow"/>
                  <w:sz w:val="18"/>
                  <w:szCs w:val="18"/>
                </w:rPr>
                <w:t>https://www.daf.qld.gov.au/business-priorities/fisheries/sustainable-fisheries-strategy/fisheries-reforms</w:t>
              </w:r>
            </w:hyperlink>
          </w:p>
        </w:tc>
        <w:tc>
          <w:tcPr>
            <w:tcW w:w="990" w:type="dxa"/>
            <w:tcBorders>
              <w:top w:val="single" w:sz="4" w:space="0" w:color="auto"/>
              <w:left w:val="single" w:sz="4" w:space="0" w:color="auto"/>
              <w:bottom w:val="single" w:sz="4" w:space="0" w:color="auto"/>
              <w:right w:val="single" w:sz="4" w:space="0" w:color="auto"/>
            </w:tcBorders>
          </w:tcPr>
          <w:p w14:paraId="5761EFD3"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EFD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EFE8"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EFD6"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commercial fishing are understood by managers.</w:t>
            </w:r>
          </w:p>
        </w:tc>
        <w:tc>
          <w:tcPr>
            <w:tcW w:w="1505" w:type="dxa"/>
            <w:tcBorders>
              <w:top w:val="single" w:sz="4" w:space="0" w:color="auto"/>
              <w:left w:val="single" w:sz="4" w:space="0" w:color="auto"/>
              <w:bottom w:val="single" w:sz="4" w:space="0" w:color="auto"/>
              <w:right w:val="single" w:sz="4" w:space="0" w:color="auto"/>
            </w:tcBorders>
          </w:tcPr>
          <w:p w14:paraId="5761EFD7" w14:textId="77777777" w:rsidR="00A56EE9" w:rsidRPr="00E70A11" w:rsidRDefault="00A56EE9" w:rsidP="00BB6AD5">
            <w:pPr>
              <w:pStyle w:val="Tablebulletlist"/>
              <w:rPr>
                <w:rStyle w:val="BookTitle"/>
              </w:rPr>
            </w:pPr>
            <w:r w:rsidRPr="00E70A11">
              <w:rPr>
                <w:rStyle w:val="BookTitle"/>
              </w:rPr>
              <w:t>4</w:t>
            </w:r>
          </w:p>
        </w:tc>
        <w:tc>
          <w:tcPr>
            <w:tcW w:w="3961" w:type="dxa"/>
            <w:tcBorders>
              <w:top w:val="single" w:sz="4" w:space="0" w:color="auto"/>
              <w:left w:val="single" w:sz="4" w:space="0" w:color="auto"/>
              <w:bottom w:val="single" w:sz="4" w:space="0" w:color="auto"/>
              <w:right w:val="single" w:sz="4" w:space="0" w:color="auto"/>
            </w:tcBorders>
          </w:tcPr>
          <w:p w14:paraId="5761EFD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There is acknowledgment that fisheries management in the GBR World Heritage Area (WHA) (declared because of its outstanding universal value based on natural values) needs to be more precautionary than that which exists for fisheries outside marine protected areas in Australia (where the trigger reference point for “overfishing” is widely accepted as the stock biomass being less than 40% of the virgin biomass). </w:t>
            </w:r>
          </w:p>
          <w:p w14:paraId="5761EFD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Queensland Sustainable Fisheries Strategy 20017-2027 explicitly recognises the GBRWHA and sets a target reference point of Maximum Economic Yield or 60% biomass to, amongst other things, improve stock resilience</w:t>
            </w:r>
          </w:p>
          <w:p w14:paraId="5761EFD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management is undertaken to a high level within the bounds of standards set by the FAO and the Australian Fisheries Management Forum.</w:t>
            </w:r>
          </w:p>
          <w:p w14:paraId="5761EFD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Fisheries Queensland has cross jurisdictional communication with NSW and the NT around the joint stocks of recreational interest (e.g. Snapper, Spanish </w:t>
            </w:r>
            <w:proofErr w:type="gramStart"/>
            <w:r w:rsidRPr="00E70A11">
              <w:rPr>
                <w:rFonts w:ascii="Arial Narrow" w:hAnsi="Arial Narrow"/>
                <w:sz w:val="18"/>
                <w:szCs w:val="18"/>
              </w:rPr>
              <w:t>Mackerel</w:t>
            </w:r>
            <w:proofErr w:type="gramEnd"/>
            <w:r w:rsidRPr="00E70A11">
              <w:rPr>
                <w:rFonts w:ascii="Arial Narrow" w:hAnsi="Arial Narrow"/>
                <w:sz w:val="18"/>
                <w:szCs w:val="18"/>
              </w:rPr>
              <w:t xml:space="preserve">). </w:t>
            </w:r>
          </w:p>
          <w:p w14:paraId="5761EFD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Managers also understand the implications </w:t>
            </w:r>
            <w:r>
              <w:rPr>
                <w:rFonts w:ascii="Arial Narrow" w:hAnsi="Arial Narrow"/>
                <w:sz w:val="18"/>
                <w:szCs w:val="18"/>
              </w:rPr>
              <w:t xml:space="preserve">and range requirements under the EPBC; for example the </w:t>
            </w:r>
            <w:r w:rsidRPr="00E70A11">
              <w:rPr>
                <w:rFonts w:ascii="Arial Narrow" w:hAnsi="Arial Narrow"/>
                <w:sz w:val="18"/>
                <w:szCs w:val="18"/>
              </w:rPr>
              <w:t xml:space="preserve">Plans of Management concerning Queensland Mud Crab and Queensland Blue Swimmer Crab Fishery </w:t>
            </w:r>
          </w:p>
          <w:p w14:paraId="5761EFD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Reef-dependent activities including fishing are vulnerable to the negative effects of ocean acidification, sea level rise, more frequent extreme weather and warming sea temperatures may have on Reef condition. </w:t>
            </w:r>
          </w:p>
          <w:p w14:paraId="5761EFD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likely fishing activities will be highly sensitive to climate change, including projected changes in fish abundance, survivorship</w:t>
            </w:r>
            <w:r w:rsidRPr="00E70A11">
              <w:rPr>
                <w:rFonts w:ascii="Arial Narrow" w:hAnsi="Arial Narrow"/>
                <w:sz w:val="18"/>
                <w:szCs w:val="18"/>
              </w:rPr>
              <w:fldChar w:fldCharType="begin"/>
            </w:r>
            <w:r w:rsidRPr="00E70A11">
              <w:rPr>
                <w:rFonts w:ascii="Arial Narrow" w:hAnsi="Arial Narrow"/>
                <w:sz w:val="18"/>
                <w:szCs w:val="18"/>
              </w:rPr>
              <w:instrText>ADDIN RW.CITE{{4934 Kikkawa,T. 2004; 4924 Ishimatsu,A. 2004; 4889 Guinotte,J.M. 2008}}</w:instrText>
            </w:r>
            <w:r w:rsidRPr="00E70A11">
              <w:rPr>
                <w:rFonts w:ascii="Arial Narrow" w:hAnsi="Arial Narrow"/>
                <w:sz w:val="18"/>
                <w:szCs w:val="18"/>
              </w:rPr>
              <w:fldChar w:fldCharType="end"/>
            </w:r>
            <w:r w:rsidRPr="00E70A11">
              <w:rPr>
                <w:rFonts w:ascii="Arial Narrow" w:hAnsi="Arial Narrow"/>
                <w:sz w:val="18"/>
                <w:szCs w:val="18"/>
              </w:rPr>
              <w:t xml:space="preserve"> , size and distribution, disruptions to shallow water nurseries and loss of coral reef habitats, as well as changes in cyclone and storm activity. </w:t>
            </w:r>
          </w:p>
        </w:tc>
        <w:tc>
          <w:tcPr>
            <w:tcW w:w="4356" w:type="dxa"/>
            <w:tcBorders>
              <w:top w:val="single" w:sz="4" w:space="0" w:color="auto"/>
              <w:left w:val="single" w:sz="4" w:space="0" w:color="auto"/>
              <w:bottom w:val="single" w:sz="4" w:space="0" w:color="auto"/>
              <w:right w:val="single" w:sz="4" w:space="0" w:color="auto"/>
            </w:tcBorders>
          </w:tcPr>
          <w:p w14:paraId="5761EFDF"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19" w:history="1">
              <w:r w:rsidR="00A56EE9" w:rsidRPr="00E70A11">
                <w:rPr>
                  <w:rStyle w:val="Hyperlink"/>
                  <w:rFonts w:ascii="Arial Narrow" w:hAnsi="Arial Narrow"/>
                  <w:sz w:val="18"/>
                  <w:szCs w:val="18"/>
                </w:rPr>
                <w:t>Queensland Sustainable Fisheries Strategy 2017-2027</w:t>
              </w:r>
            </w:hyperlink>
          </w:p>
          <w:p w14:paraId="5761EFE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EPBC Act</w:t>
            </w:r>
          </w:p>
          <w:p w14:paraId="5761EFE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Australian Fisheries Management Forum</w:t>
            </w:r>
          </w:p>
          <w:p w14:paraId="5761EFE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Department of Agriculture and Fishing</w:t>
            </w:r>
          </w:p>
          <w:p w14:paraId="5761EFE3"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20" w:history="1">
              <w:r w:rsidR="00A56EE9" w:rsidRPr="00E70A11">
                <w:rPr>
                  <w:rStyle w:val="Hyperlink"/>
                  <w:rFonts w:ascii="Arial Narrow" w:hAnsi="Arial Narrow"/>
                  <w:sz w:val="18"/>
                  <w:szCs w:val="18"/>
                </w:rPr>
                <w:t>Queensland managed fisheries assessments under the EPBC Act</w:t>
              </w:r>
            </w:hyperlink>
          </w:p>
          <w:p w14:paraId="5761EFE4"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21" w:history="1">
              <w:r w:rsidR="00A56EE9" w:rsidRPr="00E70A11">
                <w:rPr>
                  <w:rStyle w:val="Hyperlink"/>
                  <w:rFonts w:ascii="Arial Narrow" w:hAnsi="Arial Narrow"/>
                  <w:sz w:val="18"/>
                  <w:szCs w:val="18"/>
                </w:rPr>
                <w:t>Hammerhead sharks - Assessment of Eligibility for Threatened Species Listing</w:t>
              </w:r>
            </w:hyperlink>
          </w:p>
          <w:p w14:paraId="5761EFE5"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22" w:history="1">
              <w:r w:rsidR="00A56EE9" w:rsidRPr="00E70A11">
                <w:rPr>
                  <w:rStyle w:val="Hyperlink"/>
                  <w:rFonts w:ascii="Arial Narrow" w:hAnsi="Arial Narrow"/>
                  <w:iCs/>
                  <w:sz w:val="18"/>
                  <w:szCs w:val="18"/>
                </w:rPr>
                <w:t>Great Barrier Reef Region Strategic Assessment: Strategic assessment report 2014</w:t>
              </w:r>
            </w:hyperlink>
            <w:r w:rsidR="00A56EE9" w:rsidRPr="00E70A11">
              <w:rPr>
                <w:rFonts w:ascii="Arial Narrow" w:hAnsi="Arial Narrow"/>
                <w:iCs/>
                <w:sz w:val="18"/>
                <w:szCs w:val="18"/>
                <w:u w:val="single"/>
              </w:rPr>
              <w:t>.</w:t>
            </w:r>
          </w:p>
        </w:tc>
        <w:tc>
          <w:tcPr>
            <w:tcW w:w="990" w:type="dxa"/>
            <w:tcBorders>
              <w:top w:val="single" w:sz="4" w:space="0" w:color="auto"/>
              <w:left w:val="single" w:sz="4" w:space="0" w:color="auto"/>
              <w:bottom w:val="single" w:sz="4" w:space="0" w:color="auto"/>
              <w:right w:val="single" w:sz="4" w:space="0" w:color="auto"/>
            </w:tcBorders>
          </w:tcPr>
          <w:p w14:paraId="5761EFE6"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EFE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EFF9"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EFE9"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commercial fishing are well known by managers.</w:t>
            </w:r>
          </w:p>
        </w:tc>
        <w:tc>
          <w:tcPr>
            <w:tcW w:w="1505" w:type="dxa"/>
            <w:tcBorders>
              <w:top w:val="single" w:sz="4" w:space="0" w:color="auto"/>
              <w:left w:val="single" w:sz="4" w:space="0" w:color="auto"/>
              <w:bottom w:val="single" w:sz="4" w:space="0" w:color="auto"/>
              <w:right w:val="single" w:sz="4" w:space="0" w:color="auto"/>
            </w:tcBorders>
          </w:tcPr>
          <w:p w14:paraId="5761EFEA" w14:textId="77777777" w:rsidR="00A56EE9" w:rsidRPr="00A666B2" w:rsidRDefault="00A56EE9" w:rsidP="00BB6AD5">
            <w:pPr>
              <w:pStyle w:val="Tablebulletlist"/>
              <w:rPr>
                <w:rStyle w:val="BookTitle"/>
              </w:rPr>
            </w:pPr>
            <w:r w:rsidRPr="00A666B2">
              <w:rPr>
                <w:rStyle w:val="BookTitle"/>
              </w:rPr>
              <w:t>4</w:t>
            </w:r>
          </w:p>
        </w:tc>
        <w:tc>
          <w:tcPr>
            <w:tcW w:w="3961" w:type="dxa"/>
            <w:tcBorders>
              <w:top w:val="single" w:sz="4" w:space="0" w:color="auto"/>
              <w:left w:val="single" w:sz="4" w:space="0" w:color="auto"/>
              <w:bottom w:val="single" w:sz="4" w:space="0" w:color="auto"/>
              <w:right w:val="single" w:sz="4" w:space="0" w:color="auto"/>
            </w:tcBorders>
          </w:tcPr>
          <w:p w14:paraId="5761EFEB" w14:textId="77777777" w:rsidR="00A56EE9" w:rsidRPr="00A666B2" w:rsidRDefault="00A56EE9" w:rsidP="00A11869">
            <w:pPr>
              <w:pStyle w:val="ListParagraph"/>
              <w:numPr>
                <w:ilvl w:val="0"/>
                <w:numId w:val="24"/>
              </w:numPr>
              <w:spacing w:after="200" w:line="276" w:lineRule="auto"/>
              <w:rPr>
                <w:rFonts w:ascii="Arial Narrow" w:hAnsi="Arial Narrow"/>
                <w:sz w:val="18"/>
                <w:szCs w:val="18"/>
              </w:rPr>
            </w:pPr>
            <w:r w:rsidRPr="00A666B2">
              <w:rPr>
                <w:rFonts w:ascii="Arial Narrow" w:hAnsi="Arial Narrow"/>
                <w:sz w:val="18"/>
                <w:szCs w:val="18"/>
              </w:rPr>
              <w:t>Stakeholders are well known.</w:t>
            </w:r>
          </w:p>
          <w:p w14:paraId="5761EFEC" w14:textId="77777777" w:rsidR="00A56EE9" w:rsidRPr="00A666B2" w:rsidRDefault="00A56EE9" w:rsidP="00A11869">
            <w:pPr>
              <w:pStyle w:val="ListParagraph"/>
              <w:numPr>
                <w:ilvl w:val="0"/>
                <w:numId w:val="24"/>
              </w:numPr>
              <w:spacing w:after="200" w:line="276" w:lineRule="auto"/>
              <w:rPr>
                <w:rFonts w:ascii="Arial Narrow" w:hAnsi="Arial Narrow"/>
                <w:sz w:val="18"/>
                <w:szCs w:val="18"/>
              </w:rPr>
            </w:pPr>
            <w:r w:rsidRPr="00A666B2">
              <w:rPr>
                <w:rFonts w:ascii="Arial Narrow" w:hAnsi="Arial Narrow"/>
                <w:sz w:val="18"/>
                <w:szCs w:val="18"/>
              </w:rPr>
              <w:t xml:space="preserve">A Sustainable Fisheries Expert Panel was appointed in July 2017. The Panel has met multiple times and communiques are published online. </w:t>
            </w:r>
          </w:p>
          <w:p w14:paraId="5761EFED" w14:textId="77777777" w:rsidR="00A56EE9" w:rsidRPr="00A666B2" w:rsidRDefault="00A56EE9" w:rsidP="00A11869">
            <w:pPr>
              <w:pStyle w:val="ListParagraph"/>
              <w:numPr>
                <w:ilvl w:val="0"/>
                <w:numId w:val="24"/>
              </w:numPr>
              <w:spacing w:after="200" w:line="276" w:lineRule="auto"/>
              <w:rPr>
                <w:rFonts w:ascii="Arial Narrow" w:hAnsi="Arial Narrow"/>
                <w:sz w:val="18"/>
                <w:szCs w:val="18"/>
              </w:rPr>
            </w:pPr>
            <w:r w:rsidRPr="00A666B2">
              <w:rPr>
                <w:rFonts w:ascii="Arial Narrow" w:hAnsi="Arial Narrow"/>
                <w:sz w:val="18"/>
                <w:szCs w:val="18"/>
              </w:rPr>
              <w:t xml:space="preserve">Stakeholder-based fishery working groups in place for Coral Reef Fin Fish, Trawl, Crab and East Coast inshore tropical rock lobsters and marine aquarium / coral / BDM. Includes commercial, recreational and charter fishers, marketers/processors, conservation groups and science representatives. </w:t>
            </w:r>
          </w:p>
          <w:p w14:paraId="5761EFEE" w14:textId="77777777" w:rsidR="00A56EE9" w:rsidRPr="00A666B2" w:rsidRDefault="00A56EE9" w:rsidP="00BB6AD5">
            <w:pPr>
              <w:pStyle w:val="ListParagraph"/>
              <w:ind w:left="360"/>
              <w:rPr>
                <w:rFonts w:ascii="Arial Narrow" w:hAnsi="Arial Narrow"/>
                <w:sz w:val="18"/>
                <w:szCs w:val="18"/>
              </w:rPr>
            </w:pPr>
          </w:p>
        </w:tc>
        <w:tc>
          <w:tcPr>
            <w:tcW w:w="4356" w:type="dxa"/>
            <w:tcBorders>
              <w:top w:val="single" w:sz="4" w:space="0" w:color="auto"/>
              <w:left w:val="single" w:sz="4" w:space="0" w:color="auto"/>
              <w:bottom w:val="single" w:sz="4" w:space="0" w:color="auto"/>
              <w:right w:val="single" w:sz="4" w:space="0" w:color="auto"/>
            </w:tcBorders>
          </w:tcPr>
          <w:p w14:paraId="5761EFE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23" w:history="1">
              <w:r w:rsidR="00A56EE9" w:rsidRPr="00E70A11">
                <w:rPr>
                  <w:rStyle w:val="Hyperlink"/>
                  <w:rFonts w:ascii="Arial Narrow" w:hAnsi="Arial Narrow"/>
                  <w:sz w:val="18"/>
                  <w:szCs w:val="18"/>
                </w:rPr>
                <w:t>Queensland Sustainable Fisheries Strategy 2017-2027</w:t>
              </w:r>
            </w:hyperlink>
          </w:p>
          <w:p w14:paraId="5761EFF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24" w:history="1">
              <w:r w:rsidR="00A56EE9" w:rsidRPr="00E70A11">
                <w:rPr>
                  <w:rStyle w:val="Hyperlink"/>
                  <w:rFonts w:ascii="Arial Narrow" w:hAnsi="Arial Narrow"/>
                  <w:sz w:val="18"/>
                  <w:szCs w:val="18"/>
                </w:rPr>
                <w:t>Reef Guardian Fishers program</w:t>
              </w:r>
            </w:hyperlink>
          </w:p>
          <w:p w14:paraId="5761EFF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25" w:history="1">
              <w:r w:rsidR="00A56EE9" w:rsidRPr="00E70A11">
                <w:rPr>
                  <w:rStyle w:val="Hyperlink"/>
                  <w:rFonts w:ascii="Arial Narrow" w:hAnsi="Arial Narrow"/>
                  <w:sz w:val="18"/>
                  <w:szCs w:val="18"/>
                </w:rPr>
                <w:t>MRAG Fisheries management review</w:t>
              </w:r>
            </w:hyperlink>
          </w:p>
          <w:p w14:paraId="5761EFF2" w14:textId="77777777" w:rsidR="00A56EE9" w:rsidRPr="00A666B2" w:rsidRDefault="008B5998" w:rsidP="00A11869">
            <w:pPr>
              <w:pStyle w:val="ListParagraph"/>
              <w:numPr>
                <w:ilvl w:val="0"/>
                <w:numId w:val="24"/>
              </w:numPr>
              <w:spacing w:after="200" w:line="276" w:lineRule="auto"/>
              <w:rPr>
                <w:rStyle w:val="Hyperlink"/>
                <w:rFonts w:ascii="Arial Narrow" w:hAnsi="Arial Narrow"/>
                <w:sz w:val="18"/>
                <w:szCs w:val="18"/>
              </w:rPr>
            </w:pPr>
            <w:hyperlink r:id="rId726" w:history="1">
              <w:r w:rsidR="00A56EE9" w:rsidRPr="00A666B2">
                <w:rPr>
                  <w:rStyle w:val="Hyperlink"/>
                  <w:rFonts w:ascii="Arial Narrow" w:hAnsi="Arial Narrow"/>
                  <w:sz w:val="18"/>
                  <w:szCs w:val="18"/>
                </w:rPr>
                <w:t>Green paper on fisheries management reform in Queensland</w:t>
              </w:r>
            </w:hyperlink>
          </w:p>
          <w:p w14:paraId="5761EFF3" w14:textId="3F2BEDAE" w:rsidR="00A56EE9" w:rsidRPr="00A666B2" w:rsidRDefault="00A56EE9" w:rsidP="00A11869">
            <w:pPr>
              <w:pStyle w:val="ListParagraph"/>
              <w:numPr>
                <w:ilvl w:val="0"/>
                <w:numId w:val="24"/>
              </w:numPr>
              <w:spacing w:after="200" w:line="276" w:lineRule="auto"/>
              <w:rPr>
                <w:rFonts w:ascii="Arial Narrow" w:hAnsi="Arial Narrow"/>
                <w:sz w:val="18"/>
                <w:szCs w:val="18"/>
              </w:rPr>
            </w:pPr>
            <w:r w:rsidRPr="00A666B2">
              <w:rPr>
                <w:rFonts w:ascii="Arial Narrow" w:hAnsi="Arial Narrow"/>
                <w:sz w:val="18"/>
                <w:szCs w:val="18"/>
              </w:rPr>
              <w:t xml:space="preserve">Working groups and communiques: </w:t>
            </w:r>
            <w:hyperlink r:id="rId727" w:tooltip="document link" w:history="1">
              <w:r w:rsidRPr="00A666B2">
                <w:rPr>
                  <w:rStyle w:val="Hyperlink"/>
                  <w:rFonts w:ascii="Arial Narrow" w:hAnsi="Arial Narrow"/>
                  <w:sz w:val="18"/>
                  <w:szCs w:val="18"/>
                </w:rPr>
                <w:t>https://www.daf.qld.gov.au/business-priorities/fisheries/sustainable-fisheries-strategy/fishery-working-groups</w:t>
              </w:r>
            </w:hyperlink>
            <w:r w:rsidR="00242993">
              <w:rPr>
                <w:rFonts w:ascii="Arial Narrow" w:hAnsi="Arial Narrow"/>
                <w:sz w:val="18"/>
                <w:szCs w:val="18"/>
              </w:rPr>
              <w:t xml:space="preserve"> </w:t>
            </w:r>
          </w:p>
          <w:p w14:paraId="5761EFF6" w14:textId="0C50AF72" w:rsidR="00A56EE9" w:rsidRPr="00091656" w:rsidRDefault="00A56EE9" w:rsidP="00091656">
            <w:pPr>
              <w:pStyle w:val="ListParagraph"/>
              <w:numPr>
                <w:ilvl w:val="0"/>
                <w:numId w:val="24"/>
              </w:numPr>
              <w:spacing w:after="200" w:line="276" w:lineRule="auto"/>
              <w:rPr>
                <w:rFonts w:ascii="Arial Narrow" w:hAnsi="Arial Narrow"/>
                <w:sz w:val="18"/>
                <w:szCs w:val="18"/>
              </w:rPr>
            </w:pPr>
            <w:r w:rsidRPr="00A666B2">
              <w:rPr>
                <w:rFonts w:ascii="Arial Narrow" w:hAnsi="Arial Narrow"/>
                <w:sz w:val="18"/>
                <w:szCs w:val="18"/>
              </w:rPr>
              <w:t xml:space="preserve">Expert panel: </w:t>
            </w:r>
            <w:hyperlink r:id="rId728" w:tooltip="document link" w:history="1">
              <w:r w:rsidRPr="00A666B2">
                <w:rPr>
                  <w:rStyle w:val="Hyperlink"/>
                  <w:rFonts w:ascii="Arial Narrow" w:hAnsi="Arial Narrow"/>
                  <w:sz w:val="18"/>
                  <w:szCs w:val="18"/>
                </w:rPr>
                <w:t>https://www.daf.qld.gov.au/business-priorities/fisheries/sustainable-fisheries-strategy/sustainable-fisheries-expert-panel</w:t>
              </w:r>
            </w:hyperlink>
            <w:r w:rsidRPr="00A666B2">
              <w:rPr>
                <w:rFonts w:ascii="Arial Narrow" w:hAnsi="Arial Narrow"/>
                <w:sz w:val="18"/>
                <w:szCs w:val="18"/>
              </w:rPr>
              <w:t xml:space="preserve"> </w:t>
            </w:r>
          </w:p>
        </w:tc>
        <w:tc>
          <w:tcPr>
            <w:tcW w:w="990" w:type="dxa"/>
            <w:tcBorders>
              <w:top w:val="single" w:sz="4" w:space="0" w:color="auto"/>
              <w:left w:val="single" w:sz="4" w:space="0" w:color="auto"/>
              <w:bottom w:val="single" w:sz="4" w:space="0" w:color="auto"/>
              <w:right w:val="single" w:sz="4" w:space="0" w:color="auto"/>
            </w:tcBorders>
          </w:tcPr>
          <w:p w14:paraId="5761EFF7"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EFF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000"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FA" w14:textId="77777777" w:rsidR="00A56EE9" w:rsidRPr="00E70A11" w:rsidRDefault="00A56EE9" w:rsidP="00BB6AD5">
            <w:pPr>
              <w:pStyle w:val="Tablebulletlist"/>
              <w:rPr>
                <w:rStyle w:val="BookTitle"/>
              </w:rPr>
            </w:pPr>
            <w:r w:rsidRPr="00E70A11">
              <w:rPr>
                <w:rStyle w:val="BookTitle"/>
              </w:rPr>
              <w:t>PLANNING</w:t>
            </w:r>
          </w:p>
        </w:tc>
        <w:tc>
          <w:tcPr>
            <w:tcW w:w="150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FB" w14:textId="77777777" w:rsidR="00A56EE9" w:rsidRPr="00E70A11" w:rsidRDefault="00A56EE9" w:rsidP="00BB6AD5">
            <w:pPr>
              <w:pStyle w:val="Tablebulletlist"/>
              <w:rPr>
                <w:rStyle w:val="BookTitle"/>
              </w:rPr>
            </w:pPr>
          </w:p>
        </w:tc>
        <w:tc>
          <w:tcPr>
            <w:tcW w:w="39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FC" w14:textId="77777777" w:rsidR="00A56EE9" w:rsidRPr="00E70A11" w:rsidRDefault="00A56EE9" w:rsidP="00BB6AD5">
            <w:pPr>
              <w:pStyle w:val="ListParagraph"/>
              <w:ind w:left="360"/>
              <w:rPr>
                <w:rStyle w:val="BookTitle"/>
                <w:rFonts w:ascii="Arial Narrow" w:hAnsi="Arial Narrow"/>
                <w:sz w:val="18"/>
                <w:szCs w:val="18"/>
              </w:rPr>
            </w:pPr>
          </w:p>
        </w:tc>
        <w:tc>
          <w:tcPr>
            <w:tcW w:w="43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FD"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FE"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EFFF" w14:textId="77777777" w:rsidR="00A56EE9" w:rsidRPr="00E70A11" w:rsidRDefault="00A56EE9" w:rsidP="00BB6AD5">
            <w:pPr>
              <w:pStyle w:val="Tablebulletlist"/>
              <w:rPr>
                <w:rStyle w:val="BookTitle"/>
              </w:rPr>
            </w:pPr>
          </w:p>
        </w:tc>
      </w:tr>
      <w:tr w:rsidR="00A56EE9" w:rsidRPr="00E70A11" w14:paraId="5761F013"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01"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commercial fishing </w:t>
            </w:r>
          </w:p>
        </w:tc>
        <w:tc>
          <w:tcPr>
            <w:tcW w:w="1505" w:type="dxa"/>
            <w:tcBorders>
              <w:top w:val="single" w:sz="4" w:space="0" w:color="auto"/>
              <w:left w:val="single" w:sz="4" w:space="0" w:color="auto"/>
              <w:bottom w:val="single" w:sz="4" w:space="0" w:color="auto"/>
              <w:right w:val="single" w:sz="4" w:space="0" w:color="auto"/>
            </w:tcBorders>
          </w:tcPr>
          <w:p w14:paraId="5761F002"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0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Queensland Sustainable Fisheries Strategy: 2017-2027 outlines a set of actions to provide policy direction and reforms to ensure fishing is managed sustainably. </w:t>
            </w:r>
          </w:p>
          <w:p w14:paraId="5761F00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reforms outlined in this strategy provide a unique opportunity to effectively manage commercial fishing. </w:t>
            </w:r>
          </w:p>
          <w:p w14:paraId="5761F00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w:t>
            </w:r>
            <w:r w:rsidRPr="00E70A11">
              <w:rPr>
                <w:rFonts w:ascii="Arial Narrow" w:hAnsi="Arial Narrow"/>
                <w:i/>
                <w:iCs/>
                <w:sz w:val="18"/>
                <w:szCs w:val="18"/>
                <w:lang w:val="en"/>
              </w:rPr>
              <w:t>Great Barrier Reef Marine Park Zoning Plan 2003</w:t>
            </w:r>
            <w:r>
              <w:rPr>
                <w:rFonts w:ascii="Arial Narrow" w:hAnsi="Arial Narrow"/>
                <w:i/>
                <w:iCs/>
                <w:sz w:val="18"/>
                <w:szCs w:val="18"/>
                <w:lang w:val="en"/>
              </w:rPr>
              <w:t xml:space="preserve"> </w:t>
            </w:r>
            <w:r w:rsidRPr="00E70A11">
              <w:rPr>
                <w:rFonts w:ascii="Arial Narrow" w:hAnsi="Arial Narrow"/>
                <w:sz w:val="18"/>
                <w:szCs w:val="18"/>
              </w:rPr>
              <w:t xml:space="preserve">and the </w:t>
            </w:r>
            <w:r w:rsidRPr="00E70A11">
              <w:rPr>
                <w:rFonts w:ascii="Arial Narrow" w:hAnsi="Arial Narrow"/>
                <w:i/>
                <w:sz w:val="18"/>
                <w:szCs w:val="18"/>
              </w:rPr>
              <w:t>Marine Parks (Great Barrier Reef Coast) Zoning Plan 2004</w:t>
            </w:r>
            <w:r w:rsidRPr="00E70A11">
              <w:rPr>
                <w:rFonts w:ascii="Arial Narrow" w:hAnsi="Arial Narrow"/>
                <w:sz w:val="18"/>
                <w:szCs w:val="18"/>
              </w:rPr>
              <w:t xml:space="preserve"> </w:t>
            </w:r>
            <w:r w:rsidRPr="00E70A11">
              <w:rPr>
                <w:rFonts w:ascii="Arial Narrow" w:hAnsi="Arial Narrow"/>
                <w:sz w:val="18"/>
                <w:szCs w:val="18"/>
                <w:lang w:val="en"/>
              </w:rPr>
              <w:t>define what activities (including fishing) can occur in which zones.</w:t>
            </w:r>
          </w:p>
          <w:p w14:paraId="5761F00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Field Management Program has a strategic program to address compliance issues in the Marine Park.</w:t>
            </w:r>
          </w:p>
          <w:p w14:paraId="5761F007"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Reef 2050 Plan also considers commercial fishing, and includes actions concerning the population and stock assessment of fisheries species </w:t>
            </w:r>
          </w:p>
          <w:p w14:paraId="5761F00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Fonts w:ascii="Arial Narrow" w:hAnsi="Arial Narrow"/>
                <w:sz w:val="18"/>
                <w:szCs w:val="18"/>
              </w:rPr>
              <w:t>Compliance plans are in p</w:t>
            </w:r>
            <w:r>
              <w:rPr>
                <w:rFonts w:ascii="Arial Narrow" w:hAnsi="Arial Narrow"/>
                <w:sz w:val="18"/>
                <w:szCs w:val="18"/>
              </w:rPr>
              <w:t>lace, including specific action</w:t>
            </w:r>
            <w:r w:rsidRPr="00942BDC">
              <w:rPr>
                <w:rFonts w:ascii="Arial Narrow" w:hAnsi="Arial Narrow"/>
                <w:sz w:val="18"/>
                <w:szCs w:val="18"/>
              </w:rPr>
              <w:t xml:space="preserve"> plans to address key compliance risks. The Queensland Boating and Fisheries Patrol has moved to an intelligence based approach to compliance, using </w:t>
            </w:r>
            <w:proofErr w:type="gramStart"/>
            <w:r w:rsidRPr="00942BDC">
              <w:rPr>
                <w:rFonts w:ascii="Arial Narrow" w:hAnsi="Arial Narrow"/>
                <w:sz w:val="18"/>
                <w:szCs w:val="18"/>
              </w:rPr>
              <w:t>intel</w:t>
            </w:r>
            <w:proofErr w:type="gramEnd"/>
            <w:r w:rsidRPr="00942BDC">
              <w:rPr>
                <w:rFonts w:ascii="Arial Narrow" w:hAnsi="Arial Narrow"/>
                <w:sz w:val="18"/>
                <w:szCs w:val="18"/>
              </w:rPr>
              <w:t xml:space="preserve"> to guide compliance action plans. Vessel tracking that is being rolled out across all commercial and charter boats will assist with targeted compliance.</w:t>
            </w:r>
          </w:p>
        </w:tc>
        <w:tc>
          <w:tcPr>
            <w:tcW w:w="4356" w:type="dxa"/>
            <w:tcBorders>
              <w:top w:val="single" w:sz="4" w:space="0" w:color="auto"/>
              <w:left w:val="single" w:sz="4" w:space="0" w:color="auto"/>
              <w:bottom w:val="single" w:sz="4" w:space="0" w:color="auto"/>
              <w:right w:val="single" w:sz="4" w:space="0" w:color="auto"/>
            </w:tcBorders>
          </w:tcPr>
          <w:p w14:paraId="5761F009"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29" w:history="1">
              <w:r w:rsidR="00A56EE9" w:rsidRPr="00E70A11">
                <w:rPr>
                  <w:rStyle w:val="Hyperlink"/>
                  <w:rFonts w:ascii="Arial Narrow" w:hAnsi="Arial Narrow"/>
                  <w:sz w:val="18"/>
                  <w:szCs w:val="18"/>
                </w:rPr>
                <w:t>Queensland Sustainable Fisheries Strategy 2017-2027</w:t>
              </w:r>
            </w:hyperlink>
          </w:p>
          <w:p w14:paraId="5761F00A"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Fonts w:ascii="Arial Narrow" w:hAnsi="Arial Narrow"/>
                <w:sz w:val="18"/>
                <w:szCs w:val="18"/>
              </w:rPr>
              <w:t xml:space="preserve"> </w:t>
            </w:r>
            <w:hyperlink r:id="rId730" w:history="1">
              <w:r w:rsidRPr="00E70A11">
                <w:rPr>
                  <w:rStyle w:val="Hyperlink"/>
                  <w:rFonts w:ascii="Arial Narrow" w:hAnsi="Arial Narrow"/>
                  <w:sz w:val="18"/>
                  <w:szCs w:val="18"/>
                </w:rPr>
                <w:t>GBRMP Zoning</w:t>
              </w:r>
            </w:hyperlink>
            <w:r w:rsidRPr="00E70A11">
              <w:rPr>
                <w:rStyle w:val="Hyperlink"/>
                <w:rFonts w:ascii="Arial Narrow" w:hAnsi="Arial Narrow"/>
                <w:sz w:val="18"/>
                <w:szCs w:val="18"/>
              </w:rPr>
              <w:t xml:space="preserve"> Plan</w:t>
            </w:r>
          </w:p>
          <w:p w14:paraId="5761F00B"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31" w:history="1">
              <w:r w:rsidR="00A56EE9" w:rsidRPr="00E70A11">
                <w:rPr>
                  <w:rStyle w:val="Hyperlink"/>
                  <w:rFonts w:ascii="Arial Narrow" w:hAnsi="Arial Narrow"/>
                  <w:sz w:val="18"/>
                  <w:szCs w:val="18"/>
                </w:rPr>
                <w:t>Great Barrier Reef Coast Marine Park</w:t>
              </w:r>
            </w:hyperlink>
          </w:p>
          <w:p w14:paraId="5761F00C"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Reef 2050 Plan</w:t>
            </w:r>
          </w:p>
          <w:p w14:paraId="5761F00D" w14:textId="77777777" w:rsidR="00A56EE9" w:rsidRPr="00802826"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FMP Compliance Planning</w:t>
            </w:r>
          </w:p>
          <w:p w14:paraId="5761F010" w14:textId="0148C982" w:rsidR="00A56EE9" w:rsidRPr="00091656" w:rsidRDefault="00A56EE9" w:rsidP="00091656">
            <w:pPr>
              <w:pStyle w:val="ListParagraph"/>
              <w:numPr>
                <w:ilvl w:val="0"/>
                <w:numId w:val="24"/>
              </w:numPr>
              <w:spacing w:after="200" w:line="276" w:lineRule="auto"/>
              <w:rPr>
                <w:rStyle w:val="BookTitle"/>
                <w:rFonts w:ascii="Arial Narrow" w:hAnsi="Arial Narrow" w:cstheme="minorBidi"/>
                <w:sz w:val="16"/>
                <w:szCs w:val="18"/>
                <w:u w:val="single"/>
              </w:rPr>
            </w:pPr>
            <w:r w:rsidRPr="00942BDC">
              <w:rPr>
                <w:rStyle w:val="Hyperlink"/>
                <w:rFonts w:ascii="Arial Narrow" w:hAnsi="Arial Narrow"/>
                <w:sz w:val="18"/>
              </w:rPr>
              <w:t xml:space="preserve">Fisheries Act amendments: </w:t>
            </w:r>
            <w:hyperlink r:id="rId732" w:tooltip="document link" w:history="1">
              <w:r w:rsidRPr="00942BDC">
                <w:rPr>
                  <w:rStyle w:val="Hyperlink"/>
                  <w:rFonts w:ascii="Arial Narrow" w:hAnsi="Arial Narrow"/>
                  <w:sz w:val="18"/>
                </w:rPr>
                <w:t>https://www.daf.qld.gov.au/business-priorities/fisheries/sustainable-fisheries-strategy/changes-to-queenslands-fisheries-legislation</w:t>
              </w:r>
            </w:hyperlink>
            <w:r w:rsidRPr="00942BDC">
              <w:rPr>
                <w:rStyle w:val="Hyperlink"/>
                <w:rFonts w:ascii="Arial Narrow" w:hAnsi="Arial Narrow"/>
                <w:sz w:val="18"/>
              </w:rPr>
              <w:t xml:space="preserve"> </w:t>
            </w:r>
          </w:p>
        </w:tc>
        <w:tc>
          <w:tcPr>
            <w:tcW w:w="990" w:type="dxa"/>
            <w:tcBorders>
              <w:top w:val="single" w:sz="4" w:space="0" w:color="auto"/>
              <w:left w:val="single" w:sz="4" w:space="0" w:color="auto"/>
              <w:bottom w:val="single" w:sz="4" w:space="0" w:color="auto"/>
              <w:right w:val="single" w:sz="4" w:space="0" w:color="auto"/>
            </w:tcBorders>
          </w:tcPr>
          <w:p w14:paraId="5761F011" w14:textId="77777777" w:rsidR="00A56EE9" w:rsidRPr="00E70A11" w:rsidRDefault="00A56EE9" w:rsidP="00BB6AD5">
            <w:pPr>
              <w:pStyle w:val="Tablebulletlist"/>
              <w:rPr>
                <w:rStyle w:val="BookTitle"/>
              </w:rPr>
            </w:pPr>
            <w:r w:rsidRPr="00E70A11">
              <w:rPr>
                <w:rStyle w:val="BookTitle"/>
              </w:rPr>
              <w:t xml:space="preserve">Adequate </w:t>
            </w:r>
          </w:p>
        </w:tc>
        <w:tc>
          <w:tcPr>
            <w:tcW w:w="1061" w:type="dxa"/>
            <w:tcBorders>
              <w:top w:val="single" w:sz="4" w:space="0" w:color="auto"/>
              <w:left w:val="single" w:sz="4" w:space="0" w:color="auto"/>
              <w:bottom w:val="single" w:sz="4" w:space="0" w:color="auto"/>
              <w:right w:val="single" w:sz="4" w:space="0" w:color="auto"/>
            </w:tcBorders>
          </w:tcPr>
          <w:p w14:paraId="5761F01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22"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14"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commercial fishing addresses the major factors influencing the Great Barrier Reef Region’s values.</w:t>
            </w:r>
          </w:p>
        </w:tc>
        <w:tc>
          <w:tcPr>
            <w:tcW w:w="1505" w:type="dxa"/>
            <w:tcBorders>
              <w:top w:val="single" w:sz="4" w:space="0" w:color="auto"/>
              <w:left w:val="single" w:sz="4" w:space="0" w:color="auto"/>
              <w:bottom w:val="single" w:sz="4" w:space="0" w:color="auto"/>
              <w:right w:val="single" w:sz="4" w:space="0" w:color="auto"/>
            </w:tcBorders>
          </w:tcPr>
          <w:p w14:paraId="5761F015"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1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Up until the introduction of the Sustainable Fisheries Strategy, commercial fishing activities influencing the GBR Region’s values have been addressed on an ad-hoc basis.</w:t>
            </w:r>
          </w:p>
          <w:p w14:paraId="5761F01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This strategy explicitly recognises the importance of ensuring fisheries are managed in a sustainable way in the GBRWHA and recognises the major values impacted by fishing</w:t>
            </w:r>
          </w:p>
          <w:p w14:paraId="5761F01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 Marine Park legislative options exist to control fishing activities (e.g. declaration of Special Management Areas) but these are not regularly used because agencies generally cooperate and direct fisheries management in the GBRMP is managed by the state of Queensland under the Offshore Constitutional Settlement.</w:t>
            </w:r>
          </w:p>
          <w:p w14:paraId="5761F019" w14:textId="77777777" w:rsidR="00A56EE9" w:rsidRPr="00CF5354"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EPBC Act assessments influence Queensland management of fisheries and related planning.</w:t>
            </w:r>
          </w:p>
        </w:tc>
        <w:tc>
          <w:tcPr>
            <w:tcW w:w="4356" w:type="dxa"/>
            <w:tcBorders>
              <w:top w:val="single" w:sz="4" w:space="0" w:color="auto"/>
              <w:left w:val="single" w:sz="4" w:space="0" w:color="auto"/>
              <w:bottom w:val="single" w:sz="4" w:space="0" w:color="auto"/>
              <w:right w:val="single" w:sz="4" w:space="0" w:color="auto"/>
            </w:tcBorders>
          </w:tcPr>
          <w:p w14:paraId="5761F01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33" w:history="1">
              <w:r w:rsidR="00A56EE9" w:rsidRPr="00E70A11">
                <w:rPr>
                  <w:rFonts w:ascii="Arial Narrow" w:hAnsi="Arial Narrow"/>
                  <w:sz w:val="18"/>
                  <w:szCs w:val="18"/>
                </w:rPr>
                <w:t>Queensland managed fisheries assessments under the EPBC Act</w:t>
              </w:r>
            </w:hyperlink>
          </w:p>
          <w:p w14:paraId="5761F01B"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34" w:history="1">
              <w:r w:rsidR="00A56EE9" w:rsidRPr="00E70A11">
                <w:rPr>
                  <w:rFonts w:ascii="Arial Narrow" w:hAnsi="Arial Narrow"/>
                  <w:sz w:val="18"/>
                  <w:szCs w:val="18"/>
                </w:rPr>
                <w:t>Queensland Sustainable Fisheries Strategy 2017-2027</w:t>
              </w:r>
            </w:hyperlink>
          </w:p>
          <w:p w14:paraId="5761F01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35" w:history="1">
              <w:r w:rsidR="00A56EE9" w:rsidRPr="00E70A11">
                <w:rPr>
                  <w:rFonts w:ascii="Arial Narrow" w:hAnsi="Arial Narrow"/>
                  <w:sz w:val="18"/>
                  <w:szCs w:val="18"/>
                </w:rPr>
                <w:t>QDAF Fisheries Legislation</w:t>
              </w:r>
            </w:hyperlink>
          </w:p>
          <w:p w14:paraId="5761F01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 Park Zoning Plan</w:t>
            </w:r>
          </w:p>
          <w:p w14:paraId="5761F01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Harrison, H.B., Williamson, D.H., Evans, R.D., Almany, G.R., Thorrold, S.R., Russ, G.R., Feldheim, K.A., van Herwerden, L., Planes, S., Srinivasan, M., Berumen, M.L., and Jones, G.P. (2012) Larval export from marine reserves and the recruitment benefit for fish and fisheries. Current Biology, 22 (11). pp. 1023-1028.</w:t>
            </w:r>
          </w:p>
          <w:p w14:paraId="5761F01F"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020"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2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2F"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23"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commercial fishing are clearly identified within the plan </w:t>
            </w:r>
          </w:p>
        </w:tc>
        <w:tc>
          <w:tcPr>
            <w:tcW w:w="1505" w:type="dxa"/>
            <w:tcBorders>
              <w:top w:val="single" w:sz="4" w:space="0" w:color="auto"/>
              <w:left w:val="single" w:sz="4" w:space="0" w:color="auto"/>
              <w:bottom w:val="single" w:sz="4" w:space="0" w:color="auto"/>
              <w:right w:val="single" w:sz="4" w:space="0" w:color="auto"/>
            </w:tcBorders>
          </w:tcPr>
          <w:p w14:paraId="5761F024"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2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Queensland Sustainable Fisheries Strategy: 2017-2027 and the reforms outlined within provide an important opportunity to implement appropriate planning systems for commercial fishing.</w:t>
            </w:r>
            <w:r>
              <w:rPr>
                <w:rFonts w:ascii="Arial Narrow" w:hAnsi="Arial Narrow"/>
                <w:sz w:val="18"/>
                <w:szCs w:val="18"/>
              </w:rPr>
              <w:t xml:space="preserve"> </w:t>
            </w:r>
            <w:r w:rsidRPr="00E70A11">
              <w:rPr>
                <w:rFonts w:ascii="Arial Narrow" w:hAnsi="Arial Narrow"/>
                <w:sz w:val="18"/>
                <w:szCs w:val="18"/>
              </w:rPr>
              <w:t>Thirty three actions are clearly outlined in the strategy, with an implementation section included in the strategy.</w:t>
            </w:r>
          </w:p>
          <w:p w14:paraId="5761F02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Harvest Strategies are proposed to include specific fisheries management objectives, decision rules, monitoring and appropriate management responses.</w:t>
            </w:r>
          </w:p>
          <w:p w14:paraId="5761F027" w14:textId="77777777" w:rsidR="00A56EE9" w:rsidRPr="00CF5354"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Reef 2050 Plan also includes clear actions for implementation</w:t>
            </w:r>
          </w:p>
        </w:tc>
        <w:tc>
          <w:tcPr>
            <w:tcW w:w="4356" w:type="dxa"/>
            <w:tcBorders>
              <w:top w:val="single" w:sz="4" w:space="0" w:color="auto"/>
              <w:left w:val="single" w:sz="4" w:space="0" w:color="auto"/>
              <w:bottom w:val="single" w:sz="4" w:space="0" w:color="auto"/>
              <w:right w:val="single" w:sz="4" w:space="0" w:color="auto"/>
            </w:tcBorders>
          </w:tcPr>
          <w:p w14:paraId="5761F02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36" w:history="1">
              <w:r w:rsidR="00A56EE9" w:rsidRPr="00E70A11">
                <w:rPr>
                  <w:rFonts w:ascii="Arial Narrow" w:hAnsi="Arial Narrow"/>
                  <w:sz w:val="18"/>
                  <w:szCs w:val="18"/>
                </w:rPr>
                <w:t>Queensland Sustainable Fisheries Strategy 2017-2027</w:t>
              </w:r>
            </w:hyperlink>
          </w:p>
          <w:p w14:paraId="5761F029"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Plan</w:t>
            </w:r>
          </w:p>
          <w:p w14:paraId="5761F02A" w14:textId="38D558A4" w:rsidR="00A56EE9" w:rsidRPr="00942BDC" w:rsidRDefault="00A56EE9" w:rsidP="00A11869">
            <w:pPr>
              <w:pStyle w:val="ListParagraph"/>
              <w:numPr>
                <w:ilvl w:val="0"/>
                <w:numId w:val="24"/>
              </w:numPr>
              <w:spacing w:after="200" w:line="276" w:lineRule="auto"/>
              <w:rPr>
                <w:rStyle w:val="Hyperlink"/>
                <w:rFonts w:ascii="Arial Narrow" w:hAnsi="Arial Narrow"/>
                <w:sz w:val="18"/>
                <w:szCs w:val="18"/>
              </w:rPr>
            </w:pPr>
            <w:r w:rsidRPr="00942BDC">
              <w:rPr>
                <w:rStyle w:val="Hyperlink"/>
                <w:rFonts w:ascii="Arial Narrow" w:hAnsi="Arial Narrow"/>
                <w:sz w:val="18"/>
                <w:szCs w:val="18"/>
              </w:rPr>
              <w:t xml:space="preserve">Guideline for harvest strategies: </w:t>
            </w:r>
            <w:hyperlink r:id="rId737" w:tooltip="document link" w:history="1">
              <w:r w:rsidRPr="00942BDC">
                <w:rPr>
                  <w:rStyle w:val="Hyperlink"/>
                  <w:rFonts w:ascii="Arial Narrow" w:hAnsi="Arial Narrow"/>
                  <w:sz w:val="18"/>
                  <w:szCs w:val="18"/>
                </w:rPr>
                <w:t>https://www.daf.qld.gov.au/business-priorities/fisheries/sustainable-fisheries-strategy/harvest-strategy</w:t>
              </w:r>
            </w:hyperlink>
            <w:r w:rsidRPr="00942BDC">
              <w:rPr>
                <w:rStyle w:val="Hyperlink"/>
                <w:rFonts w:ascii="Arial Narrow" w:hAnsi="Arial Narrow"/>
                <w:sz w:val="18"/>
                <w:szCs w:val="18"/>
              </w:rPr>
              <w:t xml:space="preserve"> </w:t>
            </w:r>
          </w:p>
          <w:p w14:paraId="5761F02B" w14:textId="538204DA" w:rsidR="00A56EE9" w:rsidRPr="00942BDC" w:rsidRDefault="008B5998" w:rsidP="00A11869">
            <w:pPr>
              <w:pStyle w:val="ListParagraph"/>
              <w:numPr>
                <w:ilvl w:val="0"/>
                <w:numId w:val="24"/>
              </w:numPr>
              <w:spacing w:after="200" w:line="276" w:lineRule="auto"/>
              <w:rPr>
                <w:rFonts w:ascii="Arial Narrow" w:hAnsi="Arial Narrow"/>
                <w:sz w:val="18"/>
                <w:szCs w:val="18"/>
              </w:rPr>
            </w:pPr>
            <w:hyperlink r:id="rId738" w:tooltip="document link" w:history="1">
              <w:r w:rsidR="00A56EE9" w:rsidRPr="00942BDC">
                <w:rPr>
                  <w:rStyle w:val="Hyperlink"/>
                  <w:rFonts w:ascii="Arial Narrow" w:hAnsi="Arial Narrow"/>
                  <w:sz w:val="18"/>
                  <w:szCs w:val="18"/>
                </w:rPr>
                <w:t>https://www.daf.qld.gov.au/business-priorities/fisheries/sustainable-fisheries-strategy/fisheries-reforms</w:t>
              </w:r>
            </w:hyperlink>
            <w:r w:rsidR="00A56EE9" w:rsidRPr="00942BDC">
              <w:rPr>
                <w:rFonts w:ascii="Arial Narrow" w:hAnsi="Arial Narrow"/>
                <w:sz w:val="18"/>
                <w:szCs w:val="18"/>
              </w:rPr>
              <w:t xml:space="preserve"> </w:t>
            </w:r>
          </w:p>
          <w:p w14:paraId="5761F02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02D"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2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43"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30"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commercial fishing have been documented</w:t>
            </w:r>
          </w:p>
        </w:tc>
        <w:tc>
          <w:tcPr>
            <w:tcW w:w="1505" w:type="dxa"/>
            <w:tcBorders>
              <w:top w:val="single" w:sz="4" w:space="0" w:color="auto"/>
              <w:left w:val="single" w:sz="4" w:space="0" w:color="auto"/>
              <w:bottom w:val="single" w:sz="4" w:space="0" w:color="auto"/>
              <w:right w:val="single" w:sz="4" w:space="0" w:color="auto"/>
            </w:tcBorders>
          </w:tcPr>
          <w:p w14:paraId="5761F031"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32"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 xml:space="preserve">There are a range of clear and measurable targets set out in the Sustainable Fisheries Strategy, for 2020 and 2027. </w:t>
            </w:r>
          </w:p>
          <w:p w14:paraId="5761F03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Under the QSFS, it is proposed that Fishery Harvest Strategies being developed within Fishery Working Groups will include specific fisheries management objectives, decision rules, monitoring and appropriate management responses.</w:t>
            </w:r>
          </w:p>
          <w:p w14:paraId="5761F03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strategy aims to set sustainable catch limits at Maximum Economic Yield or 60% of virgin biomass to, amongst other things, improve stock resilience (This explicit objective is critical in ensuring not only sustainable fisheries stocks in the GBR but also ecosystem health and resilience of the GBR in a changing climate).</w:t>
            </w:r>
            <w:r>
              <w:rPr>
                <w:rFonts w:ascii="Arial Narrow" w:hAnsi="Arial Narrow"/>
                <w:sz w:val="18"/>
                <w:szCs w:val="18"/>
              </w:rPr>
              <w:t xml:space="preserve"> </w:t>
            </w:r>
          </w:p>
          <w:p w14:paraId="5761F03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Regulations and the Zoning Plan specify what activities and actions can occur, including types of commercial fishing within the GBRMP.</w:t>
            </w:r>
          </w:p>
          <w:p w14:paraId="5761F036"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Field Management Program’s Strategic Compliance Risk Management Plan for the Region (based on the international standard framework for risk management) sets out the major compliance risks to the Reef and specifies clear, measurable and appropriate treatments to achieve objectives, including for Reef health.</w:t>
            </w:r>
          </w:p>
          <w:p w14:paraId="5761F03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Fonts w:ascii="Arial Narrow" w:hAnsi="Arial Narrow"/>
                <w:sz w:val="18"/>
                <w:szCs w:val="18"/>
              </w:rPr>
              <w:t>Service Delivery Statements specify targets / KPIs for the Department of Agriculture and Fisheries, including fisheries compliance, export approvals etc.</w:t>
            </w:r>
          </w:p>
        </w:tc>
        <w:tc>
          <w:tcPr>
            <w:tcW w:w="4356" w:type="dxa"/>
            <w:tcBorders>
              <w:top w:val="single" w:sz="4" w:space="0" w:color="auto"/>
              <w:left w:val="single" w:sz="4" w:space="0" w:color="auto"/>
              <w:bottom w:val="single" w:sz="4" w:space="0" w:color="auto"/>
              <w:right w:val="single" w:sz="4" w:space="0" w:color="auto"/>
            </w:tcBorders>
          </w:tcPr>
          <w:p w14:paraId="5761F03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39" w:history="1">
              <w:r w:rsidR="00A56EE9" w:rsidRPr="00E70A11">
                <w:rPr>
                  <w:rFonts w:ascii="Arial Narrow" w:hAnsi="Arial Narrow"/>
                  <w:sz w:val="18"/>
                  <w:szCs w:val="18"/>
                </w:rPr>
                <w:t>Queensland Sustainable Fisheries Strategy 2017-2027</w:t>
              </w:r>
            </w:hyperlink>
          </w:p>
          <w:p w14:paraId="5761F03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website on Zoning: </w:t>
            </w:r>
            <w:hyperlink r:id="rId740" w:history="1">
              <w:r w:rsidRPr="00E70A11">
                <w:rPr>
                  <w:rFonts w:ascii="Arial Narrow" w:hAnsi="Arial Narrow"/>
                  <w:sz w:val="18"/>
                  <w:szCs w:val="18"/>
                </w:rPr>
                <w:t>http://www.gbrmpa.gov.au/zoning-permits-and-plans</w:t>
              </w:r>
            </w:hyperlink>
          </w:p>
          <w:p w14:paraId="5761F03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i/>
                <w:sz w:val="18"/>
                <w:szCs w:val="18"/>
              </w:rPr>
              <w:t>Fisheries Act 1994</w:t>
            </w:r>
            <w:r w:rsidRPr="00E70A11">
              <w:rPr>
                <w:rFonts w:ascii="Arial Narrow" w:hAnsi="Arial Narrow"/>
                <w:sz w:val="18"/>
                <w:szCs w:val="18"/>
              </w:rPr>
              <w:t xml:space="preserve"> (Qld) and subordinate legislation</w:t>
            </w:r>
          </w:p>
          <w:p w14:paraId="5761F03B"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741" w:history="1">
              <w:r w:rsidR="00A56EE9" w:rsidRPr="00E70A11">
                <w:rPr>
                  <w:rStyle w:val="Hyperlink"/>
                  <w:rFonts w:ascii="Arial Narrow" w:hAnsi="Arial Narrow"/>
                  <w:sz w:val="18"/>
                  <w:szCs w:val="18"/>
                </w:rPr>
                <w:t>Queensland Sustainable Fisheries Strategy 2017-2027</w:t>
              </w:r>
            </w:hyperlink>
          </w:p>
          <w:p w14:paraId="5761F03C"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742" w:history="1">
              <w:r w:rsidR="00A56EE9" w:rsidRPr="00E70A11">
                <w:rPr>
                  <w:rStyle w:val="Hyperlink"/>
                  <w:rFonts w:ascii="Arial Narrow" w:hAnsi="Arial Narrow"/>
                  <w:sz w:val="18"/>
                  <w:szCs w:val="18"/>
                </w:rPr>
                <w:t>Queensland Harvest Strategy Policy and Guidelines</w:t>
              </w:r>
            </w:hyperlink>
            <w:r w:rsidR="00A56EE9" w:rsidRPr="00E70A11">
              <w:rPr>
                <w:rFonts w:ascii="Arial Narrow" w:hAnsi="Arial Narrow"/>
                <w:sz w:val="18"/>
                <w:szCs w:val="18"/>
                <w:u w:val="single"/>
              </w:rPr>
              <w:t xml:space="preserve"> </w:t>
            </w:r>
          </w:p>
          <w:p w14:paraId="5761F03D"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u w:val="single"/>
              </w:rPr>
              <w:t xml:space="preserve"> </w:t>
            </w:r>
            <w:hyperlink r:id="rId743" w:history="1">
              <w:r w:rsidRPr="00E70A11">
                <w:rPr>
                  <w:rStyle w:val="Hyperlink"/>
                  <w:rFonts w:ascii="Arial Narrow" w:hAnsi="Arial Narrow"/>
                  <w:sz w:val="18"/>
                  <w:szCs w:val="18"/>
                </w:rPr>
                <w:t>Field Management of the Great Barrier Reef Marine Park</w:t>
              </w:r>
            </w:hyperlink>
          </w:p>
          <w:p w14:paraId="5761F03E"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u w:val="single"/>
              </w:rPr>
              <w:t>FMP Strategic Compliance Risk Management Plan</w:t>
            </w:r>
          </w:p>
          <w:p w14:paraId="5761F03F" w14:textId="793780D9" w:rsidR="00A56EE9" w:rsidRPr="00942BDC" w:rsidRDefault="00A56EE9" w:rsidP="00A11869">
            <w:pPr>
              <w:pStyle w:val="ListParagraph"/>
              <w:numPr>
                <w:ilvl w:val="0"/>
                <w:numId w:val="24"/>
              </w:numPr>
              <w:spacing w:after="200" w:line="276" w:lineRule="auto"/>
              <w:rPr>
                <w:rStyle w:val="Hyperlink"/>
                <w:rFonts w:ascii="Arial Narrow" w:hAnsi="Arial Narrow"/>
                <w:sz w:val="18"/>
                <w:szCs w:val="18"/>
              </w:rPr>
            </w:pPr>
            <w:r w:rsidRPr="00942BDC">
              <w:rPr>
                <w:rStyle w:val="Hyperlink"/>
                <w:rFonts w:ascii="Arial Narrow" w:hAnsi="Arial Narrow"/>
                <w:sz w:val="18"/>
                <w:szCs w:val="18"/>
              </w:rPr>
              <w:t xml:space="preserve">Guideline for harvest strategies: </w:t>
            </w:r>
            <w:hyperlink r:id="rId744" w:tooltip="document link" w:history="1">
              <w:r w:rsidRPr="00942BDC">
                <w:rPr>
                  <w:rStyle w:val="Hyperlink"/>
                  <w:rFonts w:ascii="Arial Narrow" w:hAnsi="Arial Narrow"/>
                  <w:sz w:val="18"/>
                  <w:szCs w:val="18"/>
                </w:rPr>
                <w:t>https://www.daf.qld.gov.au/business-priorities/fisheries/sustainable-fisheries-strategy/harvest-strategy</w:t>
              </w:r>
            </w:hyperlink>
            <w:r w:rsidRPr="00942BDC">
              <w:rPr>
                <w:rStyle w:val="Hyperlink"/>
                <w:rFonts w:ascii="Arial Narrow" w:hAnsi="Arial Narrow"/>
                <w:sz w:val="18"/>
                <w:szCs w:val="18"/>
              </w:rPr>
              <w:t xml:space="preserve"> </w:t>
            </w:r>
          </w:p>
          <w:p w14:paraId="5761F040" w14:textId="429A62C0"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Style w:val="BookTitle"/>
                <w:rFonts w:ascii="Arial Narrow" w:hAnsi="Arial Narrow"/>
                <w:sz w:val="18"/>
                <w:szCs w:val="18"/>
              </w:rPr>
              <w:t xml:space="preserve">SDS: </w:t>
            </w:r>
            <w:hyperlink r:id="rId745" w:tooltip="document link" w:history="1">
              <w:r w:rsidRPr="00942BDC">
                <w:rPr>
                  <w:rStyle w:val="Hyperlink"/>
                  <w:rFonts w:ascii="Arial Narrow" w:hAnsi="Arial Narrow"/>
                  <w:sz w:val="18"/>
                  <w:szCs w:val="18"/>
                </w:rPr>
                <w:t>https://www.daf.qld.gov.au/corporate-publications</w:t>
              </w:r>
            </w:hyperlink>
          </w:p>
        </w:tc>
        <w:tc>
          <w:tcPr>
            <w:tcW w:w="990" w:type="dxa"/>
            <w:tcBorders>
              <w:top w:val="single" w:sz="4" w:space="0" w:color="auto"/>
              <w:left w:val="single" w:sz="4" w:space="0" w:color="auto"/>
              <w:bottom w:val="single" w:sz="4" w:space="0" w:color="auto"/>
              <w:right w:val="single" w:sz="4" w:space="0" w:color="auto"/>
            </w:tcBorders>
          </w:tcPr>
          <w:p w14:paraId="5761F041"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tcPr>
          <w:p w14:paraId="5761F042" w14:textId="77777777" w:rsidR="00A56EE9" w:rsidRPr="00E70A11" w:rsidRDefault="00A56EE9" w:rsidP="00BB6AD5">
            <w:pPr>
              <w:pStyle w:val="Tablebulletlist"/>
              <w:rPr>
                <w:rStyle w:val="BookTitle"/>
              </w:rPr>
            </w:pPr>
          </w:p>
        </w:tc>
      </w:tr>
      <w:tr w:rsidR="00A56EE9" w:rsidRPr="00E70A11" w14:paraId="5761F053"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44"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commercial fishing</w:t>
            </w:r>
          </w:p>
        </w:tc>
        <w:tc>
          <w:tcPr>
            <w:tcW w:w="1505" w:type="dxa"/>
            <w:tcBorders>
              <w:top w:val="single" w:sz="4" w:space="0" w:color="auto"/>
              <w:left w:val="single" w:sz="4" w:space="0" w:color="auto"/>
              <w:bottom w:val="single" w:sz="4" w:space="0" w:color="auto"/>
              <w:right w:val="single" w:sz="4" w:space="0" w:color="auto"/>
            </w:tcBorders>
          </w:tcPr>
          <w:p w14:paraId="5761F045"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4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Queensland Sustainable Fisheries Strategy indicated ‘One of the strongest messages from stakeholders was that improvements to fisheries management are not possible with the information currently available’</w:t>
            </w:r>
          </w:p>
          <w:p w14:paraId="5761F047"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 xml:space="preserve">First foundational reform commits to improved monitoring and research. </w:t>
            </w:r>
          </w:p>
          <w:p w14:paraId="5761F048"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Monitoring and Research Plan published, including a description of existing and planned monitoring programs and research priorities 2017/18</w:t>
            </w:r>
          </w:p>
          <w:p w14:paraId="5761F049"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 xml:space="preserve">The Sustainable Fisheries Strategy also commits to rolling out vessel tracking on all boats by 2020, with a focus on line, crab and net by end of 2018. </w:t>
            </w:r>
          </w:p>
          <w:p w14:paraId="5761F04A"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The Reef 2050 Plan has regular monitoring and reporting of its actions</w:t>
            </w:r>
          </w:p>
          <w:p w14:paraId="5761F04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Annual through to monthly planning and other compliance systems are in place through the joint FMP to ensure appropriate surveillance of commercial fishing.</w:t>
            </w:r>
          </w:p>
        </w:tc>
        <w:tc>
          <w:tcPr>
            <w:tcW w:w="4356" w:type="dxa"/>
            <w:tcBorders>
              <w:top w:val="single" w:sz="4" w:space="0" w:color="auto"/>
              <w:left w:val="single" w:sz="4" w:space="0" w:color="auto"/>
              <w:bottom w:val="single" w:sz="4" w:space="0" w:color="auto"/>
              <w:right w:val="single" w:sz="4" w:space="0" w:color="auto"/>
            </w:tcBorders>
          </w:tcPr>
          <w:p w14:paraId="5761F04C"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46" w:history="1">
              <w:r w:rsidR="00A56EE9" w:rsidRPr="00E70A11">
                <w:rPr>
                  <w:rStyle w:val="Hyperlink"/>
                  <w:rFonts w:ascii="Arial Narrow" w:hAnsi="Arial Narrow"/>
                  <w:sz w:val="18"/>
                  <w:szCs w:val="18"/>
                </w:rPr>
                <w:t>Queensland Sustainable Fisheries Strategy 2017-2027</w:t>
              </w:r>
            </w:hyperlink>
          </w:p>
          <w:p w14:paraId="5761F04D" w14:textId="77777777" w:rsidR="00A56EE9" w:rsidRPr="00802826"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Reef 2050 Plan</w:t>
            </w:r>
          </w:p>
          <w:p w14:paraId="5761F04E" w14:textId="2CE3D175" w:rsidR="00A56EE9" w:rsidRPr="00942BDC" w:rsidRDefault="00A56EE9" w:rsidP="00A11869">
            <w:pPr>
              <w:pStyle w:val="ListParagraph"/>
              <w:numPr>
                <w:ilvl w:val="0"/>
                <w:numId w:val="24"/>
              </w:numPr>
              <w:spacing w:after="200" w:line="276" w:lineRule="auto"/>
              <w:rPr>
                <w:rStyle w:val="Hyperlink"/>
                <w:rFonts w:ascii="Arial Narrow" w:hAnsi="Arial Narrow"/>
                <w:sz w:val="18"/>
                <w:szCs w:val="18"/>
              </w:rPr>
            </w:pPr>
            <w:r w:rsidRPr="00942BDC">
              <w:rPr>
                <w:rStyle w:val="Hyperlink"/>
                <w:rFonts w:ascii="Arial Narrow" w:hAnsi="Arial Narrow"/>
                <w:sz w:val="18"/>
                <w:szCs w:val="18"/>
              </w:rPr>
              <w:t xml:space="preserve">Monitoring and Research Plan: </w:t>
            </w:r>
            <w:hyperlink r:id="rId747" w:tooltip="document link" w:history="1">
              <w:r w:rsidRPr="00942BDC">
                <w:rPr>
                  <w:rStyle w:val="Hyperlink"/>
                  <w:rFonts w:ascii="Arial Narrow" w:hAnsi="Arial Narrow"/>
                  <w:sz w:val="18"/>
                  <w:szCs w:val="18"/>
                </w:rPr>
                <w:t>https://www.daf.qld.gov.au/corporate-publications</w:t>
              </w:r>
            </w:hyperlink>
            <w:r w:rsidRPr="00942BDC">
              <w:rPr>
                <w:rStyle w:val="Hyperlink"/>
                <w:rFonts w:ascii="Arial Narrow" w:hAnsi="Arial Narrow"/>
                <w:sz w:val="18"/>
                <w:szCs w:val="18"/>
              </w:rPr>
              <w:t xml:space="preserve"> </w:t>
            </w:r>
          </w:p>
          <w:p w14:paraId="5761F04F" w14:textId="1A1B6BB5" w:rsidR="00A56EE9" w:rsidRPr="00942BDC" w:rsidRDefault="00A56EE9" w:rsidP="00A11869">
            <w:pPr>
              <w:pStyle w:val="ListParagraph"/>
              <w:numPr>
                <w:ilvl w:val="0"/>
                <w:numId w:val="24"/>
              </w:numPr>
              <w:spacing w:after="200" w:line="276" w:lineRule="auto"/>
              <w:rPr>
                <w:rStyle w:val="Hyperlink"/>
                <w:rFonts w:ascii="Arial Narrow" w:hAnsi="Arial Narrow"/>
                <w:sz w:val="18"/>
                <w:szCs w:val="18"/>
              </w:rPr>
            </w:pPr>
            <w:r w:rsidRPr="00942BDC">
              <w:rPr>
                <w:rStyle w:val="Hyperlink"/>
                <w:rFonts w:ascii="Arial Narrow" w:hAnsi="Arial Narrow"/>
                <w:sz w:val="18"/>
                <w:szCs w:val="18"/>
              </w:rPr>
              <w:t xml:space="preserve">Current monitoring: </w:t>
            </w:r>
            <w:hyperlink r:id="rId748" w:tooltip="document link" w:history="1">
              <w:r w:rsidRPr="00942BDC">
                <w:rPr>
                  <w:rStyle w:val="Hyperlink"/>
                  <w:rFonts w:ascii="Arial Narrow" w:hAnsi="Arial Narrow"/>
                  <w:sz w:val="18"/>
                  <w:szCs w:val="18"/>
                </w:rPr>
                <w:t>https://www.daf.qld.gov.au/business-priorities/fisheries/monitoring-our-fisheries/monitoring-interactive-map</w:t>
              </w:r>
            </w:hyperlink>
            <w:r w:rsidRPr="00942BDC">
              <w:rPr>
                <w:rStyle w:val="Hyperlink"/>
                <w:rFonts w:ascii="Arial Narrow" w:hAnsi="Arial Narrow"/>
                <w:sz w:val="18"/>
                <w:szCs w:val="18"/>
              </w:rPr>
              <w:t xml:space="preserve"> </w:t>
            </w:r>
          </w:p>
          <w:p w14:paraId="5761F05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Style w:val="Hyperlink"/>
                <w:rFonts w:ascii="Arial Narrow" w:hAnsi="Arial Narrow"/>
                <w:sz w:val="18"/>
                <w:szCs w:val="18"/>
              </w:rPr>
              <w:t>Vessel tracking: https://www.daf.qld.gov.au/business-priorities/fisheries/sustainable-fisheries-strategy/vessel-tracking</w:t>
            </w:r>
          </w:p>
        </w:tc>
        <w:tc>
          <w:tcPr>
            <w:tcW w:w="990" w:type="dxa"/>
            <w:tcBorders>
              <w:top w:val="single" w:sz="4" w:space="0" w:color="auto"/>
              <w:left w:val="single" w:sz="4" w:space="0" w:color="auto"/>
              <w:bottom w:val="single" w:sz="4" w:space="0" w:color="auto"/>
              <w:right w:val="single" w:sz="4" w:space="0" w:color="auto"/>
            </w:tcBorders>
          </w:tcPr>
          <w:p w14:paraId="5761F051"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5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63"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54"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commercial fishing</w:t>
            </w:r>
          </w:p>
        </w:tc>
        <w:tc>
          <w:tcPr>
            <w:tcW w:w="1505" w:type="dxa"/>
            <w:tcBorders>
              <w:top w:val="single" w:sz="4" w:space="0" w:color="auto"/>
              <w:left w:val="single" w:sz="4" w:space="0" w:color="auto"/>
              <w:bottom w:val="single" w:sz="4" w:space="0" w:color="auto"/>
              <w:right w:val="single" w:sz="4" w:space="0" w:color="auto"/>
            </w:tcBorders>
          </w:tcPr>
          <w:p w14:paraId="5761F055" w14:textId="77777777" w:rsidR="00A56EE9" w:rsidRPr="00E70A11" w:rsidRDefault="00A56EE9" w:rsidP="00BB6AD5">
            <w:pPr>
              <w:pStyle w:val="Tablebulletlist"/>
              <w:rPr>
                <w:rStyle w:val="BookTitle"/>
              </w:rPr>
            </w:pPr>
            <w:r>
              <w:rPr>
                <w:rStyle w:val="BookTitle"/>
              </w:rPr>
              <w:t>4</w:t>
            </w:r>
          </w:p>
        </w:tc>
        <w:tc>
          <w:tcPr>
            <w:tcW w:w="3961" w:type="dxa"/>
            <w:tcBorders>
              <w:top w:val="single" w:sz="4" w:space="0" w:color="auto"/>
              <w:left w:val="single" w:sz="4" w:space="0" w:color="auto"/>
              <w:bottom w:val="single" w:sz="4" w:space="0" w:color="auto"/>
              <w:right w:val="single" w:sz="4" w:space="0" w:color="auto"/>
            </w:tcBorders>
          </w:tcPr>
          <w:p w14:paraId="5761F05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Under the QSFS the third foundational reform in the strategy commits to improved stakeholder engagement. This includes the formation establishment of working groups.</w:t>
            </w:r>
          </w:p>
          <w:p w14:paraId="5761F05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was significant stakeholder engagement in the development of the QSFS</w:t>
            </w:r>
          </w:p>
          <w:p w14:paraId="5761F058"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Stakeholder-based fishery working groups have recently commenced for Coral Reef Fin Fish, Trawl, Crab and East Coast </w:t>
            </w:r>
            <w:r w:rsidRPr="00942BDC">
              <w:rPr>
                <w:rFonts w:ascii="Arial Narrow" w:hAnsi="Arial Narrow"/>
                <w:sz w:val="18"/>
                <w:szCs w:val="18"/>
              </w:rPr>
              <w:t>inshore fisheries tropical rock lobster, coral/aquarium and BDM. These</w:t>
            </w:r>
            <w:r w:rsidRPr="00E70A11">
              <w:rPr>
                <w:rFonts w:ascii="Arial Narrow" w:hAnsi="Arial Narrow"/>
                <w:sz w:val="18"/>
                <w:szCs w:val="18"/>
              </w:rPr>
              <w:t xml:space="preserve"> include membership from commercial, recreational and charter fishers, GBRMPA, marketers/processors, </w:t>
            </w:r>
            <w:r w:rsidRPr="00942BDC">
              <w:rPr>
                <w:rFonts w:ascii="Arial Narrow" w:hAnsi="Arial Narrow"/>
                <w:sz w:val="18"/>
                <w:szCs w:val="18"/>
              </w:rPr>
              <w:t>conservation groups and science areas.</w:t>
            </w:r>
          </w:p>
          <w:p w14:paraId="5761F059"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Discussion papers were released in March 2018 for key fisheries outlining reform options. More than 340 fishers were engaged in face to face meetings. More than 600 fishers participated in social media polls and responses</w:t>
            </w:r>
            <w:r>
              <w:rPr>
                <w:rFonts w:ascii="Arial Narrow" w:hAnsi="Arial Narrow"/>
                <w:sz w:val="18"/>
                <w:szCs w:val="18"/>
              </w:rPr>
              <w:t>d to online surveys.</w:t>
            </w:r>
          </w:p>
          <w:p w14:paraId="5761F05B" w14:textId="10B20E89" w:rsidR="00A56EE9" w:rsidRPr="008E414A" w:rsidRDefault="00A56EE9" w:rsidP="008E414A">
            <w:pPr>
              <w:pStyle w:val="ListParagraph"/>
              <w:numPr>
                <w:ilvl w:val="0"/>
                <w:numId w:val="24"/>
              </w:numPr>
              <w:spacing w:after="200" w:line="276" w:lineRule="auto"/>
              <w:rPr>
                <w:rStyle w:val="BookTitle"/>
                <w:rFonts w:ascii="Arial Narrow" w:hAnsi="Arial Narrow" w:cstheme="minorBidi"/>
                <w:sz w:val="18"/>
                <w:szCs w:val="18"/>
              </w:rPr>
            </w:pPr>
            <w:r w:rsidRPr="00942BDC">
              <w:rPr>
                <w:rFonts w:ascii="Arial Narrow" w:hAnsi="Arial Narrow"/>
                <w:sz w:val="18"/>
                <w:szCs w:val="18"/>
              </w:rPr>
              <w:t xml:space="preserve">Fisheries Queensland has an active social media following with more than 35,000 followers. This is used to regularly engage with fishers on rules and regulations, proposed reforms etc. </w:t>
            </w:r>
          </w:p>
        </w:tc>
        <w:tc>
          <w:tcPr>
            <w:tcW w:w="4356" w:type="dxa"/>
            <w:tcBorders>
              <w:top w:val="single" w:sz="4" w:space="0" w:color="auto"/>
              <w:left w:val="single" w:sz="4" w:space="0" w:color="auto"/>
              <w:bottom w:val="single" w:sz="4" w:space="0" w:color="auto"/>
              <w:right w:val="single" w:sz="4" w:space="0" w:color="auto"/>
            </w:tcBorders>
          </w:tcPr>
          <w:p w14:paraId="5761F05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49" w:history="1">
              <w:r w:rsidR="00A56EE9" w:rsidRPr="00E70A11">
                <w:rPr>
                  <w:rFonts w:ascii="Arial Narrow" w:hAnsi="Arial Narrow"/>
                  <w:sz w:val="18"/>
                  <w:szCs w:val="18"/>
                </w:rPr>
                <w:t>Queensland Sustainable Fisheries Strategy 2017-2027</w:t>
              </w:r>
            </w:hyperlink>
          </w:p>
          <w:p w14:paraId="5761F05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Reef Guardians Program</w:t>
            </w:r>
          </w:p>
          <w:p w14:paraId="5761F05E"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LMACs</w:t>
            </w:r>
          </w:p>
          <w:p w14:paraId="5761F05F"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Working groups: https://www.daf.qld.gov.au/business-priorities/fisheries/sustainable-fisheries-strategy/fishery-working-groups</w:t>
            </w:r>
          </w:p>
          <w:p w14:paraId="5761F060" w14:textId="2F93235E"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750" w:tooltip="document link" w:history="1">
              <w:r w:rsidR="00A56EE9" w:rsidRPr="00942BDC">
                <w:rPr>
                  <w:rStyle w:val="Hyperlink"/>
                  <w:rFonts w:ascii="Arial Narrow" w:hAnsi="Arial Narrow"/>
                  <w:sz w:val="18"/>
                  <w:szCs w:val="18"/>
                </w:rPr>
                <w:t>https://www.facebook.com/FisheriesQueensland</w:t>
              </w:r>
            </w:hyperlink>
          </w:p>
        </w:tc>
        <w:tc>
          <w:tcPr>
            <w:tcW w:w="990" w:type="dxa"/>
            <w:tcBorders>
              <w:top w:val="single" w:sz="4" w:space="0" w:color="auto"/>
              <w:left w:val="single" w:sz="4" w:space="0" w:color="auto"/>
              <w:bottom w:val="single" w:sz="4" w:space="0" w:color="auto"/>
              <w:right w:val="single" w:sz="4" w:space="0" w:color="auto"/>
            </w:tcBorders>
          </w:tcPr>
          <w:p w14:paraId="5761F061"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6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70"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64"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commercial fishing</w:t>
            </w:r>
          </w:p>
        </w:tc>
        <w:tc>
          <w:tcPr>
            <w:tcW w:w="1505" w:type="dxa"/>
            <w:tcBorders>
              <w:top w:val="single" w:sz="4" w:space="0" w:color="auto"/>
              <w:left w:val="single" w:sz="4" w:space="0" w:color="auto"/>
              <w:bottom w:val="single" w:sz="4" w:space="0" w:color="auto"/>
              <w:right w:val="single" w:sz="4" w:space="0" w:color="auto"/>
            </w:tcBorders>
          </w:tcPr>
          <w:p w14:paraId="5761F065"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6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QDAF commercial fishing related policy documents are </w:t>
            </w:r>
            <w:r>
              <w:rPr>
                <w:rFonts w:ascii="Arial Narrow" w:hAnsi="Arial Narrow"/>
                <w:sz w:val="18"/>
                <w:szCs w:val="18"/>
              </w:rPr>
              <w:t>include</w:t>
            </w:r>
            <w:r w:rsidRPr="00E70A11">
              <w:rPr>
                <w:rFonts w:ascii="Arial Narrow" w:hAnsi="Arial Narrow"/>
                <w:sz w:val="18"/>
                <w:szCs w:val="18"/>
              </w:rPr>
              <w:t xml:space="preserve"> a limited entry policy, fishing history policy, and policy guidelines on the term of authorities </w:t>
            </w:r>
          </w:p>
          <w:p w14:paraId="5761F06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Except for the Multiple-Hook Line Fishing in the Great Barrier Reef Marine Park policy, GBRMPA does not have commercial fishing specific policy but is planning to publish a comprehensive fishing position statement in 2018-19.</w:t>
            </w:r>
          </w:p>
          <w:p w14:paraId="5761F068"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Policy development under the QSFS has begun. A Harvest Strategy Policy and Guideline has been published and </w:t>
            </w:r>
            <w:r w:rsidRPr="00942BDC">
              <w:rPr>
                <w:rFonts w:ascii="Arial Narrow" w:hAnsi="Arial Narrow"/>
                <w:sz w:val="18"/>
                <w:szCs w:val="18"/>
              </w:rPr>
              <w:t>ERA guideline and reallocation policy has been published</w:t>
            </w:r>
            <w:r>
              <w:rPr>
                <w:rFonts w:ascii="Arial Narrow" w:hAnsi="Arial Narrow"/>
                <w:sz w:val="18"/>
                <w:szCs w:val="18"/>
              </w:rPr>
              <w:t>.</w:t>
            </w:r>
          </w:p>
          <w:p w14:paraId="5761F06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Pr>
                <w:rFonts w:ascii="Arial Narrow" w:hAnsi="Arial Narrow"/>
                <w:sz w:val="18"/>
                <w:szCs w:val="18"/>
              </w:rPr>
              <w:t xml:space="preserve"> </w:t>
            </w:r>
            <w:r w:rsidRPr="00E70A11">
              <w:rPr>
                <w:rStyle w:val="BookTitle"/>
                <w:rFonts w:ascii="Arial Narrow" w:hAnsi="Arial Narrow"/>
                <w:sz w:val="18"/>
                <w:szCs w:val="18"/>
              </w:rPr>
              <w:t>The Authority has a strong compliance program, which includes the use of legislative provisions</w:t>
            </w:r>
            <w:r>
              <w:rPr>
                <w:rStyle w:val="BookTitle"/>
                <w:rFonts w:ascii="Arial Narrow" w:hAnsi="Arial Narrow"/>
                <w:sz w:val="18"/>
                <w:szCs w:val="18"/>
              </w:rPr>
              <w:t xml:space="preserve"> </w:t>
            </w:r>
            <w:r w:rsidRPr="00E70A11">
              <w:rPr>
                <w:rStyle w:val="BookTitle"/>
                <w:rFonts w:ascii="Arial Narrow" w:hAnsi="Arial Narrow"/>
                <w:sz w:val="18"/>
                <w:szCs w:val="18"/>
              </w:rPr>
              <w:t>to restrict or prohibit repeat offenders entering into the GBRMP for fishing purposes</w:t>
            </w:r>
          </w:p>
        </w:tc>
        <w:tc>
          <w:tcPr>
            <w:tcW w:w="4356" w:type="dxa"/>
            <w:tcBorders>
              <w:top w:val="single" w:sz="4" w:space="0" w:color="auto"/>
              <w:left w:val="single" w:sz="4" w:space="0" w:color="auto"/>
              <w:bottom w:val="single" w:sz="4" w:space="0" w:color="auto"/>
              <w:right w:val="single" w:sz="4" w:space="0" w:color="auto"/>
            </w:tcBorders>
          </w:tcPr>
          <w:p w14:paraId="5761F06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51" w:history="1">
              <w:r w:rsidR="00A56EE9" w:rsidRPr="00E70A11">
                <w:rPr>
                  <w:rStyle w:val="Hyperlink"/>
                  <w:rFonts w:ascii="Arial Narrow" w:hAnsi="Arial Narrow"/>
                  <w:sz w:val="18"/>
                  <w:szCs w:val="18"/>
                </w:rPr>
                <w:t>Queensland Sustainable Fisheries Strategy 2017-2027</w:t>
              </w:r>
            </w:hyperlink>
          </w:p>
          <w:p w14:paraId="5761F06B" w14:textId="77777777" w:rsidR="00A56EE9" w:rsidRPr="00E70A11" w:rsidRDefault="00A56EE9" w:rsidP="00BB6AD5">
            <w:pPr>
              <w:pStyle w:val="ListParagraph"/>
              <w:ind w:left="360"/>
              <w:rPr>
                <w:rFonts w:ascii="Arial Narrow" w:hAnsi="Arial Narrow"/>
                <w:sz w:val="18"/>
                <w:szCs w:val="18"/>
              </w:rPr>
            </w:pPr>
            <w:r w:rsidRPr="00E70A11">
              <w:rPr>
                <w:rFonts w:ascii="Arial Narrow" w:hAnsi="Arial Narrow"/>
                <w:sz w:val="18"/>
                <w:szCs w:val="18"/>
              </w:rPr>
              <w:t xml:space="preserve">- </w:t>
            </w:r>
            <w:hyperlink r:id="rId752" w:history="1">
              <w:r w:rsidRPr="00E70A11">
                <w:rPr>
                  <w:rStyle w:val="Hyperlink"/>
                  <w:rFonts w:ascii="Arial Narrow" w:hAnsi="Arial Narrow"/>
                  <w:sz w:val="18"/>
                  <w:szCs w:val="18"/>
                </w:rPr>
                <w:t>QDAF Fishery policies</w:t>
              </w:r>
            </w:hyperlink>
            <w:r w:rsidRPr="00E70A11">
              <w:rPr>
                <w:rFonts w:ascii="Arial Narrow" w:hAnsi="Arial Narrow"/>
                <w:sz w:val="18"/>
                <w:szCs w:val="18"/>
              </w:rPr>
              <w:t xml:space="preserve"> </w:t>
            </w:r>
          </w:p>
          <w:p w14:paraId="5761F06C"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rPr>
              <w:t xml:space="preserve"> </w:t>
            </w:r>
            <w:hyperlink r:id="rId753" w:history="1">
              <w:r w:rsidRPr="00E70A11">
                <w:rPr>
                  <w:rStyle w:val="Hyperlink"/>
                  <w:rFonts w:ascii="Arial Narrow" w:hAnsi="Arial Narrow"/>
                  <w:sz w:val="18"/>
                  <w:szCs w:val="18"/>
                </w:rPr>
                <w:t>Queensland Harvest Strategy Policy and Guidelines</w:t>
              </w:r>
            </w:hyperlink>
          </w:p>
          <w:p w14:paraId="5761F06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Field Management Program</w:t>
            </w:r>
          </w:p>
        </w:tc>
        <w:tc>
          <w:tcPr>
            <w:tcW w:w="990" w:type="dxa"/>
            <w:tcBorders>
              <w:top w:val="single" w:sz="4" w:space="0" w:color="auto"/>
              <w:left w:val="single" w:sz="4" w:space="0" w:color="auto"/>
              <w:bottom w:val="single" w:sz="4" w:space="0" w:color="auto"/>
              <w:right w:val="single" w:sz="4" w:space="0" w:color="auto"/>
            </w:tcBorders>
          </w:tcPr>
          <w:p w14:paraId="5761F06E"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6F"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7F"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shd w:val="clear" w:color="auto" w:fill="FFFFFF"/>
          </w:tcPr>
          <w:p w14:paraId="5761F071" w14:textId="77777777" w:rsidR="00A56EE9" w:rsidRPr="00E70A11" w:rsidRDefault="00A56EE9" w:rsidP="00BB6AD5">
            <w:pPr>
              <w:pStyle w:val="Tablebulletlist"/>
              <w:rPr>
                <w:rStyle w:val="BookTitle"/>
              </w:rPr>
            </w:pPr>
            <w:r w:rsidRPr="00E70A11">
              <w:rPr>
                <w:rStyle w:val="BookTitle"/>
              </w:rPr>
              <w:t>PL8 There is consistency across jurisdictions when planning for commercial fishing</w:t>
            </w:r>
          </w:p>
        </w:tc>
        <w:tc>
          <w:tcPr>
            <w:tcW w:w="1505" w:type="dxa"/>
            <w:tcBorders>
              <w:top w:val="single" w:sz="4" w:space="0" w:color="auto"/>
              <w:left w:val="single" w:sz="4" w:space="0" w:color="auto"/>
              <w:bottom w:val="single" w:sz="4" w:space="0" w:color="auto"/>
              <w:right w:val="single" w:sz="4" w:space="0" w:color="auto"/>
            </w:tcBorders>
            <w:shd w:val="clear" w:color="auto" w:fill="FFFFFF"/>
          </w:tcPr>
          <w:p w14:paraId="5761F072"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shd w:val="clear" w:color="auto" w:fill="FFFFFF"/>
          </w:tcPr>
          <w:p w14:paraId="5761F07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different legislative responsibilities and objectives of respective Fisheries and Marine Park Acts are outlined in the Fisheries schedule of the Great Barrier Reef Intergovernmental Agreement between the Commonwealth of Australia and the State of Queensland relating to the protection and management of the Great Barrier Reef Marine Park.</w:t>
            </w:r>
          </w:p>
          <w:p w14:paraId="5761F07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Multiple agencies and governments are involved in fishing management, namely: QDAF, DoEE and GBRMPA.</w:t>
            </w:r>
            <w:r>
              <w:rPr>
                <w:rFonts w:ascii="Arial Narrow" w:hAnsi="Arial Narrow"/>
                <w:sz w:val="18"/>
                <w:szCs w:val="18"/>
              </w:rPr>
              <w:t xml:space="preserve"> </w:t>
            </w:r>
            <w:r w:rsidRPr="00E70A11">
              <w:rPr>
                <w:rFonts w:ascii="Arial Narrow" w:hAnsi="Arial Narrow"/>
                <w:sz w:val="18"/>
                <w:szCs w:val="18"/>
              </w:rPr>
              <w:t>Given the nature of their Acts, each has responsibilities to ensure sustainable use of fisheries resources, for different reasons (for example, biodiversity protection and sustainable harvest)</w:t>
            </w:r>
          </w:p>
          <w:p w14:paraId="5761F07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Australian Fisheries Management Forum (AFMF) provides opportunity to improve consistency when planning for commercial fishing. </w:t>
            </w:r>
          </w:p>
          <w:p w14:paraId="5761F07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Great Barrier Reef Marine Park and Great Barrier Reef Coast Marine Park generally adopt complementary zoning </w:t>
            </w:r>
          </w:p>
          <w:p w14:paraId="5761F07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Joint Field Management Program is highly successful at ensuring consistency across jurisdictions. This strong multi-agency collaboration and coordination is underpinned by a sound governance system that equally apportions financial support. The culture of the JFMP is collaborative and consistent. </w:t>
            </w:r>
          </w:p>
          <w:p w14:paraId="5761F078"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rPr>
            </w:pPr>
            <w:r w:rsidRPr="00E70A11">
              <w:rPr>
                <w:rFonts w:ascii="Arial Narrow" w:hAnsi="Arial Narrow"/>
                <w:sz w:val="18"/>
                <w:szCs w:val="18"/>
              </w:rPr>
              <w:t>The QSFS explicitly recognises the GBRWHA.</w:t>
            </w:r>
          </w:p>
          <w:p w14:paraId="5761F079"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rPr>
            </w:pPr>
            <w:r w:rsidRPr="00E70A11">
              <w:rPr>
                <w:rFonts w:ascii="Arial Narrow" w:hAnsi="Arial Narrow"/>
                <w:sz w:val="18"/>
                <w:szCs w:val="18"/>
              </w:rPr>
              <w:t>The 60% biomass target for fisheries resources by 2027 is consistent with GBR Marine Park biodiversity conservation and ecosystem resilience goals.</w:t>
            </w:r>
            <w:r>
              <w:rPr>
                <w:rFonts w:ascii="Arial Narrow" w:hAnsi="Arial Narrow"/>
                <w:sz w:val="18"/>
                <w:szCs w:val="18"/>
              </w:rPr>
              <w:t xml:space="preserve"> </w:t>
            </w:r>
          </w:p>
          <w:p w14:paraId="5761F07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establishment of fishery working groups with membership of GBRMPA staff and observers from other jurisdictions (e.g. NT observes on Gulf fisheries &amp; NSW observes on South East, Northern Rivers fisheries) should improve consistency across jurisdictions.</w:t>
            </w:r>
          </w:p>
        </w:tc>
        <w:tc>
          <w:tcPr>
            <w:tcW w:w="4356" w:type="dxa"/>
            <w:tcBorders>
              <w:top w:val="single" w:sz="4" w:space="0" w:color="auto"/>
              <w:left w:val="single" w:sz="4" w:space="0" w:color="auto"/>
              <w:bottom w:val="single" w:sz="4" w:space="0" w:color="auto"/>
              <w:right w:val="single" w:sz="4" w:space="0" w:color="auto"/>
            </w:tcBorders>
            <w:shd w:val="clear" w:color="auto" w:fill="FFFFFF"/>
          </w:tcPr>
          <w:p w14:paraId="5761F07B"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54" w:history="1">
              <w:r w:rsidR="00A56EE9" w:rsidRPr="00E70A11">
                <w:rPr>
                  <w:rStyle w:val="Hyperlink"/>
                  <w:rFonts w:ascii="Arial Narrow" w:hAnsi="Arial Narrow"/>
                  <w:sz w:val="18"/>
                  <w:szCs w:val="18"/>
                </w:rPr>
                <w:t>Great Barrier Reef Intergovernmental Agreement</w:t>
              </w:r>
            </w:hyperlink>
          </w:p>
          <w:p w14:paraId="5761F07C"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755" w:history="1">
              <w:r w:rsidR="00A56EE9" w:rsidRPr="00E70A11">
                <w:rPr>
                  <w:rStyle w:val="Hyperlink"/>
                  <w:rFonts w:ascii="Arial Narrow" w:hAnsi="Arial Narrow"/>
                  <w:sz w:val="18"/>
                  <w:szCs w:val="18"/>
                </w:rPr>
                <w:t>Queensland Sustainable Fisheries Strategy 2017-2027</w:t>
              </w:r>
            </w:hyperlink>
          </w:p>
        </w:tc>
        <w:tc>
          <w:tcPr>
            <w:tcW w:w="990" w:type="dxa"/>
            <w:tcBorders>
              <w:top w:val="single" w:sz="4" w:space="0" w:color="auto"/>
              <w:left w:val="single" w:sz="4" w:space="0" w:color="auto"/>
              <w:bottom w:val="single" w:sz="4" w:space="0" w:color="auto"/>
              <w:right w:val="single" w:sz="4" w:space="0" w:color="auto"/>
            </w:tcBorders>
            <w:shd w:val="clear" w:color="auto" w:fill="FFFFFF"/>
          </w:tcPr>
          <w:p w14:paraId="5761F07D"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shd w:val="clear" w:color="auto" w:fill="FFFFFF"/>
          </w:tcPr>
          <w:p w14:paraId="5761F07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8B"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761F080"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commercial fishing provide certainty regarding where uses may occur, the type of activities allowed, conditions under which activities may proceed and circumstances where impacts are likely to be acceptable.</w:t>
            </w:r>
          </w:p>
        </w:tc>
        <w:tc>
          <w:tcPr>
            <w:tcW w:w="1505" w:type="dxa"/>
            <w:tcBorders>
              <w:top w:val="single" w:sz="4" w:space="0" w:color="auto"/>
              <w:left w:val="single" w:sz="4" w:space="0" w:color="auto"/>
              <w:bottom w:val="single" w:sz="4" w:space="0" w:color="auto"/>
              <w:right w:val="single" w:sz="4" w:space="0" w:color="auto"/>
            </w:tcBorders>
          </w:tcPr>
          <w:p w14:paraId="5761F081" w14:textId="77777777" w:rsidR="00A56EE9" w:rsidRPr="00E70A11" w:rsidRDefault="00A56EE9" w:rsidP="00BB6AD5">
            <w:pPr>
              <w:pStyle w:val="Tablebulletlist"/>
              <w:rPr>
                <w:rStyle w:val="BookTitle"/>
              </w:rPr>
            </w:pPr>
            <w:r w:rsidRPr="00E70A11">
              <w:rPr>
                <w:rStyle w:val="BookTitle"/>
              </w:rPr>
              <w:t>4</w:t>
            </w:r>
          </w:p>
        </w:tc>
        <w:tc>
          <w:tcPr>
            <w:tcW w:w="3961" w:type="dxa"/>
            <w:tcBorders>
              <w:top w:val="single" w:sz="4" w:space="0" w:color="auto"/>
              <w:left w:val="single" w:sz="4" w:space="0" w:color="auto"/>
              <w:bottom w:val="single" w:sz="4" w:space="0" w:color="auto"/>
              <w:right w:val="single" w:sz="4" w:space="0" w:color="auto"/>
            </w:tcBorders>
          </w:tcPr>
          <w:p w14:paraId="5761F08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GBRCMP Zoning Plans provide clear certainty about where fishing activities may or may not occur.</w:t>
            </w:r>
          </w:p>
          <w:p w14:paraId="5761F08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Fisheries Regulation is the main vehicle for managing fisheries and where actions are put in place (e.g. quota, closures, gear restrictions, size and possession limits etc.).</w:t>
            </w:r>
          </w:p>
          <w:p w14:paraId="5761F08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QSFS Harvest Strategies will provide greater certainty based on the performance of fish stock, however this is not finalised as yet</w:t>
            </w:r>
          </w:p>
        </w:tc>
        <w:tc>
          <w:tcPr>
            <w:tcW w:w="4356" w:type="dxa"/>
            <w:tcBorders>
              <w:top w:val="single" w:sz="4" w:space="0" w:color="auto"/>
              <w:left w:val="single" w:sz="4" w:space="0" w:color="auto"/>
              <w:bottom w:val="single" w:sz="4" w:space="0" w:color="auto"/>
              <w:right w:val="single" w:sz="4" w:space="0" w:color="auto"/>
            </w:tcBorders>
          </w:tcPr>
          <w:p w14:paraId="5761F085"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56" w:history="1">
              <w:r w:rsidR="00A56EE9" w:rsidRPr="00E70A11">
                <w:rPr>
                  <w:rStyle w:val="Hyperlink"/>
                  <w:rFonts w:ascii="Arial Narrow" w:hAnsi="Arial Narrow"/>
                  <w:sz w:val="18"/>
                  <w:szCs w:val="18"/>
                </w:rPr>
                <w:t>GBRMPA Interpreting zones</w:t>
              </w:r>
            </w:hyperlink>
          </w:p>
          <w:p w14:paraId="5761F086"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57" w:history="1">
              <w:r w:rsidR="00A56EE9" w:rsidRPr="00E70A11">
                <w:rPr>
                  <w:rStyle w:val="Hyperlink"/>
                  <w:rFonts w:ascii="Arial Narrow" w:hAnsi="Arial Narrow"/>
                  <w:sz w:val="18"/>
                  <w:szCs w:val="18"/>
                </w:rPr>
                <w:t>QDAF Fisheries Legislation</w:t>
              </w:r>
            </w:hyperlink>
          </w:p>
          <w:p w14:paraId="5761F08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58" w:history="1">
              <w:r w:rsidR="00A56EE9" w:rsidRPr="00E70A11">
                <w:rPr>
                  <w:rFonts w:ascii="Arial Narrow" w:hAnsi="Arial Narrow"/>
                  <w:sz w:val="18"/>
                  <w:szCs w:val="18"/>
                </w:rPr>
                <w:t>Queensland Sustainable Fisheries Strategy 2017-2027</w:t>
              </w:r>
            </w:hyperlink>
          </w:p>
          <w:p w14:paraId="5761F088"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089"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8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092"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8C" w14:textId="77777777" w:rsidR="00A56EE9" w:rsidRPr="00E70A11" w:rsidRDefault="00A56EE9" w:rsidP="00BB6AD5">
            <w:pPr>
              <w:pStyle w:val="Tablebulletlist"/>
              <w:rPr>
                <w:rStyle w:val="BookTitle"/>
              </w:rPr>
            </w:pPr>
            <w:r w:rsidRPr="00E70A11">
              <w:rPr>
                <w:rStyle w:val="BookTitle"/>
              </w:rPr>
              <w:t>INPUTS</w:t>
            </w:r>
          </w:p>
        </w:tc>
        <w:tc>
          <w:tcPr>
            <w:tcW w:w="150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8D" w14:textId="77777777" w:rsidR="00A56EE9" w:rsidRPr="00E70A11" w:rsidRDefault="00A56EE9" w:rsidP="00BB6AD5">
            <w:pPr>
              <w:pStyle w:val="Tablebulletlist"/>
              <w:rPr>
                <w:rStyle w:val="BookTitle"/>
              </w:rPr>
            </w:pPr>
          </w:p>
        </w:tc>
        <w:tc>
          <w:tcPr>
            <w:tcW w:w="39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8E" w14:textId="77777777" w:rsidR="00A56EE9" w:rsidRPr="00E70A11" w:rsidRDefault="00A56EE9" w:rsidP="00BB6AD5">
            <w:pPr>
              <w:pStyle w:val="ListParagraph"/>
              <w:ind w:left="360"/>
              <w:rPr>
                <w:rStyle w:val="BookTitle"/>
                <w:rFonts w:ascii="Arial Narrow" w:hAnsi="Arial Narrow"/>
                <w:sz w:val="18"/>
                <w:szCs w:val="18"/>
              </w:rPr>
            </w:pPr>
          </w:p>
        </w:tc>
        <w:tc>
          <w:tcPr>
            <w:tcW w:w="43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8F"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90"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91" w14:textId="77777777" w:rsidR="00A56EE9" w:rsidRPr="00E70A11" w:rsidRDefault="00A56EE9" w:rsidP="00BB6AD5">
            <w:pPr>
              <w:pStyle w:val="Tablebulletlist"/>
              <w:rPr>
                <w:rStyle w:val="BookTitle"/>
              </w:rPr>
            </w:pPr>
          </w:p>
        </w:tc>
      </w:tr>
      <w:tr w:rsidR="00A56EE9" w:rsidRPr="00E70A11" w14:paraId="5761F09C"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93"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commercial fishing </w:t>
            </w:r>
          </w:p>
        </w:tc>
        <w:tc>
          <w:tcPr>
            <w:tcW w:w="1505" w:type="dxa"/>
            <w:tcBorders>
              <w:top w:val="single" w:sz="4" w:space="0" w:color="auto"/>
              <w:left w:val="single" w:sz="4" w:space="0" w:color="auto"/>
              <w:bottom w:val="single" w:sz="4" w:space="0" w:color="auto"/>
              <w:right w:val="single" w:sz="4" w:space="0" w:color="auto"/>
            </w:tcBorders>
          </w:tcPr>
          <w:p w14:paraId="5761F094"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95" w14:textId="77777777" w:rsidR="00A56EE9" w:rsidRPr="00942BDC" w:rsidRDefault="00A56EE9" w:rsidP="00A11869">
            <w:pPr>
              <w:pStyle w:val="ListParagraph"/>
              <w:numPr>
                <w:ilvl w:val="0"/>
                <w:numId w:val="166"/>
              </w:numPr>
              <w:spacing w:after="200" w:line="276" w:lineRule="auto"/>
              <w:rPr>
                <w:rFonts w:ascii="Arial Narrow" w:hAnsi="Arial Narrow"/>
                <w:sz w:val="18"/>
                <w:szCs w:val="18"/>
              </w:rPr>
            </w:pPr>
            <w:r w:rsidRPr="00E70A11">
              <w:rPr>
                <w:rFonts w:ascii="Arial Narrow" w:hAnsi="Arial Narrow"/>
                <w:sz w:val="18"/>
                <w:szCs w:val="18"/>
              </w:rPr>
              <w:t xml:space="preserve">In 2017 an additional $20m over three years in funding has been provided to support the implementation of the Queensland Sustainable Fisheries </w:t>
            </w:r>
            <w:r w:rsidRPr="00942BDC">
              <w:rPr>
                <w:rFonts w:ascii="Arial Narrow" w:hAnsi="Arial Narrow"/>
                <w:sz w:val="18"/>
                <w:szCs w:val="18"/>
              </w:rPr>
              <w:t>Strategy. The funding is primarily going to additional monitoring, compliance, better engagement and more responsive decision making.</w:t>
            </w:r>
            <w:r>
              <w:rPr>
                <w:rFonts w:ascii="Arial Narrow" w:hAnsi="Arial Narrow"/>
                <w:sz w:val="18"/>
                <w:szCs w:val="18"/>
              </w:rPr>
              <w:t xml:space="preserve"> </w:t>
            </w:r>
            <w:r w:rsidRPr="00942BDC">
              <w:rPr>
                <w:rFonts w:ascii="Arial Narrow" w:hAnsi="Arial Narrow"/>
                <w:sz w:val="18"/>
                <w:szCs w:val="18"/>
              </w:rPr>
              <w:t>This funding is on top of Fisheries Queensland’s core budget of around 35M/year</w:t>
            </w:r>
          </w:p>
          <w:p w14:paraId="5761F096"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Additional funding has also been allocated to the Field Management Program, including finding for additional compliance in the Region</w:t>
            </w:r>
          </w:p>
          <w:p w14:paraId="5761F09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Fonts w:ascii="Arial Narrow" w:hAnsi="Arial Narrow"/>
                <w:sz w:val="18"/>
                <w:szCs w:val="18"/>
              </w:rPr>
              <w:t>This includes funding to support roll out of vessel tracking which is being co-funded by Qld Gov and GBRMPA.</w:t>
            </w:r>
          </w:p>
        </w:tc>
        <w:tc>
          <w:tcPr>
            <w:tcW w:w="4356" w:type="dxa"/>
            <w:tcBorders>
              <w:top w:val="single" w:sz="4" w:space="0" w:color="auto"/>
              <w:left w:val="single" w:sz="4" w:space="0" w:color="auto"/>
              <w:bottom w:val="single" w:sz="4" w:space="0" w:color="auto"/>
              <w:right w:val="single" w:sz="4" w:space="0" w:color="auto"/>
            </w:tcBorders>
          </w:tcPr>
          <w:p w14:paraId="5761F09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59" w:history="1">
              <w:r w:rsidR="00A56EE9" w:rsidRPr="00E70A11">
                <w:rPr>
                  <w:rFonts w:ascii="Arial Narrow" w:hAnsi="Arial Narrow"/>
                  <w:sz w:val="18"/>
                  <w:szCs w:val="18"/>
                </w:rPr>
                <w:t>Queensland Sustainable Fisheries Strategy 2017-2027</w:t>
              </w:r>
            </w:hyperlink>
          </w:p>
          <w:p w14:paraId="5761F09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Field Management Program</w:t>
            </w:r>
          </w:p>
        </w:tc>
        <w:tc>
          <w:tcPr>
            <w:tcW w:w="990" w:type="dxa"/>
            <w:tcBorders>
              <w:top w:val="single" w:sz="4" w:space="0" w:color="auto"/>
              <w:left w:val="single" w:sz="4" w:space="0" w:color="auto"/>
              <w:bottom w:val="single" w:sz="4" w:space="0" w:color="auto"/>
              <w:right w:val="single" w:sz="4" w:space="0" w:color="auto"/>
            </w:tcBorders>
          </w:tcPr>
          <w:p w14:paraId="5761F09A"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9B"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A8"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9D"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commercial fishing </w:t>
            </w:r>
          </w:p>
        </w:tc>
        <w:tc>
          <w:tcPr>
            <w:tcW w:w="1505" w:type="dxa"/>
            <w:tcBorders>
              <w:top w:val="single" w:sz="4" w:space="0" w:color="auto"/>
              <w:left w:val="single" w:sz="4" w:space="0" w:color="auto"/>
              <w:bottom w:val="single" w:sz="4" w:space="0" w:color="auto"/>
              <w:right w:val="single" w:sz="4" w:space="0" w:color="auto"/>
            </w:tcBorders>
          </w:tcPr>
          <w:p w14:paraId="5761F09E"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9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Fisheries Queensland have recruited </w:t>
            </w:r>
            <w:r>
              <w:rPr>
                <w:rFonts w:ascii="Arial Narrow" w:hAnsi="Arial Narrow"/>
                <w:sz w:val="18"/>
                <w:szCs w:val="18"/>
              </w:rPr>
              <w:t xml:space="preserve">31 </w:t>
            </w:r>
            <w:r w:rsidRPr="00942BDC">
              <w:rPr>
                <w:rFonts w:ascii="Arial Narrow" w:hAnsi="Arial Narrow"/>
                <w:sz w:val="18"/>
                <w:szCs w:val="18"/>
              </w:rPr>
              <w:t>additional staff for compliance and delivery of the QSFS. In addition to the 31</w:t>
            </w:r>
            <w:r>
              <w:rPr>
                <w:rFonts w:ascii="Arial Narrow" w:hAnsi="Arial Narrow"/>
                <w:sz w:val="18"/>
                <w:szCs w:val="18"/>
              </w:rPr>
              <w:t xml:space="preserve"> </w:t>
            </w:r>
            <w:r w:rsidRPr="00942BDC">
              <w:rPr>
                <w:rFonts w:ascii="Arial Narrow" w:hAnsi="Arial Narrow"/>
                <w:sz w:val="18"/>
                <w:szCs w:val="18"/>
              </w:rPr>
              <w:t>FTE in FQ a number of contractors (at least another 10-20) have been contracted to assist with project implementation. Of the 20 new compliance officers recruited, 16 are based in the GBR region.</w:t>
            </w:r>
          </w:p>
          <w:p w14:paraId="5761F0A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Field Management resources associated with monitoring and addressing commercial fishing non-compliance have recently increased</w:t>
            </w:r>
          </w:p>
          <w:p w14:paraId="5761F0A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GBRMPA has two full time equivalent staff working on sustainable commercial and to a lesser extent recreational fishing. Some work is also done to promote sustainable commercial</w:t>
            </w:r>
            <w:r>
              <w:rPr>
                <w:rFonts w:ascii="Arial Narrow" w:hAnsi="Arial Narrow"/>
                <w:sz w:val="18"/>
                <w:szCs w:val="18"/>
              </w:rPr>
              <w:t xml:space="preserve"> </w:t>
            </w:r>
            <w:r w:rsidRPr="00E70A11">
              <w:rPr>
                <w:rFonts w:ascii="Arial Narrow" w:hAnsi="Arial Narrow"/>
                <w:sz w:val="18"/>
                <w:szCs w:val="18"/>
              </w:rPr>
              <w:t xml:space="preserve">fishing by other staff in GBRMPA, as part of the Reef Guardian program and Regional Engagement. </w:t>
            </w:r>
          </w:p>
        </w:tc>
        <w:tc>
          <w:tcPr>
            <w:tcW w:w="4356" w:type="dxa"/>
            <w:tcBorders>
              <w:top w:val="single" w:sz="4" w:space="0" w:color="auto"/>
              <w:left w:val="single" w:sz="4" w:space="0" w:color="auto"/>
              <w:bottom w:val="single" w:sz="4" w:space="0" w:color="auto"/>
              <w:right w:val="single" w:sz="4" w:space="0" w:color="auto"/>
            </w:tcBorders>
          </w:tcPr>
          <w:p w14:paraId="5761F0A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60" w:history="1">
              <w:r w:rsidR="00A56EE9" w:rsidRPr="00E70A11">
                <w:rPr>
                  <w:rStyle w:val="Hyperlink"/>
                  <w:rFonts w:ascii="Arial Narrow" w:hAnsi="Arial Narrow"/>
                  <w:sz w:val="18"/>
                  <w:szCs w:val="18"/>
                </w:rPr>
                <w:t>Queensland Sustainable Fisheries Strategy 2017-2027</w:t>
              </w:r>
            </w:hyperlink>
          </w:p>
          <w:p w14:paraId="5761F0A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Periodic review of the Joint Field Management (2016 report available on request) </w:t>
            </w:r>
          </w:p>
          <w:p w14:paraId="5761F0A4"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61" w:history="1">
              <w:r w:rsidR="00A56EE9" w:rsidRPr="00E70A11">
                <w:rPr>
                  <w:rStyle w:val="Hyperlink"/>
                  <w:rFonts w:ascii="Arial Narrow" w:hAnsi="Arial Narrow"/>
                  <w:sz w:val="18"/>
                  <w:szCs w:val="18"/>
                </w:rPr>
                <w:t>GBRMPA Annual Report 2016–17</w:t>
              </w:r>
            </w:hyperlink>
          </w:p>
          <w:p w14:paraId="5761F0A5"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0A6"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A7"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F0B4"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A9"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commercial fishing</w:t>
            </w:r>
          </w:p>
        </w:tc>
        <w:tc>
          <w:tcPr>
            <w:tcW w:w="1505" w:type="dxa"/>
            <w:tcBorders>
              <w:top w:val="single" w:sz="4" w:space="0" w:color="auto"/>
              <w:left w:val="single" w:sz="4" w:space="0" w:color="auto"/>
              <w:bottom w:val="single" w:sz="4" w:space="0" w:color="auto"/>
              <w:right w:val="single" w:sz="4" w:space="0" w:color="auto"/>
            </w:tcBorders>
          </w:tcPr>
          <w:p w14:paraId="5761F0AA"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A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skill set within the GBRMPA and QDAF is of a high quality and experience with most staff having marine or fisheries management training at tertiary level.</w:t>
            </w:r>
          </w:p>
          <w:p w14:paraId="5761F0A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Queensland employs fisheries science, fisheries biology, fisheries policy, analytics, media, compliance and monitoring professions.</w:t>
            </w:r>
          </w:p>
          <w:p w14:paraId="5761F0A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Queensland is one of the only states with the capacity to undertake in-house stock assessments</w:t>
            </w:r>
          </w:p>
        </w:tc>
        <w:tc>
          <w:tcPr>
            <w:tcW w:w="4356" w:type="dxa"/>
            <w:tcBorders>
              <w:top w:val="single" w:sz="4" w:space="0" w:color="auto"/>
              <w:left w:val="single" w:sz="4" w:space="0" w:color="auto"/>
              <w:bottom w:val="single" w:sz="4" w:space="0" w:color="auto"/>
              <w:right w:val="single" w:sz="4" w:space="0" w:color="auto"/>
            </w:tcBorders>
          </w:tcPr>
          <w:p w14:paraId="5761F0AE" w14:textId="77777777" w:rsidR="00A56EE9" w:rsidRPr="00AD64EC" w:rsidRDefault="008B5998" w:rsidP="00A11869">
            <w:pPr>
              <w:pStyle w:val="ListParagraph"/>
              <w:numPr>
                <w:ilvl w:val="0"/>
                <w:numId w:val="24"/>
              </w:numPr>
              <w:spacing w:after="200" w:line="276" w:lineRule="auto"/>
              <w:rPr>
                <w:rStyle w:val="Hyperlink"/>
                <w:rFonts w:ascii="Arial Narrow" w:hAnsi="Arial Narrow"/>
                <w:sz w:val="18"/>
                <w:szCs w:val="18"/>
              </w:rPr>
            </w:pPr>
            <w:hyperlink r:id="rId762" w:history="1">
              <w:r w:rsidR="00A56EE9" w:rsidRPr="00E70A11">
                <w:rPr>
                  <w:rStyle w:val="Hyperlink"/>
                  <w:rFonts w:ascii="Arial Narrow" w:hAnsi="Arial Narrow"/>
                  <w:sz w:val="18"/>
                  <w:szCs w:val="18"/>
                </w:rPr>
                <w:t>Queensland Sustainable Fisheries Strategy 2017-2027</w:t>
              </w:r>
            </w:hyperlink>
          </w:p>
          <w:p w14:paraId="5761F0B0" w14:textId="4E141229" w:rsidR="00A56EE9" w:rsidRPr="008E414A" w:rsidRDefault="00A56EE9" w:rsidP="008E414A">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https://www.daf.qld.gov.au/business-priorities/fisheries/monitoring-our-fisheries/data-reports/sustainability-reporting/stock-assessment-reports</w:t>
            </w:r>
          </w:p>
          <w:p w14:paraId="5761F0B1"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0B2"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0B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0BF"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B5"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commercial fishing</w:t>
            </w:r>
          </w:p>
        </w:tc>
        <w:tc>
          <w:tcPr>
            <w:tcW w:w="1505" w:type="dxa"/>
            <w:tcBorders>
              <w:top w:val="single" w:sz="4" w:space="0" w:color="auto"/>
              <w:left w:val="single" w:sz="4" w:space="0" w:color="auto"/>
              <w:bottom w:val="single" w:sz="4" w:space="0" w:color="auto"/>
              <w:right w:val="single" w:sz="4" w:space="0" w:color="auto"/>
            </w:tcBorders>
          </w:tcPr>
          <w:p w14:paraId="5761F0B6"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B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is an understanding of how some large scale events (i.e. cyclones or floods) influence the biophysical conditions and productivity of Queensland fish stocks. This abiotic information is regularly incorporated into stock assessments.</w:t>
            </w:r>
          </w:p>
          <w:p w14:paraId="5761F0B8" w14:textId="77777777" w:rsidR="00A56EE9" w:rsidRPr="00942BDC"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cumulative impacts of the 2016-17 mass bleaching have affected most of the Great Barrier Reef Marine Park especially the far north, and it is likely the resilience of the majority of reefs north of Mackay has been severely diminished. The effect of this unprecedented disturbance on commercially important species is uncertain.</w:t>
            </w:r>
          </w:p>
        </w:tc>
        <w:tc>
          <w:tcPr>
            <w:tcW w:w="4356" w:type="dxa"/>
            <w:tcBorders>
              <w:top w:val="single" w:sz="4" w:space="0" w:color="auto"/>
              <w:left w:val="single" w:sz="4" w:space="0" w:color="auto"/>
              <w:bottom w:val="single" w:sz="4" w:space="0" w:color="auto"/>
              <w:right w:val="single" w:sz="4" w:space="0" w:color="auto"/>
            </w:tcBorders>
          </w:tcPr>
          <w:p w14:paraId="5761F0B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63" w:history="1">
              <w:r w:rsidR="00A56EE9" w:rsidRPr="00E70A11">
                <w:rPr>
                  <w:rStyle w:val="Hyperlink"/>
                  <w:rFonts w:ascii="Arial Narrow" w:hAnsi="Arial Narrow"/>
                  <w:sz w:val="18"/>
                  <w:szCs w:val="18"/>
                </w:rPr>
                <w:t>Queensland Sustainable Fisheries Strategy 2017-2027</w:t>
              </w:r>
            </w:hyperlink>
          </w:p>
          <w:p w14:paraId="5761F0BA"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764" w:history="1">
              <w:r w:rsidR="00A56EE9" w:rsidRPr="00E70A11">
                <w:rPr>
                  <w:rStyle w:val="Hyperlink"/>
                  <w:rFonts w:ascii="Arial Narrow" w:hAnsi="Arial Narrow"/>
                  <w:sz w:val="18"/>
                  <w:szCs w:val="18"/>
                </w:rPr>
                <w:t>Summary of Stock Status for Queensland Species 2016</w:t>
              </w:r>
            </w:hyperlink>
          </w:p>
          <w:p w14:paraId="5761F0B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Welch et.al. 2014 </w:t>
            </w:r>
            <w:hyperlink r:id="rId765" w:history="1">
              <w:r w:rsidRPr="00E70A11">
                <w:rPr>
                  <w:rStyle w:val="Hyperlink"/>
                  <w:rFonts w:ascii="Arial Narrow" w:hAnsi="Arial Narrow"/>
                  <w:sz w:val="18"/>
                  <w:szCs w:val="18"/>
                </w:rPr>
                <w:t>Implications of climate change on fisheries resources of northern Australia</w:t>
              </w:r>
            </w:hyperlink>
          </w:p>
          <w:p w14:paraId="5761F0BC"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0BD"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B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D6"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C0"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commercial fishing</w:t>
            </w:r>
          </w:p>
        </w:tc>
        <w:tc>
          <w:tcPr>
            <w:tcW w:w="1505" w:type="dxa"/>
            <w:tcBorders>
              <w:top w:val="single" w:sz="4" w:space="0" w:color="auto"/>
              <w:left w:val="single" w:sz="4" w:space="0" w:color="auto"/>
              <w:bottom w:val="single" w:sz="4" w:space="0" w:color="auto"/>
              <w:right w:val="single" w:sz="4" w:space="0" w:color="auto"/>
            </w:tcBorders>
          </w:tcPr>
          <w:p w14:paraId="5761F0C1"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C2"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bCs/>
                <w:sz w:val="18"/>
                <w:szCs w:val="18"/>
              </w:rPr>
              <w:t>The Deloitte Access Economics 2017 report shows the Great Barrier Reef contributed $6.4 billion in value added and over 64,000 jobs to the Australian economy in 2015–16 (direct and indirect). Most of these jobs came from tourism activities generated by the Great Barrier Reef, but there were also important economic contributions from fishing, recreational and scientific activities</w:t>
            </w:r>
          </w:p>
          <w:p w14:paraId="5761F0C3"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bCs/>
                <w:sz w:val="18"/>
                <w:szCs w:val="18"/>
              </w:rPr>
              <w:t>One of the key user groups the SELTMP monitors is the commercial fishing industry operating the Great Barrier Reef (GBR) region.</w:t>
            </w:r>
          </w:p>
          <w:p w14:paraId="5761F0C4"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bCs/>
                <w:sz w:val="18"/>
                <w:szCs w:val="18"/>
              </w:rPr>
              <w:t>Action 1.5 of the QSFS is to develop and implement a practical and cost-effective system for collection of economic and social data.</w:t>
            </w:r>
          </w:p>
          <w:p w14:paraId="5761F0C5"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bCs/>
                <w:sz w:val="18"/>
                <w:szCs w:val="18"/>
              </w:rPr>
              <w:t>Social and economic experts are on the Sustainable Fisheries Expert Panel.</w:t>
            </w:r>
          </w:p>
          <w:p w14:paraId="5761F0C6"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bCs/>
                <w:sz w:val="18"/>
                <w:szCs w:val="18"/>
              </w:rPr>
              <w:t>The potential economic benefits to regional communities from the Queensland inshore fisheries (pot, net and line fisheries) have been examined. Results of the analysis indicate that the inshore fisheries produce substantial local benefits well in excess of their own gross value product.</w:t>
            </w:r>
          </w:p>
          <w:p w14:paraId="5761F0C7"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bCs/>
                <w:sz w:val="18"/>
                <w:szCs w:val="18"/>
              </w:rPr>
              <w:t>The Fisheries Research and Development corporation undertake a range of projects that consider the ecological, social and economic objectives for Coral Reef line and Trawl Fisheries and</w:t>
            </w:r>
            <w:r>
              <w:rPr>
                <w:rFonts w:ascii="Arial Narrow" w:hAnsi="Arial Narrow"/>
                <w:bCs/>
                <w:sz w:val="18"/>
                <w:szCs w:val="18"/>
              </w:rPr>
              <w:t xml:space="preserve"> </w:t>
            </w:r>
            <w:r w:rsidRPr="00E70A11">
              <w:rPr>
                <w:rFonts w:ascii="Arial Narrow" w:hAnsi="Arial Narrow"/>
                <w:bCs/>
                <w:sz w:val="18"/>
                <w:szCs w:val="18"/>
              </w:rPr>
              <w:t>the potential economic benefits to regional communities from the Queensland inshore fisheries (pot, net and line fisheries).</w:t>
            </w:r>
            <w:r>
              <w:rPr>
                <w:rFonts w:ascii="Arial Narrow" w:hAnsi="Arial Narrow"/>
                <w:bCs/>
                <w:sz w:val="18"/>
                <w:szCs w:val="18"/>
              </w:rPr>
              <w:t xml:space="preserve"> </w:t>
            </w:r>
            <w:r w:rsidRPr="00E70A11">
              <w:rPr>
                <w:rFonts w:ascii="Arial Narrow" w:hAnsi="Arial Narrow"/>
                <w:bCs/>
                <w:sz w:val="18"/>
                <w:szCs w:val="18"/>
              </w:rPr>
              <w:t>Results of the analysis indicate that the inshore fisheries produce substantial local benefits well in excess of their own gross value product (GVP)</w:t>
            </w:r>
          </w:p>
          <w:p w14:paraId="5761F0C8"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bCs/>
                <w:sz w:val="18"/>
                <w:szCs w:val="18"/>
              </w:rPr>
              <w:t>Monitoring strategy evaluation, including socio-economic data appropriateness, has been undertaken for the Coral Reef Fin-Fish Fishery (CRFFF)</w:t>
            </w:r>
          </w:p>
          <w:p w14:paraId="5761F0C9" w14:textId="77777777" w:rsidR="00A56EE9" w:rsidRPr="00E70A11" w:rsidRDefault="00A56EE9" w:rsidP="00A11869">
            <w:pPr>
              <w:pStyle w:val="ListParagraph"/>
              <w:numPr>
                <w:ilvl w:val="0"/>
                <w:numId w:val="24"/>
              </w:numPr>
              <w:spacing w:after="200" w:line="276" w:lineRule="auto"/>
              <w:rPr>
                <w:rFonts w:ascii="Arial Narrow" w:hAnsi="Arial Narrow"/>
                <w:bCs/>
                <w:sz w:val="18"/>
                <w:szCs w:val="18"/>
              </w:rPr>
            </w:pPr>
            <w:r w:rsidRPr="00E70A11">
              <w:rPr>
                <w:rFonts w:ascii="Arial Narrow" w:hAnsi="Arial Narrow"/>
                <w:bCs/>
                <w:sz w:val="18"/>
                <w:szCs w:val="18"/>
              </w:rPr>
              <w:t xml:space="preserve">A spatial econometric model of fishing location choice using non-confidential data from the Great Barrier Reef coral trout commercial fishery has been developed </w:t>
            </w:r>
          </w:p>
        </w:tc>
        <w:tc>
          <w:tcPr>
            <w:tcW w:w="4356" w:type="dxa"/>
            <w:tcBorders>
              <w:top w:val="single" w:sz="4" w:space="0" w:color="auto"/>
              <w:left w:val="single" w:sz="4" w:space="0" w:color="auto"/>
              <w:bottom w:val="single" w:sz="4" w:space="0" w:color="auto"/>
              <w:right w:val="single" w:sz="4" w:space="0" w:color="auto"/>
            </w:tcBorders>
          </w:tcPr>
          <w:p w14:paraId="5761F0C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66" w:history="1">
              <w:r w:rsidR="00A56EE9" w:rsidRPr="00E70A11">
                <w:rPr>
                  <w:rStyle w:val="Hyperlink"/>
                  <w:rFonts w:ascii="Arial Narrow" w:hAnsi="Arial Narrow"/>
                  <w:sz w:val="18"/>
                  <w:szCs w:val="18"/>
                </w:rPr>
                <w:t>Queensland Sustainable Fisheries Strategy 2017-2027</w:t>
              </w:r>
            </w:hyperlink>
          </w:p>
          <w:p w14:paraId="5761F0CB"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rPr>
              <w:t xml:space="preserve"> </w:t>
            </w:r>
            <w:hyperlink r:id="rId767" w:history="1">
              <w:r w:rsidRPr="00E70A11">
                <w:rPr>
                  <w:rStyle w:val="Hyperlink"/>
                  <w:rFonts w:ascii="Arial Narrow" w:hAnsi="Arial Narrow"/>
                  <w:sz w:val="18"/>
                  <w:szCs w:val="18"/>
                </w:rPr>
                <w:t>Deloitte Access Economics 2017 - The economic, social and icon value</w:t>
              </w:r>
            </w:hyperlink>
          </w:p>
          <w:p w14:paraId="5761F0CC"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rPr>
              <w:t xml:space="preserve"> </w:t>
            </w:r>
            <w:hyperlink r:id="rId768" w:history="1">
              <w:r w:rsidRPr="00E70A11">
                <w:rPr>
                  <w:rStyle w:val="Hyperlink"/>
                  <w:rFonts w:ascii="Arial Narrow" w:hAnsi="Arial Narrow"/>
                  <w:sz w:val="18"/>
                  <w:szCs w:val="18"/>
                </w:rPr>
                <w:t>SELTMP Commercial Fishers of the Great Barrier Reef</w:t>
              </w:r>
            </w:hyperlink>
          </w:p>
          <w:p w14:paraId="5761F0CD"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69" w:history="1">
              <w:r w:rsidR="00A56EE9" w:rsidRPr="00E70A11">
                <w:rPr>
                  <w:rStyle w:val="Hyperlink"/>
                  <w:rFonts w:ascii="Arial Narrow" w:hAnsi="Arial Narrow"/>
                  <w:sz w:val="18"/>
                  <w:szCs w:val="18"/>
                </w:rPr>
                <w:t>FRDC Beyond GVP: The value of inshore commercial fisheries to fishers and consumers in regional communities on Queensland’s east coast</w:t>
              </w:r>
            </w:hyperlink>
          </w:p>
          <w:p w14:paraId="5761F0C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70" w:history="1">
              <w:r w:rsidR="00A56EE9" w:rsidRPr="00E70A11">
                <w:rPr>
                  <w:rFonts w:ascii="Arial Narrow" w:hAnsi="Arial Narrow"/>
                  <w:sz w:val="18"/>
                  <w:szCs w:val="18"/>
                </w:rPr>
                <w:t>FRDC Beyond GVP: The value of inshore commercial fisheries to fishers and consumers in regional communities on Queensland’s east coast</w:t>
              </w:r>
            </w:hyperlink>
          </w:p>
          <w:p w14:paraId="5761F0C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w:t>
            </w:r>
            <w:hyperlink r:id="rId771" w:history="1">
              <w:r w:rsidRPr="00E70A11">
                <w:rPr>
                  <w:rFonts w:ascii="Arial Narrow" w:hAnsi="Arial Narrow"/>
                  <w:sz w:val="18"/>
                  <w:szCs w:val="18"/>
                </w:rPr>
                <w:t>FRDC Evaluating candidate monitoring strategies, assessment procedures and harvest control rules in the spatially complex Queensland Coral Reef Fin-fish Fishery</w:t>
              </w:r>
            </w:hyperlink>
          </w:p>
          <w:p w14:paraId="5761F0D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72" w:history="1">
              <w:r w:rsidR="00A56EE9" w:rsidRPr="00E70A11">
                <w:rPr>
                  <w:rFonts w:ascii="Arial Narrow" w:hAnsi="Arial Narrow"/>
                  <w:sz w:val="18"/>
                  <w:szCs w:val="18"/>
                </w:rPr>
                <w:t>Micro-economic drivers of profitability in an ITQ-managed fishery: An analysis of the Queensland Coral Reef Fin-Fish Fishery</w:t>
              </w:r>
            </w:hyperlink>
          </w:p>
          <w:p w14:paraId="5761F0D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Sampson 2018 </w:t>
            </w:r>
            <w:hyperlink r:id="rId773" w:history="1">
              <w:r w:rsidRPr="00E70A11">
                <w:rPr>
                  <w:rFonts w:ascii="Arial Narrow" w:hAnsi="Arial Narrow"/>
                  <w:sz w:val="18"/>
                  <w:szCs w:val="18"/>
                </w:rPr>
                <w:t>Economic spillovers in spatial harvest behaviour</w:t>
              </w:r>
            </w:hyperlink>
            <w:r w:rsidRPr="00E70A11">
              <w:rPr>
                <w:rFonts w:ascii="Arial Narrow" w:hAnsi="Arial Narrow"/>
                <w:sz w:val="18"/>
                <w:szCs w:val="18"/>
              </w:rPr>
              <w:t>. Ecological Economics 145, 57-74</w:t>
            </w:r>
          </w:p>
          <w:p w14:paraId="5761F0D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p>
          <w:p w14:paraId="5761F0D3"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0D4"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D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E2"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D7"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commercial fishing</w:t>
            </w:r>
          </w:p>
        </w:tc>
        <w:tc>
          <w:tcPr>
            <w:tcW w:w="1505" w:type="dxa"/>
            <w:tcBorders>
              <w:top w:val="single" w:sz="4" w:space="0" w:color="auto"/>
              <w:left w:val="single" w:sz="4" w:space="0" w:color="auto"/>
              <w:bottom w:val="single" w:sz="4" w:space="0" w:color="auto"/>
              <w:right w:val="single" w:sz="4" w:space="0" w:color="auto"/>
            </w:tcBorders>
          </w:tcPr>
          <w:p w14:paraId="5761F0D8" w14:textId="77777777" w:rsidR="00A56EE9" w:rsidRPr="00E70A11" w:rsidRDefault="00A56EE9" w:rsidP="00BB6AD5">
            <w:pPr>
              <w:pStyle w:val="Tablebulletlist"/>
              <w:rPr>
                <w:rStyle w:val="BookTitle"/>
              </w:rPr>
            </w:pPr>
            <w:r w:rsidRPr="00E70A11">
              <w:rPr>
                <w:rStyle w:val="BookTitle"/>
              </w:rPr>
              <w:t>2</w:t>
            </w:r>
          </w:p>
        </w:tc>
        <w:tc>
          <w:tcPr>
            <w:tcW w:w="3961" w:type="dxa"/>
            <w:tcBorders>
              <w:top w:val="single" w:sz="4" w:space="0" w:color="auto"/>
              <w:left w:val="single" w:sz="4" w:space="0" w:color="auto"/>
              <w:bottom w:val="single" w:sz="4" w:space="0" w:color="auto"/>
              <w:right w:val="single" w:sz="4" w:space="0" w:color="auto"/>
            </w:tcBorders>
          </w:tcPr>
          <w:p w14:paraId="5761F0D9" w14:textId="1A60EC31"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US"/>
              </w:rPr>
              <w:t xml:space="preserve">There are no programs or mechanisms which link </w:t>
            </w:r>
            <w:r w:rsidRPr="00E70A11">
              <w:rPr>
                <w:rFonts w:ascii="Arial Narrow" w:hAnsi="Arial Narrow"/>
                <w:sz w:val="18"/>
                <w:szCs w:val="18"/>
              </w:rPr>
              <w:t>Indigenous heritage information with commercial fishing or visa-versa.</w:t>
            </w:r>
            <w:r w:rsidR="00242993">
              <w:rPr>
                <w:rFonts w:ascii="Arial Narrow" w:hAnsi="Arial Narrow"/>
                <w:sz w:val="18"/>
                <w:szCs w:val="18"/>
              </w:rPr>
              <w:t xml:space="preserve"> </w:t>
            </w:r>
          </w:p>
          <w:p w14:paraId="5761F0D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Detailed and widespread understanding of traditional (Indigenous) knowledge and cultural heritage is limited and strategy and resourcing to address this gap is needed.</w:t>
            </w:r>
          </w:p>
          <w:p w14:paraId="5761F0D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Traditional Owner Groups are very concerned about commercial fisheries bycatch of valued megafauna.</w:t>
            </w:r>
            <w:r>
              <w:rPr>
                <w:rFonts w:ascii="Arial Narrow" w:hAnsi="Arial Narrow"/>
                <w:sz w:val="18"/>
                <w:szCs w:val="18"/>
              </w:rPr>
              <w:t xml:space="preserve"> </w:t>
            </w:r>
            <w:r w:rsidRPr="00E70A11">
              <w:rPr>
                <w:rFonts w:ascii="Arial Narrow" w:hAnsi="Arial Narrow"/>
                <w:sz w:val="18"/>
                <w:szCs w:val="18"/>
              </w:rPr>
              <w:t>Most concerns relate to the East Inshore Fin Fish Fishery right along GBR coast.</w:t>
            </w:r>
          </w:p>
          <w:p w14:paraId="5761F0D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GBRMPA liaises with Traditional Owners or other Aboriginal or Torres Strait Islander people</w:t>
            </w:r>
            <w:r w:rsidRPr="00E70A11" w:rsidDel="00704009">
              <w:rPr>
                <w:rFonts w:ascii="Arial Narrow" w:hAnsi="Arial Narrow"/>
                <w:sz w:val="18"/>
                <w:szCs w:val="18"/>
              </w:rPr>
              <w:t xml:space="preserve"> </w:t>
            </w:r>
            <w:r w:rsidRPr="00E70A11">
              <w:rPr>
                <w:rFonts w:ascii="Arial Narrow" w:hAnsi="Arial Narrow"/>
                <w:sz w:val="18"/>
                <w:szCs w:val="18"/>
              </w:rPr>
              <w:t>as users of the Marine Park through TUMRA projects, Indigenous Reef Advisory Committee ranger training and meetings, conferences and workshops.</w:t>
            </w:r>
          </w:p>
          <w:p w14:paraId="5761F0DD" w14:textId="77777777" w:rsidR="00A56EE9" w:rsidRPr="00942BDC"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QSFS recognises the need to better engage with Traditional Owners or other Aboriginal or </w:t>
            </w:r>
            <w:r w:rsidRPr="00942BDC">
              <w:rPr>
                <w:rStyle w:val="BookTitle"/>
                <w:rFonts w:ascii="Arial Narrow" w:hAnsi="Arial Narrow"/>
                <w:sz w:val="18"/>
                <w:szCs w:val="18"/>
              </w:rPr>
              <w:t>Torres Strait Islander people regarding fishing.</w:t>
            </w:r>
          </w:p>
          <w:p w14:paraId="5761F0D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Style w:val="BookTitle"/>
                <w:rFonts w:ascii="Arial Narrow" w:hAnsi="Arial Narrow"/>
                <w:sz w:val="18"/>
                <w:szCs w:val="18"/>
              </w:rPr>
              <w:t>Five new cultural liaison officers have been set up in the QBFP as part of the Sustainable Fisheries Strategy to improve engagement, work with ranger groups and improve education around traditional fishing.</w:t>
            </w:r>
          </w:p>
        </w:tc>
        <w:tc>
          <w:tcPr>
            <w:tcW w:w="4356" w:type="dxa"/>
            <w:tcBorders>
              <w:top w:val="single" w:sz="4" w:space="0" w:color="auto"/>
              <w:left w:val="single" w:sz="4" w:space="0" w:color="auto"/>
              <w:bottom w:val="single" w:sz="4" w:space="0" w:color="auto"/>
              <w:right w:val="single" w:sz="4" w:space="0" w:color="auto"/>
            </w:tcBorders>
          </w:tcPr>
          <w:p w14:paraId="5761F0DF"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774" w:history="1">
              <w:r w:rsidR="00A56EE9" w:rsidRPr="00E70A11">
                <w:rPr>
                  <w:rStyle w:val="Hyperlink"/>
                  <w:rFonts w:ascii="Arial Narrow" w:hAnsi="Arial Narrow"/>
                  <w:sz w:val="18"/>
                  <w:szCs w:val="18"/>
                </w:rPr>
                <w:t>Queensland Sustainable Fisheries Strategy 2017-2027</w:t>
              </w:r>
            </w:hyperlink>
          </w:p>
        </w:tc>
        <w:tc>
          <w:tcPr>
            <w:tcW w:w="990" w:type="dxa"/>
            <w:tcBorders>
              <w:top w:val="single" w:sz="4" w:space="0" w:color="auto"/>
              <w:left w:val="single" w:sz="4" w:space="0" w:color="auto"/>
              <w:bottom w:val="single" w:sz="4" w:space="0" w:color="auto"/>
              <w:right w:val="single" w:sz="4" w:space="0" w:color="auto"/>
            </w:tcBorders>
          </w:tcPr>
          <w:p w14:paraId="5761F0E0"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E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EB"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E3"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commercial fishing</w:t>
            </w:r>
          </w:p>
        </w:tc>
        <w:tc>
          <w:tcPr>
            <w:tcW w:w="1505" w:type="dxa"/>
            <w:tcBorders>
              <w:top w:val="single" w:sz="4" w:space="0" w:color="auto"/>
              <w:left w:val="single" w:sz="4" w:space="0" w:color="auto"/>
              <w:bottom w:val="single" w:sz="4" w:space="0" w:color="auto"/>
              <w:right w:val="single" w:sz="4" w:space="0" w:color="auto"/>
            </w:tcBorders>
          </w:tcPr>
          <w:p w14:paraId="5761F0E4"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E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Special management areas (SMAs), each one kilometre square, are now in place around a Catalina wreck off Bowen and a Catalina that crashed near the Frankland Islands south of Cairns. On 14 May 2015 the </w:t>
            </w:r>
            <w:r w:rsidRPr="00E70A11">
              <w:rPr>
                <w:rFonts w:ascii="Arial Narrow" w:hAnsi="Arial Narrow"/>
                <w:i/>
                <w:sz w:val="18"/>
                <w:szCs w:val="18"/>
              </w:rPr>
              <w:t xml:space="preserve">Great Barrier Reef Marine Park Regulations 1983 </w:t>
            </w:r>
            <w:r w:rsidRPr="00E70A11">
              <w:rPr>
                <w:rFonts w:ascii="Arial Narrow" w:hAnsi="Arial Narrow"/>
                <w:sz w:val="18"/>
                <w:szCs w:val="18"/>
              </w:rPr>
              <w:t>were amended to add a new type of Special Management Area, the Maritime Cultural Heritage Protection Special Management Area. The regulation includes specific management provisions for the Maritime Cultural Heritage Protection Special Management Area regulating entering and approaching the wrecks, operating and anchoring vessels, fishing and collecting.</w:t>
            </w:r>
          </w:p>
          <w:p w14:paraId="5761F0E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 permit conditions to enter Historic Shipwreck Protected Zones under the </w:t>
            </w:r>
            <w:r w:rsidRPr="00E70A11">
              <w:rPr>
                <w:rFonts w:ascii="Arial Narrow" w:hAnsi="Arial Narrow"/>
                <w:i/>
                <w:iCs/>
                <w:sz w:val="18"/>
                <w:szCs w:val="18"/>
                <w:lang w:val="en"/>
              </w:rPr>
              <w:t>Historic Shipwrecks Act 1976</w:t>
            </w:r>
            <w:r w:rsidRPr="00E70A11">
              <w:rPr>
                <w:rFonts w:ascii="Arial Narrow" w:hAnsi="Arial Narrow"/>
                <w:sz w:val="18"/>
                <w:szCs w:val="18"/>
              </w:rPr>
              <w:t xml:space="preserve"> have recently been change to disallow fishing on wrecks such as the Llewellyn</w:t>
            </w:r>
          </w:p>
        </w:tc>
        <w:tc>
          <w:tcPr>
            <w:tcW w:w="4356" w:type="dxa"/>
            <w:tcBorders>
              <w:top w:val="single" w:sz="4" w:space="0" w:color="auto"/>
              <w:left w:val="single" w:sz="4" w:space="0" w:color="auto"/>
              <w:bottom w:val="single" w:sz="4" w:space="0" w:color="auto"/>
              <w:right w:val="single" w:sz="4" w:space="0" w:color="auto"/>
            </w:tcBorders>
          </w:tcPr>
          <w:p w14:paraId="5761F0E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Historic Shipwreck Protected Zones under the Historic Shipwrecks Act 1976</w:t>
            </w:r>
          </w:p>
          <w:p w14:paraId="5761F0E8"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775" w:history="1">
              <w:r w:rsidR="00A56EE9" w:rsidRPr="00E70A11">
                <w:rPr>
                  <w:rFonts w:ascii="Arial Narrow" w:hAnsi="Arial Narrow"/>
                  <w:sz w:val="18"/>
                  <w:szCs w:val="18"/>
                </w:rPr>
                <w:t>Protecting our maritime cultural heritage</w:t>
              </w:r>
            </w:hyperlink>
            <w:r w:rsidR="00A56EE9" w:rsidRPr="00E70A11">
              <w:rPr>
                <w:rFonts w:ascii="Arial Narrow" w:hAnsi="Arial Narrow"/>
                <w:sz w:val="18"/>
                <w:szCs w:val="18"/>
              </w:rPr>
              <w:t xml:space="preserve"> http://www.gbrmpa.gov.au/zoning-permits-and-plans/special-management-areas/protecting-our-maritime-cultural-heritage</w:t>
            </w:r>
          </w:p>
        </w:tc>
        <w:tc>
          <w:tcPr>
            <w:tcW w:w="990" w:type="dxa"/>
            <w:tcBorders>
              <w:top w:val="single" w:sz="4" w:space="0" w:color="auto"/>
              <w:left w:val="single" w:sz="4" w:space="0" w:color="auto"/>
              <w:bottom w:val="single" w:sz="4" w:space="0" w:color="auto"/>
              <w:right w:val="single" w:sz="4" w:space="0" w:color="auto"/>
            </w:tcBorders>
          </w:tcPr>
          <w:p w14:paraId="5761F0E9"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0EA"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0F5"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761F0EC"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commercial fishing</w:t>
            </w:r>
          </w:p>
        </w:tc>
        <w:tc>
          <w:tcPr>
            <w:tcW w:w="1505" w:type="dxa"/>
            <w:tcBorders>
              <w:top w:val="single" w:sz="4" w:space="0" w:color="auto"/>
              <w:left w:val="single" w:sz="4" w:space="0" w:color="auto"/>
              <w:bottom w:val="single" w:sz="4" w:space="0" w:color="auto"/>
              <w:right w:val="single" w:sz="4" w:space="0" w:color="auto"/>
            </w:tcBorders>
          </w:tcPr>
          <w:p w14:paraId="5761F0ED"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E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continues to maintain positive working relationships with numerous active fishers and also higher profile commercial fisher participants operating throughout the GBRMP and WHA.</w:t>
            </w:r>
          </w:p>
          <w:p w14:paraId="5761F0E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A number of proactive commercial fishers contribute their own time and resources to actively engage in commercial fisheries </w:t>
            </w:r>
            <w:r w:rsidRPr="00942BDC">
              <w:rPr>
                <w:rFonts w:ascii="Arial Narrow" w:hAnsi="Arial Narrow"/>
                <w:sz w:val="18"/>
                <w:szCs w:val="18"/>
              </w:rPr>
              <w:t>matters, including through fishery working groups or LMACs. They</w:t>
            </w:r>
            <w:r w:rsidRPr="00E70A11">
              <w:rPr>
                <w:rFonts w:ascii="Arial Narrow" w:hAnsi="Arial Narrow"/>
                <w:sz w:val="18"/>
                <w:szCs w:val="18"/>
              </w:rPr>
              <w:t xml:space="preserve"> do this to try and ensure that ecologically sustainable fisheries comprise commercial fisheries.</w:t>
            </w:r>
            <w:r>
              <w:rPr>
                <w:rFonts w:ascii="Arial Narrow" w:hAnsi="Arial Narrow"/>
                <w:sz w:val="18"/>
                <w:szCs w:val="18"/>
              </w:rPr>
              <w:t xml:space="preserve"> </w:t>
            </w:r>
            <w:r w:rsidRPr="00E70A11">
              <w:rPr>
                <w:rFonts w:ascii="Arial Narrow" w:hAnsi="Arial Narrow"/>
                <w:sz w:val="18"/>
                <w:szCs w:val="18"/>
              </w:rPr>
              <w:t>They do this independently or through organisations such as the QSIA or the Fishermen’s Portal</w:t>
            </w:r>
          </w:p>
        </w:tc>
        <w:tc>
          <w:tcPr>
            <w:tcW w:w="4356" w:type="dxa"/>
            <w:tcBorders>
              <w:top w:val="single" w:sz="4" w:space="0" w:color="auto"/>
              <w:left w:val="single" w:sz="4" w:space="0" w:color="auto"/>
              <w:bottom w:val="single" w:sz="4" w:space="0" w:color="auto"/>
              <w:right w:val="single" w:sz="4" w:space="0" w:color="auto"/>
            </w:tcBorders>
          </w:tcPr>
          <w:p w14:paraId="5761F0F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76" w:history="1">
              <w:r w:rsidR="00A56EE9" w:rsidRPr="00E70A11">
                <w:rPr>
                  <w:rStyle w:val="Hyperlink"/>
                  <w:rFonts w:ascii="Arial Narrow" w:hAnsi="Arial Narrow"/>
                  <w:sz w:val="18"/>
                  <w:szCs w:val="18"/>
                </w:rPr>
                <w:t>Queensland Sustainable Fisheries Strategy 2017-2027</w:t>
              </w:r>
            </w:hyperlink>
          </w:p>
          <w:p w14:paraId="5761F0F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QSIA</w:t>
            </w:r>
          </w:p>
          <w:p w14:paraId="5761F0F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 Fishers</w:t>
            </w:r>
          </w:p>
        </w:tc>
        <w:tc>
          <w:tcPr>
            <w:tcW w:w="990" w:type="dxa"/>
            <w:tcBorders>
              <w:top w:val="single" w:sz="4" w:space="0" w:color="auto"/>
              <w:left w:val="single" w:sz="4" w:space="0" w:color="auto"/>
              <w:bottom w:val="single" w:sz="4" w:space="0" w:color="auto"/>
              <w:right w:val="single" w:sz="4" w:space="0" w:color="auto"/>
            </w:tcBorders>
          </w:tcPr>
          <w:p w14:paraId="5761F0F3" w14:textId="77777777" w:rsidR="00A56EE9" w:rsidRPr="00E70A11" w:rsidRDefault="00A56EE9" w:rsidP="00BB6AD5">
            <w:pPr>
              <w:pStyle w:val="Tablebulletlist"/>
              <w:rPr>
                <w:rStyle w:val="BookTitle"/>
              </w:rPr>
            </w:pPr>
            <w:r w:rsidRPr="00E70A11">
              <w:rPr>
                <w:rStyle w:val="BookTitle"/>
              </w:rPr>
              <w:t xml:space="preserve">Adequate </w:t>
            </w:r>
          </w:p>
        </w:tc>
        <w:tc>
          <w:tcPr>
            <w:tcW w:w="1061" w:type="dxa"/>
            <w:tcBorders>
              <w:top w:val="single" w:sz="4" w:space="0" w:color="auto"/>
              <w:left w:val="single" w:sz="4" w:space="0" w:color="auto"/>
              <w:bottom w:val="single" w:sz="4" w:space="0" w:color="auto"/>
              <w:right w:val="single" w:sz="4" w:space="0" w:color="auto"/>
            </w:tcBorders>
          </w:tcPr>
          <w:p w14:paraId="5761F0F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0FC"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F6" w14:textId="77777777" w:rsidR="00A56EE9" w:rsidRPr="00E70A11" w:rsidRDefault="00A56EE9" w:rsidP="00BB6AD5">
            <w:pPr>
              <w:pStyle w:val="Tablebulletlist"/>
              <w:rPr>
                <w:rStyle w:val="BookTitle"/>
              </w:rPr>
            </w:pPr>
            <w:r w:rsidRPr="00E70A11">
              <w:rPr>
                <w:rStyle w:val="BookTitle"/>
              </w:rPr>
              <w:t>PROCESSES</w:t>
            </w:r>
          </w:p>
        </w:tc>
        <w:tc>
          <w:tcPr>
            <w:tcW w:w="150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F7" w14:textId="77777777" w:rsidR="00A56EE9" w:rsidRPr="00E70A11" w:rsidRDefault="00A56EE9" w:rsidP="00BB6AD5">
            <w:pPr>
              <w:pStyle w:val="Tablebulletlist"/>
              <w:rPr>
                <w:rStyle w:val="BookTitle"/>
              </w:rPr>
            </w:pPr>
          </w:p>
        </w:tc>
        <w:tc>
          <w:tcPr>
            <w:tcW w:w="39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F8" w14:textId="77777777" w:rsidR="00A56EE9" w:rsidRPr="00E70A11" w:rsidRDefault="00A56EE9" w:rsidP="00BB6AD5">
            <w:pPr>
              <w:pStyle w:val="ListParagraph"/>
              <w:ind w:left="360"/>
              <w:rPr>
                <w:rStyle w:val="BookTitle"/>
                <w:rFonts w:ascii="Arial Narrow" w:hAnsi="Arial Narrow"/>
                <w:sz w:val="18"/>
                <w:szCs w:val="18"/>
              </w:rPr>
            </w:pPr>
          </w:p>
        </w:tc>
        <w:tc>
          <w:tcPr>
            <w:tcW w:w="43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F9"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FA"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0FB" w14:textId="77777777" w:rsidR="00A56EE9" w:rsidRPr="00E70A11" w:rsidRDefault="00A56EE9" w:rsidP="00BB6AD5">
            <w:pPr>
              <w:pStyle w:val="Tablebulletlist"/>
              <w:rPr>
                <w:rStyle w:val="BookTitle"/>
              </w:rPr>
            </w:pPr>
          </w:p>
        </w:tc>
      </w:tr>
      <w:tr w:rsidR="00A56EE9" w:rsidRPr="00E70A11" w14:paraId="5761F109"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0FD"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commercial fishing</w:t>
            </w:r>
          </w:p>
        </w:tc>
        <w:tc>
          <w:tcPr>
            <w:tcW w:w="1505" w:type="dxa"/>
            <w:tcBorders>
              <w:top w:val="single" w:sz="4" w:space="0" w:color="auto"/>
              <w:left w:val="single" w:sz="4" w:space="0" w:color="auto"/>
              <w:bottom w:val="single" w:sz="4" w:space="0" w:color="auto"/>
              <w:right w:val="single" w:sz="4" w:space="0" w:color="auto"/>
            </w:tcBorders>
          </w:tcPr>
          <w:p w14:paraId="5761F0FE"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0FF" w14:textId="425F8B96"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does not have adequate engagement forums or mechanisms to engage responsibly on commercial fishing matters. This is particularly pertinent given the high and very high fishing related risks in the GBR Outlook Report 2014.</w:t>
            </w:r>
            <w:r w:rsidR="00242993">
              <w:rPr>
                <w:rFonts w:ascii="Arial Narrow" w:hAnsi="Arial Narrow"/>
                <w:sz w:val="18"/>
                <w:szCs w:val="18"/>
              </w:rPr>
              <w:t xml:space="preserve"> </w:t>
            </w:r>
          </w:p>
          <w:p w14:paraId="5761F10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Green paper on fisheries management reform in Queensland (2016) included public consultation processes. A total of 11,800 responses were received and 230 people attended face to face meetings with Fisheries Queensland (126 meetings).</w:t>
            </w:r>
            <w:r>
              <w:rPr>
                <w:rFonts w:ascii="Arial Narrow" w:hAnsi="Arial Narrow"/>
                <w:sz w:val="18"/>
                <w:szCs w:val="18"/>
              </w:rPr>
              <w:t xml:space="preserve"> </w:t>
            </w:r>
          </w:p>
          <w:p w14:paraId="5761F10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 range of engagement mechanisms conducted by QDAF are in place (e.g. regional face-to-face meetings, QBFP meetings.) </w:t>
            </w:r>
          </w:p>
          <w:p w14:paraId="5761F102"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Fisheries Queensland maintains a range of active social media channels, including 35,000 facebook </w:t>
            </w:r>
            <w:r w:rsidRPr="00942BDC">
              <w:rPr>
                <w:rFonts w:ascii="Arial Narrow" w:hAnsi="Arial Narrow"/>
                <w:sz w:val="18"/>
                <w:szCs w:val="18"/>
              </w:rPr>
              <w:t>followers</w:t>
            </w:r>
          </w:p>
          <w:p w14:paraId="5761F10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Fonts w:ascii="Arial Narrow" w:hAnsi="Arial Narrow"/>
                <w:sz w:val="18"/>
                <w:szCs w:val="18"/>
              </w:rPr>
              <w:t>Fishery working groups have been set up for main fisheries, including reef line, trawl, inshore, crab and harvest fisheries. These include commercial fishers</w:t>
            </w:r>
          </w:p>
        </w:tc>
        <w:tc>
          <w:tcPr>
            <w:tcW w:w="4356" w:type="dxa"/>
            <w:tcBorders>
              <w:top w:val="single" w:sz="4" w:space="0" w:color="auto"/>
              <w:left w:val="single" w:sz="4" w:space="0" w:color="auto"/>
              <w:bottom w:val="single" w:sz="4" w:space="0" w:color="auto"/>
              <w:right w:val="single" w:sz="4" w:space="0" w:color="auto"/>
            </w:tcBorders>
          </w:tcPr>
          <w:p w14:paraId="5761F104"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77" w:history="1">
              <w:r w:rsidR="00A56EE9" w:rsidRPr="00E70A11">
                <w:rPr>
                  <w:rStyle w:val="Hyperlink"/>
                  <w:rFonts w:ascii="Arial Narrow" w:hAnsi="Arial Narrow"/>
                  <w:sz w:val="18"/>
                  <w:szCs w:val="18"/>
                </w:rPr>
                <w:t>Green paper on fisheries management reform in Queensland</w:t>
              </w:r>
            </w:hyperlink>
          </w:p>
          <w:p w14:paraId="5761F105"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78" w:history="1">
              <w:r w:rsidR="00A56EE9" w:rsidRPr="00E70A11">
                <w:rPr>
                  <w:rStyle w:val="Hyperlink"/>
                  <w:rFonts w:ascii="Arial Narrow" w:hAnsi="Arial Narrow"/>
                  <w:sz w:val="18"/>
                  <w:szCs w:val="18"/>
                </w:rPr>
                <w:t>Queensland Sustainable Fisheries Strategy 2017-2027</w:t>
              </w:r>
            </w:hyperlink>
          </w:p>
          <w:p w14:paraId="5761F106" w14:textId="5D294578"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779" w:tooltip="document link" w:history="1">
              <w:r w:rsidR="00A56EE9" w:rsidRPr="00942BDC">
                <w:rPr>
                  <w:rStyle w:val="Hyperlink"/>
                  <w:rFonts w:ascii="Arial Narrow" w:hAnsi="Arial Narrow"/>
                  <w:sz w:val="18"/>
                  <w:szCs w:val="18"/>
                </w:rPr>
                <w:t>https://www.daf.qld.gov.au/business-priorities/fisheries/sustainable-fisheries-strategy/fishery-working-groups</w:t>
              </w:r>
            </w:hyperlink>
          </w:p>
        </w:tc>
        <w:tc>
          <w:tcPr>
            <w:tcW w:w="990" w:type="dxa"/>
            <w:tcBorders>
              <w:top w:val="single" w:sz="4" w:space="0" w:color="auto"/>
              <w:left w:val="single" w:sz="4" w:space="0" w:color="auto"/>
              <w:bottom w:val="single" w:sz="4" w:space="0" w:color="auto"/>
              <w:right w:val="single" w:sz="4" w:space="0" w:color="auto"/>
            </w:tcBorders>
          </w:tcPr>
          <w:p w14:paraId="5761F107"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0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113"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0A"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commercial fishing</w:t>
            </w:r>
          </w:p>
        </w:tc>
        <w:tc>
          <w:tcPr>
            <w:tcW w:w="1505" w:type="dxa"/>
            <w:tcBorders>
              <w:top w:val="single" w:sz="4" w:space="0" w:color="auto"/>
              <w:left w:val="single" w:sz="4" w:space="0" w:color="auto"/>
              <w:bottom w:val="single" w:sz="4" w:space="0" w:color="auto"/>
              <w:right w:val="single" w:sz="4" w:space="0" w:color="auto"/>
            </w:tcBorders>
          </w:tcPr>
          <w:p w14:paraId="5761F10B"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0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seeks to promote sustainable fishing amongst commercial fishers through the Reef Guardian Program</w:t>
            </w:r>
          </w:p>
          <w:p w14:paraId="5761F10E" w14:textId="27ABAC8A" w:rsidR="00A56EE9" w:rsidRPr="008E414A" w:rsidRDefault="00A56EE9" w:rsidP="008E414A">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QSFS has established a number of working groups to advise on fisheries management.</w:t>
            </w:r>
          </w:p>
        </w:tc>
        <w:tc>
          <w:tcPr>
            <w:tcW w:w="4356" w:type="dxa"/>
            <w:tcBorders>
              <w:top w:val="single" w:sz="4" w:space="0" w:color="auto"/>
              <w:left w:val="single" w:sz="4" w:space="0" w:color="auto"/>
              <w:bottom w:val="single" w:sz="4" w:space="0" w:color="auto"/>
              <w:right w:val="single" w:sz="4" w:space="0" w:color="auto"/>
            </w:tcBorders>
          </w:tcPr>
          <w:p w14:paraId="5761F10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 Reef Guardian Fishers </w:t>
            </w:r>
          </w:p>
          <w:p w14:paraId="5761F11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QSFS</w:t>
            </w:r>
          </w:p>
        </w:tc>
        <w:tc>
          <w:tcPr>
            <w:tcW w:w="990" w:type="dxa"/>
            <w:tcBorders>
              <w:top w:val="single" w:sz="4" w:space="0" w:color="auto"/>
              <w:left w:val="single" w:sz="4" w:space="0" w:color="auto"/>
              <w:bottom w:val="single" w:sz="4" w:space="0" w:color="auto"/>
              <w:right w:val="single" w:sz="4" w:space="0" w:color="auto"/>
            </w:tcBorders>
          </w:tcPr>
          <w:p w14:paraId="5761F111"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11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122"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14"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There is a sound governance system in place to address commercial fishing</w:t>
            </w:r>
          </w:p>
        </w:tc>
        <w:tc>
          <w:tcPr>
            <w:tcW w:w="1505" w:type="dxa"/>
            <w:tcBorders>
              <w:top w:val="single" w:sz="4" w:space="0" w:color="auto"/>
              <w:left w:val="single" w:sz="4" w:space="0" w:color="auto"/>
              <w:bottom w:val="single" w:sz="4" w:space="0" w:color="auto"/>
              <w:right w:val="single" w:sz="4" w:space="0" w:color="auto"/>
            </w:tcBorders>
          </w:tcPr>
          <w:p w14:paraId="5761F115"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1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Multiple agencies are involved in commercial fisheries management, namely: Fisheries Queensland, DoEE and the GBRMPA. GBRMPA is tasked with managing the GBRMP primarily for conservation of biodiversity including through zoning. </w:t>
            </w:r>
          </w:p>
          <w:p w14:paraId="5761F11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GBRMPA, DoEE, Fisheries Qld work together to deal with EPBC assessments however this is through informal arrangements. This relationship and jurisdictional consistency could be secured by a more formal means.</w:t>
            </w:r>
          </w:p>
          <w:p w14:paraId="5761F118" w14:textId="77777777" w:rsidR="00A56EE9" w:rsidRPr="00FF373B"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 Queensland Sustainable Fisheries Strategy 2017-2027 aims to modernise fisheries management in Queensland and it sets out the </w:t>
            </w:r>
            <w:r w:rsidRPr="00942BDC">
              <w:rPr>
                <w:rFonts w:ascii="Arial Narrow" w:hAnsi="Arial Narrow"/>
                <w:sz w:val="18"/>
                <w:szCs w:val="18"/>
              </w:rPr>
              <w:t xml:space="preserve">Government’s reform agenda for the next 10 years. This includes new governance arrangements including fishery working groups and Sustainable Fisheries Expert Panel. </w:t>
            </w:r>
          </w:p>
        </w:tc>
        <w:tc>
          <w:tcPr>
            <w:tcW w:w="4356" w:type="dxa"/>
            <w:tcBorders>
              <w:top w:val="single" w:sz="4" w:space="0" w:color="auto"/>
              <w:left w:val="single" w:sz="4" w:space="0" w:color="auto"/>
              <w:bottom w:val="single" w:sz="4" w:space="0" w:color="auto"/>
              <w:right w:val="single" w:sz="4" w:space="0" w:color="auto"/>
            </w:tcBorders>
          </w:tcPr>
          <w:p w14:paraId="5761F11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80" w:history="1">
              <w:r w:rsidR="00A56EE9" w:rsidRPr="00E70A11">
                <w:rPr>
                  <w:rStyle w:val="Hyperlink"/>
                  <w:rFonts w:ascii="Arial Narrow" w:hAnsi="Arial Narrow"/>
                  <w:sz w:val="18"/>
                  <w:szCs w:val="18"/>
                </w:rPr>
                <w:t>Queensland Sustainable Fisheries Strategy 2017-2027</w:t>
              </w:r>
            </w:hyperlink>
          </w:p>
          <w:p w14:paraId="5761F11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81" w:history="1">
              <w:r w:rsidR="00A56EE9" w:rsidRPr="00E70A11">
                <w:rPr>
                  <w:rStyle w:val="Hyperlink"/>
                  <w:rFonts w:ascii="Arial Narrow" w:hAnsi="Arial Narrow"/>
                  <w:sz w:val="18"/>
                  <w:szCs w:val="18"/>
                </w:rPr>
                <w:t>Great Barrier Reef Intergovernmental Agreement</w:t>
              </w:r>
            </w:hyperlink>
          </w:p>
          <w:p w14:paraId="5761F11B"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82" w:history="1">
              <w:r w:rsidR="00A56EE9" w:rsidRPr="00E70A11">
                <w:rPr>
                  <w:rStyle w:val="Hyperlink"/>
                  <w:rFonts w:ascii="Arial Narrow" w:hAnsi="Arial Narrow"/>
                  <w:sz w:val="18"/>
                  <w:szCs w:val="18"/>
                </w:rPr>
                <w:t>QDAF Fisheries Legislation</w:t>
              </w:r>
            </w:hyperlink>
          </w:p>
          <w:p w14:paraId="5761F11C" w14:textId="77777777" w:rsidR="00A56EE9"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 xml:space="preserve">GBRMP Act 1975 s 61EA and s 61ADA – provide provisions for enforceable directions and three strikes </w:t>
            </w:r>
          </w:p>
          <w:p w14:paraId="5761F11E" w14:textId="4C428F81" w:rsidR="00A56EE9" w:rsidRPr="008E414A" w:rsidRDefault="00A56EE9" w:rsidP="008E414A">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https://www.daf.qld.gov.au/business-priorities/fisheries/sustainable-fisheries-strategy/changes-to-queenslands-fisheries-legislation</w:t>
            </w:r>
          </w:p>
          <w:p w14:paraId="5761F11F"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120"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2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133"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23"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commercial fishing</w:t>
            </w:r>
          </w:p>
        </w:tc>
        <w:tc>
          <w:tcPr>
            <w:tcW w:w="1505" w:type="dxa"/>
            <w:tcBorders>
              <w:top w:val="single" w:sz="4" w:space="0" w:color="auto"/>
              <w:left w:val="single" w:sz="4" w:space="0" w:color="auto"/>
              <w:bottom w:val="single" w:sz="4" w:space="0" w:color="auto"/>
              <w:right w:val="single" w:sz="4" w:space="0" w:color="auto"/>
            </w:tcBorders>
          </w:tcPr>
          <w:p w14:paraId="5761F124"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2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While there are programs to collect fisheries information for many species (biological monitoring, stock status process, commercial logbooks) significant improvements are required to address deficiencies</w:t>
            </w:r>
          </w:p>
          <w:p w14:paraId="5761F126"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Style w:val="BookTitle"/>
                <w:rFonts w:ascii="Arial Narrow" w:hAnsi="Arial Narrow"/>
                <w:sz w:val="18"/>
                <w:szCs w:val="18"/>
              </w:rPr>
              <w:t xml:space="preserve">It is anticipated that performance monitoring will improve significantly with the implementation of the QSFS. </w:t>
            </w:r>
            <w:r w:rsidRPr="00E70A11">
              <w:rPr>
                <w:rFonts w:ascii="Arial Narrow" w:hAnsi="Arial Narrow"/>
                <w:sz w:val="18"/>
                <w:szCs w:val="18"/>
              </w:rPr>
              <w:t>It is proposed that Fishery Harvest Strategies being developed will include specific fisheries management objectives, decision rules, monitoring and appropriate management responses.</w:t>
            </w:r>
          </w:p>
          <w:p w14:paraId="5761F127"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 xml:space="preserve">Clear targets have been set in the Sustainable Fisheries Strategy to measure performance over time. </w:t>
            </w:r>
          </w:p>
          <w:p w14:paraId="5761F128"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 xml:space="preserve">A data validation plan has been published, which includes a number of actions to improve quality of data, cross checking between data sets and auditing. </w:t>
            </w:r>
          </w:p>
          <w:p w14:paraId="5761F12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Long-Term Monitoring and survey data are used in conjunction with commercial data and research to regularly assess the impacts of fishing on target stocks. </w:t>
            </w:r>
          </w:p>
          <w:p w14:paraId="5761F12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In addition, compliance with the zoning plan and fisheries management rules (zone infringements, possession limits etc.) is used as another source of information to measure commercial effort, impact and related trends</w:t>
            </w:r>
          </w:p>
        </w:tc>
        <w:tc>
          <w:tcPr>
            <w:tcW w:w="4356" w:type="dxa"/>
            <w:tcBorders>
              <w:top w:val="single" w:sz="4" w:space="0" w:color="auto"/>
              <w:left w:val="single" w:sz="4" w:space="0" w:color="auto"/>
              <w:bottom w:val="single" w:sz="4" w:space="0" w:color="auto"/>
              <w:right w:val="single" w:sz="4" w:space="0" w:color="auto"/>
            </w:tcBorders>
          </w:tcPr>
          <w:p w14:paraId="5761F12B"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83" w:history="1">
              <w:r w:rsidR="00A56EE9" w:rsidRPr="00E70A11">
                <w:rPr>
                  <w:rStyle w:val="Hyperlink"/>
                  <w:rFonts w:ascii="Arial Narrow" w:hAnsi="Arial Narrow"/>
                  <w:sz w:val="18"/>
                  <w:szCs w:val="18"/>
                </w:rPr>
                <w:t>Queensland Sustainable Fisheries Strategy 2017-2027</w:t>
              </w:r>
            </w:hyperlink>
          </w:p>
          <w:p w14:paraId="5761F12C"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84" w:history="1">
              <w:r w:rsidR="00A56EE9" w:rsidRPr="00E70A11">
                <w:rPr>
                  <w:rStyle w:val="Hyperlink"/>
                  <w:rFonts w:ascii="Arial Narrow" w:hAnsi="Arial Narrow"/>
                  <w:sz w:val="18"/>
                  <w:szCs w:val="18"/>
                </w:rPr>
                <w:t>Micro-economic drivers of profitability in an ITQ-managed fishery: An analysis of the Queensland Coral Reef Fin-Fish Fishery</w:t>
              </w:r>
            </w:hyperlink>
          </w:p>
          <w:p w14:paraId="5761F12D" w14:textId="77777777" w:rsidR="00A56EE9" w:rsidRPr="00942BDC" w:rsidRDefault="00A56EE9" w:rsidP="00A11869">
            <w:pPr>
              <w:pStyle w:val="ListParagraph"/>
              <w:numPr>
                <w:ilvl w:val="0"/>
                <w:numId w:val="24"/>
              </w:numPr>
              <w:spacing w:after="200" w:line="276" w:lineRule="auto"/>
              <w:rPr>
                <w:rFonts w:ascii="Arial Narrow" w:hAnsi="Arial Narrow"/>
                <w:sz w:val="18"/>
                <w:szCs w:val="18"/>
                <w:u w:val="single"/>
              </w:rPr>
            </w:pPr>
            <w:r w:rsidRPr="00942BDC">
              <w:rPr>
                <w:rFonts w:ascii="Arial Narrow" w:hAnsi="Arial Narrow"/>
                <w:sz w:val="18"/>
                <w:szCs w:val="18"/>
                <w:u w:val="single"/>
              </w:rPr>
              <w:t xml:space="preserve">Compliance program and risk assessments </w:t>
            </w:r>
          </w:p>
          <w:p w14:paraId="5761F12F" w14:textId="2FA0FFE5" w:rsidR="00A56EE9" w:rsidRPr="008E414A" w:rsidRDefault="00A56EE9" w:rsidP="008E414A">
            <w:pPr>
              <w:pStyle w:val="ListParagraph"/>
              <w:numPr>
                <w:ilvl w:val="0"/>
                <w:numId w:val="24"/>
              </w:numPr>
              <w:spacing w:after="200" w:line="276" w:lineRule="auto"/>
              <w:rPr>
                <w:rFonts w:ascii="Arial Narrow" w:hAnsi="Arial Narrow"/>
                <w:sz w:val="18"/>
                <w:szCs w:val="18"/>
                <w:u w:val="single"/>
              </w:rPr>
            </w:pPr>
            <w:r w:rsidRPr="00942BDC">
              <w:rPr>
                <w:rFonts w:ascii="Arial Narrow" w:hAnsi="Arial Narrow"/>
                <w:sz w:val="18"/>
                <w:szCs w:val="18"/>
                <w:u w:val="single"/>
              </w:rPr>
              <w:t>Data validation plan: https://publications.qld.gov.au/dataset/queensland-sustainable-fisheries-strategy/resource/dfbddda3-f0e4-47a2-ba25-644b999734d8</w:t>
            </w:r>
          </w:p>
          <w:p w14:paraId="5761F130"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131"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3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13C"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34"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commercial fishing</w:t>
            </w:r>
          </w:p>
        </w:tc>
        <w:tc>
          <w:tcPr>
            <w:tcW w:w="1505" w:type="dxa"/>
            <w:tcBorders>
              <w:top w:val="single" w:sz="4" w:space="0" w:color="auto"/>
              <w:left w:val="single" w:sz="4" w:space="0" w:color="auto"/>
              <w:bottom w:val="single" w:sz="4" w:space="0" w:color="auto"/>
              <w:right w:val="single" w:sz="4" w:space="0" w:color="auto"/>
            </w:tcBorders>
          </w:tcPr>
          <w:p w14:paraId="5761F135"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36"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Fisheries Queensland, within the broader QDAF portfolio, has a staff capability and training program which ensure </w:t>
            </w:r>
            <w:r w:rsidRPr="00942BDC">
              <w:rPr>
                <w:rFonts w:ascii="Arial Narrow" w:hAnsi="Arial Narrow"/>
                <w:sz w:val="18"/>
                <w:szCs w:val="18"/>
              </w:rPr>
              <w:t>appropriate training is available to fishery managers. This includes technical and policy training as well as relevant conferences (eg ASFB, Seafood directions etc)</w:t>
            </w:r>
          </w:p>
          <w:p w14:paraId="5761F13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GBRMPA sustainable fisheries group</w:t>
            </w:r>
            <w:r w:rsidRPr="00E70A11">
              <w:rPr>
                <w:rFonts w:ascii="Arial Narrow" w:hAnsi="Arial Narrow"/>
                <w:sz w:val="18"/>
                <w:szCs w:val="18"/>
              </w:rPr>
              <w:t xml:space="preserve"> managers are recruited on the basis that they have satisfactory fisheries management technical expertise.</w:t>
            </w:r>
            <w:r>
              <w:rPr>
                <w:rFonts w:ascii="Arial Narrow" w:hAnsi="Arial Narrow"/>
                <w:sz w:val="18"/>
                <w:szCs w:val="18"/>
              </w:rPr>
              <w:t xml:space="preserve"> </w:t>
            </w:r>
            <w:r w:rsidRPr="00E70A11">
              <w:rPr>
                <w:rFonts w:ascii="Arial Narrow" w:hAnsi="Arial Narrow"/>
                <w:sz w:val="18"/>
                <w:szCs w:val="18"/>
              </w:rPr>
              <w:t xml:space="preserve">There is little opportunity for further technical and scientific training after initial recruitment. </w:t>
            </w:r>
          </w:p>
          <w:p w14:paraId="5761F13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Participation in commercial fishing and fisheries management </w:t>
            </w:r>
            <w:r>
              <w:rPr>
                <w:rFonts w:ascii="Arial Narrow" w:hAnsi="Arial Narrow"/>
                <w:sz w:val="18"/>
                <w:szCs w:val="18"/>
              </w:rPr>
              <w:t>training/</w:t>
            </w:r>
            <w:r w:rsidRPr="00E70A11">
              <w:rPr>
                <w:rFonts w:ascii="Arial Narrow" w:hAnsi="Arial Narrow"/>
                <w:sz w:val="18"/>
                <w:szCs w:val="18"/>
              </w:rPr>
              <w:t xml:space="preserve">workshops / conferences are available to </w:t>
            </w:r>
            <w:r>
              <w:rPr>
                <w:rFonts w:ascii="Arial Narrow" w:hAnsi="Arial Narrow"/>
                <w:sz w:val="18"/>
                <w:szCs w:val="18"/>
              </w:rPr>
              <w:t>staff</w:t>
            </w:r>
            <w:r w:rsidRPr="00E70A11">
              <w:rPr>
                <w:rFonts w:ascii="Arial Narrow" w:hAnsi="Arial Narrow"/>
                <w:sz w:val="18"/>
                <w:szCs w:val="18"/>
              </w:rPr>
              <w:t>.</w:t>
            </w:r>
          </w:p>
        </w:tc>
        <w:tc>
          <w:tcPr>
            <w:tcW w:w="4356" w:type="dxa"/>
            <w:tcBorders>
              <w:top w:val="single" w:sz="4" w:space="0" w:color="auto"/>
              <w:left w:val="single" w:sz="4" w:space="0" w:color="auto"/>
              <w:bottom w:val="single" w:sz="4" w:space="0" w:color="auto"/>
              <w:right w:val="single" w:sz="4" w:space="0" w:color="auto"/>
            </w:tcBorders>
          </w:tcPr>
          <w:p w14:paraId="5761F13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 </w:t>
            </w:r>
            <w:r w:rsidRPr="00942BDC">
              <w:rPr>
                <w:rStyle w:val="BookTitle"/>
                <w:rFonts w:ascii="Arial Narrow" w:hAnsi="Arial Narrow"/>
                <w:sz w:val="18"/>
                <w:szCs w:val="18"/>
              </w:rPr>
              <w:t>GBRMPA workshops and DAF discussions</w:t>
            </w:r>
          </w:p>
        </w:tc>
        <w:tc>
          <w:tcPr>
            <w:tcW w:w="990" w:type="dxa"/>
            <w:tcBorders>
              <w:top w:val="single" w:sz="4" w:space="0" w:color="auto"/>
              <w:left w:val="single" w:sz="4" w:space="0" w:color="auto"/>
              <w:bottom w:val="single" w:sz="4" w:space="0" w:color="auto"/>
              <w:right w:val="single" w:sz="4" w:space="0" w:color="auto"/>
            </w:tcBorders>
          </w:tcPr>
          <w:p w14:paraId="5761F13A"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13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148"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3D"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commercial fishing is consistently implemented across the relevant jurisdictions</w:t>
            </w:r>
          </w:p>
        </w:tc>
        <w:tc>
          <w:tcPr>
            <w:tcW w:w="1505" w:type="dxa"/>
            <w:tcBorders>
              <w:top w:val="single" w:sz="4" w:space="0" w:color="auto"/>
              <w:left w:val="single" w:sz="4" w:space="0" w:color="auto"/>
              <w:bottom w:val="single" w:sz="4" w:space="0" w:color="auto"/>
              <w:right w:val="single" w:sz="4" w:space="0" w:color="auto"/>
            </w:tcBorders>
          </w:tcPr>
          <w:p w14:paraId="5761F13E"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3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are inconsistencies in the management arrangements for fishing in Marine Parks and fisheries management. For example, some areas closed to fishing under one regulation may be open in another.</w:t>
            </w:r>
            <w:r>
              <w:rPr>
                <w:rFonts w:ascii="Arial Narrow" w:hAnsi="Arial Narrow"/>
                <w:sz w:val="18"/>
                <w:szCs w:val="18"/>
              </w:rPr>
              <w:t xml:space="preserve"> </w:t>
            </w:r>
          </w:p>
          <w:p w14:paraId="5761F14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Biannual meetings between GBRMPA and QDAF and involvement in various workshops between the two agencies facilitate information exchange and opportunity to align marine parks and fisheries management where possible.</w:t>
            </w:r>
          </w:p>
          <w:p w14:paraId="5761F14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60% biomass target for fisheries resources by 2027 under the SFS is consistent with GBR Marine Park biodiversity conservation and ecosystem resilience goals.</w:t>
            </w:r>
          </w:p>
          <w:p w14:paraId="5761F14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Reef 2050 Plan provides a consistent framework for actions relevant to commercial fishing</w:t>
            </w:r>
          </w:p>
        </w:tc>
        <w:tc>
          <w:tcPr>
            <w:tcW w:w="4356" w:type="dxa"/>
            <w:tcBorders>
              <w:top w:val="single" w:sz="4" w:space="0" w:color="auto"/>
              <w:left w:val="single" w:sz="4" w:space="0" w:color="auto"/>
              <w:bottom w:val="single" w:sz="4" w:space="0" w:color="auto"/>
              <w:right w:val="single" w:sz="4" w:space="0" w:color="auto"/>
            </w:tcBorders>
          </w:tcPr>
          <w:p w14:paraId="5761F143"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85" w:history="1">
              <w:r w:rsidR="00A56EE9" w:rsidRPr="00E70A11">
                <w:rPr>
                  <w:rStyle w:val="Hyperlink"/>
                  <w:rFonts w:ascii="Arial Narrow" w:hAnsi="Arial Narrow"/>
                  <w:sz w:val="18"/>
                  <w:szCs w:val="18"/>
                </w:rPr>
                <w:t>Queensland Sustainable Fisheries Strategy 2017-2027</w:t>
              </w:r>
            </w:hyperlink>
          </w:p>
          <w:p w14:paraId="5761F144"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Intergovernmental Agreement 2015</w:t>
            </w:r>
          </w:p>
          <w:p w14:paraId="5761F14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Hyperlink"/>
                <w:rFonts w:ascii="Arial Narrow" w:hAnsi="Arial Narrow"/>
                <w:sz w:val="18"/>
                <w:szCs w:val="18"/>
              </w:rPr>
              <w:t>Reef 2050 Plan</w:t>
            </w:r>
          </w:p>
        </w:tc>
        <w:tc>
          <w:tcPr>
            <w:tcW w:w="990" w:type="dxa"/>
            <w:tcBorders>
              <w:top w:val="single" w:sz="4" w:space="0" w:color="auto"/>
              <w:left w:val="single" w:sz="4" w:space="0" w:color="auto"/>
              <w:bottom w:val="single" w:sz="4" w:space="0" w:color="auto"/>
              <w:right w:val="single" w:sz="4" w:space="0" w:color="auto"/>
            </w:tcBorders>
          </w:tcPr>
          <w:p w14:paraId="5761F146"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14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158"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49"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commercial fishing</w:t>
            </w:r>
          </w:p>
        </w:tc>
        <w:tc>
          <w:tcPr>
            <w:tcW w:w="1505" w:type="dxa"/>
            <w:tcBorders>
              <w:top w:val="single" w:sz="4" w:space="0" w:color="auto"/>
              <w:left w:val="single" w:sz="4" w:space="0" w:color="auto"/>
              <w:bottom w:val="single" w:sz="4" w:space="0" w:color="auto"/>
              <w:right w:val="single" w:sz="4" w:space="0" w:color="auto"/>
            </w:tcBorders>
          </w:tcPr>
          <w:p w14:paraId="5761F14A"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4B"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fifth major reform area of the QSFS is fisheries resource allocation.</w:t>
            </w:r>
            <w:r>
              <w:rPr>
                <w:rFonts w:ascii="Arial Narrow" w:hAnsi="Arial Narrow"/>
                <w:sz w:val="18"/>
                <w:szCs w:val="18"/>
              </w:rPr>
              <w:t xml:space="preserve"> </w:t>
            </w:r>
            <w:r w:rsidRPr="00E70A11">
              <w:rPr>
                <w:rFonts w:ascii="Arial Narrow" w:hAnsi="Arial Narrow"/>
                <w:sz w:val="18"/>
                <w:szCs w:val="18"/>
              </w:rPr>
              <w:t>It aims to reduce frequency of conflicts and provide guidance to help resolve them.</w:t>
            </w:r>
          </w:p>
          <w:p w14:paraId="5761F14C"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The reallocation policy is complete and</w:t>
            </w:r>
            <w:r>
              <w:rPr>
                <w:rFonts w:ascii="Arial Narrow" w:hAnsi="Arial Narrow"/>
                <w:sz w:val="18"/>
                <w:szCs w:val="18"/>
              </w:rPr>
              <w:t xml:space="preserve"> available online. It sets out </w:t>
            </w:r>
            <w:r w:rsidRPr="00942BDC">
              <w:rPr>
                <w:rFonts w:ascii="Arial Narrow" w:hAnsi="Arial Narrow"/>
                <w:sz w:val="18"/>
                <w:szCs w:val="18"/>
              </w:rPr>
              <w:t>transparent process for addressing requests to reallocate from one sector to another.</w:t>
            </w:r>
          </w:p>
          <w:p w14:paraId="5761F14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A number of working</w:t>
            </w:r>
            <w:r w:rsidRPr="00E70A11">
              <w:rPr>
                <w:rFonts w:ascii="Arial Narrow" w:hAnsi="Arial Narrow"/>
                <w:sz w:val="18"/>
                <w:szCs w:val="18"/>
              </w:rPr>
              <w:t xml:space="preserve"> groups have been established under the QSFS to provide advice on operational aspects of the QSFS.</w:t>
            </w:r>
          </w:p>
          <w:p w14:paraId="5761F14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Good relationships exist between officers at agency level.</w:t>
            </w:r>
          </w:p>
          <w:p w14:paraId="5761F14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Statutory consultation processes identify issues and views which are considered by responsible Governments before a decision is made.</w:t>
            </w:r>
            <w:r>
              <w:rPr>
                <w:rFonts w:ascii="Arial Narrow" w:hAnsi="Arial Narrow"/>
                <w:sz w:val="18"/>
                <w:szCs w:val="18"/>
              </w:rPr>
              <w:t xml:space="preserve"> </w:t>
            </w:r>
          </w:p>
          <w:p w14:paraId="5761F15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GBRMPA Regional Liaison Officers and Queensland Boating and Fisheries Patrol staff are on the ground to ensure issues and conflicts are identified early so they can be discussed and resolved.</w:t>
            </w:r>
          </w:p>
        </w:tc>
        <w:tc>
          <w:tcPr>
            <w:tcW w:w="4356" w:type="dxa"/>
            <w:tcBorders>
              <w:top w:val="single" w:sz="4" w:space="0" w:color="auto"/>
              <w:left w:val="single" w:sz="4" w:space="0" w:color="auto"/>
              <w:bottom w:val="single" w:sz="4" w:space="0" w:color="auto"/>
              <w:right w:val="single" w:sz="4" w:space="0" w:color="auto"/>
            </w:tcBorders>
          </w:tcPr>
          <w:p w14:paraId="5761F151"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86" w:history="1">
              <w:r w:rsidR="00A56EE9" w:rsidRPr="00E70A11">
                <w:rPr>
                  <w:rStyle w:val="Hyperlink"/>
                  <w:rFonts w:ascii="Arial Narrow" w:hAnsi="Arial Narrow"/>
                  <w:sz w:val="18"/>
                  <w:szCs w:val="18"/>
                </w:rPr>
                <w:t>Queensland Sustainable Fisheries Strategy 2017-2027</w:t>
              </w:r>
            </w:hyperlink>
          </w:p>
          <w:p w14:paraId="5761F15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Coral Reef fin fish fisheries working group</w:t>
            </w:r>
          </w:p>
          <w:p w14:paraId="5761F15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Trawl fishery working group</w:t>
            </w:r>
          </w:p>
          <w:p w14:paraId="5761F154"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East </w:t>
            </w:r>
            <w:r w:rsidRPr="00942BDC">
              <w:rPr>
                <w:rFonts w:ascii="Arial Narrow" w:hAnsi="Arial Narrow"/>
                <w:sz w:val="18"/>
                <w:szCs w:val="18"/>
              </w:rPr>
              <w:t>Cost inshore Fin fishery working group</w:t>
            </w:r>
          </w:p>
          <w:p w14:paraId="5761F15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Style w:val="BookTitle"/>
                <w:rFonts w:ascii="Arial Narrow" w:hAnsi="Arial Narrow"/>
                <w:sz w:val="18"/>
                <w:szCs w:val="18"/>
              </w:rPr>
              <w:t>Reallocation policy: https://publications.qld.gov.au/dataset/queensland-sustainable-fisheries-strategy/resource/7cd8820c-9a43-41cf-b572-bbafff96197c</w:t>
            </w:r>
          </w:p>
        </w:tc>
        <w:tc>
          <w:tcPr>
            <w:tcW w:w="990" w:type="dxa"/>
            <w:tcBorders>
              <w:top w:val="single" w:sz="4" w:space="0" w:color="auto"/>
              <w:left w:val="single" w:sz="4" w:space="0" w:color="auto"/>
              <w:bottom w:val="single" w:sz="4" w:space="0" w:color="auto"/>
              <w:right w:val="single" w:sz="4" w:space="0" w:color="auto"/>
            </w:tcBorders>
          </w:tcPr>
          <w:p w14:paraId="5761F156"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5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168"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59"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commercial fishing are appropriately considered.</w:t>
            </w:r>
          </w:p>
        </w:tc>
        <w:tc>
          <w:tcPr>
            <w:tcW w:w="1505" w:type="dxa"/>
            <w:tcBorders>
              <w:top w:val="single" w:sz="4" w:space="0" w:color="auto"/>
              <w:left w:val="single" w:sz="4" w:space="0" w:color="auto"/>
              <w:bottom w:val="single" w:sz="4" w:space="0" w:color="auto"/>
              <w:right w:val="single" w:sz="4" w:space="0" w:color="auto"/>
            </w:tcBorders>
          </w:tcPr>
          <w:p w14:paraId="5761F15A" w14:textId="77777777" w:rsidR="00A56EE9" w:rsidRPr="00E70A11" w:rsidRDefault="00A56EE9" w:rsidP="00BB6AD5">
            <w:pPr>
              <w:pStyle w:val="Tablebulletlist"/>
              <w:rPr>
                <w:rStyle w:val="BookTitle"/>
              </w:rPr>
            </w:pPr>
            <w:r w:rsidRPr="00E70A11">
              <w:rPr>
                <w:rStyle w:val="BookTitle"/>
              </w:rPr>
              <w:t xml:space="preserve">3 </w:t>
            </w:r>
          </w:p>
        </w:tc>
        <w:tc>
          <w:tcPr>
            <w:tcW w:w="3961" w:type="dxa"/>
            <w:tcBorders>
              <w:top w:val="single" w:sz="4" w:space="0" w:color="auto"/>
              <w:left w:val="single" w:sz="4" w:space="0" w:color="auto"/>
              <w:bottom w:val="single" w:sz="4" w:space="0" w:color="auto"/>
              <w:right w:val="single" w:sz="4" w:space="0" w:color="auto"/>
            </w:tcBorders>
          </w:tcPr>
          <w:p w14:paraId="5761F15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Annual stock status process considers the take of harvested species</w:t>
            </w:r>
          </w:p>
          <w:p w14:paraId="5761F15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Impacts (direct, indirect and cumulative) of activities associated with commercial fishing have been comprehensively assessed for few fisheries.</w:t>
            </w:r>
          </w:p>
          <w:p w14:paraId="5761F15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Ecological Risk Assessment</w:t>
            </w:r>
            <w:r>
              <w:rPr>
                <w:rFonts w:ascii="Arial Narrow" w:hAnsi="Arial Narrow"/>
                <w:sz w:val="18"/>
                <w:szCs w:val="18"/>
              </w:rPr>
              <w:t xml:space="preserve"> </w:t>
            </w:r>
            <w:r w:rsidRPr="00E70A11">
              <w:rPr>
                <w:rFonts w:ascii="Arial Narrow" w:hAnsi="Arial Narrow"/>
                <w:sz w:val="18"/>
                <w:szCs w:val="18"/>
              </w:rPr>
              <w:t xml:space="preserve">for the East Coast Otter Trawl Fishery is the best example but the majority of the risks identified through this assessment have not yet been addressed through the implementation of appropriate control measures. </w:t>
            </w:r>
          </w:p>
          <w:p w14:paraId="5761F15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An</w:t>
            </w:r>
            <w:r>
              <w:rPr>
                <w:rFonts w:ascii="Arial Narrow" w:hAnsi="Arial Narrow"/>
                <w:sz w:val="18"/>
                <w:szCs w:val="18"/>
              </w:rPr>
              <w:t xml:space="preserve"> </w:t>
            </w:r>
            <w:r w:rsidRPr="00E70A11">
              <w:rPr>
                <w:rFonts w:ascii="Arial Narrow" w:hAnsi="Arial Narrow"/>
                <w:sz w:val="18"/>
                <w:szCs w:val="18"/>
              </w:rPr>
              <w:t>Ecological Risk Assessment for other species in the CRFFF was undertaken over a decade ago but there have been no actions to mitigate high risk species</w:t>
            </w:r>
          </w:p>
          <w:p w14:paraId="5761F15F" w14:textId="77777777" w:rsidR="00A56EE9" w:rsidRPr="00FF373B"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 implementation of ERAs under the QSFS could provide adequate information on commercial fishing </w:t>
            </w:r>
            <w:r w:rsidRPr="00942BDC">
              <w:rPr>
                <w:rFonts w:ascii="Arial Narrow" w:hAnsi="Arial Narrow"/>
                <w:sz w:val="18"/>
                <w:szCs w:val="18"/>
              </w:rPr>
              <w:t>impacts so they may be appropriately considered.</w:t>
            </w:r>
          </w:p>
        </w:tc>
        <w:tc>
          <w:tcPr>
            <w:tcW w:w="4356" w:type="dxa"/>
            <w:tcBorders>
              <w:top w:val="single" w:sz="4" w:space="0" w:color="auto"/>
              <w:left w:val="single" w:sz="4" w:space="0" w:color="auto"/>
              <w:bottom w:val="single" w:sz="4" w:space="0" w:color="auto"/>
              <w:right w:val="single" w:sz="4" w:space="0" w:color="auto"/>
            </w:tcBorders>
          </w:tcPr>
          <w:p w14:paraId="5761F16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87" w:history="1">
              <w:r w:rsidR="00A56EE9" w:rsidRPr="00E70A11">
                <w:rPr>
                  <w:rStyle w:val="Hyperlink"/>
                  <w:rFonts w:ascii="Arial Narrow" w:hAnsi="Arial Narrow"/>
                  <w:sz w:val="18"/>
                  <w:szCs w:val="18"/>
                </w:rPr>
                <w:t>Queensland Sustainable Fisheries Strategy 2017-2027</w:t>
              </w:r>
            </w:hyperlink>
          </w:p>
          <w:p w14:paraId="5761F16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88" w:history="1">
              <w:r w:rsidR="00A56EE9" w:rsidRPr="00E70A11">
                <w:rPr>
                  <w:rStyle w:val="Hyperlink"/>
                  <w:rFonts w:ascii="Arial Narrow" w:hAnsi="Arial Narrow"/>
                  <w:sz w:val="18"/>
                  <w:szCs w:val="18"/>
                </w:rPr>
                <w:t>QDAF Ecological risk assessments</w:t>
              </w:r>
            </w:hyperlink>
          </w:p>
          <w:p w14:paraId="5761F162" w14:textId="77777777" w:rsidR="00A56EE9" w:rsidRPr="00AD64EC" w:rsidRDefault="008B5998" w:rsidP="00A11869">
            <w:pPr>
              <w:pStyle w:val="ListParagraph"/>
              <w:numPr>
                <w:ilvl w:val="0"/>
                <w:numId w:val="24"/>
              </w:numPr>
              <w:spacing w:after="200" w:line="276" w:lineRule="auto"/>
              <w:rPr>
                <w:rStyle w:val="Hyperlink"/>
                <w:rFonts w:ascii="Arial Narrow" w:hAnsi="Arial Narrow"/>
                <w:sz w:val="18"/>
                <w:szCs w:val="18"/>
              </w:rPr>
            </w:pPr>
            <w:hyperlink r:id="rId789" w:history="1">
              <w:r w:rsidR="00A56EE9" w:rsidRPr="00E70A11">
                <w:rPr>
                  <w:rStyle w:val="Hyperlink"/>
                  <w:rFonts w:ascii="Arial Narrow" w:hAnsi="Arial Narrow"/>
                  <w:sz w:val="18"/>
                  <w:szCs w:val="18"/>
                </w:rPr>
                <w:t>GBRMPA ecological risk assessment of trawling</w:t>
              </w:r>
            </w:hyperlink>
          </w:p>
          <w:p w14:paraId="5761F163"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https://www.daf.qld.gov.au/business-priorities/fisheries/sustainable-fisheries-strategy/ecological-risk-assessment-guidelines</w:t>
            </w:r>
          </w:p>
          <w:p w14:paraId="5761F164" w14:textId="77777777" w:rsidR="00A56EE9" w:rsidRPr="00E70A11" w:rsidRDefault="00A56EE9" w:rsidP="00BB6AD5">
            <w:pPr>
              <w:pStyle w:val="ListParagraph"/>
              <w:ind w:left="360"/>
              <w:rPr>
                <w:rFonts w:ascii="Arial Narrow" w:hAnsi="Arial Narrow"/>
                <w:sz w:val="18"/>
                <w:szCs w:val="18"/>
              </w:rPr>
            </w:pPr>
          </w:p>
          <w:p w14:paraId="5761F165"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166"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6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178"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69"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commercial fishing</w:t>
            </w:r>
          </w:p>
        </w:tc>
        <w:tc>
          <w:tcPr>
            <w:tcW w:w="1505" w:type="dxa"/>
            <w:tcBorders>
              <w:top w:val="single" w:sz="4" w:space="0" w:color="auto"/>
              <w:left w:val="single" w:sz="4" w:space="0" w:color="auto"/>
              <w:bottom w:val="single" w:sz="4" w:space="0" w:color="auto"/>
              <w:right w:val="single" w:sz="4" w:space="0" w:color="auto"/>
            </w:tcBorders>
          </w:tcPr>
          <w:p w14:paraId="5761F16A"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6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Best available information is used to undertake stock assessments and/or make stock status determinations (not GBR specific, whole stock or management unit).</w:t>
            </w:r>
          </w:p>
          <w:p w14:paraId="5761F16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Qualitative ecological risk assessments (ERAs) have been completed for a number of Queensland fisheries (e.g. East Coast Otter Trawl Fishery, Coral Reef Fin Fish Fishery) which are largely Great Barrier Reef-specific</w:t>
            </w:r>
          </w:p>
          <w:p w14:paraId="5761F16D"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rPr>
              <w:t xml:space="preserve">The development of Fishery Harvest Strategies under the QSES should enable the use of biophysical research and/or monitoring information to make relevant management decisions. </w:t>
            </w:r>
          </w:p>
          <w:p w14:paraId="5761F16E" w14:textId="77777777" w:rsidR="00A56EE9" w:rsidRPr="00734387" w:rsidRDefault="00A56EE9" w:rsidP="00A11869">
            <w:pPr>
              <w:pStyle w:val="ListParagraph"/>
              <w:numPr>
                <w:ilvl w:val="0"/>
                <w:numId w:val="24"/>
              </w:numPr>
              <w:spacing w:after="200" w:line="276" w:lineRule="auto"/>
              <w:rPr>
                <w:rStyle w:val="BookTitle"/>
                <w:rFonts w:ascii="Arial Narrow" w:hAnsi="Arial Narrow"/>
                <w:sz w:val="18"/>
                <w:szCs w:val="18"/>
                <w:u w:val="single"/>
              </w:rPr>
            </w:pPr>
            <w:r w:rsidRPr="00E70A11">
              <w:rPr>
                <w:rFonts w:ascii="Arial Narrow" w:hAnsi="Arial Narrow"/>
                <w:sz w:val="18"/>
                <w:szCs w:val="18"/>
              </w:rPr>
              <w:t>The Strategic Compliance Risk Management Plan 2017-2018 uses the most recent biological information to inform and assess risk from illegal commercial fishing activities.</w:t>
            </w:r>
          </w:p>
        </w:tc>
        <w:tc>
          <w:tcPr>
            <w:tcW w:w="4356" w:type="dxa"/>
            <w:tcBorders>
              <w:top w:val="single" w:sz="4" w:space="0" w:color="auto"/>
              <w:left w:val="single" w:sz="4" w:space="0" w:color="auto"/>
              <w:bottom w:val="single" w:sz="4" w:space="0" w:color="auto"/>
              <w:right w:val="single" w:sz="4" w:space="0" w:color="auto"/>
            </w:tcBorders>
          </w:tcPr>
          <w:p w14:paraId="5761F16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90" w:history="1">
              <w:r w:rsidR="00A56EE9" w:rsidRPr="00E70A11">
                <w:rPr>
                  <w:rStyle w:val="Hyperlink"/>
                  <w:rFonts w:ascii="Arial Narrow" w:hAnsi="Arial Narrow"/>
                  <w:sz w:val="18"/>
                  <w:szCs w:val="18"/>
                </w:rPr>
                <w:t>Queensland Sustainable Fisheries Strategy 2017-2027</w:t>
              </w:r>
            </w:hyperlink>
          </w:p>
          <w:p w14:paraId="5761F170"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91" w:history="1">
              <w:r w:rsidR="00A56EE9" w:rsidRPr="00E70A11">
                <w:rPr>
                  <w:rStyle w:val="Hyperlink"/>
                  <w:rFonts w:ascii="Arial Narrow" w:hAnsi="Arial Narrow"/>
                  <w:sz w:val="18"/>
                  <w:szCs w:val="18"/>
                </w:rPr>
                <w:t>Summary of Stock Status for Queensland Species 2016</w:t>
              </w:r>
            </w:hyperlink>
          </w:p>
          <w:p w14:paraId="5761F17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92" w:history="1">
              <w:r w:rsidR="00A56EE9" w:rsidRPr="00E70A11">
                <w:rPr>
                  <w:rStyle w:val="Hyperlink"/>
                  <w:rFonts w:ascii="Arial Narrow" w:hAnsi="Arial Narrow"/>
                  <w:sz w:val="18"/>
                  <w:szCs w:val="18"/>
                </w:rPr>
                <w:t>QDAF fish stock assessment reports</w:t>
              </w:r>
            </w:hyperlink>
          </w:p>
          <w:p w14:paraId="5761F172"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793" w:history="1">
              <w:r w:rsidR="00A56EE9" w:rsidRPr="00E70A11">
                <w:rPr>
                  <w:rStyle w:val="Hyperlink"/>
                  <w:rFonts w:ascii="Arial Narrow" w:hAnsi="Arial Narrow"/>
                  <w:sz w:val="18"/>
                  <w:szCs w:val="18"/>
                </w:rPr>
                <w:t>QDAF Ecological risk assessments</w:t>
              </w:r>
            </w:hyperlink>
          </w:p>
          <w:p w14:paraId="5761F173" w14:textId="77777777" w:rsidR="00A56EE9" w:rsidRPr="00AD64EC"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Strategic Compliance Risk Management Plan 2017-2018</w:t>
            </w:r>
          </w:p>
          <w:p w14:paraId="5761F174"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https://www.daf.qld.gov.au/business-priorities/fisheries/sustainable-fisheries-strategy/ecological-risk-assessment-guidelines</w:t>
            </w:r>
          </w:p>
          <w:p w14:paraId="5761F175" w14:textId="77777777" w:rsidR="00A56EE9" w:rsidRPr="00774D6C"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176"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7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186"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79"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commercial fishing</w:t>
            </w:r>
          </w:p>
        </w:tc>
        <w:tc>
          <w:tcPr>
            <w:tcW w:w="1505" w:type="dxa"/>
            <w:tcBorders>
              <w:top w:val="single" w:sz="4" w:space="0" w:color="auto"/>
              <w:left w:val="single" w:sz="4" w:space="0" w:color="auto"/>
              <w:bottom w:val="single" w:sz="4" w:space="0" w:color="auto"/>
              <w:right w:val="single" w:sz="4" w:space="0" w:color="auto"/>
            </w:tcBorders>
          </w:tcPr>
          <w:p w14:paraId="5761F17A"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7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Limited socio-economic information provided through SELTMP and FRDC projects.</w:t>
            </w:r>
          </w:p>
          <w:p w14:paraId="5761F17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extent to which this socio-economic data is incorporated into management decisions appears limited. </w:t>
            </w:r>
          </w:p>
          <w:p w14:paraId="5761F17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Action 1.5 of the QSFS is to develop and implement a practical and cost-effective system for collection of economic and social data.</w:t>
            </w:r>
          </w:p>
          <w:p w14:paraId="5761F17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Social and economic </w:t>
            </w:r>
            <w:proofErr w:type="gramStart"/>
            <w:r w:rsidRPr="00E70A11">
              <w:rPr>
                <w:rFonts w:ascii="Arial Narrow" w:hAnsi="Arial Narrow"/>
                <w:sz w:val="18"/>
                <w:szCs w:val="18"/>
              </w:rPr>
              <w:t>experts</w:t>
            </w:r>
            <w:proofErr w:type="gramEnd"/>
            <w:r w:rsidRPr="00E70A11">
              <w:rPr>
                <w:rFonts w:ascii="Arial Narrow" w:hAnsi="Arial Narrow"/>
                <w:sz w:val="18"/>
                <w:szCs w:val="18"/>
              </w:rPr>
              <w:t xml:space="preserve"> area on the Sustainable Fisheries Expert Panel.</w:t>
            </w:r>
          </w:p>
          <w:p w14:paraId="5761F17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Harvest strategies will define agreed ecological, economic and/ or social objectives</w:t>
            </w:r>
          </w:p>
        </w:tc>
        <w:tc>
          <w:tcPr>
            <w:tcW w:w="4356" w:type="dxa"/>
            <w:tcBorders>
              <w:top w:val="single" w:sz="4" w:space="0" w:color="auto"/>
              <w:left w:val="single" w:sz="4" w:space="0" w:color="auto"/>
              <w:bottom w:val="single" w:sz="4" w:space="0" w:color="auto"/>
              <w:right w:val="single" w:sz="4" w:space="0" w:color="auto"/>
            </w:tcBorders>
          </w:tcPr>
          <w:p w14:paraId="5761F18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Sustainable Fisheries Strategy 2017-2027</w:t>
            </w:r>
          </w:p>
          <w:p w14:paraId="5761F18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F18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FRDC projects e.g.</w:t>
            </w:r>
            <w:r>
              <w:rPr>
                <w:rFonts w:ascii="Arial Narrow" w:hAnsi="Arial Narrow"/>
                <w:sz w:val="18"/>
                <w:szCs w:val="18"/>
              </w:rPr>
              <w:t xml:space="preserve"> </w:t>
            </w:r>
            <w:r w:rsidRPr="00E70A11">
              <w:rPr>
                <w:rFonts w:ascii="Arial Narrow" w:hAnsi="Arial Narrow"/>
                <w:sz w:val="18"/>
                <w:szCs w:val="18"/>
              </w:rPr>
              <w:t>Beyond GVP: The value of inshore commercial fisheries to fishers and consumers in regional communities on Queensland’s east coast</w:t>
            </w:r>
          </w:p>
          <w:p w14:paraId="5761F183" w14:textId="77777777" w:rsidR="00A56EE9" w:rsidRPr="00774D6C" w:rsidRDefault="00A56EE9" w:rsidP="00BB6AD5">
            <w:pPr>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184"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8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190"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87"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commercial fishing</w:t>
            </w:r>
          </w:p>
        </w:tc>
        <w:tc>
          <w:tcPr>
            <w:tcW w:w="1505" w:type="dxa"/>
            <w:tcBorders>
              <w:top w:val="single" w:sz="4" w:space="0" w:color="auto"/>
              <w:left w:val="single" w:sz="4" w:space="0" w:color="auto"/>
              <w:bottom w:val="single" w:sz="4" w:space="0" w:color="auto"/>
              <w:right w:val="single" w:sz="4" w:space="0" w:color="auto"/>
            </w:tcBorders>
          </w:tcPr>
          <w:p w14:paraId="5761F188" w14:textId="77777777" w:rsidR="00A56EE9" w:rsidRPr="00E70A11" w:rsidRDefault="00A56EE9" w:rsidP="00BB6AD5">
            <w:pPr>
              <w:pStyle w:val="Tablebulletlist"/>
              <w:rPr>
                <w:rStyle w:val="BookTitle"/>
              </w:rPr>
            </w:pPr>
            <w:r w:rsidRPr="00E70A11">
              <w:rPr>
                <w:rStyle w:val="BookTitle"/>
              </w:rPr>
              <w:t>2</w:t>
            </w:r>
          </w:p>
        </w:tc>
        <w:tc>
          <w:tcPr>
            <w:tcW w:w="3961" w:type="dxa"/>
            <w:tcBorders>
              <w:top w:val="single" w:sz="4" w:space="0" w:color="auto"/>
              <w:left w:val="single" w:sz="4" w:space="0" w:color="auto"/>
              <w:bottom w:val="single" w:sz="4" w:space="0" w:color="auto"/>
              <w:right w:val="single" w:sz="4" w:space="0" w:color="auto"/>
            </w:tcBorders>
          </w:tcPr>
          <w:p w14:paraId="5761F189"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Detailed</w:t>
            </w:r>
            <w:r w:rsidRPr="00E70A11">
              <w:rPr>
                <w:rFonts w:ascii="Arial Narrow" w:hAnsi="Arial Narrow"/>
                <w:sz w:val="18"/>
                <w:szCs w:val="18"/>
                <w:lang w:val="en-US"/>
              </w:rPr>
              <w:t xml:space="preserve"> and widespread understanding of traditional (Indigenous) knowledge and cultural heritage is limited</w:t>
            </w:r>
          </w:p>
          <w:p w14:paraId="5761F18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Fonts w:ascii="Arial Narrow" w:hAnsi="Arial Narrow"/>
                <w:sz w:val="18"/>
                <w:szCs w:val="18"/>
                <w:lang w:val="en-US"/>
              </w:rPr>
              <w:t>DAFF Indigenous Fishing policy to be</w:t>
            </w:r>
            <w:r>
              <w:rPr>
                <w:rFonts w:ascii="Arial Narrow" w:hAnsi="Arial Narrow"/>
                <w:sz w:val="18"/>
                <w:szCs w:val="18"/>
                <w:lang w:val="en-US"/>
              </w:rPr>
              <w:t xml:space="preserve"> developed as part of the SFS. </w:t>
            </w:r>
            <w:r w:rsidRPr="00942BDC">
              <w:rPr>
                <w:rFonts w:ascii="Arial Narrow" w:hAnsi="Arial Narrow"/>
                <w:sz w:val="18"/>
                <w:szCs w:val="18"/>
                <w:lang w:val="en-US"/>
              </w:rPr>
              <w:t>This will clarify traditional fishing rights, as well as options to develop commercial indigenous fishing businesses.</w:t>
            </w:r>
          </w:p>
        </w:tc>
        <w:tc>
          <w:tcPr>
            <w:tcW w:w="4356" w:type="dxa"/>
            <w:tcBorders>
              <w:top w:val="single" w:sz="4" w:space="0" w:color="auto"/>
              <w:left w:val="single" w:sz="4" w:space="0" w:color="auto"/>
              <w:bottom w:val="single" w:sz="4" w:space="0" w:color="auto"/>
              <w:right w:val="single" w:sz="4" w:space="0" w:color="auto"/>
            </w:tcBorders>
          </w:tcPr>
          <w:p w14:paraId="5761F18B"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consultation</w:t>
            </w:r>
          </w:p>
          <w:p w14:paraId="5761F18C" w14:textId="77777777" w:rsidR="00A56EE9" w:rsidRPr="00942BDC" w:rsidRDefault="008B5998" w:rsidP="00A11869">
            <w:pPr>
              <w:pStyle w:val="ListParagraph"/>
              <w:numPr>
                <w:ilvl w:val="0"/>
                <w:numId w:val="24"/>
              </w:numPr>
              <w:spacing w:after="200" w:line="276" w:lineRule="auto"/>
              <w:rPr>
                <w:rFonts w:ascii="Arial Narrow" w:hAnsi="Arial Narrow"/>
                <w:sz w:val="18"/>
                <w:szCs w:val="18"/>
              </w:rPr>
            </w:pPr>
            <w:hyperlink r:id="rId794" w:history="1">
              <w:r w:rsidR="00A56EE9" w:rsidRPr="00942BDC">
                <w:rPr>
                  <w:rStyle w:val="Hyperlink"/>
                  <w:rFonts w:ascii="Arial Narrow" w:hAnsi="Arial Narrow"/>
                  <w:sz w:val="18"/>
                  <w:szCs w:val="18"/>
                </w:rPr>
                <w:t>Queensland Sustainable Fisheries Strategy 2017-2027</w:t>
              </w:r>
            </w:hyperlink>
          </w:p>
          <w:p w14:paraId="5761F18D" w14:textId="77777777" w:rsidR="00A56EE9" w:rsidRPr="00774D6C" w:rsidRDefault="00A56EE9" w:rsidP="00BB6AD5">
            <w:pPr>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18E"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18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199"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91"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commercial fishing</w:t>
            </w:r>
          </w:p>
        </w:tc>
        <w:tc>
          <w:tcPr>
            <w:tcW w:w="1505" w:type="dxa"/>
            <w:tcBorders>
              <w:top w:val="single" w:sz="4" w:space="0" w:color="auto"/>
              <w:left w:val="single" w:sz="4" w:space="0" w:color="auto"/>
              <w:bottom w:val="single" w:sz="4" w:space="0" w:color="auto"/>
              <w:right w:val="single" w:sz="4" w:space="0" w:color="auto"/>
            </w:tcBorders>
          </w:tcPr>
          <w:p w14:paraId="5761F192"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9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Special management areas (SMAs), each one kilometre square, are now in place around a Catalina wreck off Bowen and a Catalina that crashed near the Frankland Islands south of Cairns. In 2015 the </w:t>
            </w:r>
            <w:r w:rsidRPr="00E70A11">
              <w:rPr>
                <w:rFonts w:ascii="Arial Narrow" w:hAnsi="Arial Narrow"/>
                <w:i/>
                <w:sz w:val="18"/>
                <w:szCs w:val="18"/>
              </w:rPr>
              <w:t xml:space="preserve">Great Barrier Reef Marine Park Regulations 1983 </w:t>
            </w:r>
            <w:r w:rsidRPr="00E70A11">
              <w:rPr>
                <w:rFonts w:ascii="Arial Narrow" w:hAnsi="Arial Narrow"/>
                <w:sz w:val="18"/>
                <w:szCs w:val="18"/>
              </w:rPr>
              <w:t>were amended to add a new type of Special Management Area, the Maritime Cultural Heritage Protection Special Management Area. The regulation includes specific management provisions for the Maritime Cultural Heritage Protection Special Management Area regulating entering and approaching the wrecks, operating and anchoring vessels, fishing and collecting (Ref 58).</w:t>
            </w:r>
          </w:p>
          <w:p w14:paraId="5761F19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 permit conditions to enter Historic Shipwreck Protected Zones under the </w:t>
            </w:r>
            <w:r w:rsidRPr="00E70A11">
              <w:rPr>
                <w:rFonts w:ascii="Arial Narrow" w:hAnsi="Arial Narrow"/>
                <w:i/>
                <w:iCs/>
                <w:sz w:val="18"/>
                <w:szCs w:val="18"/>
                <w:lang w:val="en"/>
              </w:rPr>
              <w:t>Historic Shipwrecks Act 1976</w:t>
            </w:r>
            <w:r w:rsidRPr="00E70A11">
              <w:rPr>
                <w:rFonts w:ascii="Arial Narrow" w:hAnsi="Arial Narrow"/>
                <w:sz w:val="18"/>
                <w:szCs w:val="18"/>
              </w:rPr>
              <w:t xml:space="preserve"> have recently been change to disallow fishing on wrecks such as the Llewellyn</w:t>
            </w:r>
            <w:r w:rsidRPr="00E70A11">
              <w:rPr>
                <w:rStyle w:val="BookTitle"/>
                <w:rFonts w:ascii="Arial Narrow" w:hAnsi="Arial Narrow"/>
                <w:sz w:val="18"/>
                <w:szCs w:val="18"/>
              </w:rPr>
              <w:t xml:space="preserve">. </w:t>
            </w:r>
          </w:p>
        </w:tc>
        <w:tc>
          <w:tcPr>
            <w:tcW w:w="4356" w:type="dxa"/>
            <w:tcBorders>
              <w:top w:val="single" w:sz="4" w:space="0" w:color="auto"/>
              <w:left w:val="single" w:sz="4" w:space="0" w:color="auto"/>
              <w:bottom w:val="single" w:sz="4" w:space="0" w:color="auto"/>
              <w:right w:val="single" w:sz="4" w:space="0" w:color="auto"/>
            </w:tcBorders>
          </w:tcPr>
          <w:p w14:paraId="5761F19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Historic Shipwreck Protected Zones under the Historic Shipwrecks Act 1976</w:t>
            </w:r>
          </w:p>
          <w:p w14:paraId="5761F196"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795" w:history="1">
              <w:r w:rsidR="00A56EE9" w:rsidRPr="00E70A11">
                <w:rPr>
                  <w:rFonts w:ascii="Arial Narrow" w:hAnsi="Arial Narrow"/>
                  <w:sz w:val="18"/>
                  <w:szCs w:val="18"/>
                </w:rPr>
                <w:t>Protecting our maritime cultural heritage</w:t>
              </w:r>
            </w:hyperlink>
          </w:p>
        </w:tc>
        <w:tc>
          <w:tcPr>
            <w:tcW w:w="990" w:type="dxa"/>
            <w:tcBorders>
              <w:top w:val="single" w:sz="4" w:space="0" w:color="auto"/>
              <w:left w:val="single" w:sz="4" w:space="0" w:color="auto"/>
              <w:bottom w:val="single" w:sz="4" w:space="0" w:color="auto"/>
              <w:right w:val="single" w:sz="4" w:space="0" w:color="auto"/>
            </w:tcBorders>
          </w:tcPr>
          <w:p w14:paraId="5761F197"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9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1A9"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761F19A"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commercial fishing</w:t>
            </w:r>
          </w:p>
        </w:tc>
        <w:tc>
          <w:tcPr>
            <w:tcW w:w="1505" w:type="dxa"/>
            <w:tcBorders>
              <w:top w:val="single" w:sz="4" w:space="0" w:color="auto"/>
              <w:left w:val="single" w:sz="4" w:space="0" w:color="auto"/>
              <w:bottom w:val="single" w:sz="4" w:space="0" w:color="auto"/>
              <w:right w:val="single" w:sz="4" w:space="0" w:color="auto"/>
            </w:tcBorders>
          </w:tcPr>
          <w:p w14:paraId="5761F19B"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9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Environment Protection and Biodiversity Conservation Act fisheries assessment are conducted against Guidelines for the Ecologically Sustainable Management of Fisheries.</w:t>
            </w:r>
          </w:p>
          <w:p w14:paraId="5761F19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Conditions and recommendations on the Environment Protection and Biodiversity Conservation Act accreditation are being conditionally/progressively met.</w:t>
            </w:r>
          </w:p>
          <w:p w14:paraId="5761F19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Natural Resource Management Ministerial Council and Australian Fisheries Management Forum policies and guidelines are followed.</w:t>
            </w:r>
          </w:p>
          <w:p w14:paraId="5761F19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Zoning Plan sets a level of protection (a standard) to be achieved to ensure a representative proportion of different habitats are protected. The greatest risk to these standards being met is illegal fishing. </w:t>
            </w:r>
          </w:p>
          <w:p w14:paraId="5761F1A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US"/>
              </w:rPr>
              <w:t>The Field Management Program’s compliance program has specific risk-based strategies for Zoning Plan compliance and utilizing the available resources based upon formal risk management standards.</w:t>
            </w:r>
          </w:p>
          <w:p w14:paraId="5761F1A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US"/>
              </w:rPr>
              <w:t>The Convention on International Trade in Endangered Species of Wild Fauna and Flora (CITES) and</w:t>
            </w:r>
            <w:r>
              <w:rPr>
                <w:rFonts w:ascii="Arial Narrow" w:hAnsi="Arial Narrow"/>
                <w:sz w:val="18"/>
                <w:szCs w:val="18"/>
                <w:lang w:val="en-US"/>
              </w:rPr>
              <w:t xml:space="preserve"> </w:t>
            </w:r>
            <w:r w:rsidRPr="00E70A11">
              <w:rPr>
                <w:rFonts w:ascii="Arial Narrow" w:hAnsi="Arial Narrow"/>
                <w:sz w:val="18"/>
                <w:szCs w:val="18"/>
                <w:lang w:val="en-US"/>
              </w:rPr>
              <w:t>Convention on the Conservation of Migratory Species of Wild Animals</w:t>
            </w:r>
            <w:r w:rsidRPr="00E70A11" w:rsidDel="003A1157">
              <w:rPr>
                <w:rFonts w:ascii="Arial Narrow" w:hAnsi="Arial Narrow"/>
                <w:sz w:val="18"/>
                <w:szCs w:val="18"/>
                <w:lang w:val="en-US"/>
              </w:rPr>
              <w:t xml:space="preserve"> </w:t>
            </w:r>
            <w:r w:rsidRPr="00E70A11">
              <w:rPr>
                <w:rFonts w:ascii="Arial Narrow" w:hAnsi="Arial Narrow"/>
                <w:sz w:val="18"/>
                <w:szCs w:val="18"/>
                <w:lang w:val="en-US"/>
              </w:rPr>
              <w:t xml:space="preserve">(CMS) </w:t>
            </w:r>
          </w:p>
        </w:tc>
        <w:tc>
          <w:tcPr>
            <w:tcW w:w="4356" w:type="dxa"/>
            <w:tcBorders>
              <w:top w:val="single" w:sz="4" w:space="0" w:color="auto"/>
              <w:left w:val="single" w:sz="4" w:space="0" w:color="auto"/>
              <w:bottom w:val="single" w:sz="4" w:space="0" w:color="auto"/>
              <w:right w:val="single" w:sz="4" w:space="0" w:color="auto"/>
            </w:tcBorders>
          </w:tcPr>
          <w:p w14:paraId="5761F1A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96" w:history="1">
              <w:r w:rsidR="00A56EE9" w:rsidRPr="00E70A11">
                <w:rPr>
                  <w:rStyle w:val="Hyperlink"/>
                  <w:rFonts w:ascii="Arial Narrow" w:hAnsi="Arial Narrow"/>
                  <w:sz w:val="18"/>
                  <w:szCs w:val="18"/>
                </w:rPr>
                <w:t>Queensland Sustainable Fisheries Strategy 2017-2027</w:t>
              </w:r>
            </w:hyperlink>
          </w:p>
          <w:p w14:paraId="5761F1A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EPBC ACT</w:t>
            </w:r>
          </w:p>
          <w:p w14:paraId="5761F1A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Australian Fisheries Management Forum</w:t>
            </w:r>
          </w:p>
          <w:p w14:paraId="5761F1A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CITES Convention </w:t>
            </w:r>
          </w:p>
          <w:p w14:paraId="5761F1A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Field Management Program</w:t>
            </w:r>
          </w:p>
        </w:tc>
        <w:tc>
          <w:tcPr>
            <w:tcW w:w="990" w:type="dxa"/>
            <w:tcBorders>
              <w:top w:val="single" w:sz="4" w:space="0" w:color="auto"/>
              <w:left w:val="single" w:sz="4" w:space="0" w:color="auto"/>
              <w:bottom w:val="single" w:sz="4" w:space="0" w:color="auto"/>
              <w:right w:val="single" w:sz="4" w:space="0" w:color="auto"/>
            </w:tcBorders>
          </w:tcPr>
          <w:p w14:paraId="5761F1A7"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A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1B3"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AA" w14:textId="77777777" w:rsidR="00A56EE9" w:rsidRPr="00FF373B" w:rsidRDefault="00A56EE9" w:rsidP="00BB6AD5">
            <w:pPr>
              <w:pStyle w:val="Tablebulletlist"/>
              <w:rPr>
                <w:rStyle w:val="BookTitle"/>
              </w:rPr>
            </w:pPr>
            <w:r w:rsidRPr="00FF373B">
              <w:rPr>
                <w:rStyle w:val="BookTitle"/>
              </w:rPr>
              <w:t>PR14 Targets have been established to benchmark management performance for commercial fishing</w:t>
            </w:r>
          </w:p>
        </w:tc>
        <w:tc>
          <w:tcPr>
            <w:tcW w:w="1505" w:type="dxa"/>
            <w:tcBorders>
              <w:top w:val="single" w:sz="4" w:space="0" w:color="auto"/>
              <w:left w:val="single" w:sz="4" w:space="0" w:color="auto"/>
              <w:bottom w:val="single" w:sz="4" w:space="0" w:color="auto"/>
              <w:right w:val="single" w:sz="4" w:space="0" w:color="auto"/>
            </w:tcBorders>
          </w:tcPr>
          <w:p w14:paraId="5761F1AB" w14:textId="77777777" w:rsidR="00A56EE9" w:rsidRPr="00FF373B" w:rsidRDefault="00A56EE9" w:rsidP="00BB6AD5">
            <w:pPr>
              <w:pStyle w:val="Tablebulletlist"/>
              <w:rPr>
                <w:rStyle w:val="BookTitle"/>
              </w:rPr>
            </w:pPr>
            <w:r w:rsidRPr="00FF373B">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AC"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 xml:space="preserve">Commercial fisheries management is regularly benchmarked against other Australian Jurisdictions to ensure consistency in management approach. </w:t>
            </w:r>
          </w:p>
          <w:p w14:paraId="5761F1AD"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 xml:space="preserve">Sustainable Fisheries Strategy includes specific targets for 2020 and 2027, including biomass targets. </w:t>
            </w:r>
          </w:p>
          <w:p w14:paraId="5761F1AE" w14:textId="77777777" w:rsidR="00A56EE9" w:rsidRPr="00FF373B" w:rsidRDefault="00A56EE9" w:rsidP="00A11869">
            <w:pPr>
              <w:pStyle w:val="ListParagraph"/>
              <w:numPr>
                <w:ilvl w:val="0"/>
                <w:numId w:val="24"/>
              </w:numPr>
              <w:spacing w:after="200" w:line="276" w:lineRule="auto"/>
              <w:rPr>
                <w:rStyle w:val="BookTitle"/>
                <w:rFonts w:ascii="Arial Narrow" w:hAnsi="Arial Narrow"/>
                <w:sz w:val="18"/>
                <w:szCs w:val="18"/>
              </w:rPr>
            </w:pPr>
            <w:r w:rsidRPr="00FF373B">
              <w:rPr>
                <w:rFonts w:ascii="Arial Narrow" w:hAnsi="Arial Narrow"/>
                <w:sz w:val="18"/>
                <w:szCs w:val="18"/>
              </w:rPr>
              <w:t xml:space="preserve">Harvest strategies will specific operational objectives, target and limit reference points and decision rules. </w:t>
            </w:r>
          </w:p>
        </w:tc>
        <w:tc>
          <w:tcPr>
            <w:tcW w:w="4356" w:type="dxa"/>
            <w:tcBorders>
              <w:top w:val="single" w:sz="4" w:space="0" w:color="auto"/>
              <w:left w:val="single" w:sz="4" w:space="0" w:color="auto"/>
              <w:bottom w:val="single" w:sz="4" w:space="0" w:color="auto"/>
              <w:right w:val="single" w:sz="4" w:space="0" w:color="auto"/>
            </w:tcBorders>
          </w:tcPr>
          <w:p w14:paraId="5761F1AF" w14:textId="77777777" w:rsidR="00A56EE9" w:rsidRPr="00FF373B" w:rsidRDefault="008B5998" w:rsidP="00A11869">
            <w:pPr>
              <w:pStyle w:val="ListParagraph"/>
              <w:numPr>
                <w:ilvl w:val="0"/>
                <w:numId w:val="24"/>
              </w:numPr>
              <w:spacing w:after="200" w:line="276" w:lineRule="auto"/>
              <w:rPr>
                <w:rStyle w:val="Hyperlink"/>
                <w:rFonts w:ascii="Arial Narrow" w:hAnsi="Arial Narrow"/>
                <w:sz w:val="18"/>
                <w:szCs w:val="18"/>
              </w:rPr>
            </w:pPr>
            <w:hyperlink r:id="rId797" w:history="1">
              <w:r w:rsidR="00A56EE9" w:rsidRPr="00FF373B">
                <w:rPr>
                  <w:rStyle w:val="Hyperlink"/>
                  <w:rFonts w:ascii="Arial Narrow" w:hAnsi="Arial Narrow"/>
                  <w:sz w:val="18"/>
                  <w:szCs w:val="18"/>
                </w:rPr>
                <w:t>Queensland Sustainable Fisheries Strategy 2017-2027</w:t>
              </w:r>
            </w:hyperlink>
          </w:p>
          <w:p w14:paraId="5761F1B0" w14:textId="77777777" w:rsidR="00A56EE9" w:rsidRPr="00FF373B" w:rsidRDefault="00A56EE9" w:rsidP="00A11869">
            <w:pPr>
              <w:pStyle w:val="ListParagraph"/>
              <w:numPr>
                <w:ilvl w:val="0"/>
                <w:numId w:val="24"/>
              </w:numPr>
              <w:spacing w:after="200" w:line="276" w:lineRule="auto"/>
              <w:rPr>
                <w:rStyle w:val="BookTitle"/>
                <w:rFonts w:ascii="Arial Narrow" w:hAnsi="Arial Narrow"/>
                <w:sz w:val="18"/>
                <w:szCs w:val="18"/>
              </w:rPr>
            </w:pPr>
            <w:r w:rsidRPr="00FF373B">
              <w:rPr>
                <w:rStyle w:val="BookTitle"/>
                <w:rFonts w:ascii="Arial Narrow" w:hAnsi="Arial Narrow"/>
                <w:sz w:val="18"/>
                <w:szCs w:val="18"/>
              </w:rPr>
              <w:t>https://www.daf.qld.gov.au/business-priorities/fisheries/sustainable-fisheries-strategy/harvest-strategy</w:t>
            </w:r>
          </w:p>
        </w:tc>
        <w:tc>
          <w:tcPr>
            <w:tcW w:w="990" w:type="dxa"/>
            <w:tcBorders>
              <w:top w:val="single" w:sz="4" w:space="0" w:color="auto"/>
              <w:left w:val="single" w:sz="4" w:space="0" w:color="auto"/>
              <w:bottom w:val="single" w:sz="4" w:space="0" w:color="auto"/>
              <w:right w:val="single" w:sz="4" w:space="0" w:color="auto"/>
            </w:tcBorders>
          </w:tcPr>
          <w:p w14:paraId="5761F1B1" w14:textId="77777777" w:rsidR="00A56EE9" w:rsidRPr="00FF373B" w:rsidRDefault="00A56EE9" w:rsidP="00BB6AD5">
            <w:pPr>
              <w:pStyle w:val="Tablebulletlist"/>
              <w:rPr>
                <w:rStyle w:val="BookTitle"/>
              </w:rPr>
            </w:pPr>
            <w:r w:rsidRPr="00FF373B">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B2" w14:textId="77777777" w:rsidR="00A56EE9" w:rsidRPr="00E70A11" w:rsidRDefault="00A56EE9" w:rsidP="00BB6AD5">
            <w:pPr>
              <w:pStyle w:val="Tablebulletlist"/>
              <w:rPr>
                <w:rStyle w:val="BookTitle"/>
              </w:rPr>
            </w:pPr>
            <w:r w:rsidRPr="00FF373B">
              <w:rPr>
                <w:rStyle w:val="BookTitle"/>
              </w:rPr>
              <w:t>Stable</w:t>
            </w:r>
          </w:p>
        </w:tc>
      </w:tr>
      <w:tr w:rsidR="00A56EE9" w:rsidRPr="00E70A11" w14:paraId="5761F1BA"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1B4" w14:textId="77777777" w:rsidR="00A56EE9" w:rsidRPr="00E70A11" w:rsidRDefault="00A56EE9" w:rsidP="00BB6AD5">
            <w:pPr>
              <w:pStyle w:val="Tablebulletlist"/>
              <w:rPr>
                <w:rStyle w:val="BookTitle"/>
              </w:rPr>
            </w:pPr>
            <w:r w:rsidRPr="00E70A11">
              <w:rPr>
                <w:rStyle w:val="BookTitle"/>
              </w:rPr>
              <w:t>OUTPUTS</w:t>
            </w:r>
          </w:p>
        </w:tc>
        <w:tc>
          <w:tcPr>
            <w:tcW w:w="150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1B5" w14:textId="77777777" w:rsidR="00A56EE9" w:rsidRPr="00E70A11" w:rsidRDefault="00A56EE9" w:rsidP="00BB6AD5">
            <w:pPr>
              <w:pStyle w:val="Tablebulletlist"/>
              <w:rPr>
                <w:rStyle w:val="BookTitle"/>
              </w:rPr>
            </w:pPr>
          </w:p>
        </w:tc>
        <w:tc>
          <w:tcPr>
            <w:tcW w:w="39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1B6" w14:textId="77777777" w:rsidR="00A56EE9" w:rsidRPr="00E70A11" w:rsidRDefault="00A56EE9" w:rsidP="00BB6AD5">
            <w:pPr>
              <w:pStyle w:val="ListParagraph"/>
              <w:ind w:left="360"/>
              <w:rPr>
                <w:rStyle w:val="BookTitle"/>
                <w:rFonts w:ascii="Arial Narrow" w:hAnsi="Arial Narrow"/>
                <w:sz w:val="18"/>
                <w:szCs w:val="18"/>
              </w:rPr>
            </w:pPr>
          </w:p>
        </w:tc>
        <w:tc>
          <w:tcPr>
            <w:tcW w:w="43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1B7"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1B8"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1B9" w14:textId="77777777" w:rsidR="00A56EE9" w:rsidRPr="00E70A11" w:rsidRDefault="00A56EE9" w:rsidP="00BB6AD5">
            <w:pPr>
              <w:pStyle w:val="Tablebulletlist"/>
              <w:rPr>
                <w:rStyle w:val="BookTitle"/>
              </w:rPr>
            </w:pPr>
          </w:p>
        </w:tc>
      </w:tr>
      <w:tr w:rsidR="00A56EE9" w:rsidRPr="00E70A11" w14:paraId="5761F1CA"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BB"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commercial fishing </w:t>
            </w:r>
          </w:p>
        </w:tc>
        <w:tc>
          <w:tcPr>
            <w:tcW w:w="1505" w:type="dxa"/>
            <w:tcBorders>
              <w:top w:val="single" w:sz="4" w:space="0" w:color="auto"/>
              <w:left w:val="single" w:sz="4" w:space="0" w:color="auto"/>
              <w:bottom w:val="single" w:sz="4" w:space="0" w:color="auto"/>
              <w:right w:val="single" w:sz="4" w:space="0" w:color="auto"/>
            </w:tcBorders>
          </w:tcPr>
          <w:p w14:paraId="5761F1BC"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B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Evaluating management effectiveness against stated goals / objectives has been limited to focussing on species stocks status where this has been determined.</w:t>
            </w:r>
          </w:p>
          <w:p w14:paraId="5761F1B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Stock status evaluation and stock assessments have progressed, although there are a large number of species that remain undefined.</w:t>
            </w:r>
          </w:p>
          <w:p w14:paraId="5761F1B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Compliance programs have progressed. </w:t>
            </w:r>
          </w:p>
          <w:p w14:paraId="5761F1C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 recognition of sustainability issues with fisheries in Queensland QDAF have undertaken a planned review process that has delivered the Queensland Sustainable Fisheries Strategy: 2017-2027.</w:t>
            </w:r>
          </w:p>
          <w:p w14:paraId="5761F1C1"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QSFS has delivered its actions on time </w:t>
            </w:r>
          </w:p>
          <w:p w14:paraId="5761F1C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Style w:val="BookTitle"/>
                <w:rFonts w:ascii="Arial Narrow" w:hAnsi="Arial Narrow"/>
                <w:sz w:val="18"/>
                <w:szCs w:val="18"/>
              </w:rPr>
              <w:t xml:space="preserve">Progress has been made on implementation, with 11 of the 33 actions in the QSFS have been delivered in the first 12 months. </w:t>
            </w:r>
          </w:p>
        </w:tc>
        <w:tc>
          <w:tcPr>
            <w:tcW w:w="4356" w:type="dxa"/>
            <w:tcBorders>
              <w:top w:val="single" w:sz="4" w:space="0" w:color="auto"/>
              <w:left w:val="single" w:sz="4" w:space="0" w:color="auto"/>
              <w:bottom w:val="single" w:sz="4" w:space="0" w:color="auto"/>
              <w:right w:val="single" w:sz="4" w:space="0" w:color="auto"/>
            </w:tcBorders>
          </w:tcPr>
          <w:p w14:paraId="5761F1C3"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798" w:history="1">
              <w:r w:rsidR="00A56EE9" w:rsidRPr="00E70A11">
                <w:rPr>
                  <w:rStyle w:val="Hyperlink"/>
                  <w:rFonts w:ascii="Arial Narrow" w:hAnsi="Arial Narrow"/>
                  <w:sz w:val="18"/>
                  <w:szCs w:val="18"/>
                </w:rPr>
                <w:t>Queensland Sustainable Fisheries Strategy 2017-2027</w:t>
              </w:r>
            </w:hyperlink>
          </w:p>
          <w:p w14:paraId="5761F1C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942BDC">
              <w:rPr>
                <w:rStyle w:val="BookTitle"/>
                <w:rFonts w:ascii="Arial Narrow" w:hAnsi="Arial Narrow"/>
                <w:sz w:val="18"/>
                <w:szCs w:val="18"/>
              </w:rPr>
              <w:t>https://www.daf.qld.gov.au/business-priorities/fisheries/sustainable-fisheries-strategy/_nocache</w:t>
            </w:r>
          </w:p>
          <w:p w14:paraId="5761F1C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t xml:space="preserve"> </w:t>
            </w:r>
            <w:hyperlink r:id="rId799" w:history="1">
              <w:r w:rsidRPr="00E70A11">
                <w:rPr>
                  <w:rStyle w:val="Hyperlink"/>
                  <w:rFonts w:ascii="Arial Narrow" w:hAnsi="Arial Narrow"/>
                  <w:sz w:val="18"/>
                  <w:szCs w:val="18"/>
                </w:rPr>
                <w:t>Summary of Stock Status for Queensland Species 2016</w:t>
              </w:r>
            </w:hyperlink>
          </w:p>
          <w:p w14:paraId="5761F1C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00" w:history="1">
              <w:r w:rsidR="00A56EE9" w:rsidRPr="00E70A11">
                <w:rPr>
                  <w:rStyle w:val="Hyperlink"/>
                  <w:rFonts w:ascii="Arial Narrow" w:hAnsi="Arial Narrow"/>
                  <w:sz w:val="18"/>
                  <w:szCs w:val="18"/>
                </w:rPr>
                <w:t>QDAF fish stock assessment reports</w:t>
              </w:r>
            </w:hyperlink>
          </w:p>
          <w:p w14:paraId="5761F1C7" w14:textId="77777777" w:rsidR="00A56EE9" w:rsidRPr="00774D6C" w:rsidRDefault="008B5998" w:rsidP="00A11869">
            <w:pPr>
              <w:pStyle w:val="ListParagraph"/>
              <w:numPr>
                <w:ilvl w:val="0"/>
                <w:numId w:val="24"/>
              </w:numPr>
              <w:spacing w:after="200" w:line="276" w:lineRule="auto"/>
              <w:rPr>
                <w:rStyle w:val="BookTitle"/>
                <w:rFonts w:ascii="Arial Narrow" w:hAnsi="Arial Narrow"/>
                <w:sz w:val="18"/>
                <w:szCs w:val="18"/>
              </w:rPr>
            </w:pPr>
            <w:hyperlink r:id="rId801" w:history="1">
              <w:r w:rsidR="00A56EE9" w:rsidRPr="00E70A11">
                <w:rPr>
                  <w:rStyle w:val="Hyperlink"/>
                  <w:rFonts w:ascii="Arial Narrow" w:hAnsi="Arial Narrow"/>
                  <w:sz w:val="18"/>
                  <w:szCs w:val="18"/>
                </w:rPr>
                <w:t xml:space="preserve"> Reef 2050 Long-Term Sustainability Plan</w:t>
              </w:r>
            </w:hyperlink>
          </w:p>
        </w:tc>
        <w:tc>
          <w:tcPr>
            <w:tcW w:w="990" w:type="dxa"/>
            <w:tcBorders>
              <w:top w:val="single" w:sz="4" w:space="0" w:color="auto"/>
              <w:left w:val="single" w:sz="4" w:space="0" w:color="auto"/>
              <w:bottom w:val="single" w:sz="4" w:space="0" w:color="auto"/>
              <w:right w:val="single" w:sz="4" w:space="0" w:color="auto"/>
            </w:tcBorders>
          </w:tcPr>
          <w:p w14:paraId="5761F1C8"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1C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1D3"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CB"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commercial fishing have progressed in accordance with timeframes specified in those documents</w:t>
            </w:r>
          </w:p>
        </w:tc>
        <w:tc>
          <w:tcPr>
            <w:tcW w:w="1505" w:type="dxa"/>
            <w:tcBorders>
              <w:top w:val="single" w:sz="4" w:space="0" w:color="auto"/>
              <w:left w:val="single" w:sz="4" w:space="0" w:color="auto"/>
              <w:bottom w:val="single" w:sz="4" w:space="0" w:color="auto"/>
              <w:right w:val="single" w:sz="4" w:space="0" w:color="auto"/>
            </w:tcBorders>
          </w:tcPr>
          <w:p w14:paraId="5761F1CC"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C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Sustainable Fisheries Strategy is on track with identified actions being implemented (e.g. harvest strategy guideline, additional compliance, additional monitoring programs rolled out, new engagement mechanisms established).</w:t>
            </w:r>
            <w:r>
              <w:rPr>
                <w:rFonts w:ascii="Arial Narrow" w:hAnsi="Arial Narrow"/>
                <w:sz w:val="18"/>
                <w:szCs w:val="18"/>
              </w:rPr>
              <w:t xml:space="preserve"> </w:t>
            </w:r>
          </w:p>
          <w:p w14:paraId="5761F1C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Reef Plan actions relevant to commercial fishing ae also progressing</w:t>
            </w:r>
          </w:p>
        </w:tc>
        <w:tc>
          <w:tcPr>
            <w:tcW w:w="4356" w:type="dxa"/>
            <w:tcBorders>
              <w:top w:val="single" w:sz="4" w:space="0" w:color="auto"/>
              <w:left w:val="single" w:sz="4" w:space="0" w:color="auto"/>
              <w:bottom w:val="single" w:sz="4" w:space="0" w:color="auto"/>
              <w:right w:val="single" w:sz="4" w:space="0" w:color="auto"/>
            </w:tcBorders>
          </w:tcPr>
          <w:p w14:paraId="5761F1C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02" w:history="1">
              <w:r w:rsidR="00A56EE9" w:rsidRPr="00E70A11">
                <w:rPr>
                  <w:rFonts w:ascii="Arial Narrow" w:hAnsi="Arial Narrow"/>
                  <w:sz w:val="18"/>
                  <w:szCs w:val="18"/>
                </w:rPr>
                <w:t>Queensland Sustainable Fisheries Strategy 2017-2027</w:t>
              </w:r>
            </w:hyperlink>
          </w:p>
          <w:p w14:paraId="5761F1D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Plan</w:t>
            </w:r>
          </w:p>
        </w:tc>
        <w:tc>
          <w:tcPr>
            <w:tcW w:w="990" w:type="dxa"/>
            <w:tcBorders>
              <w:top w:val="single" w:sz="4" w:space="0" w:color="auto"/>
              <w:left w:val="single" w:sz="4" w:space="0" w:color="auto"/>
              <w:bottom w:val="single" w:sz="4" w:space="0" w:color="auto"/>
              <w:right w:val="single" w:sz="4" w:space="0" w:color="auto"/>
            </w:tcBorders>
          </w:tcPr>
          <w:p w14:paraId="5761F1D1"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D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1DC"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D4"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commercial fishing</w:t>
            </w:r>
          </w:p>
        </w:tc>
        <w:tc>
          <w:tcPr>
            <w:tcW w:w="1505" w:type="dxa"/>
            <w:tcBorders>
              <w:top w:val="single" w:sz="4" w:space="0" w:color="auto"/>
              <w:left w:val="single" w:sz="4" w:space="0" w:color="auto"/>
              <w:bottom w:val="single" w:sz="4" w:space="0" w:color="auto"/>
              <w:right w:val="single" w:sz="4" w:space="0" w:color="auto"/>
            </w:tcBorders>
          </w:tcPr>
          <w:p w14:paraId="5761F1D5" w14:textId="77777777" w:rsidR="00A56EE9" w:rsidRPr="00E70A11" w:rsidRDefault="00A56EE9" w:rsidP="00BB6AD5">
            <w:pPr>
              <w:pStyle w:val="Tablebulletlist"/>
              <w:rPr>
                <w:rStyle w:val="BookTitle"/>
              </w:rPr>
            </w:pPr>
            <w:r w:rsidRPr="00E70A11">
              <w:rPr>
                <w:rStyle w:val="BookTitle"/>
              </w:rPr>
              <w:t>2</w:t>
            </w:r>
          </w:p>
        </w:tc>
        <w:tc>
          <w:tcPr>
            <w:tcW w:w="3961" w:type="dxa"/>
            <w:tcBorders>
              <w:top w:val="single" w:sz="4" w:space="0" w:color="auto"/>
              <w:left w:val="single" w:sz="4" w:space="0" w:color="auto"/>
              <w:bottom w:val="single" w:sz="4" w:space="0" w:color="auto"/>
              <w:right w:val="single" w:sz="4" w:space="0" w:color="auto"/>
            </w:tcBorders>
          </w:tcPr>
          <w:p w14:paraId="5761F1D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five high and very-high direct fishing related risks identified in the Outlook Report 2014 have not been specifically addressed.</w:t>
            </w:r>
          </w:p>
          <w:p w14:paraId="5761F1D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It is too early to assess whether the QSFS objectives have been met. </w:t>
            </w:r>
          </w:p>
        </w:tc>
        <w:tc>
          <w:tcPr>
            <w:tcW w:w="4356" w:type="dxa"/>
            <w:tcBorders>
              <w:top w:val="single" w:sz="4" w:space="0" w:color="auto"/>
              <w:left w:val="single" w:sz="4" w:space="0" w:color="auto"/>
              <w:bottom w:val="single" w:sz="4" w:space="0" w:color="auto"/>
              <w:right w:val="single" w:sz="4" w:space="0" w:color="auto"/>
            </w:tcBorders>
          </w:tcPr>
          <w:p w14:paraId="5761F1D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03" w:history="1">
              <w:r w:rsidR="00A56EE9" w:rsidRPr="00E70A11">
                <w:rPr>
                  <w:rStyle w:val="Hyperlink"/>
                  <w:rFonts w:ascii="Arial Narrow" w:hAnsi="Arial Narrow"/>
                  <w:sz w:val="18"/>
                  <w:szCs w:val="18"/>
                </w:rPr>
                <w:t>QDAF - Performance measurement systems</w:t>
              </w:r>
            </w:hyperlink>
          </w:p>
          <w:p w14:paraId="5761F1D9"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804" w:history="1">
              <w:r w:rsidR="00A56EE9" w:rsidRPr="00E70A11">
                <w:rPr>
                  <w:rStyle w:val="Hyperlink"/>
                  <w:rFonts w:ascii="Arial Narrow" w:hAnsi="Arial Narrow"/>
                  <w:sz w:val="18"/>
                  <w:szCs w:val="18"/>
                </w:rPr>
                <w:t>Summary of Stock Status for Queensland Species 2016</w:t>
              </w:r>
            </w:hyperlink>
          </w:p>
        </w:tc>
        <w:tc>
          <w:tcPr>
            <w:tcW w:w="990" w:type="dxa"/>
            <w:tcBorders>
              <w:top w:val="single" w:sz="4" w:space="0" w:color="auto"/>
              <w:left w:val="single" w:sz="4" w:space="0" w:color="auto"/>
              <w:bottom w:val="single" w:sz="4" w:space="0" w:color="auto"/>
              <w:right w:val="single" w:sz="4" w:space="0" w:color="auto"/>
            </w:tcBorders>
          </w:tcPr>
          <w:p w14:paraId="5761F1DA"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DB"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1F3"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1DD"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commercial fishing</w:t>
            </w:r>
          </w:p>
        </w:tc>
        <w:tc>
          <w:tcPr>
            <w:tcW w:w="1505" w:type="dxa"/>
            <w:tcBorders>
              <w:top w:val="single" w:sz="4" w:space="0" w:color="auto"/>
              <w:left w:val="single" w:sz="4" w:space="0" w:color="auto"/>
              <w:bottom w:val="single" w:sz="4" w:space="0" w:color="auto"/>
              <w:right w:val="single" w:sz="4" w:space="0" w:color="auto"/>
            </w:tcBorders>
          </w:tcPr>
          <w:p w14:paraId="5761F1DE"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D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QDAF produces or in the past has produced:</w:t>
            </w:r>
          </w:p>
          <w:p w14:paraId="5761F1E0" w14:textId="77777777" w:rsidR="00A56EE9" w:rsidRPr="00E70A11" w:rsidRDefault="00A56EE9" w:rsidP="00A11869">
            <w:pPr>
              <w:pStyle w:val="ListParagraph"/>
              <w:numPr>
                <w:ilvl w:val="1"/>
                <w:numId w:val="24"/>
              </w:numPr>
              <w:spacing w:after="200" w:line="276" w:lineRule="auto"/>
              <w:ind w:left="681"/>
              <w:rPr>
                <w:rFonts w:ascii="Arial Narrow" w:hAnsi="Arial Narrow"/>
                <w:sz w:val="18"/>
                <w:szCs w:val="18"/>
              </w:rPr>
            </w:pPr>
            <w:r w:rsidRPr="00E70A11">
              <w:rPr>
                <w:rFonts w:ascii="Arial Narrow" w:hAnsi="Arial Narrow"/>
                <w:sz w:val="18"/>
                <w:szCs w:val="18"/>
              </w:rPr>
              <w:t>Fishery reports as per EPBC approval requirements.</w:t>
            </w:r>
          </w:p>
          <w:p w14:paraId="5761F1E1" w14:textId="77777777" w:rsidR="00A56EE9" w:rsidRPr="00E70A11" w:rsidRDefault="00A56EE9" w:rsidP="00A11869">
            <w:pPr>
              <w:pStyle w:val="ListParagraph"/>
              <w:numPr>
                <w:ilvl w:val="1"/>
                <w:numId w:val="24"/>
              </w:numPr>
              <w:spacing w:after="200" w:line="276" w:lineRule="auto"/>
              <w:ind w:left="681"/>
              <w:rPr>
                <w:rFonts w:ascii="Arial Narrow" w:hAnsi="Arial Narrow"/>
                <w:sz w:val="18"/>
                <w:szCs w:val="18"/>
              </w:rPr>
            </w:pPr>
            <w:r w:rsidRPr="00E70A11">
              <w:rPr>
                <w:rFonts w:ascii="Arial Narrow" w:hAnsi="Arial Narrow"/>
                <w:sz w:val="18"/>
                <w:szCs w:val="18"/>
              </w:rPr>
              <w:t>Stock status assessments.</w:t>
            </w:r>
          </w:p>
          <w:p w14:paraId="5761F1E2" w14:textId="77777777" w:rsidR="00A56EE9" w:rsidRPr="00E70A11" w:rsidRDefault="00A56EE9" w:rsidP="00A11869">
            <w:pPr>
              <w:pStyle w:val="ListParagraph"/>
              <w:numPr>
                <w:ilvl w:val="1"/>
                <w:numId w:val="24"/>
              </w:numPr>
              <w:spacing w:after="200" w:line="276" w:lineRule="auto"/>
              <w:ind w:left="681"/>
              <w:rPr>
                <w:rFonts w:ascii="Arial Narrow" w:hAnsi="Arial Narrow"/>
                <w:sz w:val="18"/>
                <w:szCs w:val="18"/>
              </w:rPr>
            </w:pPr>
            <w:r w:rsidRPr="00E70A11">
              <w:rPr>
                <w:rFonts w:ascii="Arial Narrow" w:hAnsi="Arial Narrow"/>
                <w:sz w:val="18"/>
                <w:szCs w:val="18"/>
              </w:rPr>
              <w:t>Fish stock assessment reports</w:t>
            </w:r>
          </w:p>
          <w:p w14:paraId="5761F1E3" w14:textId="77777777" w:rsidR="00A56EE9" w:rsidRPr="00E70A11" w:rsidRDefault="00A56EE9" w:rsidP="00A11869">
            <w:pPr>
              <w:pStyle w:val="ListParagraph"/>
              <w:numPr>
                <w:ilvl w:val="1"/>
                <w:numId w:val="24"/>
              </w:numPr>
              <w:spacing w:after="200" w:line="276" w:lineRule="auto"/>
              <w:ind w:left="681"/>
              <w:rPr>
                <w:rFonts w:ascii="Arial Narrow" w:hAnsi="Arial Narrow"/>
                <w:sz w:val="18"/>
                <w:szCs w:val="18"/>
              </w:rPr>
            </w:pPr>
            <w:r w:rsidRPr="00E70A11">
              <w:rPr>
                <w:rFonts w:ascii="Arial Narrow" w:hAnsi="Arial Narrow"/>
                <w:sz w:val="18"/>
                <w:szCs w:val="18"/>
              </w:rPr>
              <w:t xml:space="preserve">Fishery summary reports </w:t>
            </w:r>
          </w:p>
          <w:p w14:paraId="5761F1E4" w14:textId="77777777" w:rsidR="00A56EE9" w:rsidRPr="00E70A11" w:rsidRDefault="00A56EE9" w:rsidP="00A11869">
            <w:pPr>
              <w:pStyle w:val="ListParagraph"/>
              <w:numPr>
                <w:ilvl w:val="1"/>
                <w:numId w:val="24"/>
              </w:numPr>
              <w:spacing w:after="200" w:line="276" w:lineRule="auto"/>
              <w:ind w:left="681"/>
              <w:rPr>
                <w:rFonts w:ascii="Arial Narrow" w:hAnsi="Arial Narrow"/>
                <w:sz w:val="18"/>
                <w:szCs w:val="18"/>
              </w:rPr>
            </w:pPr>
            <w:r w:rsidRPr="00E70A11">
              <w:rPr>
                <w:rFonts w:ascii="Arial Narrow" w:hAnsi="Arial Narrow"/>
                <w:sz w:val="18"/>
                <w:szCs w:val="18"/>
              </w:rPr>
              <w:t>Commercial catch data</w:t>
            </w:r>
          </w:p>
          <w:p w14:paraId="5761F1E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Marine Park zoning information is provided publicly </w:t>
            </w:r>
          </w:p>
          <w:p w14:paraId="5761F1E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Fisheries assessments under the EPBC Act are published online </w:t>
            </w:r>
          </w:p>
          <w:p w14:paraId="5761F1E7"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rPr>
            </w:pPr>
            <w:r w:rsidRPr="00E70A11">
              <w:rPr>
                <w:rFonts w:ascii="Arial Narrow" w:hAnsi="Arial Narrow"/>
                <w:sz w:val="18"/>
                <w:szCs w:val="18"/>
              </w:rPr>
              <w:t>Strong communication push in second half of 2017 on Sustainable Fisheries Strategy and key initiatives (e.g. rolling out vessel trackin</w:t>
            </w:r>
            <w:r>
              <w:rPr>
                <w:rFonts w:ascii="Arial Narrow" w:hAnsi="Arial Narrow"/>
                <w:sz w:val="18"/>
                <w:szCs w:val="18"/>
              </w:rPr>
              <w:t xml:space="preserve">g on commercial fishing vessels, </w:t>
            </w:r>
            <w:r w:rsidRPr="00942BDC">
              <w:rPr>
                <w:rFonts w:ascii="Arial Narrow" w:hAnsi="Arial Narrow"/>
                <w:sz w:val="18"/>
                <w:szCs w:val="18"/>
              </w:rPr>
              <w:t>fishery reform discussion papers).</w:t>
            </w:r>
          </w:p>
          <w:p w14:paraId="5761F1E8"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A draft vessel tracking policy and a consultative draft of the vessel tracking guidelines are available for review. Public consultation on the policy and guideline is open until 13 February 2018</w:t>
            </w:r>
          </w:p>
          <w:p w14:paraId="5761F1E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Fonts w:ascii="Arial Narrow" w:hAnsi="Arial Narrow"/>
                <w:sz w:val="18"/>
                <w:szCs w:val="18"/>
              </w:rPr>
              <w:t>Consistent with SFS, discussion papers on reef line, trawl, crab and inshore were released in March 2018. Discussion paper also released on proposed Act amendments, particularly to address black</w:t>
            </w:r>
            <w:r>
              <w:rPr>
                <w:rFonts w:ascii="Arial Narrow" w:hAnsi="Arial Narrow"/>
                <w:sz w:val="18"/>
                <w:szCs w:val="18"/>
              </w:rPr>
              <w:t xml:space="preserve"> </w:t>
            </w:r>
            <w:r w:rsidRPr="00942BDC">
              <w:rPr>
                <w:rFonts w:ascii="Arial Narrow" w:hAnsi="Arial Narrow"/>
                <w:sz w:val="18"/>
                <w:szCs w:val="18"/>
              </w:rPr>
              <w:t>marketing.</w:t>
            </w:r>
          </w:p>
        </w:tc>
        <w:tc>
          <w:tcPr>
            <w:tcW w:w="4356" w:type="dxa"/>
            <w:tcBorders>
              <w:top w:val="single" w:sz="4" w:space="0" w:color="auto"/>
              <w:left w:val="single" w:sz="4" w:space="0" w:color="auto"/>
              <w:bottom w:val="single" w:sz="4" w:space="0" w:color="auto"/>
              <w:right w:val="single" w:sz="4" w:space="0" w:color="auto"/>
            </w:tcBorders>
          </w:tcPr>
          <w:p w14:paraId="5761F1E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05" w:history="1">
              <w:r w:rsidR="00A56EE9" w:rsidRPr="00E70A11">
                <w:rPr>
                  <w:rStyle w:val="Hyperlink"/>
                  <w:rFonts w:ascii="Arial Narrow" w:hAnsi="Arial Narrow"/>
                  <w:sz w:val="18"/>
                  <w:szCs w:val="18"/>
                </w:rPr>
                <w:t>Queensland managed fisheries assessments under the EPBC Act</w:t>
              </w:r>
            </w:hyperlink>
          </w:p>
          <w:p w14:paraId="5761F1EB"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06" w:history="1">
              <w:r w:rsidR="00A56EE9" w:rsidRPr="00E70A11">
                <w:rPr>
                  <w:rStyle w:val="Hyperlink"/>
                  <w:rFonts w:ascii="Arial Narrow" w:hAnsi="Arial Narrow"/>
                  <w:sz w:val="18"/>
                  <w:szCs w:val="18"/>
                </w:rPr>
                <w:t>Queensland Sustainable Fisheries Strategy 2017-2027</w:t>
              </w:r>
            </w:hyperlink>
          </w:p>
          <w:p w14:paraId="5761F1EC"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807" w:history="1">
              <w:r w:rsidR="00A56EE9" w:rsidRPr="00E70A11">
                <w:rPr>
                  <w:rStyle w:val="Hyperlink"/>
                  <w:rFonts w:ascii="Arial Narrow" w:hAnsi="Arial Narrow"/>
                  <w:sz w:val="18"/>
                  <w:szCs w:val="18"/>
                </w:rPr>
                <w:t>GBRMPA Interpreting zones</w:t>
              </w:r>
            </w:hyperlink>
          </w:p>
          <w:p w14:paraId="5761F1ED"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808" w:history="1">
              <w:r w:rsidR="00A56EE9" w:rsidRPr="00E70A11">
                <w:rPr>
                  <w:rStyle w:val="Hyperlink"/>
                  <w:rFonts w:ascii="Arial Narrow" w:hAnsi="Arial Narrow"/>
                  <w:sz w:val="18"/>
                  <w:szCs w:val="18"/>
                </w:rPr>
                <w:t>QDAF - Fisheries data and reports</w:t>
              </w:r>
            </w:hyperlink>
          </w:p>
          <w:p w14:paraId="5761F1EE" w14:textId="77777777" w:rsidR="00A56EE9" w:rsidRPr="00942BDC" w:rsidRDefault="008B5998" w:rsidP="00A11869">
            <w:pPr>
              <w:pStyle w:val="ListParagraph"/>
              <w:numPr>
                <w:ilvl w:val="0"/>
                <w:numId w:val="24"/>
              </w:numPr>
              <w:spacing w:after="200" w:line="276" w:lineRule="auto"/>
              <w:rPr>
                <w:rFonts w:ascii="Arial Narrow" w:hAnsi="Arial Narrow"/>
                <w:sz w:val="18"/>
                <w:szCs w:val="18"/>
              </w:rPr>
            </w:pPr>
            <w:hyperlink r:id="rId809" w:history="1">
              <w:r w:rsidR="00A56EE9" w:rsidRPr="00942BDC">
                <w:rPr>
                  <w:rStyle w:val="Hyperlink"/>
                  <w:rFonts w:ascii="Arial Narrow" w:hAnsi="Arial Narrow"/>
                  <w:sz w:val="18"/>
                  <w:szCs w:val="18"/>
                </w:rPr>
                <w:t>QDAF - Satellite tracking on all boats</w:t>
              </w:r>
            </w:hyperlink>
          </w:p>
          <w:p w14:paraId="5761F1EF" w14:textId="01729F29" w:rsidR="00A56EE9" w:rsidRPr="00942BDC" w:rsidRDefault="008B5998" w:rsidP="00A11869">
            <w:pPr>
              <w:pStyle w:val="ListParagraph"/>
              <w:numPr>
                <w:ilvl w:val="0"/>
                <w:numId w:val="24"/>
              </w:numPr>
              <w:spacing w:after="200" w:line="276" w:lineRule="auto"/>
              <w:rPr>
                <w:rStyle w:val="BookTitle"/>
                <w:rFonts w:ascii="Arial Narrow" w:hAnsi="Arial Narrow"/>
                <w:sz w:val="18"/>
                <w:szCs w:val="18"/>
              </w:rPr>
            </w:pPr>
            <w:hyperlink r:id="rId810" w:tooltip="document link" w:history="1">
              <w:r w:rsidR="00A56EE9" w:rsidRPr="00942BDC">
                <w:rPr>
                  <w:rStyle w:val="Hyperlink"/>
                  <w:rFonts w:ascii="Arial Narrow" w:hAnsi="Arial Narrow"/>
                  <w:sz w:val="18"/>
                  <w:szCs w:val="18"/>
                </w:rPr>
                <w:t>https://www.daf.qld.gov.au/business-priorities/fisheries/sustainable-fisheries-strategy/fisheries-reforms</w:t>
              </w:r>
            </w:hyperlink>
          </w:p>
          <w:p w14:paraId="5761F1F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Style w:val="BookTitle"/>
                <w:rFonts w:ascii="Arial Narrow" w:hAnsi="Arial Narrow"/>
                <w:sz w:val="18"/>
                <w:szCs w:val="18"/>
              </w:rPr>
              <w:t>https://www.daf.qld.gov.au/business-priorities/fisheries/sustainable-fisheries-strategy/changes-to-queenslands-fisheries-legislation</w:t>
            </w:r>
          </w:p>
        </w:tc>
        <w:tc>
          <w:tcPr>
            <w:tcW w:w="990" w:type="dxa"/>
            <w:tcBorders>
              <w:top w:val="single" w:sz="4" w:space="0" w:color="auto"/>
              <w:left w:val="single" w:sz="4" w:space="0" w:color="auto"/>
              <w:bottom w:val="single" w:sz="4" w:space="0" w:color="auto"/>
              <w:right w:val="single" w:sz="4" w:space="0" w:color="auto"/>
            </w:tcBorders>
          </w:tcPr>
          <w:p w14:paraId="5761F1F1"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F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1FF"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761F1F4"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commercial fishing are in place within agencies</w:t>
            </w:r>
          </w:p>
        </w:tc>
        <w:tc>
          <w:tcPr>
            <w:tcW w:w="1505" w:type="dxa"/>
            <w:tcBorders>
              <w:top w:val="single" w:sz="4" w:space="0" w:color="auto"/>
              <w:left w:val="single" w:sz="4" w:space="0" w:color="auto"/>
              <w:bottom w:val="single" w:sz="4" w:space="0" w:color="auto"/>
              <w:right w:val="single" w:sz="4" w:space="0" w:color="auto"/>
            </w:tcBorders>
          </w:tcPr>
          <w:p w14:paraId="5761F1F5"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1F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Data on commercial fishing is maintained and stored securely by Queensland Government </w:t>
            </w:r>
          </w:p>
          <w:p w14:paraId="5761F1F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Data is shared between agencies and with the community but improvements are required.</w:t>
            </w:r>
          </w:p>
          <w:p w14:paraId="5761F1F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Vessel tracking data is recorded and stored on a </w:t>
            </w:r>
            <w:r w:rsidRPr="00942BDC">
              <w:rPr>
                <w:rFonts w:ascii="Arial Narrow" w:hAnsi="Arial Narrow"/>
                <w:sz w:val="18"/>
                <w:szCs w:val="18"/>
              </w:rPr>
              <w:t xml:space="preserve">secure database and private data is protected. </w:t>
            </w:r>
          </w:p>
          <w:p w14:paraId="5761F1F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Logbook reporting is stored and only displayed or provided publically at five boat level or greater.</w:t>
            </w:r>
          </w:p>
        </w:tc>
        <w:tc>
          <w:tcPr>
            <w:tcW w:w="4356" w:type="dxa"/>
            <w:tcBorders>
              <w:top w:val="single" w:sz="4" w:space="0" w:color="auto"/>
              <w:left w:val="single" w:sz="4" w:space="0" w:color="auto"/>
              <w:bottom w:val="single" w:sz="4" w:space="0" w:color="auto"/>
              <w:right w:val="single" w:sz="4" w:space="0" w:color="auto"/>
            </w:tcBorders>
          </w:tcPr>
          <w:p w14:paraId="5761F1F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11" w:history="1">
              <w:r w:rsidR="00A56EE9" w:rsidRPr="00E70A11">
                <w:rPr>
                  <w:rStyle w:val="Hyperlink"/>
                  <w:rFonts w:ascii="Arial Narrow" w:hAnsi="Arial Narrow"/>
                  <w:sz w:val="18"/>
                  <w:szCs w:val="18"/>
                </w:rPr>
                <w:t>Queensland Sustainable Fisheries Strategy 2017-2027</w:t>
              </w:r>
            </w:hyperlink>
          </w:p>
          <w:p w14:paraId="5761F1F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w:t>
            </w:r>
            <w:hyperlink r:id="rId812" w:history="1">
              <w:r w:rsidRPr="00E70A11">
                <w:rPr>
                  <w:rStyle w:val="Hyperlink"/>
                  <w:rFonts w:ascii="Arial Narrow" w:hAnsi="Arial Narrow"/>
                  <w:sz w:val="18"/>
                  <w:szCs w:val="18"/>
                </w:rPr>
                <w:t>QDAF - Satellite tracking on all boats</w:t>
              </w:r>
            </w:hyperlink>
          </w:p>
          <w:p w14:paraId="5761F1FC"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tcPr>
          <w:p w14:paraId="5761F1FD"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1F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209"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200"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commercial fishing with the community</w:t>
            </w:r>
          </w:p>
        </w:tc>
        <w:tc>
          <w:tcPr>
            <w:tcW w:w="1505" w:type="dxa"/>
            <w:tcBorders>
              <w:top w:val="single" w:sz="4" w:space="0" w:color="auto"/>
              <w:left w:val="single" w:sz="4" w:space="0" w:color="auto"/>
              <w:bottom w:val="single" w:sz="4" w:space="0" w:color="auto"/>
              <w:right w:val="single" w:sz="4" w:space="0" w:color="auto"/>
            </w:tcBorders>
          </w:tcPr>
          <w:p w14:paraId="5761F201"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202"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Pr>
                <w:rFonts w:ascii="Arial Narrow" w:hAnsi="Arial Narrow"/>
                <w:sz w:val="18"/>
                <w:szCs w:val="18"/>
              </w:rPr>
              <w:t>R</w:t>
            </w:r>
            <w:r w:rsidRPr="00942BDC">
              <w:rPr>
                <w:rFonts w:ascii="Arial Narrow" w:hAnsi="Arial Narrow"/>
                <w:sz w:val="18"/>
                <w:szCs w:val="18"/>
              </w:rPr>
              <w:t xml:space="preserve">elevant information is available on website. </w:t>
            </w:r>
          </w:p>
          <w:p w14:paraId="5761F20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Fisheries Queensland maintains a range of active social media channels, including</w:t>
            </w:r>
            <w:r w:rsidRPr="00E70A11">
              <w:rPr>
                <w:rFonts w:ascii="Arial Narrow" w:hAnsi="Arial Narrow"/>
                <w:sz w:val="18"/>
                <w:szCs w:val="18"/>
              </w:rPr>
              <w:t xml:space="preserve"> 35,000 facebook followers. </w:t>
            </w:r>
          </w:p>
          <w:p w14:paraId="5761F20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QDAF direct engagement with commercial fishers through email / SMS </w:t>
            </w:r>
            <w:r w:rsidRPr="00942BDC">
              <w:rPr>
                <w:rFonts w:ascii="Arial Narrow" w:hAnsi="Arial Narrow"/>
                <w:sz w:val="18"/>
                <w:szCs w:val="18"/>
              </w:rPr>
              <w:t>and face to face meetings</w:t>
            </w:r>
          </w:p>
          <w:p w14:paraId="5761F20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Sustainable Fisheries Strategy also commits to improving communication of fisheries data – e.g. dashboard, upgraded apps</w:t>
            </w:r>
            <w:r w:rsidRPr="00E70A11">
              <w:rPr>
                <w:rStyle w:val="BookTitle"/>
                <w:rFonts w:ascii="Arial Narrow" w:hAnsi="Arial Narrow"/>
                <w:sz w:val="18"/>
                <w:szCs w:val="18"/>
              </w:rPr>
              <w:t xml:space="preserve"> </w:t>
            </w:r>
          </w:p>
        </w:tc>
        <w:tc>
          <w:tcPr>
            <w:tcW w:w="4356" w:type="dxa"/>
            <w:tcBorders>
              <w:top w:val="single" w:sz="4" w:space="0" w:color="auto"/>
              <w:left w:val="single" w:sz="4" w:space="0" w:color="auto"/>
              <w:bottom w:val="single" w:sz="4" w:space="0" w:color="auto"/>
              <w:right w:val="single" w:sz="4" w:space="0" w:color="auto"/>
            </w:tcBorders>
          </w:tcPr>
          <w:p w14:paraId="5761F206"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813" w:history="1">
              <w:r w:rsidR="00A56EE9" w:rsidRPr="00E70A11">
                <w:rPr>
                  <w:rStyle w:val="Hyperlink"/>
                  <w:rFonts w:ascii="Arial Narrow" w:hAnsi="Arial Narrow"/>
                  <w:sz w:val="18"/>
                  <w:szCs w:val="18"/>
                </w:rPr>
                <w:t>Queensland Sustainable Fisheries Strategy 2017-2027</w:t>
              </w:r>
            </w:hyperlink>
          </w:p>
        </w:tc>
        <w:tc>
          <w:tcPr>
            <w:tcW w:w="990" w:type="dxa"/>
            <w:tcBorders>
              <w:top w:val="single" w:sz="4" w:space="0" w:color="auto"/>
              <w:left w:val="single" w:sz="4" w:space="0" w:color="auto"/>
              <w:bottom w:val="single" w:sz="4" w:space="0" w:color="auto"/>
              <w:right w:val="single" w:sz="4" w:space="0" w:color="auto"/>
            </w:tcBorders>
          </w:tcPr>
          <w:p w14:paraId="5761F207"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20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210"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0A" w14:textId="77777777" w:rsidR="00A56EE9" w:rsidRPr="00E70A11" w:rsidRDefault="00A56EE9" w:rsidP="00BB6AD5">
            <w:pPr>
              <w:pStyle w:val="Tablebulletlist"/>
              <w:rPr>
                <w:rStyle w:val="BookTitle"/>
              </w:rPr>
            </w:pPr>
            <w:r w:rsidRPr="00E70A11">
              <w:rPr>
                <w:rStyle w:val="BookTitle"/>
              </w:rPr>
              <w:t>OUTCOMES</w:t>
            </w:r>
          </w:p>
        </w:tc>
        <w:tc>
          <w:tcPr>
            <w:tcW w:w="150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0B" w14:textId="77777777" w:rsidR="00A56EE9" w:rsidRPr="00E70A11" w:rsidRDefault="00A56EE9" w:rsidP="00BB6AD5">
            <w:pPr>
              <w:pStyle w:val="Tablebulletlist"/>
              <w:rPr>
                <w:rStyle w:val="BookTitle"/>
              </w:rPr>
            </w:pPr>
          </w:p>
        </w:tc>
        <w:tc>
          <w:tcPr>
            <w:tcW w:w="39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0C" w14:textId="77777777" w:rsidR="00A56EE9" w:rsidRPr="00E70A11" w:rsidRDefault="00A56EE9" w:rsidP="00BB6AD5">
            <w:pPr>
              <w:pStyle w:val="ListParagraph"/>
              <w:ind w:left="360"/>
              <w:rPr>
                <w:rStyle w:val="BookTitle"/>
                <w:rFonts w:ascii="Arial Narrow" w:hAnsi="Arial Narrow"/>
                <w:sz w:val="18"/>
                <w:szCs w:val="18"/>
              </w:rPr>
            </w:pPr>
          </w:p>
        </w:tc>
        <w:tc>
          <w:tcPr>
            <w:tcW w:w="43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0D" w14:textId="77777777" w:rsidR="00A56EE9" w:rsidRPr="00E70A11" w:rsidRDefault="00A56EE9" w:rsidP="00BB6AD5">
            <w:pPr>
              <w:pStyle w:val="ListParagraph"/>
              <w:ind w:left="360"/>
              <w:rPr>
                <w:rStyle w:val="BookTitle"/>
                <w:rFonts w:ascii="Arial Narrow" w:hAnsi="Arial Narrow"/>
                <w:sz w:val="18"/>
                <w:szCs w:val="18"/>
              </w:rPr>
            </w:pPr>
          </w:p>
        </w:tc>
        <w:tc>
          <w:tcPr>
            <w:tcW w:w="9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0E"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0F" w14:textId="77777777" w:rsidR="00A56EE9" w:rsidRPr="00E70A11" w:rsidRDefault="00A56EE9" w:rsidP="00BB6AD5">
            <w:pPr>
              <w:pStyle w:val="Tablebulletlist"/>
              <w:rPr>
                <w:rStyle w:val="BookTitle"/>
              </w:rPr>
            </w:pPr>
          </w:p>
        </w:tc>
      </w:tr>
      <w:tr w:rsidR="00A56EE9" w:rsidRPr="00E70A11" w14:paraId="5761F21D"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211"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commercial fishing and moving towards the attainment of the desired outcomes.</w:t>
            </w:r>
          </w:p>
        </w:tc>
        <w:tc>
          <w:tcPr>
            <w:tcW w:w="1505" w:type="dxa"/>
            <w:tcBorders>
              <w:top w:val="single" w:sz="4" w:space="0" w:color="auto"/>
              <w:left w:val="single" w:sz="4" w:space="0" w:color="auto"/>
              <w:bottom w:val="single" w:sz="4" w:space="0" w:color="auto"/>
              <w:right w:val="single" w:sz="4" w:space="0" w:color="auto"/>
            </w:tcBorders>
          </w:tcPr>
          <w:p w14:paraId="5761F212" w14:textId="77777777" w:rsidR="00A56EE9" w:rsidRPr="00E70A11" w:rsidRDefault="00A56EE9" w:rsidP="00BB6AD5">
            <w:pPr>
              <w:pStyle w:val="Tablebulletlist"/>
              <w:rPr>
                <w:rStyle w:val="BookTitle"/>
              </w:rPr>
            </w:pPr>
            <w:r w:rsidRPr="00E70A11">
              <w:rPr>
                <w:rStyle w:val="BookTitle"/>
              </w:rPr>
              <w:t>2</w:t>
            </w:r>
          </w:p>
        </w:tc>
        <w:tc>
          <w:tcPr>
            <w:tcW w:w="3961" w:type="dxa"/>
            <w:tcBorders>
              <w:top w:val="single" w:sz="4" w:space="0" w:color="auto"/>
              <w:left w:val="single" w:sz="4" w:space="0" w:color="auto"/>
              <w:bottom w:val="single" w:sz="4" w:space="0" w:color="auto"/>
              <w:right w:val="single" w:sz="4" w:space="0" w:color="auto"/>
            </w:tcBorders>
          </w:tcPr>
          <w:p w14:paraId="5761F213"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Queensland Sustainable Fisheries Strategy states – ‘The current arrangements governing fisheries are problematic, costly to administer, inflexible and increasingly ineffective in ensuring the sustainability of fisheries resources and the economic viability of </w:t>
            </w:r>
            <w:r w:rsidRPr="00942BDC">
              <w:rPr>
                <w:rFonts w:ascii="Arial Narrow" w:hAnsi="Arial Narrow"/>
                <w:sz w:val="18"/>
                <w:szCs w:val="18"/>
              </w:rPr>
              <w:t>fishing sector’s’.</w:t>
            </w:r>
          </w:p>
          <w:p w14:paraId="5761F21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There is progress so far,</w:t>
            </w:r>
            <w:r>
              <w:rPr>
                <w:rFonts w:ascii="Arial Narrow" w:hAnsi="Arial Narrow"/>
                <w:sz w:val="18"/>
                <w:szCs w:val="18"/>
              </w:rPr>
              <w:t xml:space="preserve"> however, i</w:t>
            </w:r>
            <w:r w:rsidRPr="00E70A11">
              <w:rPr>
                <w:rFonts w:ascii="Arial Narrow" w:hAnsi="Arial Narrow"/>
                <w:sz w:val="18"/>
                <w:szCs w:val="18"/>
              </w:rPr>
              <w:t>t is too early to determine if the implementation of the QSFS will improve the attainment of desired outcomes</w:t>
            </w:r>
            <w:r>
              <w:rPr>
                <w:rFonts w:ascii="Arial Narrow" w:hAnsi="Arial Narrow"/>
                <w:sz w:val="18"/>
                <w:szCs w:val="18"/>
              </w:rPr>
              <w:t xml:space="preserve">. </w:t>
            </w:r>
            <w:r w:rsidRPr="00942BDC">
              <w:rPr>
                <w:rFonts w:ascii="Arial Narrow" w:hAnsi="Arial Narrow"/>
                <w:sz w:val="18"/>
                <w:szCs w:val="18"/>
              </w:rPr>
              <w:t>Targets have been set up to measure progress.</w:t>
            </w:r>
          </w:p>
          <w:p w14:paraId="5761F21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Although on a declining trend in recent years, illegal commercial fishing activities continue to undermine the attainment of the desired outcomes. The introduction of compulsory VMS across all commercial fisheries by 2020 is expected to greatly enhance </w:t>
            </w:r>
            <w:r w:rsidRPr="00942BDC">
              <w:rPr>
                <w:rFonts w:ascii="Arial Narrow" w:hAnsi="Arial Narrow"/>
                <w:sz w:val="18"/>
                <w:szCs w:val="18"/>
              </w:rPr>
              <w:t xml:space="preserve">compliance and attainment of desired outcomes. </w:t>
            </w:r>
          </w:p>
          <w:p w14:paraId="5761F21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Concerns is raided that controls over legal activities are insufficient to ensure fisheries resource and broader ecosystem sustainability. Examples include, overfished snapper and saucer scallop, transitional depleting pearl perch, disappearance of Spanish mackerel spawning aggregations and risks to SOCI populations. Research also indicates potential sustainability issues with the sea cucumber fishery</w:t>
            </w:r>
          </w:p>
        </w:tc>
        <w:tc>
          <w:tcPr>
            <w:tcW w:w="4356" w:type="dxa"/>
            <w:tcBorders>
              <w:top w:val="single" w:sz="4" w:space="0" w:color="auto"/>
              <w:left w:val="single" w:sz="4" w:space="0" w:color="auto"/>
              <w:bottom w:val="single" w:sz="4" w:space="0" w:color="auto"/>
              <w:right w:val="single" w:sz="4" w:space="0" w:color="auto"/>
            </w:tcBorders>
          </w:tcPr>
          <w:p w14:paraId="5761F217"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14" w:history="1">
              <w:r w:rsidR="00A56EE9" w:rsidRPr="00E70A11">
                <w:rPr>
                  <w:rStyle w:val="Hyperlink"/>
                  <w:rFonts w:ascii="Arial Narrow" w:hAnsi="Arial Narrow"/>
                  <w:sz w:val="18"/>
                  <w:szCs w:val="18"/>
                </w:rPr>
                <w:t>Queensland Sustainable Fisheries Strategy 2017-2027</w:t>
              </w:r>
            </w:hyperlink>
          </w:p>
          <w:p w14:paraId="5761F21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Strategic Compliance Risk Management Plan 2017-2018</w:t>
            </w:r>
          </w:p>
          <w:p w14:paraId="5761F219" w14:textId="607E27FB" w:rsidR="00A56EE9" w:rsidRDefault="00A56EE9" w:rsidP="00A11869">
            <w:pPr>
              <w:pStyle w:val="ListParagraph"/>
              <w:numPr>
                <w:ilvl w:val="0"/>
                <w:numId w:val="24"/>
              </w:numPr>
              <w:spacing w:after="200" w:line="276" w:lineRule="auto"/>
              <w:rPr>
                <w:rFonts w:ascii="Arial Narrow" w:hAnsi="Arial Narrow"/>
                <w:sz w:val="18"/>
                <w:szCs w:val="18"/>
              </w:rPr>
            </w:pPr>
            <w:r w:rsidRPr="00E70A11">
              <w:rPr>
                <w:rStyle w:val="BookTitle"/>
                <w:rFonts w:ascii="Arial Narrow" w:hAnsi="Arial Narrow"/>
                <w:sz w:val="18"/>
                <w:szCs w:val="18"/>
              </w:rPr>
              <w:t xml:space="preserve">Erikson and Byrne 2013 </w:t>
            </w:r>
            <w:hyperlink r:id="rId815" w:tooltip="document link" w:history="1">
              <w:r w:rsidRPr="00E70A11">
                <w:rPr>
                  <w:rStyle w:val="Hyperlink"/>
                  <w:rFonts w:ascii="Arial Narrow" w:hAnsi="Arial Narrow"/>
                  <w:sz w:val="18"/>
                  <w:szCs w:val="18"/>
                </w:rPr>
                <w:t>https://onlinelibrary.wiley.com/doi/abs/10.1111/faf.12059</w:t>
              </w:r>
            </w:hyperlink>
            <w:r w:rsidRPr="00E70A11">
              <w:rPr>
                <w:rFonts w:ascii="Arial Narrow" w:hAnsi="Arial Narrow"/>
                <w:sz w:val="18"/>
                <w:szCs w:val="18"/>
              </w:rPr>
              <w:t>)</w:t>
            </w:r>
          </w:p>
          <w:p w14:paraId="5761F21A" w14:textId="2572CA09"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816" w:tooltip="document link" w:history="1">
              <w:r w:rsidR="00A56EE9" w:rsidRPr="00942BDC">
                <w:rPr>
                  <w:rStyle w:val="Hyperlink"/>
                  <w:rFonts w:ascii="Arial Narrow" w:hAnsi="Arial Narrow"/>
                  <w:sz w:val="18"/>
                  <w:szCs w:val="18"/>
                </w:rPr>
                <w:t>https://www.daf.qld.gov.au/business-priorities/fisheries/sustainable-fisheries-strategy/changes-to-queenslands-fisheries-legislation</w:t>
              </w:r>
            </w:hyperlink>
          </w:p>
        </w:tc>
        <w:tc>
          <w:tcPr>
            <w:tcW w:w="990" w:type="dxa"/>
            <w:tcBorders>
              <w:top w:val="single" w:sz="4" w:space="0" w:color="auto"/>
              <w:left w:val="single" w:sz="4" w:space="0" w:color="auto"/>
              <w:bottom w:val="single" w:sz="4" w:space="0" w:color="auto"/>
              <w:right w:val="single" w:sz="4" w:space="0" w:color="auto"/>
            </w:tcBorders>
          </w:tcPr>
          <w:p w14:paraId="5761F21B"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21C" w14:textId="77777777" w:rsidR="00A56EE9" w:rsidRPr="00E70A11" w:rsidRDefault="00A56EE9" w:rsidP="00BB6AD5">
            <w:pPr>
              <w:pStyle w:val="Tablebulletlist"/>
              <w:rPr>
                <w:rStyle w:val="BookTitle"/>
              </w:rPr>
            </w:pPr>
            <w:r w:rsidRPr="00E70A11">
              <w:rPr>
                <w:rStyle w:val="BookTitle"/>
              </w:rPr>
              <w:t>Deteriorating</w:t>
            </w:r>
          </w:p>
        </w:tc>
      </w:tr>
      <w:tr w:rsidR="00A56EE9" w:rsidRPr="00E70A11" w14:paraId="5761F237"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21E"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commercial fishing are on track to ensure the values of the Great Barrier Reef are protected (refer CO1)</w:t>
            </w:r>
          </w:p>
        </w:tc>
        <w:tc>
          <w:tcPr>
            <w:tcW w:w="1505" w:type="dxa"/>
            <w:tcBorders>
              <w:top w:val="single" w:sz="4" w:space="0" w:color="auto"/>
              <w:left w:val="single" w:sz="4" w:space="0" w:color="auto"/>
              <w:bottom w:val="single" w:sz="4" w:space="0" w:color="auto"/>
              <w:right w:val="single" w:sz="4" w:space="0" w:color="auto"/>
            </w:tcBorders>
          </w:tcPr>
          <w:p w14:paraId="5761F21F" w14:textId="77777777" w:rsidR="00A56EE9" w:rsidRPr="00E70A11" w:rsidRDefault="00A56EE9" w:rsidP="00BB6AD5">
            <w:pPr>
              <w:pStyle w:val="Tablebulletlist"/>
              <w:rPr>
                <w:rStyle w:val="BookTitle"/>
              </w:rPr>
            </w:pPr>
            <w:r w:rsidRPr="00E70A11">
              <w:rPr>
                <w:rStyle w:val="BookTitle"/>
              </w:rPr>
              <w:t>2</w:t>
            </w:r>
          </w:p>
        </w:tc>
        <w:tc>
          <w:tcPr>
            <w:tcW w:w="3961" w:type="dxa"/>
            <w:tcBorders>
              <w:top w:val="single" w:sz="4" w:space="0" w:color="auto"/>
              <w:left w:val="single" w:sz="4" w:space="0" w:color="auto"/>
              <w:bottom w:val="single" w:sz="4" w:space="0" w:color="auto"/>
              <w:right w:val="single" w:sz="4" w:space="0" w:color="auto"/>
            </w:tcBorders>
          </w:tcPr>
          <w:p w14:paraId="5761F220" w14:textId="77777777" w:rsidR="00A56EE9" w:rsidRPr="00942BDC" w:rsidRDefault="00A56EE9" w:rsidP="00A11869">
            <w:pPr>
              <w:pStyle w:val="ListParagraph"/>
              <w:numPr>
                <w:ilvl w:val="0"/>
                <w:numId w:val="24"/>
              </w:numPr>
              <w:spacing w:after="200" w:line="276" w:lineRule="auto"/>
              <w:rPr>
                <w:rFonts w:ascii="Arial Narrow" w:hAnsi="Arial Narrow"/>
                <w:sz w:val="18"/>
                <w:szCs w:val="18"/>
              </w:rPr>
            </w:pPr>
            <w:r w:rsidRPr="00942BDC">
              <w:rPr>
                <w:rFonts w:ascii="Arial Narrow" w:hAnsi="Arial Narrow"/>
                <w:sz w:val="18"/>
                <w:szCs w:val="18"/>
              </w:rPr>
              <w:t>A number of outputs have been achieved</w:t>
            </w:r>
            <w:r>
              <w:rPr>
                <w:rFonts w:ascii="Arial Narrow" w:hAnsi="Arial Narrow"/>
                <w:sz w:val="18"/>
                <w:szCs w:val="18"/>
              </w:rPr>
              <w:t xml:space="preserve"> under the SFS</w:t>
            </w:r>
            <w:r w:rsidRPr="00942BDC">
              <w:rPr>
                <w:rFonts w:ascii="Arial Narrow" w:hAnsi="Arial Narrow"/>
                <w:sz w:val="18"/>
                <w:szCs w:val="18"/>
              </w:rPr>
              <w:t>:</w:t>
            </w:r>
          </w:p>
          <w:p w14:paraId="5761F221" w14:textId="77777777" w:rsidR="00A56EE9" w:rsidRPr="00942BDC" w:rsidRDefault="00A56EE9" w:rsidP="00A11869">
            <w:pPr>
              <w:pStyle w:val="ListParagraph"/>
              <w:numPr>
                <w:ilvl w:val="1"/>
                <w:numId w:val="24"/>
              </w:numPr>
              <w:spacing w:after="200" w:line="276" w:lineRule="auto"/>
              <w:rPr>
                <w:rFonts w:ascii="Arial Narrow" w:hAnsi="Arial Narrow"/>
                <w:sz w:val="18"/>
                <w:szCs w:val="18"/>
              </w:rPr>
            </w:pPr>
            <w:r>
              <w:rPr>
                <w:rFonts w:ascii="Arial Narrow" w:hAnsi="Arial Narrow"/>
                <w:sz w:val="18"/>
                <w:szCs w:val="18"/>
              </w:rPr>
              <w:t>16</w:t>
            </w:r>
            <w:r w:rsidRPr="00942BDC">
              <w:rPr>
                <w:rFonts w:ascii="Arial Narrow" w:hAnsi="Arial Narrow"/>
                <w:sz w:val="18"/>
                <w:szCs w:val="18"/>
              </w:rPr>
              <w:t xml:space="preserve"> new compliance officers</w:t>
            </w:r>
          </w:p>
          <w:p w14:paraId="5761F222" w14:textId="77777777" w:rsidR="00A56EE9" w:rsidRPr="00942BDC" w:rsidRDefault="00A56EE9" w:rsidP="00A11869">
            <w:pPr>
              <w:pStyle w:val="ListParagraph"/>
              <w:numPr>
                <w:ilvl w:val="1"/>
                <w:numId w:val="24"/>
              </w:numPr>
              <w:spacing w:after="200" w:line="276" w:lineRule="auto"/>
              <w:rPr>
                <w:rFonts w:ascii="Arial Narrow" w:hAnsi="Arial Narrow"/>
                <w:sz w:val="18"/>
                <w:szCs w:val="18"/>
              </w:rPr>
            </w:pPr>
            <w:r w:rsidRPr="00942BDC">
              <w:rPr>
                <w:rFonts w:ascii="Arial Narrow" w:hAnsi="Arial Narrow"/>
                <w:sz w:val="18"/>
                <w:szCs w:val="18"/>
              </w:rPr>
              <w:t>Trial of new vessel tracking units</w:t>
            </w:r>
          </w:p>
          <w:p w14:paraId="5761F223" w14:textId="77777777" w:rsidR="00A56EE9" w:rsidRPr="00942BDC" w:rsidRDefault="00A56EE9" w:rsidP="00A11869">
            <w:pPr>
              <w:pStyle w:val="ListParagraph"/>
              <w:numPr>
                <w:ilvl w:val="1"/>
                <w:numId w:val="24"/>
              </w:numPr>
              <w:spacing w:after="200" w:line="276" w:lineRule="auto"/>
              <w:rPr>
                <w:rFonts w:ascii="Arial Narrow" w:hAnsi="Arial Narrow"/>
                <w:sz w:val="18"/>
                <w:szCs w:val="18"/>
              </w:rPr>
            </w:pPr>
            <w:r w:rsidRPr="00942BDC">
              <w:rPr>
                <w:rFonts w:ascii="Arial Narrow" w:hAnsi="Arial Narrow"/>
                <w:sz w:val="18"/>
                <w:szCs w:val="18"/>
              </w:rPr>
              <w:t>New monitoring programs rolled out</w:t>
            </w:r>
          </w:p>
          <w:p w14:paraId="5761F224" w14:textId="77777777" w:rsidR="00A56EE9" w:rsidRPr="00942BDC" w:rsidRDefault="00A56EE9" w:rsidP="00A11869">
            <w:pPr>
              <w:pStyle w:val="ListParagraph"/>
              <w:numPr>
                <w:ilvl w:val="1"/>
                <w:numId w:val="24"/>
              </w:numPr>
              <w:spacing w:after="200" w:line="276" w:lineRule="auto"/>
              <w:rPr>
                <w:rFonts w:ascii="Arial Narrow" w:hAnsi="Arial Narrow"/>
                <w:sz w:val="18"/>
                <w:szCs w:val="18"/>
              </w:rPr>
            </w:pPr>
            <w:r w:rsidRPr="00942BDC">
              <w:rPr>
                <w:rFonts w:ascii="Arial Narrow" w:hAnsi="Arial Narrow"/>
                <w:sz w:val="18"/>
                <w:szCs w:val="18"/>
              </w:rPr>
              <w:t>New engagement mechanisms set up (working groups and expert panel)</w:t>
            </w:r>
          </w:p>
          <w:p w14:paraId="5761F225" w14:textId="77777777" w:rsidR="00A56EE9" w:rsidRPr="00942BDC" w:rsidRDefault="00A56EE9" w:rsidP="00A11869">
            <w:pPr>
              <w:pStyle w:val="ListParagraph"/>
              <w:numPr>
                <w:ilvl w:val="1"/>
                <w:numId w:val="24"/>
              </w:numPr>
              <w:spacing w:after="200" w:line="276" w:lineRule="auto"/>
              <w:rPr>
                <w:rFonts w:ascii="Arial Narrow" w:hAnsi="Arial Narrow"/>
                <w:sz w:val="18"/>
                <w:szCs w:val="18"/>
              </w:rPr>
            </w:pPr>
            <w:r w:rsidRPr="00942BDC">
              <w:rPr>
                <w:rFonts w:ascii="Arial Narrow" w:hAnsi="Arial Narrow"/>
                <w:sz w:val="18"/>
                <w:szCs w:val="18"/>
              </w:rPr>
              <w:t>Guidelines released for ERAs and harvest strategies</w:t>
            </w:r>
          </w:p>
          <w:p w14:paraId="5761F226" w14:textId="77777777" w:rsidR="00A56EE9" w:rsidRPr="00942BDC" w:rsidRDefault="00A56EE9" w:rsidP="00A11869">
            <w:pPr>
              <w:pStyle w:val="ListParagraph"/>
              <w:numPr>
                <w:ilvl w:val="1"/>
                <w:numId w:val="24"/>
              </w:numPr>
              <w:spacing w:after="200" w:line="276" w:lineRule="auto"/>
              <w:rPr>
                <w:rFonts w:ascii="Arial Narrow" w:hAnsi="Arial Narrow"/>
                <w:sz w:val="18"/>
                <w:szCs w:val="18"/>
              </w:rPr>
            </w:pPr>
            <w:r w:rsidRPr="00942BDC">
              <w:rPr>
                <w:rFonts w:ascii="Arial Narrow" w:hAnsi="Arial Narrow"/>
                <w:sz w:val="18"/>
                <w:szCs w:val="18"/>
              </w:rPr>
              <w:t>Discussion papers released on amendments to Act and fishery reform options</w:t>
            </w:r>
          </w:p>
          <w:p w14:paraId="5761F227" w14:textId="77777777" w:rsidR="00A56EE9" w:rsidRPr="00942BDC" w:rsidRDefault="00A56EE9" w:rsidP="00A11869">
            <w:pPr>
              <w:pStyle w:val="ListParagraph"/>
              <w:numPr>
                <w:ilvl w:val="1"/>
                <w:numId w:val="24"/>
              </w:numPr>
              <w:spacing w:after="200" w:line="276" w:lineRule="auto"/>
              <w:rPr>
                <w:rFonts w:ascii="Arial Narrow" w:hAnsi="Arial Narrow"/>
                <w:sz w:val="18"/>
                <w:szCs w:val="18"/>
              </w:rPr>
            </w:pPr>
            <w:r w:rsidRPr="00942BDC">
              <w:rPr>
                <w:rFonts w:ascii="Arial Narrow" w:hAnsi="Arial Narrow"/>
                <w:sz w:val="18"/>
                <w:szCs w:val="18"/>
              </w:rPr>
              <w:t>Reallocation policy completed</w:t>
            </w:r>
          </w:p>
          <w:p w14:paraId="5761F228" w14:textId="77777777" w:rsidR="00A56EE9" w:rsidRPr="00942BDC" w:rsidRDefault="00A56EE9" w:rsidP="00A11869">
            <w:pPr>
              <w:pStyle w:val="ListParagraph"/>
              <w:numPr>
                <w:ilvl w:val="1"/>
                <w:numId w:val="24"/>
              </w:numPr>
              <w:spacing w:after="200" w:line="276" w:lineRule="auto"/>
              <w:rPr>
                <w:rFonts w:ascii="Arial Narrow" w:hAnsi="Arial Narrow"/>
                <w:sz w:val="18"/>
                <w:szCs w:val="18"/>
              </w:rPr>
            </w:pPr>
            <w:r w:rsidRPr="00942BDC">
              <w:rPr>
                <w:rFonts w:ascii="Arial Narrow" w:hAnsi="Arial Narrow"/>
                <w:sz w:val="18"/>
                <w:szCs w:val="18"/>
              </w:rPr>
              <w:t>Novel technologies being rolled out (apps, cameras on boats)</w:t>
            </w:r>
          </w:p>
          <w:p w14:paraId="5761F22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Fishing related risks </w:t>
            </w:r>
          </w:p>
          <w:p w14:paraId="5761F22A"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Incidental catch of species of conservation concern</w:t>
            </w:r>
          </w:p>
          <w:p w14:paraId="5761F22B"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Illegal fishing and poaching</w:t>
            </w:r>
          </w:p>
          <w:p w14:paraId="5761F22C"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Extraction of predators</w:t>
            </w:r>
          </w:p>
          <w:p w14:paraId="5761F22D"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Discarded catch</w:t>
            </w:r>
          </w:p>
          <w:p w14:paraId="5761F22E"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Extraction from spawning aggregations</w:t>
            </w:r>
          </w:p>
          <w:p w14:paraId="5761F22F" w14:textId="77777777" w:rsidR="00A56EE9" w:rsidRDefault="00A56EE9" w:rsidP="00A11869">
            <w:pPr>
              <w:pStyle w:val="ListParagraph"/>
              <w:numPr>
                <w:ilvl w:val="1"/>
                <w:numId w:val="24"/>
              </w:numPr>
              <w:spacing w:after="200" w:line="276" w:lineRule="auto"/>
              <w:rPr>
                <w:rFonts w:ascii="Arial Narrow" w:hAnsi="Arial Narrow"/>
                <w:sz w:val="18"/>
                <w:szCs w:val="18"/>
              </w:rPr>
            </w:pPr>
            <w:proofErr w:type="gramStart"/>
            <w:r w:rsidRPr="00E70A11">
              <w:rPr>
                <w:rFonts w:ascii="Arial Narrow" w:hAnsi="Arial Narrow"/>
                <w:sz w:val="18"/>
                <w:szCs w:val="18"/>
              </w:rPr>
              <w:t>directly</w:t>
            </w:r>
            <w:proofErr w:type="gramEnd"/>
            <w:r w:rsidRPr="00E70A11">
              <w:rPr>
                <w:rFonts w:ascii="Arial Narrow" w:hAnsi="Arial Narrow"/>
                <w:sz w:val="18"/>
                <w:szCs w:val="18"/>
              </w:rPr>
              <w:t xml:space="preserve"> impact the values of the Great Barrier Reef.</w:t>
            </w:r>
          </w:p>
          <w:p w14:paraId="5761F230" w14:textId="77777777" w:rsidR="00A56EE9" w:rsidRDefault="00A56EE9" w:rsidP="00A11869">
            <w:pPr>
              <w:pStyle w:val="ListParagraph"/>
              <w:numPr>
                <w:ilvl w:val="1"/>
                <w:numId w:val="24"/>
              </w:numPr>
              <w:spacing w:after="200" w:line="276" w:lineRule="auto"/>
              <w:ind w:left="371"/>
              <w:rPr>
                <w:rFonts w:ascii="Arial Narrow" w:hAnsi="Arial Narrow"/>
                <w:sz w:val="18"/>
                <w:szCs w:val="18"/>
              </w:rPr>
            </w:pPr>
            <w:r>
              <w:rPr>
                <w:rFonts w:ascii="Arial Narrow" w:hAnsi="Arial Narrow"/>
                <w:sz w:val="18"/>
                <w:szCs w:val="18"/>
              </w:rPr>
              <w:t>While</w:t>
            </w:r>
            <w:r w:rsidRPr="000E17A6">
              <w:rPr>
                <w:rFonts w:ascii="Arial Narrow" w:hAnsi="Arial Narrow"/>
                <w:sz w:val="18"/>
                <w:szCs w:val="18"/>
              </w:rPr>
              <w:t xml:space="preserve"> there have been </w:t>
            </w:r>
            <w:r>
              <w:rPr>
                <w:rFonts w:ascii="Arial Narrow" w:hAnsi="Arial Narrow"/>
                <w:sz w:val="18"/>
                <w:szCs w:val="18"/>
              </w:rPr>
              <w:t xml:space="preserve">significant </w:t>
            </w:r>
            <w:r w:rsidRPr="000E17A6">
              <w:rPr>
                <w:rFonts w:ascii="Arial Narrow" w:hAnsi="Arial Narrow"/>
                <w:sz w:val="18"/>
                <w:szCs w:val="18"/>
              </w:rPr>
              <w:t xml:space="preserve">efforts in the Field Management Program </w:t>
            </w:r>
            <w:r>
              <w:rPr>
                <w:rFonts w:ascii="Arial Narrow" w:hAnsi="Arial Narrow"/>
                <w:sz w:val="18"/>
                <w:szCs w:val="18"/>
              </w:rPr>
              <w:t xml:space="preserve">and Queensland Boating and Fishing Patrols, </w:t>
            </w:r>
            <w:r w:rsidRPr="000E17A6">
              <w:rPr>
                <w:rFonts w:ascii="Arial Narrow" w:hAnsi="Arial Narrow"/>
                <w:sz w:val="18"/>
                <w:szCs w:val="18"/>
              </w:rPr>
              <w:t>to mitigate illegal fishing and poaching, there has been no program to date to mitigate the other very high and high fishing related risks.</w:t>
            </w:r>
          </w:p>
          <w:p w14:paraId="5761F231" w14:textId="77777777" w:rsidR="00A56EE9" w:rsidRPr="00734387" w:rsidRDefault="00A56EE9" w:rsidP="00A11869">
            <w:pPr>
              <w:pStyle w:val="ListParagraph"/>
              <w:numPr>
                <w:ilvl w:val="1"/>
                <w:numId w:val="24"/>
              </w:numPr>
              <w:spacing w:after="200" w:line="276" w:lineRule="auto"/>
              <w:ind w:left="371"/>
              <w:rPr>
                <w:rStyle w:val="BookTitle"/>
                <w:rFonts w:ascii="Arial Narrow" w:hAnsi="Arial Narrow"/>
                <w:sz w:val="18"/>
                <w:szCs w:val="18"/>
              </w:rPr>
            </w:pPr>
            <w:r w:rsidRPr="00734387">
              <w:rPr>
                <w:rStyle w:val="BookTitle"/>
                <w:rFonts w:ascii="Arial Narrow" w:hAnsi="Arial Narrow"/>
                <w:sz w:val="18"/>
                <w:szCs w:val="18"/>
              </w:rPr>
              <w:t xml:space="preserve">QBFP has moved to an </w:t>
            </w:r>
            <w:proofErr w:type="gramStart"/>
            <w:r w:rsidRPr="00734387">
              <w:rPr>
                <w:rStyle w:val="BookTitle"/>
                <w:rFonts w:ascii="Arial Narrow" w:hAnsi="Arial Narrow"/>
                <w:sz w:val="18"/>
                <w:szCs w:val="18"/>
              </w:rPr>
              <w:t>intel</w:t>
            </w:r>
            <w:proofErr w:type="gramEnd"/>
            <w:r w:rsidRPr="00734387">
              <w:rPr>
                <w:rStyle w:val="BookTitle"/>
                <w:rFonts w:ascii="Arial Narrow" w:hAnsi="Arial Narrow"/>
                <w:sz w:val="18"/>
                <w:szCs w:val="18"/>
              </w:rPr>
              <w:t xml:space="preserve"> based compliance approach addressing key risk areas. Better compliance outcomes through specific action plans</w:t>
            </w:r>
          </w:p>
        </w:tc>
        <w:tc>
          <w:tcPr>
            <w:tcW w:w="4356" w:type="dxa"/>
            <w:tcBorders>
              <w:top w:val="single" w:sz="4" w:space="0" w:color="auto"/>
              <w:left w:val="single" w:sz="4" w:space="0" w:color="auto"/>
              <w:bottom w:val="single" w:sz="4" w:space="0" w:color="auto"/>
              <w:right w:val="single" w:sz="4" w:space="0" w:color="auto"/>
            </w:tcBorders>
          </w:tcPr>
          <w:p w14:paraId="5761F232"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17" w:history="1">
              <w:r w:rsidR="00A56EE9" w:rsidRPr="00E70A11">
                <w:rPr>
                  <w:rStyle w:val="Hyperlink"/>
                  <w:rFonts w:ascii="Arial Narrow" w:hAnsi="Arial Narrow"/>
                  <w:sz w:val="18"/>
                  <w:szCs w:val="18"/>
                </w:rPr>
                <w:t>Queensland Sustainable Fisheries Strategy 2017-2027</w:t>
              </w:r>
            </w:hyperlink>
          </w:p>
          <w:p w14:paraId="5761F233" w14:textId="77777777" w:rsidR="00A56EE9" w:rsidRPr="00AD64EC"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Spanish Mackerel Fishery: Buckely et al. 2017</w:t>
            </w:r>
          </w:p>
          <w:p w14:paraId="5761F23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42BDC">
              <w:rPr>
                <w:rStyle w:val="Hyperlink"/>
                <w:rFonts w:ascii="Arial Narrow" w:hAnsi="Arial Narrow"/>
                <w:sz w:val="18"/>
                <w:szCs w:val="18"/>
              </w:rPr>
              <w:t>See for progress: https://www.daf.qld.gov.au/business-priorities/fisheries/sustainable-fisheries-strategy/_nocache</w:t>
            </w:r>
          </w:p>
        </w:tc>
        <w:tc>
          <w:tcPr>
            <w:tcW w:w="990" w:type="dxa"/>
            <w:tcBorders>
              <w:top w:val="single" w:sz="4" w:space="0" w:color="auto"/>
              <w:left w:val="single" w:sz="4" w:space="0" w:color="auto"/>
              <w:bottom w:val="single" w:sz="4" w:space="0" w:color="auto"/>
              <w:right w:val="single" w:sz="4" w:space="0" w:color="auto"/>
            </w:tcBorders>
          </w:tcPr>
          <w:p w14:paraId="5761F235"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236" w14:textId="77777777" w:rsidR="00A56EE9" w:rsidRPr="00E70A11" w:rsidRDefault="00A56EE9" w:rsidP="00BB6AD5">
            <w:pPr>
              <w:pStyle w:val="Tablebulletlist"/>
              <w:rPr>
                <w:rStyle w:val="BookTitle"/>
              </w:rPr>
            </w:pPr>
            <w:r w:rsidRPr="00E70A11">
              <w:rPr>
                <w:rStyle w:val="BookTitle"/>
              </w:rPr>
              <w:t>Deteriorating</w:t>
            </w:r>
          </w:p>
        </w:tc>
      </w:tr>
      <w:tr w:rsidR="00A56EE9" w:rsidRPr="00E70A11" w14:paraId="5761F240"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238"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commercial fishing are reducing the major risks and the threats to the Great Barrier Reef</w:t>
            </w:r>
          </w:p>
        </w:tc>
        <w:tc>
          <w:tcPr>
            <w:tcW w:w="1505" w:type="dxa"/>
            <w:tcBorders>
              <w:top w:val="single" w:sz="4" w:space="0" w:color="auto"/>
              <w:left w:val="single" w:sz="4" w:space="0" w:color="auto"/>
              <w:bottom w:val="single" w:sz="4" w:space="0" w:color="auto"/>
              <w:right w:val="single" w:sz="4" w:space="0" w:color="auto"/>
            </w:tcBorders>
          </w:tcPr>
          <w:p w14:paraId="5761F239" w14:textId="77777777" w:rsidR="00A56EE9" w:rsidRPr="00E70A11" w:rsidRDefault="00A56EE9" w:rsidP="00BB6AD5">
            <w:pPr>
              <w:pStyle w:val="Tablebulletlist"/>
              <w:rPr>
                <w:rStyle w:val="BookTitle"/>
              </w:rPr>
            </w:pPr>
            <w:r w:rsidRPr="00E70A11">
              <w:rPr>
                <w:rStyle w:val="BookTitle"/>
              </w:rPr>
              <w:t>2</w:t>
            </w:r>
          </w:p>
        </w:tc>
        <w:tc>
          <w:tcPr>
            <w:tcW w:w="3961" w:type="dxa"/>
            <w:tcBorders>
              <w:top w:val="single" w:sz="4" w:space="0" w:color="auto"/>
              <w:left w:val="single" w:sz="4" w:space="0" w:color="auto"/>
              <w:bottom w:val="single" w:sz="4" w:space="0" w:color="auto"/>
              <w:right w:val="single" w:sz="4" w:space="0" w:color="auto"/>
            </w:tcBorders>
          </w:tcPr>
          <w:p w14:paraId="5761F23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Except for compliance efforts in the Field Management Program, Qld boating and Fisheries Patrol and advances in VMS</w:t>
            </w:r>
            <w:r>
              <w:rPr>
                <w:rFonts w:ascii="Arial Narrow" w:hAnsi="Arial Narrow"/>
                <w:sz w:val="18"/>
                <w:szCs w:val="18"/>
              </w:rPr>
              <w:t xml:space="preserve"> </w:t>
            </w:r>
            <w:r w:rsidRPr="00E70A11">
              <w:rPr>
                <w:rFonts w:ascii="Arial Narrow" w:hAnsi="Arial Narrow"/>
                <w:sz w:val="18"/>
                <w:szCs w:val="18"/>
              </w:rPr>
              <w:t>to mitigate illegal fishing and poaching, the outputs for commercial fishing have not reduced the major risks and the threats to the Great Barrier Reef.</w:t>
            </w:r>
            <w:r w:rsidRPr="00922667">
              <w:rPr>
                <w:rFonts w:ascii="Arial Narrow" w:hAnsi="Arial Narrow"/>
                <w:sz w:val="18"/>
                <w:szCs w:val="18"/>
              </w:rPr>
              <w:t>A new state</w:t>
            </w:r>
            <w:r w:rsidRPr="00E70A11">
              <w:rPr>
                <w:rFonts w:ascii="Arial Narrow" w:hAnsi="Arial Narrow"/>
                <w:sz w:val="18"/>
                <w:szCs w:val="18"/>
              </w:rPr>
              <w:t>-of-the-art high-speed compliance patrol vessel will join efforts to protect the Great Barrier Reef. The $735,000 custom-built Reef Sentinel will employ night detection technology to continue to target illegal activity in protected marine areas off Townsville and the Whitsundays. The 11.5-metre Reef Sentinel is funded by the Australian and Queensland Governments' joint Field Management Program</w:t>
            </w:r>
          </w:p>
        </w:tc>
        <w:tc>
          <w:tcPr>
            <w:tcW w:w="4356" w:type="dxa"/>
            <w:tcBorders>
              <w:top w:val="single" w:sz="4" w:space="0" w:color="auto"/>
              <w:left w:val="single" w:sz="4" w:space="0" w:color="auto"/>
              <w:bottom w:val="single" w:sz="4" w:space="0" w:color="auto"/>
              <w:right w:val="single" w:sz="4" w:space="0" w:color="auto"/>
            </w:tcBorders>
          </w:tcPr>
          <w:p w14:paraId="5761F23B" w14:textId="77777777" w:rsidR="00A56EE9" w:rsidRPr="00AD64EC" w:rsidRDefault="008B5998" w:rsidP="00A11869">
            <w:pPr>
              <w:pStyle w:val="ListParagraph"/>
              <w:numPr>
                <w:ilvl w:val="0"/>
                <w:numId w:val="24"/>
              </w:numPr>
              <w:spacing w:after="200" w:line="276" w:lineRule="auto"/>
              <w:rPr>
                <w:rStyle w:val="Hyperlink"/>
                <w:rFonts w:ascii="Arial Narrow" w:hAnsi="Arial Narrow"/>
                <w:sz w:val="18"/>
                <w:szCs w:val="18"/>
              </w:rPr>
            </w:pPr>
            <w:hyperlink r:id="rId818" w:history="1">
              <w:r w:rsidR="00A56EE9" w:rsidRPr="00E70A11">
                <w:rPr>
                  <w:rStyle w:val="Hyperlink"/>
                  <w:rFonts w:ascii="Arial Narrow" w:hAnsi="Arial Narrow"/>
                  <w:sz w:val="18"/>
                  <w:szCs w:val="18"/>
                </w:rPr>
                <w:t>Queensland Sustainable Fisheries Strategy 2017-2027</w:t>
              </w:r>
            </w:hyperlink>
          </w:p>
          <w:p w14:paraId="5761F23C" w14:textId="595B9C65" w:rsidR="00A56EE9" w:rsidRPr="00922667" w:rsidRDefault="008B5998" w:rsidP="00A11869">
            <w:pPr>
              <w:pStyle w:val="ListParagraph"/>
              <w:numPr>
                <w:ilvl w:val="0"/>
                <w:numId w:val="24"/>
              </w:numPr>
              <w:spacing w:after="200" w:line="276" w:lineRule="auto"/>
              <w:rPr>
                <w:rStyle w:val="BookTitle"/>
                <w:rFonts w:ascii="Arial Narrow" w:hAnsi="Arial Narrow"/>
                <w:sz w:val="18"/>
                <w:szCs w:val="18"/>
              </w:rPr>
            </w:pPr>
            <w:hyperlink r:id="rId819" w:tooltip="document link" w:history="1">
              <w:r w:rsidR="00A56EE9" w:rsidRPr="00922667">
                <w:rPr>
                  <w:rStyle w:val="Hyperlink"/>
                  <w:rFonts w:ascii="Arial Narrow" w:hAnsi="Arial Narrow"/>
                  <w:sz w:val="18"/>
                  <w:szCs w:val="18"/>
                </w:rPr>
                <w:t>https://www.daf.qld.gov.au/business-priorities/fisheries/consultations-and-legislation/reviews-surveys-and-consultations/scallop-fishing-closures</w:t>
              </w:r>
            </w:hyperlink>
          </w:p>
          <w:p w14:paraId="5761F23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22667">
              <w:rPr>
                <w:rStyle w:val="BookTitle"/>
                <w:rFonts w:ascii="Arial Narrow" w:hAnsi="Arial Narrow"/>
                <w:sz w:val="18"/>
                <w:szCs w:val="18"/>
              </w:rPr>
              <w:t>https://www.daf.qld.gov.au/our-organisation/news-and-updates/fisheries/news/new-rules-commence-for-hammerhead-sharks</w:t>
            </w:r>
          </w:p>
        </w:tc>
        <w:tc>
          <w:tcPr>
            <w:tcW w:w="990" w:type="dxa"/>
            <w:tcBorders>
              <w:top w:val="single" w:sz="4" w:space="0" w:color="auto"/>
              <w:left w:val="single" w:sz="4" w:space="0" w:color="auto"/>
              <w:bottom w:val="single" w:sz="4" w:space="0" w:color="auto"/>
              <w:right w:val="single" w:sz="4" w:space="0" w:color="auto"/>
            </w:tcBorders>
          </w:tcPr>
          <w:p w14:paraId="5761F23E"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23F"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250"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241"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commercial fishing is demonstrably environmentally sustainable</w:t>
            </w:r>
          </w:p>
        </w:tc>
        <w:tc>
          <w:tcPr>
            <w:tcW w:w="1505" w:type="dxa"/>
            <w:tcBorders>
              <w:top w:val="single" w:sz="4" w:space="0" w:color="auto"/>
              <w:left w:val="single" w:sz="4" w:space="0" w:color="auto"/>
              <w:bottom w:val="single" w:sz="4" w:space="0" w:color="auto"/>
              <w:right w:val="single" w:sz="4" w:space="0" w:color="auto"/>
            </w:tcBorders>
          </w:tcPr>
          <w:p w14:paraId="5761F242" w14:textId="77777777" w:rsidR="00A56EE9" w:rsidRPr="00E70A11" w:rsidRDefault="00A56EE9" w:rsidP="00BB6AD5">
            <w:pPr>
              <w:pStyle w:val="Tablebulletlist"/>
              <w:rPr>
                <w:rStyle w:val="BookTitle"/>
              </w:rPr>
            </w:pPr>
            <w:r w:rsidRPr="00E70A11">
              <w:rPr>
                <w:rStyle w:val="BookTitle"/>
              </w:rPr>
              <w:t>2</w:t>
            </w:r>
          </w:p>
        </w:tc>
        <w:tc>
          <w:tcPr>
            <w:tcW w:w="3961" w:type="dxa"/>
            <w:tcBorders>
              <w:top w:val="single" w:sz="4" w:space="0" w:color="auto"/>
              <w:left w:val="single" w:sz="4" w:space="0" w:color="auto"/>
              <w:bottom w:val="single" w:sz="4" w:space="0" w:color="auto"/>
              <w:right w:val="single" w:sz="4" w:space="0" w:color="auto"/>
            </w:tcBorders>
          </w:tcPr>
          <w:p w14:paraId="5761F243"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rPr>
            </w:pPr>
            <w:r w:rsidRPr="00E70A11">
              <w:rPr>
                <w:rFonts w:ascii="Arial Narrow" w:hAnsi="Arial Narrow"/>
                <w:sz w:val="18"/>
                <w:szCs w:val="18"/>
              </w:rPr>
              <w:t>Reforms proposed in the QSFS provide an opportunity to demonstrate commercial fishing in the GBR is environmentally sustainable.</w:t>
            </w:r>
          </w:p>
          <w:p w14:paraId="5761F244"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This cannot be demonstrated at present</w:t>
            </w:r>
          </w:p>
          <w:p w14:paraId="5761F245" w14:textId="1257A68D" w:rsidR="00A56EE9" w:rsidRPr="00FF373B" w:rsidRDefault="00A56EE9" w:rsidP="00A11869">
            <w:pPr>
              <w:pStyle w:val="ListParagraph"/>
              <w:numPr>
                <w:ilvl w:val="0"/>
                <w:numId w:val="24"/>
              </w:numPr>
              <w:spacing w:after="200" w:line="276" w:lineRule="auto"/>
              <w:rPr>
                <w:rFonts w:ascii="Arial Narrow" w:hAnsi="Arial Narrow"/>
                <w:b/>
                <w:sz w:val="18"/>
                <w:szCs w:val="18"/>
              </w:rPr>
            </w:pPr>
            <w:r w:rsidRPr="00922667">
              <w:rPr>
                <w:rFonts w:ascii="Arial Narrow" w:hAnsi="Arial Narrow"/>
                <w:sz w:val="18"/>
                <w:szCs w:val="18"/>
              </w:rPr>
              <w:t>Stock status reporting shows that there are two species overfished – scallop and snapper.</w:t>
            </w:r>
            <w:r w:rsidR="00242993">
              <w:rPr>
                <w:rFonts w:ascii="Arial Narrow" w:hAnsi="Arial Narrow"/>
                <w:sz w:val="18"/>
                <w:szCs w:val="18"/>
              </w:rPr>
              <w:t xml:space="preserve"> </w:t>
            </w:r>
            <w:r>
              <w:rPr>
                <w:rFonts w:ascii="Arial Narrow" w:hAnsi="Arial Narrow"/>
                <w:sz w:val="18"/>
                <w:szCs w:val="18"/>
              </w:rPr>
              <w:t>However, t</w:t>
            </w:r>
            <w:r w:rsidRPr="00FF373B">
              <w:rPr>
                <w:rFonts w:ascii="Arial Narrow" w:hAnsi="Arial Narrow"/>
                <w:sz w:val="18"/>
                <w:szCs w:val="18"/>
              </w:rPr>
              <w:t>here is still a need to better constrain catch and reduce protected species interactions across a number of fisheries</w:t>
            </w:r>
            <w:proofErr w:type="gramStart"/>
            <w:r w:rsidRPr="00FF373B">
              <w:rPr>
                <w:rFonts w:ascii="Arial Narrow" w:hAnsi="Arial Narrow"/>
                <w:sz w:val="18"/>
                <w:szCs w:val="18"/>
              </w:rPr>
              <w:t>,.</w:t>
            </w:r>
            <w:proofErr w:type="gramEnd"/>
            <w:r w:rsidRPr="00FF373B">
              <w:rPr>
                <w:rFonts w:ascii="Arial Narrow" w:hAnsi="Arial Narrow"/>
                <w:sz w:val="18"/>
                <w:szCs w:val="18"/>
              </w:rPr>
              <w:t xml:space="preserve"> </w:t>
            </w:r>
          </w:p>
          <w:p w14:paraId="5761F24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 significant impediment to demonstrating environmentally sustainable fishing is ongoing illegal fishing, and in some sectors increasing illegal fishing activities.</w:t>
            </w:r>
          </w:p>
          <w:p w14:paraId="5761F24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There are particular concerns about non-compliance in the commercial mesh net fishery lowing to risks to species of conservation concern (which are also matters of national environmental significance) such as dugongs and the Australian snubfin dolphin. </w:t>
            </w:r>
          </w:p>
          <w:p w14:paraId="5761F24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need to continue to reduce the bycatch of species of conservation concern such as sawfish, dugongs, marine turtles and inshore dolphins (most being matters of national environmental significance) is recognised and is a high priority for industry and management.</w:t>
            </w:r>
          </w:p>
          <w:p w14:paraId="5761F24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Bycatch, target stock and broader ecosystem sustainability are yet to be demonstrated. </w:t>
            </w:r>
          </w:p>
        </w:tc>
        <w:tc>
          <w:tcPr>
            <w:tcW w:w="4356" w:type="dxa"/>
            <w:tcBorders>
              <w:top w:val="single" w:sz="4" w:space="0" w:color="auto"/>
              <w:left w:val="single" w:sz="4" w:space="0" w:color="auto"/>
              <w:bottom w:val="single" w:sz="4" w:space="0" w:color="auto"/>
              <w:right w:val="single" w:sz="4" w:space="0" w:color="auto"/>
            </w:tcBorders>
          </w:tcPr>
          <w:p w14:paraId="5761F24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20" w:history="1">
              <w:r w:rsidR="00A56EE9" w:rsidRPr="00E70A11">
                <w:rPr>
                  <w:rStyle w:val="Hyperlink"/>
                  <w:rFonts w:ascii="Arial Narrow" w:hAnsi="Arial Narrow"/>
                  <w:sz w:val="18"/>
                  <w:szCs w:val="18"/>
                </w:rPr>
                <w:t>Queensland Sustainable Fisheries Strategy 2017-2027</w:t>
              </w:r>
            </w:hyperlink>
          </w:p>
          <w:p w14:paraId="5761F24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w:t>
            </w:r>
            <w:hyperlink r:id="rId821" w:history="1">
              <w:r w:rsidRPr="00E70A11">
                <w:rPr>
                  <w:rStyle w:val="Hyperlink"/>
                  <w:rFonts w:ascii="Arial Narrow" w:hAnsi="Arial Narrow"/>
                  <w:iCs/>
                  <w:sz w:val="18"/>
                  <w:szCs w:val="18"/>
                </w:rPr>
                <w:t>Great Barrier Reef Region Strategic Assessment: Strategic assessment report 2014</w:t>
              </w:r>
            </w:hyperlink>
          </w:p>
          <w:p w14:paraId="5761F24C" w14:textId="77777777" w:rsidR="00A56EE9" w:rsidRPr="00922667" w:rsidRDefault="008B5998" w:rsidP="00A11869">
            <w:pPr>
              <w:pStyle w:val="ListParagraph"/>
              <w:numPr>
                <w:ilvl w:val="0"/>
                <w:numId w:val="24"/>
              </w:numPr>
              <w:spacing w:after="200" w:line="276" w:lineRule="auto"/>
              <w:rPr>
                <w:rFonts w:ascii="Arial Narrow" w:hAnsi="Arial Narrow"/>
                <w:sz w:val="18"/>
                <w:szCs w:val="18"/>
              </w:rPr>
            </w:pPr>
            <w:hyperlink r:id="rId822" w:history="1">
              <w:r w:rsidR="00A56EE9" w:rsidRPr="00922667">
                <w:rPr>
                  <w:rStyle w:val="Hyperlink"/>
                  <w:rFonts w:ascii="Arial Narrow" w:hAnsi="Arial Narrow"/>
                  <w:sz w:val="18"/>
                  <w:szCs w:val="18"/>
                </w:rPr>
                <w:t>GBRMPA ecological risk assessment of trawling</w:t>
              </w:r>
            </w:hyperlink>
          </w:p>
          <w:p w14:paraId="5761F24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22667">
              <w:rPr>
                <w:rStyle w:val="BookTitle"/>
                <w:rFonts w:ascii="Arial Narrow" w:hAnsi="Arial Narrow"/>
                <w:sz w:val="18"/>
                <w:szCs w:val="18"/>
              </w:rPr>
              <w:t>https://www.daf.qld.gov.au/business-priorities/fisheries/monitoring-our-fisheries/data-reports/sustainability-reporting</w:t>
            </w:r>
          </w:p>
        </w:tc>
        <w:tc>
          <w:tcPr>
            <w:tcW w:w="990" w:type="dxa"/>
            <w:tcBorders>
              <w:top w:val="single" w:sz="4" w:space="0" w:color="auto"/>
              <w:left w:val="single" w:sz="4" w:space="0" w:color="auto"/>
              <w:bottom w:val="single" w:sz="4" w:space="0" w:color="auto"/>
              <w:right w:val="single" w:sz="4" w:space="0" w:color="auto"/>
            </w:tcBorders>
          </w:tcPr>
          <w:p w14:paraId="5761F24E"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24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259"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251"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commercial fishing is demonstrably economically sustainable</w:t>
            </w:r>
          </w:p>
        </w:tc>
        <w:tc>
          <w:tcPr>
            <w:tcW w:w="1505" w:type="dxa"/>
            <w:tcBorders>
              <w:top w:val="single" w:sz="4" w:space="0" w:color="auto"/>
              <w:left w:val="single" w:sz="4" w:space="0" w:color="auto"/>
              <w:bottom w:val="single" w:sz="4" w:space="0" w:color="auto"/>
              <w:right w:val="single" w:sz="4" w:space="0" w:color="auto"/>
            </w:tcBorders>
          </w:tcPr>
          <w:p w14:paraId="5761F252" w14:textId="77777777" w:rsidR="00A56EE9" w:rsidRPr="00E70A11" w:rsidRDefault="00A56EE9" w:rsidP="00BB6AD5">
            <w:pPr>
              <w:pStyle w:val="Tablebulletlist"/>
              <w:rPr>
                <w:rStyle w:val="BookTitle"/>
              </w:rPr>
            </w:pPr>
            <w:r w:rsidRPr="00E70A11">
              <w:rPr>
                <w:rStyle w:val="BookTitle"/>
              </w:rPr>
              <w:t>2</w:t>
            </w:r>
          </w:p>
        </w:tc>
        <w:tc>
          <w:tcPr>
            <w:tcW w:w="3961" w:type="dxa"/>
            <w:tcBorders>
              <w:top w:val="single" w:sz="4" w:space="0" w:color="auto"/>
              <w:left w:val="single" w:sz="4" w:space="0" w:color="auto"/>
              <w:bottom w:val="single" w:sz="4" w:space="0" w:color="auto"/>
              <w:right w:val="single" w:sz="4" w:space="0" w:color="auto"/>
            </w:tcBorders>
          </w:tcPr>
          <w:p w14:paraId="5761F25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Current management arrangement and industry marketing are not maximising economic benefits, but under the Queensland Fisheries Sustainability Strategy there are targets in place to move to maximum economic yield (MEY). </w:t>
            </w:r>
          </w:p>
          <w:p w14:paraId="5761F254" w14:textId="77777777" w:rsidR="00A56EE9" w:rsidRPr="00922667"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reduction in inshore netting effort through the implementation of net free zones that has occurred in addition to previous effort removal through licence buy back (120 licences removed) may promote improved economic returns for remaining net fishers. Further reforms are needed to some key fisheries to make it more profitable. This includes the crab, trawl and net fisheries.</w:t>
            </w:r>
          </w:p>
        </w:tc>
        <w:tc>
          <w:tcPr>
            <w:tcW w:w="4356" w:type="dxa"/>
            <w:tcBorders>
              <w:top w:val="single" w:sz="4" w:space="0" w:color="auto"/>
              <w:left w:val="single" w:sz="4" w:space="0" w:color="auto"/>
              <w:bottom w:val="single" w:sz="4" w:space="0" w:color="auto"/>
              <w:right w:val="single" w:sz="4" w:space="0" w:color="auto"/>
            </w:tcBorders>
          </w:tcPr>
          <w:p w14:paraId="5761F255"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23" w:history="1">
              <w:r w:rsidR="00A56EE9" w:rsidRPr="00E70A11">
                <w:rPr>
                  <w:rStyle w:val="Hyperlink"/>
                  <w:rFonts w:ascii="Arial Narrow" w:hAnsi="Arial Narrow"/>
                  <w:sz w:val="18"/>
                  <w:szCs w:val="18"/>
                </w:rPr>
                <w:t>Queensland Sustainable Fisheries Strategy 2017-2027</w:t>
              </w:r>
            </w:hyperlink>
          </w:p>
          <w:p w14:paraId="5761F25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GBRMPA workshop</w:t>
            </w:r>
            <w:r>
              <w:rPr>
                <w:rFonts w:ascii="Arial Narrow" w:hAnsi="Arial Narrow"/>
                <w:sz w:val="18"/>
                <w:szCs w:val="18"/>
              </w:rPr>
              <w:t xml:space="preserve"> </w:t>
            </w:r>
            <w:r w:rsidRPr="00E70A11">
              <w:rPr>
                <w:rFonts w:ascii="Arial Narrow" w:hAnsi="Arial Narrow"/>
                <w:sz w:val="18"/>
                <w:szCs w:val="18"/>
              </w:rPr>
              <w:t>discussions</w:t>
            </w:r>
          </w:p>
        </w:tc>
        <w:tc>
          <w:tcPr>
            <w:tcW w:w="990" w:type="dxa"/>
            <w:tcBorders>
              <w:top w:val="single" w:sz="4" w:space="0" w:color="auto"/>
              <w:left w:val="single" w:sz="4" w:space="0" w:color="auto"/>
              <w:bottom w:val="single" w:sz="4" w:space="0" w:color="auto"/>
              <w:right w:val="single" w:sz="4" w:space="0" w:color="auto"/>
            </w:tcBorders>
          </w:tcPr>
          <w:p w14:paraId="5761F257"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25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263"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25A"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commercial fishing is demonstrably socially sustainable understanding and/or enjoyment</w:t>
            </w:r>
          </w:p>
        </w:tc>
        <w:tc>
          <w:tcPr>
            <w:tcW w:w="1505" w:type="dxa"/>
            <w:tcBorders>
              <w:top w:val="single" w:sz="4" w:space="0" w:color="auto"/>
              <w:left w:val="single" w:sz="4" w:space="0" w:color="auto"/>
              <w:bottom w:val="single" w:sz="4" w:space="0" w:color="auto"/>
              <w:right w:val="single" w:sz="4" w:space="0" w:color="auto"/>
            </w:tcBorders>
          </w:tcPr>
          <w:p w14:paraId="5761F25B" w14:textId="77777777" w:rsidR="00A56EE9" w:rsidRPr="00E70A11" w:rsidRDefault="00A56EE9" w:rsidP="00BB6AD5">
            <w:pPr>
              <w:pStyle w:val="Tablebulletlist"/>
              <w:rPr>
                <w:rStyle w:val="BookTitle"/>
              </w:rPr>
            </w:pPr>
            <w:r w:rsidRPr="00E70A11">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25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There are significant concerns within the community related to commercial fishing often related to perceptions rather than being based on evidence of ecological risks. </w:t>
            </w:r>
          </w:p>
          <w:p w14:paraId="5761F25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Many concerns related to social and economic issues but often couched in ecological terms.</w:t>
            </w:r>
            <w:r>
              <w:rPr>
                <w:rFonts w:ascii="Arial Narrow" w:hAnsi="Arial Narrow"/>
                <w:sz w:val="18"/>
                <w:szCs w:val="18"/>
              </w:rPr>
              <w:t xml:space="preserve"> </w:t>
            </w:r>
            <w:r w:rsidRPr="00E70A11">
              <w:rPr>
                <w:rFonts w:ascii="Arial Narrow" w:hAnsi="Arial Narrow"/>
                <w:sz w:val="18"/>
                <w:szCs w:val="18"/>
              </w:rPr>
              <w:t>The “social licence”, i.e. community confidence, in the industry is at low levels due to many factors including misinformation, misunderstanding, global fishing practices which are illegal in Australia (for example shark finning) and the illegal actions of a minority of operators in the Great Barrier Reef</w:t>
            </w:r>
          </w:p>
          <w:p w14:paraId="5761F25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Reforms proposed in the QSFS provide an opportunity to deliver economically sustainable commercial fisheries which in turn will deliver social / community benefits to commercial fishers and dependent seafood and commercial fishing industries</w:t>
            </w:r>
          </w:p>
        </w:tc>
        <w:tc>
          <w:tcPr>
            <w:tcW w:w="4356" w:type="dxa"/>
            <w:tcBorders>
              <w:top w:val="single" w:sz="4" w:space="0" w:color="auto"/>
              <w:left w:val="single" w:sz="4" w:space="0" w:color="auto"/>
              <w:bottom w:val="single" w:sz="4" w:space="0" w:color="auto"/>
              <w:right w:val="single" w:sz="4" w:space="0" w:color="auto"/>
            </w:tcBorders>
          </w:tcPr>
          <w:p w14:paraId="5761F25F"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24" w:history="1">
              <w:r w:rsidR="00A56EE9" w:rsidRPr="00E70A11">
                <w:rPr>
                  <w:rStyle w:val="Hyperlink"/>
                  <w:rFonts w:ascii="Arial Narrow" w:hAnsi="Arial Narrow"/>
                  <w:sz w:val="18"/>
                  <w:szCs w:val="18"/>
                </w:rPr>
                <w:t>Queensland Sustainable Fisheries Strategy 2017-2027</w:t>
              </w:r>
            </w:hyperlink>
          </w:p>
          <w:p w14:paraId="5761F26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Hyperlink"/>
                <w:rFonts w:ascii="Arial Narrow" w:hAnsi="Arial Narrow"/>
                <w:sz w:val="18"/>
                <w:szCs w:val="18"/>
              </w:rPr>
              <w:t xml:space="preserve">GBRMPA Workshop discussions </w:t>
            </w:r>
          </w:p>
        </w:tc>
        <w:tc>
          <w:tcPr>
            <w:tcW w:w="990" w:type="dxa"/>
            <w:tcBorders>
              <w:top w:val="single" w:sz="4" w:space="0" w:color="auto"/>
              <w:left w:val="single" w:sz="4" w:space="0" w:color="auto"/>
              <w:bottom w:val="single" w:sz="4" w:space="0" w:color="auto"/>
              <w:right w:val="single" w:sz="4" w:space="0" w:color="auto"/>
            </w:tcBorders>
          </w:tcPr>
          <w:p w14:paraId="5761F261"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26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26D" w14:textId="77777777" w:rsidTr="00BB6AD5">
        <w:trPr>
          <w:trHeight w:val="170"/>
        </w:trPr>
        <w:tc>
          <w:tcPr>
            <w:tcW w:w="2689" w:type="dxa"/>
            <w:tcBorders>
              <w:top w:val="single" w:sz="4" w:space="0" w:color="auto"/>
              <w:left w:val="single" w:sz="4" w:space="0" w:color="auto"/>
              <w:bottom w:val="single" w:sz="4" w:space="0" w:color="auto"/>
              <w:right w:val="single" w:sz="4" w:space="0" w:color="auto"/>
            </w:tcBorders>
          </w:tcPr>
          <w:p w14:paraId="5761F264" w14:textId="77777777" w:rsidR="00A56EE9" w:rsidRPr="00FF373B" w:rsidRDefault="00A56EE9" w:rsidP="00BB6AD5">
            <w:pPr>
              <w:pStyle w:val="Tablebulletlist"/>
              <w:rPr>
                <w:rStyle w:val="BookTitle"/>
              </w:rPr>
            </w:pPr>
            <w:r w:rsidRPr="00FF373B">
              <w:rPr>
                <w:rStyle w:val="BookTitle"/>
              </w:rPr>
              <w:t xml:space="preserve">OC7 The relevant managing agencies have developed effective partnerships with local communities and/or stakeholders to address commercial fishing </w:t>
            </w:r>
          </w:p>
        </w:tc>
        <w:tc>
          <w:tcPr>
            <w:tcW w:w="1505" w:type="dxa"/>
            <w:tcBorders>
              <w:top w:val="single" w:sz="4" w:space="0" w:color="auto"/>
              <w:left w:val="single" w:sz="4" w:space="0" w:color="auto"/>
              <w:bottom w:val="single" w:sz="4" w:space="0" w:color="auto"/>
              <w:right w:val="single" w:sz="4" w:space="0" w:color="auto"/>
            </w:tcBorders>
          </w:tcPr>
          <w:p w14:paraId="5761F265" w14:textId="77777777" w:rsidR="00A56EE9" w:rsidRPr="00FF373B" w:rsidRDefault="00A56EE9" w:rsidP="00BB6AD5">
            <w:pPr>
              <w:pStyle w:val="Tablebulletlist"/>
              <w:rPr>
                <w:rStyle w:val="BookTitle"/>
              </w:rPr>
            </w:pPr>
            <w:r w:rsidRPr="00FF373B">
              <w:rPr>
                <w:rStyle w:val="BookTitle"/>
              </w:rPr>
              <w:t>3</w:t>
            </w:r>
          </w:p>
        </w:tc>
        <w:tc>
          <w:tcPr>
            <w:tcW w:w="3961" w:type="dxa"/>
            <w:tcBorders>
              <w:top w:val="single" w:sz="4" w:space="0" w:color="auto"/>
              <w:left w:val="single" w:sz="4" w:space="0" w:color="auto"/>
              <w:bottom w:val="single" w:sz="4" w:space="0" w:color="auto"/>
              <w:right w:val="single" w:sz="4" w:space="0" w:color="auto"/>
            </w:tcBorders>
          </w:tcPr>
          <w:p w14:paraId="5761F266"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Dedicated forum to engage communities / commercial fishing stakeholders have not existed in recent years and industry representation has not been strong.</w:t>
            </w:r>
          </w:p>
          <w:p w14:paraId="5761F267"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 xml:space="preserve">Working groups have been established. Expert panel also established and met multiple times. </w:t>
            </w:r>
          </w:p>
          <w:p w14:paraId="5761F268"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Regional face to face meetings is now more regular (two series of consultation meetings in 2017/18 – vessel tracking and fisheries reform discussion papers)</w:t>
            </w:r>
          </w:p>
          <w:p w14:paraId="5761F269" w14:textId="77777777" w:rsidR="00A56EE9" w:rsidRPr="00FF373B" w:rsidRDefault="00A56EE9" w:rsidP="00A11869">
            <w:pPr>
              <w:pStyle w:val="ListParagraph"/>
              <w:numPr>
                <w:ilvl w:val="0"/>
                <w:numId w:val="24"/>
              </w:numPr>
              <w:spacing w:after="200" w:line="276" w:lineRule="auto"/>
              <w:rPr>
                <w:rStyle w:val="BookTitle"/>
                <w:rFonts w:ascii="Arial Narrow" w:hAnsi="Arial Narrow"/>
                <w:sz w:val="18"/>
                <w:szCs w:val="18"/>
              </w:rPr>
            </w:pPr>
            <w:r w:rsidRPr="00FF373B">
              <w:rPr>
                <w:rFonts w:ascii="Arial Narrow" w:hAnsi="Arial Narrow"/>
                <w:sz w:val="18"/>
                <w:szCs w:val="18"/>
              </w:rPr>
              <w:t xml:space="preserve">Satisfaction survey about stakeholder engagement was completed in early 2018 and will be published online in mid-2018. It sets a baseline to measure improved stakeholder engagement satisfaction against, wihc is one of the targets of SFS. </w:t>
            </w:r>
          </w:p>
        </w:tc>
        <w:tc>
          <w:tcPr>
            <w:tcW w:w="4356" w:type="dxa"/>
            <w:tcBorders>
              <w:top w:val="single" w:sz="4" w:space="0" w:color="auto"/>
              <w:left w:val="single" w:sz="4" w:space="0" w:color="auto"/>
              <w:bottom w:val="single" w:sz="4" w:space="0" w:color="auto"/>
              <w:right w:val="single" w:sz="4" w:space="0" w:color="auto"/>
            </w:tcBorders>
          </w:tcPr>
          <w:p w14:paraId="5761F26A" w14:textId="77777777" w:rsidR="00A56EE9" w:rsidRPr="00FF373B" w:rsidRDefault="008B5998" w:rsidP="00A11869">
            <w:pPr>
              <w:pStyle w:val="ListParagraph"/>
              <w:numPr>
                <w:ilvl w:val="0"/>
                <w:numId w:val="24"/>
              </w:numPr>
              <w:spacing w:after="200" w:line="276" w:lineRule="auto"/>
              <w:rPr>
                <w:rStyle w:val="BookTitle"/>
                <w:rFonts w:ascii="Arial Narrow" w:hAnsi="Arial Narrow"/>
                <w:sz w:val="18"/>
                <w:szCs w:val="18"/>
              </w:rPr>
            </w:pPr>
            <w:hyperlink r:id="rId825" w:history="1">
              <w:r w:rsidR="00A56EE9" w:rsidRPr="00FF373B">
                <w:rPr>
                  <w:rStyle w:val="Hyperlink"/>
                  <w:rFonts w:ascii="Arial Narrow" w:hAnsi="Arial Narrow"/>
                  <w:sz w:val="18"/>
                  <w:szCs w:val="18"/>
                </w:rPr>
                <w:t>Queensland Sustainable Fisheries Strategy 2017-2027</w:t>
              </w:r>
            </w:hyperlink>
          </w:p>
        </w:tc>
        <w:tc>
          <w:tcPr>
            <w:tcW w:w="990" w:type="dxa"/>
            <w:tcBorders>
              <w:top w:val="single" w:sz="4" w:space="0" w:color="auto"/>
              <w:left w:val="single" w:sz="4" w:space="0" w:color="auto"/>
              <w:bottom w:val="single" w:sz="4" w:space="0" w:color="auto"/>
              <w:right w:val="single" w:sz="4" w:space="0" w:color="auto"/>
            </w:tcBorders>
          </w:tcPr>
          <w:p w14:paraId="5761F26B" w14:textId="77777777" w:rsidR="00A56EE9" w:rsidRPr="00FF373B" w:rsidRDefault="00A56EE9" w:rsidP="00BB6AD5">
            <w:pPr>
              <w:pStyle w:val="Tablebulletlist"/>
              <w:rPr>
                <w:rStyle w:val="BookTitle"/>
              </w:rPr>
            </w:pPr>
            <w:r w:rsidRPr="00FF373B">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26C" w14:textId="77777777" w:rsidR="00A56EE9" w:rsidRPr="00E70A11" w:rsidRDefault="00A56EE9" w:rsidP="00BB6AD5">
            <w:pPr>
              <w:pStyle w:val="Tablebulletlist"/>
              <w:rPr>
                <w:rStyle w:val="BookTitle"/>
              </w:rPr>
            </w:pPr>
            <w:r w:rsidRPr="00FF373B">
              <w:rPr>
                <w:rStyle w:val="BookTitle"/>
              </w:rPr>
              <w:t>Deteriorating</w:t>
            </w:r>
          </w:p>
        </w:tc>
      </w:tr>
    </w:tbl>
    <w:p w14:paraId="5761F26E" w14:textId="77777777" w:rsidR="00A56EE9" w:rsidRPr="00E70A11" w:rsidRDefault="00A56EE9" w:rsidP="00BB6AD5">
      <w:pPr>
        <w:rPr>
          <w:rFonts w:ascii="Arial Narrow" w:hAnsi="Arial Narrow"/>
          <w:sz w:val="18"/>
          <w:szCs w:val="18"/>
        </w:rPr>
      </w:pPr>
    </w:p>
    <w:p w14:paraId="5761F26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br w:type="page"/>
      </w:r>
    </w:p>
    <w:p w14:paraId="5761F270" w14:textId="595AC44A" w:rsidR="00A56EE9" w:rsidRPr="00E70A11" w:rsidRDefault="00A56EE9" w:rsidP="009C7D6F">
      <w:pPr>
        <w:pStyle w:val="Heading4"/>
      </w:pPr>
      <w:bookmarkStart w:id="197" w:name="_Toc369686748"/>
      <w:bookmarkStart w:id="198" w:name="_Toc522532006"/>
      <w:bookmarkStart w:id="199" w:name="_Toc525654473"/>
      <w:r>
        <w:t xml:space="preserve">Table </w:t>
      </w:r>
      <w:r>
        <w:rPr>
          <w:noProof/>
        </w:rPr>
        <w:fldChar w:fldCharType="begin"/>
      </w:r>
      <w:r>
        <w:rPr>
          <w:noProof/>
        </w:rPr>
        <w:instrText xml:space="preserve"> SEQ Table \* ARABIC </w:instrText>
      </w:r>
      <w:r>
        <w:rPr>
          <w:noProof/>
        </w:rPr>
        <w:fldChar w:fldCharType="separate"/>
      </w:r>
      <w:r w:rsidR="00A4170C">
        <w:rPr>
          <w:noProof/>
        </w:rPr>
        <w:t>28</w:t>
      </w:r>
      <w:r>
        <w:rPr>
          <w:noProof/>
        </w:rPr>
        <w:fldChar w:fldCharType="end"/>
      </w:r>
      <w:r>
        <w:t xml:space="preserve"> </w:t>
      </w:r>
      <w:r w:rsidRPr="00E70A11">
        <w:t>Calculation of grades for fishing (recreational)</w:t>
      </w:r>
      <w:bookmarkEnd w:id="197"/>
      <w:bookmarkEnd w:id="198"/>
      <w:bookmarkEnd w:id="199"/>
    </w:p>
    <w:tbl>
      <w:tblPr>
        <w:tblW w:w="15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28 Calculation of grades for fishing (recreational)"/>
        <w:tblDescription w:val="Table showing the ratings,  justificaiton and evidence for each of the components for the management effectiveness for fishing (recreational).  Confidence in the assessment and trend since Outlook 2014 is also provided."/>
      </w:tblPr>
      <w:tblGrid>
        <w:gridCol w:w="2256"/>
        <w:gridCol w:w="734"/>
        <w:gridCol w:w="4968"/>
        <w:gridCol w:w="5260"/>
        <w:gridCol w:w="1324"/>
        <w:gridCol w:w="1061"/>
      </w:tblGrid>
      <w:tr w:rsidR="00A56EE9" w:rsidRPr="00E70A11" w14:paraId="5761F277"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271" w14:textId="77777777" w:rsidR="00A56EE9" w:rsidRPr="00E70A11" w:rsidRDefault="00A56EE9" w:rsidP="00BB6AD5">
            <w:pPr>
              <w:pStyle w:val="Tablebulletlist"/>
              <w:rPr>
                <w:rStyle w:val="BookTitle"/>
              </w:rPr>
            </w:pPr>
            <w:r w:rsidRPr="00E70A11">
              <w:rPr>
                <w:rStyle w:val="BookTitle"/>
              </w:rPr>
              <w:t>Component of Management</w:t>
            </w:r>
          </w:p>
        </w:tc>
        <w:tc>
          <w:tcPr>
            <w:tcW w:w="734" w:type="dxa"/>
            <w:tcBorders>
              <w:top w:val="single" w:sz="4" w:space="0" w:color="auto"/>
              <w:left w:val="single" w:sz="4" w:space="0" w:color="auto"/>
              <w:bottom w:val="single" w:sz="4" w:space="0" w:color="auto"/>
              <w:right w:val="single" w:sz="4" w:space="0" w:color="auto"/>
            </w:tcBorders>
          </w:tcPr>
          <w:p w14:paraId="5761F272" w14:textId="77777777" w:rsidR="00A56EE9" w:rsidRPr="00E70A11" w:rsidRDefault="00A56EE9" w:rsidP="00BB6AD5">
            <w:pPr>
              <w:pStyle w:val="Tablebulletlist"/>
              <w:rPr>
                <w:rStyle w:val="BookTitle"/>
              </w:rPr>
            </w:pPr>
            <w:r w:rsidRPr="00E70A11">
              <w:rPr>
                <w:rStyle w:val="BookTitle"/>
              </w:rPr>
              <w:t>Rating</w:t>
            </w:r>
          </w:p>
        </w:tc>
        <w:tc>
          <w:tcPr>
            <w:tcW w:w="4968" w:type="dxa"/>
            <w:tcBorders>
              <w:top w:val="single" w:sz="4" w:space="0" w:color="auto"/>
              <w:left w:val="single" w:sz="4" w:space="0" w:color="auto"/>
              <w:bottom w:val="single" w:sz="4" w:space="0" w:color="auto"/>
              <w:right w:val="single" w:sz="4" w:space="0" w:color="auto"/>
            </w:tcBorders>
          </w:tcPr>
          <w:p w14:paraId="5761F273" w14:textId="77777777" w:rsidR="00A56EE9" w:rsidRPr="00E70A11" w:rsidRDefault="00A56EE9" w:rsidP="00BB6AD5">
            <w:pPr>
              <w:pStyle w:val="Tablebulletlist"/>
              <w:rPr>
                <w:rStyle w:val="BookTitle"/>
              </w:rPr>
            </w:pPr>
            <w:r w:rsidRPr="00E70A11">
              <w:rPr>
                <w:rStyle w:val="BookTitle"/>
              </w:rPr>
              <w:t>Justification</w:t>
            </w:r>
          </w:p>
        </w:tc>
        <w:tc>
          <w:tcPr>
            <w:tcW w:w="5260" w:type="dxa"/>
            <w:tcBorders>
              <w:top w:val="single" w:sz="4" w:space="0" w:color="auto"/>
              <w:left w:val="single" w:sz="4" w:space="0" w:color="auto"/>
              <w:bottom w:val="single" w:sz="4" w:space="0" w:color="auto"/>
              <w:right w:val="single" w:sz="4" w:space="0" w:color="auto"/>
            </w:tcBorders>
          </w:tcPr>
          <w:p w14:paraId="5761F274" w14:textId="77777777" w:rsidR="00A56EE9" w:rsidRPr="00E70A11" w:rsidRDefault="00A56EE9" w:rsidP="00BB6AD5">
            <w:pPr>
              <w:pStyle w:val="Tablebulletlist"/>
              <w:rPr>
                <w:rStyle w:val="BookTitle"/>
              </w:rPr>
            </w:pPr>
            <w:r w:rsidRPr="00E70A11">
              <w:rPr>
                <w:rStyle w:val="BookTitle"/>
              </w:rPr>
              <w:t>Evidence/sources</w:t>
            </w:r>
          </w:p>
        </w:tc>
        <w:tc>
          <w:tcPr>
            <w:tcW w:w="1324" w:type="dxa"/>
            <w:tcBorders>
              <w:top w:val="single" w:sz="4" w:space="0" w:color="auto"/>
              <w:left w:val="single" w:sz="4" w:space="0" w:color="auto"/>
              <w:bottom w:val="single" w:sz="4" w:space="0" w:color="auto"/>
              <w:right w:val="single" w:sz="4" w:space="0" w:color="auto"/>
            </w:tcBorders>
          </w:tcPr>
          <w:p w14:paraId="5761F275" w14:textId="77777777" w:rsidR="00A56EE9" w:rsidRPr="00E70A11" w:rsidRDefault="00A56EE9" w:rsidP="00BB6AD5">
            <w:pPr>
              <w:pStyle w:val="Tablebulletlist"/>
              <w:rPr>
                <w:rStyle w:val="BookTitle"/>
              </w:rPr>
            </w:pPr>
            <w:r w:rsidRPr="00E70A11">
              <w:rPr>
                <w:rStyle w:val="BookTitle"/>
              </w:rPr>
              <w:t>Confidence</w:t>
            </w:r>
          </w:p>
        </w:tc>
        <w:tc>
          <w:tcPr>
            <w:tcW w:w="1061" w:type="dxa"/>
            <w:tcBorders>
              <w:top w:val="single" w:sz="4" w:space="0" w:color="auto"/>
              <w:left w:val="single" w:sz="4" w:space="0" w:color="auto"/>
              <w:bottom w:val="single" w:sz="4" w:space="0" w:color="auto"/>
              <w:right w:val="single" w:sz="4" w:space="0" w:color="auto"/>
            </w:tcBorders>
          </w:tcPr>
          <w:p w14:paraId="5761F276"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1F27E"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shd w:val="clear" w:color="auto" w:fill="EEECE1"/>
          </w:tcPr>
          <w:p w14:paraId="5761F278" w14:textId="77777777" w:rsidR="00A56EE9" w:rsidRPr="00E70A11" w:rsidRDefault="00A56EE9" w:rsidP="00BB6AD5">
            <w:pPr>
              <w:pStyle w:val="Tablebulletlist"/>
              <w:rPr>
                <w:rStyle w:val="BookTitle"/>
              </w:rPr>
            </w:pPr>
            <w:r w:rsidRPr="00E70A11">
              <w:rPr>
                <w:rStyle w:val="BookTitle"/>
              </w:rPr>
              <w:t>CONTEXT</w:t>
            </w:r>
          </w:p>
        </w:tc>
        <w:tc>
          <w:tcPr>
            <w:tcW w:w="734" w:type="dxa"/>
            <w:tcBorders>
              <w:top w:val="single" w:sz="4" w:space="0" w:color="auto"/>
              <w:left w:val="single" w:sz="4" w:space="0" w:color="auto"/>
              <w:bottom w:val="single" w:sz="4" w:space="0" w:color="auto"/>
              <w:right w:val="single" w:sz="4" w:space="0" w:color="auto"/>
            </w:tcBorders>
            <w:shd w:val="clear" w:color="auto" w:fill="EEECE1"/>
          </w:tcPr>
          <w:p w14:paraId="5761F279" w14:textId="77777777" w:rsidR="00A56EE9" w:rsidRPr="00E70A11" w:rsidRDefault="00A56EE9" w:rsidP="00BB6AD5">
            <w:pPr>
              <w:pStyle w:val="Tablebulletlist"/>
              <w:rPr>
                <w:rStyle w:val="BookTitle"/>
              </w:rPr>
            </w:pPr>
          </w:p>
        </w:tc>
        <w:tc>
          <w:tcPr>
            <w:tcW w:w="4968" w:type="dxa"/>
            <w:tcBorders>
              <w:top w:val="single" w:sz="4" w:space="0" w:color="auto"/>
              <w:left w:val="single" w:sz="4" w:space="0" w:color="auto"/>
              <w:bottom w:val="single" w:sz="4" w:space="0" w:color="auto"/>
              <w:right w:val="single" w:sz="4" w:space="0" w:color="auto"/>
            </w:tcBorders>
            <w:shd w:val="clear" w:color="auto" w:fill="EEECE1"/>
          </w:tcPr>
          <w:p w14:paraId="5761F27A" w14:textId="77777777" w:rsidR="00A56EE9" w:rsidRPr="00E70A11" w:rsidRDefault="00A56EE9" w:rsidP="00BB6AD5">
            <w:pPr>
              <w:pStyle w:val="Tablebulletlist"/>
              <w:rPr>
                <w:rStyle w:val="BookTitle"/>
              </w:rPr>
            </w:pPr>
          </w:p>
        </w:tc>
        <w:tc>
          <w:tcPr>
            <w:tcW w:w="5260" w:type="dxa"/>
            <w:tcBorders>
              <w:top w:val="single" w:sz="4" w:space="0" w:color="auto"/>
              <w:left w:val="single" w:sz="4" w:space="0" w:color="auto"/>
              <w:bottom w:val="single" w:sz="4" w:space="0" w:color="auto"/>
              <w:right w:val="single" w:sz="4" w:space="0" w:color="auto"/>
            </w:tcBorders>
            <w:shd w:val="clear" w:color="auto" w:fill="EEECE1"/>
          </w:tcPr>
          <w:p w14:paraId="5761F27B" w14:textId="77777777" w:rsidR="00A56EE9" w:rsidRPr="00E70A11" w:rsidRDefault="00A56EE9" w:rsidP="00BB6AD5">
            <w:pPr>
              <w:pStyle w:val="Tablebulletlist"/>
              <w:rPr>
                <w:rStyle w:val="BookTitle"/>
              </w:rPr>
            </w:pPr>
          </w:p>
        </w:tc>
        <w:tc>
          <w:tcPr>
            <w:tcW w:w="1324" w:type="dxa"/>
            <w:tcBorders>
              <w:top w:val="single" w:sz="4" w:space="0" w:color="auto"/>
              <w:left w:val="single" w:sz="4" w:space="0" w:color="auto"/>
              <w:bottom w:val="single" w:sz="4" w:space="0" w:color="auto"/>
              <w:right w:val="single" w:sz="4" w:space="0" w:color="auto"/>
            </w:tcBorders>
            <w:shd w:val="clear" w:color="auto" w:fill="EEECE1"/>
          </w:tcPr>
          <w:p w14:paraId="5761F27C"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EECE1"/>
          </w:tcPr>
          <w:p w14:paraId="5761F27D" w14:textId="77777777" w:rsidR="00A56EE9" w:rsidRPr="00E70A11" w:rsidRDefault="00A56EE9" w:rsidP="00BB6AD5">
            <w:pPr>
              <w:pStyle w:val="Tablebulletlist"/>
              <w:rPr>
                <w:rStyle w:val="BookTitle"/>
              </w:rPr>
            </w:pPr>
          </w:p>
        </w:tc>
      </w:tr>
      <w:tr w:rsidR="00A56EE9" w:rsidRPr="00E70A11" w14:paraId="5761F28F"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27F" w14:textId="77777777" w:rsidR="00A56EE9" w:rsidRPr="00E70A11" w:rsidRDefault="00A56EE9" w:rsidP="00BB6AD5">
            <w:pPr>
              <w:pStyle w:val="Tablebulletlist"/>
              <w:rPr>
                <w:rStyle w:val="BookTitle"/>
              </w:rPr>
            </w:pPr>
            <w:r w:rsidRPr="00E70A11">
              <w:rPr>
                <w:rStyle w:val="BookTitle"/>
              </w:rPr>
              <w:t>CO1</w:t>
            </w:r>
            <w:r>
              <w:rPr>
                <w:rStyle w:val="BookTitle"/>
              </w:rPr>
              <w:t xml:space="preserve"> </w:t>
            </w:r>
            <w:r w:rsidRPr="00E70A11">
              <w:rPr>
                <w:rStyle w:val="BookTitle"/>
              </w:rPr>
              <w:t>The values of the Great Barrier Reef relevant to recreational fishing are understood by managers</w:t>
            </w:r>
          </w:p>
        </w:tc>
        <w:tc>
          <w:tcPr>
            <w:tcW w:w="734" w:type="dxa"/>
            <w:tcBorders>
              <w:top w:val="single" w:sz="4" w:space="0" w:color="auto"/>
              <w:left w:val="single" w:sz="4" w:space="0" w:color="auto"/>
              <w:bottom w:val="single" w:sz="4" w:space="0" w:color="auto"/>
              <w:right w:val="single" w:sz="4" w:space="0" w:color="auto"/>
            </w:tcBorders>
          </w:tcPr>
          <w:p w14:paraId="5761F280"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28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Statewide fishing surveys provide information on where recreational fishing occurs, how they fish and what they catch (e.g.the most common recreational fishing method (80 per cent) is line fishing (including the use of hooks and lures), followed by fishing with pots (13 per cent). Together, fishing with cast nets, hand collection, pumps and spades, diving using spears, and hand collection comprised only seven per cent of all fishing effort. In the Great Barrier Reef Region, coral trout, red throat emperor, tropical snapper, morwong and sweetlip are commonly targeted by recreational fishers.</w:t>
            </w:r>
            <w:r>
              <w:rPr>
                <w:rFonts w:ascii="Arial Narrow" w:hAnsi="Arial Narrow"/>
                <w:sz w:val="18"/>
                <w:szCs w:val="18"/>
              </w:rPr>
              <w:t xml:space="preserve"> </w:t>
            </w:r>
            <w:r w:rsidRPr="00E70A11">
              <w:rPr>
                <w:rFonts w:ascii="Arial Narrow" w:hAnsi="Arial Narrow"/>
                <w:sz w:val="18"/>
                <w:szCs w:val="18"/>
              </w:rPr>
              <w:t xml:space="preserve">Hundreds of other species of bony fish, sharks and other animals are also caught). </w:t>
            </w:r>
          </w:p>
          <w:p w14:paraId="5761F28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 number of scientific papers have summarised issues concerning spawning aggregation and the influence of climate change of some species of fish popular with recreational fishing </w:t>
            </w:r>
          </w:p>
          <w:p w14:paraId="5761F28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is a good understanding and knowledge about the social values of recreational fishing</w:t>
            </w:r>
            <w:r>
              <w:rPr>
                <w:rFonts w:ascii="Arial Narrow" w:hAnsi="Arial Narrow"/>
                <w:sz w:val="18"/>
                <w:szCs w:val="18"/>
              </w:rPr>
              <w:t xml:space="preserve"> </w:t>
            </w:r>
            <w:r w:rsidRPr="00E70A11">
              <w:rPr>
                <w:rFonts w:ascii="Arial Narrow" w:hAnsi="Arial Narrow"/>
                <w:sz w:val="18"/>
                <w:szCs w:val="18"/>
              </w:rPr>
              <w:t xml:space="preserve">(e.g. recreational fishing provides economic and social benefits to Queensland’s communities. Fishing on the Great Barrier Reef has been an important recreational activity for coastal residents and visitors. Most people indicate that relaxation, socialising, catching fish and excitement are their reasons for fishing recreationally. </w:t>
            </w:r>
          </w:p>
          <w:p w14:paraId="5761F28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Queensland Sustainable Fisheries Strategy identifies that there is a gap in the knowledge about the economic contribution of recreational fishing, although the Deloitte Access economic report provides some information relevant to the Region. </w:t>
            </w:r>
          </w:p>
        </w:tc>
        <w:tc>
          <w:tcPr>
            <w:tcW w:w="5260" w:type="dxa"/>
            <w:tcBorders>
              <w:top w:val="single" w:sz="4" w:space="0" w:color="auto"/>
              <w:left w:val="single" w:sz="4" w:space="0" w:color="auto"/>
              <w:bottom w:val="single" w:sz="4" w:space="0" w:color="auto"/>
              <w:right w:val="single" w:sz="4" w:space="0" w:color="auto"/>
            </w:tcBorders>
          </w:tcPr>
          <w:p w14:paraId="5761F285" w14:textId="067C5B73"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26" w:tooltip="document link" w:history="1">
              <w:r w:rsidR="00A56EE9" w:rsidRPr="00E70A11">
                <w:rPr>
                  <w:rFonts w:ascii="Arial Narrow" w:hAnsi="Arial Narrow"/>
                  <w:sz w:val="18"/>
                  <w:szCs w:val="18"/>
                </w:rPr>
                <w:t>https://www.daf.qld.gov.au/fisheries/monitoring-our-fisheries/recreational-fisheries/statewide-and-regional-recreational-fishing-survey</w:t>
              </w:r>
            </w:hyperlink>
          </w:p>
          <w:p w14:paraId="5761F28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27" w:history="1">
              <w:r w:rsidR="00A56EE9" w:rsidRPr="00E70A11">
                <w:rPr>
                  <w:rFonts w:ascii="Arial Narrow" w:hAnsi="Arial Narrow"/>
                  <w:sz w:val="18"/>
                  <w:szCs w:val="18"/>
                </w:rPr>
                <w:t>Queensland Sustainable Fisheries Strategy 2017-2027</w:t>
              </w:r>
            </w:hyperlink>
          </w:p>
          <w:p w14:paraId="5761F28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Deloitte Access Economics. (2017) At what Price? The economic, social and icon value of the Great Barrier Reef</w:t>
            </w:r>
          </w:p>
          <w:p w14:paraId="5761F28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28" w:history="1">
              <w:r w:rsidR="00A56EE9" w:rsidRPr="00E70A11">
                <w:rPr>
                  <w:rStyle w:val="Hyperlink"/>
                  <w:rFonts w:ascii="Arial Narrow" w:hAnsi="Arial Narrow"/>
                  <w:sz w:val="18"/>
                  <w:szCs w:val="18"/>
                </w:rPr>
                <w:t>Tobin et.al. (2014) Utilising innovative technology to better understand Spanish mackerel spawning aggregations and the protection offered by marine protected areas</w:t>
              </w:r>
            </w:hyperlink>
          </w:p>
          <w:p w14:paraId="5761F28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w:t>
            </w:r>
            <w:hyperlink r:id="rId829" w:history="1">
              <w:r w:rsidRPr="00E70A11">
                <w:rPr>
                  <w:rStyle w:val="Hyperlink"/>
                  <w:rFonts w:ascii="Arial Narrow" w:hAnsi="Arial Narrow"/>
                  <w:sz w:val="18"/>
                  <w:szCs w:val="18"/>
                </w:rPr>
                <w:t>Thurstan et.al. 2016 Nineteenth century narratives reveal historic catch rates for Australian snapper (Pagrus auratus)</w:t>
              </w:r>
            </w:hyperlink>
            <w:r w:rsidRPr="00E70A11">
              <w:rPr>
                <w:rFonts w:ascii="Arial Narrow" w:hAnsi="Arial Narrow"/>
                <w:sz w:val="18"/>
                <w:szCs w:val="18"/>
              </w:rPr>
              <w:t>.</w:t>
            </w:r>
          </w:p>
          <w:p w14:paraId="5761F28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w:t>
            </w:r>
            <w:hyperlink r:id="rId830" w:history="1">
              <w:r w:rsidRPr="00E70A11">
                <w:rPr>
                  <w:rStyle w:val="Hyperlink"/>
                  <w:rFonts w:ascii="Arial Narrow" w:hAnsi="Arial Narrow"/>
                  <w:sz w:val="18"/>
                  <w:szCs w:val="18"/>
                </w:rPr>
                <w:t>Pratchett et.al. (2013) Effects of climate change on reproduction, larval development, and adult health of coral trout (Plectropomus spp.)</w:t>
              </w:r>
            </w:hyperlink>
          </w:p>
          <w:p w14:paraId="5761F28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Szczecinski 2012 - </w:t>
            </w:r>
            <w:hyperlink r:id="rId831" w:history="1">
              <w:r w:rsidRPr="00E70A11">
                <w:rPr>
                  <w:rStyle w:val="Hyperlink"/>
                  <w:rFonts w:ascii="Arial Narrow" w:hAnsi="Arial Narrow"/>
                  <w:sz w:val="18"/>
                  <w:szCs w:val="18"/>
                </w:rPr>
                <w:t>Catch susceptibility and life history of barred javelin (Pomadasys kaakan) in north eastern Queensland, Australia.</w:t>
              </w:r>
            </w:hyperlink>
          </w:p>
          <w:p w14:paraId="5761F28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Buckley et.al. 2017 </w:t>
            </w:r>
            <w:hyperlink r:id="rId832" w:history="1">
              <w:r w:rsidRPr="00E70A11">
                <w:rPr>
                  <w:rStyle w:val="Hyperlink"/>
                  <w:rFonts w:ascii="Arial Narrow" w:hAnsi="Arial Narrow"/>
                  <w:sz w:val="18"/>
                  <w:szCs w:val="18"/>
                </w:rPr>
                <w:t>Historical spatial reconstruction of a spawning-aggregation fishery</w:t>
              </w:r>
            </w:hyperlink>
          </w:p>
        </w:tc>
        <w:tc>
          <w:tcPr>
            <w:tcW w:w="1324" w:type="dxa"/>
            <w:tcBorders>
              <w:top w:val="single" w:sz="4" w:space="0" w:color="auto"/>
              <w:left w:val="single" w:sz="4" w:space="0" w:color="auto"/>
              <w:bottom w:val="single" w:sz="4" w:space="0" w:color="auto"/>
              <w:right w:val="single" w:sz="4" w:space="0" w:color="auto"/>
            </w:tcBorders>
          </w:tcPr>
          <w:p w14:paraId="5761F28D"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28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2A3"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290"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to recreational fishing are known by managers</w:t>
            </w:r>
          </w:p>
        </w:tc>
        <w:tc>
          <w:tcPr>
            <w:tcW w:w="734" w:type="dxa"/>
            <w:tcBorders>
              <w:top w:val="single" w:sz="4" w:space="0" w:color="auto"/>
              <w:left w:val="single" w:sz="4" w:space="0" w:color="auto"/>
              <w:bottom w:val="single" w:sz="4" w:space="0" w:color="auto"/>
              <w:right w:val="single" w:sz="4" w:space="0" w:color="auto"/>
            </w:tcBorders>
          </w:tcPr>
          <w:p w14:paraId="5761F291"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29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Fisheries Queensland collects information on recreational fishing including catch, release and size by species group and catch by region and undertake sustainability reporting on Queensland's fisheries </w:t>
            </w:r>
          </w:p>
          <w:p w14:paraId="5761F29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 2016, Fisheries Queensland completed the stock status assessment of 45 important species comprising of 65 individual stocks or management units. However stock status reporting is often statewide and may not identify trends in the Region or localised depletion.</w:t>
            </w:r>
          </w:p>
          <w:p w14:paraId="5761F29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current condition and trend and importance of Fish Spawning Aggregation Sites (FSAS) is unknown. The location and timing of Reef-associated FSAS is known across only a limited number of reefs in the Region.</w:t>
            </w:r>
            <w:r>
              <w:rPr>
                <w:rFonts w:ascii="Arial Narrow" w:hAnsi="Arial Narrow"/>
                <w:sz w:val="18"/>
                <w:szCs w:val="18"/>
              </w:rPr>
              <w:t xml:space="preserve"> </w:t>
            </w:r>
          </w:p>
          <w:p w14:paraId="5761F295" w14:textId="77777777" w:rsidR="00A56EE9" w:rsidRPr="00E70A11" w:rsidRDefault="00A56EE9" w:rsidP="00A11869">
            <w:pPr>
              <w:pStyle w:val="ListParagraph"/>
              <w:numPr>
                <w:ilvl w:val="0"/>
                <w:numId w:val="24"/>
              </w:numPr>
              <w:spacing w:after="0" w:line="276" w:lineRule="auto"/>
              <w:rPr>
                <w:rFonts w:ascii="Arial Narrow" w:hAnsi="Arial Narrow"/>
                <w:sz w:val="18"/>
                <w:szCs w:val="18"/>
              </w:rPr>
            </w:pPr>
            <w:r w:rsidRPr="00E70A11">
              <w:rPr>
                <w:rFonts w:ascii="Arial Narrow" w:hAnsi="Arial Narrow"/>
                <w:sz w:val="18"/>
                <w:szCs w:val="18"/>
              </w:rPr>
              <w:t>Examples of species with declining current catch rates include snapper (roughly one-ninth of historic catch rates) pearl perch (classified as transitional-depleting).</w:t>
            </w:r>
            <w:r>
              <w:rPr>
                <w:rFonts w:ascii="Arial Narrow" w:hAnsi="Arial Narrow"/>
                <w:sz w:val="18"/>
                <w:szCs w:val="18"/>
              </w:rPr>
              <w:t xml:space="preserve"> </w:t>
            </w:r>
            <w:r w:rsidRPr="00E70A11">
              <w:rPr>
                <w:rFonts w:ascii="Arial Narrow" w:hAnsi="Arial Narrow"/>
                <w:sz w:val="18"/>
                <w:szCs w:val="18"/>
              </w:rPr>
              <w:t>Large declines in Spanish mackerel spawning aggregation and catch rates for this specie</w:t>
            </w:r>
            <w:r>
              <w:rPr>
                <w:rFonts w:ascii="Arial Narrow" w:hAnsi="Arial Narrow"/>
                <w:sz w:val="18"/>
                <w:szCs w:val="18"/>
              </w:rPr>
              <w:t>s</w:t>
            </w:r>
            <w:r w:rsidRPr="00E70A11">
              <w:rPr>
                <w:rFonts w:ascii="Arial Narrow" w:hAnsi="Arial Narrow"/>
                <w:sz w:val="18"/>
                <w:szCs w:val="18"/>
              </w:rPr>
              <w:t xml:space="preserve"> have also been reported.</w:t>
            </w:r>
          </w:p>
        </w:tc>
        <w:tc>
          <w:tcPr>
            <w:tcW w:w="5260" w:type="dxa"/>
            <w:tcBorders>
              <w:top w:val="single" w:sz="4" w:space="0" w:color="auto"/>
              <w:left w:val="single" w:sz="4" w:space="0" w:color="auto"/>
              <w:bottom w:val="single" w:sz="4" w:space="0" w:color="auto"/>
              <w:right w:val="single" w:sz="4" w:space="0" w:color="auto"/>
            </w:tcBorders>
          </w:tcPr>
          <w:p w14:paraId="5761F29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33" w:history="1">
              <w:r w:rsidR="00A56EE9" w:rsidRPr="00E70A11">
                <w:rPr>
                  <w:rFonts w:ascii="Arial Narrow" w:hAnsi="Arial Narrow"/>
                  <w:sz w:val="18"/>
                  <w:szCs w:val="18"/>
                </w:rPr>
                <w:t>Queensland managed fisheries assessments under the EPBC Act</w:t>
              </w:r>
            </w:hyperlink>
          </w:p>
          <w:p w14:paraId="5761F29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34" w:history="1">
              <w:r w:rsidR="00A56EE9" w:rsidRPr="00E70A11">
                <w:rPr>
                  <w:rFonts w:ascii="Arial Narrow" w:hAnsi="Arial Narrow"/>
                  <w:sz w:val="18"/>
                  <w:szCs w:val="18"/>
                </w:rPr>
                <w:t>Queensland Sustainable Fisheries Strategy 2017-2027</w:t>
              </w:r>
            </w:hyperlink>
          </w:p>
          <w:p w14:paraId="5761F29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35" w:history="1">
              <w:r w:rsidR="00A56EE9" w:rsidRPr="00E70A11">
                <w:rPr>
                  <w:rFonts w:ascii="Arial Narrow" w:hAnsi="Arial Narrow"/>
                  <w:sz w:val="18"/>
                  <w:szCs w:val="18"/>
                </w:rPr>
                <w:t>QDAF sustainability reporting on Queensland's fisheries</w:t>
              </w:r>
            </w:hyperlink>
          </w:p>
          <w:p w14:paraId="5761F29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36" w:history="1">
              <w:r w:rsidR="00A56EE9" w:rsidRPr="00E70A11">
                <w:rPr>
                  <w:rFonts w:ascii="Arial Narrow" w:hAnsi="Arial Narrow"/>
                  <w:sz w:val="18"/>
                  <w:szCs w:val="18"/>
                </w:rPr>
                <w:t>Summary of Stock Status for Queensland Species 2016</w:t>
              </w:r>
            </w:hyperlink>
          </w:p>
          <w:p w14:paraId="5761F29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37" w:history="1">
              <w:r w:rsidR="00A56EE9" w:rsidRPr="00E70A11">
                <w:rPr>
                  <w:rFonts w:ascii="Arial Narrow" w:hAnsi="Arial Narrow"/>
                  <w:sz w:val="18"/>
                  <w:szCs w:val="18"/>
                </w:rPr>
                <w:t>QDAF fish stock assessment reports</w:t>
              </w:r>
            </w:hyperlink>
          </w:p>
          <w:p w14:paraId="5761F29B" w14:textId="4B8DB6D8"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38" w:tooltip="document link" w:history="1">
              <w:r w:rsidR="00A56EE9" w:rsidRPr="00E70A11">
                <w:rPr>
                  <w:rFonts w:ascii="Arial Narrow" w:hAnsi="Arial Narrow"/>
                  <w:sz w:val="18"/>
                  <w:szCs w:val="18"/>
                </w:rPr>
                <w:t>https://www.daf.qld.gov.au/business-priorities/fisheries/monitoring-our-fisheries/recreational-fisheries/get-involved-in-fisheries-monitoring/let-us-measure-your-catch</w:t>
              </w:r>
            </w:hyperlink>
            <w:r w:rsidR="00A56EE9" w:rsidRPr="00E70A11">
              <w:rPr>
                <w:rFonts w:ascii="Arial Narrow" w:hAnsi="Arial Narrow"/>
                <w:sz w:val="18"/>
                <w:szCs w:val="18"/>
              </w:rPr>
              <w:t xml:space="preserve"> </w:t>
            </w:r>
          </w:p>
          <w:p w14:paraId="5761F29C" w14:textId="7CCDD8DB"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39" w:tooltip="document link" w:history="1">
              <w:r w:rsidR="00A56EE9" w:rsidRPr="00E70A11">
                <w:rPr>
                  <w:rFonts w:ascii="Arial Narrow" w:hAnsi="Arial Narrow"/>
                  <w:sz w:val="18"/>
                  <w:szCs w:val="18"/>
                </w:rPr>
                <w:t>https://publications.qld.gov.au/dataset/baseline-report-for-fisheries-qld-recreational-boat-based-fishing-survey</w:t>
              </w:r>
            </w:hyperlink>
          </w:p>
          <w:p w14:paraId="5761F29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40" w:history="1">
              <w:r w:rsidR="00A56EE9" w:rsidRPr="00E70A11">
                <w:rPr>
                  <w:rFonts w:ascii="Arial Narrow" w:hAnsi="Arial Narrow"/>
                  <w:sz w:val="18"/>
                  <w:szCs w:val="18"/>
                </w:rPr>
                <w:t>Stock assessment of the Queensland and New South Wales pearl perch (Glaucosoma scapulare) fishery</w:t>
              </w:r>
            </w:hyperlink>
            <w:r w:rsidR="00A56EE9" w:rsidRPr="00E70A11">
              <w:rPr>
                <w:rFonts w:ascii="Arial Narrow" w:hAnsi="Arial Narrow"/>
                <w:sz w:val="18"/>
                <w:szCs w:val="18"/>
              </w:rPr>
              <w:t xml:space="preserve"> 2017</w:t>
            </w:r>
          </w:p>
          <w:p w14:paraId="5761F29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41" w:history="1">
              <w:r w:rsidR="00A56EE9" w:rsidRPr="00E70A11">
                <w:rPr>
                  <w:rFonts w:ascii="Arial Narrow" w:hAnsi="Arial Narrow"/>
                  <w:sz w:val="18"/>
                  <w:szCs w:val="18"/>
                </w:rPr>
                <w:t>Thurstan et.al. 2016 Nineteenth century narratives reveal historic catch rates for Australian snapper (Pagrus auratus)</w:t>
              </w:r>
            </w:hyperlink>
            <w:r w:rsidR="00A56EE9" w:rsidRPr="00E70A11">
              <w:rPr>
                <w:rFonts w:ascii="Arial Narrow" w:hAnsi="Arial Narrow"/>
                <w:sz w:val="18"/>
                <w:szCs w:val="18"/>
              </w:rPr>
              <w:t>.</w:t>
            </w:r>
          </w:p>
          <w:p w14:paraId="5761F29F"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42" w:history="1">
              <w:r w:rsidR="00A56EE9" w:rsidRPr="00E70A11">
                <w:rPr>
                  <w:rFonts w:ascii="Arial Narrow" w:hAnsi="Arial Narrow"/>
                  <w:sz w:val="18"/>
                  <w:szCs w:val="18"/>
                </w:rPr>
                <w:t>Buckley et.al. (2017)</w:t>
              </w:r>
              <w:r w:rsidR="00A56EE9">
                <w:rPr>
                  <w:rFonts w:ascii="Arial Narrow" w:hAnsi="Arial Narrow"/>
                  <w:sz w:val="18"/>
                  <w:szCs w:val="18"/>
                </w:rPr>
                <w:t xml:space="preserve"> </w:t>
              </w:r>
              <w:r w:rsidR="00A56EE9" w:rsidRPr="00E70A11">
                <w:rPr>
                  <w:rFonts w:ascii="Arial Narrow" w:hAnsi="Arial Narrow"/>
                  <w:sz w:val="18"/>
                  <w:szCs w:val="18"/>
                </w:rPr>
                <w:t>Historical spatial reconstruction of a spawning-aggregation ﬁshery</w:t>
              </w:r>
            </w:hyperlink>
            <w:r w:rsidR="00A56EE9" w:rsidRPr="00E70A11">
              <w:rPr>
                <w:rFonts w:ascii="Arial Narrow" w:hAnsi="Arial Narrow"/>
                <w:sz w:val="18"/>
                <w:szCs w:val="18"/>
              </w:rPr>
              <w:t>.</w:t>
            </w:r>
          </w:p>
          <w:p w14:paraId="5761F2A0" w14:textId="77777777" w:rsidR="00A56EE9" w:rsidRPr="00774D6C" w:rsidRDefault="008B5998" w:rsidP="00A11869">
            <w:pPr>
              <w:pStyle w:val="ListParagraph"/>
              <w:numPr>
                <w:ilvl w:val="0"/>
                <w:numId w:val="24"/>
              </w:numPr>
              <w:spacing w:after="0" w:line="276" w:lineRule="auto"/>
              <w:rPr>
                <w:rFonts w:ascii="Arial Narrow" w:hAnsi="Arial Narrow"/>
                <w:sz w:val="18"/>
                <w:szCs w:val="18"/>
              </w:rPr>
            </w:pPr>
            <w:hyperlink r:id="rId843" w:history="1">
              <w:r w:rsidR="00A56EE9" w:rsidRPr="00E70A11">
                <w:rPr>
                  <w:rStyle w:val="Hyperlink"/>
                  <w:rFonts w:ascii="Arial Narrow" w:hAnsi="Arial Narrow"/>
                  <w:sz w:val="18"/>
                  <w:szCs w:val="18"/>
                </w:rPr>
                <w:t>Tobin et.al. (2014) Utilising innovative technology to better understand Spanish mackerel spawning aggregations and the protection offered by marine protected areas</w:t>
              </w:r>
            </w:hyperlink>
          </w:p>
        </w:tc>
        <w:tc>
          <w:tcPr>
            <w:tcW w:w="1324" w:type="dxa"/>
            <w:tcBorders>
              <w:top w:val="single" w:sz="4" w:space="0" w:color="auto"/>
              <w:left w:val="single" w:sz="4" w:space="0" w:color="auto"/>
              <w:bottom w:val="single" w:sz="4" w:space="0" w:color="auto"/>
              <w:right w:val="single" w:sz="4" w:space="0" w:color="auto"/>
            </w:tcBorders>
          </w:tcPr>
          <w:p w14:paraId="5761F2A1"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2A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2B2"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2A4"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Impacts (direct, indirect and cumulative) associated with recreational fishing are understood by managers.</w:t>
            </w:r>
          </w:p>
        </w:tc>
        <w:tc>
          <w:tcPr>
            <w:tcW w:w="734" w:type="dxa"/>
            <w:tcBorders>
              <w:top w:val="single" w:sz="4" w:space="0" w:color="auto"/>
              <w:left w:val="single" w:sz="4" w:space="0" w:color="auto"/>
              <w:bottom w:val="single" w:sz="4" w:space="0" w:color="auto"/>
              <w:right w:val="single" w:sz="4" w:space="0" w:color="auto"/>
            </w:tcBorders>
          </w:tcPr>
          <w:p w14:paraId="5761F2A5"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2A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ecosystem effects and cumulative impacts of recreational fishing are poorly understood but are likely to be most concentrated in inshore areas close to major population centres and a relatively small number of offshore reefs. </w:t>
            </w:r>
          </w:p>
          <w:p w14:paraId="5761F2A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Increasing numbers of seasonal recreational fishers may increase the pressure on specific species and locations, but these impacts are also largely unquantified.</w:t>
            </w:r>
          </w:p>
          <w:p w14:paraId="5761F2A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Bow mounted electric motors are reported to being used by recreational fishers fishing reef areas. GPS “Spot lock” technology allows these electric motors to “anchor” a boat in one location using GPS guidance eliminating the need for the use of an actual anchor and chain and the associated physical impact to coral when fishing reef areas. </w:t>
            </w:r>
          </w:p>
          <w:p w14:paraId="5761F2A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Sonar technology may also enhance the effectiveness of recreational fishers.</w:t>
            </w:r>
          </w:p>
          <w:p w14:paraId="5761F2A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Vulnerability of recreational fishing species to climate change is also of concern. E.g. Pratchett et.al. (2013) shows that coral trout are sensitive to changes in habitat and environmental conditions expected to occur as a consequence of sustained and ongoing climate change. These changes include degradation of coral reef habitats and increasing temperature which have occurred during the 2016-17 mass bleaching event.</w:t>
            </w:r>
          </w:p>
        </w:tc>
        <w:tc>
          <w:tcPr>
            <w:tcW w:w="5260" w:type="dxa"/>
            <w:tcBorders>
              <w:top w:val="single" w:sz="4" w:space="0" w:color="auto"/>
              <w:left w:val="single" w:sz="4" w:space="0" w:color="auto"/>
              <w:bottom w:val="single" w:sz="4" w:space="0" w:color="auto"/>
              <w:right w:val="single" w:sz="4" w:space="0" w:color="auto"/>
            </w:tcBorders>
          </w:tcPr>
          <w:p w14:paraId="5761F2AB" w14:textId="1A5413F3"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44" w:tooltip="document link" w:history="1">
              <w:r w:rsidR="00A56EE9" w:rsidRPr="00E70A11">
                <w:rPr>
                  <w:rFonts w:ascii="Arial Narrow" w:hAnsi="Arial Narrow"/>
                  <w:sz w:val="18"/>
                  <w:szCs w:val="18"/>
                </w:rPr>
                <w:t>https://www.daf.qld.gov.au/business-priorities/fisheries/monitoring-our-fisheries/recreational-fisheries/get-involved-in-fisheries-monitoring/let-us-measure-your-catch</w:t>
              </w:r>
            </w:hyperlink>
            <w:r w:rsidR="00A56EE9" w:rsidRPr="00E70A11">
              <w:rPr>
                <w:rFonts w:ascii="Arial Narrow" w:hAnsi="Arial Narrow"/>
                <w:sz w:val="18"/>
                <w:szCs w:val="18"/>
              </w:rPr>
              <w:t xml:space="preserve"> </w:t>
            </w:r>
          </w:p>
          <w:p w14:paraId="5761F2AC" w14:textId="5BEB3689"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45" w:tooltip="document link" w:history="1">
              <w:r w:rsidR="00A56EE9" w:rsidRPr="00E70A11">
                <w:rPr>
                  <w:rFonts w:ascii="Arial Narrow" w:hAnsi="Arial Narrow"/>
                  <w:sz w:val="18"/>
                  <w:szCs w:val="18"/>
                </w:rPr>
                <w:t>https://publications.qld.gov.au/dataset/baseline-report-for-fisheries-qld-recreational-boat-based-fishing-survey</w:t>
              </w:r>
            </w:hyperlink>
          </w:p>
          <w:p w14:paraId="5761F2A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46" w:history="1">
              <w:r w:rsidR="00A56EE9" w:rsidRPr="00E70A11">
                <w:rPr>
                  <w:rFonts w:ascii="Arial Narrow" w:hAnsi="Arial Narrow"/>
                  <w:sz w:val="18"/>
                  <w:szCs w:val="18"/>
                </w:rPr>
                <w:t>Pratchett et.al. (2013) Effects of climate change on reproduction, larval development, and adult health of coral trout (Plectropomus spp.)</w:t>
              </w:r>
            </w:hyperlink>
          </w:p>
          <w:p w14:paraId="5761F2AE" w14:textId="0D01C5F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Fonts w:ascii="Arial Narrow" w:hAnsi="Arial Narrow"/>
                <w:sz w:val="18"/>
                <w:szCs w:val="18"/>
              </w:rPr>
              <w:t xml:space="preserve"> </w:t>
            </w:r>
            <w:hyperlink r:id="rId847" w:tooltip="document link" w:history="1">
              <w:r w:rsidRPr="00E70A11">
                <w:rPr>
                  <w:rStyle w:val="Hyperlink"/>
                  <w:rFonts w:ascii="Arial Narrow" w:hAnsi="Arial Narrow"/>
                  <w:sz w:val="18"/>
                  <w:szCs w:val="18"/>
                </w:rPr>
                <w:t>https://www.daf.qld.gov.au/fisheries/monitoring-our-fisheries/data-reports/sustainability-reporting/stock-status-assessments/summary-2016</w:t>
              </w:r>
            </w:hyperlink>
          </w:p>
          <w:p w14:paraId="5761F2A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Szczecinski 2012 - </w:t>
            </w:r>
            <w:hyperlink r:id="rId848" w:history="1">
              <w:r w:rsidRPr="00E70A11">
                <w:rPr>
                  <w:rStyle w:val="Hyperlink"/>
                  <w:rFonts w:ascii="Arial Narrow" w:hAnsi="Arial Narrow"/>
                  <w:sz w:val="18"/>
                  <w:szCs w:val="18"/>
                </w:rPr>
                <w:t>Catch susceptibility and life history of barred javelin (Pomadasys kaakan) in north eastern Queensland, Australia.</w:t>
              </w:r>
            </w:hyperlink>
          </w:p>
        </w:tc>
        <w:tc>
          <w:tcPr>
            <w:tcW w:w="1324" w:type="dxa"/>
            <w:tcBorders>
              <w:top w:val="single" w:sz="4" w:space="0" w:color="auto"/>
              <w:left w:val="single" w:sz="4" w:space="0" w:color="auto"/>
              <w:bottom w:val="single" w:sz="4" w:space="0" w:color="auto"/>
              <w:right w:val="single" w:sz="4" w:space="0" w:color="auto"/>
            </w:tcBorders>
          </w:tcPr>
          <w:p w14:paraId="5761F2B0"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2B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2C2"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2B3"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recreational fishing are understood by managers.</w:t>
            </w:r>
          </w:p>
        </w:tc>
        <w:tc>
          <w:tcPr>
            <w:tcW w:w="734" w:type="dxa"/>
            <w:tcBorders>
              <w:top w:val="single" w:sz="4" w:space="0" w:color="auto"/>
              <w:left w:val="single" w:sz="4" w:space="0" w:color="auto"/>
              <w:bottom w:val="single" w:sz="4" w:space="0" w:color="auto"/>
              <w:right w:val="single" w:sz="4" w:space="0" w:color="auto"/>
            </w:tcBorders>
          </w:tcPr>
          <w:p w14:paraId="5761F2B4" w14:textId="77777777" w:rsidR="00A56EE9" w:rsidRPr="00E70A11" w:rsidRDefault="00A56EE9" w:rsidP="00BB6AD5">
            <w:pPr>
              <w:pStyle w:val="Tablebulletlist"/>
              <w:rPr>
                <w:rStyle w:val="BookTitle"/>
              </w:rPr>
            </w:pPr>
            <w:r w:rsidRPr="00E70A11">
              <w:rPr>
                <w:rStyle w:val="BookTitle"/>
              </w:rPr>
              <w:t>4</w:t>
            </w:r>
          </w:p>
        </w:tc>
        <w:tc>
          <w:tcPr>
            <w:tcW w:w="4968" w:type="dxa"/>
            <w:tcBorders>
              <w:top w:val="single" w:sz="4" w:space="0" w:color="auto"/>
              <w:left w:val="single" w:sz="4" w:space="0" w:color="auto"/>
              <w:bottom w:val="single" w:sz="4" w:space="0" w:color="auto"/>
              <w:right w:val="single" w:sz="4" w:space="0" w:color="auto"/>
            </w:tcBorders>
          </w:tcPr>
          <w:p w14:paraId="5761F2B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management is undertaken to a high level within the bounds of standards set by the FAO and the Australian Fisheries Management Forum.</w:t>
            </w:r>
          </w:p>
          <w:p w14:paraId="5761F2B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Fisheries Queensland has cross jurisdictional communication with NSW and the NT around the joint stocks of recreational interest (e.g. Snapper, Spanish </w:t>
            </w:r>
            <w:proofErr w:type="gramStart"/>
            <w:r w:rsidRPr="00E70A11">
              <w:rPr>
                <w:rFonts w:ascii="Arial Narrow" w:hAnsi="Arial Narrow"/>
                <w:sz w:val="18"/>
                <w:szCs w:val="18"/>
              </w:rPr>
              <w:t>Mackerel</w:t>
            </w:r>
            <w:proofErr w:type="gramEnd"/>
            <w:r w:rsidRPr="00E70A11">
              <w:rPr>
                <w:rFonts w:ascii="Arial Narrow" w:hAnsi="Arial Narrow"/>
                <w:sz w:val="18"/>
                <w:szCs w:val="18"/>
              </w:rPr>
              <w:t xml:space="preserve">). </w:t>
            </w:r>
          </w:p>
          <w:p w14:paraId="5761F2B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External influences on recreational fishing such as habitat modification, climate change and resource sharing are understood by managers.</w:t>
            </w:r>
            <w:r>
              <w:rPr>
                <w:rFonts w:ascii="Arial Narrow" w:hAnsi="Arial Narrow"/>
                <w:sz w:val="18"/>
                <w:szCs w:val="18"/>
              </w:rPr>
              <w:t xml:space="preserve"> </w:t>
            </w:r>
          </w:p>
          <w:p w14:paraId="5761F2B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Reef-dependent activities including fishing are vulnerable to the negative effects of ocean acidification, sea level rise, more frequent extreme weather and warming sea temperatures may have on Reef condition. </w:t>
            </w:r>
          </w:p>
          <w:p w14:paraId="5761F2B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likely fishing activities will be highly sensitive to climate change, including projected changes in fish abundance, survivorship</w:t>
            </w:r>
            <w:r w:rsidRPr="00E70A11">
              <w:rPr>
                <w:rFonts w:ascii="Arial Narrow" w:hAnsi="Arial Narrow"/>
                <w:sz w:val="18"/>
                <w:szCs w:val="18"/>
              </w:rPr>
              <w:fldChar w:fldCharType="begin"/>
            </w:r>
            <w:r w:rsidRPr="00E70A11">
              <w:rPr>
                <w:rFonts w:ascii="Arial Narrow" w:hAnsi="Arial Narrow"/>
                <w:sz w:val="18"/>
                <w:szCs w:val="18"/>
              </w:rPr>
              <w:instrText>ADDIN RW.CITE{{4934 Kikkawa,T. 2004; 4924 Ishimatsu,A. 2004; 4889 Guinotte,J.M. 2008}}</w:instrText>
            </w:r>
            <w:r w:rsidRPr="00E70A11">
              <w:rPr>
                <w:rFonts w:ascii="Arial Narrow" w:hAnsi="Arial Narrow"/>
                <w:sz w:val="18"/>
                <w:szCs w:val="18"/>
              </w:rPr>
              <w:fldChar w:fldCharType="end"/>
            </w:r>
            <w:r w:rsidRPr="00E70A11">
              <w:rPr>
                <w:rFonts w:ascii="Arial Narrow" w:hAnsi="Arial Narrow"/>
                <w:sz w:val="18"/>
                <w:szCs w:val="18"/>
              </w:rPr>
              <w:t xml:space="preserve"> , size and distribution, disruptions to shallow water nurseries and loss of coral reef habitats, as well as changes in cyclone and storm activity. </w:t>
            </w:r>
          </w:p>
          <w:p w14:paraId="5761F2B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There is increasing acknowledgment that fisheries management of fishing in the </w:t>
            </w:r>
            <w:r>
              <w:rPr>
                <w:rFonts w:ascii="Arial Narrow" w:hAnsi="Arial Narrow"/>
                <w:sz w:val="18"/>
                <w:szCs w:val="18"/>
              </w:rPr>
              <w:t>W</w:t>
            </w:r>
            <w:r w:rsidRPr="00E70A11">
              <w:rPr>
                <w:rFonts w:ascii="Arial Narrow" w:hAnsi="Arial Narrow"/>
                <w:sz w:val="18"/>
                <w:szCs w:val="18"/>
              </w:rPr>
              <w:t xml:space="preserve">orld </w:t>
            </w:r>
            <w:r>
              <w:rPr>
                <w:rFonts w:ascii="Arial Narrow" w:hAnsi="Arial Narrow"/>
                <w:sz w:val="18"/>
                <w:szCs w:val="18"/>
              </w:rPr>
              <w:t>H</w:t>
            </w:r>
            <w:r w:rsidRPr="00E70A11">
              <w:rPr>
                <w:rFonts w:ascii="Arial Narrow" w:hAnsi="Arial Narrow"/>
                <w:sz w:val="18"/>
                <w:szCs w:val="18"/>
              </w:rPr>
              <w:t xml:space="preserve">eritage </w:t>
            </w:r>
            <w:r>
              <w:rPr>
                <w:rFonts w:ascii="Arial Narrow" w:hAnsi="Arial Narrow"/>
                <w:sz w:val="18"/>
                <w:szCs w:val="18"/>
              </w:rPr>
              <w:t>A</w:t>
            </w:r>
            <w:r w:rsidRPr="00E70A11">
              <w:rPr>
                <w:rFonts w:ascii="Arial Narrow" w:hAnsi="Arial Narrow"/>
                <w:sz w:val="18"/>
                <w:szCs w:val="18"/>
              </w:rPr>
              <w:t>rea (declared because of its outstanding universal value based on natural values) could be more precautionary than that which exists for fisheries outside marine protected areas in Australia.</w:t>
            </w:r>
            <w:r>
              <w:rPr>
                <w:rFonts w:ascii="Arial Narrow" w:hAnsi="Arial Narrow"/>
                <w:sz w:val="18"/>
                <w:szCs w:val="18"/>
              </w:rPr>
              <w:t xml:space="preserve"> </w:t>
            </w:r>
          </w:p>
        </w:tc>
        <w:tc>
          <w:tcPr>
            <w:tcW w:w="5260" w:type="dxa"/>
            <w:tcBorders>
              <w:top w:val="single" w:sz="4" w:space="0" w:color="auto"/>
              <w:left w:val="single" w:sz="4" w:space="0" w:color="auto"/>
              <w:bottom w:val="single" w:sz="4" w:space="0" w:color="auto"/>
              <w:right w:val="single" w:sz="4" w:space="0" w:color="auto"/>
            </w:tcBorders>
          </w:tcPr>
          <w:p w14:paraId="5761F2BB" w14:textId="0A53F7B6"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Recreational Fisheries. FAO. Guidelines for responsible fisheries (</w:t>
            </w:r>
            <w:hyperlink r:id="rId849" w:tooltip="document link" w:history="1">
              <w:r w:rsidRPr="00E70A11">
                <w:rPr>
                  <w:rStyle w:val="Hyperlink"/>
                  <w:rFonts w:ascii="Arial Narrow" w:hAnsi="Arial Narrow"/>
                  <w:sz w:val="18"/>
                  <w:szCs w:val="18"/>
                </w:rPr>
                <w:t>www.fao.org/docrep/016/i2708e/i2708e00.pdf</w:t>
              </w:r>
            </w:hyperlink>
            <w:r w:rsidRPr="00E70A11">
              <w:rPr>
                <w:rFonts w:ascii="Arial Narrow" w:hAnsi="Arial Narrow"/>
                <w:sz w:val="18"/>
                <w:szCs w:val="18"/>
              </w:rPr>
              <w:t>)</w:t>
            </w:r>
          </w:p>
          <w:p w14:paraId="5761F2B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Australian Fisheries Management Forum and subcommittees</w:t>
            </w:r>
          </w:p>
          <w:p w14:paraId="5761F2B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EPBC Act 2009</w:t>
            </w:r>
          </w:p>
          <w:p w14:paraId="5761F2B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Convention on the Conservation of Migratory Species of Wild Animals</w:t>
            </w:r>
          </w:p>
          <w:p w14:paraId="5761F2BF" w14:textId="77777777" w:rsidR="00A56EE9" w:rsidRPr="00774D6C" w:rsidRDefault="00A56EE9" w:rsidP="00BB6AD5">
            <w:pPr>
              <w:rPr>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2C0"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2C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2D1"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2C3"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recreational fishing are well known by managers.</w:t>
            </w:r>
          </w:p>
        </w:tc>
        <w:tc>
          <w:tcPr>
            <w:tcW w:w="734" w:type="dxa"/>
            <w:tcBorders>
              <w:top w:val="single" w:sz="4" w:space="0" w:color="auto"/>
              <w:left w:val="single" w:sz="4" w:space="0" w:color="auto"/>
              <w:bottom w:val="single" w:sz="4" w:space="0" w:color="auto"/>
              <w:right w:val="single" w:sz="4" w:space="0" w:color="auto"/>
            </w:tcBorders>
          </w:tcPr>
          <w:p w14:paraId="5761F2C4" w14:textId="77777777" w:rsidR="00A56EE9" w:rsidRPr="00E70A11" w:rsidRDefault="00A56EE9" w:rsidP="00BB6AD5">
            <w:pPr>
              <w:pStyle w:val="Tablebulletlist"/>
              <w:rPr>
                <w:rStyle w:val="BookTitle"/>
              </w:rPr>
            </w:pPr>
            <w:r w:rsidRPr="00E70A11">
              <w:rPr>
                <w:rStyle w:val="BookTitle"/>
              </w:rPr>
              <w:t>4</w:t>
            </w:r>
          </w:p>
        </w:tc>
        <w:tc>
          <w:tcPr>
            <w:tcW w:w="4968" w:type="dxa"/>
            <w:tcBorders>
              <w:top w:val="single" w:sz="4" w:space="0" w:color="auto"/>
              <w:left w:val="single" w:sz="4" w:space="0" w:color="auto"/>
              <w:bottom w:val="single" w:sz="4" w:space="0" w:color="auto"/>
              <w:right w:val="single" w:sz="4" w:space="0" w:color="auto"/>
            </w:tcBorders>
          </w:tcPr>
          <w:p w14:paraId="5761F2C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government statewide recreational surveys provide some information on recreational fisher demographics. The latest survey report is for 2013-14.</w:t>
            </w:r>
          </w:p>
          <w:p w14:paraId="5761F2C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 Sustainable Fisheries Expert Panel was appointed in July 2017. The panel met on 29 August 2017. Stakeholder-based fishery working groups in place for Coral Reef Fin Fish, Trawl, Crab and East Coast inshore. Includes commercial, recreational and charter fishers, marketers/processors, conservation groups and science representatives.</w:t>
            </w:r>
          </w:p>
          <w:p w14:paraId="5761F2C7" w14:textId="479D36EE"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are several hundred thousand recreational fishers that access the GBRMP and WHA.</w:t>
            </w:r>
            <w:r w:rsidR="00242993">
              <w:rPr>
                <w:rFonts w:ascii="Arial Narrow" w:hAnsi="Arial Narrow"/>
                <w:sz w:val="18"/>
                <w:szCs w:val="18"/>
              </w:rPr>
              <w:t xml:space="preserve"> </w:t>
            </w:r>
            <w:r w:rsidRPr="00E70A11">
              <w:rPr>
                <w:rFonts w:ascii="Arial Narrow" w:hAnsi="Arial Narrow"/>
                <w:sz w:val="18"/>
                <w:szCs w:val="18"/>
              </w:rPr>
              <w:t>There is no centralised register of recreational fishers (such as exists with a recreational fisheries licence) and Fisheries QLD is unable to utilise the private boat registration database for fisheries communication matters because of privacy restrictions.</w:t>
            </w:r>
          </w:p>
          <w:p w14:paraId="5761F2C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Marine Park Authority works closely with fishing clubs and Community Access Points (e.g. BCF) to share information about the importance of maintaining biodiversity and ecosystem function through sustainable and responsible fishing practices. </w:t>
            </w:r>
          </w:p>
          <w:p w14:paraId="5761F2C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agency is engaged with local networks associated with the stakeholders in the three Net Free Zones (Cairns, Mackay and Rockhampton) to promote stewardship and to seek to influence opinion on issue that affect agency management goals.</w:t>
            </w:r>
          </w:p>
          <w:p w14:paraId="5761F2C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Regional Liaison staff and the Reef Guardian Fisher manager engage with key recreation fishing stakeholders to promote stewardship and to seek to influence opinion on issues that affect agency management goals. Key events such as fishing competitions and fishing and boating focused expo’s are attended by regional liaison staff to achieve the same outcomes.</w:t>
            </w:r>
          </w:p>
          <w:p w14:paraId="5761F2C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Local Marine Advisory Committees host community events where improving recreational fishers understanding of Marine Park management and fisheries management outcomes along with the promotion of stewardship by recreational fishers have been a goal.</w:t>
            </w:r>
          </w:p>
        </w:tc>
        <w:tc>
          <w:tcPr>
            <w:tcW w:w="5260" w:type="dxa"/>
            <w:tcBorders>
              <w:top w:val="single" w:sz="4" w:space="0" w:color="auto"/>
              <w:left w:val="single" w:sz="4" w:space="0" w:color="auto"/>
              <w:bottom w:val="single" w:sz="4" w:space="0" w:color="auto"/>
              <w:right w:val="single" w:sz="4" w:space="0" w:color="auto"/>
            </w:tcBorders>
          </w:tcPr>
          <w:p w14:paraId="5761F2CC" w14:textId="2B15E2A1" w:rsidR="00A56EE9" w:rsidRPr="00E70A11" w:rsidRDefault="00A56EE9" w:rsidP="00A11869">
            <w:pPr>
              <w:pStyle w:val="ListParagraph"/>
              <w:numPr>
                <w:ilvl w:val="0"/>
                <w:numId w:val="165"/>
              </w:numPr>
              <w:tabs>
                <w:tab w:val="left" w:pos="1615"/>
              </w:tabs>
              <w:spacing w:after="200" w:line="276" w:lineRule="auto"/>
              <w:rPr>
                <w:rFonts w:ascii="Arial Narrow" w:hAnsi="Arial Narrow"/>
                <w:sz w:val="18"/>
                <w:szCs w:val="18"/>
              </w:rPr>
            </w:pPr>
            <w:r w:rsidRPr="00E70A11">
              <w:rPr>
                <w:rFonts w:ascii="Arial Narrow" w:hAnsi="Arial Narrow"/>
                <w:sz w:val="18"/>
                <w:szCs w:val="18"/>
              </w:rPr>
              <w:t xml:space="preserve"> </w:t>
            </w:r>
            <w:hyperlink r:id="rId850" w:tooltip="document link" w:history="1">
              <w:r w:rsidRPr="00E70A11">
                <w:rPr>
                  <w:rStyle w:val="Hyperlink"/>
                  <w:rFonts w:ascii="Arial Narrow" w:hAnsi="Arial Narrow"/>
                  <w:sz w:val="18"/>
                  <w:szCs w:val="18"/>
                </w:rPr>
                <w:t>https://www.daf.qld.gov.au/fisheries/monitoring-our-fisheries/recreational-fisheries/statewide-and-regional-recreational-fishing-survey</w:t>
              </w:r>
            </w:hyperlink>
          </w:p>
          <w:p w14:paraId="5761F2CD" w14:textId="77777777" w:rsidR="00A56EE9" w:rsidRPr="00E70A11" w:rsidRDefault="00A56EE9" w:rsidP="00A11869">
            <w:pPr>
              <w:pStyle w:val="ListParagraph"/>
              <w:numPr>
                <w:ilvl w:val="0"/>
                <w:numId w:val="165"/>
              </w:numPr>
              <w:tabs>
                <w:tab w:val="left" w:pos="1615"/>
              </w:tabs>
              <w:spacing w:after="200" w:line="276" w:lineRule="auto"/>
              <w:rPr>
                <w:rFonts w:ascii="Arial Narrow" w:hAnsi="Arial Narrow"/>
                <w:sz w:val="18"/>
                <w:szCs w:val="18"/>
              </w:rPr>
            </w:pPr>
            <w:r w:rsidRPr="00E70A11">
              <w:rPr>
                <w:rFonts w:ascii="Arial Narrow" w:hAnsi="Arial Narrow"/>
                <w:sz w:val="18"/>
                <w:szCs w:val="18"/>
              </w:rPr>
              <w:t>LMAC Committees</w:t>
            </w:r>
          </w:p>
          <w:p w14:paraId="5761F2CE" w14:textId="77777777" w:rsidR="00A56EE9" w:rsidRPr="00E70A11" w:rsidRDefault="00A56EE9" w:rsidP="00A11869">
            <w:pPr>
              <w:pStyle w:val="ListParagraph"/>
              <w:numPr>
                <w:ilvl w:val="0"/>
                <w:numId w:val="165"/>
              </w:numPr>
              <w:tabs>
                <w:tab w:val="left" w:pos="1615"/>
              </w:tabs>
              <w:spacing w:after="200" w:line="276" w:lineRule="auto"/>
              <w:rPr>
                <w:rFonts w:ascii="Arial Narrow" w:hAnsi="Arial Narrow"/>
                <w:sz w:val="18"/>
                <w:szCs w:val="18"/>
              </w:rPr>
            </w:pPr>
            <w:r w:rsidRPr="00E70A11">
              <w:rPr>
                <w:rFonts w:ascii="Arial Narrow" w:hAnsi="Arial Narrow"/>
                <w:sz w:val="18"/>
                <w:szCs w:val="18"/>
              </w:rPr>
              <w:t>Queensland Sustainable Fisheries Strategy</w:t>
            </w:r>
          </w:p>
        </w:tc>
        <w:tc>
          <w:tcPr>
            <w:tcW w:w="1324" w:type="dxa"/>
            <w:tcBorders>
              <w:top w:val="single" w:sz="4" w:space="0" w:color="auto"/>
              <w:left w:val="single" w:sz="4" w:space="0" w:color="auto"/>
              <w:bottom w:val="single" w:sz="4" w:space="0" w:color="auto"/>
              <w:right w:val="single" w:sz="4" w:space="0" w:color="auto"/>
            </w:tcBorders>
          </w:tcPr>
          <w:p w14:paraId="5761F2CF" w14:textId="63F2DAFC" w:rsidR="00A56EE9" w:rsidRPr="00E70A11" w:rsidRDefault="008E414A" w:rsidP="00BB6AD5">
            <w:pPr>
              <w:pStyle w:val="Tablebulletlist"/>
              <w:rPr>
                <w:rStyle w:val="BookTitle"/>
              </w:rPr>
            </w:pPr>
            <w:r>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2D0" w14:textId="77777777" w:rsidR="00A56EE9" w:rsidRPr="00E70A11" w:rsidRDefault="00A56EE9" w:rsidP="00BB6AD5">
            <w:pPr>
              <w:pStyle w:val="Tablebulletlist"/>
              <w:rPr>
                <w:rStyle w:val="BookTitle"/>
              </w:rPr>
            </w:pPr>
            <w:r>
              <w:rPr>
                <w:rStyle w:val="BookTitle"/>
              </w:rPr>
              <w:t>Stable</w:t>
            </w:r>
          </w:p>
        </w:tc>
      </w:tr>
      <w:tr w:rsidR="00A56EE9" w:rsidRPr="00E70A11" w14:paraId="5761F2D8"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D2" w14:textId="77777777" w:rsidR="00A56EE9" w:rsidRPr="00E70A11" w:rsidRDefault="00A56EE9" w:rsidP="00BB6AD5">
            <w:pPr>
              <w:pStyle w:val="Tablebulletlist"/>
              <w:rPr>
                <w:rStyle w:val="BookTitle"/>
              </w:rPr>
            </w:pPr>
            <w:r w:rsidRPr="00E70A11">
              <w:rPr>
                <w:rStyle w:val="BookTitle"/>
              </w:rPr>
              <w:t>PLANNING</w:t>
            </w:r>
          </w:p>
        </w:tc>
        <w:tc>
          <w:tcPr>
            <w:tcW w:w="73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D3" w14:textId="77777777" w:rsidR="00A56EE9" w:rsidRPr="00E70A11" w:rsidRDefault="00A56EE9" w:rsidP="00BB6AD5">
            <w:pPr>
              <w:pStyle w:val="Tablebulletlist"/>
              <w:rPr>
                <w:rStyle w:val="BookTitle"/>
              </w:rPr>
            </w:pPr>
          </w:p>
        </w:tc>
        <w:tc>
          <w:tcPr>
            <w:tcW w:w="49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D4" w14:textId="77777777" w:rsidR="00A56EE9" w:rsidRPr="00E70A11" w:rsidRDefault="00A56EE9" w:rsidP="00BB6AD5">
            <w:pPr>
              <w:pStyle w:val="ListParagraph"/>
              <w:ind w:left="360"/>
              <w:rPr>
                <w:rStyle w:val="BookTitle"/>
                <w:rFonts w:ascii="Arial Narrow" w:hAnsi="Arial Narrow"/>
                <w:sz w:val="18"/>
                <w:szCs w:val="18"/>
              </w:rPr>
            </w:pPr>
          </w:p>
        </w:tc>
        <w:tc>
          <w:tcPr>
            <w:tcW w:w="526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D5"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D6"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2D7" w14:textId="77777777" w:rsidR="00A56EE9" w:rsidRPr="00E70A11" w:rsidRDefault="00A56EE9" w:rsidP="00BB6AD5">
            <w:pPr>
              <w:pStyle w:val="Tablebulletlist"/>
              <w:rPr>
                <w:rStyle w:val="BookTitle"/>
              </w:rPr>
            </w:pPr>
          </w:p>
        </w:tc>
      </w:tr>
      <w:tr w:rsidR="00A56EE9" w:rsidRPr="00E70A11" w14:paraId="5761F2EE"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2D9"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recreational fishing </w:t>
            </w:r>
          </w:p>
        </w:tc>
        <w:tc>
          <w:tcPr>
            <w:tcW w:w="734" w:type="dxa"/>
            <w:tcBorders>
              <w:top w:val="single" w:sz="4" w:space="0" w:color="auto"/>
              <w:left w:val="single" w:sz="4" w:space="0" w:color="auto"/>
              <w:bottom w:val="single" w:sz="4" w:space="0" w:color="auto"/>
              <w:right w:val="single" w:sz="4" w:space="0" w:color="auto"/>
            </w:tcBorders>
          </w:tcPr>
          <w:p w14:paraId="5761F2DA" w14:textId="77777777" w:rsidR="00A56EE9" w:rsidRPr="00E70A11" w:rsidRDefault="00A56EE9" w:rsidP="00BB6AD5">
            <w:pPr>
              <w:pStyle w:val="Tablebulletlist"/>
              <w:rPr>
                <w:rStyle w:val="BookTitle"/>
              </w:rPr>
            </w:pPr>
            <w:r w:rsidRPr="00E70A11">
              <w:rPr>
                <w:rStyle w:val="BookTitle"/>
              </w:rPr>
              <w:t>4</w:t>
            </w:r>
          </w:p>
        </w:tc>
        <w:tc>
          <w:tcPr>
            <w:tcW w:w="4968" w:type="dxa"/>
            <w:tcBorders>
              <w:top w:val="single" w:sz="4" w:space="0" w:color="auto"/>
              <w:left w:val="single" w:sz="4" w:space="0" w:color="auto"/>
              <w:bottom w:val="single" w:sz="4" w:space="0" w:color="auto"/>
              <w:right w:val="single" w:sz="4" w:space="0" w:color="auto"/>
            </w:tcBorders>
          </w:tcPr>
          <w:p w14:paraId="5761F2D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Great Barrier Reef Marine Park Zoning Plan 2003 and the Marine Parks (Great Barrier Reef Coast) Zoning Plan 2004 define what activities (including fishing) can occur in which zones’.</w:t>
            </w:r>
          </w:p>
          <w:p w14:paraId="5761F2D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Queensland Sustainable Fisheries Strategy: 2017-2027 outlines a set of actions to provide policy direction and reforms to ensure fishing is managed sustainably. Recreational fishing is included in this strategy. </w:t>
            </w:r>
          </w:p>
          <w:p w14:paraId="5761F2D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Some limited fishing and collecting by recreational users is managed via Regulation 15 of the Great Barrier Reef Marine Park Regulations 1983 </w:t>
            </w:r>
          </w:p>
          <w:p w14:paraId="5761F2D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Bag and Size limits apply to most fish in the GBR and anglers are limited in the apparatus they are permitted to use.</w:t>
            </w:r>
          </w:p>
          <w:p w14:paraId="5761F2D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Field Management Program has a strategic risk-based compliance program (recreational fishing is assessed as a very high risk), and an ongoing priority project </w:t>
            </w:r>
            <w:r w:rsidRPr="00E70A11">
              <w:rPr>
                <w:rFonts w:ascii="Arial Narrow" w:hAnsi="Arial Narrow"/>
                <w:i/>
                <w:sz w:val="18"/>
                <w:szCs w:val="18"/>
              </w:rPr>
              <w:t>Addressing recreational fishing non-compliance</w:t>
            </w:r>
            <w:r w:rsidRPr="00E70A11">
              <w:rPr>
                <w:rFonts w:ascii="Arial Narrow" w:hAnsi="Arial Narrow"/>
                <w:sz w:val="18"/>
                <w:szCs w:val="18"/>
              </w:rPr>
              <w:t xml:space="preserve"> based on situational crime prevention theory to address recreational fishing compliance issues in the Marine Park</w:t>
            </w:r>
          </w:p>
          <w:p w14:paraId="5761F2E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Reef 2050 Plan also considers tourism -related recreational fishing, and includes actions concerning the development of mechanisms to ensure charter boat fishing is sustainable. </w:t>
            </w:r>
          </w:p>
          <w:p w14:paraId="5761F2E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Under the Reef 2050 Plan, three net-free fishing zones have also been introduced in Cairns, Rockhampton and Mackay that restricts commercial gill-nets, but allows recreational fishing. Two of these councils have developed recreational fishing strategies. While these strategies are aimed at improving tourism and economic benefit for their regions, they also outline compliance as a key issue</w:t>
            </w:r>
          </w:p>
        </w:tc>
        <w:tc>
          <w:tcPr>
            <w:tcW w:w="5260" w:type="dxa"/>
            <w:tcBorders>
              <w:top w:val="single" w:sz="4" w:space="0" w:color="auto"/>
              <w:left w:val="single" w:sz="4" w:space="0" w:color="auto"/>
              <w:bottom w:val="single" w:sz="4" w:space="0" w:color="auto"/>
              <w:right w:val="single" w:sz="4" w:space="0" w:color="auto"/>
            </w:tcBorders>
          </w:tcPr>
          <w:p w14:paraId="5761F2E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website on Zoning: </w:t>
            </w:r>
            <w:hyperlink r:id="rId851" w:history="1">
              <w:r w:rsidRPr="00E70A11">
                <w:rPr>
                  <w:rFonts w:ascii="Arial Narrow" w:hAnsi="Arial Narrow"/>
                  <w:sz w:val="18"/>
                  <w:szCs w:val="18"/>
                </w:rPr>
                <w:t>http://www.gbrmpa.gov.au/zoning-permits-and-plans</w:t>
              </w:r>
            </w:hyperlink>
          </w:p>
          <w:p w14:paraId="5761F2E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Granek et al 2008 is an international peer reviewed case study paper with one of the case studies being the zoning of the GBR and their recreational </w:t>
            </w:r>
            <w:proofErr w:type="gramStart"/>
            <w:r w:rsidRPr="00E70A11">
              <w:rPr>
                <w:rFonts w:ascii="Arial Narrow" w:hAnsi="Arial Narrow"/>
                <w:sz w:val="18"/>
                <w:szCs w:val="18"/>
              </w:rPr>
              <w:t>fishers</w:t>
            </w:r>
            <w:proofErr w:type="gramEnd"/>
            <w:r w:rsidRPr="00E70A11">
              <w:rPr>
                <w:rFonts w:ascii="Arial Narrow" w:hAnsi="Arial Narrow"/>
                <w:sz w:val="18"/>
                <w:szCs w:val="18"/>
              </w:rPr>
              <w:t xml:space="preserve"> involvement in the conservation and management of the GBR.</w:t>
            </w:r>
          </w:p>
          <w:p w14:paraId="5761F2E4"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52" w:history="1">
              <w:r w:rsidR="00A56EE9" w:rsidRPr="00E70A11">
                <w:rPr>
                  <w:rFonts w:ascii="Arial Narrow" w:hAnsi="Arial Narrow"/>
                  <w:sz w:val="18"/>
                  <w:szCs w:val="18"/>
                </w:rPr>
                <w:t>Queensland Sustainable Fisheries Strategy 2017-2027</w:t>
              </w:r>
            </w:hyperlink>
          </w:p>
          <w:p w14:paraId="5761F2E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Act 1994 (Qld) and subordinate legislation</w:t>
            </w:r>
          </w:p>
          <w:p w14:paraId="5761F2E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Mackay Regional Recreational Fishing Strategy 2017-2022</w:t>
            </w:r>
          </w:p>
          <w:p w14:paraId="5761F2E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Rockhampton recreational fishing development strategy</w:t>
            </w:r>
          </w:p>
          <w:p w14:paraId="5761F2E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Plan</w:t>
            </w:r>
          </w:p>
          <w:p w14:paraId="5761F2E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Field Management Program’s annual </w:t>
            </w:r>
            <w:r w:rsidRPr="00E70A11">
              <w:rPr>
                <w:rFonts w:ascii="Arial Narrow" w:hAnsi="Arial Narrow"/>
                <w:i/>
                <w:sz w:val="18"/>
                <w:szCs w:val="18"/>
              </w:rPr>
              <w:t>Strategic Compliance Risk Management Plan</w:t>
            </w:r>
          </w:p>
          <w:p w14:paraId="5761F2E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Situational crime prevention framework applied to recreational fishing through the </w:t>
            </w:r>
            <w:r w:rsidRPr="00E70A11">
              <w:rPr>
                <w:rFonts w:ascii="Arial Narrow" w:hAnsi="Arial Narrow"/>
                <w:i/>
                <w:sz w:val="18"/>
                <w:szCs w:val="18"/>
              </w:rPr>
              <w:t xml:space="preserve">Addressing recreational fishing non-compliance </w:t>
            </w:r>
            <w:r w:rsidRPr="00E70A11">
              <w:rPr>
                <w:rFonts w:ascii="Arial Narrow" w:hAnsi="Arial Narrow"/>
                <w:sz w:val="18"/>
                <w:szCs w:val="18"/>
              </w:rPr>
              <w:t>priority project.</w:t>
            </w:r>
          </w:p>
          <w:p w14:paraId="5761F2EB" w14:textId="77777777" w:rsidR="00A56EE9" w:rsidRPr="00E70A11" w:rsidRDefault="00A56EE9" w:rsidP="00BB6AD5">
            <w:pPr>
              <w:pStyle w:val="ListParagraph"/>
              <w:ind w:left="360"/>
              <w:rPr>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2EC"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2ED"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2F7"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2EF"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recreational fishing addresses the major factors influencing the Great Barrier Reef Region’s values.</w:t>
            </w:r>
          </w:p>
        </w:tc>
        <w:tc>
          <w:tcPr>
            <w:tcW w:w="734" w:type="dxa"/>
            <w:tcBorders>
              <w:top w:val="single" w:sz="4" w:space="0" w:color="auto"/>
              <w:left w:val="single" w:sz="4" w:space="0" w:color="auto"/>
              <w:bottom w:val="single" w:sz="4" w:space="0" w:color="auto"/>
              <w:right w:val="single" w:sz="4" w:space="0" w:color="auto"/>
            </w:tcBorders>
          </w:tcPr>
          <w:p w14:paraId="5761F2F0" w14:textId="77777777" w:rsidR="00A56EE9" w:rsidRPr="00E70A11" w:rsidRDefault="00A56EE9" w:rsidP="00BB6AD5">
            <w:pPr>
              <w:pStyle w:val="Tablebulletlist"/>
              <w:rPr>
                <w:rStyle w:val="BookTitle"/>
              </w:rPr>
            </w:pPr>
            <w:r w:rsidRPr="00E70A11">
              <w:rPr>
                <w:rStyle w:val="BookTitle"/>
              </w:rPr>
              <w:t>4</w:t>
            </w:r>
          </w:p>
        </w:tc>
        <w:tc>
          <w:tcPr>
            <w:tcW w:w="4968" w:type="dxa"/>
            <w:tcBorders>
              <w:top w:val="single" w:sz="4" w:space="0" w:color="auto"/>
              <w:left w:val="single" w:sz="4" w:space="0" w:color="auto"/>
              <w:bottom w:val="single" w:sz="4" w:space="0" w:color="auto"/>
              <w:right w:val="single" w:sz="4" w:space="0" w:color="auto"/>
            </w:tcBorders>
          </w:tcPr>
          <w:p w14:paraId="5761F2F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Queensland Sustainable Fisheries Strategy: 2017-2027 ten areas of reform that address the many factors influencing the Region’s values associated with better understanding of fish stocks, sustainable harvest and community engagement.. </w:t>
            </w:r>
          </w:p>
          <w:p w14:paraId="5761F2F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Regulations can be made for recreational fishers to limit catch, equipment and areas open to fishing to ensure sustainable limits are in place. </w:t>
            </w:r>
          </w:p>
        </w:tc>
        <w:tc>
          <w:tcPr>
            <w:tcW w:w="5260" w:type="dxa"/>
            <w:tcBorders>
              <w:top w:val="single" w:sz="4" w:space="0" w:color="auto"/>
              <w:left w:val="single" w:sz="4" w:space="0" w:color="auto"/>
              <w:bottom w:val="single" w:sz="4" w:space="0" w:color="auto"/>
              <w:right w:val="single" w:sz="4" w:space="0" w:color="auto"/>
            </w:tcBorders>
          </w:tcPr>
          <w:p w14:paraId="5761F2F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Harrison, H.B., Williamson, D.H., Evans, R.D., Almany, G.R., Thorrold, S.R., Russ, G.R., Feldheim, K.A., van Herwerden, L., Planes, S., Srinivasan, M., Berumen, M.L., and Jones, G.P. (2012) Larval export from marine reserves and the recruitment benefit for fish and fisheries. Current Biology, 22 (11). pp. 1023-1028.</w:t>
            </w:r>
          </w:p>
          <w:p w14:paraId="5761F2F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Fisheries Act 1994 (Qld) and subordinate legislation</w:t>
            </w:r>
          </w:p>
        </w:tc>
        <w:tc>
          <w:tcPr>
            <w:tcW w:w="1324" w:type="dxa"/>
            <w:tcBorders>
              <w:top w:val="single" w:sz="4" w:space="0" w:color="auto"/>
              <w:left w:val="single" w:sz="4" w:space="0" w:color="auto"/>
              <w:bottom w:val="single" w:sz="4" w:space="0" w:color="auto"/>
              <w:right w:val="single" w:sz="4" w:space="0" w:color="auto"/>
            </w:tcBorders>
          </w:tcPr>
          <w:p w14:paraId="5761F2F5"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2F6"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302"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2F8"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recreational fishing are clearly identified within the plan </w:t>
            </w:r>
          </w:p>
        </w:tc>
        <w:tc>
          <w:tcPr>
            <w:tcW w:w="734" w:type="dxa"/>
            <w:tcBorders>
              <w:top w:val="single" w:sz="4" w:space="0" w:color="auto"/>
              <w:left w:val="single" w:sz="4" w:space="0" w:color="auto"/>
              <w:bottom w:val="single" w:sz="4" w:space="0" w:color="auto"/>
              <w:right w:val="single" w:sz="4" w:space="0" w:color="auto"/>
            </w:tcBorders>
          </w:tcPr>
          <w:p w14:paraId="5761F2F9" w14:textId="77777777" w:rsidR="00A56EE9" w:rsidRPr="00E70A11" w:rsidRDefault="00A56EE9" w:rsidP="00BB6AD5">
            <w:pPr>
              <w:pStyle w:val="Tablebulletlist"/>
              <w:rPr>
                <w:rStyle w:val="BookTitle"/>
              </w:rPr>
            </w:pPr>
            <w:r w:rsidRPr="00E70A11">
              <w:rPr>
                <w:rStyle w:val="BookTitle"/>
              </w:rPr>
              <w:t>4</w:t>
            </w:r>
          </w:p>
        </w:tc>
        <w:tc>
          <w:tcPr>
            <w:tcW w:w="4968" w:type="dxa"/>
            <w:tcBorders>
              <w:top w:val="single" w:sz="4" w:space="0" w:color="auto"/>
              <w:left w:val="single" w:sz="4" w:space="0" w:color="auto"/>
              <w:bottom w:val="single" w:sz="4" w:space="0" w:color="auto"/>
              <w:right w:val="single" w:sz="4" w:space="0" w:color="auto"/>
            </w:tcBorders>
          </w:tcPr>
          <w:p w14:paraId="5761F2F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planning process for Marine Park zoning and fisheries management clearly identifies actions that are relevant to recreational fishing. </w:t>
            </w:r>
          </w:p>
          <w:p w14:paraId="5761F2F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Queensland Sustainable Fisheries Strategy: 2017-2027 clearly articulates actions for improving the sustainability of fishing.</w:t>
            </w:r>
            <w:r>
              <w:rPr>
                <w:rFonts w:ascii="Arial Narrow" w:hAnsi="Arial Narrow"/>
                <w:sz w:val="18"/>
                <w:szCs w:val="18"/>
              </w:rPr>
              <w:t xml:space="preserve"> </w:t>
            </w:r>
          </w:p>
          <w:p w14:paraId="5761F2F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 Reef 2050 Plan also include actions for improving the sustainability of recreational fishing. </w:t>
            </w:r>
          </w:p>
        </w:tc>
        <w:tc>
          <w:tcPr>
            <w:tcW w:w="5260" w:type="dxa"/>
            <w:tcBorders>
              <w:top w:val="single" w:sz="4" w:space="0" w:color="auto"/>
              <w:left w:val="single" w:sz="4" w:space="0" w:color="auto"/>
              <w:bottom w:val="single" w:sz="4" w:space="0" w:color="auto"/>
              <w:right w:val="single" w:sz="4" w:space="0" w:color="auto"/>
            </w:tcBorders>
          </w:tcPr>
          <w:p w14:paraId="5761F2FD" w14:textId="26DD1893"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Vulnerability Assessments - More information at: </w:t>
            </w:r>
            <w:hyperlink r:id="rId853" w:tooltip="document link" w:history="1">
              <w:r w:rsidRPr="00E70A11">
                <w:rPr>
                  <w:rStyle w:val="Hyperlink"/>
                  <w:rFonts w:ascii="Arial Narrow" w:hAnsi="Arial Narrow"/>
                  <w:sz w:val="18"/>
                  <w:szCs w:val="18"/>
                </w:rPr>
                <w:t>http://www.gbrmpa.gov.au/about-the-reef/biodiversity/biodiversity-conservation-strategy-for-public-consultation/vulnerability-assessments</w:t>
              </w:r>
            </w:hyperlink>
          </w:p>
          <w:p w14:paraId="5761F2F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i/>
                <w:sz w:val="18"/>
                <w:szCs w:val="18"/>
              </w:rPr>
              <w:t>Fisheries Act 1994</w:t>
            </w:r>
            <w:r w:rsidRPr="00E70A11">
              <w:rPr>
                <w:rFonts w:ascii="Arial Narrow" w:hAnsi="Arial Narrow"/>
                <w:sz w:val="18"/>
                <w:szCs w:val="18"/>
              </w:rPr>
              <w:t xml:space="preserve"> (Qld) and subordinate legislation</w:t>
            </w:r>
          </w:p>
          <w:p w14:paraId="5761F2F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i/>
                <w:sz w:val="18"/>
                <w:szCs w:val="18"/>
              </w:rPr>
              <w:t>Reef 2050 Plan</w:t>
            </w:r>
          </w:p>
        </w:tc>
        <w:tc>
          <w:tcPr>
            <w:tcW w:w="1324" w:type="dxa"/>
            <w:tcBorders>
              <w:top w:val="single" w:sz="4" w:space="0" w:color="auto"/>
              <w:left w:val="single" w:sz="4" w:space="0" w:color="auto"/>
              <w:bottom w:val="single" w:sz="4" w:space="0" w:color="auto"/>
              <w:right w:val="single" w:sz="4" w:space="0" w:color="auto"/>
            </w:tcBorders>
          </w:tcPr>
          <w:p w14:paraId="5761F300"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0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311"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03"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recreational fishing have been documented</w:t>
            </w:r>
          </w:p>
        </w:tc>
        <w:tc>
          <w:tcPr>
            <w:tcW w:w="734" w:type="dxa"/>
            <w:tcBorders>
              <w:top w:val="single" w:sz="4" w:space="0" w:color="auto"/>
              <w:left w:val="single" w:sz="4" w:space="0" w:color="auto"/>
              <w:bottom w:val="single" w:sz="4" w:space="0" w:color="auto"/>
              <w:right w:val="single" w:sz="4" w:space="0" w:color="auto"/>
            </w:tcBorders>
          </w:tcPr>
          <w:p w14:paraId="5761F304" w14:textId="77777777" w:rsidR="00A56EE9" w:rsidRPr="00E70A11" w:rsidRDefault="00A56EE9" w:rsidP="00BB6AD5">
            <w:pPr>
              <w:pStyle w:val="Tablebulletlist"/>
              <w:rPr>
                <w:rStyle w:val="BookTitle"/>
              </w:rPr>
            </w:pPr>
            <w:r w:rsidRPr="00E70A11">
              <w:rPr>
                <w:rStyle w:val="BookTitle"/>
              </w:rPr>
              <w:t>4</w:t>
            </w:r>
          </w:p>
        </w:tc>
        <w:tc>
          <w:tcPr>
            <w:tcW w:w="4968" w:type="dxa"/>
            <w:tcBorders>
              <w:top w:val="single" w:sz="4" w:space="0" w:color="auto"/>
              <w:left w:val="single" w:sz="4" w:space="0" w:color="auto"/>
              <w:bottom w:val="single" w:sz="4" w:space="0" w:color="auto"/>
              <w:right w:val="single" w:sz="4" w:space="0" w:color="auto"/>
            </w:tcBorders>
          </w:tcPr>
          <w:p w14:paraId="5761F30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Fishing in the GBRMP is managed by the State of Queensland under the Offshore Constitutional Settlement. Generally the GBRMP regulations point to Fisheries regulations regarding how fishing activities may be conducted.</w:t>
            </w:r>
          </w:p>
          <w:p w14:paraId="5761F30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Queensland Sustainable Fisheries Strategy: 2017-2027 and the reforms outlined within provide an opportunity to implement appropriate planning systems for recreational fishing. This strategy has a target to increased satisfaction of recreational fishers (compared to 2017 figures) by 2020.</w:t>
            </w:r>
          </w:p>
          <w:p w14:paraId="5761F30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Field Management Program’s Strategic Compliance Risk Management Plan for the Region (based on the international standard framework for risk management) sets out the major compliance risks to the Reef and specifies clear, measurable and appropriate treatments to achieve objectives, including for Reef health. Specific objectives (e.g. small vessel patrols, increased helicopter surveillance) are set to enforce compliance for recreational fishing</w:t>
            </w:r>
          </w:p>
        </w:tc>
        <w:tc>
          <w:tcPr>
            <w:tcW w:w="5260" w:type="dxa"/>
            <w:tcBorders>
              <w:top w:val="single" w:sz="4" w:space="0" w:color="auto"/>
              <w:left w:val="single" w:sz="4" w:space="0" w:color="auto"/>
              <w:bottom w:val="single" w:sz="4" w:space="0" w:color="auto"/>
              <w:right w:val="single" w:sz="4" w:space="0" w:color="auto"/>
            </w:tcBorders>
          </w:tcPr>
          <w:p w14:paraId="5761F30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website on Zoning: </w:t>
            </w:r>
            <w:hyperlink r:id="rId854" w:history="1">
              <w:r w:rsidRPr="00E70A11">
                <w:rPr>
                  <w:rStyle w:val="Hyperlink"/>
                  <w:rFonts w:ascii="Arial Narrow" w:hAnsi="Arial Narrow"/>
                  <w:sz w:val="18"/>
                  <w:szCs w:val="18"/>
                </w:rPr>
                <w:t>http://www.gbrmpa.gov.au/zoning-permits-and-plans</w:t>
              </w:r>
            </w:hyperlink>
          </w:p>
          <w:p w14:paraId="5761F309"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i/>
                <w:sz w:val="18"/>
                <w:szCs w:val="18"/>
              </w:rPr>
              <w:t>Fisheries Act 1994</w:t>
            </w:r>
            <w:r w:rsidRPr="00FF373B">
              <w:rPr>
                <w:rFonts w:ascii="Arial Narrow" w:hAnsi="Arial Narrow"/>
                <w:sz w:val="18"/>
                <w:szCs w:val="18"/>
              </w:rPr>
              <w:t xml:space="preserve"> (Qld) and subordinate legislation</w:t>
            </w:r>
          </w:p>
          <w:p w14:paraId="5761F30A"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55" w:history="1">
              <w:r w:rsidR="00A56EE9" w:rsidRPr="00E70A11">
                <w:rPr>
                  <w:rStyle w:val="Hyperlink"/>
                  <w:rFonts w:ascii="Arial Narrow" w:hAnsi="Arial Narrow"/>
                  <w:sz w:val="18"/>
                  <w:szCs w:val="18"/>
                </w:rPr>
                <w:t>Queensland Sustainable Fisheries Strategy 2017-2027</w:t>
              </w:r>
            </w:hyperlink>
          </w:p>
          <w:p w14:paraId="5761F30B"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56" w:history="1">
              <w:r w:rsidR="00A56EE9" w:rsidRPr="00E70A11">
                <w:rPr>
                  <w:rStyle w:val="Hyperlink"/>
                  <w:rFonts w:ascii="Arial Narrow" w:hAnsi="Arial Narrow"/>
                  <w:sz w:val="18"/>
                  <w:szCs w:val="18"/>
                </w:rPr>
                <w:t>Queensland Harvest Strategy Policy and Guidelines</w:t>
              </w:r>
            </w:hyperlink>
            <w:r w:rsidR="00A56EE9" w:rsidRPr="00E70A11">
              <w:rPr>
                <w:rStyle w:val="Hyperlink"/>
                <w:rFonts w:ascii="Arial Narrow" w:hAnsi="Arial Narrow"/>
                <w:sz w:val="18"/>
                <w:szCs w:val="18"/>
              </w:rPr>
              <w:t xml:space="preserve"> </w:t>
            </w:r>
          </w:p>
          <w:p w14:paraId="5761F30C" w14:textId="77777777" w:rsidR="00A56EE9" w:rsidRPr="00E70A11" w:rsidRDefault="00A56EE9" w:rsidP="00BB6AD5">
            <w:pPr>
              <w:pStyle w:val="ListParagraph"/>
              <w:ind w:left="360"/>
              <w:rPr>
                <w:rStyle w:val="Hyperlink"/>
                <w:rFonts w:ascii="Arial Narrow" w:hAnsi="Arial Narrow"/>
                <w:sz w:val="18"/>
                <w:szCs w:val="18"/>
              </w:rPr>
            </w:pPr>
            <w:r w:rsidRPr="00E70A11">
              <w:rPr>
                <w:rStyle w:val="Hyperlink"/>
                <w:rFonts w:ascii="Arial Narrow" w:hAnsi="Arial Narrow"/>
                <w:sz w:val="18"/>
                <w:szCs w:val="18"/>
              </w:rPr>
              <w:t xml:space="preserve"> </w:t>
            </w:r>
            <w:hyperlink r:id="rId857" w:history="1">
              <w:r w:rsidRPr="00E70A11">
                <w:rPr>
                  <w:rStyle w:val="Hyperlink"/>
                  <w:rFonts w:ascii="Arial Narrow" w:hAnsi="Arial Narrow"/>
                  <w:sz w:val="18"/>
                  <w:szCs w:val="18"/>
                </w:rPr>
                <w:t>Field Management of the Great Barrier Reef Marine Park</w:t>
              </w:r>
            </w:hyperlink>
          </w:p>
          <w:p w14:paraId="5761F30D" w14:textId="77777777" w:rsidR="00A56EE9" w:rsidRPr="00E70A11" w:rsidRDefault="00A56EE9" w:rsidP="00BB6AD5">
            <w:pPr>
              <w:pStyle w:val="ListParagraph"/>
              <w:ind w:left="360"/>
              <w:rPr>
                <w:rStyle w:val="Hyperlink"/>
                <w:rFonts w:ascii="Arial Narrow" w:hAnsi="Arial Narrow"/>
                <w:sz w:val="18"/>
                <w:szCs w:val="18"/>
              </w:rPr>
            </w:pPr>
            <w:r w:rsidRPr="00E70A11">
              <w:rPr>
                <w:rStyle w:val="Hyperlink"/>
                <w:rFonts w:ascii="Arial Narrow" w:hAnsi="Arial Narrow"/>
                <w:sz w:val="18"/>
                <w:szCs w:val="18"/>
              </w:rPr>
              <w:t>FMP Strategic Compliance Risk Management Plan</w:t>
            </w:r>
          </w:p>
          <w:p w14:paraId="5761F30E"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30F"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1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31C"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12"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recreational fishing</w:t>
            </w:r>
          </w:p>
        </w:tc>
        <w:tc>
          <w:tcPr>
            <w:tcW w:w="734" w:type="dxa"/>
            <w:tcBorders>
              <w:top w:val="single" w:sz="4" w:space="0" w:color="auto"/>
              <w:left w:val="single" w:sz="4" w:space="0" w:color="auto"/>
              <w:bottom w:val="single" w:sz="4" w:space="0" w:color="auto"/>
              <w:right w:val="single" w:sz="4" w:space="0" w:color="auto"/>
            </w:tcBorders>
          </w:tcPr>
          <w:p w14:paraId="5761F313"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1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Annual through to monthly planning and other compliance systems are in place through the joint FMP to ensure appropriate surveillance of recreational fishing.</w:t>
            </w:r>
          </w:p>
          <w:p w14:paraId="5761F31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Queensland Fisheries strategy includes a number of action to improve monitoring of fisheries data such as biological stocks, and the economic contribution of recreational fishing</w:t>
            </w:r>
          </w:p>
        </w:tc>
        <w:tc>
          <w:tcPr>
            <w:tcW w:w="5260" w:type="dxa"/>
            <w:tcBorders>
              <w:top w:val="single" w:sz="4" w:space="0" w:color="auto"/>
              <w:left w:val="single" w:sz="4" w:space="0" w:color="auto"/>
              <w:bottom w:val="single" w:sz="4" w:space="0" w:color="auto"/>
              <w:right w:val="single" w:sz="4" w:space="0" w:color="auto"/>
            </w:tcBorders>
          </w:tcPr>
          <w:p w14:paraId="5761F31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Field Management program </w:t>
            </w:r>
          </w:p>
          <w:p w14:paraId="5761F317" w14:textId="464B89A0"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Fonts w:ascii="Arial Narrow" w:hAnsi="Arial Narrow"/>
                <w:sz w:val="18"/>
                <w:szCs w:val="18"/>
              </w:rPr>
              <w:t xml:space="preserve"> </w:t>
            </w:r>
            <w:hyperlink r:id="rId858" w:tooltip="document link" w:history="1">
              <w:r w:rsidRPr="00E70A11">
                <w:rPr>
                  <w:rStyle w:val="Hyperlink"/>
                  <w:rFonts w:ascii="Arial Narrow" w:hAnsi="Arial Narrow"/>
                  <w:sz w:val="18"/>
                  <w:szCs w:val="18"/>
                </w:rPr>
                <w:t>https://www.daf.qld.gov.au/fisheries/monitoring-our-fisheries/recreational-fisheries/statewide-and-regional-recreational-fishing-survey</w:t>
              </w:r>
            </w:hyperlink>
          </w:p>
          <w:p w14:paraId="5761F318" w14:textId="77777777" w:rsidR="00A56EE9" w:rsidRPr="00E70A11" w:rsidRDefault="008B5998" w:rsidP="00A11869">
            <w:pPr>
              <w:pStyle w:val="ListParagraph"/>
              <w:numPr>
                <w:ilvl w:val="0"/>
                <w:numId w:val="24"/>
              </w:numPr>
              <w:spacing w:after="200" w:line="276" w:lineRule="auto"/>
              <w:rPr>
                <w:rFonts w:ascii="Arial Narrow" w:hAnsi="Arial Narrow"/>
                <w:color w:val="0000FF"/>
                <w:sz w:val="18"/>
                <w:szCs w:val="18"/>
                <w:u w:val="single"/>
              </w:rPr>
            </w:pPr>
            <w:hyperlink r:id="rId859" w:history="1">
              <w:r w:rsidR="00A56EE9" w:rsidRPr="00E70A11">
                <w:rPr>
                  <w:rStyle w:val="Hyperlink"/>
                  <w:rFonts w:ascii="Arial Narrow" w:hAnsi="Arial Narrow"/>
                  <w:sz w:val="18"/>
                  <w:szCs w:val="18"/>
                </w:rPr>
                <w:t>Queensland Sustainable Fisheries Strategy 2017-2027</w:t>
              </w:r>
            </w:hyperlink>
          </w:p>
          <w:p w14:paraId="5761F31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2050 Plan </w:t>
            </w:r>
          </w:p>
        </w:tc>
        <w:tc>
          <w:tcPr>
            <w:tcW w:w="1324" w:type="dxa"/>
            <w:tcBorders>
              <w:top w:val="single" w:sz="4" w:space="0" w:color="auto"/>
              <w:left w:val="single" w:sz="4" w:space="0" w:color="auto"/>
              <w:bottom w:val="single" w:sz="4" w:space="0" w:color="auto"/>
              <w:right w:val="single" w:sz="4" w:space="0" w:color="auto"/>
            </w:tcBorders>
          </w:tcPr>
          <w:p w14:paraId="5761F31A"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1B"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32A"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1D"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recreational fishing</w:t>
            </w:r>
          </w:p>
        </w:tc>
        <w:tc>
          <w:tcPr>
            <w:tcW w:w="734" w:type="dxa"/>
            <w:tcBorders>
              <w:top w:val="single" w:sz="4" w:space="0" w:color="auto"/>
              <w:left w:val="single" w:sz="4" w:space="0" w:color="auto"/>
              <w:bottom w:val="single" w:sz="4" w:space="0" w:color="auto"/>
              <w:right w:val="single" w:sz="4" w:space="0" w:color="auto"/>
            </w:tcBorders>
          </w:tcPr>
          <w:p w14:paraId="5761F31E"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1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Fisheries Queensland has undertaken significant public consultation on the development of the Queensland Fisheries Strategy. </w:t>
            </w:r>
          </w:p>
          <w:p w14:paraId="5761F32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Formal processes for engaging with recreational fishers by GBRMPA have been absent in recent years with no Marine Park Authority advisory or technical groups being established.</w:t>
            </w:r>
          </w:p>
          <w:p w14:paraId="5761F32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Local Marine Advisory Committees play an important role in maintaining an ongoing dialog between the agency and regional recreational fishing stakeholders.</w:t>
            </w:r>
          </w:p>
          <w:p w14:paraId="5761F32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Through the Reef Guardians Program GBRMPA has been involved in promoting recreational fishing stewardship through the Rockhampton Recreational Fishing Development Strategy.</w:t>
            </w:r>
          </w:p>
          <w:p w14:paraId="5761F32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u w:val="single"/>
              </w:rPr>
            </w:pPr>
            <w:r w:rsidRPr="00E70A11">
              <w:rPr>
                <w:rFonts w:ascii="Arial Narrow" w:hAnsi="Arial Narrow"/>
                <w:sz w:val="18"/>
                <w:szCs w:val="18"/>
              </w:rPr>
              <w:t>Similar recreational stewardship work is also being developed in the Mackay and Cairns area.</w:t>
            </w:r>
          </w:p>
        </w:tc>
        <w:tc>
          <w:tcPr>
            <w:tcW w:w="5260" w:type="dxa"/>
            <w:tcBorders>
              <w:top w:val="single" w:sz="4" w:space="0" w:color="auto"/>
              <w:left w:val="single" w:sz="4" w:space="0" w:color="auto"/>
              <w:bottom w:val="single" w:sz="4" w:space="0" w:color="auto"/>
              <w:right w:val="single" w:sz="4" w:space="0" w:color="auto"/>
            </w:tcBorders>
          </w:tcPr>
          <w:p w14:paraId="5761F324"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60" w:history="1">
              <w:r w:rsidR="00A56EE9" w:rsidRPr="00E70A11">
                <w:rPr>
                  <w:rFonts w:ascii="Arial Narrow" w:hAnsi="Arial Narrow"/>
                  <w:sz w:val="18"/>
                  <w:szCs w:val="18"/>
                </w:rPr>
                <w:t>Queensland Sustainable Fisheries Strategy 2017-2027</w:t>
              </w:r>
            </w:hyperlink>
            <w:r w:rsidR="00A56EE9">
              <w:rPr>
                <w:rFonts w:ascii="Arial Narrow" w:hAnsi="Arial Narrow"/>
                <w:sz w:val="18"/>
                <w:szCs w:val="18"/>
              </w:rPr>
              <w:t xml:space="preserve"> </w:t>
            </w:r>
            <w:hyperlink r:id="rId861" w:history="1">
              <w:r w:rsidR="00A56EE9" w:rsidRPr="00E70A11">
                <w:rPr>
                  <w:rFonts w:ascii="Arial Narrow" w:hAnsi="Arial Narrow"/>
                  <w:sz w:val="18"/>
                  <w:szCs w:val="18"/>
                </w:rPr>
                <w:t>Fishery working groups</w:t>
              </w:r>
            </w:hyperlink>
          </w:p>
          <w:p w14:paraId="5761F32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w:t>
            </w:r>
            <w:hyperlink r:id="rId862" w:history="1">
              <w:r w:rsidRPr="00E70A11">
                <w:rPr>
                  <w:rFonts w:ascii="Arial Narrow" w:hAnsi="Arial Narrow"/>
                  <w:sz w:val="18"/>
                  <w:szCs w:val="18"/>
                </w:rPr>
                <w:t>Rockhampton Recreational Fishing Development Strategy</w:t>
              </w:r>
            </w:hyperlink>
            <w:r w:rsidRPr="00E70A11">
              <w:rPr>
                <w:rFonts w:ascii="Arial Narrow" w:hAnsi="Arial Narrow"/>
                <w:sz w:val="18"/>
                <w:szCs w:val="18"/>
              </w:rPr>
              <w:t>.</w:t>
            </w:r>
          </w:p>
          <w:p w14:paraId="5761F32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Reef Guardians</w:t>
            </w:r>
          </w:p>
          <w:p w14:paraId="5761F32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GBRMPA LMACs</w:t>
            </w:r>
          </w:p>
        </w:tc>
        <w:tc>
          <w:tcPr>
            <w:tcW w:w="1324" w:type="dxa"/>
            <w:tcBorders>
              <w:top w:val="single" w:sz="4" w:space="0" w:color="auto"/>
              <w:left w:val="single" w:sz="4" w:space="0" w:color="auto"/>
              <w:bottom w:val="single" w:sz="4" w:space="0" w:color="auto"/>
              <w:right w:val="single" w:sz="4" w:space="0" w:color="auto"/>
            </w:tcBorders>
          </w:tcPr>
          <w:p w14:paraId="5761F328"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29" w14:textId="77777777" w:rsidR="00A56EE9" w:rsidRPr="00E70A11" w:rsidRDefault="00A56EE9" w:rsidP="00BB6AD5">
            <w:pPr>
              <w:pStyle w:val="Tablebulletlist"/>
              <w:rPr>
                <w:rStyle w:val="BookTitle"/>
              </w:rPr>
            </w:pPr>
            <w:r w:rsidRPr="00E70A11">
              <w:rPr>
                <w:rStyle w:val="BookTitle"/>
              </w:rPr>
              <w:t>Deteriorating</w:t>
            </w:r>
          </w:p>
        </w:tc>
      </w:tr>
      <w:tr w:rsidR="00A56EE9" w:rsidRPr="00E70A11" w14:paraId="5761F338"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2B"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recreational fishing</w:t>
            </w:r>
          </w:p>
        </w:tc>
        <w:tc>
          <w:tcPr>
            <w:tcW w:w="734" w:type="dxa"/>
            <w:tcBorders>
              <w:top w:val="single" w:sz="4" w:space="0" w:color="auto"/>
              <w:left w:val="single" w:sz="4" w:space="0" w:color="auto"/>
              <w:bottom w:val="single" w:sz="4" w:space="0" w:color="auto"/>
              <w:right w:val="single" w:sz="4" w:space="0" w:color="auto"/>
            </w:tcBorders>
          </w:tcPr>
          <w:p w14:paraId="5761F32C"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2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Fishing is a highly regulated activity with both Commonwealth and State Acts and subordinate legislation in place with the intent of controlling recreational fishing</w:t>
            </w:r>
            <w:r>
              <w:rPr>
                <w:rFonts w:ascii="Arial Narrow" w:hAnsi="Arial Narrow"/>
                <w:sz w:val="18"/>
                <w:szCs w:val="18"/>
              </w:rPr>
              <w:t xml:space="preserve"> </w:t>
            </w:r>
            <w:r w:rsidRPr="00E70A11">
              <w:rPr>
                <w:rFonts w:ascii="Arial Narrow" w:hAnsi="Arial Narrow"/>
                <w:sz w:val="18"/>
                <w:szCs w:val="18"/>
              </w:rPr>
              <w:t>so it is sustainable. The Fisheries Act and Regulations are being amended in recognition they need to be improved and strengthened to ensure sustainability</w:t>
            </w:r>
          </w:p>
          <w:p w14:paraId="5761F32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ERA guidelines have been published.</w:t>
            </w:r>
            <w:r>
              <w:rPr>
                <w:rFonts w:ascii="Arial Narrow" w:hAnsi="Arial Narrow"/>
                <w:sz w:val="18"/>
                <w:szCs w:val="18"/>
              </w:rPr>
              <w:t xml:space="preserve"> </w:t>
            </w:r>
            <w:r w:rsidRPr="00E70A11">
              <w:rPr>
                <w:rFonts w:ascii="Arial Narrow" w:hAnsi="Arial Narrow"/>
                <w:sz w:val="18"/>
                <w:szCs w:val="18"/>
              </w:rPr>
              <w:t xml:space="preserve">A Fisheries Queensland Harvest Strategy policy has been recently developed that specifically recognises the need to consider recreational fishing in the development of harvest strategies. </w:t>
            </w:r>
          </w:p>
          <w:p w14:paraId="5761F32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Responsible Reef Practices (GBRMPA website) covers a number of activities that are associated with recreational fishing (e.g. boating, fishing, anchoring and mooring, collecting)</w:t>
            </w:r>
          </w:p>
        </w:tc>
        <w:tc>
          <w:tcPr>
            <w:tcW w:w="5260" w:type="dxa"/>
            <w:tcBorders>
              <w:top w:val="single" w:sz="4" w:space="0" w:color="auto"/>
              <w:left w:val="single" w:sz="4" w:space="0" w:color="auto"/>
              <w:bottom w:val="single" w:sz="4" w:space="0" w:color="auto"/>
              <w:right w:val="single" w:sz="4" w:space="0" w:color="auto"/>
            </w:tcBorders>
          </w:tcPr>
          <w:p w14:paraId="5761F33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i/>
                <w:sz w:val="18"/>
                <w:szCs w:val="18"/>
              </w:rPr>
              <w:t>Fisheries Act 1994</w:t>
            </w:r>
            <w:r w:rsidRPr="00E70A11">
              <w:rPr>
                <w:rFonts w:ascii="Arial Narrow" w:hAnsi="Arial Narrow"/>
                <w:sz w:val="18"/>
                <w:szCs w:val="18"/>
              </w:rPr>
              <w:t xml:space="preserve"> (Qld) and subordinate legislation</w:t>
            </w:r>
          </w:p>
          <w:p w14:paraId="5761F331" w14:textId="77777777" w:rsidR="00A56EE9" w:rsidRPr="00E70A11" w:rsidRDefault="00A56EE9" w:rsidP="00A11869">
            <w:pPr>
              <w:pStyle w:val="ListParagraph"/>
              <w:numPr>
                <w:ilvl w:val="0"/>
                <w:numId w:val="24"/>
              </w:numPr>
              <w:spacing w:after="200" w:line="276" w:lineRule="auto"/>
              <w:rPr>
                <w:rFonts w:ascii="Arial Narrow" w:hAnsi="Arial Narrow"/>
                <w:i/>
                <w:sz w:val="18"/>
                <w:szCs w:val="18"/>
              </w:rPr>
            </w:pPr>
            <w:r w:rsidRPr="00E70A11">
              <w:rPr>
                <w:rFonts w:ascii="Arial Narrow" w:hAnsi="Arial Narrow"/>
                <w:i/>
                <w:sz w:val="18"/>
                <w:szCs w:val="18"/>
              </w:rPr>
              <w:t xml:space="preserve">Responsible Reef Practices: </w:t>
            </w:r>
            <w:hyperlink r:id="rId863" w:history="1">
              <w:r w:rsidRPr="00E70A11">
                <w:rPr>
                  <w:rStyle w:val="Hyperlink"/>
                  <w:rFonts w:ascii="Arial Narrow" w:hAnsi="Arial Narrow"/>
                  <w:i/>
                  <w:sz w:val="18"/>
                  <w:szCs w:val="18"/>
                </w:rPr>
                <w:t>http://www.gbrmpa.gov.au/visit-the-reef/responsible-reef-practices</w:t>
              </w:r>
            </w:hyperlink>
          </w:p>
          <w:p w14:paraId="5761F332" w14:textId="01C719F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Recreational Fisheries. FAO. Guidelines for responsible fisheries (</w:t>
            </w:r>
            <w:hyperlink r:id="rId864" w:tooltip="document link" w:history="1">
              <w:r w:rsidRPr="00E70A11">
                <w:rPr>
                  <w:rStyle w:val="Hyperlink"/>
                  <w:rFonts w:ascii="Arial Narrow" w:hAnsi="Arial Narrow"/>
                  <w:sz w:val="18"/>
                  <w:szCs w:val="18"/>
                </w:rPr>
                <w:t>www.fao.org/docrep/016/i2708e/i2708e00.pdf</w:t>
              </w:r>
            </w:hyperlink>
            <w:r w:rsidRPr="00E70A11">
              <w:rPr>
                <w:rFonts w:ascii="Arial Narrow" w:hAnsi="Arial Narrow"/>
                <w:sz w:val="18"/>
                <w:szCs w:val="18"/>
              </w:rPr>
              <w:t>)</w:t>
            </w:r>
          </w:p>
          <w:p w14:paraId="5761F333" w14:textId="3BB3B682"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Queensland Harvest Strategy Policy (no date) </w:t>
            </w:r>
            <w:hyperlink r:id="rId865" w:tooltip="document link" w:history="1">
              <w:r w:rsidRPr="00E70A11">
                <w:rPr>
                  <w:rStyle w:val="Hyperlink"/>
                  <w:rFonts w:ascii="Arial Narrow" w:hAnsi="Arial Narrow"/>
                  <w:sz w:val="18"/>
                  <w:szCs w:val="18"/>
                </w:rPr>
                <w:t>https://publications.qld.gov.au/dataset/queensland-fisheries-harvest-strategy/resource/1a6d9dc6-73ac-4d32-9422-065649c34bba</w:t>
              </w:r>
            </w:hyperlink>
          </w:p>
          <w:p w14:paraId="5761F334" w14:textId="2F2EDAAD"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66" w:tooltip="document link" w:history="1">
              <w:r w:rsidR="00A56EE9" w:rsidRPr="00E70A11">
                <w:rPr>
                  <w:rStyle w:val="Hyperlink"/>
                  <w:rFonts w:ascii="Arial Narrow" w:hAnsi="Arial Narrow"/>
                  <w:sz w:val="18"/>
                  <w:szCs w:val="18"/>
                </w:rPr>
                <w:t>https://www.daf.qld.gov.au/business-priorities/fisheries/sustainable-fisheries-strategy/changes-to-queenslands-fisheries-legislation</w:t>
              </w:r>
            </w:hyperlink>
            <w:r w:rsidR="00A56EE9" w:rsidRPr="00E70A11">
              <w:rPr>
                <w:rFonts w:ascii="Arial Narrow" w:hAnsi="Arial Narrow"/>
                <w:sz w:val="18"/>
                <w:szCs w:val="18"/>
              </w:rPr>
              <w:t>.</w:t>
            </w:r>
          </w:p>
          <w:p w14:paraId="5761F335"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336"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3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34B"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shd w:val="clear" w:color="auto" w:fill="FFFFFF"/>
          </w:tcPr>
          <w:p w14:paraId="5761F339" w14:textId="77777777" w:rsidR="00A56EE9" w:rsidRPr="00E70A11" w:rsidRDefault="00A56EE9" w:rsidP="00BB6AD5">
            <w:pPr>
              <w:pStyle w:val="Tablebulletlist"/>
              <w:rPr>
                <w:rStyle w:val="BookTitle"/>
              </w:rPr>
            </w:pPr>
            <w:r w:rsidRPr="00E70A11">
              <w:rPr>
                <w:rStyle w:val="BookTitle"/>
              </w:rPr>
              <w:t>PL8 There is consistency across jurisdictions when planning for recreational fishing</w:t>
            </w:r>
          </w:p>
        </w:tc>
        <w:tc>
          <w:tcPr>
            <w:tcW w:w="734" w:type="dxa"/>
            <w:tcBorders>
              <w:top w:val="single" w:sz="4" w:space="0" w:color="auto"/>
              <w:left w:val="single" w:sz="4" w:space="0" w:color="auto"/>
              <w:bottom w:val="single" w:sz="4" w:space="0" w:color="auto"/>
              <w:right w:val="single" w:sz="4" w:space="0" w:color="auto"/>
            </w:tcBorders>
            <w:shd w:val="clear" w:color="auto" w:fill="FFFFFF"/>
          </w:tcPr>
          <w:p w14:paraId="5761F33A"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shd w:val="clear" w:color="auto" w:fill="FFFFFF"/>
          </w:tcPr>
          <w:p w14:paraId="5761F33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different legislative responsibilities and objectives of respective Fisheries and Marine Park Acts are outlined in the Fisheries schedule of the Great Barrier Reef Intergovernmental Agreement between the Commonwealth of Australia and the State of Queensland relating to the protection and management of the Great Barrier Reef Marine Park.</w:t>
            </w:r>
          </w:p>
          <w:p w14:paraId="5761F33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Multiple agencies and governments are involved in fishing management, namely: QDAF, DoEE and GBRMPA.</w:t>
            </w:r>
            <w:r>
              <w:rPr>
                <w:rFonts w:ascii="Arial Narrow" w:hAnsi="Arial Narrow"/>
                <w:sz w:val="18"/>
                <w:szCs w:val="18"/>
              </w:rPr>
              <w:t xml:space="preserve"> </w:t>
            </w:r>
            <w:r w:rsidRPr="00E70A11">
              <w:rPr>
                <w:rFonts w:ascii="Arial Narrow" w:hAnsi="Arial Narrow"/>
                <w:sz w:val="18"/>
                <w:szCs w:val="18"/>
              </w:rPr>
              <w:t>Given the nature of their Acts, each has responsibilities to ensure sustainable use of fisheries resources, for different reasons (for example, biodiversity protection and sustainable harvest)</w:t>
            </w:r>
          </w:p>
          <w:p w14:paraId="5761F33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Australian Fisheries Management Forum (AFMF) provides opportunity to improve consistency when planning for commercial fishing. </w:t>
            </w:r>
          </w:p>
          <w:p w14:paraId="5761F33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Great Barrier Reef Marine Park and Great Barrier Reef Coast Marine Park generally adopt complementary zoning </w:t>
            </w:r>
          </w:p>
          <w:p w14:paraId="5761F33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Joint Field Management Program is highly successful at ensuring consistency across jurisdictions. This strong multi-agency collaboration and coordination is underpinned by a sound governance system that equally apportions financial support. The culture of the JFMP is collaborative and consistent. </w:t>
            </w:r>
          </w:p>
          <w:p w14:paraId="5761F340"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rPr>
            </w:pPr>
            <w:r w:rsidRPr="00E70A11">
              <w:rPr>
                <w:rFonts w:ascii="Arial Narrow" w:hAnsi="Arial Narrow"/>
                <w:sz w:val="18"/>
                <w:szCs w:val="18"/>
              </w:rPr>
              <w:t>The QSFS explicitly recognises the GBRWHA.</w:t>
            </w:r>
          </w:p>
          <w:p w14:paraId="5761F34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60% biomass target for fisheries resources by 2027 is consistent with GBR Marine Park biodiversity conservation and ecosystem resilience goals. </w:t>
            </w:r>
          </w:p>
          <w:p w14:paraId="5761F34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Field Management Program supports cross jurisdictional management of recreational fishing.</w:t>
            </w:r>
          </w:p>
        </w:tc>
        <w:tc>
          <w:tcPr>
            <w:tcW w:w="5260" w:type="dxa"/>
            <w:tcBorders>
              <w:top w:val="single" w:sz="4" w:space="0" w:color="auto"/>
              <w:left w:val="single" w:sz="4" w:space="0" w:color="auto"/>
              <w:bottom w:val="single" w:sz="4" w:space="0" w:color="auto"/>
              <w:right w:val="single" w:sz="4" w:space="0" w:color="auto"/>
            </w:tcBorders>
            <w:shd w:val="clear" w:color="auto" w:fill="FFFFFF"/>
          </w:tcPr>
          <w:p w14:paraId="5761F343"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67" w:history="1">
              <w:r w:rsidR="00A56EE9" w:rsidRPr="00E70A11">
                <w:rPr>
                  <w:rStyle w:val="Hyperlink"/>
                  <w:rFonts w:ascii="Arial Narrow" w:hAnsi="Arial Narrow"/>
                  <w:sz w:val="18"/>
                  <w:szCs w:val="18"/>
                </w:rPr>
                <w:t>Queensland Sustainable Fisheries Strategy 2017-2027</w:t>
              </w:r>
            </w:hyperlink>
          </w:p>
          <w:p w14:paraId="5761F344"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68" w:history="1">
              <w:r w:rsidR="00A56EE9" w:rsidRPr="00E70A11">
                <w:rPr>
                  <w:rStyle w:val="Hyperlink"/>
                  <w:rFonts w:ascii="Arial Narrow" w:hAnsi="Arial Narrow"/>
                  <w:sz w:val="18"/>
                  <w:szCs w:val="18"/>
                </w:rPr>
                <w:t>Great Barrier Reef Intergovernmental Agreement</w:t>
              </w:r>
            </w:hyperlink>
          </w:p>
          <w:p w14:paraId="5761F345"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69" w:history="1">
              <w:r w:rsidR="00A56EE9" w:rsidRPr="00E70A11">
                <w:rPr>
                  <w:rStyle w:val="Hyperlink"/>
                  <w:rFonts w:ascii="Arial Narrow" w:hAnsi="Arial Narrow"/>
                  <w:sz w:val="18"/>
                  <w:szCs w:val="18"/>
                </w:rPr>
                <w:t>Queensland Harvest Strategy Policy and Guidelines</w:t>
              </w:r>
            </w:hyperlink>
          </w:p>
          <w:p w14:paraId="5761F346"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Reef 2050 Plan</w:t>
            </w:r>
          </w:p>
          <w:p w14:paraId="5761F347"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 xml:space="preserve">FMP Program and Intergovernmental Agreement </w:t>
            </w:r>
          </w:p>
          <w:p w14:paraId="5761F348"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shd w:val="clear" w:color="auto" w:fill="FFFFFF"/>
          </w:tcPr>
          <w:p w14:paraId="5761F349"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shd w:val="clear" w:color="auto" w:fill="FFFFFF"/>
          </w:tcPr>
          <w:p w14:paraId="5761F34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357"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shd w:val="clear" w:color="auto" w:fill="auto"/>
          </w:tcPr>
          <w:p w14:paraId="5761F34C"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recreational fishing provide certainty regarding where uses may occur, the type of activities allowed, conditions under which activities may proceed and circumstances where impacts are likely to be acceptable.</w:t>
            </w:r>
          </w:p>
        </w:tc>
        <w:tc>
          <w:tcPr>
            <w:tcW w:w="734" w:type="dxa"/>
            <w:tcBorders>
              <w:top w:val="single" w:sz="4" w:space="0" w:color="auto"/>
              <w:left w:val="single" w:sz="4" w:space="0" w:color="auto"/>
              <w:bottom w:val="single" w:sz="4" w:space="0" w:color="auto"/>
              <w:right w:val="single" w:sz="4" w:space="0" w:color="auto"/>
            </w:tcBorders>
          </w:tcPr>
          <w:p w14:paraId="5761F34D" w14:textId="77777777" w:rsidR="00A56EE9" w:rsidRPr="00E70A11" w:rsidRDefault="00A56EE9" w:rsidP="00BB6AD5">
            <w:pPr>
              <w:pStyle w:val="Tablebulletlist"/>
              <w:rPr>
                <w:rStyle w:val="BookTitle"/>
              </w:rPr>
            </w:pPr>
            <w:r w:rsidRPr="00E70A11">
              <w:rPr>
                <w:rStyle w:val="BookTitle"/>
              </w:rPr>
              <w:t>4</w:t>
            </w:r>
          </w:p>
        </w:tc>
        <w:tc>
          <w:tcPr>
            <w:tcW w:w="4968" w:type="dxa"/>
            <w:tcBorders>
              <w:top w:val="single" w:sz="4" w:space="0" w:color="auto"/>
              <w:left w:val="single" w:sz="4" w:space="0" w:color="auto"/>
              <w:bottom w:val="single" w:sz="4" w:space="0" w:color="auto"/>
              <w:right w:val="single" w:sz="4" w:space="0" w:color="auto"/>
            </w:tcBorders>
          </w:tcPr>
          <w:p w14:paraId="5761F34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Zoning and management arrangements at all levels of Government provides certainty regarding where uses may occur and the type of activities allowed. The zoning plan does not prescriptive detail.</w:t>
            </w:r>
          </w:p>
          <w:p w14:paraId="5761F34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Fisheries Regulation is the main vehicle for managing fisheries and where actions are put in place (e.g. quota, closures, gear restrictions, size and possession limits etc.).</w:t>
            </w:r>
          </w:p>
          <w:p w14:paraId="5761F35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Recreational fishers do not require a licence or permit in any Queensland tidal waters. </w:t>
            </w:r>
          </w:p>
          <w:p w14:paraId="5761F35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QSFS explicitly incorporates management of recreational fishing. This includes a commitment that by 2020 that priority fisheries will be managed by the harvest strategy which will provide greater certainty and predictability about changes to fishing rules (e.g. quota or bag limits) based on the performance of the stock.</w:t>
            </w:r>
          </w:p>
        </w:tc>
        <w:tc>
          <w:tcPr>
            <w:tcW w:w="5260" w:type="dxa"/>
            <w:tcBorders>
              <w:top w:val="single" w:sz="4" w:space="0" w:color="auto"/>
              <w:left w:val="single" w:sz="4" w:space="0" w:color="auto"/>
              <w:bottom w:val="single" w:sz="4" w:space="0" w:color="auto"/>
              <w:right w:val="single" w:sz="4" w:space="0" w:color="auto"/>
            </w:tcBorders>
          </w:tcPr>
          <w:p w14:paraId="5761F35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website on Zoning: </w:t>
            </w:r>
            <w:hyperlink r:id="rId870" w:history="1">
              <w:r w:rsidRPr="00E70A11">
                <w:rPr>
                  <w:rStyle w:val="Hyperlink"/>
                  <w:rFonts w:ascii="Arial Narrow" w:hAnsi="Arial Narrow"/>
                  <w:sz w:val="18"/>
                  <w:szCs w:val="18"/>
                </w:rPr>
                <w:t>http://www.gbrmpa.gov.au/zoning-permits-and-plans</w:t>
              </w:r>
            </w:hyperlink>
          </w:p>
          <w:p w14:paraId="5761F353" w14:textId="61C06B10"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71" w:tooltip="document link" w:history="1">
              <w:r w:rsidR="00A56EE9" w:rsidRPr="00E70A11">
                <w:rPr>
                  <w:rStyle w:val="Hyperlink"/>
                  <w:rFonts w:ascii="Arial Narrow" w:hAnsi="Arial Narrow"/>
                  <w:sz w:val="18"/>
                  <w:szCs w:val="18"/>
                </w:rPr>
                <w:t>https://www.daf.qld.gov.au/fisheries/monitoring-our-fisheries/recreational-fisheries/statewide-and-regional-recreational-fishing-survey</w:t>
              </w:r>
            </w:hyperlink>
          </w:p>
          <w:p w14:paraId="5761F354"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872" w:history="1">
              <w:r w:rsidR="00A56EE9" w:rsidRPr="00E70A11">
                <w:rPr>
                  <w:rStyle w:val="Hyperlink"/>
                  <w:rFonts w:ascii="Arial Narrow" w:hAnsi="Arial Narrow"/>
                  <w:sz w:val="18"/>
                  <w:szCs w:val="18"/>
                </w:rPr>
                <w:t>Queensland Sustainable Fisheries Strategy 2017-2027</w:t>
              </w:r>
            </w:hyperlink>
          </w:p>
        </w:tc>
        <w:tc>
          <w:tcPr>
            <w:tcW w:w="1324" w:type="dxa"/>
            <w:tcBorders>
              <w:top w:val="single" w:sz="4" w:space="0" w:color="auto"/>
              <w:left w:val="single" w:sz="4" w:space="0" w:color="auto"/>
              <w:bottom w:val="single" w:sz="4" w:space="0" w:color="auto"/>
              <w:right w:val="single" w:sz="4" w:space="0" w:color="auto"/>
            </w:tcBorders>
          </w:tcPr>
          <w:p w14:paraId="5761F355"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56"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35E"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58" w14:textId="77777777" w:rsidR="00A56EE9" w:rsidRPr="00E70A11" w:rsidRDefault="00A56EE9" w:rsidP="00BB6AD5">
            <w:pPr>
              <w:pStyle w:val="Tablebulletlist"/>
              <w:rPr>
                <w:rStyle w:val="BookTitle"/>
              </w:rPr>
            </w:pPr>
            <w:r w:rsidRPr="00E70A11">
              <w:rPr>
                <w:rStyle w:val="BookTitle"/>
              </w:rPr>
              <w:t>INPUTS</w:t>
            </w:r>
          </w:p>
        </w:tc>
        <w:tc>
          <w:tcPr>
            <w:tcW w:w="73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59" w14:textId="77777777" w:rsidR="00A56EE9" w:rsidRPr="00E70A11" w:rsidRDefault="00A56EE9" w:rsidP="00BB6AD5">
            <w:pPr>
              <w:pStyle w:val="Tablebulletlist"/>
              <w:rPr>
                <w:rStyle w:val="BookTitle"/>
              </w:rPr>
            </w:pPr>
          </w:p>
        </w:tc>
        <w:tc>
          <w:tcPr>
            <w:tcW w:w="49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5A" w14:textId="77777777" w:rsidR="00A56EE9" w:rsidRPr="00E70A11" w:rsidRDefault="00A56EE9" w:rsidP="00BB6AD5">
            <w:pPr>
              <w:pStyle w:val="ListParagraph"/>
              <w:ind w:left="360"/>
              <w:rPr>
                <w:rStyle w:val="BookTitle"/>
                <w:rFonts w:ascii="Arial Narrow" w:hAnsi="Arial Narrow"/>
                <w:sz w:val="18"/>
                <w:szCs w:val="18"/>
              </w:rPr>
            </w:pPr>
          </w:p>
        </w:tc>
        <w:tc>
          <w:tcPr>
            <w:tcW w:w="526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5B"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5C"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5D" w14:textId="77777777" w:rsidR="00A56EE9" w:rsidRPr="00E70A11" w:rsidRDefault="00A56EE9" w:rsidP="00BB6AD5">
            <w:pPr>
              <w:pStyle w:val="Tablebulletlist"/>
              <w:rPr>
                <w:rStyle w:val="BookTitle"/>
              </w:rPr>
            </w:pPr>
          </w:p>
        </w:tc>
      </w:tr>
      <w:tr w:rsidR="00A56EE9" w:rsidRPr="00E70A11" w14:paraId="5761F368"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5F"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recreational fishing </w:t>
            </w:r>
          </w:p>
        </w:tc>
        <w:tc>
          <w:tcPr>
            <w:tcW w:w="734" w:type="dxa"/>
            <w:tcBorders>
              <w:top w:val="single" w:sz="4" w:space="0" w:color="auto"/>
              <w:left w:val="single" w:sz="4" w:space="0" w:color="auto"/>
              <w:bottom w:val="single" w:sz="4" w:space="0" w:color="auto"/>
              <w:right w:val="single" w:sz="4" w:space="0" w:color="auto"/>
            </w:tcBorders>
          </w:tcPr>
          <w:p w14:paraId="5761F360"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6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Recreational fishing surveys are financed, most recently in 2014</w:t>
            </w:r>
          </w:p>
          <w:p w14:paraId="5761F36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An additional $20m over three years in funding has been provided to support the implementation of the Queensland Sustainable Fisheries Strategy for both commercial and recreational fishers’ management.</w:t>
            </w:r>
          </w:p>
          <w:p w14:paraId="5761F36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FMP program has also had its budget sign</w:t>
            </w:r>
            <w:r>
              <w:rPr>
                <w:rFonts w:ascii="Arial Narrow" w:hAnsi="Arial Narrow"/>
                <w:sz w:val="18"/>
                <w:szCs w:val="18"/>
              </w:rPr>
              <w:t>if</w:t>
            </w:r>
            <w:r w:rsidRPr="00E70A11">
              <w:rPr>
                <w:rFonts w:ascii="Arial Narrow" w:hAnsi="Arial Narrow"/>
                <w:sz w:val="18"/>
                <w:szCs w:val="18"/>
              </w:rPr>
              <w:t>icantly increased. This program has a strong focus on compliance, including recreational fishing</w:t>
            </w:r>
          </w:p>
        </w:tc>
        <w:tc>
          <w:tcPr>
            <w:tcW w:w="5260" w:type="dxa"/>
            <w:tcBorders>
              <w:top w:val="single" w:sz="4" w:space="0" w:color="auto"/>
              <w:left w:val="single" w:sz="4" w:space="0" w:color="auto"/>
              <w:bottom w:val="single" w:sz="4" w:space="0" w:color="auto"/>
              <w:right w:val="single" w:sz="4" w:space="0" w:color="auto"/>
            </w:tcBorders>
          </w:tcPr>
          <w:p w14:paraId="5761F364"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73" w:history="1">
              <w:r w:rsidR="00A56EE9" w:rsidRPr="00E70A11">
                <w:rPr>
                  <w:rStyle w:val="Hyperlink"/>
                  <w:rFonts w:ascii="Arial Narrow" w:hAnsi="Arial Narrow"/>
                  <w:sz w:val="18"/>
                  <w:szCs w:val="18"/>
                </w:rPr>
                <w:t>Queensland Sustainable Fisheries Strategy 2017-2027</w:t>
              </w:r>
            </w:hyperlink>
          </w:p>
          <w:p w14:paraId="5761F36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Hyperlink"/>
                <w:rFonts w:ascii="Arial Narrow" w:hAnsi="Arial Narrow"/>
                <w:sz w:val="18"/>
                <w:szCs w:val="18"/>
              </w:rPr>
              <w:t xml:space="preserve">FMP </w:t>
            </w:r>
          </w:p>
        </w:tc>
        <w:tc>
          <w:tcPr>
            <w:tcW w:w="1324" w:type="dxa"/>
            <w:tcBorders>
              <w:top w:val="single" w:sz="4" w:space="0" w:color="auto"/>
              <w:left w:val="single" w:sz="4" w:space="0" w:color="auto"/>
              <w:bottom w:val="single" w:sz="4" w:space="0" w:color="auto"/>
              <w:right w:val="single" w:sz="4" w:space="0" w:color="auto"/>
            </w:tcBorders>
          </w:tcPr>
          <w:p w14:paraId="5761F366"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6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375"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69"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recreational fishing </w:t>
            </w:r>
          </w:p>
        </w:tc>
        <w:tc>
          <w:tcPr>
            <w:tcW w:w="734" w:type="dxa"/>
            <w:tcBorders>
              <w:top w:val="single" w:sz="4" w:space="0" w:color="auto"/>
              <w:left w:val="single" w:sz="4" w:space="0" w:color="auto"/>
              <w:bottom w:val="single" w:sz="4" w:space="0" w:color="auto"/>
              <w:right w:val="single" w:sz="4" w:space="0" w:color="auto"/>
            </w:tcBorders>
          </w:tcPr>
          <w:p w14:paraId="5761F36A"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6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Queensland have recruited additional staff for compliance and delivery of the QSFS.</w:t>
            </w:r>
          </w:p>
          <w:p w14:paraId="5761F36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Of the total 760 compliance patrol days planned for 2017-18, a sub-target of 100 days dedicated to recreational fishing compliance during periods of highest risk (e.g. when winds are &lt;10 knots on weekends) has been included in the Field Management Program’s 2017-18</w:t>
            </w:r>
            <w:r>
              <w:rPr>
                <w:rFonts w:ascii="Arial Narrow" w:hAnsi="Arial Narrow"/>
                <w:sz w:val="18"/>
                <w:szCs w:val="18"/>
              </w:rPr>
              <w:t xml:space="preserve"> </w:t>
            </w:r>
            <w:r w:rsidRPr="00E70A11">
              <w:rPr>
                <w:rFonts w:ascii="Arial Narrow" w:hAnsi="Arial Narrow"/>
                <w:sz w:val="18"/>
                <w:szCs w:val="18"/>
              </w:rPr>
              <w:t>Annual Business Plan.</w:t>
            </w:r>
          </w:p>
        </w:tc>
        <w:tc>
          <w:tcPr>
            <w:tcW w:w="5260" w:type="dxa"/>
            <w:tcBorders>
              <w:top w:val="single" w:sz="4" w:space="0" w:color="auto"/>
              <w:left w:val="single" w:sz="4" w:space="0" w:color="auto"/>
              <w:bottom w:val="single" w:sz="4" w:space="0" w:color="auto"/>
              <w:right w:val="single" w:sz="4" w:space="0" w:color="auto"/>
            </w:tcBorders>
          </w:tcPr>
          <w:p w14:paraId="5761F36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74" w:history="1">
              <w:r w:rsidR="00A56EE9" w:rsidRPr="00E70A11">
                <w:rPr>
                  <w:rStyle w:val="Hyperlink"/>
                  <w:rFonts w:ascii="Arial Narrow" w:hAnsi="Arial Narrow"/>
                  <w:sz w:val="18"/>
                  <w:szCs w:val="18"/>
                </w:rPr>
                <w:t>Queensland Sustainable Fisheries Strategy 2017-2027</w:t>
              </w:r>
            </w:hyperlink>
          </w:p>
          <w:p w14:paraId="5761F36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Periodic review of the Joint Field Management </w:t>
            </w:r>
          </w:p>
          <w:p w14:paraId="5761F36F"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75" w:history="1">
              <w:r w:rsidR="00A56EE9" w:rsidRPr="00E70A11">
                <w:rPr>
                  <w:rStyle w:val="Hyperlink"/>
                  <w:rFonts w:ascii="Arial Narrow" w:hAnsi="Arial Narrow"/>
                  <w:sz w:val="18"/>
                  <w:szCs w:val="18"/>
                </w:rPr>
                <w:t>GBRMPA Annual Report 2016–17</w:t>
              </w:r>
            </w:hyperlink>
          </w:p>
          <w:p w14:paraId="5761F370"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Style w:val="Hyperlink"/>
                <w:rFonts w:ascii="Arial Narrow" w:hAnsi="Arial Narrow"/>
                <w:sz w:val="18"/>
                <w:szCs w:val="18"/>
              </w:rPr>
              <w:t>Field Management Annual Business Plan 2017-2018</w:t>
            </w:r>
          </w:p>
          <w:p w14:paraId="5761F371" w14:textId="77777777" w:rsidR="00A56EE9" w:rsidRPr="00E70A11" w:rsidRDefault="00A56EE9" w:rsidP="00BB6AD5">
            <w:pPr>
              <w:pStyle w:val="ListParagraph"/>
              <w:ind w:left="360"/>
              <w:rPr>
                <w:rFonts w:ascii="Arial Narrow" w:hAnsi="Arial Narrow"/>
                <w:sz w:val="18"/>
                <w:szCs w:val="18"/>
              </w:rPr>
            </w:pPr>
          </w:p>
          <w:p w14:paraId="5761F372"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373"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7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37F"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76"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recreational fishing</w:t>
            </w:r>
          </w:p>
        </w:tc>
        <w:tc>
          <w:tcPr>
            <w:tcW w:w="734" w:type="dxa"/>
            <w:tcBorders>
              <w:top w:val="single" w:sz="4" w:space="0" w:color="auto"/>
              <w:left w:val="single" w:sz="4" w:space="0" w:color="auto"/>
              <w:bottom w:val="single" w:sz="4" w:space="0" w:color="auto"/>
              <w:right w:val="single" w:sz="4" w:space="0" w:color="auto"/>
            </w:tcBorders>
          </w:tcPr>
          <w:p w14:paraId="5761F377"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7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skill set within the GBRMPA and QDAF is of a high quality and experience with most staff having marine or fisheries management training at tertiary level. However, staff dedicated to managing fishing issues is reduced from what it was 5 to 10 years ago.</w:t>
            </w:r>
          </w:p>
          <w:p w14:paraId="5761F37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Queensland employs fisheries science, fisheries biology, fisheries policy, analytics, media, compliance and monitoring professions.</w:t>
            </w:r>
          </w:p>
          <w:p w14:paraId="5761F37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Queensland is one of the only states with the capacity to undertake in-house stock assessments</w:t>
            </w:r>
          </w:p>
        </w:tc>
        <w:tc>
          <w:tcPr>
            <w:tcW w:w="5260" w:type="dxa"/>
            <w:tcBorders>
              <w:top w:val="single" w:sz="4" w:space="0" w:color="auto"/>
              <w:left w:val="single" w:sz="4" w:space="0" w:color="auto"/>
              <w:bottom w:val="single" w:sz="4" w:space="0" w:color="auto"/>
              <w:right w:val="single" w:sz="4" w:space="0" w:color="auto"/>
            </w:tcBorders>
          </w:tcPr>
          <w:p w14:paraId="5761F37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Workshop discussions with GBRMPA and Fisheries Queensland </w:t>
            </w:r>
          </w:p>
          <w:p w14:paraId="5761F37C"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37D"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37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38A"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80"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recreational fishing</w:t>
            </w:r>
          </w:p>
        </w:tc>
        <w:tc>
          <w:tcPr>
            <w:tcW w:w="734" w:type="dxa"/>
            <w:tcBorders>
              <w:top w:val="single" w:sz="4" w:space="0" w:color="auto"/>
              <w:left w:val="single" w:sz="4" w:space="0" w:color="auto"/>
              <w:bottom w:val="single" w:sz="4" w:space="0" w:color="auto"/>
              <w:right w:val="single" w:sz="4" w:space="0" w:color="auto"/>
            </w:tcBorders>
          </w:tcPr>
          <w:p w14:paraId="5761F381"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8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is an understanding of how some large scale events (i.e. cyclones or floods) influence the biophysical conditions and productivity of Queensland fish stocks. This abiotic information is regularly incorporated into stock assessments.</w:t>
            </w:r>
          </w:p>
          <w:p w14:paraId="5761F38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cumulative impacts of the 2016-17 mass bleaching have affected most of the Great Barrier Reef Marine Park, and it is likely the resilience of the majority of reefs north of Mackay has been severely diminished. The effect of this unprecedented disturbance on commercially important species is uncertain.</w:t>
            </w:r>
          </w:p>
        </w:tc>
        <w:tc>
          <w:tcPr>
            <w:tcW w:w="5260" w:type="dxa"/>
            <w:tcBorders>
              <w:top w:val="single" w:sz="4" w:space="0" w:color="auto"/>
              <w:left w:val="single" w:sz="4" w:space="0" w:color="auto"/>
              <w:bottom w:val="single" w:sz="4" w:space="0" w:color="auto"/>
              <w:right w:val="single" w:sz="4" w:space="0" w:color="auto"/>
            </w:tcBorders>
          </w:tcPr>
          <w:p w14:paraId="5761F384"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76" w:history="1">
              <w:r w:rsidR="00A56EE9" w:rsidRPr="00E70A11">
                <w:rPr>
                  <w:rStyle w:val="Hyperlink"/>
                  <w:rFonts w:ascii="Arial Narrow" w:hAnsi="Arial Narrow"/>
                  <w:sz w:val="18"/>
                  <w:szCs w:val="18"/>
                </w:rPr>
                <w:t>Queensland Sustainable Fisheries Strategy 2017-2027</w:t>
              </w:r>
            </w:hyperlink>
          </w:p>
          <w:p w14:paraId="5761F385"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877" w:history="1">
              <w:r w:rsidR="00A56EE9" w:rsidRPr="00E70A11">
                <w:rPr>
                  <w:rStyle w:val="Hyperlink"/>
                  <w:rFonts w:ascii="Arial Narrow" w:hAnsi="Arial Narrow"/>
                  <w:sz w:val="18"/>
                  <w:szCs w:val="18"/>
                </w:rPr>
                <w:t>Summary of Stock Status for Queensland Species 2016</w:t>
              </w:r>
            </w:hyperlink>
          </w:p>
          <w:p w14:paraId="5761F38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Welch et.al. 2014 </w:t>
            </w:r>
            <w:hyperlink r:id="rId878" w:history="1">
              <w:r w:rsidRPr="00E70A11">
                <w:rPr>
                  <w:rStyle w:val="Hyperlink"/>
                  <w:rFonts w:ascii="Arial Narrow" w:hAnsi="Arial Narrow"/>
                  <w:sz w:val="18"/>
                  <w:szCs w:val="18"/>
                </w:rPr>
                <w:t>Implications of climate change on fisheries resources of northern Australia</w:t>
              </w:r>
            </w:hyperlink>
          </w:p>
          <w:p w14:paraId="5761F387"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388"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8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397"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8B"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recreational fishing</w:t>
            </w:r>
          </w:p>
        </w:tc>
        <w:tc>
          <w:tcPr>
            <w:tcW w:w="734" w:type="dxa"/>
            <w:tcBorders>
              <w:top w:val="single" w:sz="4" w:space="0" w:color="auto"/>
              <w:left w:val="single" w:sz="4" w:space="0" w:color="auto"/>
              <w:bottom w:val="single" w:sz="4" w:space="0" w:color="auto"/>
              <w:right w:val="single" w:sz="4" w:space="0" w:color="auto"/>
            </w:tcBorders>
          </w:tcPr>
          <w:p w14:paraId="5761F38C"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8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While work continues on identifying gaps in biophysical information, and socio-economic implications are being addressed through the Social and Economic Long-term Monitoring Program</w:t>
            </w:r>
          </w:p>
          <w:p w14:paraId="5761F38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can be considerable health and wellbeing benefits for individuals who fish for recreation.</w:t>
            </w:r>
          </w:p>
          <w:p w14:paraId="5761F38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is also some contribution to management costs, with $17.75 from each vessel registration in Queensland going to Fisheries Queensland for enhancing recreational fishing.</w:t>
            </w:r>
          </w:p>
          <w:p w14:paraId="5761F390"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u w:val="single"/>
              </w:rPr>
              <w:t xml:space="preserve">The Deloitte Access Economics </w:t>
            </w:r>
            <w:r w:rsidRPr="00E70A11">
              <w:rPr>
                <w:rFonts w:ascii="Arial Narrow" w:hAnsi="Arial Narrow"/>
                <w:sz w:val="18"/>
                <w:szCs w:val="18"/>
              </w:rPr>
              <w:t>2017 report shows the Great Barrier Reef contributed $6.4 billion in value added and over 64,000 jobs to the Australian economy in 2015–16 (direct and indirect). Most of these jobs came from tourism activities generated by the Great Barrier Reef, but there were also important economic contributions from fishing, recreational and scientific activities</w:t>
            </w:r>
          </w:p>
          <w:p w14:paraId="5761F39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Recreational fishing provides economic and social benefits to Queensland’s communities. Fishing on the Great Barrier Reef has been an important recreational activity for coastal residents and visitors. Most people indicate that relaxation, socialising, catching fish and excitement are their reasons for fishing recreationally. In 2008, more than half of all people visiting the Great Barrier Reef for recreational purposes went fishing.</w:t>
            </w:r>
          </w:p>
        </w:tc>
        <w:tc>
          <w:tcPr>
            <w:tcW w:w="5260" w:type="dxa"/>
            <w:tcBorders>
              <w:top w:val="single" w:sz="4" w:space="0" w:color="auto"/>
              <w:left w:val="single" w:sz="4" w:space="0" w:color="auto"/>
              <w:bottom w:val="single" w:sz="4" w:space="0" w:color="auto"/>
              <w:right w:val="single" w:sz="4" w:space="0" w:color="auto"/>
            </w:tcBorders>
          </w:tcPr>
          <w:p w14:paraId="5761F39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79" w:history="1">
              <w:r w:rsidR="00A56EE9" w:rsidRPr="00E70A11">
                <w:rPr>
                  <w:rStyle w:val="Hyperlink"/>
                  <w:rFonts w:ascii="Arial Narrow" w:hAnsi="Arial Narrow"/>
                  <w:sz w:val="18"/>
                  <w:szCs w:val="18"/>
                </w:rPr>
                <w:t>Queensland Sustainable Fisheries Strategy 2017-2027</w:t>
              </w:r>
            </w:hyperlink>
          </w:p>
          <w:p w14:paraId="5761F393"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rPr>
              <w:t xml:space="preserve"> </w:t>
            </w:r>
            <w:hyperlink r:id="rId880" w:history="1">
              <w:r w:rsidRPr="00E70A11">
                <w:rPr>
                  <w:rStyle w:val="Hyperlink"/>
                  <w:rFonts w:ascii="Arial Narrow" w:hAnsi="Arial Narrow"/>
                  <w:sz w:val="18"/>
                  <w:szCs w:val="18"/>
                </w:rPr>
                <w:t>Deloitte Access Economics 2017 - The economic, social and icon value</w:t>
              </w:r>
            </w:hyperlink>
          </w:p>
          <w:p w14:paraId="5761F394"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395"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96"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3A4"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98"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recreational fishing</w:t>
            </w:r>
          </w:p>
        </w:tc>
        <w:tc>
          <w:tcPr>
            <w:tcW w:w="734" w:type="dxa"/>
            <w:tcBorders>
              <w:top w:val="single" w:sz="4" w:space="0" w:color="auto"/>
              <w:left w:val="single" w:sz="4" w:space="0" w:color="auto"/>
              <w:bottom w:val="single" w:sz="4" w:space="0" w:color="auto"/>
              <w:right w:val="single" w:sz="4" w:space="0" w:color="auto"/>
            </w:tcBorders>
          </w:tcPr>
          <w:p w14:paraId="5761F399" w14:textId="77777777" w:rsidR="00A56EE9" w:rsidRPr="00E70A11" w:rsidRDefault="00A56EE9" w:rsidP="00BB6AD5">
            <w:pPr>
              <w:pStyle w:val="Tablebulletlist"/>
              <w:rPr>
                <w:rStyle w:val="BookTitle"/>
              </w:rPr>
            </w:pPr>
            <w:r w:rsidRPr="00E70A11">
              <w:rPr>
                <w:rStyle w:val="BookTitle"/>
              </w:rPr>
              <w:t>2</w:t>
            </w:r>
          </w:p>
        </w:tc>
        <w:tc>
          <w:tcPr>
            <w:tcW w:w="4968" w:type="dxa"/>
            <w:tcBorders>
              <w:top w:val="single" w:sz="4" w:space="0" w:color="auto"/>
              <w:left w:val="single" w:sz="4" w:space="0" w:color="auto"/>
              <w:bottom w:val="single" w:sz="4" w:space="0" w:color="auto"/>
              <w:right w:val="single" w:sz="4" w:space="0" w:color="auto"/>
            </w:tcBorders>
          </w:tcPr>
          <w:p w14:paraId="5761F39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Detailed and widespread understanding of traditional (Indigenous) knowledge and cultural heritage is limited and strategy and resourcing to address this gap is needed.</w:t>
            </w:r>
          </w:p>
          <w:p w14:paraId="5761F39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Management of recreational fishing has not been raised as a high priority but is occasionally raised for consideration by Traditional Owners or other Aboriginal or Torres Strait Islander people.</w:t>
            </w:r>
          </w:p>
          <w:p w14:paraId="5761F39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QDAF has limited engagement with Traditional Owners or other Aboriginal or Torres Strait Islander people and there is currently no forums for sharing of information and communicating interests.</w:t>
            </w:r>
          </w:p>
          <w:p w14:paraId="5761F39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GBRMPA liaises with Traditional Owners or other Aboriginal or Torres Strait Islander people</w:t>
            </w:r>
            <w:r w:rsidRPr="00E70A11" w:rsidDel="00F31F03">
              <w:rPr>
                <w:rFonts w:ascii="Arial Narrow" w:hAnsi="Arial Narrow"/>
                <w:sz w:val="18"/>
                <w:szCs w:val="18"/>
              </w:rPr>
              <w:t xml:space="preserve"> </w:t>
            </w:r>
            <w:r w:rsidRPr="00E70A11">
              <w:rPr>
                <w:rFonts w:ascii="Arial Narrow" w:hAnsi="Arial Narrow"/>
                <w:sz w:val="18"/>
                <w:szCs w:val="18"/>
              </w:rPr>
              <w:t>as users of the Marine Park through TUMRA projects, ranger training and meetings, conferences and workshops.</w:t>
            </w:r>
          </w:p>
          <w:p w14:paraId="5761F39E"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QSFS recognises the need to better engage with Traditional Owners or other Aboriginal or Torres Strait Islander people regarding fishing.</w:t>
            </w:r>
          </w:p>
          <w:p w14:paraId="5761F39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E459B">
              <w:rPr>
                <w:rStyle w:val="BookTitle"/>
                <w:rFonts w:ascii="Arial Narrow" w:hAnsi="Arial Narrow"/>
                <w:sz w:val="18"/>
                <w:szCs w:val="18"/>
              </w:rPr>
              <w:t>Five new cultural liaison officers have been set up in the QBFP as part of the Sustainable Fisheries Strategy to improve engagement, work with ranger groups and improve education around traditional fishing.</w:t>
            </w:r>
          </w:p>
        </w:tc>
        <w:tc>
          <w:tcPr>
            <w:tcW w:w="5260" w:type="dxa"/>
            <w:tcBorders>
              <w:top w:val="single" w:sz="4" w:space="0" w:color="auto"/>
              <w:left w:val="single" w:sz="4" w:space="0" w:color="auto"/>
              <w:bottom w:val="single" w:sz="4" w:space="0" w:color="auto"/>
              <w:right w:val="single" w:sz="4" w:space="0" w:color="auto"/>
            </w:tcBorders>
          </w:tcPr>
          <w:p w14:paraId="5761F3A0"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81" w:history="1">
              <w:r w:rsidR="00A56EE9" w:rsidRPr="00E70A11">
                <w:rPr>
                  <w:rStyle w:val="Hyperlink"/>
                  <w:rFonts w:ascii="Arial Narrow" w:hAnsi="Arial Narrow"/>
                  <w:sz w:val="18"/>
                  <w:szCs w:val="18"/>
                </w:rPr>
                <w:t>Queensland Sustainable Fisheries Strategy 2017-2027</w:t>
              </w:r>
            </w:hyperlink>
          </w:p>
          <w:p w14:paraId="5761F3A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Hyperlink"/>
                <w:rFonts w:ascii="Arial Narrow" w:hAnsi="Arial Narrow"/>
                <w:sz w:val="18"/>
                <w:szCs w:val="18"/>
              </w:rPr>
              <w:t>GBRMPA workshops</w:t>
            </w:r>
          </w:p>
        </w:tc>
        <w:tc>
          <w:tcPr>
            <w:tcW w:w="1324" w:type="dxa"/>
            <w:tcBorders>
              <w:top w:val="single" w:sz="4" w:space="0" w:color="auto"/>
              <w:left w:val="single" w:sz="4" w:space="0" w:color="auto"/>
              <w:bottom w:val="single" w:sz="4" w:space="0" w:color="auto"/>
              <w:right w:val="single" w:sz="4" w:space="0" w:color="auto"/>
            </w:tcBorders>
          </w:tcPr>
          <w:p w14:paraId="5761F3A2"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3A3"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F3AD"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A5"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recreational fishing</w:t>
            </w:r>
          </w:p>
        </w:tc>
        <w:tc>
          <w:tcPr>
            <w:tcW w:w="734" w:type="dxa"/>
            <w:tcBorders>
              <w:top w:val="single" w:sz="4" w:space="0" w:color="auto"/>
              <w:left w:val="single" w:sz="4" w:space="0" w:color="auto"/>
              <w:bottom w:val="single" w:sz="4" w:space="0" w:color="auto"/>
              <w:right w:val="single" w:sz="4" w:space="0" w:color="auto"/>
            </w:tcBorders>
          </w:tcPr>
          <w:p w14:paraId="5761F3A6"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A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permit conditions to enter Historic Shipwreck Protected Zones under the Historic Shipwrecks Act 1976 have recently been change to disallow fishing on wrecks such as the Llewellyn</w:t>
            </w:r>
          </w:p>
          <w:p w14:paraId="5761F3A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On 14 May 2015 the Great Barrier Reef Marine Park Regulations 1983 were amended to add a new type of Special Management Area, the Maritime Cultural Heritage Protection Special Management Area. The regulation includes specific management provisions for the Maritime Cultural Heritage Protection Special Management Area regulating entering and approaching the wrecks, operating and anchoring vessels, fishing and collecting. These SMAs were created largely to manage impact from recreational fishing on these airplanes</w:t>
            </w:r>
          </w:p>
        </w:tc>
        <w:tc>
          <w:tcPr>
            <w:tcW w:w="5260" w:type="dxa"/>
            <w:tcBorders>
              <w:top w:val="single" w:sz="4" w:space="0" w:color="auto"/>
              <w:left w:val="single" w:sz="4" w:space="0" w:color="auto"/>
              <w:bottom w:val="single" w:sz="4" w:space="0" w:color="auto"/>
              <w:right w:val="single" w:sz="4" w:space="0" w:color="auto"/>
            </w:tcBorders>
          </w:tcPr>
          <w:p w14:paraId="5761F3A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Historic Shipwreck Protected Zones under the Historic Shipwrecks Act 1976</w:t>
            </w:r>
          </w:p>
          <w:p w14:paraId="5761F3AA"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882" w:history="1">
              <w:r w:rsidR="00A56EE9" w:rsidRPr="00E70A11">
                <w:rPr>
                  <w:rFonts w:ascii="Arial Narrow" w:hAnsi="Arial Narrow"/>
                  <w:sz w:val="18"/>
                  <w:szCs w:val="18"/>
                </w:rPr>
                <w:t>Protecting our maritime cultural heritage</w:t>
              </w:r>
            </w:hyperlink>
            <w:r w:rsidR="00A56EE9" w:rsidRPr="00E70A11">
              <w:rPr>
                <w:rFonts w:ascii="Arial Narrow" w:hAnsi="Arial Narrow"/>
                <w:sz w:val="18"/>
                <w:szCs w:val="18"/>
              </w:rPr>
              <w:t xml:space="preserve"> http://www.gbrmpa.gov.au/zoning-permits-and-plans/special-management-areas/protecting-our-maritime-cultural-heritage</w:t>
            </w:r>
          </w:p>
        </w:tc>
        <w:tc>
          <w:tcPr>
            <w:tcW w:w="1324" w:type="dxa"/>
            <w:tcBorders>
              <w:top w:val="single" w:sz="4" w:space="0" w:color="auto"/>
              <w:left w:val="single" w:sz="4" w:space="0" w:color="auto"/>
              <w:bottom w:val="single" w:sz="4" w:space="0" w:color="auto"/>
              <w:right w:val="single" w:sz="4" w:space="0" w:color="auto"/>
            </w:tcBorders>
          </w:tcPr>
          <w:p w14:paraId="5761F3AB"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A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3B6"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shd w:val="clear" w:color="auto" w:fill="auto"/>
          </w:tcPr>
          <w:p w14:paraId="5761F3AE"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recreational fishing</w:t>
            </w:r>
          </w:p>
        </w:tc>
        <w:tc>
          <w:tcPr>
            <w:tcW w:w="734" w:type="dxa"/>
            <w:tcBorders>
              <w:top w:val="single" w:sz="4" w:space="0" w:color="auto"/>
              <w:left w:val="single" w:sz="4" w:space="0" w:color="auto"/>
              <w:bottom w:val="single" w:sz="4" w:space="0" w:color="auto"/>
              <w:right w:val="single" w:sz="4" w:space="0" w:color="auto"/>
            </w:tcBorders>
          </w:tcPr>
          <w:p w14:paraId="5761F3AF"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B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Recreational fishers contribute by providing fish frames to QDAF for measurement at more than 45 boat ramps across Queensland.</w:t>
            </w:r>
          </w:p>
          <w:p w14:paraId="5761F3B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Many recreational fishing groups, individuals and conservation groups volunteer significant amounts of time to ensure their issues are represented and where possible addressed</w:t>
            </w:r>
          </w:p>
        </w:tc>
        <w:tc>
          <w:tcPr>
            <w:tcW w:w="5260" w:type="dxa"/>
            <w:tcBorders>
              <w:top w:val="single" w:sz="4" w:space="0" w:color="auto"/>
              <w:left w:val="single" w:sz="4" w:space="0" w:color="auto"/>
              <w:bottom w:val="single" w:sz="4" w:space="0" w:color="auto"/>
              <w:right w:val="single" w:sz="4" w:space="0" w:color="auto"/>
            </w:tcBorders>
          </w:tcPr>
          <w:p w14:paraId="5761F3B2"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83" w:history="1">
              <w:r w:rsidR="00A56EE9" w:rsidRPr="00E70A11">
                <w:rPr>
                  <w:rStyle w:val="Hyperlink"/>
                  <w:rFonts w:ascii="Arial Narrow" w:hAnsi="Arial Narrow"/>
                  <w:sz w:val="18"/>
                  <w:szCs w:val="18"/>
                </w:rPr>
                <w:t>Queensland Sustainable Fisheries Strategy 2017-2027</w:t>
              </w:r>
            </w:hyperlink>
          </w:p>
          <w:p w14:paraId="5761F3B3"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3B4"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3B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3BD"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B7" w14:textId="77777777" w:rsidR="00A56EE9" w:rsidRPr="00E70A11" w:rsidRDefault="00A56EE9" w:rsidP="00BB6AD5">
            <w:pPr>
              <w:pStyle w:val="Tablebulletlist"/>
              <w:rPr>
                <w:rStyle w:val="BookTitle"/>
              </w:rPr>
            </w:pPr>
            <w:r w:rsidRPr="00E70A11">
              <w:rPr>
                <w:rStyle w:val="BookTitle"/>
              </w:rPr>
              <w:t>PROCESSES</w:t>
            </w:r>
          </w:p>
        </w:tc>
        <w:tc>
          <w:tcPr>
            <w:tcW w:w="73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B8" w14:textId="77777777" w:rsidR="00A56EE9" w:rsidRPr="00E70A11" w:rsidRDefault="00A56EE9" w:rsidP="00BB6AD5">
            <w:pPr>
              <w:pStyle w:val="Tablebulletlist"/>
              <w:rPr>
                <w:rStyle w:val="BookTitle"/>
              </w:rPr>
            </w:pPr>
          </w:p>
        </w:tc>
        <w:tc>
          <w:tcPr>
            <w:tcW w:w="49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B9" w14:textId="77777777" w:rsidR="00A56EE9" w:rsidRPr="00E70A11" w:rsidRDefault="00A56EE9" w:rsidP="00BB6AD5">
            <w:pPr>
              <w:pStyle w:val="ListParagraph"/>
              <w:ind w:left="360"/>
              <w:rPr>
                <w:rStyle w:val="BookTitle"/>
                <w:rFonts w:ascii="Arial Narrow" w:hAnsi="Arial Narrow"/>
                <w:sz w:val="18"/>
                <w:szCs w:val="18"/>
              </w:rPr>
            </w:pPr>
          </w:p>
        </w:tc>
        <w:tc>
          <w:tcPr>
            <w:tcW w:w="526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BA"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BB"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3BC" w14:textId="77777777" w:rsidR="00A56EE9" w:rsidRPr="00E70A11" w:rsidRDefault="00A56EE9" w:rsidP="00BB6AD5">
            <w:pPr>
              <w:pStyle w:val="Tablebulletlist"/>
              <w:rPr>
                <w:rStyle w:val="BookTitle"/>
              </w:rPr>
            </w:pPr>
          </w:p>
        </w:tc>
      </w:tr>
      <w:tr w:rsidR="00A56EE9" w:rsidRPr="00E70A11" w14:paraId="5761F3C9"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BE"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recreational fishing</w:t>
            </w:r>
          </w:p>
        </w:tc>
        <w:tc>
          <w:tcPr>
            <w:tcW w:w="734" w:type="dxa"/>
            <w:tcBorders>
              <w:top w:val="single" w:sz="4" w:space="0" w:color="auto"/>
              <w:left w:val="single" w:sz="4" w:space="0" w:color="auto"/>
              <w:bottom w:val="single" w:sz="4" w:space="0" w:color="auto"/>
              <w:right w:val="single" w:sz="4" w:space="0" w:color="auto"/>
            </w:tcBorders>
          </w:tcPr>
          <w:p w14:paraId="5761F3BF"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C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is a lack of recreational fisher engagement at present.</w:t>
            </w:r>
          </w:p>
          <w:p w14:paraId="5761F3C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proposed investment in engagement within the Queensland Sustainable Fishing Strategy is designed to address this.</w:t>
            </w:r>
          </w:p>
          <w:p w14:paraId="5761F3C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Queensland maintains a range of active social media channels, including 35,000 facebook followers. This network allows them to communicate and keep stakeholders up to date with management</w:t>
            </w:r>
          </w:p>
          <w:p w14:paraId="5761F3C3" w14:textId="77777777" w:rsidR="00A56EE9" w:rsidRPr="00FF373B"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Green paper on fisheries management reform in Queensland (2016) included public consultation processes. A total of 11,800 responses were received and 230 people attended face to face meetings with Fisheries Queensland (126 meetings).</w:t>
            </w:r>
            <w:r>
              <w:rPr>
                <w:rFonts w:ascii="Arial Narrow" w:hAnsi="Arial Narrow"/>
                <w:sz w:val="18"/>
                <w:szCs w:val="18"/>
              </w:rPr>
              <w:t xml:space="preserve"> </w:t>
            </w:r>
            <w:r w:rsidRPr="00FF373B">
              <w:rPr>
                <w:rFonts w:ascii="Arial Narrow" w:hAnsi="Arial Narrow"/>
                <w:sz w:val="18"/>
                <w:szCs w:val="18"/>
              </w:rPr>
              <w:t xml:space="preserve">. </w:t>
            </w:r>
          </w:p>
        </w:tc>
        <w:tc>
          <w:tcPr>
            <w:tcW w:w="5260" w:type="dxa"/>
            <w:tcBorders>
              <w:top w:val="single" w:sz="4" w:space="0" w:color="auto"/>
              <w:left w:val="single" w:sz="4" w:space="0" w:color="auto"/>
              <w:bottom w:val="single" w:sz="4" w:space="0" w:color="auto"/>
              <w:right w:val="single" w:sz="4" w:space="0" w:color="auto"/>
            </w:tcBorders>
          </w:tcPr>
          <w:p w14:paraId="5761F3C4"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84" w:history="1">
              <w:r w:rsidR="00A56EE9" w:rsidRPr="00E70A11">
                <w:rPr>
                  <w:rStyle w:val="Hyperlink"/>
                  <w:rFonts w:ascii="Arial Narrow" w:hAnsi="Arial Narrow"/>
                  <w:sz w:val="18"/>
                  <w:szCs w:val="18"/>
                </w:rPr>
                <w:t>Queensland Sustainable Fisheries Strategy 2017-2027</w:t>
              </w:r>
            </w:hyperlink>
          </w:p>
          <w:p w14:paraId="5761F3C5"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885" w:history="1">
              <w:r w:rsidR="00A56EE9" w:rsidRPr="00E70A11">
                <w:rPr>
                  <w:rStyle w:val="Hyperlink"/>
                  <w:rFonts w:ascii="Arial Narrow" w:hAnsi="Arial Narrow"/>
                  <w:sz w:val="18"/>
                  <w:szCs w:val="18"/>
                </w:rPr>
                <w:t>Green paper on fisheries management reform in Queensland</w:t>
              </w:r>
            </w:hyperlink>
          </w:p>
          <w:p w14:paraId="5761F3C6"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3C7"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3C8" w14:textId="77777777" w:rsidR="00A56EE9" w:rsidRPr="00E70A11" w:rsidRDefault="00A56EE9" w:rsidP="00BB6AD5">
            <w:pPr>
              <w:pStyle w:val="Tablebulletlist"/>
              <w:rPr>
                <w:rStyle w:val="BookTitle"/>
              </w:rPr>
            </w:pPr>
            <w:r w:rsidRPr="00E70A11">
              <w:rPr>
                <w:rStyle w:val="BookTitle"/>
              </w:rPr>
              <w:t>Deteriorating</w:t>
            </w:r>
          </w:p>
        </w:tc>
      </w:tr>
      <w:tr w:rsidR="00A56EE9" w:rsidRPr="00E70A11" w14:paraId="5761F3D3"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CA"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recreational fishing</w:t>
            </w:r>
          </w:p>
        </w:tc>
        <w:tc>
          <w:tcPr>
            <w:tcW w:w="734" w:type="dxa"/>
            <w:tcBorders>
              <w:top w:val="single" w:sz="4" w:space="0" w:color="auto"/>
              <w:left w:val="single" w:sz="4" w:space="0" w:color="auto"/>
              <w:bottom w:val="single" w:sz="4" w:space="0" w:color="auto"/>
              <w:right w:val="single" w:sz="4" w:space="0" w:color="auto"/>
            </w:tcBorders>
          </w:tcPr>
          <w:p w14:paraId="5761F3CB"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C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local community has been involved in the development of the Queensland Fisheries Strategy.</w:t>
            </w:r>
          </w:p>
          <w:p w14:paraId="5761F3C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There are fishery independent avenues developing for discussion around recreational fishing primarily facilitated by Infofish. </w:t>
            </w:r>
          </w:p>
          <w:p w14:paraId="5761F3CE" w14:textId="77777777" w:rsidR="00A56EE9" w:rsidRPr="00732FFE"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Two fisheries forums were held in 2016 Mackay and 2017 Rockhampton associated with the development of the Rockhampton recreational fishing strategy by the Rockhampton Regional council and an equivalent recreational fishing strategy being developed by Mackay Council. These strategies, encouraging responsible and sustainable regional fishing associated tourism opportunity development have been developed as a response to the 1 November 2015 creation of adjacent net free zones by the Queensland </w:t>
            </w:r>
            <w:r w:rsidRPr="00732FFE">
              <w:rPr>
                <w:rFonts w:ascii="Arial Narrow" w:hAnsi="Arial Narrow"/>
                <w:sz w:val="18"/>
                <w:szCs w:val="18"/>
              </w:rPr>
              <w:t>Government.</w:t>
            </w:r>
            <w:r>
              <w:rPr>
                <w:rFonts w:ascii="Arial Narrow" w:hAnsi="Arial Narrow"/>
                <w:sz w:val="18"/>
                <w:szCs w:val="18"/>
              </w:rPr>
              <w:t xml:space="preserve"> </w:t>
            </w:r>
            <w:r w:rsidRPr="00732FFE">
              <w:rPr>
                <w:rFonts w:ascii="Arial Narrow" w:hAnsi="Arial Narrow"/>
                <w:sz w:val="18"/>
                <w:szCs w:val="18"/>
              </w:rPr>
              <w:t>GBRMPA has had consistent input to the development of these strategies.</w:t>
            </w:r>
          </w:p>
          <w:p w14:paraId="5761F3CF" w14:textId="77777777" w:rsidR="00A56EE9" w:rsidRPr="00A36617" w:rsidRDefault="00A56EE9" w:rsidP="00A11869">
            <w:pPr>
              <w:pStyle w:val="ListParagraph"/>
              <w:numPr>
                <w:ilvl w:val="0"/>
                <w:numId w:val="24"/>
              </w:numPr>
              <w:spacing w:after="200" w:line="276" w:lineRule="auto"/>
              <w:rPr>
                <w:rStyle w:val="BookTitle"/>
                <w:rFonts w:ascii="Arial Narrow" w:hAnsi="Arial Narrow"/>
                <w:sz w:val="18"/>
                <w:szCs w:val="18"/>
              </w:rPr>
            </w:pPr>
            <w:r w:rsidRPr="00EE459B">
              <w:rPr>
                <w:rStyle w:val="BookTitle"/>
                <w:rFonts w:ascii="Arial Narrow" w:hAnsi="Arial Narrow"/>
                <w:sz w:val="18"/>
                <w:szCs w:val="18"/>
              </w:rPr>
              <w:t>As above as well</w:t>
            </w:r>
            <w:r w:rsidRPr="00732FFE">
              <w:rPr>
                <w:rStyle w:val="BookTitle"/>
                <w:rFonts w:ascii="Arial Narrow" w:hAnsi="Arial Narrow"/>
                <w:sz w:val="18"/>
                <w:szCs w:val="18"/>
              </w:rPr>
              <w:t xml:space="preserve"> </w:t>
            </w:r>
            <w:r w:rsidRPr="00EE459B">
              <w:rPr>
                <w:rStyle w:val="BookTitle"/>
                <w:rFonts w:ascii="Arial Narrow" w:hAnsi="Arial Narrow"/>
                <w:sz w:val="18"/>
                <w:szCs w:val="18"/>
              </w:rPr>
              <w:t>re social media, regional engagement etc</w:t>
            </w:r>
          </w:p>
        </w:tc>
        <w:tc>
          <w:tcPr>
            <w:tcW w:w="5260" w:type="dxa"/>
            <w:tcBorders>
              <w:top w:val="single" w:sz="4" w:space="0" w:color="auto"/>
              <w:left w:val="single" w:sz="4" w:space="0" w:color="auto"/>
              <w:bottom w:val="single" w:sz="4" w:space="0" w:color="auto"/>
              <w:right w:val="single" w:sz="4" w:space="0" w:color="auto"/>
            </w:tcBorders>
          </w:tcPr>
          <w:p w14:paraId="5761F3D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Rockhampton Recreational Fishing Strategy</w:t>
            </w:r>
          </w:p>
        </w:tc>
        <w:tc>
          <w:tcPr>
            <w:tcW w:w="1324" w:type="dxa"/>
            <w:tcBorders>
              <w:top w:val="single" w:sz="4" w:space="0" w:color="auto"/>
              <w:left w:val="single" w:sz="4" w:space="0" w:color="auto"/>
              <w:bottom w:val="single" w:sz="4" w:space="0" w:color="auto"/>
              <w:right w:val="single" w:sz="4" w:space="0" w:color="auto"/>
            </w:tcBorders>
          </w:tcPr>
          <w:p w14:paraId="5761F3D1"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3D2"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F3E0"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D4"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There is a sound governance system in place to address recreational fishing</w:t>
            </w:r>
          </w:p>
        </w:tc>
        <w:tc>
          <w:tcPr>
            <w:tcW w:w="734" w:type="dxa"/>
            <w:tcBorders>
              <w:top w:val="single" w:sz="4" w:space="0" w:color="auto"/>
              <w:left w:val="single" w:sz="4" w:space="0" w:color="auto"/>
              <w:bottom w:val="single" w:sz="4" w:space="0" w:color="auto"/>
              <w:right w:val="single" w:sz="4" w:space="0" w:color="auto"/>
            </w:tcBorders>
          </w:tcPr>
          <w:p w14:paraId="5761F3D5"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D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GBRMP Act, Regulations, Zoning Plan are in place to manage some aspects of the recreational fisheries from an ecosystem perspective</w:t>
            </w:r>
          </w:p>
          <w:p w14:paraId="5761F3D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w:t>
            </w:r>
            <w:r w:rsidRPr="00E70A11">
              <w:rPr>
                <w:rFonts w:ascii="Arial Narrow" w:hAnsi="Arial Narrow"/>
                <w:i/>
                <w:sz w:val="18"/>
                <w:szCs w:val="18"/>
              </w:rPr>
              <w:t>Fisheries Act 1994</w:t>
            </w:r>
            <w:r w:rsidRPr="00E70A11">
              <w:rPr>
                <w:rFonts w:ascii="Arial Narrow" w:hAnsi="Arial Narrow"/>
                <w:sz w:val="18"/>
                <w:szCs w:val="18"/>
              </w:rPr>
              <w:t xml:space="preserve"> and subordinate legislation is in place to govern sustainable harvest and ensure the principles of Ecologically Sustainable Development (ESD) are upheld.</w:t>
            </w:r>
          </w:p>
          <w:p w14:paraId="5761F3D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Queensland Sustainable Fisheries Strategy 2017-2027 has a goal of modernising fisheries management in Queensland and it sets out the Government’s reform agenda for the next 10 years</w:t>
            </w:r>
          </w:p>
          <w:p w14:paraId="5761F3D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 fisheries annex to the Great Barrier Reef Intergovernmental Agreement between the Queensland Government and the Australian Government sets out the roles and responsibilities of each agency.</w:t>
            </w:r>
          </w:p>
        </w:tc>
        <w:tc>
          <w:tcPr>
            <w:tcW w:w="5260" w:type="dxa"/>
            <w:tcBorders>
              <w:top w:val="single" w:sz="4" w:space="0" w:color="auto"/>
              <w:left w:val="single" w:sz="4" w:space="0" w:color="auto"/>
              <w:bottom w:val="single" w:sz="4" w:space="0" w:color="auto"/>
              <w:right w:val="single" w:sz="4" w:space="0" w:color="auto"/>
            </w:tcBorders>
          </w:tcPr>
          <w:p w14:paraId="5761F3D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86" w:history="1">
              <w:r w:rsidR="00A56EE9" w:rsidRPr="00E70A11">
                <w:rPr>
                  <w:rStyle w:val="Hyperlink"/>
                  <w:rFonts w:ascii="Arial Narrow" w:hAnsi="Arial Narrow"/>
                  <w:sz w:val="18"/>
                  <w:szCs w:val="18"/>
                </w:rPr>
                <w:t>Fisheries Legislation</w:t>
              </w:r>
            </w:hyperlink>
          </w:p>
          <w:p w14:paraId="5761F3DB"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87" w:history="1">
              <w:r w:rsidR="00A56EE9" w:rsidRPr="00E70A11">
                <w:rPr>
                  <w:rStyle w:val="Hyperlink"/>
                  <w:rFonts w:ascii="Arial Narrow" w:hAnsi="Arial Narrow"/>
                  <w:sz w:val="18"/>
                  <w:szCs w:val="18"/>
                </w:rPr>
                <w:t>GBRMPA website on Zoning:</w:t>
              </w:r>
            </w:hyperlink>
          </w:p>
          <w:p w14:paraId="5761F3DC" w14:textId="77777777" w:rsidR="00A56EE9" w:rsidRPr="00E70A11" w:rsidRDefault="00A56EE9" w:rsidP="00BB6AD5">
            <w:pPr>
              <w:pStyle w:val="ListParagraph"/>
              <w:ind w:left="360"/>
              <w:rPr>
                <w:rFonts w:ascii="Arial Narrow" w:hAnsi="Arial Narrow"/>
                <w:sz w:val="18"/>
                <w:szCs w:val="18"/>
              </w:rPr>
            </w:pPr>
            <w:r w:rsidRPr="00E70A11">
              <w:rPr>
                <w:rFonts w:ascii="Arial Narrow" w:hAnsi="Arial Narrow"/>
                <w:sz w:val="18"/>
                <w:szCs w:val="18"/>
              </w:rPr>
              <w:t xml:space="preserve"> Fisheries Annex to the Great Barrier Reef intergovernmental agreement between the Queensland Government and the Australian Government.</w:t>
            </w:r>
          </w:p>
          <w:p w14:paraId="5761F3DD"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3DE"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D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3EC"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E1"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recreational fishing</w:t>
            </w:r>
          </w:p>
        </w:tc>
        <w:tc>
          <w:tcPr>
            <w:tcW w:w="734" w:type="dxa"/>
            <w:tcBorders>
              <w:top w:val="single" w:sz="4" w:space="0" w:color="auto"/>
              <w:left w:val="single" w:sz="4" w:space="0" w:color="auto"/>
              <w:bottom w:val="single" w:sz="4" w:space="0" w:color="auto"/>
              <w:right w:val="single" w:sz="4" w:space="0" w:color="auto"/>
            </w:tcBorders>
          </w:tcPr>
          <w:p w14:paraId="5761F3E2"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E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While there are deficiencies, the management agencies work closely with research and monitoring providers to monitor the performance outcomes from the Zoning Plan 2003 and fisheries management arrangements. </w:t>
            </w:r>
          </w:p>
          <w:p w14:paraId="5761F3E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Long-Term Monitoring and survey data are used in conjunction with commercial data and research to regularly assess the impacts of fishing on target stocks. </w:t>
            </w:r>
          </w:p>
          <w:p w14:paraId="5761F3E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 addition, compliance with the zoning plan and fisheries management rules (zone infringements, possession limits etc) is used as another source of information to measure recreational fishing effort, impact and related trends</w:t>
            </w:r>
          </w:p>
          <w:p w14:paraId="5761F3E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has been an increase in boat ramp surveys in 16/17 plus the now agreed (October 2017) incorporation and integration of Infofish data, and data collection methods including ‘track my fish’ app.</w:t>
            </w:r>
          </w:p>
          <w:p w14:paraId="5761F3E7" w14:textId="77777777" w:rsidR="00A56EE9" w:rsidRPr="00A36617"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It is anticipated that performance monitoring will improve significantly with the implementation of the QSFS. </w:t>
            </w:r>
            <w:r w:rsidRPr="00E70A11">
              <w:rPr>
                <w:rFonts w:ascii="Arial Narrow" w:hAnsi="Arial Narrow"/>
                <w:sz w:val="18"/>
                <w:szCs w:val="18"/>
              </w:rPr>
              <w:t>It is proposed that Fishery Harvest Strategies being developed will include specific fisheries management objectives, decision rules, monitoring and appropriate management responses. It is anticipated that performance monitoring will improve significantly with the implementation of the QSFS. It is proposed that Fishery Harvest Strategies being developed will include specific fisheries management objectives, decision rules, monitoring and appropriate management responses.</w:t>
            </w:r>
          </w:p>
        </w:tc>
        <w:tc>
          <w:tcPr>
            <w:tcW w:w="5260" w:type="dxa"/>
            <w:tcBorders>
              <w:top w:val="single" w:sz="4" w:space="0" w:color="auto"/>
              <w:left w:val="single" w:sz="4" w:space="0" w:color="auto"/>
              <w:bottom w:val="single" w:sz="4" w:space="0" w:color="auto"/>
              <w:right w:val="single" w:sz="4" w:space="0" w:color="auto"/>
            </w:tcBorders>
          </w:tcPr>
          <w:p w14:paraId="5761F3E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88" w:history="1">
              <w:r w:rsidR="00A56EE9" w:rsidRPr="00E70A11">
                <w:rPr>
                  <w:rStyle w:val="Hyperlink"/>
                  <w:rFonts w:ascii="Arial Narrow" w:hAnsi="Arial Narrow"/>
                  <w:sz w:val="18"/>
                  <w:szCs w:val="18"/>
                </w:rPr>
                <w:t>Dept Agriculture and Fisheries Annual Report</w:t>
              </w:r>
            </w:hyperlink>
            <w:r w:rsidR="00A56EE9" w:rsidRPr="00E70A11">
              <w:rPr>
                <w:rFonts w:ascii="Arial Narrow" w:hAnsi="Arial Narrow"/>
                <w:sz w:val="18"/>
                <w:szCs w:val="18"/>
              </w:rPr>
              <w:t xml:space="preserve"> 2016-17</w:t>
            </w:r>
          </w:p>
          <w:p w14:paraId="5761F3E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Queensland Fisheries Strategy</w:t>
            </w:r>
          </w:p>
        </w:tc>
        <w:tc>
          <w:tcPr>
            <w:tcW w:w="1324" w:type="dxa"/>
            <w:tcBorders>
              <w:top w:val="single" w:sz="4" w:space="0" w:color="auto"/>
              <w:left w:val="single" w:sz="4" w:space="0" w:color="auto"/>
              <w:bottom w:val="single" w:sz="4" w:space="0" w:color="auto"/>
              <w:right w:val="single" w:sz="4" w:space="0" w:color="auto"/>
            </w:tcBorders>
          </w:tcPr>
          <w:p w14:paraId="5761F3EA"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3E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3F7"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ED"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recreational fishing</w:t>
            </w:r>
          </w:p>
        </w:tc>
        <w:tc>
          <w:tcPr>
            <w:tcW w:w="734" w:type="dxa"/>
            <w:tcBorders>
              <w:top w:val="single" w:sz="4" w:space="0" w:color="auto"/>
              <w:left w:val="single" w:sz="4" w:space="0" w:color="auto"/>
              <w:bottom w:val="single" w:sz="4" w:space="0" w:color="auto"/>
              <w:right w:val="single" w:sz="4" w:space="0" w:color="auto"/>
            </w:tcBorders>
          </w:tcPr>
          <w:p w14:paraId="5761F3EE"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E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Queensland, within the broader QDAF portfolio, has a staff capability and training program which ensure appropriate training is available to fishery managers.</w:t>
            </w:r>
          </w:p>
          <w:p w14:paraId="5761F3F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sustainable fisheries group managers are recruited on the basis that they have satisfactory fisheries management technical expertise.</w:t>
            </w:r>
            <w:r>
              <w:rPr>
                <w:rFonts w:ascii="Arial Narrow" w:hAnsi="Arial Narrow"/>
                <w:sz w:val="18"/>
                <w:szCs w:val="18"/>
              </w:rPr>
              <w:t xml:space="preserve"> </w:t>
            </w:r>
          </w:p>
          <w:p w14:paraId="5761F3F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Participation in fishing and fisheries management workshops / conferences are available to managers.</w:t>
            </w:r>
          </w:p>
        </w:tc>
        <w:tc>
          <w:tcPr>
            <w:tcW w:w="5260" w:type="dxa"/>
            <w:tcBorders>
              <w:top w:val="single" w:sz="4" w:space="0" w:color="auto"/>
              <w:left w:val="single" w:sz="4" w:space="0" w:color="auto"/>
              <w:bottom w:val="single" w:sz="4" w:space="0" w:color="auto"/>
              <w:right w:val="single" w:sz="4" w:space="0" w:color="auto"/>
            </w:tcBorders>
          </w:tcPr>
          <w:p w14:paraId="5761F3F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Department of Agriculture, Fisheries and Forestry</w:t>
            </w:r>
          </w:p>
          <w:p w14:paraId="5761F3F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Great Barrier Reef Marine Park Authority</w:t>
            </w:r>
          </w:p>
          <w:p w14:paraId="5761F3F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Australian Fisheries Management Forum and subcommittees</w:t>
            </w:r>
          </w:p>
        </w:tc>
        <w:tc>
          <w:tcPr>
            <w:tcW w:w="1324" w:type="dxa"/>
            <w:tcBorders>
              <w:top w:val="single" w:sz="4" w:space="0" w:color="auto"/>
              <w:left w:val="single" w:sz="4" w:space="0" w:color="auto"/>
              <w:bottom w:val="single" w:sz="4" w:space="0" w:color="auto"/>
              <w:right w:val="single" w:sz="4" w:space="0" w:color="auto"/>
            </w:tcBorders>
          </w:tcPr>
          <w:p w14:paraId="5761F3F5"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3F6"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03"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3F8"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recreational fishing is consistently implemented across the relevant jurisdictions</w:t>
            </w:r>
          </w:p>
        </w:tc>
        <w:tc>
          <w:tcPr>
            <w:tcW w:w="734" w:type="dxa"/>
            <w:tcBorders>
              <w:top w:val="single" w:sz="4" w:space="0" w:color="auto"/>
              <w:left w:val="single" w:sz="4" w:space="0" w:color="auto"/>
              <w:bottom w:val="single" w:sz="4" w:space="0" w:color="auto"/>
              <w:right w:val="single" w:sz="4" w:space="0" w:color="auto"/>
            </w:tcBorders>
          </w:tcPr>
          <w:p w14:paraId="5761F3F9"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3F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are inconsistencies in the management arrangements for recreational fishing in Marine Parks and Fisheries Management.</w:t>
            </w:r>
            <w:r>
              <w:rPr>
                <w:rFonts w:ascii="Arial Narrow" w:hAnsi="Arial Narrow"/>
                <w:sz w:val="18"/>
                <w:szCs w:val="18"/>
              </w:rPr>
              <w:t xml:space="preserve"> </w:t>
            </w:r>
            <w:r w:rsidRPr="00E70A11">
              <w:rPr>
                <w:rFonts w:ascii="Arial Narrow" w:hAnsi="Arial Narrow"/>
                <w:sz w:val="18"/>
                <w:szCs w:val="18"/>
              </w:rPr>
              <w:t>For example, some areas closed to fishing under one regulation may be open in another, the apparatus able to be used in one regulation may be different from another.</w:t>
            </w:r>
          </w:p>
          <w:p w14:paraId="5761F3F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Multi-agency cross decking on compliance vessels patrols enables multiple pieces of legislation to beenforced at once.</w:t>
            </w:r>
          </w:p>
          <w:p w14:paraId="5761F3FC" w14:textId="77777777" w:rsidR="00A56EE9" w:rsidRPr="00A36617"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60% biomass target for fisheries resources by 2027 under the SFS is consistent with GBR Marine Park biodiversity conservation and ecosystem resilience goals.</w:t>
            </w:r>
          </w:p>
        </w:tc>
        <w:tc>
          <w:tcPr>
            <w:tcW w:w="5260" w:type="dxa"/>
            <w:tcBorders>
              <w:top w:val="single" w:sz="4" w:space="0" w:color="auto"/>
              <w:left w:val="single" w:sz="4" w:space="0" w:color="auto"/>
              <w:bottom w:val="single" w:sz="4" w:space="0" w:color="auto"/>
              <w:right w:val="single" w:sz="4" w:space="0" w:color="auto"/>
            </w:tcBorders>
          </w:tcPr>
          <w:p w14:paraId="5761F3F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Department of Agriculture, Fisheries and Forestry</w:t>
            </w:r>
          </w:p>
          <w:p w14:paraId="5761F3F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Great Barrier Reef Marine Park Authority</w:t>
            </w:r>
          </w:p>
          <w:p w14:paraId="5761F3F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Plan</w:t>
            </w:r>
          </w:p>
          <w:p w14:paraId="5761F400"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401"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40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410"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04"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recreational fishing</w:t>
            </w:r>
          </w:p>
        </w:tc>
        <w:tc>
          <w:tcPr>
            <w:tcW w:w="734" w:type="dxa"/>
            <w:tcBorders>
              <w:top w:val="single" w:sz="4" w:space="0" w:color="auto"/>
              <w:left w:val="single" w:sz="4" w:space="0" w:color="auto"/>
              <w:bottom w:val="single" w:sz="4" w:space="0" w:color="auto"/>
              <w:right w:val="single" w:sz="4" w:space="0" w:color="auto"/>
            </w:tcBorders>
          </w:tcPr>
          <w:p w14:paraId="5761F405"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0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Good relationships exist between </w:t>
            </w:r>
            <w:r>
              <w:rPr>
                <w:rFonts w:ascii="Arial Narrow" w:hAnsi="Arial Narrow"/>
                <w:sz w:val="18"/>
                <w:szCs w:val="18"/>
              </w:rPr>
              <w:t>staff</w:t>
            </w:r>
            <w:r w:rsidRPr="00E70A11">
              <w:rPr>
                <w:rFonts w:ascii="Arial Narrow" w:hAnsi="Arial Narrow"/>
                <w:sz w:val="18"/>
                <w:szCs w:val="18"/>
              </w:rPr>
              <w:t xml:space="preserve"> at agency level.</w:t>
            </w:r>
          </w:p>
          <w:p w14:paraId="5761F40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Statutory consultation processes identify issues and views which are considered by responsible Governments before a decision is made.</w:t>
            </w:r>
            <w:r>
              <w:rPr>
                <w:rFonts w:ascii="Arial Narrow" w:hAnsi="Arial Narrow"/>
                <w:sz w:val="18"/>
                <w:szCs w:val="18"/>
              </w:rPr>
              <w:t xml:space="preserve"> </w:t>
            </w:r>
          </w:p>
          <w:p w14:paraId="5761F40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Regional Liaison Officers and Queensland Boating and Fisheries Patrol staff are on the ground to ensure issues and conflicts are identified early so they can be discussed and resolved.</w:t>
            </w:r>
          </w:p>
          <w:p w14:paraId="5761F40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fifth major reform area of the QSFS is fisheries resource allocation.</w:t>
            </w:r>
            <w:r>
              <w:rPr>
                <w:rStyle w:val="BookTitle"/>
                <w:rFonts w:ascii="Arial Narrow" w:hAnsi="Arial Narrow"/>
                <w:sz w:val="18"/>
                <w:szCs w:val="18"/>
              </w:rPr>
              <w:t xml:space="preserve"> </w:t>
            </w:r>
            <w:r w:rsidRPr="00E70A11">
              <w:rPr>
                <w:rStyle w:val="BookTitle"/>
                <w:rFonts w:ascii="Arial Narrow" w:hAnsi="Arial Narrow"/>
                <w:sz w:val="18"/>
                <w:szCs w:val="18"/>
              </w:rPr>
              <w:t>It aims to reduce frequency of conflicts and provide guidance to help resolve them.</w:t>
            </w:r>
          </w:p>
        </w:tc>
        <w:tc>
          <w:tcPr>
            <w:tcW w:w="5260" w:type="dxa"/>
            <w:tcBorders>
              <w:top w:val="single" w:sz="4" w:space="0" w:color="auto"/>
              <w:left w:val="single" w:sz="4" w:space="0" w:color="auto"/>
              <w:bottom w:val="single" w:sz="4" w:space="0" w:color="auto"/>
              <w:right w:val="single" w:sz="4" w:space="0" w:color="auto"/>
            </w:tcBorders>
          </w:tcPr>
          <w:p w14:paraId="5761F40A" w14:textId="56833EF5"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89" w:tooltip="document link" w:history="1">
              <w:r w:rsidR="00A56EE9" w:rsidRPr="00E70A11">
                <w:rPr>
                  <w:rStyle w:val="Hyperlink"/>
                  <w:rFonts w:ascii="Arial Narrow" w:hAnsi="Arial Narrow"/>
                  <w:sz w:val="18"/>
                  <w:szCs w:val="18"/>
                </w:rPr>
                <w:t>http://www.gbrmpa.gov.au/zoning-permits-and-plans/plans-of-management</w:t>
              </w:r>
            </w:hyperlink>
          </w:p>
          <w:p w14:paraId="5761F40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Department of Agriculture, Fisheries and Forestry</w:t>
            </w:r>
          </w:p>
          <w:p w14:paraId="5761F40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Great Barrier Reef Marine Park Authority</w:t>
            </w:r>
          </w:p>
          <w:p w14:paraId="5761F40D"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40E"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40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1A"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11"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recreational fishing are appropriately considered.</w:t>
            </w:r>
          </w:p>
        </w:tc>
        <w:tc>
          <w:tcPr>
            <w:tcW w:w="734" w:type="dxa"/>
            <w:tcBorders>
              <w:top w:val="single" w:sz="4" w:space="0" w:color="auto"/>
              <w:left w:val="single" w:sz="4" w:space="0" w:color="auto"/>
              <w:bottom w:val="single" w:sz="4" w:space="0" w:color="auto"/>
              <w:right w:val="single" w:sz="4" w:space="0" w:color="auto"/>
            </w:tcBorders>
          </w:tcPr>
          <w:p w14:paraId="5761F412"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1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Impacts (direct, indirect and cumulative) of activities associated with recreational fishing have not been comprehensively assessed.</w:t>
            </w:r>
          </w:p>
          <w:p w14:paraId="5761F41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implementation of ERAs under the QSFS could provide adequate information on recreational fishing impacts so they may be appropriately considered.</w:t>
            </w:r>
          </w:p>
        </w:tc>
        <w:tc>
          <w:tcPr>
            <w:tcW w:w="5260" w:type="dxa"/>
            <w:tcBorders>
              <w:top w:val="single" w:sz="4" w:space="0" w:color="auto"/>
              <w:left w:val="single" w:sz="4" w:space="0" w:color="auto"/>
              <w:bottom w:val="single" w:sz="4" w:space="0" w:color="auto"/>
              <w:right w:val="single" w:sz="4" w:space="0" w:color="auto"/>
            </w:tcBorders>
          </w:tcPr>
          <w:p w14:paraId="5761F41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i/>
                <w:sz w:val="18"/>
                <w:szCs w:val="18"/>
              </w:rPr>
              <w:t>Fisheries Act 1994</w:t>
            </w:r>
            <w:r w:rsidRPr="00E70A11">
              <w:rPr>
                <w:rFonts w:ascii="Arial Narrow" w:hAnsi="Arial Narrow"/>
                <w:sz w:val="18"/>
                <w:szCs w:val="18"/>
              </w:rPr>
              <w:t xml:space="preserve"> (Qld) and subordinate legislation</w:t>
            </w:r>
          </w:p>
          <w:p w14:paraId="5761F41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Department of Agriculture, Fisheries and Forestry</w:t>
            </w:r>
          </w:p>
          <w:p w14:paraId="5761F41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Great Barrier Reef Marine Park Authority</w:t>
            </w:r>
          </w:p>
        </w:tc>
        <w:tc>
          <w:tcPr>
            <w:tcW w:w="1324" w:type="dxa"/>
            <w:tcBorders>
              <w:top w:val="single" w:sz="4" w:space="0" w:color="auto"/>
              <w:left w:val="single" w:sz="4" w:space="0" w:color="auto"/>
              <w:bottom w:val="single" w:sz="4" w:space="0" w:color="auto"/>
              <w:right w:val="single" w:sz="4" w:space="0" w:color="auto"/>
            </w:tcBorders>
          </w:tcPr>
          <w:p w14:paraId="5761F418" w14:textId="77777777" w:rsidR="00A56EE9" w:rsidRPr="00E70A11" w:rsidRDefault="00A56EE9" w:rsidP="00BB6AD5">
            <w:pPr>
              <w:pStyle w:val="Tablebulletlist"/>
              <w:rPr>
                <w:rStyle w:val="BookTitle"/>
              </w:rPr>
            </w:pPr>
            <w:r w:rsidRPr="00E70A11">
              <w:rPr>
                <w:rStyle w:val="BookTitle"/>
              </w:rPr>
              <w:t xml:space="preserve">Limited </w:t>
            </w:r>
          </w:p>
        </w:tc>
        <w:tc>
          <w:tcPr>
            <w:tcW w:w="1061" w:type="dxa"/>
            <w:tcBorders>
              <w:top w:val="single" w:sz="4" w:space="0" w:color="auto"/>
              <w:left w:val="single" w:sz="4" w:space="0" w:color="auto"/>
              <w:bottom w:val="single" w:sz="4" w:space="0" w:color="auto"/>
              <w:right w:val="single" w:sz="4" w:space="0" w:color="auto"/>
            </w:tcBorders>
          </w:tcPr>
          <w:p w14:paraId="5761F41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27"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1B"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recreational fishing</w:t>
            </w:r>
          </w:p>
        </w:tc>
        <w:tc>
          <w:tcPr>
            <w:tcW w:w="734" w:type="dxa"/>
            <w:tcBorders>
              <w:top w:val="single" w:sz="4" w:space="0" w:color="auto"/>
              <w:left w:val="single" w:sz="4" w:space="0" w:color="auto"/>
              <w:bottom w:val="single" w:sz="4" w:space="0" w:color="auto"/>
              <w:right w:val="single" w:sz="4" w:space="0" w:color="auto"/>
            </w:tcBorders>
          </w:tcPr>
          <w:p w14:paraId="5761F41C"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1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Best available information is used to undertake stock assessments and/or make stock status determinations (not GBR specific, whole stock or management unit).</w:t>
            </w:r>
          </w:p>
          <w:p w14:paraId="5761F41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Qualitative ecological risk assessments (ERAs) have been completed for Coral Reef Fin Fish Fishery which includes a large recreational component.</w:t>
            </w:r>
          </w:p>
          <w:p w14:paraId="5761F41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u w:val="single"/>
              </w:rPr>
            </w:pPr>
            <w:r w:rsidRPr="00E70A11">
              <w:rPr>
                <w:rFonts w:ascii="Arial Narrow" w:hAnsi="Arial Narrow"/>
                <w:sz w:val="18"/>
                <w:szCs w:val="18"/>
              </w:rPr>
              <w:t xml:space="preserve">The development of Fishery Harvest Strategies under the QSES should enable the use of biophysical research and/or monitoring information to make relevant management decisions. </w:t>
            </w:r>
          </w:p>
        </w:tc>
        <w:tc>
          <w:tcPr>
            <w:tcW w:w="5260" w:type="dxa"/>
            <w:tcBorders>
              <w:top w:val="single" w:sz="4" w:space="0" w:color="auto"/>
              <w:left w:val="single" w:sz="4" w:space="0" w:color="auto"/>
              <w:bottom w:val="single" w:sz="4" w:space="0" w:color="auto"/>
              <w:right w:val="single" w:sz="4" w:space="0" w:color="auto"/>
            </w:tcBorders>
          </w:tcPr>
          <w:p w14:paraId="5761F420" w14:textId="44CAC22A"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Fonts w:ascii="Arial Narrow" w:hAnsi="Arial Narrow"/>
                <w:sz w:val="18"/>
                <w:szCs w:val="18"/>
              </w:rPr>
              <w:t xml:space="preserve">Vulnerability Assessments - More information at: </w:t>
            </w:r>
            <w:hyperlink r:id="rId890" w:tooltip="document link" w:history="1">
              <w:r w:rsidRPr="00E70A11">
                <w:rPr>
                  <w:rStyle w:val="Hyperlink"/>
                  <w:rFonts w:ascii="Arial Narrow" w:hAnsi="Arial Narrow"/>
                  <w:sz w:val="18"/>
                  <w:szCs w:val="18"/>
                </w:rPr>
                <w:t>http://www.gbrmpa.gov.au/about-the-reef/biodiversity/biodiversity-conservation-strategy-for-public-consultation/vulnerability-assessments</w:t>
              </w:r>
            </w:hyperlink>
          </w:p>
          <w:p w14:paraId="5761F421"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91" w:history="1">
              <w:r w:rsidR="00A56EE9" w:rsidRPr="00E70A11">
                <w:rPr>
                  <w:rStyle w:val="Hyperlink"/>
                  <w:rFonts w:ascii="Arial Narrow" w:hAnsi="Arial Narrow"/>
                  <w:sz w:val="18"/>
                  <w:szCs w:val="18"/>
                </w:rPr>
                <w:t>Summary of Stock Status for Queensland Species 2016</w:t>
              </w:r>
            </w:hyperlink>
          </w:p>
          <w:p w14:paraId="5761F42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92" w:history="1">
              <w:r w:rsidR="00A56EE9" w:rsidRPr="00E70A11">
                <w:rPr>
                  <w:rStyle w:val="Hyperlink"/>
                  <w:rFonts w:ascii="Arial Narrow" w:hAnsi="Arial Narrow"/>
                  <w:sz w:val="18"/>
                  <w:szCs w:val="18"/>
                </w:rPr>
                <w:t>QDAF fish stock assessment reports</w:t>
              </w:r>
            </w:hyperlink>
          </w:p>
          <w:p w14:paraId="5761F423"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893" w:history="1">
              <w:r w:rsidR="00A56EE9" w:rsidRPr="00E70A11">
                <w:rPr>
                  <w:rStyle w:val="Hyperlink"/>
                  <w:rFonts w:ascii="Arial Narrow" w:hAnsi="Arial Narrow"/>
                  <w:sz w:val="18"/>
                  <w:szCs w:val="18"/>
                </w:rPr>
                <w:t>QDAF Ecological risk assessments</w:t>
              </w:r>
            </w:hyperlink>
          </w:p>
          <w:p w14:paraId="5761F42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Queensland Department of Agriculture, Fisheries and Forestry</w:t>
            </w:r>
          </w:p>
        </w:tc>
        <w:tc>
          <w:tcPr>
            <w:tcW w:w="1324" w:type="dxa"/>
            <w:tcBorders>
              <w:top w:val="single" w:sz="4" w:space="0" w:color="auto"/>
              <w:left w:val="single" w:sz="4" w:space="0" w:color="auto"/>
              <w:bottom w:val="single" w:sz="4" w:space="0" w:color="auto"/>
              <w:right w:val="single" w:sz="4" w:space="0" w:color="auto"/>
            </w:tcBorders>
          </w:tcPr>
          <w:p w14:paraId="5761F425"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426"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31"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28"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recreational fishing</w:t>
            </w:r>
          </w:p>
        </w:tc>
        <w:tc>
          <w:tcPr>
            <w:tcW w:w="734" w:type="dxa"/>
            <w:tcBorders>
              <w:top w:val="single" w:sz="4" w:space="0" w:color="auto"/>
              <w:left w:val="single" w:sz="4" w:space="0" w:color="auto"/>
              <w:bottom w:val="single" w:sz="4" w:space="0" w:color="auto"/>
              <w:right w:val="single" w:sz="4" w:space="0" w:color="auto"/>
            </w:tcBorders>
          </w:tcPr>
          <w:p w14:paraId="5761F429"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2A" w14:textId="77777777" w:rsidR="00A56EE9" w:rsidRPr="00A36617" w:rsidRDefault="00A56EE9" w:rsidP="00A11869">
            <w:pPr>
              <w:pStyle w:val="ListParagraph"/>
              <w:numPr>
                <w:ilvl w:val="0"/>
                <w:numId w:val="24"/>
              </w:numPr>
              <w:spacing w:after="200" w:line="276" w:lineRule="auto"/>
              <w:rPr>
                <w:rFonts w:ascii="Arial Narrow" w:hAnsi="Arial Narrow"/>
                <w:sz w:val="18"/>
              </w:rPr>
            </w:pPr>
            <w:r w:rsidRPr="00A36617">
              <w:rPr>
                <w:rFonts w:ascii="Arial Narrow" w:hAnsi="Arial Narrow"/>
                <w:sz w:val="18"/>
              </w:rPr>
              <w:t xml:space="preserve">The contribution that recreational fishing makes to the Region is recognised </w:t>
            </w:r>
          </w:p>
          <w:p w14:paraId="5761F42B" w14:textId="77777777" w:rsidR="00A56EE9" w:rsidRPr="00E70A11" w:rsidRDefault="00A56EE9" w:rsidP="00BB6AD5">
            <w:pPr>
              <w:pStyle w:val="ListParagraph"/>
              <w:ind w:left="360"/>
              <w:rPr>
                <w:rStyle w:val="BookTitle"/>
                <w:rFonts w:ascii="Arial Narrow" w:hAnsi="Arial Narrow"/>
                <w:sz w:val="18"/>
                <w:szCs w:val="18"/>
              </w:rPr>
            </w:pPr>
          </w:p>
        </w:tc>
        <w:tc>
          <w:tcPr>
            <w:tcW w:w="5260" w:type="dxa"/>
            <w:tcBorders>
              <w:top w:val="single" w:sz="4" w:space="0" w:color="auto"/>
              <w:left w:val="single" w:sz="4" w:space="0" w:color="auto"/>
              <w:bottom w:val="single" w:sz="4" w:space="0" w:color="auto"/>
              <w:right w:val="single" w:sz="4" w:space="0" w:color="auto"/>
            </w:tcBorders>
          </w:tcPr>
          <w:p w14:paraId="5761F42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Deloitte Access Economics. (2017) At what Price? The economic, social and icon value of the Great Barrier Reef</w:t>
            </w:r>
          </w:p>
          <w:p w14:paraId="5761F42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Workshop discussions</w:t>
            </w:r>
          </w:p>
          <w:p w14:paraId="5761F42E"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tc>
        <w:tc>
          <w:tcPr>
            <w:tcW w:w="1324" w:type="dxa"/>
            <w:tcBorders>
              <w:top w:val="single" w:sz="4" w:space="0" w:color="auto"/>
              <w:left w:val="single" w:sz="4" w:space="0" w:color="auto"/>
              <w:bottom w:val="single" w:sz="4" w:space="0" w:color="auto"/>
              <w:right w:val="single" w:sz="4" w:space="0" w:color="auto"/>
            </w:tcBorders>
          </w:tcPr>
          <w:p w14:paraId="5761F42F"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430"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439"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32"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recreational fishing</w:t>
            </w:r>
          </w:p>
        </w:tc>
        <w:tc>
          <w:tcPr>
            <w:tcW w:w="734" w:type="dxa"/>
            <w:tcBorders>
              <w:top w:val="single" w:sz="4" w:space="0" w:color="auto"/>
              <w:left w:val="single" w:sz="4" w:space="0" w:color="auto"/>
              <w:bottom w:val="single" w:sz="4" w:space="0" w:color="auto"/>
              <w:right w:val="single" w:sz="4" w:space="0" w:color="auto"/>
            </w:tcBorders>
          </w:tcPr>
          <w:p w14:paraId="5761F433" w14:textId="77777777" w:rsidR="00A56EE9" w:rsidRPr="00E70A11" w:rsidRDefault="00A56EE9" w:rsidP="00BB6AD5">
            <w:pPr>
              <w:pStyle w:val="Tablebulletlist"/>
              <w:rPr>
                <w:rStyle w:val="BookTitle"/>
              </w:rPr>
            </w:pPr>
            <w:r w:rsidRPr="00E70A11">
              <w:rPr>
                <w:rStyle w:val="BookTitle"/>
              </w:rPr>
              <w:t>2</w:t>
            </w:r>
          </w:p>
        </w:tc>
        <w:tc>
          <w:tcPr>
            <w:tcW w:w="4968" w:type="dxa"/>
            <w:tcBorders>
              <w:top w:val="single" w:sz="4" w:space="0" w:color="auto"/>
              <w:left w:val="single" w:sz="4" w:space="0" w:color="auto"/>
              <w:bottom w:val="single" w:sz="4" w:space="0" w:color="auto"/>
              <w:right w:val="single" w:sz="4" w:space="0" w:color="auto"/>
            </w:tcBorders>
          </w:tcPr>
          <w:p w14:paraId="5761F43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Agencies liaise with traditional users of the GBRMP via a number of means and this results in information sharing which assists in the management of fishing.</w:t>
            </w:r>
          </w:p>
          <w:p w14:paraId="5761F43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Detailed and widespread understanding of traditional (indigenous) knowledge and cultural heritage is limited</w:t>
            </w:r>
          </w:p>
        </w:tc>
        <w:tc>
          <w:tcPr>
            <w:tcW w:w="5260" w:type="dxa"/>
            <w:tcBorders>
              <w:top w:val="single" w:sz="4" w:space="0" w:color="auto"/>
              <w:left w:val="single" w:sz="4" w:space="0" w:color="auto"/>
              <w:bottom w:val="single" w:sz="4" w:space="0" w:color="auto"/>
              <w:right w:val="single" w:sz="4" w:space="0" w:color="auto"/>
            </w:tcBorders>
          </w:tcPr>
          <w:p w14:paraId="5761F43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w:t>
            </w:r>
          </w:p>
        </w:tc>
        <w:tc>
          <w:tcPr>
            <w:tcW w:w="1324" w:type="dxa"/>
            <w:tcBorders>
              <w:top w:val="single" w:sz="4" w:space="0" w:color="auto"/>
              <w:left w:val="single" w:sz="4" w:space="0" w:color="auto"/>
              <w:bottom w:val="single" w:sz="4" w:space="0" w:color="auto"/>
              <w:right w:val="single" w:sz="4" w:space="0" w:color="auto"/>
            </w:tcBorders>
          </w:tcPr>
          <w:p w14:paraId="5761F437"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43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42"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3A"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recreational fishing</w:t>
            </w:r>
          </w:p>
        </w:tc>
        <w:tc>
          <w:tcPr>
            <w:tcW w:w="734" w:type="dxa"/>
            <w:tcBorders>
              <w:top w:val="single" w:sz="4" w:space="0" w:color="auto"/>
              <w:left w:val="single" w:sz="4" w:space="0" w:color="auto"/>
              <w:bottom w:val="single" w:sz="4" w:space="0" w:color="auto"/>
              <w:right w:val="single" w:sz="4" w:space="0" w:color="auto"/>
            </w:tcBorders>
          </w:tcPr>
          <w:p w14:paraId="5761F43B"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3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permit conditions to enter Historic Shipwreck Protected Zones under the Historic Shipwrecks Act 1976 have recently been change to disallow fishing on wrecks such as the Llewellyn</w:t>
            </w:r>
          </w:p>
          <w:p w14:paraId="5761F43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Special Management Area were created largely to manage impact from recreational fishing </w:t>
            </w:r>
          </w:p>
        </w:tc>
        <w:tc>
          <w:tcPr>
            <w:tcW w:w="5260" w:type="dxa"/>
            <w:tcBorders>
              <w:top w:val="single" w:sz="4" w:space="0" w:color="auto"/>
              <w:left w:val="single" w:sz="4" w:space="0" w:color="auto"/>
              <w:bottom w:val="single" w:sz="4" w:space="0" w:color="auto"/>
              <w:right w:val="single" w:sz="4" w:space="0" w:color="auto"/>
            </w:tcBorders>
          </w:tcPr>
          <w:p w14:paraId="5761F43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Historic Shipwreck Protected Zones under the Historic Shipwrecks Act 1976</w:t>
            </w:r>
          </w:p>
          <w:p w14:paraId="5761F43F" w14:textId="77777777" w:rsidR="00A56EE9" w:rsidRPr="00E70A11" w:rsidRDefault="008B5998" w:rsidP="00A11869">
            <w:pPr>
              <w:pStyle w:val="ListParagraph"/>
              <w:numPr>
                <w:ilvl w:val="0"/>
                <w:numId w:val="24"/>
              </w:numPr>
              <w:spacing w:after="0" w:line="276" w:lineRule="auto"/>
              <w:rPr>
                <w:rStyle w:val="BookTitle"/>
                <w:rFonts w:ascii="Arial Narrow" w:hAnsi="Arial Narrow"/>
                <w:sz w:val="18"/>
                <w:szCs w:val="18"/>
              </w:rPr>
            </w:pPr>
            <w:hyperlink r:id="rId894" w:history="1">
              <w:r w:rsidR="00A56EE9" w:rsidRPr="00E70A11">
                <w:rPr>
                  <w:rFonts w:ascii="Arial Narrow" w:hAnsi="Arial Narrow"/>
                  <w:sz w:val="18"/>
                  <w:szCs w:val="18"/>
                </w:rPr>
                <w:t>Protecting our maritime cultural heritage</w:t>
              </w:r>
            </w:hyperlink>
            <w:r w:rsidR="00A56EE9" w:rsidRPr="00E70A11">
              <w:rPr>
                <w:rFonts w:ascii="Arial Narrow" w:hAnsi="Arial Narrow"/>
                <w:sz w:val="18"/>
                <w:szCs w:val="18"/>
              </w:rPr>
              <w:t xml:space="preserve"> http://www.gbrmpa.gov.au/zoning-permits-and-plans/special-management-areas/protecting-our-maritime-cultural-heritage</w:t>
            </w:r>
          </w:p>
        </w:tc>
        <w:tc>
          <w:tcPr>
            <w:tcW w:w="1324" w:type="dxa"/>
            <w:tcBorders>
              <w:top w:val="single" w:sz="4" w:space="0" w:color="auto"/>
              <w:left w:val="single" w:sz="4" w:space="0" w:color="auto"/>
              <w:bottom w:val="single" w:sz="4" w:space="0" w:color="auto"/>
              <w:right w:val="single" w:sz="4" w:space="0" w:color="auto"/>
            </w:tcBorders>
          </w:tcPr>
          <w:p w14:paraId="5761F440"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44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451"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shd w:val="clear" w:color="auto" w:fill="auto"/>
          </w:tcPr>
          <w:p w14:paraId="5761F443"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recreational fishing</w:t>
            </w:r>
          </w:p>
        </w:tc>
        <w:tc>
          <w:tcPr>
            <w:tcW w:w="734" w:type="dxa"/>
            <w:tcBorders>
              <w:top w:val="single" w:sz="4" w:space="0" w:color="auto"/>
              <w:left w:val="single" w:sz="4" w:space="0" w:color="auto"/>
              <w:bottom w:val="single" w:sz="4" w:space="0" w:color="auto"/>
              <w:right w:val="single" w:sz="4" w:space="0" w:color="auto"/>
            </w:tcBorders>
          </w:tcPr>
          <w:p w14:paraId="5761F444"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4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Recreational fishing is managed in accordance with the FAO guidelines for responsible fishing.</w:t>
            </w:r>
          </w:p>
          <w:p w14:paraId="5761F44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management arrangements are readily comparable to other jurisdictions and regularly discussed at the Australian Fisheries Management Forum.</w:t>
            </w:r>
          </w:p>
          <w:p w14:paraId="5761F44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Gear restrictions, areas available to fishing and bag and size limits effectively control recreational fishing. However Snapper is an example of where this is arguably not the case. Pearl perch is transitional depleting and there concerns for localised depletion of species such as grunter (javelin fish) and king threadfin salmon which all have high recreational harvest.</w:t>
            </w:r>
          </w:p>
          <w:p w14:paraId="5761F44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greatest risk to these standards being met is illegal fishing. </w:t>
            </w:r>
          </w:p>
          <w:p w14:paraId="5761F44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Voluntary best practice standards for fishing (Responsible Reef Practices)</w:t>
            </w:r>
          </w:p>
          <w:p w14:paraId="5761F44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Where EPBC Act fisheries assessment are conducted of fisheries with recognised impact from recreational fishing (e.g. ECIFFF, Mud Crab) these impact are considered.</w:t>
            </w:r>
          </w:p>
        </w:tc>
        <w:tc>
          <w:tcPr>
            <w:tcW w:w="5260" w:type="dxa"/>
            <w:tcBorders>
              <w:top w:val="single" w:sz="4" w:space="0" w:color="auto"/>
              <w:left w:val="single" w:sz="4" w:space="0" w:color="auto"/>
              <w:bottom w:val="single" w:sz="4" w:space="0" w:color="auto"/>
              <w:right w:val="single" w:sz="4" w:space="0" w:color="auto"/>
            </w:tcBorders>
          </w:tcPr>
          <w:p w14:paraId="5761F44B" w14:textId="719C7942"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Recreational Fisheries. FAO. Guidelines for responsible fisheries (</w:t>
            </w:r>
            <w:hyperlink r:id="rId895" w:tooltip="document link" w:history="1">
              <w:r w:rsidRPr="00E70A11">
                <w:rPr>
                  <w:rStyle w:val="Hyperlink"/>
                  <w:rFonts w:ascii="Arial Narrow" w:hAnsi="Arial Narrow"/>
                  <w:sz w:val="18"/>
                  <w:szCs w:val="18"/>
                </w:rPr>
                <w:t>www.fao.org/docrep/016/i2708e/i2708e00.pdf</w:t>
              </w:r>
            </w:hyperlink>
            <w:r w:rsidRPr="00E70A11">
              <w:rPr>
                <w:rFonts w:ascii="Arial Narrow" w:hAnsi="Arial Narrow"/>
                <w:sz w:val="18"/>
                <w:szCs w:val="18"/>
              </w:rPr>
              <w:t>)</w:t>
            </w:r>
          </w:p>
          <w:p w14:paraId="5761F44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Australian Fisheries Management Forum</w:t>
            </w:r>
          </w:p>
          <w:p w14:paraId="5761F44D" w14:textId="5983440E"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Fonts w:ascii="Arial Narrow" w:hAnsi="Arial Narrow"/>
                <w:sz w:val="18"/>
                <w:szCs w:val="18"/>
              </w:rPr>
              <w:t xml:space="preserve">GBRMPA website on Zoning: </w:t>
            </w:r>
            <w:hyperlink r:id="rId896" w:tooltip="document link" w:history="1">
              <w:r w:rsidRPr="00E70A11">
                <w:rPr>
                  <w:rStyle w:val="Hyperlink"/>
                  <w:rFonts w:ascii="Arial Narrow" w:hAnsi="Arial Narrow"/>
                  <w:sz w:val="18"/>
                  <w:szCs w:val="18"/>
                </w:rPr>
                <w:t>http://www.gbrmpa.gov.au/zoning-permits-and-plans</w:t>
              </w:r>
            </w:hyperlink>
          </w:p>
          <w:p w14:paraId="5761F44E" w14:textId="77777777"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897" w:history="1">
              <w:r w:rsidR="00A56EE9" w:rsidRPr="00E70A11">
                <w:rPr>
                  <w:rStyle w:val="Hyperlink"/>
                  <w:rFonts w:ascii="Arial Narrow" w:hAnsi="Arial Narrow"/>
                  <w:sz w:val="18"/>
                  <w:szCs w:val="18"/>
                </w:rPr>
                <w:t>Queensland managed fisheries assessments under the EPBC Act</w:t>
              </w:r>
            </w:hyperlink>
          </w:p>
        </w:tc>
        <w:tc>
          <w:tcPr>
            <w:tcW w:w="1324" w:type="dxa"/>
            <w:tcBorders>
              <w:top w:val="single" w:sz="4" w:space="0" w:color="auto"/>
              <w:left w:val="single" w:sz="4" w:space="0" w:color="auto"/>
              <w:bottom w:val="single" w:sz="4" w:space="0" w:color="auto"/>
              <w:right w:val="single" w:sz="4" w:space="0" w:color="auto"/>
            </w:tcBorders>
          </w:tcPr>
          <w:p w14:paraId="5761F44F"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45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58"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52"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Targets have been established to benchmark management performance for recreational fishing</w:t>
            </w:r>
          </w:p>
        </w:tc>
        <w:tc>
          <w:tcPr>
            <w:tcW w:w="734" w:type="dxa"/>
            <w:tcBorders>
              <w:top w:val="single" w:sz="4" w:space="0" w:color="auto"/>
              <w:left w:val="single" w:sz="4" w:space="0" w:color="auto"/>
              <w:bottom w:val="single" w:sz="4" w:space="0" w:color="auto"/>
              <w:right w:val="single" w:sz="4" w:space="0" w:color="auto"/>
            </w:tcBorders>
          </w:tcPr>
          <w:p w14:paraId="5761F453"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54"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rPr>
              <w:t>Recreational fisheries management is regularly benchmarked against other Australian Jurisdictions to ensure consistency in management approach.</w:t>
            </w:r>
          </w:p>
        </w:tc>
        <w:tc>
          <w:tcPr>
            <w:tcW w:w="5260" w:type="dxa"/>
            <w:tcBorders>
              <w:top w:val="single" w:sz="4" w:space="0" w:color="auto"/>
              <w:left w:val="single" w:sz="4" w:space="0" w:color="auto"/>
              <w:bottom w:val="single" w:sz="4" w:space="0" w:color="auto"/>
              <w:right w:val="single" w:sz="4" w:space="0" w:color="auto"/>
            </w:tcBorders>
          </w:tcPr>
          <w:p w14:paraId="5761F455" w14:textId="77777777" w:rsidR="00A56EE9" w:rsidRPr="00774D6C"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Australian Fisheries Management Forum</w:t>
            </w:r>
          </w:p>
        </w:tc>
        <w:tc>
          <w:tcPr>
            <w:tcW w:w="1324" w:type="dxa"/>
            <w:tcBorders>
              <w:top w:val="single" w:sz="4" w:space="0" w:color="auto"/>
              <w:left w:val="single" w:sz="4" w:space="0" w:color="auto"/>
              <w:bottom w:val="single" w:sz="4" w:space="0" w:color="auto"/>
              <w:right w:val="single" w:sz="4" w:space="0" w:color="auto"/>
            </w:tcBorders>
          </w:tcPr>
          <w:p w14:paraId="5761F456"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45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5F"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59" w14:textId="77777777" w:rsidR="00A56EE9" w:rsidRPr="00E70A11" w:rsidRDefault="00A56EE9" w:rsidP="00BB6AD5">
            <w:pPr>
              <w:pStyle w:val="Tablebulletlist"/>
              <w:rPr>
                <w:rStyle w:val="BookTitle"/>
              </w:rPr>
            </w:pPr>
            <w:r w:rsidRPr="00E70A11">
              <w:rPr>
                <w:rStyle w:val="BookTitle"/>
              </w:rPr>
              <w:t>OUTPUTS</w:t>
            </w:r>
          </w:p>
        </w:tc>
        <w:tc>
          <w:tcPr>
            <w:tcW w:w="73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5A" w14:textId="77777777" w:rsidR="00A56EE9" w:rsidRPr="00E70A11" w:rsidRDefault="00A56EE9" w:rsidP="00BB6AD5">
            <w:pPr>
              <w:pStyle w:val="Tablebulletlist"/>
              <w:rPr>
                <w:rStyle w:val="BookTitle"/>
              </w:rPr>
            </w:pPr>
          </w:p>
        </w:tc>
        <w:tc>
          <w:tcPr>
            <w:tcW w:w="49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5B" w14:textId="77777777" w:rsidR="00A56EE9" w:rsidRPr="00E70A11" w:rsidRDefault="00A56EE9" w:rsidP="00BB6AD5">
            <w:pPr>
              <w:pStyle w:val="ListParagraph"/>
              <w:ind w:left="360"/>
              <w:rPr>
                <w:rStyle w:val="BookTitle"/>
                <w:rFonts w:ascii="Arial Narrow" w:hAnsi="Arial Narrow"/>
                <w:sz w:val="18"/>
                <w:szCs w:val="18"/>
              </w:rPr>
            </w:pPr>
          </w:p>
        </w:tc>
        <w:tc>
          <w:tcPr>
            <w:tcW w:w="526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5C"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5D"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5E" w14:textId="77777777" w:rsidR="00A56EE9" w:rsidRPr="00E70A11" w:rsidRDefault="00A56EE9" w:rsidP="00BB6AD5">
            <w:pPr>
              <w:pStyle w:val="Tablebulletlist"/>
              <w:rPr>
                <w:rStyle w:val="BookTitle"/>
              </w:rPr>
            </w:pPr>
          </w:p>
        </w:tc>
      </w:tr>
      <w:tr w:rsidR="00A56EE9" w:rsidRPr="00E70A11" w14:paraId="5761F471"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60"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recreational fishing </w:t>
            </w:r>
          </w:p>
        </w:tc>
        <w:tc>
          <w:tcPr>
            <w:tcW w:w="734" w:type="dxa"/>
            <w:tcBorders>
              <w:top w:val="single" w:sz="4" w:space="0" w:color="auto"/>
              <w:left w:val="single" w:sz="4" w:space="0" w:color="auto"/>
              <w:bottom w:val="single" w:sz="4" w:space="0" w:color="auto"/>
              <w:right w:val="single" w:sz="4" w:space="0" w:color="auto"/>
            </w:tcBorders>
          </w:tcPr>
          <w:p w14:paraId="5761F461"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6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Gear restrictions, areas available to fishing and bag and size limits effectively control recreational fishing. Although there are some examples, e.g. snapper and pearl perch, where this is not the case. </w:t>
            </w:r>
          </w:p>
          <w:p w14:paraId="5761F46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Conservative arrangements (eg 33% no fishing zones in the GBR) provide a significant level of precautionary management against the impacts of fishing.</w:t>
            </w:r>
          </w:p>
          <w:p w14:paraId="5761F46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Actions under Reef 2050 Plan with respect to recreational fishing are on track.</w:t>
            </w:r>
          </w:p>
          <w:p w14:paraId="5761F46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Programs around stock status evaluation and stock assessments and the surveying recreational fishing activity have progressed as have the compliance programs. </w:t>
            </w:r>
          </w:p>
          <w:p w14:paraId="5761F46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Actions in the QSFS are on track. </w:t>
            </w:r>
          </w:p>
          <w:p w14:paraId="5761F46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A targeted education and compliance strategy, undertaken through the FMP priority project </w:t>
            </w:r>
            <w:r w:rsidRPr="00E70A11">
              <w:rPr>
                <w:rFonts w:ascii="Arial Narrow" w:hAnsi="Arial Narrow"/>
                <w:i/>
                <w:sz w:val="18"/>
                <w:szCs w:val="18"/>
              </w:rPr>
              <w:t>Addressing recreational fishing non-compliance</w:t>
            </w:r>
            <w:r w:rsidRPr="00E70A11">
              <w:rPr>
                <w:rFonts w:ascii="Arial Narrow" w:hAnsi="Arial Narrow"/>
                <w:sz w:val="18"/>
                <w:szCs w:val="18"/>
              </w:rPr>
              <w:t>, has been implemented to help give effect to the zoning plans, with particular focus on high-risk areas</w:t>
            </w:r>
          </w:p>
        </w:tc>
        <w:tc>
          <w:tcPr>
            <w:tcW w:w="5260" w:type="dxa"/>
            <w:tcBorders>
              <w:top w:val="single" w:sz="4" w:space="0" w:color="auto"/>
              <w:left w:val="single" w:sz="4" w:space="0" w:color="auto"/>
              <w:bottom w:val="single" w:sz="4" w:space="0" w:color="auto"/>
              <w:right w:val="single" w:sz="4" w:space="0" w:color="auto"/>
            </w:tcBorders>
          </w:tcPr>
          <w:p w14:paraId="5761F46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Department of Agriculture, Fisheries and Forestry</w:t>
            </w:r>
          </w:p>
          <w:p w14:paraId="5761F46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Great Barrier Reef Marine Park Authority</w:t>
            </w:r>
          </w:p>
          <w:p w14:paraId="5761F46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i/>
                <w:sz w:val="18"/>
                <w:szCs w:val="18"/>
              </w:rPr>
              <w:t xml:space="preserve">Fisheries Act 1994 </w:t>
            </w:r>
            <w:r w:rsidRPr="00E70A11">
              <w:rPr>
                <w:rFonts w:ascii="Arial Narrow" w:hAnsi="Arial Narrow"/>
                <w:sz w:val="18"/>
                <w:szCs w:val="18"/>
              </w:rPr>
              <w:t>(Qld) and regulations</w:t>
            </w:r>
          </w:p>
          <w:p w14:paraId="5761F46B" w14:textId="601AF0DA"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rPr>
            </w:pPr>
            <w:r w:rsidRPr="00E70A11">
              <w:rPr>
                <w:rFonts w:ascii="Arial Narrow" w:hAnsi="Arial Narrow"/>
                <w:sz w:val="18"/>
                <w:szCs w:val="18"/>
              </w:rPr>
              <w:t xml:space="preserve">Recreational Management Strategy (RMS) </w:t>
            </w:r>
            <w:hyperlink r:id="rId898" w:tooltip="document link" w:history="1">
              <w:r w:rsidRPr="00E70A11">
                <w:rPr>
                  <w:rStyle w:val="Hyperlink"/>
                  <w:rFonts w:ascii="Arial Narrow" w:hAnsi="Arial Narrow"/>
                  <w:sz w:val="18"/>
                  <w:szCs w:val="18"/>
                </w:rPr>
                <w:t>http://www.gbrmpa.gov.au/about-the-reef/how-the-reefs-managed/recreation-in-the-great-barrier-reef-marine-park</w:t>
              </w:r>
            </w:hyperlink>
          </w:p>
          <w:p w14:paraId="5761F46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Plan</w:t>
            </w:r>
          </w:p>
          <w:p w14:paraId="5761F46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Field Management Program</w:t>
            </w:r>
          </w:p>
          <w:p w14:paraId="5761F46E"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46F"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47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7F"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72"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recreational fishing have progressed in accordance with timeframes specified in those documents</w:t>
            </w:r>
          </w:p>
        </w:tc>
        <w:tc>
          <w:tcPr>
            <w:tcW w:w="734" w:type="dxa"/>
            <w:tcBorders>
              <w:top w:val="single" w:sz="4" w:space="0" w:color="auto"/>
              <w:left w:val="single" w:sz="4" w:space="0" w:color="auto"/>
              <w:bottom w:val="single" w:sz="4" w:space="0" w:color="auto"/>
              <w:right w:val="single" w:sz="4" w:space="0" w:color="auto"/>
            </w:tcBorders>
          </w:tcPr>
          <w:p w14:paraId="5761F473"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7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main programs for recreational fishing are associated with the zoning compliance, and through Fisheries Qld limits on catch.</w:t>
            </w:r>
          </w:p>
          <w:p w14:paraId="5761F47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 targeted</w:t>
            </w:r>
            <w:r>
              <w:rPr>
                <w:rFonts w:ascii="Arial Narrow" w:hAnsi="Arial Narrow"/>
                <w:sz w:val="18"/>
                <w:szCs w:val="18"/>
              </w:rPr>
              <w:t xml:space="preserve"> recreational fishing-focused</w:t>
            </w:r>
            <w:r w:rsidRPr="00E70A11">
              <w:rPr>
                <w:rFonts w:ascii="Arial Narrow" w:hAnsi="Arial Narrow"/>
                <w:sz w:val="18"/>
                <w:szCs w:val="18"/>
              </w:rPr>
              <w:t xml:space="preserve"> education and compliance strategy, undertaken through the FMP priority project </w:t>
            </w:r>
            <w:r w:rsidRPr="00E70A11">
              <w:rPr>
                <w:rFonts w:ascii="Arial Narrow" w:hAnsi="Arial Narrow"/>
                <w:i/>
                <w:sz w:val="18"/>
                <w:szCs w:val="18"/>
              </w:rPr>
              <w:t>Addressing recreational fishing non-compliance</w:t>
            </w:r>
            <w:r w:rsidRPr="00E70A11">
              <w:rPr>
                <w:rFonts w:ascii="Arial Narrow" w:hAnsi="Arial Narrow"/>
                <w:sz w:val="18"/>
                <w:szCs w:val="18"/>
              </w:rPr>
              <w:t xml:space="preserve">, has been implemented to help give effect to the zoning plans, with particular focus on high-risk threats areas </w:t>
            </w:r>
          </w:p>
          <w:p w14:paraId="5761F47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Voluntary groups such as Mackay Recreational Fishers Alliance (take a kid fishing day) and the work of InfoFish</w:t>
            </w:r>
          </w:p>
        </w:tc>
        <w:tc>
          <w:tcPr>
            <w:tcW w:w="5260" w:type="dxa"/>
            <w:tcBorders>
              <w:top w:val="single" w:sz="4" w:space="0" w:color="auto"/>
              <w:left w:val="single" w:sz="4" w:space="0" w:color="auto"/>
              <w:bottom w:val="single" w:sz="4" w:space="0" w:color="auto"/>
              <w:right w:val="single" w:sz="4" w:space="0" w:color="auto"/>
            </w:tcBorders>
          </w:tcPr>
          <w:p w14:paraId="5761F47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Queensland</w:t>
            </w:r>
          </w:p>
          <w:p w14:paraId="5761F47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Great Barrier Reef Marine Park Authority</w:t>
            </w:r>
          </w:p>
          <w:p w14:paraId="5761F47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Act 1994 (Qld) and regulations</w:t>
            </w:r>
          </w:p>
          <w:p w14:paraId="5761F47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Mackay Recreational Fishers Alliance</w:t>
            </w:r>
          </w:p>
          <w:p w14:paraId="5761F47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Field Management Program</w:t>
            </w:r>
          </w:p>
          <w:p w14:paraId="5761F47C" w14:textId="77777777" w:rsidR="00A56EE9" w:rsidRPr="00E70A11" w:rsidRDefault="00A56EE9" w:rsidP="00BB6AD5">
            <w:pPr>
              <w:pStyle w:val="ListParagraph"/>
              <w:ind w:left="360"/>
              <w:rPr>
                <w:rStyle w:val="BookTitle"/>
                <w:rFonts w:ascii="Arial Narrow" w:hAnsi="Arial Narrow"/>
                <w:sz w:val="18"/>
                <w:szCs w:val="18"/>
              </w:rPr>
            </w:pPr>
            <w:r>
              <w:rPr>
                <w:rStyle w:val="BookTitle"/>
                <w:rFonts w:ascii="Arial Narrow" w:hAnsi="Arial Narrow"/>
                <w:sz w:val="18"/>
                <w:szCs w:val="18"/>
              </w:rPr>
              <w:t xml:space="preserve"> </w:t>
            </w:r>
          </w:p>
        </w:tc>
        <w:tc>
          <w:tcPr>
            <w:tcW w:w="1324" w:type="dxa"/>
            <w:tcBorders>
              <w:top w:val="single" w:sz="4" w:space="0" w:color="auto"/>
              <w:left w:val="single" w:sz="4" w:space="0" w:color="auto"/>
              <w:bottom w:val="single" w:sz="4" w:space="0" w:color="auto"/>
              <w:right w:val="single" w:sz="4" w:space="0" w:color="auto"/>
            </w:tcBorders>
          </w:tcPr>
          <w:p w14:paraId="5761F47D" w14:textId="77777777" w:rsidR="00A56EE9" w:rsidRPr="00E70A11" w:rsidRDefault="00A56EE9" w:rsidP="00BB6AD5">
            <w:pPr>
              <w:pStyle w:val="Tablebulletlist"/>
              <w:rPr>
                <w:rStyle w:val="BookTitle"/>
              </w:rPr>
            </w:pPr>
            <w:r w:rsidRPr="00E70A11">
              <w:rPr>
                <w:rStyle w:val="BookTitle"/>
              </w:rPr>
              <w:t>Adequate</w:t>
            </w:r>
          </w:p>
        </w:tc>
        <w:tc>
          <w:tcPr>
            <w:tcW w:w="1061" w:type="dxa"/>
            <w:tcBorders>
              <w:top w:val="single" w:sz="4" w:space="0" w:color="auto"/>
              <w:left w:val="single" w:sz="4" w:space="0" w:color="auto"/>
              <w:bottom w:val="single" w:sz="4" w:space="0" w:color="auto"/>
              <w:right w:val="single" w:sz="4" w:space="0" w:color="auto"/>
            </w:tcBorders>
          </w:tcPr>
          <w:p w14:paraId="5761F47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8D"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80"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recreational fishing</w:t>
            </w:r>
          </w:p>
        </w:tc>
        <w:tc>
          <w:tcPr>
            <w:tcW w:w="734" w:type="dxa"/>
            <w:tcBorders>
              <w:top w:val="single" w:sz="4" w:space="0" w:color="auto"/>
              <w:left w:val="single" w:sz="4" w:space="0" w:color="auto"/>
              <w:bottom w:val="single" w:sz="4" w:space="0" w:color="auto"/>
              <w:right w:val="single" w:sz="4" w:space="0" w:color="auto"/>
            </w:tcBorders>
          </w:tcPr>
          <w:p w14:paraId="5761F481"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8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 the absence of contemporary performance measurement systems for most fisheries or any harvest strategies, there have been no stated management objectives.</w:t>
            </w:r>
          </w:p>
          <w:p w14:paraId="5761F48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Recreational fishing is deemed a sustainable activity in the GBR, although there are concerns about the stock status for some species. Insufficient data also exists. On-going assessment is required in this area. </w:t>
            </w:r>
          </w:p>
          <w:p w14:paraId="5761F48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issue of illegal recreational fishing is undermining management efforts. A concerted program and priority FMP project to address illegal recreational fishing non-compliance is underway.</w:t>
            </w:r>
            <w:r>
              <w:rPr>
                <w:rFonts w:ascii="Arial Narrow" w:hAnsi="Arial Narrow"/>
                <w:sz w:val="18"/>
                <w:szCs w:val="18"/>
              </w:rPr>
              <w:t xml:space="preserve"> However the cumulative impact of the ongoing large numbers of recreational fishing offences is likely to also be undermining the health, recovery and resilience of the Reef.</w:t>
            </w:r>
            <w:r w:rsidRPr="00E70A11">
              <w:rPr>
                <w:rFonts w:ascii="Arial Narrow" w:hAnsi="Arial Narrow"/>
                <w:sz w:val="18"/>
                <w:szCs w:val="18"/>
              </w:rPr>
              <w:t xml:space="preserve"> </w:t>
            </w:r>
          </w:p>
          <w:p w14:paraId="5761F48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More work is required to reduce risks and impacts for species vulnerable to overfishing, to mitigate protected species interactions; and to reduce bycatch.</w:t>
            </w:r>
          </w:p>
        </w:tc>
        <w:tc>
          <w:tcPr>
            <w:tcW w:w="5260" w:type="dxa"/>
            <w:tcBorders>
              <w:top w:val="single" w:sz="4" w:space="0" w:color="auto"/>
              <w:left w:val="single" w:sz="4" w:space="0" w:color="auto"/>
              <w:bottom w:val="single" w:sz="4" w:space="0" w:color="auto"/>
              <w:right w:val="single" w:sz="4" w:space="0" w:color="auto"/>
            </w:tcBorders>
          </w:tcPr>
          <w:p w14:paraId="5761F48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Annual Reports</w:t>
            </w:r>
          </w:p>
          <w:p w14:paraId="5761F48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FMP Compliance quarterly/annual report</w:t>
            </w:r>
          </w:p>
          <w:p w14:paraId="5761F48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Compliance review</w:t>
            </w:r>
          </w:p>
          <w:p w14:paraId="5761F48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FMP Annual Business Plan 2017-18</w:t>
            </w:r>
          </w:p>
          <w:p w14:paraId="5761F48A" w14:textId="77777777" w:rsidR="00A56EE9" w:rsidRPr="00E70A11" w:rsidRDefault="00A56EE9" w:rsidP="00BB6AD5">
            <w:pPr>
              <w:rPr>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48B" w14:textId="77777777" w:rsidR="00A56EE9" w:rsidRPr="00E70A11" w:rsidRDefault="00A56EE9" w:rsidP="00BB6AD5">
            <w:pPr>
              <w:pStyle w:val="Tablebulletlist"/>
              <w:rPr>
                <w:rStyle w:val="BookTitle"/>
              </w:rPr>
            </w:pPr>
            <w:r w:rsidRPr="00E70A11">
              <w:rPr>
                <w:rStyle w:val="CommentReference"/>
                <w:rFonts w:eastAsiaTheme="minorHAnsi"/>
              </w:rPr>
              <w:t>Adequate</w:t>
            </w:r>
          </w:p>
        </w:tc>
        <w:tc>
          <w:tcPr>
            <w:tcW w:w="1061" w:type="dxa"/>
            <w:tcBorders>
              <w:top w:val="single" w:sz="4" w:space="0" w:color="auto"/>
              <w:left w:val="single" w:sz="4" w:space="0" w:color="auto"/>
              <w:bottom w:val="single" w:sz="4" w:space="0" w:color="auto"/>
              <w:right w:val="single" w:sz="4" w:space="0" w:color="auto"/>
            </w:tcBorders>
          </w:tcPr>
          <w:p w14:paraId="5761F48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A4"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8E"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recreational fishing</w:t>
            </w:r>
          </w:p>
        </w:tc>
        <w:tc>
          <w:tcPr>
            <w:tcW w:w="734" w:type="dxa"/>
            <w:tcBorders>
              <w:top w:val="single" w:sz="4" w:space="0" w:color="auto"/>
              <w:left w:val="single" w:sz="4" w:space="0" w:color="auto"/>
              <w:bottom w:val="single" w:sz="4" w:space="0" w:color="auto"/>
              <w:right w:val="single" w:sz="4" w:space="0" w:color="auto"/>
            </w:tcBorders>
          </w:tcPr>
          <w:p w14:paraId="5761F48F"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9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Public information has been produced and disseminated in line with objectives for recreational fishing (i.e. to support compliance and other programs</w:t>
            </w:r>
          </w:p>
          <w:p w14:paraId="5761F49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Between 2011 and 2017 the Joint Field Management Program delivered over 2480 vessel and 162 land-based targeted compliance days, educating World Heritage Area visitors about rules relating to their activities and ensuring they abide by them. Over 335,000 zoning maps have been distributed to assist marine park users understand the rules.</w:t>
            </w:r>
          </w:p>
          <w:p w14:paraId="5761F49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Recreational fishers generally access the GBR by private vessel and anchor, troll or use public moorings. In 2016-17, to reduce impact to coral and seagrass habitats from recreational use, the Joint Field Management Program installed 20 new public moorings and 25 new reef protection markers. This takes the recreational infrastructure to 147 public moorings and 170 reef protection markers. This was a 2.3 million dollar investment, and use of these mooring facilities is free to recreational users</w:t>
            </w:r>
          </w:p>
          <w:p w14:paraId="5761F49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QDAF produces or in the past has produced:</w:t>
            </w:r>
          </w:p>
          <w:p w14:paraId="5761F494" w14:textId="77777777" w:rsidR="00A56EE9" w:rsidRPr="00E70A11" w:rsidRDefault="00A56EE9" w:rsidP="00A11869">
            <w:pPr>
              <w:pStyle w:val="ListParagraph"/>
              <w:numPr>
                <w:ilvl w:val="1"/>
                <w:numId w:val="24"/>
              </w:numPr>
              <w:spacing w:after="200" w:line="276" w:lineRule="auto"/>
              <w:ind w:left="681"/>
              <w:rPr>
                <w:rFonts w:ascii="Arial Narrow" w:hAnsi="Arial Narrow"/>
                <w:sz w:val="18"/>
                <w:szCs w:val="18"/>
              </w:rPr>
            </w:pPr>
            <w:r w:rsidRPr="00E70A11">
              <w:rPr>
                <w:rFonts w:ascii="Arial Narrow" w:hAnsi="Arial Narrow"/>
                <w:sz w:val="18"/>
                <w:szCs w:val="18"/>
              </w:rPr>
              <w:t>Fishery reports as per EPBC approval requirements.</w:t>
            </w:r>
          </w:p>
          <w:p w14:paraId="5761F495" w14:textId="77777777" w:rsidR="00A56EE9" w:rsidRPr="00E70A11" w:rsidRDefault="00A56EE9" w:rsidP="00A11869">
            <w:pPr>
              <w:pStyle w:val="ListParagraph"/>
              <w:numPr>
                <w:ilvl w:val="1"/>
                <w:numId w:val="24"/>
              </w:numPr>
              <w:spacing w:after="200" w:line="276" w:lineRule="auto"/>
              <w:ind w:left="681"/>
              <w:rPr>
                <w:rFonts w:ascii="Arial Narrow" w:hAnsi="Arial Narrow"/>
                <w:sz w:val="18"/>
                <w:szCs w:val="18"/>
              </w:rPr>
            </w:pPr>
            <w:r w:rsidRPr="00E70A11">
              <w:rPr>
                <w:rFonts w:ascii="Arial Narrow" w:hAnsi="Arial Narrow"/>
                <w:sz w:val="18"/>
                <w:szCs w:val="18"/>
              </w:rPr>
              <w:t>Stock status assessments.</w:t>
            </w:r>
          </w:p>
          <w:p w14:paraId="5761F496" w14:textId="77777777" w:rsidR="00A56EE9" w:rsidRPr="00E70A11" w:rsidRDefault="00A56EE9" w:rsidP="00A11869">
            <w:pPr>
              <w:pStyle w:val="ListParagraph"/>
              <w:numPr>
                <w:ilvl w:val="1"/>
                <w:numId w:val="24"/>
              </w:numPr>
              <w:spacing w:after="200" w:line="276" w:lineRule="auto"/>
              <w:ind w:left="681"/>
              <w:rPr>
                <w:rFonts w:ascii="Arial Narrow" w:hAnsi="Arial Narrow"/>
                <w:sz w:val="18"/>
                <w:szCs w:val="18"/>
              </w:rPr>
            </w:pPr>
            <w:r w:rsidRPr="00E70A11">
              <w:rPr>
                <w:rFonts w:ascii="Arial Narrow" w:hAnsi="Arial Narrow"/>
                <w:sz w:val="18"/>
                <w:szCs w:val="18"/>
              </w:rPr>
              <w:t>Fish stock assessment reports</w:t>
            </w:r>
          </w:p>
          <w:p w14:paraId="5761F497" w14:textId="77777777" w:rsidR="00A56EE9" w:rsidRPr="00E70A11" w:rsidRDefault="00A56EE9" w:rsidP="00A11869">
            <w:pPr>
              <w:pStyle w:val="ListParagraph"/>
              <w:numPr>
                <w:ilvl w:val="1"/>
                <w:numId w:val="24"/>
              </w:numPr>
              <w:spacing w:after="200" w:line="276" w:lineRule="auto"/>
              <w:ind w:left="681"/>
              <w:rPr>
                <w:rFonts w:ascii="Arial Narrow" w:hAnsi="Arial Narrow"/>
                <w:sz w:val="18"/>
                <w:szCs w:val="18"/>
              </w:rPr>
            </w:pPr>
            <w:r w:rsidRPr="00E70A11">
              <w:rPr>
                <w:rFonts w:ascii="Arial Narrow" w:hAnsi="Arial Narrow"/>
                <w:sz w:val="18"/>
                <w:szCs w:val="18"/>
              </w:rPr>
              <w:t xml:space="preserve">Fishery summary reports </w:t>
            </w:r>
          </w:p>
          <w:p w14:paraId="5761F498" w14:textId="77777777" w:rsidR="00A56EE9" w:rsidRPr="00E70A11" w:rsidRDefault="00A56EE9" w:rsidP="00A11869">
            <w:pPr>
              <w:pStyle w:val="ListParagraph"/>
              <w:numPr>
                <w:ilvl w:val="1"/>
                <w:numId w:val="24"/>
              </w:numPr>
              <w:spacing w:after="200" w:line="276" w:lineRule="auto"/>
              <w:ind w:left="681"/>
              <w:rPr>
                <w:rFonts w:ascii="Arial Narrow" w:hAnsi="Arial Narrow"/>
                <w:sz w:val="18"/>
                <w:szCs w:val="18"/>
              </w:rPr>
            </w:pPr>
            <w:r w:rsidRPr="00E70A11">
              <w:rPr>
                <w:rFonts w:ascii="Arial Narrow" w:hAnsi="Arial Narrow"/>
                <w:sz w:val="18"/>
                <w:szCs w:val="18"/>
              </w:rPr>
              <w:t>Commercial catch data</w:t>
            </w:r>
          </w:p>
          <w:p w14:paraId="5761F49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Marine Park zoning information is provided publicly </w:t>
            </w:r>
          </w:p>
          <w:p w14:paraId="5761F49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Fisheries assessments under the EPBC Act are published online </w:t>
            </w:r>
          </w:p>
          <w:p w14:paraId="5761F49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Strong communication push in second half of 2017 on Sustainable Fisheries Strategy and key initiatives (e.g. rolling out vessel tracking on commercial fishing vessels).</w:t>
            </w:r>
          </w:p>
        </w:tc>
        <w:tc>
          <w:tcPr>
            <w:tcW w:w="5260" w:type="dxa"/>
            <w:tcBorders>
              <w:top w:val="single" w:sz="4" w:space="0" w:color="auto"/>
              <w:left w:val="single" w:sz="4" w:space="0" w:color="auto"/>
              <w:bottom w:val="single" w:sz="4" w:space="0" w:color="auto"/>
              <w:right w:val="single" w:sz="4" w:space="0" w:color="auto"/>
            </w:tcBorders>
          </w:tcPr>
          <w:p w14:paraId="5761F49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Periodic review of the Joint Field Management Program – 2017</w:t>
            </w:r>
          </w:p>
          <w:p w14:paraId="5761F49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QPWS/GBRMPA’s flyer </w:t>
            </w:r>
            <w:hyperlink r:id="rId899" w:history="1">
              <w:r w:rsidRPr="00E70A11">
                <w:rPr>
                  <w:rFonts w:ascii="Arial Narrow" w:hAnsi="Arial Narrow"/>
                  <w:sz w:val="18"/>
                  <w:szCs w:val="18"/>
                </w:rPr>
                <w:t>Spearfishing in the Whitsundays</w:t>
              </w:r>
            </w:hyperlink>
            <w:r w:rsidRPr="00E70A11">
              <w:rPr>
                <w:rFonts w:ascii="Arial Narrow" w:hAnsi="Arial Narrow"/>
                <w:sz w:val="18"/>
                <w:szCs w:val="18"/>
              </w:rPr>
              <w:t xml:space="preserve"> </w:t>
            </w:r>
          </w:p>
          <w:p w14:paraId="5761F49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media releases </w:t>
            </w:r>
            <w:hyperlink r:id="rId900" w:history="1">
              <w:r w:rsidRPr="00E70A11">
                <w:rPr>
                  <w:rFonts w:ascii="Arial Narrow" w:hAnsi="Arial Narrow"/>
                  <w:sz w:val="18"/>
                  <w:szCs w:val="18"/>
                </w:rPr>
                <w:t>19/9/2017</w:t>
              </w:r>
            </w:hyperlink>
            <w:r w:rsidRPr="00E70A11">
              <w:rPr>
                <w:rFonts w:ascii="Arial Narrow" w:hAnsi="Arial Narrow"/>
                <w:sz w:val="18"/>
                <w:szCs w:val="18"/>
              </w:rPr>
              <w:t xml:space="preserve"> and </w:t>
            </w:r>
            <w:hyperlink r:id="rId901" w:history="1">
              <w:r w:rsidRPr="00E70A11">
                <w:rPr>
                  <w:rFonts w:ascii="Arial Narrow" w:hAnsi="Arial Narrow"/>
                  <w:sz w:val="18"/>
                  <w:szCs w:val="18"/>
                </w:rPr>
                <w:t>5/7/2017</w:t>
              </w:r>
            </w:hyperlink>
          </w:p>
          <w:p w14:paraId="5761F49F"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902" w:history="1">
              <w:r w:rsidR="00A56EE9" w:rsidRPr="00E70A11">
                <w:rPr>
                  <w:rStyle w:val="Hyperlink"/>
                  <w:rFonts w:ascii="Arial Narrow" w:hAnsi="Arial Narrow"/>
                  <w:sz w:val="18"/>
                  <w:szCs w:val="18"/>
                </w:rPr>
                <w:t>QDAF - Fisheries data and reports</w:t>
              </w:r>
            </w:hyperlink>
          </w:p>
          <w:p w14:paraId="5761F4A0" w14:textId="77777777" w:rsidR="00A56EE9" w:rsidRPr="00E70A11" w:rsidRDefault="00A56EE9" w:rsidP="00BB6AD5">
            <w:pPr>
              <w:pStyle w:val="ListParagraph"/>
              <w:ind w:left="360"/>
              <w:rPr>
                <w:rFonts w:ascii="Arial Narrow" w:hAnsi="Arial Narrow"/>
                <w:sz w:val="18"/>
                <w:szCs w:val="18"/>
              </w:rPr>
            </w:pPr>
          </w:p>
          <w:p w14:paraId="5761F4A1" w14:textId="77777777" w:rsidR="00A56EE9" w:rsidRPr="00E70A11" w:rsidRDefault="00A56EE9" w:rsidP="00BB6AD5">
            <w:pPr>
              <w:pStyle w:val="ListParagraph"/>
              <w:ind w:left="360"/>
              <w:rPr>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4A2"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4A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4AE"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shd w:val="clear" w:color="auto" w:fill="auto"/>
          </w:tcPr>
          <w:p w14:paraId="5761F4A5"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recreational fishing are in place within agencies</w:t>
            </w:r>
          </w:p>
        </w:tc>
        <w:tc>
          <w:tcPr>
            <w:tcW w:w="734" w:type="dxa"/>
            <w:tcBorders>
              <w:top w:val="single" w:sz="4" w:space="0" w:color="auto"/>
              <w:left w:val="single" w:sz="4" w:space="0" w:color="auto"/>
              <w:bottom w:val="single" w:sz="4" w:space="0" w:color="auto"/>
              <w:right w:val="single" w:sz="4" w:space="0" w:color="auto"/>
            </w:tcBorders>
          </w:tcPr>
          <w:p w14:paraId="5761F4A6"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A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Data on recreational fishing incidents/alleged non-compliance is maintained and stored securely by the GBRMPA Compliance section. Separate to compliance matters, GBRMPA stores little data.</w:t>
            </w:r>
          </w:p>
          <w:p w14:paraId="5761F4A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Fisheries Queensland Provides reports on recreational fishers from boat ramps.</w:t>
            </w:r>
          </w:p>
          <w:p w14:paraId="5761F4A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Data is shared between agencies and with the community, e.g. Qfish database</w:t>
            </w:r>
          </w:p>
        </w:tc>
        <w:tc>
          <w:tcPr>
            <w:tcW w:w="5260" w:type="dxa"/>
            <w:tcBorders>
              <w:top w:val="single" w:sz="4" w:space="0" w:color="auto"/>
              <w:left w:val="single" w:sz="4" w:space="0" w:color="auto"/>
              <w:bottom w:val="single" w:sz="4" w:space="0" w:color="auto"/>
              <w:right w:val="single" w:sz="4" w:space="0" w:color="auto"/>
            </w:tcBorders>
          </w:tcPr>
          <w:p w14:paraId="5761F4AA" w14:textId="3002103A"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903" w:tooltip="document link" w:history="1">
              <w:r w:rsidR="00A56EE9" w:rsidRPr="00E70A11">
                <w:rPr>
                  <w:rStyle w:val="Hyperlink"/>
                  <w:rFonts w:ascii="Arial Narrow" w:hAnsi="Arial Narrow"/>
                  <w:sz w:val="18"/>
                  <w:szCs w:val="18"/>
                </w:rPr>
                <w:t>https://www.daf.qld.gov.au/business-priorities/fisheries/monitoring-our-fisheries/recreational-fisheries/get-involved-in-fisheries-monitoring/let-us-measure-your-catch</w:t>
              </w:r>
            </w:hyperlink>
            <w:r w:rsidR="00A56EE9" w:rsidRPr="00E70A11">
              <w:rPr>
                <w:rFonts w:ascii="Arial Narrow" w:hAnsi="Arial Narrow"/>
                <w:sz w:val="18"/>
                <w:szCs w:val="18"/>
              </w:rPr>
              <w:t xml:space="preserve"> </w:t>
            </w:r>
          </w:p>
          <w:p w14:paraId="5761F4AB" w14:textId="4FEBD86B"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904" w:tooltip="document link" w:history="1">
              <w:r w:rsidR="00A56EE9" w:rsidRPr="00E70A11">
                <w:rPr>
                  <w:rStyle w:val="Hyperlink"/>
                  <w:rFonts w:ascii="Arial Narrow" w:hAnsi="Arial Narrow"/>
                  <w:sz w:val="18"/>
                  <w:szCs w:val="18"/>
                </w:rPr>
                <w:t>https://publications.qld.gov.au/dataset/baseline-report-for-fisheries-qld-recreational-boat-based-fishing-survey</w:t>
              </w:r>
            </w:hyperlink>
          </w:p>
        </w:tc>
        <w:tc>
          <w:tcPr>
            <w:tcW w:w="1324" w:type="dxa"/>
            <w:tcBorders>
              <w:top w:val="single" w:sz="4" w:space="0" w:color="auto"/>
              <w:left w:val="single" w:sz="4" w:space="0" w:color="auto"/>
              <w:bottom w:val="single" w:sz="4" w:space="0" w:color="auto"/>
              <w:right w:val="single" w:sz="4" w:space="0" w:color="auto"/>
            </w:tcBorders>
          </w:tcPr>
          <w:p w14:paraId="5761F4AC" w14:textId="77777777" w:rsidR="00A56EE9" w:rsidRPr="00E70A11" w:rsidRDefault="00A56EE9" w:rsidP="00BB6AD5">
            <w:pPr>
              <w:pStyle w:val="Tablebulletlist"/>
              <w:rPr>
                <w:rStyle w:val="BookTitle"/>
              </w:rPr>
            </w:pPr>
            <w:r w:rsidRPr="00E70A11">
              <w:rPr>
                <w:rStyle w:val="BookTitle"/>
              </w:rPr>
              <w:t xml:space="preserve">Limited </w:t>
            </w:r>
          </w:p>
        </w:tc>
        <w:tc>
          <w:tcPr>
            <w:tcW w:w="1061" w:type="dxa"/>
            <w:tcBorders>
              <w:top w:val="single" w:sz="4" w:space="0" w:color="auto"/>
              <w:left w:val="single" w:sz="4" w:space="0" w:color="auto"/>
              <w:bottom w:val="single" w:sz="4" w:space="0" w:color="auto"/>
              <w:right w:val="single" w:sz="4" w:space="0" w:color="auto"/>
            </w:tcBorders>
          </w:tcPr>
          <w:p w14:paraId="5761F4AD"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BE"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AF"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recreational fishing with the community</w:t>
            </w:r>
          </w:p>
        </w:tc>
        <w:tc>
          <w:tcPr>
            <w:tcW w:w="734" w:type="dxa"/>
            <w:tcBorders>
              <w:top w:val="single" w:sz="4" w:space="0" w:color="auto"/>
              <w:left w:val="single" w:sz="4" w:space="0" w:color="auto"/>
              <w:bottom w:val="single" w:sz="4" w:space="0" w:color="auto"/>
              <w:right w:val="single" w:sz="4" w:space="0" w:color="auto"/>
            </w:tcBorders>
          </w:tcPr>
          <w:p w14:paraId="5761F4B0"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B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Results of recreational fishing surveys are available online and status reports are also publically available. </w:t>
            </w:r>
          </w:p>
          <w:p w14:paraId="5761F4B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An education program for recreational fishers is maintained by DAF with an annual cycle of information and education materials available through media, online and distribution by staff.</w:t>
            </w:r>
          </w:p>
          <w:p w14:paraId="5761F4B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Marine Park Zoning is now available on the Qld Fisheries App and on GBRMPA’s Eye on the Reef app.</w:t>
            </w:r>
            <w:r>
              <w:rPr>
                <w:rFonts w:ascii="Arial Narrow" w:hAnsi="Arial Narrow"/>
                <w:sz w:val="18"/>
                <w:szCs w:val="18"/>
              </w:rPr>
              <w:t xml:space="preserve"> </w:t>
            </w:r>
            <w:r w:rsidRPr="00E70A11">
              <w:rPr>
                <w:rFonts w:ascii="Arial Narrow" w:hAnsi="Arial Narrow"/>
                <w:sz w:val="18"/>
                <w:szCs w:val="18"/>
              </w:rPr>
              <w:t>This has met a major technological deficiency in the information that was previously available to recreational fishers.</w:t>
            </w:r>
          </w:p>
          <w:p w14:paraId="5761F4B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Marine Park Authority</w:t>
            </w:r>
            <w:r>
              <w:rPr>
                <w:rFonts w:ascii="Arial Narrow" w:hAnsi="Arial Narrow"/>
                <w:sz w:val="18"/>
                <w:szCs w:val="18"/>
              </w:rPr>
              <w:t xml:space="preserve"> </w:t>
            </w:r>
            <w:r w:rsidRPr="00E70A11">
              <w:rPr>
                <w:rFonts w:ascii="Arial Narrow" w:hAnsi="Arial Narrow"/>
                <w:sz w:val="18"/>
                <w:szCs w:val="18"/>
              </w:rPr>
              <w:t>and Queensland Fisheries issue proactive media releases</w:t>
            </w:r>
          </w:p>
          <w:p w14:paraId="5761F4B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Fisheries Queensland maintains a range of active social media channels, including 35,000 facebook followers. </w:t>
            </w:r>
          </w:p>
        </w:tc>
        <w:tc>
          <w:tcPr>
            <w:tcW w:w="5260" w:type="dxa"/>
            <w:tcBorders>
              <w:top w:val="single" w:sz="4" w:space="0" w:color="auto"/>
              <w:left w:val="single" w:sz="4" w:space="0" w:color="auto"/>
              <w:bottom w:val="single" w:sz="4" w:space="0" w:color="auto"/>
              <w:right w:val="single" w:sz="4" w:space="0" w:color="auto"/>
            </w:tcBorders>
          </w:tcPr>
          <w:p w14:paraId="5761F4B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Queensland Department of Agriculture and Fisheries </w:t>
            </w:r>
            <w:hyperlink r:id="rId905" w:history="1">
              <w:r w:rsidRPr="00E70A11">
                <w:rPr>
                  <w:rFonts w:ascii="Arial Narrow" w:hAnsi="Arial Narrow"/>
                  <w:sz w:val="18"/>
                  <w:szCs w:val="18"/>
                </w:rPr>
                <w:t>website – data and reports</w:t>
              </w:r>
            </w:hyperlink>
          </w:p>
          <w:p w14:paraId="5761F4B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Queensland Department of Agriculture and Fisheries </w:t>
            </w:r>
            <w:hyperlink r:id="rId906" w:history="1">
              <w:r w:rsidRPr="00E70A11">
                <w:rPr>
                  <w:rFonts w:ascii="Arial Narrow" w:hAnsi="Arial Narrow"/>
                  <w:sz w:val="18"/>
                  <w:szCs w:val="18"/>
                </w:rPr>
                <w:t>website – Recreational fishing</w:t>
              </w:r>
            </w:hyperlink>
          </w:p>
          <w:p w14:paraId="5761F4B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QPWS/GBRMPA’s flyer </w:t>
            </w:r>
            <w:hyperlink r:id="rId907" w:history="1">
              <w:r w:rsidRPr="00E70A11">
                <w:rPr>
                  <w:rFonts w:ascii="Arial Narrow" w:hAnsi="Arial Narrow"/>
                  <w:sz w:val="18"/>
                  <w:szCs w:val="18"/>
                </w:rPr>
                <w:t>Spearfishing in the Whitsundays</w:t>
              </w:r>
            </w:hyperlink>
            <w:r w:rsidRPr="00E70A11">
              <w:rPr>
                <w:rFonts w:ascii="Arial Narrow" w:hAnsi="Arial Narrow"/>
                <w:sz w:val="18"/>
                <w:szCs w:val="18"/>
              </w:rPr>
              <w:t xml:space="preserve"> </w:t>
            </w:r>
          </w:p>
          <w:p w14:paraId="5761F4B9"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media releases </w:t>
            </w:r>
            <w:hyperlink r:id="rId908" w:history="1">
              <w:r w:rsidRPr="00E70A11">
                <w:rPr>
                  <w:rFonts w:ascii="Arial Narrow" w:hAnsi="Arial Narrow"/>
                  <w:sz w:val="18"/>
                  <w:szCs w:val="18"/>
                </w:rPr>
                <w:t>19/9/2017</w:t>
              </w:r>
            </w:hyperlink>
            <w:r w:rsidRPr="00E70A11">
              <w:rPr>
                <w:rFonts w:ascii="Arial Narrow" w:hAnsi="Arial Narrow"/>
                <w:sz w:val="18"/>
                <w:szCs w:val="18"/>
              </w:rPr>
              <w:t xml:space="preserve"> and </w:t>
            </w:r>
            <w:hyperlink r:id="rId909" w:history="1">
              <w:r w:rsidRPr="00E70A11">
                <w:rPr>
                  <w:rFonts w:ascii="Arial Narrow" w:hAnsi="Arial Narrow"/>
                  <w:sz w:val="18"/>
                  <w:szCs w:val="18"/>
                </w:rPr>
                <w:t>5/7/2017</w:t>
              </w:r>
            </w:hyperlink>
          </w:p>
          <w:p w14:paraId="5761F4BA" w14:textId="77777777" w:rsidR="00A56EE9" w:rsidRDefault="00A56EE9" w:rsidP="00A11869">
            <w:pPr>
              <w:pStyle w:val="ListParagraph"/>
              <w:numPr>
                <w:ilvl w:val="0"/>
                <w:numId w:val="24"/>
              </w:numPr>
              <w:spacing w:after="200" w:line="276" w:lineRule="auto"/>
              <w:rPr>
                <w:rFonts w:ascii="Arial Narrow" w:hAnsi="Arial Narrow"/>
                <w:sz w:val="18"/>
                <w:szCs w:val="18"/>
              </w:rPr>
            </w:pPr>
            <w:r>
              <w:rPr>
                <w:rFonts w:ascii="Arial Narrow" w:hAnsi="Arial Narrow"/>
                <w:sz w:val="18"/>
                <w:szCs w:val="18"/>
              </w:rPr>
              <w:t>Queensland Fisheries app</w:t>
            </w:r>
          </w:p>
          <w:p w14:paraId="5761F4B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Pr>
                <w:rFonts w:ascii="Arial Narrow" w:hAnsi="Arial Narrow"/>
                <w:sz w:val="18"/>
                <w:szCs w:val="18"/>
              </w:rPr>
              <w:t>Eye on the Reef app</w:t>
            </w:r>
          </w:p>
        </w:tc>
        <w:tc>
          <w:tcPr>
            <w:tcW w:w="1324" w:type="dxa"/>
            <w:tcBorders>
              <w:top w:val="single" w:sz="4" w:space="0" w:color="auto"/>
              <w:left w:val="single" w:sz="4" w:space="0" w:color="auto"/>
              <w:bottom w:val="single" w:sz="4" w:space="0" w:color="auto"/>
              <w:right w:val="single" w:sz="4" w:space="0" w:color="auto"/>
            </w:tcBorders>
          </w:tcPr>
          <w:p w14:paraId="5761F4BC" w14:textId="77777777" w:rsidR="00A56EE9" w:rsidRPr="00E70A11" w:rsidRDefault="00A56EE9" w:rsidP="00BB6AD5">
            <w:pPr>
              <w:pStyle w:val="Tablebulletlist"/>
              <w:rPr>
                <w:rStyle w:val="BookTitle"/>
              </w:rPr>
            </w:pPr>
            <w:r w:rsidRPr="00E70A11">
              <w:rPr>
                <w:rStyle w:val="BookTitle"/>
              </w:rPr>
              <w:t xml:space="preserve">Limited </w:t>
            </w:r>
          </w:p>
        </w:tc>
        <w:tc>
          <w:tcPr>
            <w:tcW w:w="1061" w:type="dxa"/>
            <w:tcBorders>
              <w:top w:val="single" w:sz="4" w:space="0" w:color="auto"/>
              <w:left w:val="single" w:sz="4" w:space="0" w:color="auto"/>
              <w:bottom w:val="single" w:sz="4" w:space="0" w:color="auto"/>
              <w:right w:val="single" w:sz="4" w:space="0" w:color="auto"/>
            </w:tcBorders>
          </w:tcPr>
          <w:p w14:paraId="5761F4BD"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C5"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BF" w14:textId="77777777" w:rsidR="00A56EE9" w:rsidRPr="00E70A11" w:rsidRDefault="00A56EE9" w:rsidP="00BB6AD5">
            <w:pPr>
              <w:pStyle w:val="Tablebulletlist"/>
              <w:rPr>
                <w:rStyle w:val="BookTitle"/>
              </w:rPr>
            </w:pPr>
            <w:r w:rsidRPr="00E70A11">
              <w:rPr>
                <w:rStyle w:val="BookTitle"/>
              </w:rPr>
              <w:t>OUTCOMES</w:t>
            </w:r>
          </w:p>
        </w:tc>
        <w:tc>
          <w:tcPr>
            <w:tcW w:w="73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C0" w14:textId="77777777" w:rsidR="00A56EE9" w:rsidRPr="00E70A11" w:rsidRDefault="00A56EE9" w:rsidP="00BB6AD5">
            <w:pPr>
              <w:pStyle w:val="Tablebulletlist"/>
              <w:rPr>
                <w:rStyle w:val="BookTitle"/>
              </w:rPr>
            </w:pPr>
          </w:p>
        </w:tc>
        <w:tc>
          <w:tcPr>
            <w:tcW w:w="496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C1" w14:textId="77777777" w:rsidR="00A56EE9" w:rsidRPr="00E70A11" w:rsidRDefault="00A56EE9" w:rsidP="00BB6AD5">
            <w:pPr>
              <w:pStyle w:val="ListParagraph"/>
              <w:ind w:left="360"/>
              <w:rPr>
                <w:rStyle w:val="BookTitle"/>
                <w:rFonts w:ascii="Arial Narrow" w:hAnsi="Arial Narrow"/>
                <w:sz w:val="18"/>
                <w:szCs w:val="18"/>
              </w:rPr>
            </w:pPr>
          </w:p>
        </w:tc>
        <w:tc>
          <w:tcPr>
            <w:tcW w:w="526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C2"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C3" w14:textId="77777777" w:rsidR="00A56EE9" w:rsidRPr="00E70A11" w:rsidRDefault="00A56EE9" w:rsidP="00BB6AD5">
            <w:pPr>
              <w:pStyle w:val="Tablebulletlist"/>
              <w:rPr>
                <w:rStyle w:val="BookTitle"/>
              </w:rPr>
            </w:pPr>
          </w:p>
        </w:tc>
        <w:tc>
          <w:tcPr>
            <w:tcW w:w="106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4C4" w14:textId="77777777" w:rsidR="00A56EE9" w:rsidRPr="00E70A11" w:rsidRDefault="00A56EE9" w:rsidP="00BB6AD5">
            <w:pPr>
              <w:pStyle w:val="Tablebulletlist"/>
              <w:rPr>
                <w:rStyle w:val="BookTitle"/>
              </w:rPr>
            </w:pPr>
          </w:p>
        </w:tc>
      </w:tr>
      <w:tr w:rsidR="00A56EE9" w:rsidRPr="00E70A11" w14:paraId="5761F4D0"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C6"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recreational fishing and moving towards the attainment of the desired outcomes.</w:t>
            </w:r>
          </w:p>
        </w:tc>
        <w:tc>
          <w:tcPr>
            <w:tcW w:w="734" w:type="dxa"/>
            <w:tcBorders>
              <w:top w:val="single" w:sz="4" w:space="0" w:color="auto"/>
              <w:left w:val="single" w:sz="4" w:space="0" w:color="auto"/>
              <w:bottom w:val="single" w:sz="4" w:space="0" w:color="auto"/>
              <w:right w:val="single" w:sz="4" w:space="0" w:color="auto"/>
            </w:tcBorders>
          </w:tcPr>
          <w:p w14:paraId="5761F4C7"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C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Queensland Sustainable Fisheries Strategy states – ‘The current arrangements governing fisheries are problematic, costly to administer, inflexible and increasingly ineffective in ensuring the sustainability of fisheries resources and the economic viability of fishing sector’s’.</w:t>
            </w:r>
          </w:p>
          <w:p w14:paraId="5761F4C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Illegal fishing activities undermine the attainment of the desired outcomes.</w:t>
            </w:r>
          </w:p>
          <w:p w14:paraId="5761F4C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most recent Recreational Fishing survey estimates approximately 175,000 regular fishers in the GBRWHA catchment area. Although the rate of recreational fishing non-compliance has been estimated at only around 10% of fishers (with a range of 3-18% using different social science methods), this suggests that the number of people actually illegally fishing in no-take zones is substantially higher than the number detected through compliance enforcement efforts.</w:t>
            </w:r>
          </w:p>
        </w:tc>
        <w:tc>
          <w:tcPr>
            <w:tcW w:w="5260" w:type="dxa"/>
            <w:tcBorders>
              <w:top w:val="single" w:sz="4" w:space="0" w:color="auto"/>
              <w:left w:val="single" w:sz="4" w:space="0" w:color="auto"/>
              <w:bottom w:val="single" w:sz="4" w:space="0" w:color="auto"/>
              <w:right w:val="single" w:sz="4" w:space="0" w:color="auto"/>
            </w:tcBorders>
          </w:tcPr>
          <w:p w14:paraId="5761F4CB"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910" w:history="1">
              <w:r w:rsidR="00A56EE9" w:rsidRPr="00E70A11">
                <w:rPr>
                  <w:rFonts w:ascii="Arial Narrow" w:hAnsi="Arial Narrow"/>
                  <w:sz w:val="18"/>
                  <w:szCs w:val="18"/>
                </w:rPr>
                <w:t>Queensland Sustainable Fisheries Strategy 2017-2027</w:t>
              </w:r>
            </w:hyperlink>
            <w:r w:rsidR="00A56EE9" w:rsidRPr="00E70A11">
              <w:rPr>
                <w:rFonts w:ascii="Arial Narrow" w:hAnsi="Arial Narrow"/>
                <w:sz w:val="18"/>
                <w:szCs w:val="18"/>
              </w:rPr>
              <w:t>, pg 13</w:t>
            </w:r>
          </w:p>
          <w:p w14:paraId="5761F4C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Bergseth, Brock J., Russ, Garry R., and Cinner, Joshua E. (2015</w:t>
            </w:r>
            <w:hyperlink r:id="rId911" w:history="1">
              <w:r w:rsidRPr="00E70A11">
                <w:rPr>
                  <w:rFonts w:ascii="Arial Narrow" w:hAnsi="Arial Narrow"/>
                  <w:sz w:val="18"/>
                  <w:szCs w:val="18"/>
                </w:rPr>
                <w:t>) Measuring and monitoring compliance in no-take marine reserves.</w:t>
              </w:r>
            </w:hyperlink>
            <w:r w:rsidRPr="00E70A11">
              <w:rPr>
                <w:rFonts w:ascii="Arial Narrow" w:hAnsi="Arial Narrow"/>
                <w:sz w:val="18"/>
                <w:szCs w:val="18"/>
              </w:rPr>
              <w:t xml:space="preserve"> Fish and Fisheries, 16 (2). pp. 240-258) </w:t>
            </w:r>
          </w:p>
          <w:p w14:paraId="5761F4CD"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4CE"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4C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E2"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D1"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recreational fishing are on track to ensure the values of the Great Barrier Reef are protected (refer CO1)</w:t>
            </w:r>
          </w:p>
        </w:tc>
        <w:tc>
          <w:tcPr>
            <w:tcW w:w="734" w:type="dxa"/>
            <w:tcBorders>
              <w:top w:val="single" w:sz="4" w:space="0" w:color="auto"/>
              <w:left w:val="single" w:sz="4" w:space="0" w:color="auto"/>
              <w:bottom w:val="single" w:sz="4" w:space="0" w:color="auto"/>
              <w:right w:val="single" w:sz="4" w:space="0" w:color="auto"/>
            </w:tcBorders>
          </w:tcPr>
          <w:p w14:paraId="5761F4D2"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D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Stock status assessments indicate fish stocks are in generally good shape.</w:t>
            </w:r>
          </w:p>
          <w:p w14:paraId="5761F4D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Snapper is the only species taken by recreational fishers in the GBR is considered to be overfished.</w:t>
            </w:r>
            <w:r>
              <w:rPr>
                <w:rFonts w:ascii="Arial Narrow" w:hAnsi="Arial Narrow"/>
                <w:sz w:val="18"/>
                <w:szCs w:val="18"/>
              </w:rPr>
              <w:t xml:space="preserve"> </w:t>
            </w:r>
            <w:r w:rsidRPr="00E70A11">
              <w:rPr>
                <w:rFonts w:ascii="Arial Narrow" w:hAnsi="Arial Narrow"/>
                <w:sz w:val="18"/>
                <w:szCs w:val="18"/>
              </w:rPr>
              <w:t>However both pearl perch (classed as transitional depleting) and Spanish mackerel (significantly reduced spawning aggregations and catch rate) as heavily targeted by recreational fishers.</w:t>
            </w:r>
          </w:p>
          <w:p w14:paraId="5761F4D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Localised depletion may be occurring in some high use areas due to the cumulative effects of recreational fishing activity. However, concern has been raised that controls over legal activities are insufficient to ensure fisheries resource and broader ecosystem sustainability.</w:t>
            </w:r>
          </w:p>
          <w:p w14:paraId="5761F4D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Outputs related to the QSFS have not yet been realised</w:t>
            </w:r>
          </w:p>
          <w:p w14:paraId="5761F4D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Fishing related risks </w:t>
            </w:r>
          </w:p>
          <w:p w14:paraId="5761F4D8"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Incidental catch of species of conservation concern</w:t>
            </w:r>
          </w:p>
          <w:p w14:paraId="5761F4D9"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Illegal fishing and poaching</w:t>
            </w:r>
          </w:p>
          <w:p w14:paraId="5761F4DA"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Extraction of predators</w:t>
            </w:r>
          </w:p>
          <w:p w14:paraId="5761F4DB"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Discarded catch</w:t>
            </w:r>
          </w:p>
          <w:p w14:paraId="5761F4DC"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Extraction from spawning aggregations</w:t>
            </w:r>
          </w:p>
          <w:p w14:paraId="5761F4DD" w14:textId="77777777" w:rsidR="00A56EE9" w:rsidRPr="00E70A11" w:rsidRDefault="00A56EE9" w:rsidP="00BB6AD5">
            <w:pPr>
              <w:pStyle w:val="ListParagraph"/>
              <w:ind w:left="360"/>
              <w:rPr>
                <w:rStyle w:val="BookTitle"/>
                <w:rFonts w:ascii="Arial Narrow" w:hAnsi="Arial Narrow"/>
                <w:sz w:val="18"/>
                <w:szCs w:val="18"/>
              </w:rPr>
            </w:pPr>
            <w:proofErr w:type="gramStart"/>
            <w:r w:rsidRPr="00E70A11">
              <w:rPr>
                <w:rFonts w:ascii="Arial Narrow" w:hAnsi="Arial Narrow"/>
                <w:sz w:val="18"/>
                <w:szCs w:val="18"/>
              </w:rPr>
              <w:t>directly</w:t>
            </w:r>
            <w:proofErr w:type="gramEnd"/>
            <w:r w:rsidRPr="00E70A11">
              <w:rPr>
                <w:rFonts w:ascii="Arial Narrow" w:hAnsi="Arial Narrow"/>
                <w:sz w:val="18"/>
                <w:szCs w:val="18"/>
              </w:rPr>
              <w:t xml:space="preserve"> impact the values of the Great Barrier Reef. Whilst there have been efforts in the Field Management Program to mitigate illegal fishing and poaching, there has been no program to date to mitigate the other very high and high fishing related risks.</w:t>
            </w:r>
          </w:p>
        </w:tc>
        <w:tc>
          <w:tcPr>
            <w:tcW w:w="5260" w:type="dxa"/>
            <w:tcBorders>
              <w:top w:val="single" w:sz="4" w:space="0" w:color="auto"/>
              <w:left w:val="single" w:sz="4" w:space="0" w:color="auto"/>
              <w:bottom w:val="single" w:sz="4" w:space="0" w:color="auto"/>
              <w:right w:val="single" w:sz="4" w:space="0" w:color="auto"/>
            </w:tcBorders>
          </w:tcPr>
          <w:p w14:paraId="5761F4DE" w14:textId="00DDAAB6"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w:t>
            </w:r>
            <w:hyperlink r:id="rId912" w:tooltip="document link" w:history="1">
              <w:r w:rsidRPr="00E70A11">
                <w:rPr>
                  <w:rStyle w:val="Hyperlink"/>
                  <w:rFonts w:ascii="Arial Narrow" w:hAnsi="Arial Narrow"/>
                  <w:sz w:val="18"/>
                  <w:szCs w:val="18"/>
                </w:rPr>
                <w:t>https://www.daf.qld.gov.au/fisheries/monitoring-our-fisheries/data-reports/sustainability-reporting/stock-status-assessments/summary-2016</w:t>
              </w:r>
            </w:hyperlink>
          </w:p>
          <w:p w14:paraId="5761F4DF" w14:textId="77777777" w:rsidR="00A56EE9" w:rsidRPr="00E70A11" w:rsidRDefault="00A56EE9" w:rsidP="00BB6AD5">
            <w:pPr>
              <w:pStyle w:val="ListParagraph"/>
              <w:ind w:left="360"/>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4E0"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4E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4EA"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E3"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recreational fishing are reducing the major risks and the threats to the Great Barrier Reef</w:t>
            </w:r>
          </w:p>
        </w:tc>
        <w:tc>
          <w:tcPr>
            <w:tcW w:w="734" w:type="dxa"/>
            <w:tcBorders>
              <w:top w:val="single" w:sz="4" w:space="0" w:color="auto"/>
              <w:left w:val="single" w:sz="4" w:space="0" w:color="auto"/>
              <w:bottom w:val="single" w:sz="4" w:space="0" w:color="auto"/>
              <w:right w:val="single" w:sz="4" w:space="0" w:color="auto"/>
            </w:tcBorders>
          </w:tcPr>
          <w:p w14:paraId="5761F4E4"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E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Recreational fishing is poorly quantified and increasing trends are likely to pose a management challenge to attain sustainability </w:t>
            </w:r>
          </w:p>
          <w:p w14:paraId="5761F4E6" w14:textId="7B36912A" w:rsidR="00A56EE9" w:rsidRPr="00A36617" w:rsidRDefault="00A56EE9" w:rsidP="005B74CE">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There are increasing concerns regarding the levels of non-compliance with marine no-take areas in the GBRMP over recent years. However the strategic compliance program delivered through the FMP is actively targeting recreational fishing in green </w:t>
            </w:r>
            <w:r w:rsidR="007049ED">
              <w:rPr>
                <w:rFonts w:ascii="Arial Narrow" w:hAnsi="Arial Narrow"/>
                <w:sz w:val="18"/>
                <w:szCs w:val="18"/>
              </w:rPr>
              <w:t>(no</w:t>
            </w:r>
            <w:r w:rsidR="005B74CE">
              <w:rPr>
                <w:rFonts w:ascii="Arial Narrow" w:hAnsi="Arial Narrow"/>
                <w:sz w:val="18"/>
                <w:szCs w:val="18"/>
              </w:rPr>
              <w:t>-</w:t>
            </w:r>
            <w:r w:rsidR="007049ED">
              <w:rPr>
                <w:rFonts w:ascii="Arial Narrow" w:hAnsi="Arial Narrow"/>
                <w:sz w:val="18"/>
                <w:szCs w:val="18"/>
              </w:rPr>
              <w:t>take)</w:t>
            </w:r>
            <w:r w:rsidR="005B74CE">
              <w:rPr>
                <w:rFonts w:ascii="Arial Narrow" w:hAnsi="Arial Narrow"/>
                <w:sz w:val="18"/>
                <w:szCs w:val="18"/>
              </w:rPr>
              <w:t xml:space="preserve"> </w:t>
            </w:r>
            <w:r w:rsidRPr="00E70A11">
              <w:rPr>
                <w:rFonts w:ascii="Arial Narrow" w:hAnsi="Arial Narrow"/>
                <w:sz w:val="18"/>
                <w:szCs w:val="18"/>
              </w:rPr>
              <w:t>zones.</w:t>
            </w:r>
          </w:p>
        </w:tc>
        <w:tc>
          <w:tcPr>
            <w:tcW w:w="5260" w:type="dxa"/>
            <w:tcBorders>
              <w:top w:val="single" w:sz="4" w:space="0" w:color="auto"/>
              <w:left w:val="single" w:sz="4" w:space="0" w:color="auto"/>
              <w:bottom w:val="single" w:sz="4" w:space="0" w:color="auto"/>
              <w:right w:val="single" w:sz="4" w:space="0" w:color="auto"/>
            </w:tcBorders>
          </w:tcPr>
          <w:p w14:paraId="5761F4E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Strategic Compliance Plan (FMP)</w:t>
            </w:r>
          </w:p>
        </w:tc>
        <w:tc>
          <w:tcPr>
            <w:tcW w:w="1324" w:type="dxa"/>
            <w:tcBorders>
              <w:top w:val="single" w:sz="4" w:space="0" w:color="auto"/>
              <w:left w:val="single" w:sz="4" w:space="0" w:color="auto"/>
              <w:bottom w:val="single" w:sz="4" w:space="0" w:color="auto"/>
              <w:right w:val="single" w:sz="4" w:space="0" w:color="auto"/>
            </w:tcBorders>
          </w:tcPr>
          <w:p w14:paraId="5761F4E8" w14:textId="77777777" w:rsidR="00A56EE9" w:rsidRPr="00E70A11" w:rsidRDefault="00A56EE9" w:rsidP="00BB6AD5">
            <w:pPr>
              <w:pStyle w:val="Tablebulletlist"/>
              <w:rPr>
                <w:rStyle w:val="BookTitle"/>
              </w:rPr>
            </w:pPr>
            <w:r w:rsidRPr="00E70A11">
              <w:rPr>
                <w:rStyle w:val="BookTitle"/>
              </w:rPr>
              <w:t xml:space="preserve">Limited </w:t>
            </w:r>
          </w:p>
        </w:tc>
        <w:tc>
          <w:tcPr>
            <w:tcW w:w="1061" w:type="dxa"/>
            <w:tcBorders>
              <w:top w:val="single" w:sz="4" w:space="0" w:color="auto"/>
              <w:left w:val="single" w:sz="4" w:space="0" w:color="auto"/>
              <w:bottom w:val="single" w:sz="4" w:space="0" w:color="auto"/>
              <w:right w:val="single" w:sz="4" w:space="0" w:color="auto"/>
            </w:tcBorders>
          </w:tcPr>
          <w:p w14:paraId="5761F4E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4F6"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EB"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recreational fishing is demonstrably environmentally sustainable</w:t>
            </w:r>
          </w:p>
        </w:tc>
        <w:tc>
          <w:tcPr>
            <w:tcW w:w="734" w:type="dxa"/>
            <w:tcBorders>
              <w:top w:val="single" w:sz="4" w:space="0" w:color="auto"/>
              <w:left w:val="single" w:sz="4" w:space="0" w:color="auto"/>
              <w:bottom w:val="single" w:sz="4" w:space="0" w:color="auto"/>
              <w:right w:val="single" w:sz="4" w:space="0" w:color="auto"/>
            </w:tcBorders>
          </w:tcPr>
          <w:p w14:paraId="5761F4EC" w14:textId="77777777" w:rsidR="00A56EE9" w:rsidRPr="00E70A11" w:rsidRDefault="00A56EE9" w:rsidP="00BB6AD5">
            <w:pPr>
              <w:pStyle w:val="Tablebulletlist"/>
              <w:rPr>
                <w:rStyle w:val="BookTitle"/>
              </w:rPr>
            </w:pPr>
            <w:r w:rsidRPr="00E70A11">
              <w:rPr>
                <w:rStyle w:val="BookTitle"/>
              </w:rPr>
              <w:t>2</w:t>
            </w:r>
          </w:p>
        </w:tc>
        <w:tc>
          <w:tcPr>
            <w:tcW w:w="4968" w:type="dxa"/>
            <w:tcBorders>
              <w:top w:val="single" w:sz="4" w:space="0" w:color="auto"/>
              <w:left w:val="single" w:sz="4" w:space="0" w:color="auto"/>
              <w:bottom w:val="single" w:sz="4" w:space="0" w:color="auto"/>
              <w:right w:val="single" w:sz="4" w:space="0" w:color="auto"/>
            </w:tcBorders>
          </w:tcPr>
          <w:p w14:paraId="5761F4E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One of the key impediments to demonstrating environmentally sustainable fishing is ongoing illegal fishing activities, but there are other issues as well including stock sustainability concerns, extraction from spawning aggregations and localised depletion.</w:t>
            </w:r>
          </w:p>
          <w:p w14:paraId="5761F4E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Some fish spawning is protected by Queensland legislation, for example through the Coral Reef Fin Fish Fishery spawning closures and the protection of barramundi during its main spawning season. </w:t>
            </w:r>
          </w:p>
          <w:p w14:paraId="5761F4E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are some localised stock concerns (e.g. grey mackerel in the Port Douglas region) but arguable that this is a social / resource sharing issue, rather than a sustainability issue.</w:t>
            </w:r>
          </w:p>
          <w:p w14:paraId="5761F4F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Independent monitoring to assess environmental sustainability is limited</w:t>
            </w:r>
          </w:p>
          <w:p w14:paraId="5761F4F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Recreational fishing is poorly quantified and increasing trends are likely to require a management challenge to ensure attainment of sustainability </w:t>
            </w:r>
          </w:p>
        </w:tc>
        <w:tc>
          <w:tcPr>
            <w:tcW w:w="5260" w:type="dxa"/>
            <w:tcBorders>
              <w:top w:val="single" w:sz="4" w:space="0" w:color="auto"/>
              <w:left w:val="single" w:sz="4" w:space="0" w:color="auto"/>
              <w:bottom w:val="single" w:sz="4" w:space="0" w:color="auto"/>
              <w:right w:val="single" w:sz="4" w:space="0" w:color="auto"/>
            </w:tcBorders>
          </w:tcPr>
          <w:p w14:paraId="5761F4F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913" w:history="1">
              <w:r w:rsidR="00A56EE9" w:rsidRPr="00E70A11">
                <w:rPr>
                  <w:rStyle w:val="Hyperlink"/>
                  <w:rFonts w:ascii="Arial Narrow" w:hAnsi="Arial Narrow"/>
                  <w:sz w:val="18"/>
                  <w:szCs w:val="18"/>
                </w:rPr>
                <w:t>Tobin et.al. (2014) Utilising innovative technology to better understand Spanish mackerel spawning aggregations and the protection offered by marine protected areas</w:t>
              </w:r>
            </w:hyperlink>
          </w:p>
          <w:p w14:paraId="5761F4F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w:t>
            </w:r>
          </w:p>
        </w:tc>
        <w:tc>
          <w:tcPr>
            <w:tcW w:w="1324" w:type="dxa"/>
            <w:tcBorders>
              <w:top w:val="single" w:sz="4" w:space="0" w:color="auto"/>
              <w:left w:val="single" w:sz="4" w:space="0" w:color="auto"/>
              <w:bottom w:val="single" w:sz="4" w:space="0" w:color="auto"/>
              <w:right w:val="single" w:sz="4" w:space="0" w:color="auto"/>
            </w:tcBorders>
          </w:tcPr>
          <w:p w14:paraId="5761F4F4" w14:textId="77777777" w:rsidR="00A56EE9" w:rsidRPr="00E70A11" w:rsidRDefault="00A56EE9" w:rsidP="00BB6AD5">
            <w:pPr>
              <w:pStyle w:val="Tablebulletlist"/>
              <w:rPr>
                <w:rStyle w:val="BookTitle"/>
              </w:rPr>
            </w:pPr>
            <w:r w:rsidRPr="00E70A11">
              <w:rPr>
                <w:rStyle w:val="BookTitle"/>
              </w:rPr>
              <w:t xml:space="preserve"> Limited</w:t>
            </w:r>
          </w:p>
        </w:tc>
        <w:tc>
          <w:tcPr>
            <w:tcW w:w="1061" w:type="dxa"/>
            <w:tcBorders>
              <w:top w:val="single" w:sz="4" w:space="0" w:color="auto"/>
              <w:left w:val="single" w:sz="4" w:space="0" w:color="auto"/>
              <w:bottom w:val="single" w:sz="4" w:space="0" w:color="auto"/>
              <w:right w:val="single" w:sz="4" w:space="0" w:color="auto"/>
            </w:tcBorders>
          </w:tcPr>
          <w:p w14:paraId="5761F4F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4FE"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F7"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recreational fishing is demonstrably economically sustainable</w:t>
            </w:r>
          </w:p>
        </w:tc>
        <w:tc>
          <w:tcPr>
            <w:tcW w:w="734" w:type="dxa"/>
            <w:tcBorders>
              <w:top w:val="single" w:sz="4" w:space="0" w:color="auto"/>
              <w:left w:val="single" w:sz="4" w:space="0" w:color="auto"/>
              <w:bottom w:val="single" w:sz="4" w:space="0" w:color="auto"/>
              <w:right w:val="single" w:sz="4" w:space="0" w:color="auto"/>
            </w:tcBorders>
          </w:tcPr>
          <w:p w14:paraId="5761F4F8"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4F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Recreational fishing is an important contributor to economic sustainability of regional communities.</w:t>
            </w:r>
          </w:p>
        </w:tc>
        <w:tc>
          <w:tcPr>
            <w:tcW w:w="5260" w:type="dxa"/>
            <w:tcBorders>
              <w:top w:val="single" w:sz="4" w:space="0" w:color="auto"/>
              <w:left w:val="single" w:sz="4" w:space="0" w:color="auto"/>
              <w:bottom w:val="single" w:sz="4" w:space="0" w:color="auto"/>
              <w:right w:val="single" w:sz="4" w:space="0" w:color="auto"/>
            </w:tcBorders>
          </w:tcPr>
          <w:p w14:paraId="5761F4F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Deloitte Economics (2013) </w:t>
            </w:r>
            <w:r w:rsidRPr="00E70A11">
              <w:rPr>
                <w:rFonts w:ascii="Arial Narrow" w:hAnsi="Arial Narrow"/>
                <w:i/>
                <w:sz w:val="18"/>
                <w:szCs w:val="18"/>
              </w:rPr>
              <w:t xml:space="preserve">Economic Contribution of the Great Barrier Reef </w:t>
            </w:r>
            <w:r w:rsidRPr="00E70A11">
              <w:rPr>
                <w:rFonts w:ascii="Arial Narrow" w:hAnsi="Arial Narrow"/>
                <w:sz w:val="18"/>
                <w:szCs w:val="18"/>
              </w:rPr>
              <w:t>,Great Barrier Reef Marine Park Authority</w:t>
            </w:r>
          </w:p>
          <w:p w14:paraId="5761F4FB"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rPr>
              <w:t xml:space="preserve">Deloitte Access Economics: </w:t>
            </w:r>
            <w:hyperlink r:id="rId914" w:history="1">
              <w:r w:rsidRPr="00E70A11">
                <w:rPr>
                  <w:rStyle w:val="Hyperlink"/>
                  <w:rFonts w:ascii="Arial Narrow" w:hAnsi="Arial Narrow"/>
                  <w:i/>
                  <w:sz w:val="18"/>
                  <w:szCs w:val="18"/>
                </w:rPr>
                <w:t>At what price? The economic, social and icon values of the Great Barrier Reef</w:t>
              </w:r>
            </w:hyperlink>
            <w:r w:rsidRPr="00E70A11">
              <w:rPr>
                <w:rFonts w:ascii="Arial Narrow" w:hAnsi="Arial Narrow"/>
                <w:i/>
                <w:sz w:val="18"/>
                <w:szCs w:val="18"/>
              </w:rPr>
              <w:t xml:space="preserve"> </w:t>
            </w:r>
          </w:p>
        </w:tc>
        <w:tc>
          <w:tcPr>
            <w:tcW w:w="1324" w:type="dxa"/>
            <w:tcBorders>
              <w:top w:val="single" w:sz="4" w:space="0" w:color="auto"/>
              <w:left w:val="single" w:sz="4" w:space="0" w:color="auto"/>
              <w:bottom w:val="single" w:sz="4" w:space="0" w:color="auto"/>
              <w:right w:val="single" w:sz="4" w:space="0" w:color="auto"/>
            </w:tcBorders>
          </w:tcPr>
          <w:p w14:paraId="5761F4FC" w14:textId="77777777" w:rsidR="00A56EE9" w:rsidRPr="00E70A11" w:rsidRDefault="00A56EE9" w:rsidP="00BB6AD5">
            <w:pPr>
              <w:pStyle w:val="Tablebulletlist"/>
              <w:rPr>
                <w:rStyle w:val="BookTitle"/>
              </w:rPr>
            </w:pPr>
            <w:r w:rsidRPr="00E70A11">
              <w:rPr>
                <w:rStyle w:val="CommentReference"/>
                <w:rFonts w:eastAsiaTheme="minorHAnsi"/>
              </w:rPr>
              <w:t>Adequate</w:t>
            </w:r>
          </w:p>
        </w:tc>
        <w:tc>
          <w:tcPr>
            <w:tcW w:w="1061" w:type="dxa"/>
            <w:tcBorders>
              <w:top w:val="single" w:sz="4" w:space="0" w:color="auto"/>
              <w:left w:val="single" w:sz="4" w:space="0" w:color="auto"/>
              <w:bottom w:val="single" w:sz="4" w:space="0" w:color="auto"/>
              <w:right w:val="single" w:sz="4" w:space="0" w:color="auto"/>
            </w:tcBorders>
          </w:tcPr>
          <w:p w14:paraId="5761F4F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508"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4FF"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recreational fishing is demonstrably socially sustainable in terms of understanding and/or enjoyment</w:t>
            </w:r>
          </w:p>
        </w:tc>
        <w:tc>
          <w:tcPr>
            <w:tcW w:w="734" w:type="dxa"/>
            <w:tcBorders>
              <w:top w:val="single" w:sz="4" w:space="0" w:color="auto"/>
              <w:left w:val="single" w:sz="4" w:space="0" w:color="auto"/>
              <w:bottom w:val="single" w:sz="4" w:space="0" w:color="auto"/>
              <w:right w:val="single" w:sz="4" w:space="0" w:color="auto"/>
            </w:tcBorders>
          </w:tcPr>
          <w:p w14:paraId="5761F500"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50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Surveys of recreational fishing and boat ownership details indicate the recreational participation in the GBR has decreased in the past five years</w:t>
            </w:r>
          </w:p>
          <w:p w14:paraId="5761F50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Recreational fishing has large community benefits, not just in supporting ancillary industries but in the health and wellbeing of those that participate.</w:t>
            </w:r>
          </w:p>
        </w:tc>
        <w:tc>
          <w:tcPr>
            <w:tcW w:w="5260" w:type="dxa"/>
            <w:tcBorders>
              <w:top w:val="single" w:sz="4" w:space="0" w:color="auto"/>
              <w:left w:val="single" w:sz="4" w:space="0" w:color="auto"/>
              <w:bottom w:val="single" w:sz="4" w:space="0" w:color="auto"/>
              <w:right w:val="single" w:sz="4" w:space="0" w:color="auto"/>
            </w:tcBorders>
          </w:tcPr>
          <w:p w14:paraId="5761F503" w14:textId="7CA42973" w:rsidR="00A56EE9" w:rsidRPr="00E70A11" w:rsidRDefault="008B5998" w:rsidP="00A11869">
            <w:pPr>
              <w:pStyle w:val="ListParagraph"/>
              <w:numPr>
                <w:ilvl w:val="0"/>
                <w:numId w:val="24"/>
              </w:numPr>
              <w:spacing w:after="200" w:line="276" w:lineRule="auto"/>
              <w:rPr>
                <w:rStyle w:val="BookTitle"/>
                <w:rFonts w:ascii="Arial Narrow" w:hAnsi="Arial Narrow"/>
                <w:sz w:val="18"/>
                <w:szCs w:val="18"/>
              </w:rPr>
            </w:pPr>
            <w:hyperlink r:id="rId915" w:tooltip="document link" w:history="1">
              <w:r w:rsidR="00A56EE9" w:rsidRPr="00E70A11">
                <w:rPr>
                  <w:rStyle w:val="Hyperlink"/>
                  <w:rFonts w:ascii="Arial Narrow" w:hAnsi="Arial Narrow"/>
                  <w:sz w:val="18"/>
                  <w:szCs w:val="18"/>
                </w:rPr>
                <w:t>https://www.daf.qld.gov.au/fisheries/monitoring-our-fisheries/recreational-fisheries/statewide-and-regional-recreational-fishing-survey</w:t>
              </w:r>
            </w:hyperlink>
          </w:p>
          <w:p w14:paraId="5761F504"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916" w:history="1">
              <w:r w:rsidR="00A56EE9" w:rsidRPr="00E70A11">
                <w:rPr>
                  <w:rStyle w:val="Hyperlink"/>
                  <w:rFonts w:ascii="Arial Narrow" w:hAnsi="Arial Narrow"/>
                  <w:sz w:val="18"/>
                  <w:szCs w:val="18"/>
                  <w:lang w:val="en"/>
                </w:rPr>
                <w:t>SELTMP total recreational fishing days in Qld within a year 2013</w:t>
              </w:r>
            </w:hyperlink>
          </w:p>
          <w:p w14:paraId="5761F505"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tc>
        <w:tc>
          <w:tcPr>
            <w:tcW w:w="1324" w:type="dxa"/>
            <w:tcBorders>
              <w:top w:val="single" w:sz="4" w:space="0" w:color="auto"/>
              <w:left w:val="single" w:sz="4" w:space="0" w:color="auto"/>
              <w:bottom w:val="single" w:sz="4" w:space="0" w:color="auto"/>
              <w:right w:val="single" w:sz="4" w:space="0" w:color="auto"/>
            </w:tcBorders>
          </w:tcPr>
          <w:p w14:paraId="5761F506" w14:textId="77777777" w:rsidR="00A56EE9" w:rsidRPr="00E70A11" w:rsidRDefault="00A56EE9" w:rsidP="00BB6AD5">
            <w:pPr>
              <w:pStyle w:val="Tablebulletlist"/>
              <w:rPr>
                <w:rStyle w:val="BookTitle"/>
              </w:rPr>
            </w:pPr>
            <w:r w:rsidRPr="00E70A11">
              <w:rPr>
                <w:rStyle w:val="BookTitle"/>
              </w:rPr>
              <w:t>Limited</w:t>
            </w:r>
          </w:p>
        </w:tc>
        <w:tc>
          <w:tcPr>
            <w:tcW w:w="1061" w:type="dxa"/>
            <w:tcBorders>
              <w:top w:val="single" w:sz="4" w:space="0" w:color="auto"/>
              <w:left w:val="single" w:sz="4" w:space="0" w:color="auto"/>
              <w:bottom w:val="single" w:sz="4" w:space="0" w:color="auto"/>
              <w:right w:val="single" w:sz="4" w:space="0" w:color="auto"/>
            </w:tcBorders>
          </w:tcPr>
          <w:p w14:paraId="5761F507"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F513" w14:textId="77777777" w:rsidTr="00BB6AD5">
        <w:trPr>
          <w:trHeight w:val="170"/>
        </w:trPr>
        <w:tc>
          <w:tcPr>
            <w:tcW w:w="2256" w:type="dxa"/>
            <w:tcBorders>
              <w:top w:val="single" w:sz="4" w:space="0" w:color="auto"/>
              <w:left w:val="single" w:sz="4" w:space="0" w:color="auto"/>
              <w:bottom w:val="single" w:sz="4" w:space="0" w:color="auto"/>
              <w:right w:val="single" w:sz="4" w:space="0" w:color="auto"/>
            </w:tcBorders>
          </w:tcPr>
          <w:p w14:paraId="5761F509"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recreational fishing </w:t>
            </w:r>
          </w:p>
        </w:tc>
        <w:tc>
          <w:tcPr>
            <w:tcW w:w="734" w:type="dxa"/>
            <w:tcBorders>
              <w:top w:val="single" w:sz="4" w:space="0" w:color="auto"/>
              <w:left w:val="single" w:sz="4" w:space="0" w:color="auto"/>
              <w:bottom w:val="single" w:sz="4" w:space="0" w:color="auto"/>
              <w:right w:val="single" w:sz="4" w:space="0" w:color="auto"/>
            </w:tcBorders>
          </w:tcPr>
          <w:p w14:paraId="5761F50A" w14:textId="77777777" w:rsidR="00A56EE9" w:rsidRPr="00E70A11" w:rsidRDefault="00A56EE9" w:rsidP="00BB6AD5">
            <w:pPr>
              <w:pStyle w:val="Tablebulletlist"/>
              <w:rPr>
                <w:rStyle w:val="BookTitle"/>
              </w:rPr>
            </w:pPr>
            <w:r w:rsidRPr="00E70A11">
              <w:rPr>
                <w:rStyle w:val="BookTitle"/>
              </w:rPr>
              <w:t>3</w:t>
            </w:r>
          </w:p>
        </w:tc>
        <w:tc>
          <w:tcPr>
            <w:tcW w:w="4968" w:type="dxa"/>
            <w:tcBorders>
              <w:top w:val="single" w:sz="4" w:space="0" w:color="auto"/>
              <w:left w:val="single" w:sz="4" w:space="0" w:color="auto"/>
              <w:bottom w:val="single" w:sz="4" w:space="0" w:color="auto"/>
              <w:right w:val="single" w:sz="4" w:space="0" w:color="auto"/>
            </w:tcBorders>
          </w:tcPr>
          <w:p w14:paraId="5761F50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Recreational fishing is a highly dispersed activity with most stakeholders having a view based on personal/local experiences.</w:t>
            </w:r>
            <w:r>
              <w:rPr>
                <w:rFonts w:ascii="Arial Narrow" w:hAnsi="Arial Narrow"/>
                <w:sz w:val="18"/>
                <w:szCs w:val="18"/>
              </w:rPr>
              <w:t xml:space="preserve"> </w:t>
            </w:r>
            <w:r w:rsidRPr="00E70A11">
              <w:rPr>
                <w:rFonts w:ascii="Arial Narrow" w:hAnsi="Arial Narrow"/>
                <w:sz w:val="18"/>
                <w:szCs w:val="18"/>
              </w:rPr>
              <w:t xml:space="preserve">This can cause partnership difficulties where information being provided by agencies is inconsistent with particular community or individual views. </w:t>
            </w:r>
          </w:p>
          <w:p w14:paraId="5761F50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All agencies conduct local and regional consultation. This can be somewhat fragmented at times. Partnerships involving local communities having a strong voice in management at a local level are rare. In part this is because management is undertaken at a State or Marine Park wide scale.</w:t>
            </w:r>
          </w:p>
        </w:tc>
        <w:tc>
          <w:tcPr>
            <w:tcW w:w="5260" w:type="dxa"/>
            <w:tcBorders>
              <w:top w:val="single" w:sz="4" w:space="0" w:color="auto"/>
              <w:left w:val="single" w:sz="4" w:space="0" w:color="auto"/>
              <w:bottom w:val="single" w:sz="4" w:space="0" w:color="auto"/>
              <w:right w:val="single" w:sz="4" w:space="0" w:color="auto"/>
            </w:tcBorders>
          </w:tcPr>
          <w:p w14:paraId="5761F50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discussions and workshops</w:t>
            </w:r>
          </w:p>
          <w:p w14:paraId="5761F50E"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917" w:history="1">
              <w:r w:rsidR="00A56EE9" w:rsidRPr="00E70A11">
                <w:rPr>
                  <w:rStyle w:val="Hyperlink"/>
                  <w:rFonts w:ascii="Arial Narrow" w:hAnsi="Arial Narrow"/>
                  <w:sz w:val="18"/>
                  <w:szCs w:val="18"/>
                </w:rPr>
                <w:t>Reef Guardian Fishers program</w:t>
              </w:r>
            </w:hyperlink>
          </w:p>
          <w:p w14:paraId="5761F50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See information above regarding GBRMPA involvement with Infofish.</w:t>
            </w:r>
          </w:p>
          <w:p w14:paraId="5761F510" w14:textId="77777777" w:rsidR="00A56EE9" w:rsidRPr="00E70A11" w:rsidRDefault="00A56EE9" w:rsidP="00BB6AD5">
            <w:pPr>
              <w:rPr>
                <w:rStyle w:val="BookTitle"/>
                <w:rFonts w:ascii="Arial Narrow" w:hAnsi="Arial Narrow"/>
                <w:sz w:val="18"/>
                <w:szCs w:val="18"/>
              </w:rPr>
            </w:pPr>
          </w:p>
        </w:tc>
        <w:tc>
          <w:tcPr>
            <w:tcW w:w="1324" w:type="dxa"/>
            <w:tcBorders>
              <w:top w:val="single" w:sz="4" w:space="0" w:color="auto"/>
              <w:left w:val="single" w:sz="4" w:space="0" w:color="auto"/>
              <w:bottom w:val="single" w:sz="4" w:space="0" w:color="auto"/>
              <w:right w:val="single" w:sz="4" w:space="0" w:color="auto"/>
            </w:tcBorders>
          </w:tcPr>
          <w:p w14:paraId="5761F511" w14:textId="77777777" w:rsidR="00A56EE9" w:rsidRPr="00E70A11" w:rsidRDefault="00A56EE9" w:rsidP="00BB6AD5">
            <w:pPr>
              <w:pStyle w:val="Tablebulletlist"/>
              <w:rPr>
                <w:rStyle w:val="BookTitle"/>
              </w:rPr>
            </w:pPr>
            <w:r w:rsidRPr="00E70A11">
              <w:rPr>
                <w:rStyle w:val="BookTitle"/>
              </w:rPr>
              <w:t xml:space="preserve">Adequate </w:t>
            </w:r>
          </w:p>
        </w:tc>
        <w:tc>
          <w:tcPr>
            <w:tcW w:w="1061" w:type="dxa"/>
            <w:tcBorders>
              <w:top w:val="single" w:sz="4" w:space="0" w:color="auto"/>
              <w:left w:val="single" w:sz="4" w:space="0" w:color="auto"/>
              <w:bottom w:val="single" w:sz="4" w:space="0" w:color="auto"/>
              <w:right w:val="single" w:sz="4" w:space="0" w:color="auto"/>
            </w:tcBorders>
          </w:tcPr>
          <w:p w14:paraId="5761F512" w14:textId="77777777" w:rsidR="00A56EE9" w:rsidRPr="00E70A11" w:rsidRDefault="00A56EE9" w:rsidP="00BB6AD5">
            <w:pPr>
              <w:pStyle w:val="Tablebulletlist"/>
              <w:rPr>
                <w:rStyle w:val="BookTitle"/>
              </w:rPr>
            </w:pPr>
            <w:r w:rsidRPr="00E70A11">
              <w:rPr>
                <w:rStyle w:val="BookTitle"/>
              </w:rPr>
              <w:t>Stable</w:t>
            </w:r>
          </w:p>
        </w:tc>
      </w:tr>
    </w:tbl>
    <w:p w14:paraId="5761F514" w14:textId="77777777" w:rsidR="00A56EE9" w:rsidRPr="00E70A11" w:rsidRDefault="00A56EE9" w:rsidP="00BB6AD5">
      <w:pPr>
        <w:rPr>
          <w:rFonts w:ascii="Arial Narrow" w:hAnsi="Arial Narrow"/>
          <w:sz w:val="18"/>
          <w:szCs w:val="18"/>
        </w:rPr>
      </w:pPr>
    </w:p>
    <w:p w14:paraId="5761F515" w14:textId="77777777" w:rsidR="00A56EE9" w:rsidRPr="00E70A11" w:rsidRDefault="00A56EE9" w:rsidP="00BB6AD5">
      <w:pPr>
        <w:rPr>
          <w:rFonts w:ascii="Arial Narrow" w:hAnsi="Arial Narrow"/>
          <w:sz w:val="18"/>
          <w:szCs w:val="18"/>
        </w:rPr>
      </w:pPr>
    </w:p>
    <w:p w14:paraId="5761F516" w14:textId="77777777" w:rsidR="00A56EE9" w:rsidRPr="00E70A11" w:rsidRDefault="00A56EE9" w:rsidP="00BB6AD5">
      <w:pPr>
        <w:rPr>
          <w:rFonts w:ascii="Arial Narrow" w:hAnsi="Arial Narrow"/>
          <w:sz w:val="18"/>
          <w:szCs w:val="18"/>
        </w:rPr>
      </w:pPr>
    </w:p>
    <w:p w14:paraId="5761F51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br w:type="page"/>
      </w:r>
    </w:p>
    <w:p w14:paraId="5761F518" w14:textId="22B33B3C" w:rsidR="00A56EE9" w:rsidRPr="00E70A11" w:rsidRDefault="00A56EE9" w:rsidP="009C7D6F">
      <w:pPr>
        <w:pStyle w:val="Heading4"/>
        <w:rPr>
          <w:rFonts w:eastAsia="Calibri"/>
          <w:sz w:val="18"/>
        </w:rPr>
      </w:pPr>
      <w:bookmarkStart w:id="200" w:name="_Toc520127178"/>
      <w:bookmarkStart w:id="201" w:name="_Toc522531120"/>
      <w:bookmarkStart w:id="202" w:name="_Toc522532007"/>
      <w:bookmarkStart w:id="203" w:name="_Toc525654474"/>
      <w:r>
        <w:t xml:space="preserve">Table </w:t>
      </w:r>
      <w:r>
        <w:rPr>
          <w:noProof/>
        </w:rPr>
        <w:fldChar w:fldCharType="begin"/>
      </w:r>
      <w:r>
        <w:rPr>
          <w:noProof/>
        </w:rPr>
        <w:instrText xml:space="preserve"> SEQ Table \* ARABIC </w:instrText>
      </w:r>
      <w:r>
        <w:rPr>
          <w:noProof/>
        </w:rPr>
        <w:fldChar w:fldCharType="separate"/>
      </w:r>
      <w:r w:rsidR="00A4170C">
        <w:rPr>
          <w:noProof/>
        </w:rPr>
        <w:t>29</w:t>
      </w:r>
      <w:r>
        <w:rPr>
          <w:noProof/>
        </w:rPr>
        <w:fldChar w:fldCharType="end"/>
      </w:r>
      <w:r>
        <w:t xml:space="preserve"> </w:t>
      </w:r>
      <w:r w:rsidRPr="00185B8F">
        <w:t>Calculation of grades for heritage (historic)</w:t>
      </w:r>
      <w:bookmarkEnd w:id="196"/>
      <w:bookmarkEnd w:id="200"/>
      <w:bookmarkEnd w:id="201"/>
      <w:bookmarkEnd w:id="202"/>
      <w:bookmarkEnd w:id="20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29 Calculation of grades for heritage (historic)"/>
        <w:tblDescription w:val="Table showing the ratings,  justificaiton and evidence for each of the components for the management effectiveness for heritage (historic).  Confidence in the assessment and trend since Outlook 2014 is also provided."/>
      </w:tblPr>
      <w:tblGrid>
        <w:gridCol w:w="2405"/>
        <w:gridCol w:w="709"/>
        <w:gridCol w:w="5103"/>
        <w:gridCol w:w="3907"/>
        <w:gridCol w:w="912"/>
        <w:gridCol w:w="912"/>
      </w:tblGrid>
      <w:tr w:rsidR="00A56EE9" w:rsidRPr="00E70A11" w14:paraId="5761F51F"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1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Component of Management</w:t>
            </w:r>
          </w:p>
        </w:tc>
        <w:tc>
          <w:tcPr>
            <w:tcW w:w="709" w:type="dxa"/>
            <w:tcBorders>
              <w:top w:val="single" w:sz="4" w:space="0" w:color="auto"/>
              <w:left w:val="single" w:sz="4" w:space="0" w:color="auto"/>
              <w:bottom w:val="single" w:sz="4" w:space="0" w:color="auto"/>
              <w:right w:val="single" w:sz="4" w:space="0" w:color="auto"/>
            </w:tcBorders>
          </w:tcPr>
          <w:p w14:paraId="5761F51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Rating</w:t>
            </w:r>
          </w:p>
        </w:tc>
        <w:tc>
          <w:tcPr>
            <w:tcW w:w="5103" w:type="dxa"/>
            <w:tcBorders>
              <w:top w:val="single" w:sz="4" w:space="0" w:color="auto"/>
              <w:left w:val="single" w:sz="4" w:space="0" w:color="auto"/>
              <w:bottom w:val="single" w:sz="4" w:space="0" w:color="auto"/>
              <w:right w:val="single" w:sz="4" w:space="0" w:color="auto"/>
            </w:tcBorders>
          </w:tcPr>
          <w:p w14:paraId="5761F51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Justification</w:t>
            </w:r>
          </w:p>
        </w:tc>
        <w:tc>
          <w:tcPr>
            <w:tcW w:w="3907" w:type="dxa"/>
            <w:tcBorders>
              <w:top w:val="single" w:sz="4" w:space="0" w:color="auto"/>
              <w:left w:val="single" w:sz="4" w:space="0" w:color="auto"/>
              <w:bottom w:val="single" w:sz="4" w:space="0" w:color="auto"/>
              <w:right w:val="single" w:sz="4" w:space="0" w:color="auto"/>
            </w:tcBorders>
          </w:tcPr>
          <w:p w14:paraId="5761F51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Evidence/sources</w:t>
            </w:r>
          </w:p>
        </w:tc>
        <w:tc>
          <w:tcPr>
            <w:tcW w:w="912" w:type="dxa"/>
            <w:tcBorders>
              <w:top w:val="single" w:sz="4" w:space="0" w:color="auto"/>
              <w:left w:val="single" w:sz="4" w:space="0" w:color="auto"/>
              <w:bottom w:val="single" w:sz="4" w:space="0" w:color="auto"/>
              <w:right w:val="single" w:sz="4" w:space="0" w:color="auto"/>
            </w:tcBorders>
          </w:tcPr>
          <w:p w14:paraId="5761F51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Confidence</w:t>
            </w:r>
          </w:p>
        </w:tc>
        <w:tc>
          <w:tcPr>
            <w:tcW w:w="912" w:type="dxa"/>
            <w:tcBorders>
              <w:top w:val="single" w:sz="4" w:space="0" w:color="auto"/>
              <w:left w:val="single" w:sz="4" w:space="0" w:color="auto"/>
              <w:bottom w:val="single" w:sz="4" w:space="0" w:color="auto"/>
              <w:right w:val="single" w:sz="4" w:space="0" w:color="auto"/>
            </w:tcBorders>
          </w:tcPr>
          <w:p w14:paraId="5761F51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Trend</w:t>
            </w:r>
          </w:p>
        </w:tc>
      </w:tr>
      <w:tr w:rsidR="00A56EE9" w:rsidRPr="00E70A11" w14:paraId="5761F526"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EEECE1"/>
          </w:tcPr>
          <w:p w14:paraId="5761F52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CONTEXT</w:t>
            </w:r>
          </w:p>
        </w:tc>
        <w:tc>
          <w:tcPr>
            <w:tcW w:w="709" w:type="dxa"/>
            <w:tcBorders>
              <w:top w:val="single" w:sz="4" w:space="0" w:color="auto"/>
              <w:left w:val="single" w:sz="4" w:space="0" w:color="auto"/>
              <w:bottom w:val="single" w:sz="4" w:space="0" w:color="auto"/>
              <w:right w:val="single" w:sz="4" w:space="0" w:color="auto"/>
            </w:tcBorders>
            <w:shd w:val="clear" w:color="auto" w:fill="EEECE1"/>
          </w:tcPr>
          <w:p w14:paraId="5761F521" w14:textId="77777777" w:rsidR="00A56EE9" w:rsidRPr="00E70A11" w:rsidRDefault="00A56EE9" w:rsidP="00BB6AD5">
            <w:pPr>
              <w:rPr>
                <w:rFonts w:ascii="Arial Narrow" w:hAnsi="Arial Narrow"/>
                <w:sz w:val="18"/>
                <w:szCs w:val="18"/>
              </w:rPr>
            </w:pPr>
          </w:p>
        </w:tc>
        <w:tc>
          <w:tcPr>
            <w:tcW w:w="5103" w:type="dxa"/>
            <w:tcBorders>
              <w:top w:val="single" w:sz="4" w:space="0" w:color="auto"/>
              <w:left w:val="single" w:sz="4" w:space="0" w:color="auto"/>
              <w:bottom w:val="single" w:sz="4" w:space="0" w:color="auto"/>
              <w:right w:val="single" w:sz="4" w:space="0" w:color="auto"/>
            </w:tcBorders>
            <w:shd w:val="clear" w:color="auto" w:fill="EEECE1"/>
          </w:tcPr>
          <w:p w14:paraId="5761F522" w14:textId="77777777" w:rsidR="00A56EE9" w:rsidRPr="00E70A11" w:rsidRDefault="00A56EE9" w:rsidP="00BB6AD5">
            <w:pPr>
              <w:rPr>
                <w:rFonts w:ascii="Arial Narrow" w:hAnsi="Arial Narrow"/>
                <w:sz w:val="18"/>
                <w:szCs w:val="18"/>
              </w:rPr>
            </w:pPr>
          </w:p>
        </w:tc>
        <w:tc>
          <w:tcPr>
            <w:tcW w:w="3907" w:type="dxa"/>
            <w:tcBorders>
              <w:top w:val="single" w:sz="4" w:space="0" w:color="auto"/>
              <w:left w:val="single" w:sz="4" w:space="0" w:color="auto"/>
              <w:bottom w:val="single" w:sz="4" w:space="0" w:color="auto"/>
              <w:right w:val="single" w:sz="4" w:space="0" w:color="auto"/>
            </w:tcBorders>
            <w:shd w:val="clear" w:color="auto" w:fill="EEECE1"/>
          </w:tcPr>
          <w:p w14:paraId="5761F523" w14:textId="77777777" w:rsidR="00A56EE9" w:rsidRPr="00E70A11" w:rsidRDefault="00A56EE9" w:rsidP="00BB6AD5">
            <w:pPr>
              <w:rPr>
                <w:rFonts w:ascii="Arial Narrow"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EECE1"/>
          </w:tcPr>
          <w:p w14:paraId="5761F524" w14:textId="77777777" w:rsidR="00A56EE9" w:rsidRPr="00E70A11" w:rsidRDefault="00A56EE9" w:rsidP="00BB6AD5">
            <w:pPr>
              <w:rPr>
                <w:rFonts w:ascii="Arial Narrow"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EECE1"/>
          </w:tcPr>
          <w:p w14:paraId="5761F525" w14:textId="77777777" w:rsidR="00A56EE9" w:rsidRPr="00E70A11" w:rsidRDefault="00A56EE9" w:rsidP="00BB6AD5">
            <w:pPr>
              <w:rPr>
                <w:rFonts w:ascii="Arial Narrow" w:hAnsi="Arial Narrow"/>
                <w:sz w:val="18"/>
                <w:szCs w:val="18"/>
              </w:rPr>
            </w:pPr>
          </w:p>
        </w:tc>
      </w:tr>
      <w:tr w:rsidR="00A56EE9" w:rsidRPr="00E70A11" w14:paraId="5761F558"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2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CO1</w:t>
            </w:r>
            <w:r>
              <w:rPr>
                <w:rFonts w:ascii="Arial Narrow" w:hAnsi="Arial Narrow"/>
                <w:sz w:val="18"/>
                <w:szCs w:val="18"/>
              </w:rPr>
              <w:t xml:space="preserve"> </w:t>
            </w:r>
            <w:r w:rsidRPr="00E70A11">
              <w:rPr>
                <w:rFonts w:ascii="Arial Narrow" w:hAnsi="Arial Narrow"/>
                <w:sz w:val="18"/>
                <w:szCs w:val="18"/>
              </w:rPr>
              <w:t>The values of the Great Barrier Reef relevant to historic heritage are understood by managers</w:t>
            </w:r>
          </w:p>
        </w:tc>
        <w:tc>
          <w:tcPr>
            <w:tcW w:w="709" w:type="dxa"/>
            <w:tcBorders>
              <w:top w:val="single" w:sz="4" w:space="0" w:color="auto"/>
              <w:left w:val="single" w:sz="4" w:space="0" w:color="auto"/>
              <w:bottom w:val="single" w:sz="4" w:space="0" w:color="auto"/>
              <w:right w:val="single" w:sz="4" w:space="0" w:color="auto"/>
            </w:tcBorders>
          </w:tcPr>
          <w:p w14:paraId="5761F52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529" w14:textId="77777777" w:rsidR="00A56EE9" w:rsidRPr="00E70A11" w:rsidRDefault="00A56EE9" w:rsidP="00A11869">
            <w:pPr>
              <w:pStyle w:val="ListParagraph"/>
              <w:numPr>
                <w:ilvl w:val="0"/>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 xml:space="preserve">Historic heritage of value, according to GBMPA relates to the “occupation and use of the Marine Park since the arrival of Europeans and other migrants” </w:t>
            </w:r>
            <w:r w:rsidRPr="00E70A11">
              <w:rPr>
                <w:rFonts w:ascii="Arial Narrow" w:eastAsia="Calibri" w:hAnsi="Arial Narrow" w:cs="Times New Roman"/>
                <w:noProof/>
                <w:sz w:val="18"/>
                <w:szCs w:val="18"/>
                <w:lang w:eastAsia="en-AU"/>
              </w:rPr>
              <w:t>(Great Barrier Reef Marine Park Authority, 2017)</w:t>
            </w:r>
            <w:r w:rsidRPr="00E70A11">
              <w:rPr>
                <w:rFonts w:ascii="Arial Narrow" w:eastAsia="Calibri" w:hAnsi="Arial Narrow" w:cs="Times New Roman"/>
                <w:sz w:val="18"/>
                <w:szCs w:val="18"/>
                <w:lang w:eastAsia="en-AU"/>
              </w:rPr>
              <w:t xml:space="preserve">. </w:t>
            </w:r>
          </w:p>
          <w:p w14:paraId="5761F52A" w14:textId="77777777" w:rsidR="00A56EE9" w:rsidRPr="00E70A11" w:rsidRDefault="00A56EE9" w:rsidP="00A11869">
            <w:pPr>
              <w:pStyle w:val="ListParagraph"/>
              <w:numPr>
                <w:ilvl w:val="0"/>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 xml:space="preserve">Managers have a very good understanding of heritage values of sites </w:t>
            </w:r>
            <w:r w:rsidRPr="00E70A11">
              <w:rPr>
                <w:rFonts w:ascii="Arial Narrow" w:eastAsia="Calibri" w:hAnsi="Arial Narrow" w:cs="Times New Roman"/>
                <w:sz w:val="18"/>
                <w:szCs w:val="18"/>
                <w:shd w:val="clear" w:color="auto" w:fill="FFFFFF" w:themeFill="background1"/>
                <w:lang w:eastAsia="en-AU"/>
              </w:rPr>
              <w:t>listed under Commonwealth Heritage legislation (referred to here as ‘listed places’.</w:t>
            </w:r>
            <w:r w:rsidRPr="00E70A11">
              <w:rPr>
                <w:rFonts w:ascii="Arial Narrow" w:eastAsia="Calibri" w:hAnsi="Arial Narrow" w:cs="Times New Roman"/>
                <w:sz w:val="18"/>
                <w:szCs w:val="18"/>
                <w:lang w:eastAsia="en-AU"/>
              </w:rPr>
              <w:t xml:space="preserve"> These places and property are: </w:t>
            </w:r>
          </w:p>
          <w:p w14:paraId="5761F52B" w14:textId="77777777" w:rsidR="00A56EE9" w:rsidRPr="00E70A11" w:rsidRDefault="00A56EE9" w:rsidP="00A11869">
            <w:pPr>
              <w:pStyle w:val="ListParagraph"/>
              <w:numPr>
                <w:ilvl w:val="1"/>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 xml:space="preserve">Dent Island Lightstation, </w:t>
            </w:r>
          </w:p>
          <w:p w14:paraId="5761F52C" w14:textId="77777777" w:rsidR="00A56EE9" w:rsidRPr="00E70A11" w:rsidRDefault="00A56EE9" w:rsidP="00A11869">
            <w:pPr>
              <w:pStyle w:val="ListParagraph"/>
              <w:numPr>
                <w:ilvl w:val="1"/>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 xml:space="preserve">Lady Elliot Island Lightstation, and </w:t>
            </w:r>
          </w:p>
          <w:p w14:paraId="5761F52D" w14:textId="77777777" w:rsidR="00A56EE9" w:rsidRPr="00E70A11" w:rsidRDefault="00A56EE9" w:rsidP="00A11869">
            <w:pPr>
              <w:pStyle w:val="ListParagraph"/>
              <w:numPr>
                <w:ilvl w:val="1"/>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Low Islets Lightstation and Low Island.</w:t>
            </w:r>
          </w:p>
          <w:p w14:paraId="5761F52E" w14:textId="77777777" w:rsidR="00A56EE9" w:rsidRPr="00E70A11" w:rsidRDefault="00A56EE9" w:rsidP="00A11869">
            <w:pPr>
              <w:pStyle w:val="ListParagraph"/>
              <w:numPr>
                <w:ilvl w:val="0"/>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Historic Shipwrecks database includes data on plane wrecks too.</w:t>
            </w:r>
          </w:p>
          <w:p w14:paraId="5761F52F" w14:textId="77777777" w:rsidR="00A56EE9" w:rsidRPr="00E70A11" w:rsidRDefault="00A56EE9" w:rsidP="00A11869">
            <w:pPr>
              <w:pStyle w:val="ListParagraph"/>
              <w:numPr>
                <w:ilvl w:val="0"/>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Non-listed places are not as well understood. However, considerable work has been undertaken to document the heritage values in the Great Barrier Reef and this is included in an internal heritage register that includes:</w:t>
            </w:r>
          </w:p>
          <w:p w14:paraId="5761F530" w14:textId="77777777" w:rsidR="00A56EE9" w:rsidRPr="00E70A11" w:rsidRDefault="00A56EE9" w:rsidP="00A11869">
            <w:pPr>
              <w:pStyle w:val="ListParagraph"/>
              <w:numPr>
                <w:ilvl w:val="1"/>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 xml:space="preserve">An inventory with heritage information for islands and reefs; </w:t>
            </w:r>
          </w:p>
          <w:p w14:paraId="5761F531" w14:textId="77777777" w:rsidR="00A56EE9" w:rsidRPr="00E70A11" w:rsidRDefault="00A56EE9" w:rsidP="00A11869">
            <w:pPr>
              <w:pStyle w:val="ListParagraph"/>
              <w:numPr>
                <w:ilvl w:val="1"/>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An in-house database for Commonwealth Islands;</w:t>
            </w:r>
          </w:p>
          <w:p w14:paraId="5761F532" w14:textId="77777777" w:rsidR="00A56EE9" w:rsidRPr="00E70A11" w:rsidRDefault="00A56EE9" w:rsidP="00A11869">
            <w:pPr>
              <w:pStyle w:val="ListParagraph"/>
              <w:numPr>
                <w:ilvl w:val="1"/>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A list of aircraft wrecks within the Great Barrier Reef; and</w:t>
            </w:r>
          </w:p>
          <w:p w14:paraId="5761F533" w14:textId="77777777" w:rsidR="00A56EE9" w:rsidRPr="00E70A11" w:rsidRDefault="00A56EE9" w:rsidP="00A11869">
            <w:pPr>
              <w:pStyle w:val="ListParagraph"/>
              <w:numPr>
                <w:ilvl w:val="1"/>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Historic heritage assessment guidelines have been prepared for the first time.</w:t>
            </w:r>
          </w:p>
          <w:p w14:paraId="5761F534" w14:textId="77777777" w:rsidR="00A56EE9" w:rsidRDefault="00A56EE9" w:rsidP="00A11869">
            <w:pPr>
              <w:pStyle w:val="ListParagraph"/>
              <w:numPr>
                <w:ilvl w:val="0"/>
                <w:numId w:val="154"/>
              </w:numPr>
              <w:rPr>
                <w:rFonts w:ascii="Arial Narrow" w:eastAsia="Calibri" w:hAnsi="Arial Narrow" w:cs="Times New Roman"/>
                <w:sz w:val="18"/>
                <w:szCs w:val="18"/>
                <w:lang w:eastAsia="en-AU"/>
              </w:rPr>
            </w:pPr>
            <w:r w:rsidRPr="00C95BC5">
              <w:rPr>
                <w:rFonts w:ascii="Arial Narrow" w:eastAsia="Calibri" w:hAnsi="Arial Narrow" w:cs="Times New Roman"/>
                <w:sz w:val="18"/>
                <w:szCs w:val="18"/>
                <w:lang w:eastAsia="en-AU"/>
              </w:rPr>
              <w:t>H</w:t>
            </w:r>
            <w:r>
              <w:rPr>
                <w:rFonts w:ascii="Arial Narrow" w:eastAsia="Calibri" w:hAnsi="Arial Narrow" w:cs="Times New Roman"/>
                <w:sz w:val="18"/>
                <w:szCs w:val="18"/>
                <w:lang w:eastAsia="en-AU"/>
              </w:rPr>
              <w:t xml:space="preserve">istoric heritage </w:t>
            </w:r>
            <w:r w:rsidRPr="00C95BC5">
              <w:rPr>
                <w:rFonts w:ascii="Arial Narrow" w:eastAsia="Calibri" w:hAnsi="Arial Narrow" w:cs="Times New Roman"/>
                <w:sz w:val="18"/>
                <w:szCs w:val="18"/>
                <w:lang w:eastAsia="en-AU"/>
              </w:rPr>
              <w:t>assessment guidelines</w:t>
            </w:r>
            <w:r w:rsidRPr="004B3B4E">
              <w:rPr>
                <w:rFonts w:ascii="Arial Narrow" w:eastAsia="Calibri" w:hAnsi="Arial Narrow" w:cs="Times New Roman"/>
                <w:sz w:val="18"/>
                <w:szCs w:val="18"/>
                <w:lang w:eastAsia="en-AU"/>
              </w:rPr>
              <w:t xml:space="preserve"> </w:t>
            </w:r>
            <w:r>
              <w:rPr>
                <w:rFonts w:ascii="Arial Narrow" w:eastAsia="Calibri" w:hAnsi="Arial Narrow" w:cs="Times New Roman"/>
                <w:sz w:val="18"/>
                <w:szCs w:val="18"/>
                <w:lang w:eastAsia="en-AU"/>
              </w:rPr>
              <w:t xml:space="preserve">have been published as part of the improvements to the permission system, </w:t>
            </w:r>
            <w:proofErr w:type="gramStart"/>
            <w:r>
              <w:rPr>
                <w:rFonts w:ascii="Arial Narrow" w:eastAsia="Calibri" w:hAnsi="Arial Narrow" w:cs="Times New Roman"/>
                <w:sz w:val="18"/>
                <w:szCs w:val="18"/>
                <w:lang w:eastAsia="en-AU"/>
              </w:rPr>
              <w:t>The</w:t>
            </w:r>
            <w:proofErr w:type="gramEnd"/>
            <w:r>
              <w:rPr>
                <w:rFonts w:ascii="Arial Narrow" w:eastAsia="Calibri" w:hAnsi="Arial Narrow" w:cs="Times New Roman"/>
                <w:sz w:val="18"/>
                <w:szCs w:val="18"/>
                <w:lang w:eastAsia="en-AU"/>
              </w:rPr>
              <w:t xml:space="preserve"> guidelines include WWII features and sites and voyages and shipwrecks, other places of historic and social significance, and maritime cultural heritage protection special management area. Other guidelines such as Traditional Owner assessment guidelines and Woppaburra assessment guidelines also consider relevance to historic heritage values. </w:t>
            </w:r>
          </w:p>
          <w:p w14:paraId="5761F535" w14:textId="77777777" w:rsidR="00A56EE9" w:rsidRPr="00E70A11" w:rsidRDefault="00A56EE9" w:rsidP="00A11869">
            <w:pPr>
              <w:pStyle w:val="ListParagraph"/>
              <w:numPr>
                <w:ilvl w:val="0"/>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 xml:space="preserve">Knowledge of the known history of the reef, including Indigenous knowledge and uses, European exploration, contact stories, past uses, and the efforts to conserve the Reef are all important aspects of historic heritage and provide a human context for current reef management, but there is little information to indicate how well managers, both within GBRMPA and in the Field Management Program (FMP) understand this history. </w:t>
            </w:r>
          </w:p>
          <w:p w14:paraId="5761F536" w14:textId="77777777" w:rsidR="00A56EE9" w:rsidRPr="00E70A11" w:rsidRDefault="00A56EE9" w:rsidP="00A11869">
            <w:pPr>
              <w:pStyle w:val="ListParagraph"/>
              <w:numPr>
                <w:ilvl w:val="0"/>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 xml:space="preserve">Wrecks are a significant part of the underwater historic heritage. There are potentially over 800 shipwrecks, but only 40 of these have been mapped. </w:t>
            </w:r>
            <w:r>
              <w:rPr>
                <w:rFonts w:ascii="Arial Narrow" w:eastAsia="Calibri" w:hAnsi="Arial Narrow" w:cs="Times New Roman"/>
                <w:sz w:val="18"/>
                <w:szCs w:val="18"/>
                <w:lang w:eastAsia="en-AU"/>
              </w:rPr>
              <w:t xml:space="preserve">Over 100 plane wrecks. </w:t>
            </w:r>
            <w:r w:rsidRPr="00E70A11">
              <w:rPr>
                <w:rFonts w:ascii="Arial Narrow" w:eastAsia="Calibri" w:hAnsi="Arial Narrow" w:cs="Times New Roman"/>
                <w:sz w:val="18"/>
                <w:szCs w:val="18"/>
                <w:lang w:eastAsia="en-AU"/>
              </w:rPr>
              <w:t>There is a good understanding of the values of some shipwrecks that have been targeted for conservation management plans:</w:t>
            </w:r>
            <w:r w:rsidRPr="00E70A11">
              <w:rPr>
                <w:rFonts w:ascii="Arial Narrow" w:hAnsi="Arial Narrow"/>
                <w:sz w:val="18"/>
                <w:szCs w:val="18"/>
              </w:rPr>
              <w:t xml:space="preserve"> </w:t>
            </w:r>
            <w:r w:rsidRPr="00E70A11">
              <w:rPr>
                <w:rFonts w:ascii="Arial Narrow" w:eastAsia="Calibri" w:hAnsi="Arial Narrow" w:cs="Times New Roman"/>
                <w:sz w:val="18"/>
                <w:szCs w:val="18"/>
                <w:lang w:eastAsia="en-AU"/>
              </w:rPr>
              <w:t>The Australian National Shipwreck Database is a living, public database that is periodically updated to provide the latest known site data and information. However, only 15% of wrecks within the GBR are accurately located.</w:t>
            </w:r>
            <w:r w:rsidRPr="00E70A11">
              <w:rPr>
                <w:rFonts w:ascii="Arial Narrow" w:eastAsia="Times New Roman" w:hAnsi="Arial Narrow"/>
                <w:sz w:val="18"/>
                <w:szCs w:val="18"/>
                <w:lang w:eastAsia="en-AU"/>
              </w:rPr>
              <w:t xml:space="preserve"> </w:t>
            </w:r>
            <w:r w:rsidRPr="00E70A11">
              <w:rPr>
                <w:rFonts w:ascii="Arial Narrow" w:eastAsia="Calibri" w:hAnsi="Arial Narrow" w:cs="Times New Roman"/>
                <w:sz w:val="18"/>
                <w:szCs w:val="18"/>
                <w:lang w:eastAsia="en-AU"/>
              </w:rPr>
              <w:t xml:space="preserve">GBRMPA and Queensland Government undertook three discrete survey projects to identify and record historic shipwrecks in key areas. This includes: </w:t>
            </w:r>
          </w:p>
          <w:p w14:paraId="5761F537" w14:textId="77777777" w:rsidR="00A56EE9" w:rsidRPr="00E70A11" w:rsidRDefault="00A56EE9" w:rsidP="00A11869">
            <w:pPr>
              <w:pStyle w:val="ListParagraph"/>
              <w:numPr>
                <w:ilvl w:val="1"/>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 xml:space="preserve">magnetometer survey in the Whitsunday area </w:t>
            </w:r>
          </w:p>
          <w:p w14:paraId="5761F538" w14:textId="77777777" w:rsidR="00A56EE9" w:rsidRPr="00E70A11" w:rsidRDefault="00A56EE9" w:rsidP="00A11869">
            <w:pPr>
              <w:pStyle w:val="ListParagraph"/>
              <w:numPr>
                <w:ilvl w:val="1"/>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St Bees Island, Keswick Island and Carlisle Island wreck surveys; and</w:t>
            </w:r>
          </w:p>
          <w:p w14:paraId="5761F539" w14:textId="77777777" w:rsidR="00A56EE9" w:rsidRPr="00E70A11" w:rsidRDefault="00A56EE9" w:rsidP="00A11869">
            <w:pPr>
              <w:pStyle w:val="ListParagraph"/>
              <w:numPr>
                <w:ilvl w:val="1"/>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Valetta survey on Long Island.</w:t>
            </w:r>
          </w:p>
          <w:p w14:paraId="5761F53A" w14:textId="77777777" w:rsidR="00A56EE9" w:rsidRDefault="00A56EE9" w:rsidP="00A11869">
            <w:pPr>
              <w:pStyle w:val="ListParagraph"/>
              <w:numPr>
                <w:ilvl w:val="0"/>
                <w:numId w:val="154"/>
              </w:numPr>
              <w:rPr>
                <w:rFonts w:ascii="Arial Narrow" w:eastAsia="Calibri" w:hAnsi="Arial Narrow" w:cs="Times New Roman"/>
                <w:sz w:val="18"/>
                <w:szCs w:val="18"/>
                <w:lang w:eastAsia="en-AU"/>
              </w:rPr>
            </w:pPr>
            <w:r>
              <w:rPr>
                <w:rFonts w:ascii="Arial Narrow" w:eastAsia="Calibri" w:hAnsi="Arial Narrow" w:cs="Times New Roman"/>
                <w:sz w:val="18"/>
                <w:szCs w:val="18"/>
                <w:lang w:eastAsia="en-AU"/>
              </w:rPr>
              <w:t xml:space="preserve">GBRMPA in collaboration with the Australian National Maritime Museum and the Silentworld Foundation located and inspected the following sites: </w:t>
            </w:r>
          </w:p>
          <w:p w14:paraId="5761F53B" w14:textId="77777777" w:rsidR="00A56EE9" w:rsidRPr="00900327" w:rsidRDefault="00A56EE9" w:rsidP="00A11869">
            <w:pPr>
              <w:pStyle w:val="ListParagraph"/>
              <w:numPr>
                <w:ilvl w:val="0"/>
                <w:numId w:val="154"/>
              </w:numPr>
              <w:spacing w:after="200" w:line="276" w:lineRule="auto"/>
              <w:ind w:left="644"/>
              <w:rPr>
                <w:rFonts w:ascii="Arial Narrow" w:eastAsia="Calibri" w:hAnsi="Arial Narrow" w:cs="Times New Roman"/>
                <w:sz w:val="18"/>
                <w:szCs w:val="18"/>
                <w:lang w:eastAsia="en-AU"/>
              </w:rPr>
            </w:pPr>
            <w:r w:rsidRPr="00900327">
              <w:rPr>
                <w:rFonts w:ascii="Arial Narrow" w:eastAsia="Calibri" w:hAnsi="Arial Narrow" w:cs="Times New Roman"/>
                <w:sz w:val="18"/>
                <w:szCs w:val="18"/>
                <w:lang w:eastAsia="en-AU"/>
              </w:rPr>
              <w:t xml:space="preserve">HMS </w:t>
            </w:r>
            <w:r w:rsidRPr="00900327">
              <w:rPr>
                <w:rFonts w:ascii="Arial Narrow" w:eastAsia="Calibri" w:hAnsi="Arial Narrow" w:cs="Times New Roman"/>
                <w:i/>
                <w:sz w:val="18"/>
                <w:szCs w:val="18"/>
                <w:lang w:eastAsia="en-AU"/>
              </w:rPr>
              <w:t>Pandora</w:t>
            </w:r>
            <w:r w:rsidRPr="00900327">
              <w:rPr>
                <w:rFonts w:ascii="Arial Narrow" w:eastAsia="Calibri" w:hAnsi="Arial Narrow" w:cs="Times New Roman"/>
                <w:sz w:val="18"/>
                <w:szCs w:val="18"/>
                <w:lang w:eastAsia="en-AU"/>
              </w:rPr>
              <w:t xml:space="preserve">, </w:t>
            </w:r>
            <w:r w:rsidRPr="00900327">
              <w:rPr>
                <w:rFonts w:ascii="Arial Narrow" w:eastAsia="Calibri" w:hAnsi="Arial Narrow" w:cs="Times New Roman"/>
                <w:i/>
                <w:sz w:val="18"/>
                <w:szCs w:val="18"/>
                <w:lang w:eastAsia="en-AU"/>
              </w:rPr>
              <w:t>Yongala, Foam</w:t>
            </w:r>
            <w:r w:rsidRPr="00900327">
              <w:rPr>
                <w:rFonts w:ascii="Arial Narrow" w:eastAsia="Calibri" w:hAnsi="Arial Narrow" w:cs="Times New Roman"/>
                <w:sz w:val="18"/>
                <w:szCs w:val="18"/>
                <w:lang w:eastAsia="en-AU"/>
              </w:rPr>
              <w:t xml:space="preserve"> and </w:t>
            </w:r>
            <w:r w:rsidRPr="00900327">
              <w:rPr>
                <w:rFonts w:ascii="Arial Narrow" w:eastAsia="Calibri" w:hAnsi="Arial Narrow" w:cs="Times New Roman"/>
                <w:i/>
                <w:sz w:val="18"/>
                <w:szCs w:val="18"/>
                <w:lang w:eastAsia="en-AU"/>
              </w:rPr>
              <w:t>Warrnambool</w:t>
            </w:r>
            <w:r w:rsidRPr="00900327">
              <w:rPr>
                <w:rFonts w:ascii="Arial Narrow" w:eastAsia="Calibri" w:hAnsi="Arial Narrow" w:cs="Times New Roman"/>
                <w:sz w:val="18"/>
                <w:szCs w:val="18"/>
                <w:lang w:eastAsia="en-AU"/>
              </w:rPr>
              <w:t>.</w:t>
            </w:r>
          </w:p>
          <w:p w14:paraId="5761F53C" w14:textId="77777777" w:rsidR="00A56EE9" w:rsidRPr="00900327" w:rsidRDefault="00A56EE9" w:rsidP="00A11869">
            <w:pPr>
              <w:pStyle w:val="ListParagraph"/>
              <w:numPr>
                <w:ilvl w:val="0"/>
                <w:numId w:val="154"/>
              </w:numPr>
              <w:spacing w:after="200" w:line="276" w:lineRule="auto"/>
              <w:ind w:left="644"/>
              <w:rPr>
                <w:rFonts w:ascii="Arial Narrow" w:eastAsia="Calibri" w:hAnsi="Arial Narrow" w:cs="Times New Roman"/>
                <w:sz w:val="18"/>
                <w:szCs w:val="18"/>
                <w:lang w:eastAsia="en-AU"/>
              </w:rPr>
            </w:pPr>
            <w:r w:rsidRPr="00900327">
              <w:rPr>
                <w:rFonts w:ascii="Arial Narrow" w:eastAsia="Calibri" w:hAnsi="Arial Narrow" w:cs="Times New Roman"/>
                <w:sz w:val="18"/>
                <w:szCs w:val="18"/>
                <w:lang w:eastAsia="en-AU"/>
              </w:rPr>
              <w:t>Three WWII plane wrecks on Cape Grenville</w:t>
            </w:r>
          </w:p>
          <w:p w14:paraId="5761F53D" w14:textId="77777777" w:rsidR="00A56EE9" w:rsidRPr="00900327" w:rsidRDefault="00A56EE9" w:rsidP="00A11869">
            <w:pPr>
              <w:pStyle w:val="ListParagraph"/>
              <w:numPr>
                <w:ilvl w:val="0"/>
                <w:numId w:val="154"/>
              </w:numPr>
              <w:spacing w:after="200" w:line="276" w:lineRule="auto"/>
              <w:ind w:left="644"/>
              <w:rPr>
                <w:rFonts w:ascii="Arial Narrow" w:eastAsia="Calibri" w:hAnsi="Arial Narrow" w:cs="Times New Roman"/>
                <w:sz w:val="18"/>
                <w:szCs w:val="18"/>
                <w:lang w:eastAsia="en-AU"/>
              </w:rPr>
            </w:pPr>
            <w:r w:rsidRPr="00900327">
              <w:rPr>
                <w:rFonts w:ascii="Arial Narrow" w:eastAsia="Calibri" w:hAnsi="Arial Narrow" w:cs="Times New Roman"/>
                <w:sz w:val="18"/>
                <w:szCs w:val="18"/>
                <w:lang w:eastAsia="en-AU"/>
              </w:rPr>
              <w:t>Six shipwrecks on Great Detached</w:t>
            </w:r>
          </w:p>
          <w:p w14:paraId="5761F53E" w14:textId="77777777" w:rsidR="00A56EE9" w:rsidRPr="00E70A11" w:rsidRDefault="00A56EE9" w:rsidP="00A11869">
            <w:pPr>
              <w:pStyle w:val="ListParagraph"/>
              <w:numPr>
                <w:ilvl w:val="0"/>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The Field Management Program manages historic heritage on islands including both Commonwealth and Queensland protected areas. In many cases, the tangible traces of historic heritage are centred on islands, which are not part of this report. The Field Management Program manages across these boundaries.</w:t>
            </w:r>
          </w:p>
          <w:p w14:paraId="5761F53F" w14:textId="77777777" w:rsidR="00A56EE9" w:rsidRPr="00E70A11" w:rsidRDefault="00A56EE9" w:rsidP="00A11869">
            <w:pPr>
              <w:pStyle w:val="ListParagraph"/>
              <w:numPr>
                <w:ilvl w:val="0"/>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As part of RIMReP, the Authority has funded social and economic monitoring under SELTMP (CSIRO’s Social and Economic Long Term Monitoring Program). New questions were inserted into the Survey in 2017 to improve knowledge of the wider community’s perceptions and understanding of GBR heritage (including cultural heritage).</w:t>
            </w:r>
          </w:p>
          <w:p w14:paraId="5761F540" w14:textId="77777777" w:rsidR="00A56EE9" w:rsidRPr="00E70A11" w:rsidRDefault="00A56EE9" w:rsidP="00A11869">
            <w:pPr>
              <w:pStyle w:val="ListParagraph"/>
              <w:numPr>
                <w:ilvl w:val="0"/>
                <w:numId w:val="154"/>
              </w:numPr>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History of conservation and management of the GBR has been compiled through the 40th anniversary of GBRMPA and the 50th anniversary of the struggle for protection, but the extent to which field managers understand this history is not known.</w:t>
            </w:r>
          </w:p>
        </w:tc>
        <w:tc>
          <w:tcPr>
            <w:tcW w:w="3907" w:type="dxa"/>
            <w:tcBorders>
              <w:top w:val="single" w:sz="4" w:space="0" w:color="auto"/>
              <w:left w:val="single" w:sz="4" w:space="0" w:color="auto"/>
              <w:bottom w:val="single" w:sz="4" w:space="0" w:color="auto"/>
              <w:right w:val="single" w:sz="4" w:space="0" w:color="auto"/>
            </w:tcBorders>
          </w:tcPr>
          <w:p w14:paraId="5761F541" w14:textId="77777777" w:rsidR="00A56EE9" w:rsidRPr="00E70A11" w:rsidRDefault="00A56EE9" w:rsidP="00A11869">
            <w:pPr>
              <w:pStyle w:val="ListParagraph"/>
              <w:numPr>
                <w:ilvl w:val="0"/>
                <w:numId w:val="157"/>
              </w:numPr>
              <w:spacing w:after="0" w:line="276" w:lineRule="auto"/>
              <w:rPr>
                <w:rStyle w:val="Hyperlink"/>
                <w:rFonts w:ascii="Arial Narrow" w:eastAsia="Times New Roman" w:hAnsi="Arial Narrow"/>
                <w:sz w:val="18"/>
                <w:szCs w:val="18"/>
                <w:lang w:val="en" w:eastAsia="en-AU"/>
              </w:rPr>
            </w:pPr>
            <w:r w:rsidRPr="00E70A11">
              <w:rPr>
                <w:rFonts w:ascii="Arial Narrow" w:eastAsia="Calibri" w:hAnsi="Arial Narrow" w:cs="Times New Roman"/>
                <w:sz w:val="18"/>
                <w:szCs w:val="18"/>
                <w:lang w:eastAsia="en-AU"/>
              </w:rPr>
              <w:t xml:space="preserve">Statement of Outstanding Universal Value for the Great Barrier Reef </w:t>
            </w:r>
            <w:r w:rsidRPr="00E70A11">
              <w:rPr>
                <w:rStyle w:val="Hyperlink"/>
                <w:rFonts w:ascii="Arial Narrow" w:eastAsia="Times New Roman" w:hAnsi="Arial Narrow"/>
                <w:sz w:val="18"/>
                <w:szCs w:val="18"/>
                <w:lang w:val="en" w:eastAsia="en-AU"/>
              </w:rPr>
              <w:t>http://www.environment.gov.au/heritage/places/world/great-barrierreef/values.html</w:t>
            </w:r>
          </w:p>
          <w:p w14:paraId="5761F542" w14:textId="77777777" w:rsidR="00A56EE9" w:rsidRPr="00E70A11" w:rsidRDefault="008B5998" w:rsidP="00A11869">
            <w:pPr>
              <w:pStyle w:val="ListParagraph"/>
              <w:numPr>
                <w:ilvl w:val="0"/>
                <w:numId w:val="157"/>
              </w:numPr>
              <w:spacing w:line="240" w:lineRule="auto"/>
              <w:rPr>
                <w:rStyle w:val="Hyperlink"/>
                <w:rFonts w:ascii="Arial Narrow" w:eastAsia="Times New Roman" w:hAnsi="Arial Narrow"/>
                <w:sz w:val="18"/>
                <w:szCs w:val="18"/>
                <w:lang w:val="en" w:eastAsia="en-AU"/>
              </w:rPr>
            </w:pPr>
            <w:hyperlink r:id="rId918" w:history="1">
              <w:r w:rsidR="00A56EE9" w:rsidRPr="00E70A11">
                <w:rPr>
                  <w:rStyle w:val="Hyperlink"/>
                  <w:rFonts w:ascii="Arial Narrow" w:eastAsia="Times New Roman" w:hAnsi="Arial Narrow"/>
                  <w:sz w:val="18"/>
                  <w:szCs w:val="18"/>
                  <w:lang w:val="en" w:eastAsia="en-AU"/>
                </w:rPr>
                <w:t>Strategic Assessment Report</w:t>
              </w:r>
            </w:hyperlink>
            <w:r w:rsidR="00A56EE9" w:rsidRPr="00E70A11">
              <w:rPr>
                <w:rStyle w:val="Hyperlink"/>
                <w:rFonts w:ascii="Arial Narrow" w:eastAsia="Times New Roman" w:hAnsi="Arial Narrow"/>
                <w:sz w:val="18"/>
                <w:szCs w:val="18"/>
                <w:lang w:val="en" w:eastAsia="en-AU"/>
              </w:rPr>
              <w:t xml:space="preserve"> (chap 7)</w:t>
            </w:r>
          </w:p>
          <w:p w14:paraId="5761F543" w14:textId="77777777" w:rsidR="00A56EE9" w:rsidRPr="00E70A11" w:rsidRDefault="008B5998" w:rsidP="00A11869">
            <w:pPr>
              <w:pStyle w:val="ListParagraph"/>
              <w:numPr>
                <w:ilvl w:val="0"/>
                <w:numId w:val="157"/>
              </w:numPr>
              <w:rPr>
                <w:rStyle w:val="Hyperlink"/>
                <w:rFonts w:ascii="Arial Narrow" w:eastAsia="Times New Roman" w:hAnsi="Arial Narrow"/>
                <w:sz w:val="18"/>
                <w:szCs w:val="18"/>
                <w:lang w:val="en" w:eastAsia="en-AU"/>
              </w:rPr>
            </w:pPr>
            <w:hyperlink r:id="rId919" w:history="1">
              <w:r w:rsidR="00A56EE9" w:rsidRPr="00E70A11">
                <w:rPr>
                  <w:rStyle w:val="Hyperlink"/>
                  <w:rFonts w:ascii="Arial Narrow" w:eastAsia="Times New Roman" w:hAnsi="Arial Narrow"/>
                  <w:sz w:val="18"/>
                  <w:szCs w:val="18"/>
                  <w:lang w:val="en" w:eastAsia="en-AU"/>
                </w:rPr>
                <w:t>Reef 2050 Plan</w:t>
              </w:r>
            </w:hyperlink>
          </w:p>
          <w:p w14:paraId="5761F544" w14:textId="77777777" w:rsidR="00A56EE9" w:rsidRPr="00E70A11" w:rsidRDefault="00A56EE9" w:rsidP="00A11869">
            <w:pPr>
              <w:pStyle w:val="ListParagraph"/>
              <w:numPr>
                <w:ilvl w:val="0"/>
                <w:numId w:val="157"/>
              </w:numPr>
              <w:spacing w:after="0" w:line="276" w:lineRule="auto"/>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 xml:space="preserve">Gidarjil 2016, </w:t>
            </w:r>
            <w:hyperlink r:id="rId920" w:history="1">
              <w:r w:rsidRPr="00E70A11">
                <w:rPr>
                  <w:rFonts w:ascii="Arial Narrow" w:eastAsia="Calibri" w:hAnsi="Arial Narrow" w:cs="Times New Roman"/>
                  <w:sz w:val="18"/>
                  <w:szCs w:val="18"/>
                  <w:lang w:eastAsia="en-AU"/>
                </w:rPr>
                <w:t>Reef 2050 Long Term Sustainability Plan Indigenous Implementation Plan</w:t>
              </w:r>
            </w:hyperlink>
            <w:r w:rsidRPr="00E70A11">
              <w:rPr>
                <w:rFonts w:ascii="Arial Narrow" w:eastAsia="Calibri" w:hAnsi="Arial Narrow" w:cs="Times New Roman"/>
                <w:sz w:val="18"/>
                <w:szCs w:val="18"/>
                <w:lang w:eastAsia="en-AU"/>
              </w:rPr>
              <w:t xml:space="preserve"> </w:t>
            </w:r>
          </w:p>
          <w:p w14:paraId="5761F545" w14:textId="77777777" w:rsidR="00A56EE9" w:rsidRPr="00E70A11" w:rsidRDefault="00A56EE9" w:rsidP="00A11869">
            <w:pPr>
              <w:pStyle w:val="ListParagraph"/>
              <w:numPr>
                <w:ilvl w:val="0"/>
                <w:numId w:val="157"/>
              </w:numPr>
              <w:spacing w:after="0" w:line="276" w:lineRule="auto"/>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 xml:space="preserve">Johnston, C., Smith, A., and Dyke, J., 2013, </w:t>
            </w:r>
            <w:hyperlink r:id="rId921" w:history="1">
              <w:r w:rsidRPr="00E70A11">
                <w:rPr>
                  <w:rFonts w:ascii="Arial Narrow" w:eastAsia="Calibri" w:hAnsi="Arial Narrow" w:cs="Times New Roman"/>
                  <w:sz w:val="18"/>
                  <w:szCs w:val="18"/>
                  <w:lang w:eastAsia="en-AU"/>
                </w:rPr>
                <w:t>Defining the aesthetic values of the Great Barrier Reef</w:t>
              </w:r>
            </w:hyperlink>
            <w:r w:rsidRPr="00E70A11">
              <w:rPr>
                <w:rFonts w:ascii="Arial Narrow" w:eastAsia="Calibri" w:hAnsi="Arial Narrow" w:cs="Times New Roman"/>
                <w:sz w:val="18"/>
                <w:szCs w:val="18"/>
                <w:lang w:eastAsia="en-AU"/>
              </w:rPr>
              <w:t xml:space="preserve">, Context Pty Ltd, Melbourne </w:t>
            </w:r>
          </w:p>
          <w:p w14:paraId="5761F546" w14:textId="77777777" w:rsidR="00A56EE9" w:rsidRPr="00E70A11" w:rsidRDefault="00A56EE9" w:rsidP="00A11869">
            <w:pPr>
              <w:pStyle w:val="ListParagraph"/>
              <w:numPr>
                <w:ilvl w:val="0"/>
                <w:numId w:val="157"/>
              </w:numPr>
              <w:spacing w:after="0" w:line="276" w:lineRule="auto"/>
              <w:rPr>
                <w:rFonts w:ascii="Arial Narrow" w:eastAsia="Calibri" w:hAnsi="Arial Narrow" w:cs="Times New Roman"/>
                <w:sz w:val="18"/>
                <w:szCs w:val="18"/>
                <w:lang w:eastAsia="en-AU"/>
              </w:rPr>
            </w:pPr>
            <w:r w:rsidRPr="00E70A11">
              <w:rPr>
                <w:rFonts w:ascii="Arial Narrow" w:eastAsia="Calibri" w:hAnsi="Arial Narrow" w:cs="Times New Roman"/>
                <w:sz w:val="18"/>
                <w:szCs w:val="18"/>
                <w:lang w:eastAsia="en-AU"/>
              </w:rPr>
              <w:t>Marshall</w:t>
            </w:r>
            <w:proofErr w:type="gramStart"/>
            <w:r w:rsidRPr="00E70A11">
              <w:rPr>
                <w:rFonts w:ascii="Arial Narrow" w:eastAsia="Calibri" w:hAnsi="Arial Narrow" w:cs="Times New Roman"/>
                <w:sz w:val="18"/>
                <w:szCs w:val="18"/>
                <w:lang w:eastAsia="en-AU"/>
              </w:rPr>
              <w:t>,N.A</w:t>
            </w:r>
            <w:proofErr w:type="gramEnd"/>
            <w:r w:rsidRPr="00E70A11">
              <w:rPr>
                <w:rFonts w:ascii="Arial Narrow" w:eastAsia="Calibri" w:hAnsi="Arial Narrow" w:cs="Times New Roman"/>
                <w:sz w:val="18"/>
                <w:szCs w:val="18"/>
                <w:lang w:eastAsia="en-AU"/>
              </w:rPr>
              <w:t>., Marshall, P. and</w:t>
            </w:r>
            <w:r>
              <w:rPr>
                <w:rFonts w:ascii="Arial Narrow" w:eastAsia="Calibri" w:hAnsi="Arial Narrow" w:cs="Times New Roman"/>
                <w:sz w:val="18"/>
                <w:szCs w:val="18"/>
                <w:lang w:eastAsia="en-AU"/>
              </w:rPr>
              <w:t xml:space="preserve"> </w:t>
            </w:r>
            <w:r w:rsidRPr="00E70A11">
              <w:rPr>
                <w:rFonts w:ascii="Arial Narrow" w:eastAsia="Calibri" w:hAnsi="Arial Narrow" w:cs="Times New Roman"/>
                <w:sz w:val="18"/>
                <w:szCs w:val="18"/>
                <w:lang w:eastAsia="en-AU"/>
              </w:rPr>
              <w:t>Smith, A.K. 2017. Managing for aesthetic values in the Great Barrier Reef-Identifying indicators and linking reef aesthetics to reef health. Report to the National Environmental Science Programme. Reef and Rainforest Research Centre Limited, Cairns.</w:t>
            </w:r>
          </w:p>
          <w:p w14:paraId="5761F547" w14:textId="77777777" w:rsidR="00A56EE9" w:rsidRPr="00E70A11" w:rsidRDefault="00A56EE9" w:rsidP="00A11869">
            <w:pPr>
              <w:pStyle w:val="ListParagraph"/>
              <w:numPr>
                <w:ilvl w:val="0"/>
                <w:numId w:val="157"/>
              </w:numPr>
              <w:rPr>
                <w:rFonts w:ascii="Arial Narrow" w:eastAsia="Calibri" w:hAnsi="Arial Narrow" w:cs="Times New Roman"/>
                <w:sz w:val="18"/>
                <w:szCs w:val="18"/>
              </w:rPr>
            </w:pPr>
            <w:r w:rsidRPr="00E70A11">
              <w:rPr>
                <w:rFonts w:ascii="Arial Narrow" w:eastAsia="Calibri" w:hAnsi="Arial Narrow" w:cs="Times New Roman"/>
                <w:sz w:val="18"/>
                <w:szCs w:val="18"/>
              </w:rPr>
              <w:t>Great Barrier Reef Marine Park Authority (2017) Heritage in the Great Barrier Reef Marine Park</w:t>
            </w:r>
            <w:r>
              <w:rPr>
                <w:rFonts w:ascii="Arial Narrow" w:eastAsia="Calibri" w:hAnsi="Arial Narrow" w:cs="Times New Roman"/>
                <w:sz w:val="18"/>
                <w:szCs w:val="18"/>
              </w:rPr>
              <w:t xml:space="preserve"> </w:t>
            </w:r>
            <w:r w:rsidRPr="00E70A11">
              <w:rPr>
                <w:rFonts w:ascii="Arial Narrow" w:eastAsia="Calibri" w:hAnsi="Arial Narrow" w:cs="Times New Roman"/>
                <w:sz w:val="18"/>
                <w:szCs w:val="18"/>
              </w:rPr>
              <w:t xml:space="preserve">(draft), </w:t>
            </w:r>
          </w:p>
          <w:p w14:paraId="5761F548" w14:textId="77777777" w:rsidR="00A56EE9" w:rsidRPr="00E70A11" w:rsidRDefault="00A56EE9" w:rsidP="00A11869">
            <w:pPr>
              <w:pStyle w:val="ListParagraph"/>
              <w:numPr>
                <w:ilvl w:val="0"/>
                <w:numId w:val="157"/>
              </w:numPr>
              <w:rPr>
                <w:rFonts w:ascii="Arial Narrow" w:eastAsia="Calibri" w:hAnsi="Arial Narrow" w:cs="Times New Roman"/>
                <w:sz w:val="18"/>
                <w:szCs w:val="18"/>
              </w:rPr>
            </w:pPr>
            <w:r w:rsidRPr="00E70A11">
              <w:rPr>
                <w:rFonts w:ascii="Arial Narrow" w:eastAsia="Calibri" w:hAnsi="Arial Narrow" w:cs="Times New Roman"/>
                <w:sz w:val="18"/>
                <w:szCs w:val="18"/>
              </w:rPr>
              <w:t xml:space="preserve">Marshall, N.A. Curnock, M., Pert, P.L., Williams, G. (2017) The Social and Economic Long Term Monitoring Program (SELTMP) for the Great Barrier </w:t>
            </w:r>
            <w:proofErr w:type="gramStart"/>
            <w:r w:rsidRPr="00E70A11">
              <w:rPr>
                <w:rFonts w:ascii="Arial Narrow" w:eastAsia="Calibri" w:hAnsi="Arial Narrow" w:cs="Times New Roman"/>
                <w:sz w:val="18"/>
                <w:szCs w:val="18"/>
              </w:rPr>
              <w:t>Reef .</w:t>
            </w:r>
            <w:proofErr w:type="gramEnd"/>
            <w:r w:rsidRPr="00E70A11">
              <w:rPr>
                <w:rFonts w:ascii="Arial Narrow" w:eastAsia="Calibri" w:hAnsi="Arial Narrow" w:cs="Times New Roman"/>
                <w:sz w:val="18"/>
                <w:szCs w:val="18"/>
              </w:rPr>
              <w:t xml:space="preserve"> Final Report. Report to the Great Barrier Reef Marine Park Authority.</w:t>
            </w:r>
            <w:r>
              <w:rPr>
                <w:rFonts w:ascii="Arial Narrow" w:eastAsia="Calibri" w:hAnsi="Arial Narrow" w:cs="Times New Roman"/>
                <w:sz w:val="18"/>
                <w:szCs w:val="18"/>
              </w:rPr>
              <w:t xml:space="preserve"> </w:t>
            </w:r>
            <w:r w:rsidRPr="00E70A11">
              <w:rPr>
                <w:rFonts w:ascii="Arial Narrow" w:eastAsia="Calibri" w:hAnsi="Arial Narrow" w:cs="Times New Roman"/>
                <w:sz w:val="18"/>
                <w:szCs w:val="18"/>
              </w:rPr>
              <w:t>Townsville, Australia (220pp.).</w:t>
            </w:r>
          </w:p>
          <w:p w14:paraId="5761F549" w14:textId="77777777" w:rsidR="00A56EE9" w:rsidRPr="00E70A11" w:rsidRDefault="008B5998" w:rsidP="00A11869">
            <w:pPr>
              <w:pStyle w:val="ListBullet"/>
              <w:numPr>
                <w:ilvl w:val="0"/>
                <w:numId w:val="157"/>
              </w:numPr>
              <w:jc w:val="both"/>
              <w:rPr>
                <w:rStyle w:val="Hyperlink"/>
              </w:rPr>
            </w:pPr>
            <w:hyperlink r:id="rId922" w:history="1">
              <w:r w:rsidR="00A56EE9" w:rsidRPr="00E70A11">
                <w:rPr>
                  <w:rStyle w:val="Hyperlink"/>
                  <w:lang w:val="en"/>
                </w:rPr>
                <w:t xml:space="preserve"> Australian Heritage Database</w:t>
              </w:r>
            </w:hyperlink>
          </w:p>
          <w:p w14:paraId="5761F54A" w14:textId="77777777" w:rsidR="00A56EE9" w:rsidRPr="00E70A11" w:rsidRDefault="008B5998" w:rsidP="00A11869">
            <w:pPr>
              <w:pStyle w:val="ListBullet"/>
              <w:numPr>
                <w:ilvl w:val="0"/>
                <w:numId w:val="157"/>
              </w:numPr>
              <w:jc w:val="both"/>
              <w:rPr>
                <w:rStyle w:val="Hyperlink"/>
                <w:lang w:val="en"/>
              </w:rPr>
            </w:pPr>
            <w:hyperlink r:id="rId923" w:history="1">
              <w:r w:rsidR="00A56EE9" w:rsidRPr="00E70A11">
                <w:rPr>
                  <w:rStyle w:val="Hyperlink"/>
                  <w:lang w:val="en"/>
                </w:rPr>
                <w:t>Review of Commonwealth Heritage List</w:t>
              </w:r>
            </w:hyperlink>
          </w:p>
          <w:p w14:paraId="5761F54B" w14:textId="77777777" w:rsidR="00A56EE9" w:rsidRPr="00E70A11" w:rsidRDefault="008B5998" w:rsidP="00A11869">
            <w:pPr>
              <w:pStyle w:val="ListBullet"/>
              <w:numPr>
                <w:ilvl w:val="0"/>
                <w:numId w:val="157"/>
              </w:numPr>
              <w:jc w:val="both"/>
              <w:rPr>
                <w:rStyle w:val="Hyperlink"/>
                <w:lang w:val="en"/>
              </w:rPr>
            </w:pPr>
            <w:hyperlink r:id="rId924" w:history="1">
              <w:r w:rsidR="00A56EE9" w:rsidRPr="00E70A11">
                <w:rPr>
                  <w:rStyle w:val="Hyperlink"/>
                  <w:lang w:val="en"/>
                </w:rPr>
                <w:t>Queensland Heritage Register</w:t>
              </w:r>
            </w:hyperlink>
          </w:p>
          <w:p w14:paraId="5761F54C" w14:textId="77777777" w:rsidR="00A56EE9" w:rsidRPr="00E70A11" w:rsidRDefault="008B5998" w:rsidP="00A11869">
            <w:pPr>
              <w:pStyle w:val="ListBullet"/>
              <w:numPr>
                <w:ilvl w:val="0"/>
                <w:numId w:val="157"/>
              </w:numPr>
              <w:jc w:val="both"/>
              <w:rPr>
                <w:rStyle w:val="Hyperlink"/>
                <w:lang w:val="en"/>
              </w:rPr>
            </w:pPr>
            <w:hyperlink r:id="rId925" w:history="1">
              <w:r w:rsidR="00A56EE9" w:rsidRPr="00E70A11">
                <w:rPr>
                  <w:rStyle w:val="Hyperlink"/>
                  <w:lang w:val="en"/>
                </w:rPr>
                <w:t>Shipwrecks database</w:t>
              </w:r>
            </w:hyperlink>
          </w:p>
          <w:p w14:paraId="5761F54D" w14:textId="77777777" w:rsidR="00A56EE9" w:rsidRPr="00E70A11" w:rsidRDefault="008B5998" w:rsidP="00A11869">
            <w:pPr>
              <w:pStyle w:val="ListBullet"/>
              <w:numPr>
                <w:ilvl w:val="0"/>
                <w:numId w:val="157"/>
              </w:numPr>
              <w:jc w:val="both"/>
              <w:rPr>
                <w:rStyle w:val="Hyperlink"/>
                <w:lang w:val="en"/>
              </w:rPr>
            </w:pPr>
            <w:hyperlink r:id="rId926" w:history="1">
              <w:r w:rsidR="00A56EE9" w:rsidRPr="00E70A11">
                <w:rPr>
                  <w:rStyle w:val="Hyperlink"/>
                  <w:lang w:val="en"/>
                </w:rPr>
                <w:t>Statement of Outstanding Universal Value for the Great Barrier Reef:</w:t>
              </w:r>
            </w:hyperlink>
            <w:r w:rsidR="00A56EE9" w:rsidRPr="00E70A11">
              <w:rPr>
                <w:rStyle w:val="Hyperlink"/>
                <w:lang w:val="en"/>
              </w:rPr>
              <w:t xml:space="preserve"> DOEE </w:t>
            </w:r>
          </w:p>
          <w:p w14:paraId="5761F54E" w14:textId="77777777" w:rsidR="00A56EE9" w:rsidRPr="00E70A11" w:rsidRDefault="008B5998" w:rsidP="00A11869">
            <w:pPr>
              <w:numPr>
                <w:ilvl w:val="0"/>
                <w:numId w:val="157"/>
              </w:numPr>
              <w:shd w:val="clear" w:color="auto" w:fill="FFFFFF"/>
              <w:spacing w:before="100" w:beforeAutospacing="1" w:after="100" w:afterAutospacing="1" w:line="240" w:lineRule="auto"/>
              <w:rPr>
                <w:rStyle w:val="Hyperlink"/>
                <w:rFonts w:ascii="Arial Narrow" w:hAnsi="Arial Narrow"/>
                <w:sz w:val="18"/>
                <w:szCs w:val="18"/>
                <w:lang w:val="en" w:eastAsia="en-AU"/>
              </w:rPr>
            </w:pPr>
            <w:hyperlink r:id="rId927" w:tgtFrame="_blank" w:history="1">
              <w:r w:rsidR="00A56EE9" w:rsidRPr="00E70A11">
                <w:rPr>
                  <w:rStyle w:val="Hyperlink"/>
                  <w:rFonts w:ascii="Arial Narrow" w:hAnsi="Arial Narrow"/>
                  <w:sz w:val="18"/>
                  <w:szCs w:val="18"/>
                  <w:lang w:val="en" w:eastAsia="en-AU"/>
                </w:rPr>
                <w:t>Dent Island Lightstation Heritage Register</w:t>
              </w:r>
            </w:hyperlink>
          </w:p>
          <w:p w14:paraId="5761F54F" w14:textId="77777777" w:rsidR="00A56EE9" w:rsidRPr="00E70A11" w:rsidRDefault="008B5998" w:rsidP="00A11869">
            <w:pPr>
              <w:numPr>
                <w:ilvl w:val="0"/>
                <w:numId w:val="157"/>
              </w:numPr>
              <w:shd w:val="clear" w:color="auto" w:fill="FFFFFF"/>
              <w:spacing w:before="100" w:beforeAutospacing="1" w:after="100" w:afterAutospacing="1" w:line="240" w:lineRule="auto"/>
              <w:rPr>
                <w:rStyle w:val="Hyperlink"/>
                <w:rFonts w:ascii="Arial Narrow" w:hAnsi="Arial Narrow"/>
                <w:sz w:val="18"/>
                <w:szCs w:val="18"/>
              </w:rPr>
            </w:pPr>
            <w:hyperlink r:id="rId928" w:tgtFrame="_blank" w:history="1">
              <w:r w:rsidR="00A56EE9" w:rsidRPr="00E70A11">
                <w:rPr>
                  <w:rStyle w:val="Hyperlink"/>
                  <w:rFonts w:ascii="Arial Narrow" w:hAnsi="Arial Narrow"/>
                  <w:sz w:val="18"/>
                  <w:szCs w:val="18"/>
                </w:rPr>
                <w:t>Lady Elliot Island Lightstation Heritage Register</w:t>
              </w:r>
            </w:hyperlink>
          </w:p>
          <w:p w14:paraId="5761F550" w14:textId="77777777" w:rsidR="00A56EE9" w:rsidRPr="00E70A11" w:rsidRDefault="008B5998" w:rsidP="00A11869">
            <w:pPr>
              <w:numPr>
                <w:ilvl w:val="0"/>
                <w:numId w:val="157"/>
              </w:numPr>
              <w:shd w:val="clear" w:color="auto" w:fill="FFFFFF"/>
              <w:spacing w:before="100" w:beforeAutospacing="1" w:after="100" w:afterAutospacing="1" w:line="240" w:lineRule="auto"/>
              <w:rPr>
                <w:rStyle w:val="Hyperlink"/>
                <w:rFonts w:ascii="Arial Narrow" w:hAnsi="Arial Narrow"/>
                <w:sz w:val="18"/>
                <w:szCs w:val="18"/>
              </w:rPr>
            </w:pPr>
            <w:hyperlink r:id="rId929" w:tgtFrame="_blank" w:history="1">
              <w:r w:rsidR="00A56EE9" w:rsidRPr="00E70A11">
                <w:rPr>
                  <w:rStyle w:val="Hyperlink"/>
                  <w:rFonts w:ascii="Arial Narrow" w:hAnsi="Arial Narrow"/>
                  <w:sz w:val="18"/>
                  <w:szCs w:val="18"/>
                </w:rPr>
                <w:t>Low Island and Low Islets Lightstation Heritage Register</w:t>
              </w:r>
            </w:hyperlink>
          </w:p>
          <w:p w14:paraId="5761F551" w14:textId="77777777" w:rsidR="00A56EE9" w:rsidRDefault="008B5998" w:rsidP="00A11869">
            <w:pPr>
              <w:numPr>
                <w:ilvl w:val="0"/>
                <w:numId w:val="157"/>
              </w:numPr>
              <w:shd w:val="clear" w:color="auto" w:fill="FFFFFF"/>
              <w:spacing w:before="100" w:beforeAutospacing="1" w:after="100" w:afterAutospacing="1" w:line="240" w:lineRule="auto"/>
              <w:rPr>
                <w:rStyle w:val="Hyperlink"/>
                <w:rFonts w:ascii="Arial Narrow" w:hAnsi="Arial Narrow"/>
                <w:sz w:val="18"/>
                <w:szCs w:val="18"/>
              </w:rPr>
            </w:pPr>
            <w:hyperlink r:id="rId930" w:tgtFrame="_blank" w:history="1">
              <w:r w:rsidR="00A56EE9" w:rsidRPr="00E70A11">
                <w:rPr>
                  <w:rStyle w:val="Hyperlink"/>
                  <w:rFonts w:ascii="Arial Narrow" w:hAnsi="Arial Narrow"/>
                  <w:sz w:val="18"/>
                  <w:szCs w:val="18"/>
                </w:rPr>
                <w:t>Great Barrier Reef Marine Park Commonwealth Heritage Listed Places and Properties Heritage Strategy 2018–21</w:t>
              </w:r>
            </w:hyperlink>
          </w:p>
          <w:p w14:paraId="5761F552" w14:textId="77777777" w:rsidR="00A56EE9" w:rsidRPr="00E70A11" w:rsidRDefault="008B5998" w:rsidP="00A11869">
            <w:pPr>
              <w:pStyle w:val="ListParagraph"/>
              <w:numPr>
                <w:ilvl w:val="0"/>
                <w:numId w:val="157"/>
              </w:numPr>
              <w:spacing w:after="0" w:line="276" w:lineRule="auto"/>
              <w:rPr>
                <w:rFonts w:ascii="Arial Narrow" w:hAnsi="Arial Narrow"/>
                <w:sz w:val="18"/>
                <w:szCs w:val="18"/>
              </w:rPr>
            </w:pPr>
            <w:hyperlink r:id="rId931" w:history="1">
              <w:r w:rsidR="00A56EE9" w:rsidRPr="00E70A11">
                <w:rPr>
                  <w:rStyle w:val="Hyperlink"/>
                  <w:rFonts w:ascii="Arial Narrow" w:hAnsi="Arial Narrow" w:cs="Helvetica"/>
                  <w:sz w:val="18"/>
                  <w:szCs w:val="18"/>
                </w:rPr>
                <w:t>Guideline: Historic heritage assessment: maritime cultural heritage protection special management area (2017)</w:t>
              </w:r>
            </w:hyperlink>
            <w:r w:rsidR="00A56EE9" w:rsidRPr="00E70A11">
              <w:rPr>
                <w:rFonts w:ascii="Arial Narrow" w:hAnsi="Arial Narrow"/>
                <w:sz w:val="18"/>
                <w:szCs w:val="18"/>
              </w:rPr>
              <w:t xml:space="preserve"> GBRMPA. </w:t>
            </w:r>
          </w:p>
          <w:p w14:paraId="5761F553" w14:textId="77777777" w:rsidR="00A56EE9" w:rsidRPr="00E70A11" w:rsidRDefault="008B5998" w:rsidP="00A11869">
            <w:pPr>
              <w:pStyle w:val="ListParagraph"/>
              <w:numPr>
                <w:ilvl w:val="0"/>
                <w:numId w:val="157"/>
              </w:numPr>
              <w:spacing w:after="0" w:line="276" w:lineRule="auto"/>
              <w:rPr>
                <w:rFonts w:ascii="Arial Narrow" w:hAnsi="Arial Narrow"/>
                <w:sz w:val="18"/>
                <w:szCs w:val="18"/>
              </w:rPr>
            </w:pPr>
            <w:hyperlink r:id="rId932" w:history="1">
              <w:r w:rsidR="00A56EE9" w:rsidRPr="00E70A11">
                <w:rPr>
                  <w:rStyle w:val="Hyperlink"/>
                  <w:rFonts w:ascii="Arial Narrow" w:hAnsi="Arial Narrow" w:cs="Helvetica"/>
                  <w:sz w:val="18"/>
                  <w:szCs w:val="18"/>
                </w:rPr>
                <w:t>Guideline: Historic heritage assessment: other places of historic and social significance (2017)</w:t>
              </w:r>
            </w:hyperlink>
            <w:r w:rsidR="00A56EE9" w:rsidRPr="00E70A11">
              <w:rPr>
                <w:rFonts w:ascii="Arial Narrow" w:hAnsi="Arial Narrow"/>
                <w:sz w:val="18"/>
                <w:szCs w:val="18"/>
              </w:rPr>
              <w:t xml:space="preserve"> GBRMPA. </w:t>
            </w:r>
          </w:p>
          <w:p w14:paraId="5761F554" w14:textId="77777777" w:rsidR="00A56EE9" w:rsidRPr="00774D6C" w:rsidRDefault="00A56EE9" w:rsidP="00A11869">
            <w:pPr>
              <w:pStyle w:val="ListParagraph"/>
              <w:numPr>
                <w:ilvl w:val="0"/>
                <w:numId w:val="157"/>
              </w:numPr>
              <w:spacing w:after="0" w:line="276" w:lineRule="auto"/>
              <w:rPr>
                <w:rFonts w:ascii="Arial Narrow" w:hAnsi="Arial Narrow"/>
                <w:sz w:val="18"/>
                <w:szCs w:val="18"/>
              </w:rPr>
            </w:pPr>
            <w:r w:rsidRPr="00E70A11">
              <w:rPr>
                <w:rFonts w:ascii="Arial Narrow" w:hAnsi="Arial Narrow"/>
                <w:sz w:val="18"/>
                <w:szCs w:val="18"/>
              </w:rPr>
              <w:t xml:space="preserve">Guideline: </w:t>
            </w:r>
            <w:hyperlink r:id="rId933" w:history="1">
              <w:r w:rsidRPr="00E70A11">
                <w:rPr>
                  <w:rStyle w:val="Hyperlink"/>
                  <w:rFonts w:ascii="Arial Narrow" w:hAnsi="Arial Narrow" w:cs="Helvetica"/>
                  <w:sz w:val="18"/>
                  <w:szCs w:val="18"/>
                </w:rPr>
                <w:t>Historic heritage assessment: WWII features and sites, and voyages and shipwrecks</w:t>
              </w:r>
            </w:hyperlink>
            <w:r w:rsidRPr="00E70A11">
              <w:rPr>
                <w:rFonts w:ascii="Arial Narrow" w:hAnsi="Arial Narrow"/>
                <w:sz w:val="18"/>
                <w:szCs w:val="18"/>
              </w:rPr>
              <w:t xml:space="preserve"> (2017) GBRMPA </w:t>
            </w:r>
          </w:p>
          <w:p w14:paraId="5761F555" w14:textId="77777777" w:rsidR="00A56EE9" w:rsidRPr="00E70A11" w:rsidRDefault="00A56EE9" w:rsidP="00BB6AD5">
            <w:pPr>
              <w:jc w:val="both"/>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55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55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56C"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5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CO2</w:t>
            </w:r>
            <w:r>
              <w:rPr>
                <w:rFonts w:ascii="Arial Narrow" w:hAnsi="Arial Narrow"/>
                <w:sz w:val="18"/>
                <w:szCs w:val="18"/>
              </w:rPr>
              <w:t xml:space="preserve"> </w:t>
            </w:r>
            <w:r w:rsidRPr="00E70A11">
              <w:rPr>
                <w:rFonts w:ascii="Arial Narrow" w:hAnsi="Arial Narrow"/>
                <w:sz w:val="18"/>
                <w:szCs w:val="18"/>
              </w:rPr>
              <w:t>The current condition and trend of values relevant historic heritage are known by managers</w:t>
            </w:r>
          </w:p>
        </w:tc>
        <w:tc>
          <w:tcPr>
            <w:tcW w:w="709" w:type="dxa"/>
            <w:tcBorders>
              <w:top w:val="single" w:sz="4" w:space="0" w:color="auto"/>
              <w:left w:val="single" w:sz="4" w:space="0" w:color="auto"/>
              <w:bottom w:val="single" w:sz="4" w:space="0" w:color="auto"/>
              <w:right w:val="single" w:sz="4" w:space="0" w:color="auto"/>
            </w:tcBorders>
          </w:tcPr>
          <w:p w14:paraId="5761F55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55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Knowledge of the condition of the listed places is good, but for most of the historic places managers have little coordinated information.</w:t>
            </w:r>
          </w:p>
          <w:p w14:paraId="5761F55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RIMReP project is establishing attributes and indicators for human dimensions of the GBR that include condition and trend of historic heritage and aesthetic beauty.</w:t>
            </w:r>
          </w:p>
          <w:p w14:paraId="5761F55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Strategic Assessment (Table 7.7) presents a summary of condition and trend for historic heritage values. There is good understanding and recording of some aspects of historic heritage, for example historic shipwrecks and lightstations. Heritage values are being maintained or restored at some lightstations. However, most places of historic significance are poorly recorded and their condition is not well understood.</w:t>
            </w:r>
          </w:p>
          <w:p w14:paraId="5761F55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Queensland Government has commenced desktop research into the wreck of HMAS Warrnambool, which is located within the GBR and has attracted some public interest.</w:t>
            </w:r>
          </w:p>
          <w:p w14:paraId="5761F55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31 WWII era aircraft wrecks within the GBRMP have been entered into the Australian National Shipwreck Database. Physical and desktop research has been undertaken collaboratively between the GBRMPA and the Queensland Government.</w:t>
            </w:r>
            <w:r>
              <w:rPr>
                <w:rFonts w:ascii="Arial Narrow" w:eastAsia="Calibri" w:hAnsi="Arial Narrow"/>
                <w:sz w:val="18"/>
                <w:szCs w:val="18"/>
              </w:rPr>
              <w:t xml:space="preserve"> However, m</w:t>
            </w:r>
            <w:r w:rsidRPr="00EE767E">
              <w:rPr>
                <w:rFonts w:ascii="Arial Narrow" w:eastAsia="Calibri" w:hAnsi="Arial Narrow"/>
                <w:sz w:val="18"/>
                <w:szCs w:val="18"/>
              </w:rPr>
              <w:t>ost aircraft wrecks do not have accurate coordinates and have not been surveyed.</w:t>
            </w:r>
          </w:p>
          <w:p w14:paraId="5761F56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Aesthetic values: Table 7.12 of the 2013 Strategic Assessment presents a summary of condition and trend of aesthetic values. The significant loss of coral cover, especially in areas south of about Cooktown, has reduced underwater aesthetic value, as has increasing turbidity in inshore areas. The recent aesthetics report underlines the importance of reef health to public appreciation.</w:t>
            </w:r>
          </w:p>
        </w:tc>
        <w:tc>
          <w:tcPr>
            <w:tcW w:w="3907" w:type="dxa"/>
            <w:tcBorders>
              <w:top w:val="single" w:sz="4" w:space="0" w:color="auto"/>
              <w:left w:val="single" w:sz="4" w:space="0" w:color="auto"/>
              <w:bottom w:val="single" w:sz="4" w:space="0" w:color="auto"/>
              <w:right w:val="single" w:sz="4" w:space="0" w:color="auto"/>
            </w:tcBorders>
          </w:tcPr>
          <w:p w14:paraId="5761F561" w14:textId="77777777" w:rsidR="00A56EE9" w:rsidRPr="00E70A11" w:rsidRDefault="008B5998" w:rsidP="00A11869">
            <w:pPr>
              <w:pStyle w:val="ListParagraph"/>
              <w:numPr>
                <w:ilvl w:val="0"/>
                <w:numId w:val="24"/>
              </w:numPr>
              <w:spacing w:after="0" w:line="240" w:lineRule="auto"/>
              <w:jc w:val="both"/>
              <w:rPr>
                <w:rStyle w:val="Hyperlink"/>
                <w:rFonts w:ascii="Arial Narrow" w:hAnsi="Arial Narrow"/>
                <w:sz w:val="18"/>
                <w:szCs w:val="18"/>
              </w:rPr>
            </w:pPr>
            <w:hyperlink r:id="rId934" w:history="1">
              <w:r w:rsidR="00A56EE9" w:rsidRPr="00E70A11">
                <w:rPr>
                  <w:rStyle w:val="Hyperlink"/>
                  <w:rFonts w:ascii="Arial Narrow" w:hAnsi="Arial Narrow"/>
                  <w:sz w:val="18"/>
                  <w:szCs w:val="18"/>
                  <w:lang w:val="en"/>
                </w:rPr>
                <w:t>GBR Region Strategic Assessment Report</w:t>
              </w:r>
            </w:hyperlink>
            <w:r w:rsidR="00A56EE9" w:rsidRPr="00E70A11">
              <w:rPr>
                <w:rStyle w:val="Hyperlink"/>
                <w:rFonts w:ascii="Arial Narrow" w:hAnsi="Arial Narrow"/>
                <w:sz w:val="18"/>
                <w:szCs w:val="18"/>
                <w:lang w:val="en"/>
              </w:rPr>
              <w:t xml:space="preserve"> (</w:t>
            </w:r>
            <w:r w:rsidR="00A56EE9" w:rsidRPr="00E70A11">
              <w:rPr>
                <w:rStyle w:val="Hyperlink"/>
                <w:rFonts w:ascii="Arial Narrow" w:hAnsi="Arial Narrow"/>
                <w:sz w:val="18"/>
                <w:szCs w:val="18"/>
              </w:rPr>
              <w:t xml:space="preserve">2014), Chapter 5 Drivers and Activities </w:t>
            </w:r>
          </w:p>
          <w:p w14:paraId="5761F562" w14:textId="77777777" w:rsidR="00A56EE9" w:rsidRPr="00E70A11" w:rsidRDefault="008B5998" w:rsidP="00A11869">
            <w:pPr>
              <w:pStyle w:val="ListParagraph"/>
              <w:numPr>
                <w:ilvl w:val="0"/>
                <w:numId w:val="24"/>
              </w:numPr>
              <w:spacing w:after="0" w:line="240" w:lineRule="auto"/>
              <w:jc w:val="both"/>
              <w:rPr>
                <w:rStyle w:val="Hyperlink"/>
                <w:rFonts w:ascii="Arial Narrow" w:hAnsi="Arial Narrow"/>
                <w:sz w:val="18"/>
                <w:szCs w:val="18"/>
              </w:rPr>
            </w:pPr>
            <w:hyperlink r:id="rId935" w:history="1">
              <w:r w:rsidR="00A56EE9" w:rsidRPr="00E70A11">
                <w:rPr>
                  <w:rStyle w:val="Hyperlink"/>
                  <w:rFonts w:ascii="Arial Narrow" w:hAnsi="Arial Narrow"/>
                  <w:sz w:val="18"/>
                  <w:szCs w:val="18"/>
                  <w:lang w:val="en"/>
                </w:rPr>
                <w:t>GBR Region Strategic Assessment Report</w:t>
              </w:r>
            </w:hyperlink>
            <w:r w:rsidR="00A56EE9" w:rsidRPr="00E70A11">
              <w:rPr>
                <w:rStyle w:val="Hyperlink"/>
                <w:rFonts w:ascii="Arial Narrow" w:hAnsi="Arial Narrow"/>
                <w:sz w:val="18"/>
                <w:szCs w:val="18"/>
              </w:rPr>
              <w:t xml:space="preserve"> (2014), Chapter 7 Current conditions and Trends; s 7.3. </w:t>
            </w:r>
          </w:p>
          <w:p w14:paraId="5761F563" w14:textId="77777777" w:rsidR="00A56EE9" w:rsidRPr="00E70A11" w:rsidRDefault="008B5998" w:rsidP="00A11869">
            <w:pPr>
              <w:pStyle w:val="ListParagraph"/>
              <w:numPr>
                <w:ilvl w:val="0"/>
                <w:numId w:val="24"/>
              </w:numPr>
              <w:spacing w:after="0" w:line="240" w:lineRule="auto"/>
              <w:jc w:val="both"/>
              <w:rPr>
                <w:rStyle w:val="Hyperlink"/>
                <w:rFonts w:ascii="Arial Narrow" w:hAnsi="Arial Narrow"/>
                <w:sz w:val="18"/>
                <w:szCs w:val="18"/>
              </w:rPr>
            </w:pPr>
            <w:hyperlink r:id="rId936" w:history="1">
              <w:r w:rsidR="00A56EE9" w:rsidRPr="00E70A11">
                <w:rPr>
                  <w:rStyle w:val="Hyperlink"/>
                  <w:rFonts w:ascii="Arial Narrow" w:hAnsi="Arial Narrow" w:cs="Times New Roman"/>
                  <w:sz w:val="18"/>
                  <w:szCs w:val="18"/>
                  <w:lang w:val="en"/>
                </w:rPr>
                <w:t>GBR Region Strategic Assessment Report</w:t>
              </w:r>
            </w:hyperlink>
            <w:r w:rsidR="00A56EE9" w:rsidRPr="00E70A11">
              <w:rPr>
                <w:rStyle w:val="Hyperlink"/>
                <w:rFonts w:ascii="Arial Narrow" w:hAnsi="Arial Narrow"/>
                <w:sz w:val="18"/>
                <w:szCs w:val="18"/>
              </w:rPr>
              <w:t xml:space="preserve"> (2014), Chapter 6 Impacts on the Values</w:t>
            </w:r>
            <w:r w:rsidR="00A56EE9">
              <w:rPr>
                <w:rStyle w:val="Hyperlink"/>
                <w:rFonts w:ascii="Arial Narrow" w:hAnsi="Arial Narrow"/>
                <w:sz w:val="18"/>
                <w:szCs w:val="18"/>
              </w:rPr>
              <w:t xml:space="preserve"> </w:t>
            </w:r>
          </w:p>
          <w:p w14:paraId="5761F564" w14:textId="77777777" w:rsidR="00A56EE9" w:rsidRPr="00E70A11" w:rsidRDefault="00A56EE9" w:rsidP="00A11869">
            <w:pPr>
              <w:pStyle w:val="ListParagraph"/>
              <w:numPr>
                <w:ilvl w:val="0"/>
                <w:numId w:val="24"/>
              </w:numPr>
              <w:spacing w:after="0" w:line="240" w:lineRule="auto"/>
              <w:jc w:val="both"/>
              <w:rPr>
                <w:rFonts w:ascii="Arial Narrow" w:hAnsi="Arial Narrow"/>
                <w:sz w:val="18"/>
                <w:szCs w:val="18"/>
              </w:rPr>
            </w:pPr>
            <w:r w:rsidRPr="00E70A11">
              <w:rPr>
                <w:rFonts w:ascii="Arial Narrow" w:hAnsi="Arial Narrow"/>
                <w:sz w:val="18"/>
                <w:szCs w:val="18"/>
                <w:lang w:val="en"/>
              </w:rPr>
              <w:t xml:space="preserve">Johnston, Chris and Smith, Anita. </w:t>
            </w:r>
            <w:hyperlink r:id="rId937" w:history="1">
              <w:r w:rsidRPr="00E70A11">
                <w:rPr>
                  <w:rStyle w:val="Hyperlink"/>
                  <w:rFonts w:ascii="Arial Narrow" w:hAnsi="Arial Narrow"/>
                  <w:sz w:val="18"/>
                  <w:szCs w:val="18"/>
                  <w:lang w:val="en"/>
                </w:rPr>
                <w:t>Beautiful one day: Assessing the world heritage aesthetic values of the Great Barrier Reef</w:t>
              </w:r>
            </w:hyperlink>
            <w:r w:rsidRPr="00E70A11">
              <w:rPr>
                <w:rFonts w:ascii="Arial Narrow" w:hAnsi="Arial Narrow"/>
                <w:sz w:val="18"/>
                <w:szCs w:val="18"/>
                <w:lang w:val="en"/>
              </w:rPr>
              <w:t xml:space="preserve"> [online]. </w:t>
            </w:r>
            <w:r w:rsidRPr="00E70A11">
              <w:rPr>
                <w:rFonts w:ascii="Arial Narrow" w:hAnsi="Arial Narrow"/>
                <w:sz w:val="18"/>
                <w:szCs w:val="18"/>
                <w:u w:val="single"/>
                <w:lang w:val="en"/>
              </w:rPr>
              <w:t>Historic Environment</w:t>
            </w:r>
            <w:r w:rsidRPr="00E70A11">
              <w:rPr>
                <w:rFonts w:ascii="Arial Narrow" w:hAnsi="Arial Narrow"/>
                <w:sz w:val="18"/>
                <w:szCs w:val="18"/>
                <w:lang w:val="en"/>
              </w:rPr>
              <w:t xml:space="preserve">, Vol. 26, No. 2, 2014: 54-71. </w:t>
            </w:r>
          </w:p>
          <w:p w14:paraId="5761F565" w14:textId="77777777" w:rsidR="00A56EE9" w:rsidRPr="00E70A11" w:rsidRDefault="00A56EE9" w:rsidP="00A11869">
            <w:pPr>
              <w:pStyle w:val="ListParagraph"/>
              <w:numPr>
                <w:ilvl w:val="0"/>
                <w:numId w:val="24"/>
              </w:numPr>
              <w:spacing w:after="0" w:line="240" w:lineRule="auto"/>
              <w:jc w:val="both"/>
              <w:rPr>
                <w:rFonts w:ascii="Arial Narrow" w:hAnsi="Arial Narrow"/>
                <w:sz w:val="18"/>
                <w:szCs w:val="18"/>
              </w:rPr>
            </w:pPr>
            <w:r w:rsidRPr="00E70A11">
              <w:rPr>
                <w:rFonts w:ascii="Arial Narrow" w:hAnsi="Arial Narrow"/>
                <w:sz w:val="18"/>
                <w:szCs w:val="18"/>
              </w:rPr>
              <w:t>Marshall</w:t>
            </w:r>
            <w:proofErr w:type="gramStart"/>
            <w:r w:rsidRPr="00E70A11">
              <w:rPr>
                <w:rFonts w:ascii="Arial Narrow" w:hAnsi="Arial Narrow"/>
                <w:sz w:val="18"/>
                <w:szCs w:val="18"/>
              </w:rPr>
              <w:t>,N.A</w:t>
            </w:r>
            <w:proofErr w:type="gramEnd"/>
            <w:r w:rsidRPr="00E70A11">
              <w:rPr>
                <w:rFonts w:ascii="Arial Narrow" w:hAnsi="Arial Narrow"/>
                <w:sz w:val="18"/>
                <w:szCs w:val="18"/>
              </w:rPr>
              <w:t>., Marshall, P. and</w:t>
            </w:r>
            <w:r>
              <w:rPr>
                <w:rFonts w:ascii="Arial Narrow" w:hAnsi="Arial Narrow"/>
                <w:sz w:val="18"/>
                <w:szCs w:val="18"/>
              </w:rPr>
              <w:t xml:space="preserve"> </w:t>
            </w:r>
            <w:r w:rsidRPr="00E70A11">
              <w:rPr>
                <w:rFonts w:ascii="Arial Narrow" w:hAnsi="Arial Narrow"/>
                <w:sz w:val="18"/>
                <w:szCs w:val="18"/>
              </w:rPr>
              <w:t>Smith, A.K. 2017. Managing for aesthetic values in the Great Barrier Reef-Identifying indicators and linking reef aesthetics to reef health. Report to the National Environmental Science Programme. Reef and Rainforest Research Centre Limited, Cairns.</w:t>
            </w:r>
          </w:p>
          <w:p w14:paraId="5761F566"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 xml:space="preserve">FMP Annual Report </w:t>
            </w:r>
            <w:hyperlink r:id="rId938" w:history="1">
              <w:r w:rsidRPr="00E70A11">
                <w:rPr>
                  <w:rStyle w:val="Hyperlink"/>
                  <w:rFonts w:ascii="Arial Narrow" w:hAnsi="Arial Narrow"/>
                  <w:sz w:val="18"/>
                  <w:szCs w:val="18"/>
                </w:rPr>
                <w:t>2014-15</w:t>
              </w:r>
            </w:hyperlink>
            <w:r w:rsidRPr="00E70A11">
              <w:rPr>
                <w:rFonts w:ascii="Arial Narrow" w:hAnsi="Arial Narrow"/>
                <w:sz w:val="18"/>
                <w:szCs w:val="18"/>
              </w:rPr>
              <w:t xml:space="preserve"> and </w:t>
            </w:r>
            <w:hyperlink r:id="rId939" w:history="1">
              <w:r w:rsidRPr="00E70A11">
                <w:rPr>
                  <w:rFonts w:ascii="Arial Narrow" w:hAnsi="Arial Narrow"/>
                  <w:sz w:val="18"/>
                  <w:szCs w:val="18"/>
                  <w:u w:val="single"/>
                </w:rPr>
                <w:t>2015-16</w:t>
              </w:r>
            </w:hyperlink>
            <w:r>
              <w:rPr>
                <w:rFonts w:ascii="Arial Narrow" w:hAnsi="Arial Narrow"/>
                <w:sz w:val="18"/>
                <w:szCs w:val="18"/>
                <w:u w:val="single"/>
              </w:rPr>
              <w:t xml:space="preserve"> </w:t>
            </w:r>
          </w:p>
          <w:p w14:paraId="5761F567"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 xml:space="preserve">FMP Annual Business Plan </w:t>
            </w:r>
          </w:p>
          <w:p w14:paraId="5761F568" w14:textId="77777777" w:rsidR="00A56EE9" w:rsidRPr="00E70A11" w:rsidRDefault="00A56EE9" w:rsidP="00A11869">
            <w:pPr>
              <w:pStyle w:val="ListParagraph"/>
              <w:numPr>
                <w:ilvl w:val="0"/>
                <w:numId w:val="24"/>
              </w:numPr>
              <w:spacing w:after="0" w:line="240" w:lineRule="auto"/>
              <w:jc w:val="both"/>
              <w:rPr>
                <w:rFonts w:ascii="Arial Narrow" w:hAnsi="Arial Narrow"/>
                <w:sz w:val="18"/>
                <w:szCs w:val="18"/>
              </w:rPr>
            </w:pPr>
            <w:r w:rsidRPr="00E70A11">
              <w:rPr>
                <w:rFonts w:ascii="Arial Narrow" w:hAnsi="Arial Narrow"/>
                <w:sz w:val="18"/>
                <w:szCs w:val="18"/>
              </w:rPr>
              <w:t xml:space="preserve">GBRMPA Building Audits on Commonwealth Islands – see 2010-2011 Annual Report (Available upon request) </w:t>
            </w:r>
          </w:p>
          <w:p w14:paraId="5761F569" w14:textId="77777777" w:rsidR="00A56EE9" w:rsidRPr="00E70A11" w:rsidRDefault="00A56EE9" w:rsidP="00BB6AD5">
            <w:pPr>
              <w:pStyle w:val="ListBullet"/>
              <w:numPr>
                <w:ilvl w:val="0"/>
                <w:numId w:val="0"/>
              </w:numPr>
              <w:spacing w:line="240" w:lineRule="auto"/>
              <w:ind w:left="317"/>
              <w:jc w:val="both"/>
            </w:pPr>
          </w:p>
        </w:tc>
        <w:tc>
          <w:tcPr>
            <w:tcW w:w="912" w:type="dxa"/>
            <w:tcBorders>
              <w:top w:val="single" w:sz="4" w:space="0" w:color="auto"/>
              <w:left w:val="single" w:sz="4" w:space="0" w:color="auto"/>
              <w:bottom w:val="single" w:sz="4" w:space="0" w:color="auto"/>
              <w:right w:val="single" w:sz="4" w:space="0" w:color="auto"/>
            </w:tcBorders>
          </w:tcPr>
          <w:p w14:paraId="5761F56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56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57B"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6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CO3</w:t>
            </w:r>
            <w:r>
              <w:rPr>
                <w:rFonts w:ascii="Arial Narrow" w:hAnsi="Arial Narrow"/>
                <w:sz w:val="18"/>
                <w:szCs w:val="18"/>
              </w:rPr>
              <w:t xml:space="preserve"> </w:t>
            </w:r>
            <w:r w:rsidRPr="00E70A11">
              <w:rPr>
                <w:rFonts w:ascii="Arial Narrow" w:hAnsi="Arial Narrow"/>
                <w:sz w:val="18"/>
                <w:szCs w:val="18"/>
              </w:rPr>
              <w:t>Impacts (direct, indirect and cumulative) associated with historic heritage are understood by managers.</w:t>
            </w:r>
          </w:p>
        </w:tc>
        <w:tc>
          <w:tcPr>
            <w:tcW w:w="709" w:type="dxa"/>
            <w:tcBorders>
              <w:top w:val="single" w:sz="4" w:space="0" w:color="auto"/>
              <w:left w:val="single" w:sz="4" w:space="0" w:color="auto"/>
              <w:bottom w:val="single" w:sz="4" w:space="0" w:color="auto"/>
              <w:right w:val="single" w:sz="4" w:space="0" w:color="auto"/>
            </w:tcBorders>
          </w:tcPr>
          <w:p w14:paraId="5761F56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56F" w14:textId="77777777" w:rsidR="00A56EE9" w:rsidRPr="00E70A11" w:rsidRDefault="00A56EE9" w:rsidP="00A11869">
            <w:pPr>
              <w:numPr>
                <w:ilvl w:val="0"/>
                <w:numId w:val="155"/>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 structured assessment of the effects of past and present impacts on heritage was presented in the 2013 Strategic Assessment. Of the impacts considered to be affecting historic heritage, the effects were assessed as either minor or localised.</w:t>
            </w:r>
          </w:p>
          <w:p w14:paraId="5761F570" w14:textId="77777777" w:rsidR="00A56EE9" w:rsidRPr="00E70A11" w:rsidRDefault="00A56EE9" w:rsidP="00A11869">
            <w:pPr>
              <w:pStyle w:val="ListParagraph"/>
              <w:numPr>
                <w:ilvl w:val="0"/>
                <w:numId w:val="155"/>
              </w:numPr>
              <w:spacing w:after="0" w:line="240" w:lineRule="auto"/>
              <w:rPr>
                <w:rFonts w:ascii="Arial Narrow" w:eastAsia="Calibri" w:hAnsi="Arial Narrow" w:cs="Times New Roman"/>
                <w:sz w:val="18"/>
                <w:szCs w:val="18"/>
              </w:rPr>
            </w:pPr>
            <w:r w:rsidRPr="00E70A11">
              <w:rPr>
                <w:rFonts w:ascii="Arial Narrow" w:eastAsia="Calibri" w:hAnsi="Arial Narrow" w:cs="Times New Roman"/>
                <w:sz w:val="18"/>
                <w:szCs w:val="18"/>
              </w:rPr>
              <w:t xml:space="preserve">Cyclones have been assessed as the key risk factor to many of the historic shipwrecks. The impacts of cyclones on the </w:t>
            </w:r>
            <w:r w:rsidRPr="00E70A11">
              <w:rPr>
                <w:rFonts w:ascii="Arial Narrow" w:eastAsia="Calibri" w:hAnsi="Arial Narrow" w:cs="Times New Roman"/>
                <w:i/>
                <w:sz w:val="18"/>
                <w:szCs w:val="18"/>
              </w:rPr>
              <w:t>Lady Bowen</w:t>
            </w:r>
            <w:r w:rsidRPr="00E70A11">
              <w:rPr>
                <w:rFonts w:ascii="Arial Narrow" w:eastAsia="Calibri" w:hAnsi="Arial Narrow" w:cs="Times New Roman"/>
                <w:sz w:val="18"/>
                <w:szCs w:val="18"/>
              </w:rPr>
              <w:t xml:space="preserve"> and </w:t>
            </w:r>
            <w:r w:rsidRPr="00E70A11">
              <w:rPr>
                <w:rFonts w:ascii="Arial Narrow" w:eastAsia="Calibri" w:hAnsi="Arial Narrow" w:cs="Times New Roman"/>
                <w:i/>
                <w:sz w:val="18"/>
                <w:szCs w:val="18"/>
              </w:rPr>
              <w:t>Yongala</w:t>
            </w:r>
            <w:r w:rsidRPr="00E70A11">
              <w:rPr>
                <w:rFonts w:ascii="Arial Narrow" w:eastAsia="Calibri" w:hAnsi="Arial Narrow" w:cs="Times New Roman"/>
                <w:sz w:val="18"/>
                <w:szCs w:val="18"/>
              </w:rPr>
              <w:t xml:space="preserve"> have been assessed. </w:t>
            </w:r>
          </w:p>
          <w:p w14:paraId="5761F571" w14:textId="77777777" w:rsidR="00A56EE9" w:rsidRPr="00E70A11" w:rsidRDefault="00A56EE9" w:rsidP="00A11869">
            <w:pPr>
              <w:numPr>
                <w:ilvl w:val="0"/>
                <w:numId w:val="155"/>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Inshore wrecks are also vulnerable due to increased extreme weather events – including inshore erosion leading to exposure of previously buried wrecks.</w:t>
            </w:r>
          </w:p>
          <w:p w14:paraId="5761F572" w14:textId="77777777" w:rsidR="00A56EE9" w:rsidRPr="00E70A11" w:rsidRDefault="00A56EE9" w:rsidP="00A11869">
            <w:pPr>
              <w:numPr>
                <w:ilvl w:val="0"/>
                <w:numId w:val="155"/>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 A thorough risk assessment was included in the 2013 report on aesthetic values (Johnson et al 2013). This report concluded there were a number of high to very high risks, including climate change, urban and industrial development, and agriculture. </w:t>
            </w:r>
          </w:p>
        </w:tc>
        <w:tc>
          <w:tcPr>
            <w:tcW w:w="3907" w:type="dxa"/>
            <w:tcBorders>
              <w:top w:val="single" w:sz="4" w:space="0" w:color="auto"/>
              <w:left w:val="single" w:sz="4" w:space="0" w:color="auto"/>
              <w:bottom w:val="single" w:sz="4" w:space="0" w:color="auto"/>
              <w:right w:val="single" w:sz="4" w:space="0" w:color="auto"/>
            </w:tcBorders>
          </w:tcPr>
          <w:p w14:paraId="5761F573" w14:textId="77777777" w:rsidR="00A56EE9" w:rsidRPr="00E70A11" w:rsidRDefault="008B5998" w:rsidP="00A11869">
            <w:pPr>
              <w:pStyle w:val="ListParagraph"/>
              <w:numPr>
                <w:ilvl w:val="0"/>
                <w:numId w:val="24"/>
              </w:numPr>
              <w:spacing w:after="0" w:line="240" w:lineRule="auto"/>
              <w:jc w:val="both"/>
              <w:rPr>
                <w:rStyle w:val="Hyperlink"/>
                <w:rFonts w:ascii="Arial Narrow" w:hAnsi="Arial Narrow"/>
                <w:sz w:val="18"/>
                <w:szCs w:val="18"/>
              </w:rPr>
            </w:pPr>
            <w:hyperlink r:id="rId940" w:history="1">
              <w:r w:rsidR="00A56EE9" w:rsidRPr="00E70A11">
                <w:rPr>
                  <w:rStyle w:val="Hyperlink"/>
                  <w:rFonts w:ascii="Arial Narrow" w:hAnsi="Arial Narrow"/>
                  <w:sz w:val="18"/>
                  <w:szCs w:val="18"/>
                  <w:lang w:val="en"/>
                </w:rPr>
                <w:t>GBR Region Strategic Assessment Report</w:t>
              </w:r>
            </w:hyperlink>
            <w:r w:rsidR="00A56EE9" w:rsidRPr="00E70A11">
              <w:rPr>
                <w:rStyle w:val="Hyperlink"/>
                <w:rFonts w:ascii="Arial Narrow" w:hAnsi="Arial Narrow"/>
                <w:sz w:val="18"/>
                <w:szCs w:val="18"/>
                <w:lang w:val="en"/>
              </w:rPr>
              <w:t xml:space="preserve"> (</w:t>
            </w:r>
            <w:r w:rsidR="00A56EE9" w:rsidRPr="00E70A11">
              <w:rPr>
                <w:rStyle w:val="Hyperlink"/>
                <w:rFonts w:ascii="Arial Narrow" w:hAnsi="Arial Narrow"/>
                <w:sz w:val="18"/>
                <w:szCs w:val="18"/>
              </w:rPr>
              <w:t xml:space="preserve">2014), Chapter 5 Drivers and Activities </w:t>
            </w:r>
          </w:p>
          <w:p w14:paraId="5761F574" w14:textId="77777777" w:rsidR="00A56EE9" w:rsidRPr="00E70A11" w:rsidRDefault="008B5998" w:rsidP="00A11869">
            <w:pPr>
              <w:pStyle w:val="ListParagraph"/>
              <w:numPr>
                <w:ilvl w:val="0"/>
                <w:numId w:val="24"/>
              </w:numPr>
              <w:spacing w:after="0" w:line="240" w:lineRule="auto"/>
              <w:jc w:val="both"/>
              <w:rPr>
                <w:rStyle w:val="Hyperlink"/>
                <w:rFonts w:ascii="Arial Narrow" w:hAnsi="Arial Narrow"/>
                <w:sz w:val="18"/>
                <w:szCs w:val="18"/>
              </w:rPr>
            </w:pPr>
            <w:hyperlink r:id="rId941" w:history="1">
              <w:r w:rsidR="00A56EE9" w:rsidRPr="00E70A11">
                <w:rPr>
                  <w:rStyle w:val="Hyperlink"/>
                  <w:rFonts w:ascii="Arial Narrow" w:hAnsi="Arial Narrow"/>
                  <w:sz w:val="18"/>
                  <w:szCs w:val="18"/>
                  <w:lang w:val="en"/>
                </w:rPr>
                <w:t>GBR Region Strategic Assessment Report</w:t>
              </w:r>
            </w:hyperlink>
            <w:r w:rsidR="00A56EE9" w:rsidRPr="00E70A11">
              <w:rPr>
                <w:rStyle w:val="Hyperlink"/>
                <w:rFonts w:ascii="Arial Narrow" w:hAnsi="Arial Narrow"/>
                <w:sz w:val="18"/>
                <w:szCs w:val="18"/>
              </w:rPr>
              <w:t xml:space="preserve"> (2014), Chapter 7 Current conditions and Trends; s 7.3. </w:t>
            </w:r>
          </w:p>
          <w:p w14:paraId="5761F575" w14:textId="77777777" w:rsidR="00A56EE9" w:rsidRPr="00E70A11" w:rsidRDefault="008B5998" w:rsidP="00A11869">
            <w:pPr>
              <w:pStyle w:val="ListParagraph"/>
              <w:numPr>
                <w:ilvl w:val="0"/>
                <w:numId w:val="24"/>
              </w:numPr>
              <w:spacing w:after="0" w:line="240" w:lineRule="auto"/>
              <w:jc w:val="both"/>
              <w:rPr>
                <w:rStyle w:val="Hyperlink"/>
                <w:rFonts w:ascii="Arial Narrow" w:hAnsi="Arial Narrow"/>
                <w:sz w:val="18"/>
                <w:szCs w:val="18"/>
              </w:rPr>
            </w:pPr>
            <w:hyperlink r:id="rId942" w:history="1">
              <w:r w:rsidR="00A56EE9" w:rsidRPr="00E70A11">
                <w:rPr>
                  <w:rStyle w:val="Hyperlink"/>
                  <w:rFonts w:ascii="Arial Narrow" w:hAnsi="Arial Narrow" w:cs="Times New Roman"/>
                  <w:sz w:val="18"/>
                  <w:szCs w:val="18"/>
                  <w:lang w:val="en"/>
                </w:rPr>
                <w:t>GBR Region Strategic Assessment Report</w:t>
              </w:r>
            </w:hyperlink>
            <w:r w:rsidR="00A56EE9" w:rsidRPr="00E70A11">
              <w:rPr>
                <w:rStyle w:val="Hyperlink"/>
                <w:rFonts w:ascii="Arial Narrow" w:hAnsi="Arial Narrow"/>
                <w:sz w:val="18"/>
                <w:szCs w:val="18"/>
              </w:rPr>
              <w:t xml:space="preserve"> (2014), Chapter 6 Impacts on the Values</w:t>
            </w:r>
            <w:r w:rsidR="00A56EE9">
              <w:rPr>
                <w:rStyle w:val="Hyperlink"/>
                <w:rFonts w:ascii="Arial Narrow" w:hAnsi="Arial Narrow"/>
                <w:sz w:val="18"/>
                <w:szCs w:val="18"/>
              </w:rPr>
              <w:t xml:space="preserve"> </w:t>
            </w:r>
          </w:p>
          <w:p w14:paraId="5761F576" w14:textId="77777777" w:rsidR="00A56EE9" w:rsidRPr="00E70A11" w:rsidRDefault="00A56EE9" w:rsidP="00A11869">
            <w:pPr>
              <w:pStyle w:val="ListParagraph"/>
              <w:numPr>
                <w:ilvl w:val="0"/>
                <w:numId w:val="24"/>
              </w:numPr>
              <w:spacing w:after="0" w:line="240" w:lineRule="auto"/>
              <w:jc w:val="both"/>
              <w:rPr>
                <w:rFonts w:ascii="Arial Narrow" w:hAnsi="Arial Narrow"/>
                <w:sz w:val="18"/>
                <w:szCs w:val="18"/>
              </w:rPr>
            </w:pPr>
            <w:r w:rsidRPr="00E70A11">
              <w:rPr>
                <w:rFonts w:ascii="Arial Narrow" w:hAnsi="Arial Narrow"/>
                <w:sz w:val="18"/>
                <w:szCs w:val="18"/>
                <w:lang w:val="en"/>
              </w:rPr>
              <w:t xml:space="preserve">Johnston, Chris and Smith, Anita. </w:t>
            </w:r>
            <w:hyperlink r:id="rId943" w:history="1">
              <w:r w:rsidRPr="00E70A11">
                <w:rPr>
                  <w:rStyle w:val="Hyperlink"/>
                  <w:rFonts w:ascii="Arial Narrow" w:hAnsi="Arial Narrow"/>
                  <w:sz w:val="18"/>
                  <w:szCs w:val="18"/>
                  <w:lang w:val="en"/>
                </w:rPr>
                <w:t>Beautiful one day: Assessing the world heritage aesthetic values of the Great Barrier Reef</w:t>
              </w:r>
            </w:hyperlink>
            <w:r w:rsidRPr="00E70A11">
              <w:rPr>
                <w:rFonts w:ascii="Arial Narrow" w:hAnsi="Arial Narrow"/>
                <w:sz w:val="18"/>
                <w:szCs w:val="18"/>
                <w:lang w:val="en"/>
              </w:rPr>
              <w:t xml:space="preserve"> [online]. </w:t>
            </w:r>
            <w:r w:rsidRPr="00E70A11">
              <w:rPr>
                <w:rFonts w:ascii="Arial Narrow" w:hAnsi="Arial Narrow"/>
                <w:sz w:val="18"/>
                <w:szCs w:val="18"/>
                <w:u w:val="single"/>
                <w:lang w:val="en"/>
              </w:rPr>
              <w:t>Historic Environment</w:t>
            </w:r>
            <w:r w:rsidRPr="00E70A11">
              <w:rPr>
                <w:rFonts w:ascii="Arial Narrow" w:hAnsi="Arial Narrow"/>
                <w:sz w:val="18"/>
                <w:szCs w:val="18"/>
                <w:lang w:val="en"/>
              </w:rPr>
              <w:t xml:space="preserve">, Vol. 26, No. 2, 2014: 54-71. </w:t>
            </w:r>
          </w:p>
          <w:p w14:paraId="5761F577"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FMP Annual Reports</w:t>
            </w:r>
          </w:p>
          <w:p w14:paraId="5761F578"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FMP Annual Business Plans</w:t>
            </w:r>
          </w:p>
        </w:tc>
        <w:tc>
          <w:tcPr>
            <w:tcW w:w="912" w:type="dxa"/>
            <w:tcBorders>
              <w:top w:val="single" w:sz="4" w:space="0" w:color="auto"/>
              <w:left w:val="single" w:sz="4" w:space="0" w:color="auto"/>
              <w:bottom w:val="single" w:sz="4" w:space="0" w:color="auto"/>
              <w:right w:val="single" w:sz="4" w:space="0" w:color="auto"/>
            </w:tcBorders>
          </w:tcPr>
          <w:p w14:paraId="5761F57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57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58B"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7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CO4</w:t>
            </w:r>
            <w:r>
              <w:rPr>
                <w:rFonts w:ascii="Arial Narrow" w:hAnsi="Arial Narrow"/>
                <w:sz w:val="18"/>
                <w:szCs w:val="18"/>
              </w:rPr>
              <w:t xml:space="preserve"> </w:t>
            </w:r>
            <w:r w:rsidRPr="00E70A11">
              <w:rPr>
                <w:rFonts w:ascii="Arial Narrow" w:hAnsi="Arial Narrow"/>
                <w:sz w:val="18"/>
                <w:szCs w:val="18"/>
              </w:rPr>
              <w:t>The broader (national and international) level influences relevant to historic heritage are understood by managers.</w:t>
            </w:r>
          </w:p>
        </w:tc>
        <w:tc>
          <w:tcPr>
            <w:tcW w:w="709" w:type="dxa"/>
            <w:tcBorders>
              <w:top w:val="single" w:sz="4" w:space="0" w:color="auto"/>
              <w:left w:val="single" w:sz="4" w:space="0" w:color="auto"/>
              <w:bottom w:val="single" w:sz="4" w:space="0" w:color="auto"/>
              <w:right w:val="single" w:sz="4" w:space="0" w:color="auto"/>
            </w:tcBorders>
          </w:tcPr>
          <w:p w14:paraId="5761F57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103" w:type="dxa"/>
            <w:tcBorders>
              <w:top w:val="single" w:sz="4" w:space="0" w:color="auto"/>
              <w:left w:val="single" w:sz="4" w:space="0" w:color="auto"/>
              <w:bottom w:val="single" w:sz="4" w:space="0" w:color="auto"/>
              <w:right w:val="single" w:sz="4" w:space="0" w:color="auto"/>
            </w:tcBorders>
          </w:tcPr>
          <w:p w14:paraId="5761F57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GBRMPA has very good understanding of the national and international obligations in relation to defined heritage values. These are outlined in the draft strategy: ‘Heritage in Great Barrier Reef Marine Park’. The extent to which field managers share this understanding is not known.</w:t>
            </w:r>
          </w:p>
          <w:p w14:paraId="5761F57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first stage to develop this strategy was extensive desktop research of current best practice, national and state government policies, initiatives and legislation, Australia’s responsibilities under the World Heritage Convention, and relevant Authority strategies.</w:t>
            </w:r>
          </w:p>
          <w:p w14:paraId="5761F580" w14:textId="77777777" w:rsidR="00A56EE9" w:rsidRPr="00E70A11" w:rsidRDefault="00A56EE9" w:rsidP="00BB6AD5">
            <w:pPr>
              <w:contextualSpacing/>
              <w:rPr>
                <w:rFonts w:ascii="Arial Narrow" w:eastAsia="Calibri" w:hAnsi="Arial Narrow"/>
                <w:sz w:val="18"/>
                <w:szCs w:val="18"/>
              </w:rPr>
            </w:pPr>
          </w:p>
        </w:tc>
        <w:tc>
          <w:tcPr>
            <w:tcW w:w="3907" w:type="dxa"/>
            <w:tcBorders>
              <w:top w:val="single" w:sz="4" w:space="0" w:color="auto"/>
              <w:left w:val="single" w:sz="4" w:space="0" w:color="auto"/>
              <w:bottom w:val="single" w:sz="4" w:space="0" w:color="auto"/>
              <w:right w:val="single" w:sz="4" w:space="0" w:color="auto"/>
            </w:tcBorders>
          </w:tcPr>
          <w:p w14:paraId="5761F581"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944" w:history="1">
              <w:r w:rsidR="00A56EE9" w:rsidRPr="00E70A11">
                <w:rPr>
                  <w:rStyle w:val="Hyperlink"/>
                  <w:rFonts w:ascii="Arial Narrow" w:hAnsi="Arial Narrow"/>
                  <w:sz w:val="18"/>
                  <w:szCs w:val="18"/>
                  <w:lang w:val="en"/>
                </w:rPr>
                <w:t>State Party Report on the state of conservation of the Great Barrier Reef World Heritage Area (Australia) 2013</w:t>
              </w:r>
            </w:hyperlink>
          </w:p>
          <w:p w14:paraId="5761F582"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sz w:val="18"/>
                <w:szCs w:val="18"/>
              </w:rPr>
            </w:pPr>
            <w:hyperlink r:id="rId945" w:history="1">
              <w:r w:rsidR="00A56EE9" w:rsidRPr="00E70A11">
                <w:rPr>
                  <w:rStyle w:val="Hyperlink"/>
                  <w:rFonts w:ascii="Arial Narrow" w:hAnsi="Arial Narrow"/>
                  <w:sz w:val="18"/>
                  <w:szCs w:val="18"/>
                </w:rPr>
                <w:t>State of the Environment Report</w:t>
              </w:r>
            </w:hyperlink>
            <w:r w:rsidR="00A56EE9" w:rsidRPr="00E70A11">
              <w:rPr>
                <w:rFonts w:ascii="Arial Narrow" w:hAnsi="Arial Narrow"/>
                <w:sz w:val="18"/>
                <w:szCs w:val="18"/>
              </w:rPr>
              <w:t xml:space="preserve"> Cth webpage </w:t>
            </w:r>
          </w:p>
          <w:p w14:paraId="5761F58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Commonwealth of Australia 2015, </w:t>
            </w:r>
            <w:hyperlink r:id="rId946" w:history="1">
              <w:r w:rsidRPr="00E70A11">
                <w:rPr>
                  <w:rStyle w:val="Hyperlink"/>
                  <w:rFonts w:ascii="Arial Narrow" w:hAnsi="Arial Narrow"/>
                  <w:sz w:val="18"/>
                  <w:szCs w:val="18"/>
                </w:rPr>
                <w:t>Australian Heritage Strategy</w:t>
              </w:r>
            </w:hyperlink>
            <w:r w:rsidRPr="00E70A11">
              <w:rPr>
                <w:rFonts w:ascii="Arial Narrow" w:hAnsi="Arial Narrow"/>
                <w:sz w:val="18"/>
                <w:szCs w:val="18"/>
              </w:rPr>
              <w:t>, Commonwealth of Australia, Canberra.</w:t>
            </w:r>
          </w:p>
          <w:p w14:paraId="5761F58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Professor Richard Mackay, A. 2017, </w:t>
            </w:r>
            <w:hyperlink r:id="rId947" w:history="1">
              <w:r w:rsidRPr="00E70A11">
                <w:rPr>
                  <w:rStyle w:val="Hyperlink"/>
                  <w:rFonts w:ascii="Arial Narrow" w:hAnsi="Arial Narrow"/>
                  <w:sz w:val="18"/>
                  <w:szCs w:val="18"/>
                </w:rPr>
                <w:t>Australia State of the Environment 2016: Heritage</w:t>
              </w:r>
            </w:hyperlink>
            <w:r w:rsidRPr="00E70A11">
              <w:rPr>
                <w:rFonts w:ascii="Arial Narrow" w:hAnsi="Arial Narrow"/>
                <w:sz w:val="18"/>
                <w:szCs w:val="18"/>
              </w:rPr>
              <w:t xml:space="preserve">, Department of the Environment and Energy, Canberra, </w:t>
            </w:r>
          </w:p>
          <w:p w14:paraId="5761F585"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948" w:history="1">
              <w:r w:rsidR="00A56EE9" w:rsidRPr="00E70A11">
                <w:rPr>
                  <w:rStyle w:val="Hyperlink"/>
                  <w:rFonts w:ascii="Arial Narrow" w:hAnsi="Arial Narrow"/>
                  <w:sz w:val="18"/>
                  <w:szCs w:val="18"/>
                </w:rPr>
                <w:t>Landcare Illawarra 2017</w:t>
              </w:r>
            </w:hyperlink>
            <w:r w:rsidR="00A56EE9" w:rsidRPr="00E70A11">
              <w:rPr>
                <w:rFonts w:ascii="Arial Narrow" w:hAnsi="Arial Narrow"/>
                <w:sz w:val="18"/>
                <w:szCs w:val="18"/>
              </w:rPr>
              <w:t xml:space="preserve">, Cultural heritage </w:t>
            </w:r>
          </w:p>
          <w:p w14:paraId="5761F58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International Union for Conservation of Nature 2017, </w:t>
            </w:r>
            <w:hyperlink r:id="rId949" w:history="1">
              <w:r w:rsidRPr="00E70A11">
                <w:rPr>
                  <w:rStyle w:val="Hyperlink"/>
                  <w:rFonts w:ascii="Arial Narrow" w:hAnsi="Arial Narrow"/>
                  <w:sz w:val="18"/>
                  <w:szCs w:val="18"/>
                </w:rPr>
                <w:t>World Heritage Outlook</w:t>
              </w:r>
            </w:hyperlink>
            <w:r w:rsidRPr="00E70A11">
              <w:rPr>
                <w:rFonts w:ascii="Arial Narrow" w:hAnsi="Arial Narrow"/>
                <w:sz w:val="18"/>
                <w:szCs w:val="18"/>
              </w:rPr>
              <w:t xml:space="preserve"> </w:t>
            </w:r>
          </w:p>
          <w:p w14:paraId="5761F58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Mackay, R. 2017, </w:t>
            </w:r>
            <w:hyperlink r:id="rId950" w:history="1">
              <w:r w:rsidRPr="00E70A11">
                <w:rPr>
                  <w:rStyle w:val="Hyperlink"/>
                  <w:rFonts w:ascii="Arial Narrow" w:hAnsi="Arial Narrow"/>
                  <w:sz w:val="18"/>
                  <w:szCs w:val="18"/>
                </w:rPr>
                <w:t>Australia state of the environment 2016: heritage: independent report to the Australian Government Minister for the Environment and Energy</w:t>
              </w:r>
            </w:hyperlink>
            <w:r w:rsidRPr="00E70A11">
              <w:rPr>
                <w:rFonts w:ascii="Arial Narrow" w:hAnsi="Arial Narrow"/>
                <w:sz w:val="18"/>
                <w:szCs w:val="18"/>
              </w:rPr>
              <w:t xml:space="preserve">, Department of the Environment and Energy, Commonwealth of Australia, Canberra </w:t>
            </w:r>
          </w:p>
          <w:p w14:paraId="5761F58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hAnsi="Arial Narrow"/>
                <w:sz w:val="18"/>
                <w:szCs w:val="18"/>
              </w:rPr>
              <w:t xml:space="preserve">Department of the Environment and Heritage Protection., 2015, </w:t>
            </w:r>
            <w:hyperlink r:id="rId951" w:history="1">
              <w:r w:rsidRPr="00E70A11">
                <w:rPr>
                  <w:rStyle w:val="Hyperlink"/>
                  <w:rFonts w:ascii="Arial Narrow" w:hAnsi="Arial Narrow"/>
                  <w:sz w:val="18"/>
                  <w:szCs w:val="18"/>
                </w:rPr>
                <w:t>Queensland Heritage Strategy: protecting, investing in and connecting Queensland’s story</w:t>
              </w:r>
            </w:hyperlink>
            <w:r w:rsidRPr="00E70A11">
              <w:rPr>
                <w:rFonts w:ascii="Arial Narrow" w:hAnsi="Arial Narrow"/>
                <w:sz w:val="18"/>
                <w:szCs w:val="18"/>
              </w:rPr>
              <w:t>, Department of the Environment and Heritage Protection, Brisbane</w:t>
            </w:r>
          </w:p>
        </w:tc>
        <w:tc>
          <w:tcPr>
            <w:tcW w:w="912" w:type="dxa"/>
            <w:tcBorders>
              <w:top w:val="single" w:sz="4" w:space="0" w:color="auto"/>
              <w:left w:val="single" w:sz="4" w:space="0" w:color="auto"/>
              <w:bottom w:val="single" w:sz="4" w:space="0" w:color="auto"/>
              <w:right w:val="single" w:sz="4" w:space="0" w:color="auto"/>
            </w:tcBorders>
          </w:tcPr>
          <w:p w14:paraId="5761F58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58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594"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8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CO5</w:t>
            </w:r>
            <w:r>
              <w:rPr>
                <w:rFonts w:ascii="Arial Narrow" w:hAnsi="Arial Narrow"/>
                <w:sz w:val="18"/>
                <w:szCs w:val="18"/>
              </w:rPr>
              <w:t xml:space="preserve"> </w:t>
            </w:r>
            <w:r w:rsidRPr="00E70A11">
              <w:rPr>
                <w:rFonts w:ascii="Arial Narrow" w:hAnsi="Arial Narrow"/>
                <w:sz w:val="18"/>
                <w:szCs w:val="18"/>
              </w:rPr>
              <w:t>The stakeholders relevant to historic heritage are well known by managers.</w:t>
            </w:r>
          </w:p>
        </w:tc>
        <w:tc>
          <w:tcPr>
            <w:tcW w:w="709" w:type="dxa"/>
            <w:tcBorders>
              <w:top w:val="single" w:sz="4" w:space="0" w:color="auto"/>
              <w:left w:val="single" w:sz="4" w:space="0" w:color="auto"/>
              <w:bottom w:val="single" w:sz="4" w:space="0" w:color="auto"/>
              <w:right w:val="single" w:sz="4" w:space="0" w:color="auto"/>
            </w:tcBorders>
          </w:tcPr>
          <w:p w14:paraId="5761F58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103" w:type="dxa"/>
            <w:tcBorders>
              <w:top w:val="single" w:sz="4" w:space="0" w:color="auto"/>
              <w:left w:val="single" w:sz="4" w:space="0" w:color="auto"/>
              <w:bottom w:val="single" w:sz="4" w:space="0" w:color="auto"/>
              <w:right w:val="single" w:sz="4" w:space="0" w:color="auto"/>
            </w:tcBorders>
          </w:tcPr>
          <w:p w14:paraId="5761F58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Heritage managers within GBRMPA have established good relationships with external managers and stakeholders in related State and Commonwealth agencies. GBRMPA heritage guidelines and strategy have been a collaboration of stakeholders. </w:t>
            </w:r>
          </w:p>
          <w:p w14:paraId="5761F58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Managers continue to engage with external stakeholder groups through the Community Partnerships programme and the LMAC and RAC processes to minimise future conflict.</w:t>
            </w:r>
          </w:p>
          <w:p w14:paraId="5761F59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Queensland Government maintains a relationship with commercial dive operators who access shipwrecks.</w:t>
            </w:r>
          </w:p>
        </w:tc>
        <w:tc>
          <w:tcPr>
            <w:tcW w:w="3907" w:type="dxa"/>
            <w:tcBorders>
              <w:top w:val="single" w:sz="4" w:space="0" w:color="auto"/>
              <w:left w:val="single" w:sz="4" w:space="0" w:color="auto"/>
              <w:bottom w:val="single" w:sz="4" w:space="0" w:color="auto"/>
              <w:right w:val="single" w:sz="4" w:space="0" w:color="auto"/>
            </w:tcBorders>
          </w:tcPr>
          <w:p w14:paraId="5761F59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Stakeholders and workshops</w:t>
            </w:r>
          </w:p>
        </w:tc>
        <w:tc>
          <w:tcPr>
            <w:tcW w:w="912" w:type="dxa"/>
            <w:tcBorders>
              <w:top w:val="single" w:sz="4" w:space="0" w:color="auto"/>
              <w:left w:val="single" w:sz="4" w:space="0" w:color="auto"/>
              <w:bottom w:val="single" w:sz="4" w:space="0" w:color="auto"/>
              <w:right w:val="single" w:sz="4" w:space="0" w:color="auto"/>
            </w:tcBorders>
          </w:tcPr>
          <w:p w14:paraId="5761F59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59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59B"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E7E6E6"/>
          </w:tcPr>
          <w:p w14:paraId="5761F59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PLANNING</w:t>
            </w:r>
          </w:p>
        </w:tc>
        <w:tc>
          <w:tcPr>
            <w:tcW w:w="709" w:type="dxa"/>
            <w:tcBorders>
              <w:top w:val="single" w:sz="4" w:space="0" w:color="auto"/>
              <w:left w:val="single" w:sz="4" w:space="0" w:color="auto"/>
              <w:bottom w:val="single" w:sz="4" w:space="0" w:color="auto"/>
              <w:right w:val="single" w:sz="4" w:space="0" w:color="auto"/>
            </w:tcBorders>
            <w:shd w:val="clear" w:color="auto" w:fill="E7E6E6"/>
          </w:tcPr>
          <w:p w14:paraId="5761F596" w14:textId="77777777" w:rsidR="00A56EE9" w:rsidRPr="00E70A11" w:rsidRDefault="00A56EE9" w:rsidP="00BB6AD5">
            <w:pPr>
              <w:rPr>
                <w:rFonts w:ascii="Arial Narrow" w:hAnsi="Arial Narrow"/>
                <w:sz w:val="18"/>
                <w:szCs w:val="18"/>
              </w:rPr>
            </w:pPr>
          </w:p>
        </w:tc>
        <w:tc>
          <w:tcPr>
            <w:tcW w:w="5103" w:type="dxa"/>
            <w:tcBorders>
              <w:top w:val="single" w:sz="4" w:space="0" w:color="auto"/>
              <w:left w:val="single" w:sz="4" w:space="0" w:color="auto"/>
              <w:bottom w:val="single" w:sz="4" w:space="0" w:color="auto"/>
              <w:right w:val="single" w:sz="4" w:space="0" w:color="auto"/>
            </w:tcBorders>
            <w:shd w:val="clear" w:color="auto" w:fill="E7E6E6"/>
          </w:tcPr>
          <w:p w14:paraId="5761F597" w14:textId="77777777" w:rsidR="00A56EE9" w:rsidRPr="00E70A11" w:rsidRDefault="00A56EE9" w:rsidP="00BB6AD5">
            <w:pPr>
              <w:ind w:left="360"/>
              <w:contextualSpacing/>
              <w:rPr>
                <w:rFonts w:ascii="Arial Narrow" w:eastAsia="Calibri" w:hAnsi="Arial Narrow"/>
                <w:sz w:val="18"/>
                <w:szCs w:val="18"/>
              </w:rPr>
            </w:pPr>
          </w:p>
        </w:tc>
        <w:tc>
          <w:tcPr>
            <w:tcW w:w="3907" w:type="dxa"/>
            <w:tcBorders>
              <w:top w:val="single" w:sz="4" w:space="0" w:color="auto"/>
              <w:left w:val="single" w:sz="4" w:space="0" w:color="auto"/>
              <w:bottom w:val="single" w:sz="4" w:space="0" w:color="auto"/>
              <w:right w:val="single" w:sz="4" w:space="0" w:color="auto"/>
            </w:tcBorders>
            <w:shd w:val="clear" w:color="auto" w:fill="E7E6E6"/>
          </w:tcPr>
          <w:p w14:paraId="5761F598" w14:textId="77777777" w:rsidR="00A56EE9" w:rsidRPr="00E70A11" w:rsidRDefault="00A56EE9" w:rsidP="00BB6AD5">
            <w:pPr>
              <w:ind w:left="360"/>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7E6E6"/>
          </w:tcPr>
          <w:p w14:paraId="5761F599" w14:textId="77777777" w:rsidR="00A56EE9" w:rsidRPr="00E70A11" w:rsidRDefault="00A56EE9" w:rsidP="00BB6AD5">
            <w:pPr>
              <w:rPr>
                <w:rFonts w:ascii="Arial Narrow"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7E6E6"/>
          </w:tcPr>
          <w:p w14:paraId="5761F59A" w14:textId="77777777" w:rsidR="00A56EE9" w:rsidRPr="00E70A11" w:rsidRDefault="00A56EE9" w:rsidP="00BB6AD5">
            <w:pPr>
              <w:rPr>
                <w:rFonts w:ascii="Arial Narrow" w:hAnsi="Arial Narrow"/>
                <w:sz w:val="18"/>
                <w:szCs w:val="18"/>
              </w:rPr>
            </w:pPr>
          </w:p>
        </w:tc>
      </w:tr>
      <w:tr w:rsidR="00A56EE9" w:rsidRPr="00E70A11" w14:paraId="5761F5B7"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5761F59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 xml:space="preserve">PL1 There is a planning system in place that effectively addresses historic heritage </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761F59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59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Reef 2050 has general actions relating to cultural heritage: however, this is defined in the Plan as place-based values only.</w:t>
            </w:r>
          </w:p>
          <w:p w14:paraId="5761F59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A new strategy to cover all heritage in the GBRMP ‘Heritage in Great Barrier Reef Marine Park’ has been drafted and should be released in 2018. This strategy has been thoroughly researched and represents best practice, but does not yet have clear actions attached. </w:t>
            </w:r>
          </w:p>
          <w:p w14:paraId="5761F5A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Nested under this overall strategy is the new ‘GBRMP Commonwealth Heritage Listed Places and Properties Heritage Strategy 2018-2021’. This plan only considers the four properties on the Commonwealth Heritage List (listed places).</w:t>
            </w:r>
          </w:p>
          <w:p w14:paraId="5761F5A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All QPWS management plans consider historic heritage values in planning, through there is a risk that the new focus on key values could mean that places considered of lower importance are not given attention.</w:t>
            </w:r>
          </w:p>
          <w:p w14:paraId="5761F5A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Plans of Management (Zoning Plans) in the past have not addressed cultural values comprehensively, but the recent Whitsunday Plan of Management gives a lot more emphasis to cultural heritage.</w:t>
            </w:r>
          </w:p>
          <w:p w14:paraId="5761F5A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Conservation Management Plans (CMPs) are an international best practice tool to document why a place is significant, based on internationally validated criteria, and how that significance will be sustained in any new use, alteration, repair or management. CMPs have been prepared for listed properties.</w:t>
            </w:r>
          </w:p>
          <w:p w14:paraId="5761F5A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Heritage management plans for Lady Elliot Island Lightstation (2012) and Dent Island Lightstation (2013) are registered. </w:t>
            </w:r>
          </w:p>
          <w:p w14:paraId="5761F5A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Non statutory conservation plans exist for the Yongala, Gothenburg and Llewellyn shipwrecks within protected zones. Conservation plans are also being prepared for the three remaining shipwrecks within protected zones (HMS Pandora, HMCS Mermaid and Foam). </w:t>
            </w:r>
          </w:p>
          <w:p w14:paraId="5761F5A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is a risk that planning overall addresses place-based, tanglible cultural heritage such as wrecks, but does not include less tangible heritage.</w:t>
            </w: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5A7" w14:textId="77777777" w:rsidR="00A56EE9" w:rsidRPr="00E70A11" w:rsidRDefault="008B5998" w:rsidP="00A11869">
            <w:pPr>
              <w:pStyle w:val="ListParagraph"/>
              <w:numPr>
                <w:ilvl w:val="0"/>
                <w:numId w:val="24"/>
              </w:numPr>
              <w:rPr>
                <w:rStyle w:val="Hyperlink"/>
                <w:rFonts w:ascii="Arial Narrow" w:hAnsi="Arial Narrow" w:cs="Helvetica"/>
                <w:sz w:val="18"/>
                <w:szCs w:val="18"/>
              </w:rPr>
            </w:pPr>
            <w:hyperlink r:id="rId952" w:history="1">
              <w:r w:rsidR="00A56EE9" w:rsidRPr="00E70A11">
                <w:rPr>
                  <w:rStyle w:val="Hyperlink"/>
                  <w:rFonts w:ascii="Arial Narrow" w:hAnsi="Arial Narrow" w:cs="Helvetica"/>
                  <w:sz w:val="18"/>
                  <w:szCs w:val="18"/>
                </w:rPr>
                <w:t>Reef 2050 Plan</w:t>
              </w:r>
            </w:hyperlink>
          </w:p>
          <w:p w14:paraId="5761F5A8" w14:textId="77777777" w:rsidR="00A56EE9" w:rsidRPr="00E70A11" w:rsidRDefault="00A56EE9" w:rsidP="00A11869">
            <w:pPr>
              <w:pStyle w:val="ListParagraph"/>
              <w:numPr>
                <w:ilvl w:val="0"/>
                <w:numId w:val="24"/>
              </w:numPr>
              <w:spacing w:after="0" w:line="276" w:lineRule="auto"/>
              <w:rPr>
                <w:rFonts w:ascii="Arial Narrow" w:eastAsia="Calibri" w:hAnsi="Arial Narrow"/>
                <w:sz w:val="18"/>
                <w:szCs w:val="18"/>
              </w:rPr>
            </w:pPr>
            <w:r w:rsidRPr="00E70A11">
              <w:rPr>
                <w:rFonts w:ascii="Arial Narrow" w:eastAsia="Calibri" w:hAnsi="Arial Narrow"/>
                <w:sz w:val="18"/>
                <w:szCs w:val="18"/>
              </w:rPr>
              <w:t>Great Barrier Reef Marine Park Authority (2017) Heritage in the Great Barrier Reef Marine Park</w:t>
            </w:r>
            <w:r>
              <w:rPr>
                <w:rFonts w:ascii="Arial Narrow" w:eastAsia="Calibri" w:hAnsi="Arial Narrow"/>
                <w:sz w:val="18"/>
                <w:szCs w:val="18"/>
              </w:rPr>
              <w:t xml:space="preserve"> </w:t>
            </w:r>
            <w:r w:rsidRPr="00E70A11">
              <w:rPr>
                <w:rFonts w:ascii="Arial Narrow" w:eastAsia="Calibri" w:hAnsi="Arial Narrow"/>
                <w:sz w:val="18"/>
                <w:szCs w:val="18"/>
              </w:rPr>
              <w:t>(draft)</w:t>
            </w:r>
          </w:p>
          <w:p w14:paraId="5761F5A9" w14:textId="77777777" w:rsidR="00A56EE9" w:rsidRPr="00E70A11" w:rsidRDefault="008B5998" w:rsidP="00A11869">
            <w:pPr>
              <w:pStyle w:val="ListParagraph"/>
              <w:numPr>
                <w:ilvl w:val="0"/>
                <w:numId w:val="24"/>
              </w:numPr>
              <w:spacing w:after="0" w:line="276" w:lineRule="auto"/>
              <w:rPr>
                <w:rFonts w:ascii="Arial Narrow" w:hAnsi="Arial Narrow"/>
                <w:sz w:val="18"/>
                <w:szCs w:val="18"/>
              </w:rPr>
            </w:pPr>
            <w:hyperlink r:id="rId953" w:history="1">
              <w:r w:rsidR="00A56EE9" w:rsidRPr="00E70A11">
                <w:rPr>
                  <w:rStyle w:val="Hyperlink"/>
                  <w:rFonts w:ascii="Arial Narrow" w:hAnsi="Arial Narrow" w:cs="Helvetica"/>
                  <w:sz w:val="18"/>
                  <w:szCs w:val="18"/>
                </w:rPr>
                <w:t>Guideline: Historic heritage assessment: lightstations and aids to navigation (2017)</w:t>
              </w:r>
            </w:hyperlink>
            <w:r w:rsidR="00A56EE9" w:rsidRPr="00E70A11">
              <w:rPr>
                <w:rFonts w:ascii="Arial Narrow" w:hAnsi="Arial Narrow" w:cs="Helvetica"/>
                <w:sz w:val="18"/>
                <w:szCs w:val="18"/>
              </w:rPr>
              <w:t xml:space="preserve"> GBRMPA </w:t>
            </w:r>
          </w:p>
          <w:p w14:paraId="5761F5AA" w14:textId="77777777" w:rsidR="00A56EE9" w:rsidRPr="00E70A11" w:rsidRDefault="00A56EE9" w:rsidP="00A11869">
            <w:pPr>
              <w:pStyle w:val="ListParagraph"/>
              <w:numPr>
                <w:ilvl w:val="0"/>
                <w:numId w:val="24"/>
              </w:numPr>
              <w:spacing w:after="0" w:line="276" w:lineRule="auto"/>
              <w:rPr>
                <w:rFonts w:ascii="Arial Narrow" w:hAnsi="Arial Narrow"/>
                <w:sz w:val="18"/>
                <w:szCs w:val="18"/>
              </w:rPr>
            </w:pPr>
            <w:r w:rsidRPr="00E70A11">
              <w:rPr>
                <w:rFonts w:ascii="Arial Narrow" w:hAnsi="Arial Narrow"/>
                <w:sz w:val="18"/>
                <w:szCs w:val="18"/>
              </w:rPr>
              <w:t>GBRMP Act 1975</w:t>
            </w:r>
          </w:p>
          <w:p w14:paraId="5761F5AB" w14:textId="77777777" w:rsidR="00A56EE9" w:rsidRPr="00E70A11" w:rsidRDefault="00A56EE9" w:rsidP="00A11869">
            <w:pPr>
              <w:pStyle w:val="ListParagraph"/>
              <w:numPr>
                <w:ilvl w:val="0"/>
                <w:numId w:val="24"/>
              </w:numPr>
              <w:spacing w:after="0" w:line="276" w:lineRule="auto"/>
              <w:rPr>
                <w:rFonts w:ascii="Arial Narrow" w:hAnsi="Arial Narrow"/>
                <w:sz w:val="18"/>
                <w:szCs w:val="18"/>
              </w:rPr>
            </w:pPr>
            <w:r w:rsidRPr="00E70A11">
              <w:rPr>
                <w:rFonts w:ascii="Arial Narrow" w:hAnsi="Arial Narrow"/>
                <w:sz w:val="18"/>
                <w:szCs w:val="18"/>
              </w:rPr>
              <w:t>GBRMP Regulations 1983</w:t>
            </w:r>
          </w:p>
          <w:p w14:paraId="5761F5AC" w14:textId="77777777" w:rsidR="00A56EE9" w:rsidRPr="00E70A11" w:rsidRDefault="00A56EE9" w:rsidP="00A11869">
            <w:pPr>
              <w:pStyle w:val="ListParagraph"/>
              <w:numPr>
                <w:ilvl w:val="0"/>
                <w:numId w:val="24"/>
              </w:numPr>
              <w:spacing w:after="0" w:line="276" w:lineRule="auto"/>
              <w:rPr>
                <w:rFonts w:ascii="Arial Narrow" w:hAnsi="Arial Narrow"/>
                <w:sz w:val="18"/>
                <w:szCs w:val="18"/>
              </w:rPr>
            </w:pPr>
            <w:r w:rsidRPr="00E70A11">
              <w:rPr>
                <w:rFonts w:ascii="Arial Narrow" w:hAnsi="Arial Narrow"/>
                <w:sz w:val="18"/>
                <w:szCs w:val="18"/>
              </w:rPr>
              <w:t>Plans of Management</w:t>
            </w:r>
          </w:p>
          <w:p w14:paraId="5761F5AD" w14:textId="77777777" w:rsidR="00A56EE9" w:rsidRPr="00E70A11" w:rsidRDefault="008B5998" w:rsidP="00A11869">
            <w:pPr>
              <w:pStyle w:val="ListParagraph"/>
              <w:numPr>
                <w:ilvl w:val="0"/>
                <w:numId w:val="24"/>
              </w:numPr>
              <w:spacing w:after="0" w:line="276" w:lineRule="auto"/>
              <w:jc w:val="both"/>
              <w:rPr>
                <w:rStyle w:val="Hyperlink"/>
                <w:rFonts w:ascii="Arial Narrow" w:hAnsi="Arial Narrow"/>
                <w:sz w:val="18"/>
                <w:szCs w:val="18"/>
              </w:rPr>
            </w:pPr>
            <w:hyperlink r:id="rId954" w:history="1">
              <w:r w:rsidR="00A56EE9" w:rsidRPr="00E70A11">
                <w:rPr>
                  <w:rStyle w:val="Hyperlink"/>
                  <w:rFonts w:ascii="Arial Narrow" w:hAnsi="Arial Narrow"/>
                  <w:sz w:val="18"/>
                  <w:szCs w:val="18"/>
                </w:rPr>
                <w:t>Lady Elliot Island Lightstation Heritage Management Plan</w:t>
              </w:r>
            </w:hyperlink>
          </w:p>
          <w:p w14:paraId="5761F5AE" w14:textId="77777777" w:rsidR="00A56EE9" w:rsidRPr="00E70A11" w:rsidRDefault="00A56EE9" w:rsidP="00BB6AD5">
            <w:pPr>
              <w:jc w:val="both"/>
              <w:rPr>
                <w:rFonts w:ascii="Arial Narrow" w:hAnsi="Arial Narrow"/>
                <w:sz w:val="18"/>
                <w:szCs w:val="18"/>
              </w:rPr>
            </w:pPr>
          </w:p>
          <w:p w14:paraId="5761F5AF"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955" w:history="1">
              <w:r w:rsidR="00A56EE9" w:rsidRPr="00E70A11">
                <w:rPr>
                  <w:rStyle w:val="Hyperlink"/>
                  <w:rFonts w:ascii="Arial Narrow" w:hAnsi="Arial Narrow"/>
                  <w:sz w:val="18"/>
                  <w:szCs w:val="18"/>
                </w:rPr>
                <w:t>Supporting information for the Whitsundays Plan of Management (WPOM) 2015-18 review – internal document only</w:t>
              </w:r>
            </w:hyperlink>
          </w:p>
          <w:p w14:paraId="5761F5B0" w14:textId="77777777" w:rsidR="00A56EE9" w:rsidRPr="00E70A11" w:rsidRDefault="00A56EE9" w:rsidP="00A11869">
            <w:pPr>
              <w:pStyle w:val="ListParagraph"/>
              <w:numPr>
                <w:ilvl w:val="0"/>
                <w:numId w:val="24"/>
              </w:numPr>
              <w:spacing w:after="0" w:line="276" w:lineRule="auto"/>
              <w:jc w:val="both"/>
              <w:rPr>
                <w:rFonts w:ascii="Arial Narrow" w:hAnsi="Arial Narrow"/>
                <w:sz w:val="18"/>
                <w:szCs w:val="18"/>
              </w:rPr>
            </w:pPr>
            <w:r w:rsidRPr="00E70A11">
              <w:rPr>
                <w:rFonts w:ascii="Arial Narrow" w:hAnsi="Arial Narrow"/>
                <w:sz w:val="18"/>
                <w:szCs w:val="18"/>
              </w:rPr>
              <w:t xml:space="preserve">Media Release: </w:t>
            </w:r>
            <w:hyperlink r:id="rId956" w:history="1">
              <w:r w:rsidRPr="00E70A11">
                <w:rPr>
                  <w:rStyle w:val="Hyperlink"/>
                  <w:rFonts w:ascii="Arial Narrow" w:hAnsi="Arial Narrow"/>
                  <w:sz w:val="18"/>
                  <w:szCs w:val="18"/>
                </w:rPr>
                <w:t>New underwater heritage law will protect even more of our history</w:t>
              </w:r>
            </w:hyperlink>
          </w:p>
          <w:p w14:paraId="5761F5B1" w14:textId="77777777" w:rsidR="00A56EE9" w:rsidRPr="00E70A11" w:rsidRDefault="008B5998" w:rsidP="00A11869">
            <w:pPr>
              <w:pStyle w:val="ListParagraph"/>
              <w:numPr>
                <w:ilvl w:val="0"/>
                <w:numId w:val="24"/>
              </w:numPr>
              <w:spacing w:after="0" w:line="276" w:lineRule="auto"/>
              <w:jc w:val="both"/>
              <w:rPr>
                <w:rFonts w:ascii="Arial Narrow" w:hAnsi="Arial Narrow"/>
                <w:sz w:val="18"/>
                <w:szCs w:val="18"/>
              </w:rPr>
            </w:pPr>
            <w:hyperlink r:id="rId957" w:history="1">
              <w:r w:rsidR="00A56EE9" w:rsidRPr="00E70A11">
                <w:rPr>
                  <w:rStyle w:val="Hyperlink"/>
                  <w:rFonts w:ascii="Arial Narrow" w:hAnsi="Arial Narrow"/>
                  <w:sz w:val="18"/>
                  <w:szCs w:val="18"/>
                </w:rPr>
                <w:t>Historic Shipwrecks Act 1976</w:t>
              </w:r>
            </w:hyperlink>
          </w:p>
          <w:p w14:paraId="5761F5B2" w14:textId="77777777" w:rsidR="00A56EE9" w:rsidRPr="00E70A11" w:rsidRDefault="008B5998" w:rsidP="00A11869">
            <w:pPr>
              <w:pStyle w:val="ListParagraph"/>
              <w:numPr>
                <w:ilvl w:val="0"/>
                <w:numId w:val="24"/>
              </w:numPr>
              <w:spacing w:after="0" w:line="276" w:lineRule="auto"/>
              <w:jc w:val="both"/>
              <w:rPr>
                <w:rFonts w:ascii="Arial Narrow" w:hAnsi="Arial Narrow"/>
                <w:sz w:val="18"/>
                <w:szCs w:val="18"/>
              </w:rPr>
            </w:pPr>
            <w:hyperlink r:id="rId958" w:history="1">
              <w:r w:rsidR="00A56EE9" w:rsidRPr="00E70A11">
                <w:rPr>
                  <w:rStyle w:val="Hyperlink"/>
                  <w:rFonts w:ascii="Arial Narrow" w:hAnsi="Arial Narrow"/>
                  <w:sz w:val="18"/>
                  <w:szCs w:val="18"/>
                </w:rPr>
                <w:t>GBR Intergovernmental Agreement 2015</w:t>
              </w:r>
            </w:hyperlink>
          </w:p>
          <w:p w14:paraId="5761F5B3" w14:textId="77777777" w:rsidR="00A56EE9" w:rsidRPr="00E70A11" w:rsidRDefault="008B5998" w:rsidP="00A11869">
            <w:pPr>
              <w:pStyle w:val="ListParagraph"/>
              <w:numPr>
                <w:ilvl w:val="0"/>
                <w:numId w:val="24"/>
              </w:numPr>
              <w:spacing w:after="0" w:line="276" w:lineRule="auto"/>
              <w:rPr>
                <w:rFonts w:ascii="Arial Narrow" w:hAnsi="Arial Narrow"/>
                <w:sz w:val="18"/>
                <w:szCs w:val="18"/>
              </w:rPr>
            </w:pPr>
            <w:hyperlink r:id="rId959" w:history="1">
              <w:r w:rsidR="00A56EE9" w:rsidRPr="00E70A11">
                <w:rPr>
                  <w:rStyle w:val="Hyperlink"/>
                  <w:rFonts w:ascii="Arial Narrow" w:hAnsi="Arial Narrow"/>
                  <w:sz w:val="18"/>
                  <w:szCs w:val="18"/>
                </w:rPr>
                <w:t>Australian Underwater cultural heritage Intergovernmental Agreement</w:t>
              </w:r>
            </w:hyperlink>
            <w:r w:rsidR="00A56EE9" w:rsidRPr="00E70A11">
              <w:rPr>
                <w:rFonts w:ascii="Arial Narrow" w:hAnsi="Arial Narrow"/>
                <w:sz w:val="18"/>
                <w:szCs w:val="18"/>
              </w:rPr>
              <w:t xml:space="preserve"> </w:t>
            </w:r>
          </w:p>
          <w:p w14:paraId="5761F5B4"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960" w:history="1">
              <w:r w:rsidR="00A56EE9" w:rsidRPr="00E70A11">
                <w:rPr>
                  <w:rStyle w:val="Hyperlink"/>
                  <w:rFonts w:ascii="Arial Narrow" w:hAnsi="Arial Narrow"/>
                  <w:sz w:val="18"/>
                  <w:szCs w:val="18"/>
                </w:rPr>
                <w:t>Review of the Historic Shipwrecks Act 1976</w:t>
              </w:r>
            </w:hyperlink>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5B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5B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5C2"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B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PL2</w:t>
            </w:r>
            <w:r>
              <w:rPr>
                <w:rFonts w:ascii="Arial Narrow" w:hAnsi="Arial Narrow"/>
                <w:sz w:val="18"/>
                <w:szCs w:val="18"/>
              </w:rPr>
              <w:t xml:space="preserve"> </w:t>
            </w:r>
            <w:r w:rsidRPr="00E70A11">
              <w:rPr>
                <w:rFonts w:ascii="Arial Narrow" w:hAnsi="Arial Narrow"/>
                <w:sz w:val="18"/>
                <w:szCs w:val="18"/>
              </w:rPr>
              <w:t>The planning system for historic heritage addresses the major factors influencing the Great Barrier Reef Region’s values.</w:t>
            </w:r>
          </w:p>
        </w:tc>
        <w:tc>
          <w:tcPr>
            <w:tcW w:w="709" w:type="dxa"/>
            <w:tcBorders>
              <w:top w:val="single" w:sz="4" w:space="0" w:color="auto"/>
              <w:left w:val="single" w:sz="4" w:space="0" w:color="auto"/>
              <w:bottom w:val="single" w:sz="4" w:space="0" w:color="auto"/>
              <w:right w:val="single" w:sz="4" w:space="0" w:color="auto"/>
            </w:tcBorders>
          </w:tcPr>
          <w:p w14:paraId="5761F5B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tcPr>
          <w:p w14:paraId="5761F5B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Plans address the need to maintain or restore sites and can help avoid deliberate damage to historic and aesthetic values through inappropriate activities or development of tourist facilities. </w:t>
            </w:r>
          </w:p>
          <w:p w14:paraId="5761F5B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Plans cannot protect historic heritage or aesthetic values against some of the major impacts, such as natural deterioration, sea level change, cyclones and increased turbidity.</w:t>
            </w:r>
          </w:p>
          <w:p w14:paraId="5761F5B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Heritage issues must be considered when assessing permits and approvals.</w:t>
            </w:r>
          </w:p>
        </w:tc>
        <w:tc>
          <w:tcPr>
            <w:tcW w:w="3907" w:type="dxa"/>
            <w:tcBorders>
              <w:top w:val="single" w:sz="4" w:space="0" w:color="auto"/>
              <w:left w:val="single" w:sz="4" w:space="0" w:color="auto"/>
              <w:bottom w:val="single" w:sz="4" w:space="0" w:color="auto"/>
              <w:right w:val="single" w:sz="4" w:space="0" w:color="auto"/>
            </w:tcBorders>
          </w:tcPr>
          <w:p w14:paraId="5761F5B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Lady Elliot Island Lightstation Heritage Management Plan</w:t>
            </w:r>
          </w:p>
          <w:p w14:paraId="5761F5B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Great Barrier Reef Strategic Assessment Report, </w:t>
            </w:r>
          </w:p>
          <w:p w14:paraId="5761F5B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Great Barrier Reef Coastal Zone Strategic Assessment 2014</w:t>
            </w:r>
          </w:p>
        </w:tc>
        <w:tc>
          <w:tcPr>
            <w:tcW w:w="912" w:type="dxa"/>
            <w:tcBorders>
              <w:top w:val="single" w:sz="4" w:space="0" w:color="auto"/>
              <w:left w:val="single" w:sz="4" w:space="0" w:color="auto"/>
              <w:bottom w:val="single" w:sz="4" w:space="0" w:color="auto"/>
              <w:right w:val="single" w:sz="4" w:space="0" w:color="auto"/>
            </w:tcBorders>
          </w:tcPr>
          <w:p w14:paraId="5761F5C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5C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5D1"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C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PL3</w:t>
            </w:r>
            <w:r>
              <w:rPr>
                <w:rFonts w:ascii="Arial Narrow" w:hAnsi="Arial Narrow"/>
                <w:sz w:val="18"/>
                <w:szCs w:val="18"/>
              </w:rPr>
              <w:t xml:space="preserve"> </w:t>
            </w:r>
            <w:r w:rsidRPr="00E70A11">
              <w:rPr>
                <w:rFonts w:ascii="Arial Narrow" w:hAnsi="Arial Narrow"/>
                <w:sz w:val="18"/>
                <w:szCs w:val="18"/>
              </w:rPr>
              <w:t xml:space="preserve">Actions for implementation regarding historic heritage are clearly identified within the plan </w:t>
            </w:r>
          </w:p>
        </w:tc>
        <w:tc>
          <w:tcPr>
            <w:tcW w:w="709" w:type="dxa"/>
            <w:tcBorders>
              <w:top w:val="single" w:sz="4" w:space="0" w:color="auto"/>
              <w:left w:val="single" w:sz="4" w:space="0" w:color="auto"/>
              <w:bottom w:val="single" w:sz="4" w:space="0" w:color="auto"/>
              <w:right w:val="single" w:sz="4" w:space="0" w:color="auto"/>
            </w:tcBorders>
          </w:tcPr>
          <w:p w14:paraId="5761F5C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tcPr>
          <w:p w14:paraId="5761F5C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Actions in the Reef 2050 Plan relate to planning, monitoring, capacity building and activity assessments but are quite general in nature.</w:t>
            </w:r>
          </w:p>
          <w:p w14:paraId="5761F5C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Heritage Strategy contains quite general actions and consolidates existing activities. No new specific actions are identified.</w:t>
            </w:r>
          </w:p>
          <w:p w14:paraId="5761F5C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Specific actions are spelt out for conservation of listed places in their conservation management plans.</w:t>
            </w:r>
          </w:p>
          <w:p w14:paraId="5761F5C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hAnsi="Arial Narrow"/>
                <w:sz w:val="18"/>
                <w:szCs w:val="18"/>
                <w:lang w:eastAsia="en-AU"/>
              </w:rPr>
              <w:t>Joint Field Management Business Plans and Strategies clearly outline how they will support maritime heritage over the planning period.</w:t>
            </w:r>
          </w:p>
        </w:tc>
        <w:tc>
          <w:tcPr>
            <w:tcW w:w="3907" w:type="dxa"/>
            <w:tcBorders>
              <w:top w:val="single" w:sz="4" w:space="0" w:color="auto"/>
              <w:left w:val="single" w:sz="4" w:space="0" w:color="auto"/>
              <w:bottom w:val="single" w:sz="4" w:space="0" w:color="auto"/>
              <w:right w:val="single" w:sz="4" w:space="0" w:color="auto"/>
            </w:tcBorders>
          </w:tcPr>
          <w:p w14:paraId="5761F5C9" w14:textId="77777777" w:rsidR="00A56EE9" w:rsidRPr="00E70A11" w:rsidRDefault="00A56EE9" w:rsidP="00A11869">
            <w:pPr>
              <w:pStyle w:val="ListParagraph"/>
              <w:numPr>
                <w:ilvl w:val="0"/>
                <w:numId w:val="24"/>
              </w:numPr>
              <w:rPr>
                <w:rFonts w:ascii="Arial Narrow" w:eastAsia="Calibri" w:hAnsi="Arial Narrow"/>
                <w:sz w:val="18"/>
                <w:szCs w:val="18"/>
              </w:rPr>
            </w:pPr>
            <w:r w:rsidRPr="00E70A11">
              <w:rPr>
                <w:rFonts w:ascii="Arial Narrow" w:eastAsia="Calibri" w:hAnsi="Arial Narrow"/>
                <w:sz w:val="18"/>
                <w:szCs w:val="18"/>
              </w:rPr>
              <w:t>Reef 2050 Plan</w:t>
            </w:r>
          </w:p>
          <w:p w14:paraId="5761F5CA" w14:textId="77777777" w:rsidR="00A56EE9" w:rsidRPr="00E70A11" w:rsidRDefault="00A56EE9" w:rsidP="00A11869">
            <w:pPr>
              <w:pStyle w:val="ListParagraph"/>
              <w:numPr>
                <w:ilvl w:val="0"/>
                <w:numId w:val="24"/>
              </w:numPr>
              <w:rPr>
                <w:rFonts w:ascii="Arial Narrow" w:eastAsia="Calibri" w:hAnsi="Arial Narrow"/>
                <w:sz w:val="18"/>
                <w:szCs w:val="18"/>
              </w:rPr>
            </w:pPr>
            <w:r w:rsidRPr="00E70A11">
              <w:rPr>
                <w:rFonts w:ascii="Arial Narrow" w:eastAsia="Calibri" w:hAnsi="Arial Narrow"/>
                <w:sz w:val="18"/>
                <w:szCs w:val="18"/>
              </w:rPr>
              <w:t>Great Barrier Reef Marine Park Authority (2017) Heritage in the Great Barrier Reef Marine Park</w:t>
            </w:r>
            <w:r>
              <w:rPr>
                <w:rFonts w:ascii="Arial Narrow" w:eastAsia="Calibri" w:hAnsi="Arial Narrow"/>
                <w:sz w:val="18"/>
                <w:szCs w:val="18"/>
              </w:rPr>
              <w:t xml:space="preserve"> </w:t>
            </w:r>
            <w:r w:rsidRPr="00E70A11">
              <w:rPr>
                <w:rFonts w:ascii="Arial Narrow" w:eastAsia="Calibri" w:hAnsi="Arial Narrow"/>
                <w:sz w:val="18"/>
                <w:szCs w:val="18"/>
              </w:rPr>
              <w:t>(draft)</w:t>
            </w:r>
          </w:p>
          <w:p w14:paraId="5761F5CB" w14:textId="77777777" w:rsidR="00A56EE9" w:rsidRPr="00E70A11" w:rsidRDefault="008B5998" w:rsidP="00A11869">
            <w:pPr>
              <w:numPr>
                <w:ilvl w:val="0"/>
                <w:numId w:val="24"/>
              </w:numPr>
              <w:shd w:val="clear" w:color="auto" w:fill="FFFFFF"/>
              <w:spacing w:before="100" w:beforeAutospacing="1" w:after="100" w:afterAutospacing="1" w:line="240" w:lineRule="auto"/>
              <w:rPr>
                <w:rStyle w:val="Hyperlink"/>
                <w:rFonts w:ascii="Arial Narrow" w:hAnsi="Arial Narrow"/>
                <w:sz w:val="18"/>
                <w:szCs w:val="18"/>
                <w:lang w:val="en" w:eastAsia="en-AU"/>
              </w:rPr>
            </w:pPr>
            <w:hyperlink r:id="rId961" w:tgtFrame="_blank" w:history="1">
              <w:r w:rsidR="00A56EE9" w:rsidRPr="00E70A11">
                <w:rPr>
                  <w:rStyle w:val="Hyperlink"/>
                  <w:rFonts w:ascii="Arial Narrow" w:hAnsi="Arial Narrow"/>
                  <w:sz w:val="18"/>
                  <w:szCs w:val="18"/>
                  <w:lang w:val="en" w:eastAsia="en-AU"/>
                </w:rPr>
                <w:t>Dent Island Lightstation Heritage Register</w:t>
              </w:r>
            </w:hyperlink>
          </w:p>
          <w:p w14:paraId="5761F5CC" w14:textId="77777777" w:rsidR="00A56EE9" w:rsidRPr="00E70A11" w:rsidRDefault="008B5998" w:rsidP="00A11869">
            <w:pPr>
              <w:numPr>
                <w:ilvl w:val="0"/>
                <w:numId w:val="24"/>
              </w:numPr>
              <w:shd w:val="clear" w:color="auto" w:fill="FFFFFF"/>
              <w:spacing w:before="100" w:beforeAutospacing="1" w:after="100" w:afterAutospacing="1" w:line="240" w:lineRule="auto"/>
              <w:rPr>
                <w:rStyle w:val="Hyperlink"/>
                <w:rFonts w:ascii="Arial Narrow" w:hAnsi="Arial Narrow"/>
                <w:sz w:val="18"/>
                <w:szCs w:val="18"/>
              </w:rPr>
            </w:pPr>
            <w:hyperlink r:id="rId962" w:tgtFrame="_blank" w:history="1">
              <w:r w:rsidR="00A56EE9" w:rsidRPr="00E70A11">
                <w:rPr>
                  <w:rStyle w:val="Hyperlink"/>
                  <w:rFonts w:ascii="Arial Narrow" w:hAnsi="Arial Narrow"/>
                  <w:sz w:val="18"/>
                  <w:szCs w:val="18"/>
                </w:rPr>
                <w:t>Lady Elliot Island Lightstation Heritage Register</w:t>
              </w:r>
            </w:hyperlink>
          </w:p>
          <w:p w14:paraId="5761F5CD" w14:textId="77777777" w:rsidR="00A56EE9" w:rsidRPr="00E70A11" w:rsidRDefault="008B5998" w:rsidP="00A11869">
            <w:pPr>
              <w:numPr>
                <w:ilvl w:val="0"/>
                <w:numId w:val="24"/>
              </w:numPr>
              <w:shd w:val="clear" w:color="auto" w:fill="FFFFFF"/>
              <w:spacing w:before="100" w:beforeAutospacing="1" w:after="100" w:afterAutospacing="1" w:line="240" w:lineRule="auto"/>
              <w:rPr>
                <w:rStyle w:val="Hyperlink"/>
                <w:rFonts w:ascii="Arial Narrow" w:hAnsi="Arial Narrow"/>
                <w:sz w:val="18"/>
                <w:szCs w:val="18"/>
              </w:rPr>
            </w:pPr>
            <w:hyperlink r:id="rId963" w:tgtFrame="_blank" w:history="1">
              <w:r w:rsidR="00A56EE9" w:rsidRPr="00E70A11">
                <w:rPr>
                  <w:rStyle w:val="Hyperlink"/>
                  <w:rFonts w:ascii="Arial Narrow" w:hAnsi="Arial Narrow"/>
                  <w:sz w:val="18"/>
                  <w:szCs w:val="18"/>
                </w:rPr>
                <w:t>Low Island and Low Islets Lightstation Heritage Register</w:t>
              </w:r>
            </w:hyperlink>
          </w:p>
          <w:p w14:paraId="5761F5CE" w14:textId="77777777" w:rsidR="00A56EE9" w:rsidRPr="00E70A11" w:rsidRDefault="008B5998" w:rsidP="00A11869">
            <w:pPr>
              <w:numPr>
                <w:ilvl w:val="0"/>
                <w:numId w:val="24"/>
              </w:numPr>
              <w:shd w:val="clear" w:color="auto" w:fill="FFFFFF"/>
              <w:spacing w:before="100" w:beforeAutospacing="1" w:after="100" w:afterAutospacing="1" w:line="240" w:lineRule="auto"/>
              <w:rPr>
                <w:rFonts w:ascii="Arial Narrow" w:hAnsi="Arial Narrow"/>
                <w:color w:val="0000FF"/>
                <w:sz w:val="18"/>
                <w:szCs w:val="18"/>
                <w:u w:val="single"/>
              </w:rPr>
            </w:pPr>
            <w:hyperlink r:id="rId964" w:tgtFrame="_blank" w:history="1">
              <w:r w:rsidR="00A56EE9" w:rsidRPr="00E70A11">
                <w:rPr>
                  <w:rStyle w:val="Hyperlink"/>
                  <w:rFonts w:ascii="Arial Narrow" w:hAnsi="Arial Narrow"/>
                  <w:sz w:val="18"/>
                  <w:szCs w:val="18"/>
                </w:rPr>
                <w:t>Great Barrier Reef Marine Park Commonwealth Heritage Listed Places and Properties Heritage Strategy 2018–21</w:t>
              </w:r>
            </w:hyperlink>
          </w:p>
        </w:tc>
        <w:tc>
          <w:tcPr>
            <w:tcW w:w="912" w:type="dxa"/>
            <w:tcBorders>
              <w:top w:val="single" w:sz="4" w:space="0" w:color="auto"/>
              <w:left w:val="single" w:sz="4" w:space="0" w:color="auto"/>
              <w:bottom w:val="single" w:sz="4" w:space="0" w:color="auto"/>
              <w:right w:val="single" w:sz="4" w:space="0" w:color="auto"/>
            </w:tcBorders>
          </w:tcPr>
          <w:p w14:paraId="5761F5C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5D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5D9"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D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PL4</w:t>
            </w:r>
            <w:r>
              <w:rPr>
                <w:rFonts w:ascii="Arial Narrow" w:hAnsi="Arial Narrow"/>
                <w:sz w:val="18"/>
                <w:szCs w:val="18"/>
              </w:rPr>
              <w:t xml:space="preserve"> </w:t>
            </w:r>
            <w:r w:rsidRPr="00E70A11">
              <w:rPr>
                <w:rFonts w:ascii="Arial Narrow" w:hAnsi="Arial Narrow"/>
                <w:sz w:val="18"/>
                <w:szCs w:val="18"/>
              </w:rPr>
              <w:t>Clear, measurable and appropriate objectives for management of historic heritage have been documented</w:t>
            </w:r>
          </w:p>
        </w:tc>
        <w:tc>
          <w:tcPr>
            <w:tcW w:w="709" w:type="dxa"/>
            <w:tcBorders>
              <w:top w:val="single" w:sz="4" w:space="0" w:color="auto"/>
              <w:left w:val="single" w:sz="4" w:space="0" w:color="auto"/>
              <w:bottom w:val="single" w:sz="4" w:space="0" w:color="auto"/>
              <w:right w:val="single" w:sz="4" w:space="0" w:color="auto"/>
            </w:tcBorders>
          </w:tcPr>
          <w:p w14:paraId="5761F5D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5D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Clear objectives have been set only for listed places.</w:t>
            </w:r>
          </w:p>
          <w:p w14:paraId="5761F5D5" w14:textId="77777777" w:rsidR="00A56EE9" w:rsidRPr="00774D6C"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hAnsi="Arial Narrow"/>
                <w:sz w:val="18"/>
                <w:szCs w:val="18"/>
                <w:lang w:eastAsia="en-AU"/>
              </w:rPr>
              <w:t>Joint Field Management Business Plans and Strategies clearly outline how they will support maritime heritage over the planning period.</w:t>
            </w:r>
          </w:p>
        </w:tc>
        <w:tc>
          <w:tcPr>
            <w:tcW w:w="3907" w:type="dxa"/>
            <w:tcBorders>
              <w:top w:val="single" w:sz="4" w:space="0" w:color="auto"/>
              <w:left w:val="single" w:sz="4" w:space="0" w:color="auto"/>
              <w:bottom w:val="single" w:sz="4" w:space="0" w:color="auto"/>
              <w:right w:val="single" w:sz="4" w:space="0" w:color="auto"/>
            </w:tcBorders>
          </w:tcPr>
          <w:p w14:paraId="5761F5D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hAnsi="Arial Narrow"/>
                <w:sz w:val="18"/>
                <w:szCs w:val="18"/>
                <w:lang w:eastAsia="en-AU"/>
              </w:rPr>
              <w:t>Joint Field Management Business Plans and Strategies</w:t>
            </w:r>
          </w:p>
        </w:tc>
        <w:tc>
          <w:tcPr>
            <w:tcW w:w="912" w:type="dxa"/>
            <w:tcBorders>
              <w:top w:val="single" w:sz="4" w:space="0" w:color="auto"/>
              <w:left w:val="single" w:sz="4" w:space="0" w:color="auto"/>
              <w:bottom w:val="single" w:sz="4" w:space="0" w:color="auto"/>
              <w:right w:val="single" w:sz="4" w:space="0" w:color="auto"/>
            </w:tcBorders>
          </w:tcPr>
          <w:p w14:paraId="5761F5D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5D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5E6"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D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PL5</w:t>
            </w:r>
            <w:r>
              <w:rPr>
                <w:rFonts w:ascii="Arial Narrow" w:hAnsi="Arial Narrow"/>
                <w:sz w:val="18"/>
                <w:szCs w:val="18"/>
              </w:rPr>
              <w:t xml:space="preserve"> </w:t>
            </w:r>
            <w:r w:rsidRPr="00E70A11">
              <w:rPr>
                <w:rFonts w:ascii="Arial Narrow" w:hAnsi="Arial Narrow"/>
                <w:sz w:val="18"/>
                <w:szCs w:val="18"/>
              </w:rPr>
              <w:t>There are plans and systems in place to ensure appropriate and adequate monitoring information is gathered in relation to historic heritage</w:t>
            </w:r>
          </w:p>
        </w:tc>
        <w:tc>
          <w:tcPr>
            <w:tcW w:w="709" w:type="dxa"/>
            <w:tcBorders>
              <w:top w:val="single" w:sz="4" w:space="0" w:color="auto"/>
              <w:left w:val="single" w:sz="4" w:space="0" w:color="auto"/>
              <w:bottom w:val="single" w:sz="4" w:space="0" w:color="auto"/>
              <w:right w:val="single" w:sz="4" w:space="0" w:color="auto"/>
            </w:tcBorders>
          </w:tcPr>
          <w:p w14:paraId="5761F5D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5D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RIMReP program is setting attributes and indicators for monitoring historic heritage and aesthetic values in a holistic manner. This will include the human dimension of cultural heritage.</w:t>
            </w:r>
          </w:p>
          <w:p w14:paraId="5761F5D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Listed places are carefully monitored and their status is reported upon regularly.</w:t>
            </w:r>
          </w:p>
          <w:p w14:paraId="5761F5D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Many other places of historic importance are not monitored at present, but new technology including drone and compilation of community photography provides opportunities to do this more economically and thoroughly in the future.</w:t>
            </w:r>
          </w:p>
          <w:p w14:paraId="5761F5D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 program to use citizen science to monitor aesthetic values is being conducted by a team of academics under the National Environmental Science Program.</w:t>
            </w:r>
          </w:p>
        </w:tc>
        <w:tc>
          <w:tcPr>
            <w:tcW w:w="3907" w:type="dxa"/>
            <w:tcBorders>
              <w:top w:val="single" w:sz="4" w:space="0" w:color="auto"/>
              <w:left w:val="single" w:sz="4" w:space="0" w:color="auto"/>
              <w:bottom w:val="single" w:sz="4" w:space="0" w:color="auto"/>
              <w:right w:val="single" w:sz="4" w:space="0" w:color="auto"/>
            </w:tcBorders>
          </w:tcPr>
          <w:p w14:paraId="5761F5E0" w14:textId="3F8101E8"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Reef 2050 Integrated Monitoring and Reporting Program Strategy </w:t>
            </w:r>
            <w:hyperlink r:id="rId965" w:tooltip="document link" w:history="1">
              <w:r w:rsidRPr="00E70A11">
                <w:rPr>
                  <w:rStyle w:val="Hyperlink"/>
                  <w:rFonts w:ascii="Arial Narrow" w:eastAsia="Calibri" w:hAnsi="Arial Narrow"/>
                  <w:sz w:val="18"/>
                  <w:szCs w:val="18"/>
                </w:rPr>
                <w:t>http://www.gbrmpa.gov.au/managing-the-reef/reef-integrated-monitoring-and-reporting-program</w:t>
              </w:r>
            </w:hyperlink>
          </w:p>
          <w:p w14:paraId="5761F5E1" w14:textId="2ECDC410"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966" w:tooltip="document link" w:history="1">
              <w:r w:rsidR="00A56EE9" w:rsidRPr="00E70A11">
                <w:rPr>
                  <w:rStyle w:val="Hyperlink"/>
                  <w:rFonts w:ascii="Arial Narrow" w:eastAsia="Calibri" w:hAnsi="Arial Narrow"/>
                  <w:sz w:val="18"/>
                  <w:szCs w:val="18"/>
                </w:rPr>
                <w:t>http://elibrary.gbrmpa.gov.au/jspui/bitstream/11017/3385/5/RIMREP-Strategy-Update-2018.pdf</w:t>
              </w:r>
            </w:hyperlink>
          </w:p>
          <w:p w14:paraId="5761F5E2" w14:textId="3F3C55B1"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967" w:tooltip="document link" w:history="1">
              <w:r w:rsidR="00A56EE9" w:rsidRPr="00E70A11">
                <w:rPr>
                  <w:rStyle w:val="Hyperlink"/>
                  <w:rFonts w:ascii="Arial Narrow" w:eastAsia="Calibri" w:hAnsi="Arial Narrow"/>
                  <w:sz w:val="18"/>
                  <w:szCs w:val="18"/>
                </w:rPr>
                <w:t>http://nesptropical.edu.au/index.php/round-3-projects/project-3-2-3/</w:t>
              </w:r>
            </w:hyperlink>
          </w:p>
          <w:p w14:paraId="5761F5E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eastAsia="Calibri" w:hAnsi="Arial Narrow"/>
                <w:sz w:val="18"/>
                <w:szCs w:val="18"/>
              </w:rPr>
              <w:t>Reef .</w:t>
            </w:r>
            <w:proofErr w:type="gramEnd"/>
            <w:r w:rsidRPr="00E70A11">
              <w:rPr>
                <w:rFonts w:ascii="Arial Narrow" w:eastAsia="Calibri" w:hAnsi="Arial Narrow"/>
                <w:sz w:val="18"/>
                <w:szCs w:val="18"/>
              </w:rPr>
              <w:t xml:space="preserve"> Final Report. Report to the Great Barrier Reef Marine Park Authority.</w:t>
            </w:r>
            <w:r>
              <w:rPr>
                <w:rFonts w:ascii="Arial Narrow" w:eastAsia="Calibri" w:hAnsi="Arial Narrow"/>
                <w:sz w:val="18"/>
                <w:szCs w:val="18"/>
              </w:rPr>
              <w:t xml:space="preserve"> </w:t>
            </w:r>
            <w:r w:rsidRPr="00E70A11">
              <w:rPr>
                <w:rFonts w:ascii="Arial Narrow" w:eastAsia="Calibri" w:hAnsi="Arial Narrow"/>
                <w:sz w:val="18"/>
                <w:szCs w:val="18"/>
              </w:rPr>
              <w:t>Townsville, Australia (220pp.).</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5E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5E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5EF"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E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PL6</w:t>
            </w:r>
            <w:r>
              <w:rPr>
                <w:rFonts w:ascii="Arial Narrow" w:hAnsi="Arial Narrow"/>
                <w:sz w:val="18"/>
                <w:szCs w:val="18"/>
              </w:rPr>
              <w:t xml:space="preserve"> </w:t>
            </w:r>
            <w:r w:rsidRPr="00E70A11">
              <w:rPr>
                <w:rFonts w:ascii="Arial Narrow" w:hAnsi="Arial Narrow"/>
                <w:sz w:val="18"/>
                <w:szCs w:val="18"/>
              </w:rPr>
              <w:t>The main stakeholders &amp;/or the local community are effectively engaged in planning to address historic heritage</w:t>
            </w:r>
          </w:p>
        </w:tc>
        <w:tc>
          <w:tcPr>
            <w:tcW w:w="709" w:type="dxa"/>
            <w:tcBorders>
              <w:top w:val="single" w:sz="4" w:space="0" w:color="auto"/>
              <w:left w:val="single" w:sz="4" w:space="0" w:color="auto"/>
              <w:bottom w:val="single" w:sz="4" w:space="0" w:color="auto"/>
              <w:right w:val="single" w:sz="4" w:space="0" w:color="auto"/>
            </w:tcBorders>
          </w:tcPr>
          <w:p w14:paraId="5761F5E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5E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Stakeholders have been involved in the development of the draft Heritage Strategy.</w:t>
            </w:r>
          </w:p>
          <w:p w14:paraId="5761F5E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Stakeholders are also involved in production of management plans. (QPWS) and Plans of Management (GBRMPA) but public involvement is not mandated in development of QPWS management statements. </w:t>
            </w:r>
          </w:p>
        </w:tc>
        <w:tc>
          <w:tcPr>
            <w:tcW w:w="3907" w:type="dxa"/>
            <w:tcBorders>
              <w:top w:val="single" w:sz="4" w:space="0" w:color="auto"/>
              <w:left w:val="single" w:sz="4" w:space="0" w:color="auto"/>
              <w:bottom w:val="single" w:sz="4" w:space="0" w:color="auto"/>
              <w:right w:val="single" w:sz="4" w:space="0" w:color="auto"/>
            </w:tcBorders>
          </w:tcPr>
          <w:p w14:paraId="5761F5E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Great Barrier Reef Marine Park Authority (2017) Heritage in the Great Barrier Reef Marine Park</w:t>
            </w:r>
            <w:r>
              <w:rPr>
                <w:rFonts w:ascii="Arial Narrow" w:eastAsia="Calibri" w:hAnsi="Arial Narrow"/>
                <w:sz w:val="18"/>
                <w:szCs w:val="18"/>
              </w:rPr>
              <w:t xml:space="preserve"> </w:t>
            </w:r>
            <w:r w:rsidRPr="00E70A11">
              <w:rPr>
                <w:rFonts w:ascii="Arial Narrow" w:eastAsia="Calibri" w:hAnsi="Arial Narrow"/>
                <w:sz w:val="18"/>
                <w:szCs w:val="18"/>
              </w:rPr>
              <w:t>(draft)</w:t>
            </w:r>
          </w:p>
          <w:p w14:paraId="5761F5E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https://www.npsr.qld.gov.au/managing/plans-strategies/statements/</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5E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5E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02"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5F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PL7</w:t>
            </w:r>
            <w:r>
              <w:rPr>
                <w:rFonts w:ascii="Arial Narrow" w:hAnsi="Arial Narrow"/>
                <w:sz w:val="18"/>
                <w:szCs w:val="18"/>
              </w:rPr>
              <w:t xml:space="preserve"> </w:t>
            </w:r>
            <w:r w:rsidRPr="00E70A11">
              <w:rPr>
                <w:rFonts w:ascii="Arial Narrow" w:hAnsi="Arial Narrow"/>
                <w:sz w:val="18"/>
                <w:szCs w:val="18"/>
              </w:rPr>
              <w:t>Sufficient policy currently exists to effectively address historic heritage</w:t>
            </w:r>
          </w:p>
        </w:tc>
        <w:tc>
          <w:tcPr>
            <w:tcW w:w="709" w:type="dxa"/>
            <w:tcBorders>
              <w:top w:val="single" w:sz="4" w:space="0" w:color="auto"/>
              <w:left w:val="single" w:sz="4" w:space="0" w:color="auto"/>
              <w:bottom w:val="single" w:sz="4" w:space="0" w:color="auto"/>
              <w:right w:val="single" w:sz="4" w:space="0" w:color="auto"/>
            </w:tcBorders>
          </w:tcPr>
          <w:p w14:paraId="5761F5F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5F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draft Heritage Strategy provides a very thorough and up to date review of principles and general practices relating to heritage protection.</w:t>
            </w:r>
          </w:p>
          <w:p w14:paraId="5761F5F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QPWS has an updated Cultural Heritage Policy and manual.</w:t>
            </w:r>
          </w:p>
          <w:p w14:paraId="5761F5F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Policies exist for management of the listed places.</w:t>
            </w:r>
          </w:p>
          <w:p w14:paraId="5761F5F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Consideration of historic heritage is built into the assessment process.</w:t>
            </w:r>
          </w:p>
          <w:p w14:paraId="5761F5F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remains a lack of clarity about how to prioritise the expensive and time-consuming work of protection and especially restoration of historic heritage places and objects.</w:t>
            </w:r>
            <w:r>
              <w:rPr>
                <w:rFonts w:ascii="Arial Narrow" w:eastAsia="Calibri" w:hAnsi="Arial Narrow"/>
                <w:sz w:val="18"/>
                <w:szCs w:val="18"/>
              </w:rPr>
              <w:t xml:space="preserve"> </w:t>
            </w:r>
          </w:p>
          <w:p w14:paraId="5761F5F7" w14:textId="77777777" w:rsidR="00A56EE9" w:rsidRPr="00E70A11" w:rsidRDefault="00A56EE9" w:rsidP="00BB6AD5">
            <w:pPr>
              <w:ind w:left="360"/>
              <w:contextualSpacing/>
              <w:rPr>
                <w:rFonts w:ascii="Arial Narrow" w:eastAsia="Calibri" w:hAnsi="Arial Narrow"/>
                <w:sz w:val="18"/>
                <w:szCs w:val="18"/>
              </w:rPr>
            </w:pPr>
          </w:p>
        </w:tc>
        <w:tc>
          <w:tcPr>
            <w:tcW w:w="3907" w:type="dxa"/>
            <w:tcBorders>
              <w:top w:val="single" w:sz="4" w:space="0" w:color="auto"/>
              <w:left w:val="single" w:sz="4" w:space="0" w:color="auto"/>
              <w:bottom w:val="single" w:sz="4" w:space="0" w:color="auto"/>
              <w:right w:val="single" w:sz="4" w:space="0" w:color="auto"/>
            </w:tcBorders>
          </w:tcPr>
          <w:p w14:paraId="5761F5F8" w14:textId="77777777" w:rsidR="00A56EE9" w:rsidRPr="00E70A11" w:rsidRDefault="00A56EE9" w:rsidP="00A11869">
            <w:pPr>
              <w:numPr>
                <w:ilvl w:val="0"/>
                <w:numId w:val="24"/>
              </w:numPr>
              <w:spacing w:after="0" w:line="240" w:lineRule="auto"/>
              <w:contextualSpacing/>
              <w:jc w:val="both"/>
              <w:rPr>
                <w:rFonts w:ascii="Arial Narrow" w:eastAsia="Calibri" w:hAnsi="Arial Narrow"/>
                <w:sz w:val="18"/>
                <w:szCs w:val="18"/>
              </w:rPr>
            </w:pPr>
            <w:r w:rsidRPr="00E70A11">
              <w:rPr>
                <w:rFonts w:ascii="Arial Narrow" w:eastAsia="Calibri" w:hAnsi="Arial Narrow"/>
                <w:sz w:val="18"/>
                <w:szCs w:val="18"/>
              </w:rPr>
              <w:t>Great Barrier Reef Marine Park Authority (2017) Heritage in the Great Barrier Reef Marine Park</w:t>
            </w:r>
            <w:r>
              <w:rPr>
                <w:rFonts w:ascii="Arial Narrow" w:eastAsia="Calibri" w:hAnsi="Arial Narrow"/>
                <w:sz w:val="18"/>
                <w:szCs w:val="18"/>
              </w:rPr>
              <w:t xml:space="preserve"> </w:t>
            </w:r>
            <w:r w:rsidRPr="00E70A11">
              <w:rPr>
                <w:rFonts w:ascii="Arial Narrow" w:eastAsia="Calibri" w:hAnsi="Arial Narrow"/>
                <w:sz w:val="18"/>
                <w:szCs w:val="18"/>
              </w:rPr>
              <w:t>(draft)</w:t>
            </w:r>
          </w:p>
          <w:p w14:paraId="5761F5F9" w14:textId="77777777" w:rsidR="00A56EE9" w:rsidRPr="00E70A11" w:rsidRDefault="00A56EE9" w:rsidP="00A11869">
            <w:pPr>
              <w:numPr>
                <w:ilvl w:val="0"/>
                <w:numId w:val="24"/>
              </w:numPr>
              <w:spacing w:after="0" w:line="240" w:lineRule="auto"/>
              <w:contextualSpacing/>
              <w:jc w:val="both"/>
              <w:rPr>
                <w:rFonts w:ascii="Arial Narrow" w:eastAsia="Calibri" w:hAnsi="Arial Narrow"/>
                <w:sz w:val="18"/>
                <w:szCs w:val="18"/>
              </w:rPr>
            </w:pPr>
            <w:r w:rsidRPr="00E70A11">
              <w:rPr>
                <w:rFonts w:ascii="Arial Narrow" w:eastAsia="Calibri" w:hAnsi="Arial Narrow"/>
                <w:sz w:val="18"/>
                <w:szCs w:val="18"/>
              </w:rPr>
              <w:t xml:space="preserve">Joint Field Management Business Plans and Strategies </w:t>
            </w:r>
          </w:p>
          <w:p w14:paraId="5761F5FA" w14:textId="77777777" w:rsidR="00A56EE9" w:rsidRPr="00E70A11" w:rsidRDefault="008B5998" w:rsidP="00A11869">
            <w:pPr>
              <w:pStyle w:val="ListParagraph"/>
              <w:numPr>
                <w:ilvl w:val="0"/>
                <w:numId w:val="24"/>
              </w:numPr>
              <w:spacing w:after="0" w:line="276" w:lineRule="auto"/>
              <w:jc w:val="both"/>
              <w:rPr>
                <w:rFonts w:ascii="Arial Narrow" w:hAnsi="Arial Narrow"/>
                <w:b/>
                <w:sz w:val="18"/>
                <w:szCs w:val="18"/>
                <w:u w:val="single"/>
              </w:rPr>
            </w:pPr>
            <w:hyperlink r:id="rId968" w:history="1">
              <w:r w:rsidR="00A56EE9" w:rsidRPr="00E70A11">
                <w:rPr>
                  <w:rStyle w:val="Hyperlink"/>
                  <w:rFonts w:ascii="Arial Narrow" w:hAnsi="Arial Narrow"/>
                  <w:sz w:val="18"/>
                  <w:szCs w:val="18"/>
                  <w:lang w:val="en"/>
                </w:rPr>
                <w:t>GBRMP Heritage Strategy</w:t>
              </w:r>
            </w:hyperlink>
            <w:r w:rsidR="00A56EE9" w:rsidRPr="00E70A11">
              <w:rPr>
                <w:rFonts w:ascii="Arial Narrow" w:hAnsi="Arial Narrow"/>
                <w:sz w:val="18"/>
                <w:szCs w:val="18"/>
                <w:lang w:val="en"/>
              </w:rPr>
              <w:t xml:space="preserve"> 2005 </w:t>
            </w:r>
          </w:p>
          <w:p w14:paraId="5761F5FB" w14:textId="77777777" w:rsidR="00A56EE9" w:rsidRPr="00E70A11" w:rsidRDefault="008B5998" w:rsidP="00A11869">
            <w:pPr>
              <w:pStyle w:val="ListParagraph"/>
              <w:numPr>
                <w:ilvl w:val="0"/>
                <w:numId w:val="24"/>
              </w:numPr>
              <w:spacing w:after="0" w:line="240" w:lineRule="auto"/>
              <w:rPr>
                <w:rFonts w:ascii="Arial Narrow" w:hAnsi="Arial Narrow"/>
                <w:color w:val="0000FF"/>
                <w:sz w:val="18"/>
                <w:szCs w:val="18"/>
                <w:u w:val="single"/>
              </w:rPr>
            </w:pPr>
            <w:hyperlink r:id="rId969" w:history="1">
              <w:r w:rsidR="00A56EE9" w:rsidRPr="00E70A11">
                <w:rPr>
                  <w:rStyle w:val="Hyperlink"/>
                  <w:rFonts w:ascii="Arial Narrow" w:hAnsi="Arial Narrow"/>
                  <w:sz w:val="18"/>
                  <w:szCs w:val="18"/>
                </w:rPr>
                <w:t>Commonwealth Heritage Listed Places and Properties Heritage Strategy 2018-2021</w:t>
              </w:r>
            </w:hyperlink>
            <w:r w:rsidR="00A56EE9" w:rsidRPr="00E70A11">
              <w:rPr>
                <w:rFonts w:ascii="Arial Narrow" w:hAnsi="Arial Narrow"/>
                <w:sz w:val="18"/>
                <w:szCs w:val="18"/>
              </w:rPr>
              <w:t xml:space="preserve"> </w:t>
            </w:r>
          </w:p>
          <w:p w14:paraId="5761F5FC" w14:textId="77777777" w:rsidR="00A56EE9" w:rsidRPr="00E70A11" w:rsidRDefault="008B5998" w:rsidP="00A11869">
            <w:pPr>
              <w:pStyle w:val="ListParagraph"/>
              <w:numPr>
                <w:ilvl w:val="0"/>
                <w:numId w:val="24"/>
              </w:numPr>
              <w:spacing w:after="0" w:line="240" w:lineRule="auto"/>
              <w:rPr>
                <w:rStyle w:val="Hyperlink"/>
                <w:rFonts w:ascii="Arial Narrow" w:hAnsi="Arial Narrow"/>
                <w:sz w:val="18"/>
                <w:szCs w:val="18"/>
              </w:rPr>
            </w:pPr>
            <w:hyperlink r:id="rId970" w:history="1">
              <w:r w:rsidR="00A56EE9" w:rsidRPr="00E70A11">
                <w:rPr>
                  <w:rStyle w:val="Hyperlink"/>
                  <w:rFonts w:ascii="Arial Narrow" w:hAnsi="Arial Narrow"/>
                  <w:sz w:val="18"/>
                  <w:szCs w:val="18"/>
                </w:rPr>
                <w:t>Report reviewing the Implementation of the Great Barrier Reef Marine Park Heritage Strategy 2005</w:t>
              </w:r>
            </w:hyperlink>
          </w:p>
          <w:p w14:paraId="5761F5FD" w14:textId="77777777" w:rsidR="00A56EE9" w:rsidRPr="00E70A11" w:rsidRDefault="00A56EE9" w:rsidP="00A11869">
            <w:pPr>
              <w:pStyle w:val="ListParagraph"/>
              <w:numPr>
                <w:ilvl w:val="0"/>
                <w:numId w:val="24"/>
              </w:numPr>
              <w:spacing w:after="0" w:line="240" w:lineRule="auto"/>
              <w:rPr>
                <w:rStyle w:val="Hyperlink"/>
                <w:rFonts w:ascii="Arial Narrow" w:hAnsi="Arial Narrow"/>
                <w:sz w:val="18"/>
                <w:szCs w:val="18"/>
              </w:rPr>
            </w:pPr>
            <w:r w:rsidRPr="00E70A11">
              <w:rPr>
                <w:rFonts w:ascii="Arial Narrow" w:hAnsi="Arial Narrow"/>
                <w:sz w:val="18"/>
                <w:szCs w:val="18"/>
              </w:rPr>
              <w:t xml:space="preserve">Draft Heritage Register - </w:t>
            </w:r>
            <w:hyperlink r:id="rId971" w:history="1">
              <w:r w:rsidRPr="00E70A11">
                <w:rPr>
                  <w:rStyle w:val="Hyperlink"/>
                  <w:rFonts w:ascii="Arial Narrow" w:hAnsi="Arial Narrow"/>
                  <w:sz w:val="18"/>
                  <w:szCs w:val="18"/>
                </w:rPr>
                <w:t>Dent Island Lightstation</w:t>
              </w:r>
            </w:hyperlink>
          </w:p>
          <w:p w14:paraId="5761F5FE" w14:textId="77777777" w:rsidR="00A56EE9" w:rsidRPr="00E70A11" w:rsidRDefault="00A56EE9" w:rsidP="00A11869">
            <w:pPr>
              <w:pStyle w:val="ListParagraph"/>
              <w:numPr>
                <w:ilvl w:val="0"/>
                <w:numId w:val="24"/>
              </w:numPr>
              <w:spacing w:after="0" w:line="240" w:lineRule="auto"/>
              <w:rPr>
                <w:rStyle w:val="Hyperlink"/>
                <w:rFonts w:ascii="Arial Narrow" w:hAnsi="Arial Narrow"/>
                <w:sz w:val="18"/>
                <w:szCs w:val="18"/>
              </w:rPr>
            </w:pPr>
            <w:r w:rsidRPr="00E70A11">
              <w:rPr>
                <w:rFonts w:ascii="Arial Narrow" w:hAnsi="Arial Narrow"/>
                <w:sz w:val="18"/>
                <w:szCs w:val="18"/>
              </w:rPr>
              <w:t xml:space="preserve">Draft Heritage Register - </w:t>
            </w:r>
            <w:hyperlink r:id="rId972" w:history="1">
              <w:r w:rsidRPr="00E70A11">
                <w:rPr>
                  <w:rStyle w:val="Hyperlink"/>
                  <w:rFonts w:ascii="Arial Narrow" w:hAnsi="Arial Narrow"/>
                  <w:sz w:val="18"/>
                  <w:szCs w:val="18"/>
                </w:rPr>
                <w:t>Lady Elliot Island Lightstation</w:t>
              </w:r>
            </w:hyperlink>
          </w:p>
          <w:p w14:paraId="5761F5FF" w14:textId="77777777" w:rsidR="00A56EE9" w:rsidRPr="00E70A11" w:rsidRDefault="00A56EE9" w:rsidP="00A11869">
            <w:pPr>
              <w:pStyle w:val="ListParagraph"/>
              <w:numPr>
                <w:ilvl w:val="0"/>
                <w:numId w:val="24"/>
              </w:numPr>
              <w:spacing w:after="0" w:line="240" w:lineRule="auto"/>
              <w:rPr>
                <w:rFonts w:ascii="Arial Narrow" w:hAnsi="Arial Narrow"/>
                <w:sz w:val="18"/>
                <w:szCs w:val="18"/>
              </w:rPr>
            </w:pPr>
            <w:r w:rsidRPr="00E70A11">
              <w:rPr>
                <w:rFonts w:ascii="Arial Narrow" w:hAnsi="Arial Narrow"/>
                <w:sz w:val="18"/>
                <w:szCs w:val="18"/>
              </w:rPr>
              <w:t xml:space="preserve">Draft Heritage Register - </w:t>
            </w:r>
            <w:hyperlink r:id="rId973" w:history="1">
              <w:r w:rsidRPr="00E70A11">
                <w:rPr>
                  <w:rStyle w:val="Hyperlink"/>
                  <w:rFonts w:ascii="Arial Narrow" w:hAnsi="Arial Narrow"/>
                  <w:sz w:val="18"/>
                  <w:szCs w:val="18"/>
                </w:rPr>
                <w:t>Low Island and Low Islet Lightstation</w:t>
              </w:r>
            </w:hyperlink>
          </w:p>
        </w:tc>
        <w:tc>
          <w:tcPr>
            <w:tcW w:w="912" w:type="dxa"/>
            <w:tcBorders>
              <w:top w:val="single" w:sz="4" w:space="0" w:color="auto"/>
              <w:left w:val="single" w:sz="4" w:space="0" w:color="auto"/>
              <w:bottom w:val="single" w:sz="4" w:space="0" w:color="auto"/>
              <w:right w:val="single" w:sz="4" w:space="0" w:color="auto"/>
            </w:tcBorders>
          </w:tcPr>
          <w:p w14:paraId="5761F60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0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616"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FFFFFF"/>
          </w:tcPr>
          <w:p w14:paraId="5761F60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PL8 There is consistency across jurisdictions when planning for historic heritage</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761F60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shd w:val="clear" w:color="auto" w:fill="FFFFFF"/>
          </w:tcPr>
          <w:p w14:paraId="5761F60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Great Barrier Reef Marine Park Act and Regulations provide the legislative power for the protection of all historic heritage values and consideration of potential impacts to heritage through the permitting process. There are also strong drivers for heritage management under the Commonwealth EPBC Act and World Heritage obligations. The </w:t>
            </w:r>
            <w:r w:rsidRPr="00E70A11">
              <w:rPr>
                <w:rFonts w:ascii="Arial Narrow" w:eastAsia="Calibri" w:hAnsi="Arial Narrow"/>
                <w:i/>
                <w:sz w:val="18"/>
                <w:szCs w:val="18"/>
              </w:rPr>
              <w:t>Queensland Heritage Act 1992</w:t>
            </w:r>
            <w:r w:rsidRPr="00E70A11">
              <w:rPr>
                <w:rFonts w:ascii="Arial Narrow" w:eastAsia="Calibri" w:hAnsi="Arial Narrow"/>
                <w:sz w:val="18"/>
                <w:szCs w:val="18"/>
              </w:rPr>
              <w:t xml:space="preserve"> protects sites of cultural heritage, including shipwrecks and lighthouses under Queensland jurisdiction. The </w:t>
            </w:r>
            <w:r w:rsidRPr="00E70A11">
              <w:rPr>
                <w:rFonts w:ascii="Arial Narrow" w:eastAsia="Calibri" w:hAnsi="Arial Narrow"/>
                <w:i/>
                <w:sz w:val="18"/>
                <w:szCs w:val="18"/>
              </w:rPr>
              <w:t>Nature Conservation Act 1992</w:t>
            </w:r>
            <w:r w:rsidRPr="00E70A11">
              <w:rPr>
                <w:rFonts w:ascii="Arial Narrow" w:eastAsia="Calibri" w:hAnsi="Arial Narrow"/>
                <w:sz w:val="18"/>
                <w:szCs w:val="18"/>
              </w:rPr>
              <w:t xml:space="preserve"> includes cultural heritage under all its sections so sites under QPWS control are also protected. These obligations also drive consistency of implementation of historic heritage management across agencies.</w:t>
            </w:r>
          </w:p>
          <w:p w14:paraId="5761F60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Resources tend to be directed to places on the Commonwealth Heritage List or areas of current popular focus rather than consistently allocated across the region.</w:t>
            </w:r>
          </w:p>
          <w:p w14:paraId="5761F60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Permits are issued jointly by GBRMPA and QPWS so impacts to cultural heritage are jointly considered.</w:t>
            </w:r>
          </w:p>
          <w:p w14:paraId="5761F60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Other managers such as leaseholders are subject to leases and other agreements, which can include specific arrangements in relation to cultural heritage, such as maintenance of the light station at Lady Elliot Island.</w:t>
            </w:r>
          </w:p>
          <w:p w14:paraId="5761F60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Management of shipwrecks is coordinated under the Queensland Heritage Act and the Historic Shipwrecks Act (Cth).</w:t>
            </w:r>
          </w:p>
        </w:tc>
        <w:tc>
          <w:tcPr>
            <w:tcW w:w="3907" w:type="dxa"/>
            <w:tcBorders>
              <w:top w:val="single" w:sz="4" w:space="0" w:color="auto"/>
              <w:left w:val="single" w:sz="4" w:space="0" w:color="auto"/>
              <w:bottom w:val="single" w:sz="4" w:space="0" w:color="auto"/>
              <w:right w:val="single" w:sz="4" w:space="0" w:color="auto"/>
            </w:tcBorders>
            <w:shd w:val="clear" w:color="auto" w:fill="FFFFFF"/>
          </w:tcPr>
          <w:p w14:paraId="5761F60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Media Release: </w:t>
            </w:r>
            <w:hyperlink r:id="rId974" w:history="1">
              <w:r w:rsidRPr="00E70A11">
                <w:rPr>
                  <w:rStyle w:val="Hyperlink"/>
                  <w:rFonts w:ascii="Arial Narrow" w:eastAsia="Calibri" w:hAnsi="Arial Narrow"/>
                  <w:sz w:val="18"/>
                  <w:szCs w:val="18"/>
                </w:rPr>
                <w:t>New underwater heritage law will protect even more of our history</w:t>
              </w:r>
            </w:hyperlink>
          </w:p>
          <w:p w14:paraId="5761F60B"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u w:val="single"/>
              </w:rPr>
            </w:pPr>
            <w:hyperlink r:id="rId975" w:history="1">
              <w:r w:rsidR="00A56EE9" w:rsidRPr="00E70A11">
                <w:rPr>
                  <w:rStyle w:val="Hyperlink"/>
                  <w:rFonts w:ascii="Arial Narrow" w:eastAsia="Calibri" w:hAnsi="Arial Narrow"/>
                  <w:sz w:val="18"/>
                  <w:szCs w:val="18"/>
                </w:rPr>
                <w:t>Historic Shipwrecks Act 1976</w:t>
              </w:r>
            </w:hyperlink>
          </w:p>
          <w:p w14:paraId="5761F60C"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u w:val="single"/>
              </w:rPr>
            </w:pPr>
            <w:hyperlink r:id="rId976" w:history="1">
              <w:r w:rsidR="00A56EE9" w:rsidRPr="00E70A11">
                <w:rPr>
                  <w:rStyle w:val="Hyperlink"/>
                  <w:rFonts w:ascii="Arial Narrow" w:eastAsia="Calibri" w:hAnsi="Arial Narrow"/>
                  <w:sz w:val="18"/>
                  <w:szCs w:val="18"/>
                </w:rPr>
                <w:t>Review of the Historic Shipwrecks Act 1976</w:t>
              </w:r>
            </w:hyperlink>
          </w:p>
          <w:p w14:paraId="5761F60D"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977" w:history="1">
              <w:r w:rsidR="00A56EE9" w:rsidRPr="00E70A11">
                <w:rPr>
                  <w:rStyle w:val="Hyperlink"/>
                  <w:rFonts w:ascii="Arial Narrow" w:eastAsia="Calibri" w:hAnsi="Arial Narrow"/>
                  <w:sz w:val="18"/>
                  <w:szCs w:val="18"/>
                </w:rPr>
                <w:t>GBR Intergovernmental Agreement 2015</w:t>
              </w:r>
            </w:hyperlink>
          </w:p>
          <w:p w14:paraId="5761F60E"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978" w:history="1">
              <w:r w:rsidR="00A56EE9" w:rsidRPr="00E70A11">
                <w:rPr>
                  <w:rStyle w:val="Hyperlink"/>
                  <w:rFonts w:ascii="Arial Narrow" w:eastAsia="Calibri" w:hAnsi="Arial Narrow"/>
                  <w:sz w:val="18"/>
                  <w:szCs w:val="18"/>
                </w:rPr>
                <w:t>Australian Underwater cultural heritage Intergovernmental Agreement</w:t>
              </w:r>
            </w:hyperlink>
            <w:r w:rsidR="00A56EE9" w:rsidRPr="00E70A11">
              <w:rPr>
                <w:rFonts w:ascii="Arial Narrow" w:eastAsia="Calibri" w:hAnsi="Arial Narrow"/>
                <w:sz w:val="18"/>
                <w:szCs w:val="18"/>
              </w:rPr>
              <w:t xml:space="preserve"> </w:t>
            </w:r>
          </w:p>
          <w:p w14:paraId="5761F60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u w:val="single"/>
                <w:lang w:val="en"/>
              </w:rPr>
            </w:pPr>
            <w:r w:rsidRPr="00E70A11">
              <w:rPr>
                <w:rFonts w:ascii="Arial Narrow" w:eastAsia="Calibri" w:hAnsi="Arial Narrow"/>
                <w:sz w:val="18"/>
                <w:szCs w:val="18"/>
              </w:rPr>
              <w:t xml:space="preserve">Australian National </w:t>
            </w:r>
            <w:hyperlink r:id="rId979" w:history="1">
              <w:r w:rsidRPr="00E70A11">
                <w:rPr>
                  <w:rStyle w:val="Hyperlink"/>
                  <w:rFonts w:ascii="Arial Narrow" w:eastAsia="Calibri" w:hAnsi="Arial Narrow"/>
                  <w:sz w:val="18"/>
                  <w:szCs w:val="18"/>
                  <w:lang w:val="en"/>
                </w:rPr>
                <w:t>Shipwrecks Database</w:t>
              </w:r>
            </w:hyperlink>
          </w:p>
          <w:p w14:paraId="5761F610" w14:textId="77777777" w:rsidR="00A56EE9" w:rsidRPr="00E70A11" w:rsidRDefault="008B5998" w:rsidP="00A11869">
            <w:pPr>
              <w:pStyle w:val="ListParagraph"/>
              <w:numPr>
                <w:ilvl w:val="0"/>
                <w:numId w:val="24"/>
              </w:numPr>
              <w:spacing w:after="0" w:line="276" w:lineRule="auto"/>
              <w:rPr>
                <w:rFonts w:ascii="Arial Narrow" w:hAnsi="Arial Narrow"/>
                <w:sz w:val="18"/>
                <w:szCs w:val="18"/>
              </w:rPr>
            </w:pPr>
            <w:hyperlink r:id="rId980" w:history="1">
              <w:r w:rsidR="00A56EE9" w:rsidRPr="00E70A11">
                <w:rPr>
                  <w:rStyle w:val="Hyperlink"/>
                  <w:rFonts w:ascii="Arial Narrow" w:hAnsi="Arial Narrow" w:cs="Helvetica"/>
                  <w:sz w:val="18"/>
                  <w:szCs w:val="18"/>
                </w:rPr>
                <w:t>Guideline: Historic heritage assessment: maritime cultural heritage protection special management area (2017)</w:t>
              </w:r>
            </w:hyperlink>
            <w:r w:rsidR="00A56EE9" w:rsidRPr="00E70A11">
              <w:rPr>
                <w:rFonts w:ascii="Arial Narrow" w:hAnsi="Arial Narrow"/>
                <w:sz w:val="18"/>
                <w:szCs w:val="18"/>
              </w:rPr>
              <w:t xml:space="preserve"> GBRMPA. </w:t>
            </w:r>
          </w:p>
          <w:p w14:paraId="5761F611" w14:textId="77777777" w:rsidR="00A56EE9" w:rsidRPr="00E70A11" w:rsidRDefault="008B5998" w:rsidP="00A11869">
            <w:pPr>
              <w:pStyle w:val="ListParagraph"/>
              <w:numPr>
                <w:ilvl w:val="0"/>
                <w:numId w:val="24"/>
              </w:numPr>
              <w:spacing w:after="0" w:line="276" w:lineRule="auto"/>
              <w:rPr>
                <w:rFonts w:ascii="Arial Narrow" w:hAnsi="Arial Narrow"/>
                <w:sz w:val="18"/>
                <w:szCs w:val="18"/>
              </w:rPr>
            </w:pPr>
            <w:hyperlink r:id="rId981" w:history="1">
              <w:r w:rsidR="00A56EE9" w:rsidRPr="00E70A11">
                <w:rPr>
                  <w:rStyle w:val="Hyperlink"/>
                  <w:rFonts w:ascii="Arial Narrow" w:hAnsi="Arial Narrow" w:cs="Helvetica"/>
                  <w:sz w:val="18"/>
                  <w:szCs w:val="18"/>
                </w:rPr>
                <w:t>Guideline: Historic heritage assessment: other places of historic and social significance (2017)</w:t>
              </w:r>
            </w:hyperlink>
            <w:r w:rsidR="00A56EE9" w:rsidRPr="00E70A11">
              <w:rPr>
                <w:rFonts w:ascii="Arial Narrow" w:hAnsi="Arial Narrow"/>
                <w:sz w:val="18"/>
                <w:szCs w:val="18"/>
              </w:rPr>
              <w:t xml:space="preserve"> GBRMPA. </w:t>
            </w:r>
          </w:p>
          <w:p w14:paraId="5761F612" w14:textId="77777777" w:rsidR="00A56EE9" w:rsidRPr="00E70A11" w:rsidRDefault="00A56EE9" w:rsidP="00A11869">
            <w:pPr>
              <w:pStyle w:val="ListParagraph"/>
              <w:numPr>
                <w:ilvl w:val="0"/>
                <w:numId w:val="24"/>
              </w:numPr>
              <w:spacing w:after="0" w:line="276" w:lineRule="auto"/>
              <w:rPr>
                <w:rFonts w:ascii="Arial Narrow" w:hAnsi="Arial Narrow"/>
                <w:sz w:val="18"/>
                <w:szCs w:val="18"/>
              </w:rPr>
            </w:pPr>
            <w:r w:rsidRPr="00E70A11">
              <w:rPr>
                <w:rFonts w:ascii="Arial Narrow" w:hAnsi="Arial Narrow"/>
                <w:sz w:val="18"/>
                <w:szCs w:val="18"/>
              </w:rPr>
              <w:t xml:space="preserve">Guideline: </w:t>
            </w:r>
            <w:hyperlink r:id="rId982" w:history="1">
              <w:r w:rsidRPr="00E70A11">
                <w:rPr>
                  <w:rStyle w:val="Hyperlink"/>
                  <w:rFonts w:ascii="Arial Narrow" w:hAnsi="Arial Narrow" w:cs="Helvetica"/>
                  <w:sz w:val="18"/>
                  <w:szCs w:val="18"/>
                </w:rPr>
                <w:t>Historic heritage assessment: WWII features and sites, and voyages and shipwrecks</w:t>
              </w:r>
            </w:hyperlink>
            <w:r w:rsidRPr="00E70A11">
              <w:rPr>
                <w:rFonts w:ascii="Arial Narrow" w:hAnsi="Arial Narrow"/>
                <w:sz w:val="18"/>
                <w:szCs w:val="18"/>
              </w:rPr>
              <w:t xml:space="preserve"> (2017) GBRMPA </w:t>
            </w:r>
          </w:p>
          <w:p w14:paraId="5761F613" w14:textId="77777777" w:rsidR="00A56EE9" w:rsidRPr="00E70A11" w:rsidRDefault="00A56EE9" w:rsidP="00BB6AD5">
            <w:pPr>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FFFFFF"/>
          </w:tcPr>
          <w:p w14:paraId="5761F61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FFFFFF"/>
          </w:tcPr>
          <w:p w14:paraId="5761F61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621"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5761F61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PL9</w:t>
            </w:r>
            <w:r>
              <w:rPr>
                <w:rFonts w:ascii="Arial Narrow" w:hAnsi="Arial Narrow"/>
                <w:sz w:val="18"/>
                <w:szCs w:val="18"/>
              </w:rPr>
              <w:t xml:space="preserve"> </w:t>
            </w:r>
            <w:r w:rsidRPr="00E70A11">
              <w:rPr>
                <w:rFonts w:ascii="Arial Narrow" w:hAnsi="Arial Narrow"/>
                <w:sz w:val="18"/>
                <w:szCs w:val="18"/>
              </w:rPr>
              <w:t>Plans relevant to historic heritage provide certainty regarding where uses may occur, the type of activities allowed</w:t>
            </w:r>
            <w:r w:rsidRPr="00E70A11">
              <w:rPr>
                <w:rFonts w:ascii="Arial Narrow" w:hAnsi="Arial Narrow"/>
                <w:sz w:val="18"/>
                <w:szCs w:val="18"/>
                <w:lang w:val="en-US"/>
              </w:rPr>
              <w:t xml:space="preserve"> or specifically disallowed</w:t>
            </w:r>
            <w:proofErr w:type="gramStart"/>
            <w:r w:rsidRPr="00E70A11">
              <w:rPr>
                <w:rFonts w:ascii="Arial Narrow" w:hAnsi="Arial Narrow"/>
                <w:sz w:val="18"/>
                <w:szCs w:val="18"/>
                <w:lang w:val="en-US"/>
              </w:rPr>
              <w:t>,</w:t>
            </w:r>
            <w:r w:rsidRPr="00E70A11">
              <w:rPr>
                <w:rFonts w:ascii="Arial Narrow" w:hAnsi="Arial Narrow"/>
                <w:sz w:val="18"/>
                <w:szCs w:val="18"/>
              </w:rPr>
              <w:t>,</w:t>
            </w:r>
            <w:proofErr w:type="gramEnd"/>
            <w:r w:rsidRPr="00E70A11">
              <w:rPr>
                <w:rFonts w:ascii="Arial Narrow" w:hAnsi="Arial Narrow"/>
                <w:sz w:val="18"/>
                <w:szCs w:val="18"/>
              </w:rPr>
              <w:t xml:space="preserve"> conditions under which activities may proceed and circumstances where impacts are likely to be acceptable.</w:t>
            </w:r>
          </w:p>
        </w:tc>
        <w:tc>
          <w:tcPr>
            <w:tcW w:w="709" w:type="dxa"/>
            <w:tcBorders>
              <w:top w:val="single" w:sz="4" w:space="0" w:color="auto"/>
              <w:left w:val="single" w:sz="4" w:space="0" w:color="auto"/>
              <w:bottom w:val="single" w:sz="4" w:space="0" w:color="auto"/>
              <w:right w:val="single" w:sz="4" w:space="0" w:color="auto"/>
            </w:tcBorders>
          </w:tcPr>
          <w:p w14:paraId="5761F61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tcPr>
          <w:p w14:paraId="5761F61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This certainty is limited by the lack of knowledge about many historic heritage sites, including location of shipwrecks and plane wrecks.</w:t>
            </w:r>
          </w:p>
          <w:p w14:paraId="5761F61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Special Management Areas in Zoning Plans clearly restrict activities in the zone relevant to maritime cultural heritage. </w:t>
            </w:r>
          </w:p>
        </w:tc>
        <w:tc>
          <w:tcPr>
            <w:tcW w:w="3907" w:type="dxa"/>
            <w:tcBorders>
              <w:top w:val="single" w:sz="4" w:space="0" w:color="auto"/>
              <w:left w:val="single" w:sz="4" w:space="0" w:color="auto"/>
              <w:bottom w:val="single" w:sz="4" w:space="0" w:color="auto"/>
              <w:right w:val="single" w:sz="4" w:space="0" w:color="auto"/>
            </w:tcBorders>
          </w:tcPr>
          <w:p w14:paraId="5761F61B" w14:textId="77777777" w:rsidR="00A56EE9" w:rsidRPr="00E70A11" w:rsidRDefault="008B5998" w:rsidP="00A11869">
            <w:pPr>
              <w:pStyle w:val="ListParagraph"/>
              <w:numPr>
                <w:ilvl w:val="0"/>
                <w:numId w:val="24"/>
              </w:numPr>
              <w:spacing w:after="0" w:line="240" w:lineRule="auto"/>
              <w:rPr>
                <w:rFonts w:ascii="Arial Narrow" w:hAnsi="Arial Narrow"/>
                <w:color w:val="0000FF"/>
                <w:sz w:val="18"/>
                <w:szCs w:val="18"/>
                <w:u w:val="single"/>
              </w:rPr>
            </w:pPr>
            <w:hyperlink r:id="rId983" w:history="1">
              <w:r w:rsidR="00A56EE9" w:rsidRPr="00E70A11">
                <w:rPr>
                  <w:rStyle w:val="Hyperlink"/>
                  <w:rFonts w:ascii="Arial Narrow" w:hAnsi="Arial Narrow"/>
                  <w:sz w:val="18"/>
                  <w:szCs w:val="18"/>
                </w:rPr>
                <w:t>Commonwealth Heritage Listed Places and Properties Heritage Strategy 2018-2021</w:t>
              </w:r>
            </w:hyperlink>
            <w:r w:rsidR="00A56EE9" w:rsidRPr="00E70A11">
              <w:rPr>
                <w:rFonts w:ascii="Arial Narrow" w:hAnsi="Arial Narrow"/>
                <w:sz w:val="18"/>
                <w:szCs w:val="18"/>
              </w:rPr>
              <w:t xml:space="preserve"> </w:t>
            </w:r>
          </w:p>
          <w:p w14:paraId="5761F61C" w14:textId="77777777" w:rsidR="00A56EE9" w:rsidRPr="00E70A11" w:rsidRDefault="008B5998" w:rsidP="00A11869">
            <w:pPr>
              <w:numPr>
                <w:ilvl w:val="0"/>
                <w:numId w:val="24"/>
              </w:numPr>
              <w:shd w:val="clear" w:color="auto" w:fill="FFFFFF"/>
              <w:spacing w:before="100" w:beforeAutospacing="1" w:after="100" w:afterAutospacing="1" w:line="240" w:lineRule="auto"/>
              <w:rPr>
                <w:rFonts w:ascii="Arial Narrow" w:hAnsi="Arial Narrow"/>
                <w:sz w:val="18"/>
                <w:szCs w:val="18"/>
                <w:lang w:val="en" w:eastAsia="en-AU"/>
              </w:rPr>
            </w:pPr>
            <w:hyperlink r:id="rId984" w:tgtFrame="_blank" w:history="1">
              <w:r w:rsidR="00A56EE9" w:rsidRPr="00E70A11">
                <w:rPr>
                  <w:rFonts w:ascii="Arial Narrow" w:hAnsi="Arial Narrow"/>
                  <w:sz w:val="18"/>
                  <w:szCs w:val="18"/>
                  <w:lang w:val="en" w:eastAsia="en-AU"/>
                </w:rPr>
                <w:t>Dent Island Lightstation Heritage Register</w:t>
              </w:r>
            </w:hyperlink>
          </w:p>
          <w:p w14:paraId="5761F61D" w14:textId="77777777" w:rsidR="00A56EE9" w:rsidRPr="00E70A11" w:rsidRDefault="008B5998" w:rsidP="00A11869">
            <w:pPr>
              <w:numPr>
                <w:ilvl w:val="0"/>
                <w:numId w:val="24"/>
              </w:numPr>
              <w:shd w:val="clear" w:color="auto" w:fill="FFFFFF"/>
              <w:spacing w:before="100" w:beforeAutospacing="1" w:after="100" w:afterAutospacing="1" w:line="240" w:lineRule="auto"/>
              <w:rPr>
                <w:rFonts w:ascii="Arial Narrow" w:hAnsi="Arial Narrow"/>
                <w:sz w:val="18"/>
                <w:szCs w:val="18"/>
                <w:lang w:val="en" w:eastAsia="en-AU"/>
              </w:rPr>
            </w:pPr>
            <w:hyperlink r:id="rId985" w:tgtFrame="_blank" w:history="1">
              <w:r w:rsidR="00A56EE9" w:rsidRPr="00E70A11">
                <w:rPr>
                  <w:rFonts w:ascii="Arial Narrow" w:hAnsi="Arial Narrow"/>
                  <w:sz w:val="18"/>
                  <w:szCs w:val="18"/>
                  <w:lang w:val="en" w:eastAsia="en-AU"/>
                </w:rPr>
                <w:t>Lady Elliot Island Lightstation Heritage Register</w:t>
              </w:r>
            </w:hyperlink>
          </w:p>
          <w:p w14:paraId="5761F61E" w14:textId="77777777" w:rsidR="00A56EE9" w:rsidRPr="00E70A11" w:rsidRDefault="008B5998" w:rsidP="00A11869">
            <w:pPr>
              <w:numPr>
                <w:ilvl w:val="0"/>
                <w:numId w:val="24"/>
              </w:numPr>
              <w:shd w:val="clear" w:color="auto" w:fill="FFFFFF"/>
              <w:spacing w:before="100" w:beforeAutospacing="1" w:after="0" w:line="240" w:lineRule="auto"/>
              <w:rPr>
                <w:rFonts w:ascii="Arial Narrow" w:eastAsia="Calibri" w:hAnsi="Arial Narrow"/>
                <w:sz w:val="18"/>
                <w:szCs w:val="18"/>
              </w:rPr>
            </w:pPr>
            <w:hyperlink r:id="rId986" w:tgtFrame="_blank" w:history="1">
              <w:r w:rsidR="00A56EE9" w:rsidRPr="00E70A11">
                <w:rPr>
                  <w:rFonts w:ascii="Arial Narrow" w:hAnsi="Arial Narrow"/>
                  <w:sz w:val="18"/>
                  <w:szCs w:val="18"/>
                  <w:lang w:val="en" w:eastAsia="en-AU"/>
                </w:rPr>
                <w:t>Low Island and Low Islets Lightstation Heritage Register</w:t>
              </w:r>
            </w:hyperlink>
          </w:p>
        </w:tc>
        <w:tc>
          <w:tcPr>
            <w:tcW w:w="912" w:type="dxa"/>
            <w:tcBorders>
              <w:top w:val="single" w:sz="4" w:space="0" w:color="auto"/>
              <w:left w:val="single" w:sz="4" w:space="0" w:color="auto"/>
              <w:bottom w:val="single" w:sz="4" w:space="0" w:color="auto"/>
              <w:right w:val="single" w:sz="4" w:space="0" w:color="auto"/>
            </w:tcBorders>
          </w:tcPr>
          <w:p w14:paraId="5761F61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2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28"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E7E6E6"/>
          </w:tcPr>
          <w:p w14:paraId="5761F62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INPUTS</w:t>
            </w:r>
          </w:p>
        </w:tc>
        <w:tc>
          <w:tcPr>
            <w:tcW w:w="709" w:type="dxa"/>
            <w:tcBorders>
              <w:top w:val="single" w:sz="4" w:space="0" w:color="auto"/>
              <w:left w:val="single" w:sz="4" w:space="0" w:color="auto"/>
              <w:bottom w:val="single" w:sz="4" w:space="0" w:color="auto"/>
              <w:right w:val="single" w:sz="4" w:space="0" w:color="auto"/>
            </w:tcBorders>
            <w:shd w:val="clear" w:color="auto" w:fill="E7E6E6"/>
          </w:tcPr>
          <w:p w14:paraId="5761F623" w14:textId="77777777" w:rsidR="00A56EE9" w:rsidRPr="00E70A11" w:rsidRDefault="00A56EE9" w:rsidP="00BB6AD5">
            <w:pPr>
              <w:rPr>
                <w:rFonts w:ascii="Arial Narrow" w:hAnsi="Arial Narrow"/>
                <w:sz w:val="18"/>
                <w:szCs w:val="18"/>
              </w:rPr>
            </w:pPr>
          </w:p>
        </w:tc>
        <w:tc>
          <w:tcPr>
            <w:tcW w:w="5103" w:type="dxa"/>
            <w:tcBorders>
              <w:top w:val="single" w:sz="4" w:space="0" w:color="auto"/>
              <w:left w:val="single" w:sz="4" w:space="0" w:color="auto"/>
              <w:bottom w:val="single" w:sz="4" w:space="0" w:color="auto"/>
              <w:right w:val="single" w:sz="4" w:space="0" w:color="auto"/>
            </w:tcBorders>
            <w:shd w:val="clear" w:color="auto" w:fill="E7E6E6"/>
          </w:tcPr>
          <w:p w14:paraId="5761F624" w14:textId="77777777" w:rsidR="00A56EE9" w:rsidRPr="00E70A11" w:rsidRDefault="00A56EE9" w:rsidP="00BB6AD5">
            <w:pPr>
              <w:ind w:left="360"/>
              <w:contextualSpacing/>
              <w:rPr>
                <w:rFonts w:ascii="Arial Narrow" w:eastAsia="Calibri" w:hAnsi="Arial Narrow"/>
                <w:sz w:val="18"/>
                <w:szCs w:val="18"/>
              </w:rPr>
            </w:pPr>
          </w:p>
        </w:tc>
        <w:tc>
          <w:tcPr>
            <w:tcW w:w="3907" w:type="dxa"/>
            <w:tcBorders>
              <w:top w:val="single" w:sz="4" w:space="0" w:color="auto"/>
              <w:left w:val="single" w:sz="4" w:space="0" w:color="auto"/>
              <w:bottom w:val="single" w:sz="4" w:space="0" w:color="auto"/>
              <w:right w:val="single" w:sz="4" w:space="0" w:color="auto"/>
            </w:tcBorders>
            <w:shd w:val="clear" w:color="auto" w:fill="E7E6E6"/>
          </w:tcPr>
          <w:p w14:paraId="5761F625" w14:textId="77777777" w:rsidR="00A56EE9" w:rsidRPr="00E70A11" w:rsidRDefault="00A56EE9" w:rsidP="00BB6AD5">
            <w:pPr>
              <w:ind w:left="360"/>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7E6E6"/>
          </w:tcPr>
          <w:p w14:paraId="5761F626" w14:textId="77777777" w:rsidR="00A56EE9" w:rsidRPr="00E70A11" w:rsidRDefault="00A56EE9" w:rsidP="00BB6AD5">
            <w:pPr>
              <w:rPr>
                <w:rFonts w:ascii="Arial Narrow"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7E6E6"/>
          </w:tcPr>
          <w:p w14:paraId="5761F627" w14:textId="77777777" w:rsidR="00A56EE9" w:rsidRPr="00E70A11" w:rsidRDefault="00A56EE9" w:rsidP="00BB6AD5">
            <w:pPr>
              <w:rPr>
                <w:rFonts w:ascii="Arial Narrow" w:hAnsi="Arial Narrow"/>
                <w:sz w:val="18"/>
                <w:szCs w:val="18"/>
              </w:rPr>
            </w:pPr>
          </w:p>
        </w:tc>
      </w:tr>
      <w:tr w:rsidR="00A56EE9" w:rsidRPr="00E70A11" w14:paraId="5761F632"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2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IN1</w:t>
            </w:r>
            <w:r>
              <w:rPr>
                <w:rFonts w:ascii="Arial Narrow" w:hAnsi="Arial Narrow"/>
                <w:sz w:val="18"/>
                <w:szCs w:val="18"/>
              </w:rPr>
              <w:t xml:space="preserve"> </w:t>
            </w:r>
            <w:r w:rsidRPr="00E70A11">
              <w:rPr>
                <w:rFonts w:ascii="Arial Narrow" w:hAnsi="Arial Narrow"/>
                <w:sz w:val="18"/>
                <w:szCs w:val="18"/>
              </w:rPr>
              <w:t xml:space="preserve">Financial resources are adequate and prioritised to meet management objectives to address historic heritage </w:t>
            </w:r>
          </w:p>
        </w:tc>
        <w:tc>
          <w:tcPr>
            <w:tcW w:w="709" w:type="dxa"/>
            <w:tcBorders>
              <w:top w:val="single" w:sz="4" w:space="0" w:color="auto"/>
              <w:left w:val="single" w:sz="4" w:space="0" w:color="auto"/>
              <w:bottom w:val="single" w:sz="4" w:space="0" w:color="auto"/>
              <w:right w:val="single" w:sz="4" w:space="0" w:color="auto"/>
            </w:tcBorders>
          </w:tcPr>
          <w:p w14:paraId="5761F62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tcPr>
          <w:p w14:paraId="5761F62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Historic heritage places and objects could consume as many financial resources as were available, and it will always be the case that some sites are left to natural deterioration. In comparison to many other areas, especially in Queensland, resources are quite good.</w:t>
            </w:r>
          </w:p>
          <w:p w14:paraId="5761F62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Maintenance and long-term costs of listed places are within GBRMPA allocation and also assisted through lease agreements.</w:t>
            </w:r>
          </w:p>
          <w:p w14:paraId="5761F62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However, many other sites of high historic interest have no allocated funding. No management effort is being put into field work such as searching for new sites, assessment of known or new sites, monitoring, or conservation of most non-listed sites.</w:t>
            </w:r>
          </w:p>
          <w:p w14:paraId="5761F62E" w14:textId="77777777" w:rsidR="00A56EE9" w:rsidRPr="00E70A11" w:rsidRDefault="00A56EE9" w:rsidP="00A11869">
            <w:pPr>
              <w:pStyle w:val="ListParagraph"/>
              <w:numPr>
                <w:ilvl w:val="0"/>
                <w:numId w:val="24"/>
              </w:numPr>
              <w:spacing w:after="0"/>
              <w:rPr>
                <w:rFonts w:ascii="Arial Narrow" w:eastAsia="Calibri" w:hAnsi="Arial Narrow"/>
                <w:sz w:val="18"/>
                <w:szCs w:val="18"/>
              </w:rPr>
            </w:pPr>
            <w:r w:rsidRPr="00E70A11">
              <w:rPr>
                <w:rFonts w:ascii="Arial Narrow" w:eastAsia="Calibri" w:hAnsi="Arial Narrow"/>
                <w:sz w:val="18"/>
                <w:szCs w:val="18"/>
              </w:rPr>
              <w:t>As a result of the 2017 agency-wide operational review, historic heritage resources were refocussed onto other priority projects. Resources allocated to management objectives for historic heritage values within the Region are shared across the Policy and Planning section in GBRMPA and DES (Qld).</w:t>
            </w:r>
          </w:p>
        </w:tc>
        <w:tc>
          <w:tcPr>
            <w:tcW w:w="3907" w:type="dxa"/>
            <w:tcBorders>
              <w:top w:val="single" w:sz="4" w:space="0" w:color="auto"/>
              <w:left w:val="single" w:sz="4" w:space="0" w:color="auto"/>
              <w:bottom w:val="single" w:sz="4" w:space="0" w:color="auto"/>
              <w:right w:val="single" w:sz="4" w:space="0" w:color="auto"/>
            </w:tcBorders>
          </w:tcPr>
          <w:p w14:paraId="5761F62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discussions</w:t>
            </w:r>
          </w:p>
        </w:tc>
        <w:tc>
          <w:tcPr>
            <w:tcW w:w="912" w:type="dxa"/>
            <w:tcBorders>
              <w:top w:val="single" w:sz="4" w:space="0" w:color="auto"/>
              <w:left w:val="single" w:sz="4" w:space="0" w:color="auto"/>
              <w:bottom w:val="single" w:sz="4" w:space="0" w:color="auto"/>
              <w:right w:val="single" w:sz="4" w:space="0" w:color="auto"/>
            </w:tcBorders>
          </w:tcPr>
          <w:p w14:paraId="5761F63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3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3B"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3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IN2</w:t>
            </w:r>
            <w:r>
              <w:rPr>
                <w:rFonts w:ascii="Arial Narrow" w:hAnsi="Arial Narrow"/>
                <w:sz w:val="18"/>
                <w:szCs w:val="18"/>
              </w:rPr>
              <w:t xml:space="preserve"> </w:t>
            </w:r>
            <w:r w:rsidRPr="00E70A11">
              <w:rPr>
                <w:rFonts w:ascii="Arial Narrow" w:hAnsi="Arial Narrow"/>
                <w:sz w:val="18"/>
                <w:szCs w:val="18"/>
              </w:rPr>
              <w:t xml:space="preserve">Human resources within the managing organisations are adequate to meet specific management objectives to address historic heritage </w:t>
            </w:r>
          </w:p>
        </w:tc>
        <w:tc>
          <w:tcPr>
            <w:tcW w:w="709" w:type="dxa"/>
            <w:tcBorders>
              <w:top w:val="single" w:sz="4" w:space="0" w:color="auto"/>
              <w:left w:val="single" w:sz="4" w:space="0" w:color="auto"/>
              <w:bottom w:val="single" w:sz="4" w:space="0" w:color="auto"/>
              <w:right w:val="single" w:sz="4" w:space="0" w:color="auto"/>
            </w:tcBorders>
          </w:tcPr>
          <w:p w14:paraId="5761F63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tcPr>
          <w:p w14:paraId="5761F63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Field staff through the Field Management Program are responsible for management on the islands and water, including compliance and in some cases specific restoration works.</w:t>
            </w:r>
          </w:p>
          <w:p w14:paraId="5761F63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Within the FMP, a Project Manager has the responsibility to protect the Commonwealth Heritage listed lightstations. This position works closely with staff from the Queensland Parks and Wildlife Service as well as the Australian Maritime Safety Authority.</w:t>
            </w:r>
          </w:p>
          <w:p w14:paraId="5761F63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Expert advice is available on heritage matters through the Conservation, Heritage and Indigenous Reef Advisory Committees.</w:t>
            </w:r>
          </w:p>
        </w:tc>
        <w:tc>
          <w:tcPr>
            <w:tcW w:w="3907" w:type="dxa"/>
            <w:tcBorders>
              <w:top w:val="single" w:sz="4" w:space="0" w:color="auto"/>
              <w:left w:val="single" w:sz="4" w:space="0" w:color="auto"/>
              <w:bottom w:val="single" w:sz="4" w:space="0" w:color="auto"/>
              <w:right w:val="single" w:sz="4" w:space="0" w:color="auto"/>
            </w:tcBorders>
          </w:tcPr>
          <w:p w14:paraId="5761F63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discussions</w:t>
            </w:r>
          </w:p>
        </w:tc>
        <w:tc>
          <w:tcPr>
            <w:tcW w:w="912" w:type="dxa"/>
            <w:tcBorders>
              <w:top w:val="single" w:sz="4" w:space="0" w:color="auto"/>
              <w:left w:val="single" w:sz="4" w:space="0" w:color="auto"/>
              <w:bottom w:val="single" w:sz="4" w:space="0" w:color="auto"/>
              <w:right w:val="single" w:sz="4" w:space="0" w:color="auto"/>
            </w:tcBorders>
          </w:tcPr>
          <w:p w14:paraId="5761F63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3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642"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3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IN3</w:t>
            </w:r>
            <w:r>
              <w:rPr>
                <w:rFonts w:ascii="Arial Narrow" w:hAnsi="Arial Narrow"/>
                <w:sz w:val="18"/>
                <w:szCs w:val="18"/>
              </w:rPr>
              <w:t xml:space="preserve"> </w:t>
            </w:r>
            <w:r w:rsidRPr="00E70A11">
              <w:rPr>
                <w:rFonts w:ascii="Arial Narrow" w:hAnsi="Arial Narrow"/>
                <w:sz w:val="18"/>
                <w:szCs w:val="18"/>
              </w:rPr>
              <w:t>The right skill sets and expertise are currently available to the managing organisations to address historic heritage</w:t>
            </w:r>
          </w:p>
        </w:tc>
        <w:tc>
          <w:tcPr>
            <w:tcW w:w="709" w:type="dxa"/>
            <w:tcBorders>
              <w:top w:val="single" w:sz="4" w:space="0" w:color="auto"/>
              <w:left w:val="single" w:sz="4" w:space="0" w:color="auto"/>
              <w:bottom w:val="single" w:sz="4" w:space="0" w:color="auto"/>
              <w:right w:val="single" w:sz="4" w:space="0" w:color="auto"/>
            </w:tcBorders>
          </w:tcPr>
          <w:p w14:paraId="5761F63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63E" w14:textId="77777777" w:rsidR="00A56EE9" w:rsidRPr="00E70A11" w:rsidRDefault="00A56EE9" w:rsidP="00A11869">
            <w:pPr>
              <w:pStyle w:val="ListParagraph"/>
              <w:numPr>
                <w:ilvl w:val="0"/>
                <w:numId w:val="24"/>
              </w:numPr>
              <w:spacing w:after="0"/>
              <w:rPr>
                <w:rFonts w:ascii="Arial Narrow" w:eastAsia="Calibri" w:hAnsi="Arial Narrow"/>
                <w:sz w:val="18"/>
                <w:szCs w:val="18"/>
              </w:rPr>
            </w:pPr>
            <w:r w:rsidRPr="00E70A11">
              <w:rPr>
                <w:rFonts w:ascii="Arial Narrow" w:eastAsia="Calibri" w:hAnsi="Arial Narrow"/>
                <w:sz w:val="18"/>
                <w:szCs w:val="18"/>
              </w:rPr>
              <w:t xml:space="preserve">GBRMPA and State Government staff have been provided with specialist training in underwater cultural heritage – which was delivered in collaboration by Queensland Government and GBRMPA. </w:t>
            </w: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63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discussions</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4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4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64A"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4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IN4</w:t>
            </w:r>
            <w:r>
              <w:rPr>
                <w:rFonts w:ascii="Arial Narrow" w:hAnsi="Arial Narrow"/>
                <w:sz w:val="18"/>
                <w:szCs w:val="18"/>
              </w:rPr>
              <w:t xml:space="preserve"> </w:t>
            </w:r>
            <w:r w:rsidRPr="00E70A11">
              <w:rPr>
                <w:rFonts w:ascii="Arial Narrow" w:hAnsi="Arial Narrow"/>
                <w:sz w:val="18"/>
                <w:szCs w:val="18"/>
              </w:rPr>
              <w:t>The necessary biophysical information is currently available to address historic heritage</w:t>
            </w:r>
          </w:p>
        </w:tc>
        <w:tc>
          <w:tcPr>
            <w:tcW w:w="709" w:type="dxa"/>
            <w:tcBorders>
              <w:top w:val="single" w:sz="4" w:space="0" w:color="auto"/>
              <w:left w:val="single" w:sz="4" w:space="0" w:color="auto"/>
              <w:bottom w:val="single" w:sz="4" w:space="0" w:color="auto"/>
              <w:right w:val="single" w:sz="4" w:space="0" w:color="auto"/>
            </w:tcBorders>
          </w:tcPr>
          <w:p w14:paraId="5761F64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64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Information on physical location and values of many historic heritage sites are not well documented, except for listed sites and those of particular public interest.</w:t>
            </w:r>
          </w:p>
          <w:p w14:paraId="5761F64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Use of drones to identify maritime historic heritage including wreck holds great promise.</w:t>
            </w:r>
          </w:p>
        </w:tc>
        <w:tc>
          <w:tcPr>
            <w:tcW w:w="3907" w:type="dxa"/>
            <w:tcBorders>
              <w:top w:val="single" w:sz="4" w:space="0" w:color="auto"/>
              <w:left w:val="single" w:sz="4" w:space="0" w:color="auto"/>
              <w:bottom w:val="single" w:sz="4" w:space="0" w:color="auto"/>
              <w:right w:val="single" w:sz="4" w:space="0" w:color="auto"/>
            </w:tcBorders>
          </w:tcPr>
          <w:p w14:paraId="5761F64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Stakeholders and workshops</w:t>
            </w:r>
          </w:p>
        </w:tc>
        <w:tc>
          <w:tcPr>
            <w:tcW w:w="912" w:type="dxa"/>
            <w:tcBorders>
              <w:top w:val="single" w:sz="4" w:space="0" w:color="auto"/>
              <w:left w:val="single" w:sz="4" w:space="0" w:color="auto"/>
              <w:bottom w:val="single" w:sz="4" w:space="0" w:color="auto"/>
              <w:right w:val="single" w:sz="4" w:space="0" w:color="auto"/>
            </w:tcBorders>
          </w:tcPr>
          <w:p w14:paraId="5761F64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4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52"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4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IN5</w:t>
            </w:r>
            <w:r>
              <w:rPr>
                <w:rFonts w:ascii="Arial Narrow" w:hAnsi="Arial Narrow"/>
                <w:sz w:val="18"/>
                <w:szCs w:val="18"/>
              </w:rPr>
              <w:t xml:space="preserve"> </w:t>
            </w:r>
            <w:r w:rsidRPr="00E70A11">
              <w:rPr>
                <w:rFonts w:ascii="Arial Narrow" w:hAnsi="Arial Narrow"/>
                <w:sz w:val="18"/>
                <w:szCs w:val="18"/>
              </w:rPr>
              <w:t>The necessary socio-economic information is currently available to address historic heritage</w:t>
            </w:r>
          </w:p>
        </w:tc>
        <w:tc>
          <w:tcPr>
            <w:tcW w:w="709" w:type="dxa"/>
            <w:tcBorders>
              <w:top w:val="single" w:sz="4" w:space="0" w:color="auto"/>
              <w:left w:val="single" w:sz="4" w:space="0" w:color="auto"/>
              <w:bottom w:val="single" w:sz="4" w:space="0" w:color="auto"/>
              <w:right w:val="single" w:sz="4" w:space="0" w:color="auto"/>
            </w:tcBorders>
          </w:tcPr>
          <w:p w14:paraId="5761F64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tcPr>
          <w:p w14:paraId="5761F64D" w14:textId="77777777" w:rsidR="00A56EE9" w:rsidRPr="00E70A11" w:rsidRDefault="00A56EE9" w:rsidP="00A11869">
            <w:pPr>
              <w:pStyle w:val="ListParagraph"/>
              <w:numPr>
                <w:ilvl w:val="0"/>
                <w:numId w:val="24"/>
              </w:numPr>
              <w:rPr>
                <w:rFonts w:ascii="Arial Narrow" w:eastAsia="Calibri" w:hAnsi="Arial Narrow"/>
                <w:sz w:val="18"/>
                <w:szCs w:val="18"/>
              </w:rPr>
            </w:pPr>
            <w:r w:rsidRPr="00E70A11">
              <w:rPr>
                <w:rFonts w:ascii="Arial Narrow" w:eastAsia="Calibri" w:hAnsi="Arial Narrow"/>
                <w:sz w:val="18"/>
                <w:szCs w:val="18"/>
              </w:rPr>
              <w:t xml:space="preserve">SELTMP is assisting Reef managers and other decision-makers within the Great Barrier Reef region to incorporate the human dimension into their planning and management. SELTMP is not specific to historic heritage values, but rather considers the broader human interaction with the Reef. </w:t>
            </w:r>
          </w:p>
          <w:p w14:paraId="5761F64E" w14:textId="77777777" w:rsidR="00A56EE9" w:rsidRPr="00E70A11" w:rsidRDefault="00A56EE9" w:rsidP="00A11869">
            <w:pPr>
              <w:pStyle w:val="ListParagraph"/>
              <w:numPr>
                <w:ilvl w:val="0"/>
                <w:numId w:val="24"/>
              </w:numPr>
              <w:rPr>
                <w:rFonts w:ascii="Arial Narrow" w:eastAsia="Calibri" w:hAnsi="Arial Narrow"/>
                <w:sz w:val="18"/>
                <w:szCs w:val="18"/>
              </w:rPr>
            </w:pPr>
            <w:r w:rsidRPr="00E70A11">
              <w:rPr>
                <w:rFonts w:ascii="Arial Narrow" w:eastAsia="Calibri" w:hAnsi="Arial Narrow"/>
                <w:sz w:val="18"/>
                <w:szCs w:val="18"/>
              </w:rPr>
              <w:t>However, useful information is not yet available in relation to historic heritage.</w:t>
            </w:r>
          </w:p>
        </w:tc>
        <w:tc>
          <w:tcPr>
            <w:tcW w:w="3907" w:type="dxa"/>
            <w:tcBorders>
              <w:top w:val="single" w:sz="4" w:space="0" w:color="auto"/>
              <w:left w:val="single" w:sz="4" w:space="0" w:color="auto"/>
              <w:bottom w:val="single" w:sz="4" w:space="0" w:color="auto"/>
              <w:right w:val="single" w:sz="4" w:space="0" w:color="auto"/>
            </w:tcBorders>
          </w:tcPr>
          <w:p w14:paraId="5761F64F" w14:textId="77777777" w:rsidR="00A56EE9" w:rsidRPr="00E70A11" w:rsidRDefault="00A56EE9" w:rsidP="00A11869">
            <w:pPr>
              <w:pStyle w:val="ListParagraph"/>
              <w:numPr>
                <w:ilvl w:val="0"/>
                <w:numId w:val="24"/>
              </w:numPr>
              <w:spacing w:after="0" w:line="276" w:lineRule="auto"/>
              <w:rPr>
                <w:rFonts w:ascii="Arial Narrow" w:eastAsia="Calibri" w:hAnsi="Arial Narrow"/>
                <w:sz w:val="18"/>
                <w:szCs w:val="18"/>
              </w:rPr>
            </w:pPr>
            <w:r>
              <w:rPr>
                <w:rFonts w:ascii="Arial Narrow" w:eastAsia="Calibri" w:hAnsi="Arial Narrow"/>
                <w:sz w:val="18"/>
                <w:szCs w:val="18"/>
              </w:rPr>
              <w:t>Department of the Environment.</w:t>
            </w:r>
            <w:r w:rsidRPr="00E70A11">
              <w:rPr>
                <w:rFonts w:ascii="Arial Narrow" w:eastAsia="Calibri" w:hAnsi="Arial Narrow"/>
                <w:sz w:val="18"/>
                <w:szCs w:val="18"/>
              </w:rPr>
              <w:t xml:space="preserve"> 2014, </w:t>
            </w:r>
            <w:hyperlink r:id="rId987" w:history="1">
              <w:proofErr w:type="gramStart"/>
              <w:r w:rsidRPr="00E70A11">
                <w:rPr>
                  <w:rFonts w:ascii="Arial Narrow" w:eastAsia="Calibri" w:hAnsi="Arial Narrow"/>
                  <w:sz w:val="18"/>
                  <w:szCs w:val="18"/>
                </w:rPr>
                <w:t>The</w:t>
              </w:r>
              <w:proofErr w:type="gramEnd"/>
              <w:r w:rsidRPr="00E70A11">
                <w:rPr>
                  <w:rFonts w:ascii="Arial Narrow" w:eastAsia="Calibri" w:hAnsi="Arial Narrow"/>
                  <w:sz w:val="18"/>
                  <w:szCs w:val="18"/>
                </w:rPr>
                <w:t xml:space="preserve"> Social and Economic Long Term Monitoring Program for the Great Barrier Reef (SELTMP) 2014</w:t>
              </w:r>
            </w:hyperlink>
            <w:r w:rsidRPr="00E70A11">
              <w:rPr>
                <w:rFonts w:ascii="Arial Narrow" w:eastAsia="Calibri" w:hAnsi="Arial Narrow"/>
                <w:sz w:val="18"/>
                <w:szCs w:val="18"/>
              </w:rPr>
              <w:t>, Marshall. N.A., Bohensky. E., Curnock. M., Goldberg. J., Gooch. M., Nicotra. B., Pert. P.L., Scherl. L., Stone-Jovicich. S., and Tobin. R.C., Townsville</w:t>
            </w:r>
          </w:p>
        </w:tc>
        <w:tc>
          <w:tcPr>
            <w:tcW w:w="912" w:type="dxa"/>
            <w:tcBorders>
              <w:top w:val="single" w:sz="4" w:space="0" w:color="auto"/>
              <w:left w:val="single" w:sz="4" w:space="0" w:color="auto"/>
              <w:bottom w:val="single" w:sz="4" w:space="0" w:color="auto"/>
              <w:right w:val="single" w:sz="4" w:space="0" w:color="auto"/>
            </w:tcBorders>
          </w:tcPr>
          <w:p w14:paraId="5761F65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5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65A"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5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IN6</w:t>
            </w:r>
            <w:r>
              <w:rPr>
                <w:rFonts w:ascii="Arial Narrow" w:hAnsi="Arial Narrow"/>
                <w:sz w:val="18"/>
                <w:szCs w:val="18"/>
              </w:rPr>
              <w:t xml:space="preserve"> </w:t>
            </w:r>
            <w:r w:rsidRPr="00E70A11">
              <w:rPr>
                <w:rFonts w:ascii="Arial Narrow" w:hAnsi="Arial Narrow"/>
                <w:sz w:val="18"/>
                <w:szCs w:val="18"/>
              </w:rPr>
              <w:t>The necessary Indigenous heritage information is currently available to address historic heritage</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761F65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tcPr>
          <w:p w14:paraId="5761F65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For listed places and some other priority maritime sites, good information supports management</w:t>
            </w:r>
          </w:p>
          <w:p w14:paraId="5761F65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Knowledge and documentation of contact history and the roles of Indigenous people in the history of the region is limited. Older people with knowledge and oral history (for example of early conflicts) are passing away, but knowledge of some events is more openly discussed and documented than in the past.</w:t>
            </w:r>
          </w:p>
        </w:tc>
        <w:tc>
          <w:tcPr>
            <w:tcW w:w="3907" w:type="dxa"/>
            <w:tcBorders>
              <w:top w:val="single" w:sz="4" w:space="0" w:color="auto"/>
              <w:left w:val="single" w:sz="4" w:space="0" w:color="auto"/>
              <w:bottom w:val="single" w:sz="4" w:space="0" w:color="auto"/>
              <w:right w:val="single" w:sz="4" w:space="0" w:color="auto"/>
            </w:tcBorders>
          </w:tcPr>
          <w:p w14:paraId="5761F657" w14:textId="77777777" w:rsidR="00A56EE9" w:rsidRPr="00E70A11" w:rsidRDefault="00A56EE9" w:rsidP="00A11869">
            <w:pPr>
              <w:pStyle w:val="ListParagraph"/>
              <w:numPr>
                <w:ilvl w:val="0"/>
                <w:numId w:val="24"/>
              </w:numPr>
              <w:spacing w:after="200" w:line="276" w:lineRule="auto"/>
              <w:rPr>
                <w:rFonts w:ascii="Arial Narrow" w:eastAsia="Calibri" w:hAnsi="Arial Narrow"/>
                <w:sz w:val="18"/>
                <w:szCs w:val="18"/>
              </w:rPr>
            </w:pPr>
            <w:r w:rsidRPr="00E70A11">
              <w:rPr>
                <w:rFonts w:ascii="Arial Narrow" w:eastAsia="Calibri" w:hAnsi="Arial Narrow"/>
                <w:sz w:val="18"/>
                <w:szCs w:val="18"/>
              </w:rPr>
              <w:t>Workshops</w:t>
            </w:r>
          </w:p>
        </w:tc>
        <w:tc>
          <w:tcPr>
            <w:tcW w:w="912" w:type="dxa"/>
            <w:tcBorders>
              <w:top w:val="single" w:sz="4" w:space="0" w:color="auto"/>
              <w:left w:val="single" w:sz="4" w:space="0" w:color="auto"/>
              <w:bottom w:val="single" w:sz="4" w:space="0" w:color="auto"/>
              <w:right w:val="single" w:sz="4" w:space="0" w:color="auto"/>
            </w:tcBorders>
          </w:tcPr>
          <w:p w14:paraId="5761F65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5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63"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5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IN7</w:t>
            </w:r>
            <w:r>
              <w:rPr>
                <w:rFonts w:ascii="Arial Narrow" w:hAnsi="Arial Narrow"/>
                <w:sz w:val="18"/>
                <w:szCs w:val="18"/>
              </w:rPr>
              <w:t xml:space="preserve"> </w:t>
            </w:r>
            <w:r w:rsidRPr="00E70A11">
              <w:rPr>
                <w:rFonts w:ascii="Arial Narrow" w:hAnsi="Arial Narrow"/>
                <w:sz w:val="18"/>
                <w:szCs w:val="18"/>
              </w:rPr>
              <w:t>The necessary historic heritage information is currently available to address historic heritage</w:t>
            </w:r>
          </w:p>
        </w:tc>
        <w:tc>
          <w:tcPr>
            <w:tcW w:w="709" w:type="dxa"/>
            <w:tcBorders>
              <w:top w:val="single" w:sz="4" w:space="0" w:color="auto"/>
              <w:left w:val="single" w:sz="4" w:space="0" w:color="auto"/>
              <w:bottom w:val="single" w:sz="4" w:space="0" w:color="auto"/>
              <w:right w:val="single" w:sz="4" w:space="0" w:color="auto"/>
            </w:tcBorders>
          </w:tcPr>
          <w:p w14:paraId="5761F65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65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CO1 for more detail.</w:t>
            </w:r>
          </w:p>
          <w:p w14:paraId="5761F65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Historic heritage information about listed places and certain other maritime history is available for managers to apply, while information about non-listed sites and non-tangible heritage is more difficult to obtain. History of conservation and management of the GBR has been compiled through the 40</w:t>
            </w:r>
            <w:r w:rsidRPr="00E70A11">
              <w:rPr>
                <w:rFonts w:ascii="Arial Narrow" w:eastAsia="Calibri" w:hAnsi="Arial Narrow"/>
                <w:sz w:val="18"/>
                <w:szCs w:val="18"/>
                <w:vertAlign w:val="superscript"/>
              </w:rPr>
              <w:t>th</w:t>
            </w:r>
            <w:r w:rsidRPr="00E70A11">
              <w:rPr>
                <w:rFonts w:ascii="Arial Narrow" w:eastAsia="Calibri" w:hAnsi="Arial Narrow"/>
                <w:sz w:val="18"/>
                <w:szCs w:val="18"/>
              </w:rPr>
              <w:t xml:space="preserve"> anniversary of GBRMPA and the 50</w:t>
            </w:r>
            <w:r w:rsidRPr="00E70A11">
              <w:rPr>
                <w:rFonts w:ascii="Arial Narrow" w:eastAsia="Calibri" w:hAnsi="Arial Narrow"/>
                <w:sz w:val="18"/>
                <w:szCs w:val="18"/>
                <w:vertAlign w:val="superscript"/>
              </w:rPr>
              <w:t>th</w:t>
            </w:r>
            <w:r w:rsidRPr="00E70A11">
              <w:rPr>
                <w:rFonts w:ascii="Arial Narrow" w:eastAsia="Calibri" w:hAnsi="Arial Narrow"/>
                <w:sz w:val="18"/>
                <w:szCs w:val="18"/>
              </w:rPr>
              <w:t xml:space="preserve"> anniversary of the struggle for protection. </w:t>
            </w:r>
          </w:p>
        </w:tc>
        <w:tc>
          <w:tcPr>
            <w:tcW w:w="3907" w:type="dxa"/>
            <w:tcBorders>
              <w:top w:val="single" w:sz="4" w:space="0" w:color="auto"/>
              <w:left w:val="single" w:sz="4" w:space="0" w:color="auto"/>
              <w:bottom w:val="single" w:sz="4" w:space="0" w:color="auto"/>
              <w:right w:val="single" w:sz="4" w:space="0" w:color="auto"/>
            </w:tcBorders>
          </w:tcPr>
          <w:p w14:paraId="5761F65F" w14:textId="77777777" w:rsidR="00A56EE9" w:rsidRPr="00E70A11" w:rsidRDefault="008B5998" w:rsidP="00A11869">
            <w:pPr>
              <w:pStyle w:val="ListParagraph"/>
              <w:numPr>
                <w:ilvl w:val="0"/>
                <w:numId w:val="24"/>
              </w:numPr>
              <w:spacing w:after="0" w:line="240" w:lineRule="auto"/>
              <w:rPr>
                <w:rFonts w:ascii="Arial Narrow" w:hAnsi="Arial Narrow"/>
                <w:color w:val="0000FF"/>
                <w:sz w:val="18"/>
                <w:szCs w:val="18"/>
                <w:u w:val="single"/>
              </w:rPr>
            </w:pPr>
            <w:hyperlink r:id="rId988" w:history="1">
              <w:r w:rsidR="00A56EE9" w:rsidRPr="00E70A11">
                <w:rPr>
                  <w:rStyle w:val="Hyperlink"/>
                  <w:rFonts w:ascii="Arial Narrow" w:hAnsi="Arial Narrow"/>
                  <w:sz w:val="18"/>
                  <w:szCs w:val="18"/>
                </w:rPr>
                <w:t>Commonwealth Heritage Listed Places and Properties Heritage Strategy 2018-2021</w:t>
              </w:r>
            </w:hyperlink>
            <w:r w:rsidR="00A56EE9" w:rsidRPr="00E70A11">
              <w:rPr>
                <w:rFonts w:ascii="Arial Narrow" w:hAnsi="Arial Narrow"/>
                <w:sz w:val="18"/>
                <w:szCs w:val="18"/>
              </w:rPr>
              <w:t xml:space="preserve"> </w:t>
            </w:r>
          </w:p>
          <w:p w14:paraId="5761F660" w14:textId="77777777" w:rsidR="00A56EE9" w:rsidRPr="00E70A11" w:rsidRDefault="00A56EE9" w:rsidP="00A11869">
            <w:pPr>
              <w:numPr>
                <w:ilvl w:val="0"/>
                <w:numId w:val="24"/>
              </w:numPr>
              <w:shd w:val="clear" w:color="auto" w:fill="FFFFFF" w:themeFill="background1"/>
              <w:spacing w:after="0" w:line="240" w:lineRule="auto"/>
              <w:contextualSpacing/>
              <w:rPr>
                <w:rFonts w:ascii="Arial Narrow" w:eastAsia="Calibri" w:hAnsi="Arial Narrow"/>
                <w:sz w:val="18"/>
                <w:szCs w:val="18"/>
              </w:rPr>
            </w:pPr>
            <w:r w:rsidRPr="00E70A11">
              <w:rPr>
                <w:rStyle w:val="Hyperlink"/>
                <w:rFonts w:ascii="Arial Narrow" w:hAnsi="Arial Narrow"/>
                <w:sz w:val="18"/>
                <w:szCs w:val="18"/>
              </w:rPr>
              <w:t>http://www.abc.net.au/news/2017-10-15/great-barrier-reef-50-years-on-campaigners-return-ellison-reef/9050106</w:t>
            </w:r>
          </w:p>
        </w:tc>
        <w:tc>
          <w:tcPr>
            <w:tcW w:w="912" w:type="dxa"/>
            <w:tcBorders>
              <w:top w:val="single" w:sz="4" w:space="0" w:color="auto"/>
              <w:left w:val="single" w:sz="4" w:space="0" w:color="auto"/>
              <w:bottom w:val="single" w:sz="4" w:space="0" w:color="auto"/>
              <w:right w:val="single" w:sz="4" w:space="0" w:color="auto"/>
            </w:tcBorders>
          </w:tcPr>
          <w:p w14:paraId="5761F66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6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73"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5761F66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IN8</w:t>
            </w:r>
            <w:r>
              <w:rPr>
                <w:rFonts w:ascii="Arial Narrow" w:hAnsi="Arial Narrow"/>
                <w:sz w:val="18"/>
                <w:szCs w:val="18"/>
              </w:rPr>
              <w:t xml:space="preserve"> </w:t>
            </w:r>
            <w:r w:rsidRPr="00E70A11">
              <w:rPr>
                <w:rFonts w:ascii="Arial Narrow" w:hAnsi="Arial Narrow"/>
                <w:sz w:val="18"/>
                <w:szCs w:val="18"/>
              </w:rPr>
              <w:t>There are additional sources of non-government input (e.g. volunteers) contributing to address historic heritage</w:t>
            </w:r>
          </w:p>
        </w:tc>
        <w:tc>
          <w:tcPr>
            <w:tcW w:w="709" w:type="dxa"/>
            <w:tcBorders>
              <w:top w:val="single" w:sz="4" w:space="0" w:color="auto"/>
              <w:left w:val="single" w:sz="4" w:space="0" w:color="auto"/>
              <w:bottom w:val="single" w:sz="4" w:space="0" w:color="auto"/>
              <w:right w:val="single" w:sz="4" w:space="0" w:color="auto"/>
            </w:tcBorders>
          </w:tcPr>
          <w:p w14:paraId="5761F66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tcPr>
          <w:p w14:paraId="5761F66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Leaseholders on Commonwealth islands play an important role in maintenance of light stations.</w:t>
            </w:r>
          </w:p>
          <w:p w14:paraId="5761F66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SELTMP project has harnessed external expertise to </w:t>
            </w:r>
            <w:proofErr w:type="gramStart"/>
            <w:r w:rsidRPr="00E70A11">
              <w:rPr>
                <w:rFonts w:ascii="Arial Narrow" w:eastAsia="Calibri" w:hAnsi="Arial Narrow"/>
                <w:sz w:val="18"/>
                <w:szCs w:val="18"/>
              </w:rPr>
              <w:t>advise</w:t>
            </w:r>
            <w:proofErr w:type="gramEnd"/>
            <w:r w:rsidRPr="00E70A11">
              <w:rPr>
                <w:rFonts w:ascii="Arial Narrow" w:eastAsia="Calibri" w:hAnsi="Arial Narrow"/>
                <w:sz w:val="18"/>
                <w:szCs w:val="18"/>
              </w:rPr>
              <w:t xml:space="preserve"> on the human dimensions of reef management.</w:t>
            </w:r>
          </w:p>
          <w:p w14:paraId="5761F66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citizen ‘Eye on the Reef’ monitoring and assessment program protects heritage values as it enables anyone who visits the GBRMP to collect and submit valuable information about reef health, marine animals and incidents.</w:t>
            </w:r>
          </w:p>
          <w:p w14:paraId="5761F66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Tourist operators also play a key role in promoting heritage values and appropriate behaviour by tourists around heritage sites.</w:t>
            </w:r>
          </w:p>
          <w:p w14:paraId="5761F66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Some of the WWII site information is compiled by volunteers.</w:t>
            </w:r>
          </w:p>
          <w:p w14:paraId="5761F66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Information relating to the struggle to conserve the reef was compiled but volunteers/ non-government organisations as part of the 50</w:t>
            </w:r>
            <w:r w:rsidRPr="00E70A11">
              <w:rPr>
                <w:rFonts w:ascii="Arial Narrow" w:eastAsia="Calibri" w:hAnsi="Arial Narrow"/>
                <w:sz w:val="18"/>
                <w:szCs w:val="18"/>
                <w:vertAlign w:val="superscript"/>
              </w:rPr>
              <w:t>th</w:t>
            </w:r>
            <w:r w:rsidRPr="00E70A11">
              <w:rPr>
                <w:rFonts w:ascii="Arial Narrow" w:eastAsia="Calibri" w:hAnsi="Arial Narrow"/>
                <w:sz w:val="18"/>
                <w:szCs w:val="18"/>
              </w:rPr>
              <w:t xml:space="preserve"> anniversary celebrations</w:t>
            </w:r>
          </w:p>
        </w:tc>
        <w:tc>
          <w:tcPr>
            <w:tcW w:w="3907" w:type="dxa"/>
            <w:tcBorders>
              <w:top w:val="single" w:sz="4" w:space="0" w:color="auto"/>
              <w:left w:val="single" w:sz="4" w:space="0" w:color="auto"/>
              <w:bottom w:val="single" w:sz="4" w:space="0" w:color="auto"/>
              <w:right w:val="single" w:sz="4" w:space="0" w:color="auto"/>
            </w:tcBorders>
          </w:tcPr>
          <w:p w14:paraId="5761F66C" w14:textId="77777777" w:rsidR="00A56EE9" w:rsidRPr="00E70A11" w:rsidRDefault="00A56EE9" w:rsidP="00A11869">
            <w:pPr>
              <w:pStyle w:val="ListParagraph"/>
              <w:numPr>
                <w:ilvl w:val="0"/>
                <w:numId w:val="24"/>
              </w:numPr>
              <w:spacing w:after="0"/>
              <w:rPr>
                <w:rFonts w:ascii="Arial Narrow" w:eastAsia="Calibri" w:hAnsi="Arial Narrow" w:cs="Times New Roman"/>
                <w:sz w:val="18"/>
                <w:szCs w:val="18"/>
              </w:rPr>
            </w:pPr>
            <w:r w:rsidRPr="00E70A11">
              <w:rPr>
                <w:rFonts w:ascii="Arial Narrow" w:eastAsia="Calibri" w:hAnsi="Arial Narrow" w:cs="Times New Roman"/>
                <w:sz w:val="18"/>
                <w:szCs w:val="18"/>
              </w:rPr>
              <w:t xml:space="preserve">Marshall, N.A. Curnock, M., Pert, P.L., Williams, G. (2017) The Social and Economic Long Term Monitoring Program (SELTMP) for the Great Barrier </w:t>
            </w:r>
            <w:proofErr w:type="gramStart"/>
            <w:r w:rsidRPr="00E70A11">
              <w:rPr>
                <w:rFonts w:ascii="Arial Narrow" w:eastAsia="Calibri" w:hAnsi="Arial Narrow" w:cs="Times New Roman"/>
                <w:sz w:val="18"/>
                <w:szCs w:val="18"/>
              </w:rPr>
              <w:t>Reef .</w:t>
            </w:r>
            <w:proofErr w:type="gramEnd"/>
            <w:r w:rsidRPr="00E70A11">
              <w:rPr>
                <w:rFonts w:ascii="Arial Narrow" w:eastAsia="Calibri" w:hAnsi="Arial Narrow" w:cs="Times New Roman"/>
                <w:sz w:val="18"/>
                <w:szCs w:val="18"/>
              </w:rPr>
              <w:t xml:space="preserve"> Final Report. Report to the Great Barrier Reef Marine Park Authority.</w:t>
            </w:r>
            <w:r>
              <w:rPr>
                <w:rFonts w:ascii="Arial Narrow" w:eastAsia="Calibri" w:hAnsi="Arial Narrow" w:cs="Times New Roman"/>
                <w:sz w:val="18"/>
                <w:szCs w:val="18"/>
              </w:rPr>
              <w:t xml:space="preserve"> </w:t>
            </w:r>
            <w:r w:rsidRPr="00E70A11">
              <w:rPr>
                <w:rFonts w:ascii="Arial Narrow" w:eastAsia="Calibri" w:hAnsi="Arial Narrow" w:cs="Times New Roman"/>
                <w:sz w:val="18"/>
                <w:szCs w:val="18"/>
              </w:rPr>
              <w:t>Townsville, Australia (220pp.).</w:t>
            </w:r>
          </w:p>
          <w:p w14:paraId="5761F66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Eye on the Reef’ documentation</w:t>
            </w:r>
          </w:p>
          <w:p w14:paraId="5761F66E" w14:textId="5DD2DBB6" w:rsidR="00A56EE9" w:rsidRPr="00E70A11" w:rsidRDefault="008B5998" w:rsidP="00A11869">
            <w:pPr>
              <w:numPr>
                <w:ilvl w:val="0"/>
                <w:numId w:val="24"/>
              </w:numPr>
              <w:shd w:val="clear" w:color="auto" w:fill="FFFFFF" w:themeFill="background1"/>
              <w:spacing w:after="0" w:line="240" w:lineRule="auto"/>
              <w:contextualSpacing/>
              <w:rPr>
                <w:rStyle w:val="Hyperlink"/>
                <w:rFonts w:ascii="Arial Narrow" w:eastAsia="Calibri" w:hAnsi="Arial Narrow"/>
                <w:sz w:val="18"/>
                <w:szCs w:val="18"/>
              </w:rPr>
            </w:pPr>
            <w:hyperlink r:id="rId989" w:tooltip="document link" w:history="1">
              <w:r w:rsidR="00A56EE9" w:rsidRPr="00E70A11">
                <w:rPr>
                  <w:rStyle w:val="Hyperlink"/>
                  <w:rFonts w:ascii="Arial Narrow" w:eastAsia="Calibri" w:hAnsi="Arial Narrow"/>
                  <w:sz w:val="18"/>
                  <w:szCs w:val="18"/>
                </w:rPr>
                <w:t>https://www.ninneyrise.com/audios-and-photos.html</w:t>
              </w:r>
            </w:hyperlink>
          </w:p>
          <w:p w14:paraId="5761F66F" w14:textId="77777777" w:rsidR="00A56EE9" w:rsidRPr="00E70A11" w:rsidRDefault="00A56EE9" w:rsidP="00A11869">
            <w:pPr>
              <w:numPr>
                <w:ilvl w:val="0"/>
                <w:numId w:val="24"/>
              </w:numPr>
              <w:shd w:val="clear" w:color="auto" w:fill="FFFFFF" w:themeFill="background1"/>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discussions</w:t>
            </w:r>
          </w:p>
          <w:p w14:paraId="5761F670" w14:textId="77777777" w:rsidR="00A56EE9" w:rsidRPr="00E70A11" w:rsidRDefault="00A56EE9" w:rsidP="00BB6AD5">
            <w:pPr>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tcPr>
          <w:p w14:paraId="5761F67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7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7A"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E7E6E6"/>
          </w:tcPr>
          <w:p w14:paraId="5761F67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PROCESSES</w:t>
            </w:r>
          </w:p>
        </w:tc>
        <w:tc>
          <w:tcPr>
            <w:tcW w:w="709" w:type="dxa"/>
            <w:tcBorders>
              <w:top w:val="single" w:sz="4" w:space="0" w:color="auto"/>
              <w:left w:val="single" w:sz="4" w:space="0" w:color="auto"/>
              <w:bottom w:val="single" w:sz="4" w:space="0" w:color="auto"/>
              <w:right w:val="single" w:sz="4" w:space="0" w:color="auto"/>
            </w:tcBorders>
            <w:shd w:val="clear" w:color="auto" w:fill="E7E6E6"/>
          </w:tcPr>
          <w:p w14:paraId="5761F675" w14:textId="77777777" w:rsidR="00A56EE9" w:rsidRPr="00E70A11" w:rsidRDefault="00A56EE9" w:rsidP="00BB6AD5">
            <w:pPr>
              <w:rPr>
                <w:rFonts w:ascii="Arial Narrow" w:hAnsi="Arial Narrow"/>
                <w:sz w:val="18"/>
                <w:szCs w:val="18"/>
              </w:rPr>
            </w:pPr>
          </w:p>
        </w:tc>
        <w:tc>
          <w:tcPr>
            <w:tcW w:w="5103" w:type="dxa"/>
            <w:tcBorders>
              <w:top w:val="single" w:sz="4" w:space="0" w:color="auto"/>
              <w:left w:val="single" w:sz="4" w:space="0" w:color="auto"/>
              <w:bottom w:val="single" w:sz="4" w:space="0" w:color="auto"/>
              <w:right w:val="single" w:sz="4" w:space="0" w:color="auto"/>
            </w:tcBorders>
            <w:shd w:val="clear" w:color="auto" w:fill="E7E6E6"/>
          </w:tcPr>
          <w:p w14:paraId="5761F676" w14:textId="77777777" w:rsidR="00A56EE9" w:rsidRPr="00E70A11" w:rsidRDefault="00A56EE9" w:rsidP="00BB6AD5">
            <w:pPr>
              <w:ind w:left="360"/>
              <w:contextualSpacing/>
              <w:rPr>
                <w:rFonts w:ascii="Arial Narrow" w:eastAsia="Calibri" w:hAnsi="Arial Narrow"/>
                <w:sz w:val="18"/>
                <w:szCs w:val="18"/>
              </w:rPr>
            </w:pPr>
          </w:p>
        </w:tc>
        <w:tc>
          <w:tcPr>
            <w:tcW w:w="3907" w:type="dxa"/>
            <w:tcBorders>
              <w:top w:val="single" w:sz="4" w:space="0" w:color="auto"/>
              <w:left w:val="single" w:sz="4" w:space="0" w:color="auto"/>
              <w:bottom w:val="single" w:sz="4" w:space="0" w:color="auto"/>
              <w:right w:val="single" w:sz="4" w:space="0" w:color="auto"/>
            </w:tcBorders>
            <w:shd w:val="clear" w:color="auto" w:fill="E7E6E6"/>
          </w:tcPr>
          <w:p w14:paraId="5761F677" w14:textId="77777777" w:rsidR="00A56EE9" w:rsidRPr="00E70A11" w:rsidRDefault="00A56EE9" w:rsidP="00BB6AD5">
            <w:pPr>
              <w:ind w:left="360"/>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7E6E6"/>
          </w:tcPr>
          <w:p w14:paraId="5761F678" w14:textId="77777777" w:rsidR="00A56EE9" w:rsidRPr="00E70A11" w:rsidRDefault="00A56EE9" w:rsidP="00BB6AD5">
            <w:pPr>
              <w:rPr>
                <w:rFonts w:ascii="Arial Narrow"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7E6E6"/>
          </w:tcPr>
          <w:p w14:paraId="5761F679" w14:textId="77777777" w:rsidR="00A56EE9" w:rsidRPr="00E70A11" w:rsidRDefault="00A56EE9" w:rsidP="00BB6AD5">
            <w:pPr>
              <w:rPr>
                <w:rFonts w:ascii="Arial Narrow" w:hAnsi="Arial Narrow"/>
                <w:sz w:val="18"/>
                <w:szCs w:val="18"/>
              </w:rPr>
            </w:pPr>
          </w:p>
        </w:tc>
      </w:tr>
      <w:tr w:rsidR="00A56EE9" w:rsidRPr="00E70A11" w14:paraId="5761F683"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7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w:t>
            </w:r>
            <w:r>
              <w:rPr>
                <w:rFonts w:ascii="Arial Narrow" w:hAnsi="Arial Narrow"/>
                <w:sz w:val="18"/>
                <w:szCs w:val="18"/>
              </w:rPr>
              <w:t xml:space="preserve"> </w:t>
            </w:r>
            <w:r w:rsidRPr="00E70A11">
              <w:rPr>
                <w:rFonts w:ascii="Arial Narrow" w:hAnsi="Arial Narrow"/>
                <w:sz w:val="18"/>
                <w:szCs w:val="18"/>
              </w:rPr>
              <w:t>The main stakeholders &amp;/or industry(ies) are effectively engaged in the ongoing management of historic heritage</w:t>
            </w:r>
          </w:p>
        </w:tc>
        <w:tc>
          <w:tcPr>
            <w:tcW w:w="709" w:type="dxa"/>
            <w:tcBorders>
              <w:top w:val="single" w:sz="4" w:space="0" w:color="auto"/>
              <w:left w:val="single" w:sz="4" w:space="0" w:color="auto"/>
              <w:bottom w:val="single" w:sz="4" w:space="0" w:color="auto"/>
              <w:right w:val="single" w:sz="4" w:space="0" w:color="auto"/>
            </w:tcBorders>
          </w:tcPr>
          <w:p w14:paraId="5761F67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67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Formal advice is sought from the Australian Heritage Council for the Heritage Strategy and heritage management plans.</w:t>
            </w:r>
          </w:p>
          <w:p w14:paraId="5761F67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Industries (largely the tourism industry) are engaged in planning processes for heritage management throughout the GBR.</w:t>
            </w:r>
          </w:p>
          <w:p w14:paraId="5761F67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Local communities are informed in heritage management generally through the Local Marine Advisory Committees (LMACs) and through planning processes for specific places.</w:t>
            </w:r>
          </w:p>
        </w:tc>
        <w:tc>
          <w:tcPr>
            <w:tcW w:w="3907" w:type="dxa"/>
            <w:tcBorders>
              <w:top w:val="single" w:sz="4" w:space="0" w:color="auto"/>
              <w:left w:val="single" w:sz="4" w:space="0" w:color="auto"/>
              <w:bottom w:val="single" w:sz="4" w:space="0" w:color="auto"/>
              <w:right w:val="single" w:sz="4" w:space="0" w:color="auto"/>
            </w:tcBorders>
          </w:tcPr>
          <w:p w14:paraId="5761F68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Staff and stakeholder information</w:t>
            </w:r>
          </w:p>
        </w:tc>
        <w:tc>
          <w:tcPr>
            <w:tcW w:w="912" w:type="dxa"/>
            <w:tcBorders>
              <w:top w:val="single" w:sz="4" w:space="0" w:color="auto"/>
              <w:left w:val="single" w:sz="4" w:space="0" w:color="auto"/>
              <w:bottom w:val="single" w:sz="4" w:space="0" w:color="auto"/>
              <w:right w:val="single" w:sz="4" w:space="0" w:color="auto"/>
            </w:tcBorders>
          </w:tcPr>
          <w:p w14:paraId="5761F68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8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93"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5761F68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PR2</w:t>
            </w:r>
            <w:r>
              <w:rPr>
                <w:rFonts w:ascii="Arial Narrow" w:hAnsi="Arial Narrow"/>
                <w:sz w:val="18"/>
                <w:szCs w:val="18"/>
              </w:rPr>
              <w:t xml:space="preserve"> </w:t>
            </w:r>
            <w:r w:rsidRPr="00E70A11">
              <w:rPr>
                <w:rFonts w:ascii="Arial Narrow" w:hAnsi="Arial Narrow"/>
                <w:sz w:val="18"/>
                <w:szCs w:val="18"/>
              </w:rPr>
              <w:t>The local community is effectively engaged in the ongoing management of historic heritage</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761F68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686" w14:textId="77777777" w:rsidR="00A56EE9" w:rsidRPr="00E70A11" w:rsidRDefault="00A56EE9" w:rsidP="00A11869">
            <w:pPr>
              <w:pStyle w:val="ListParagraph"/>
              <w:numPr>
                <w:ilvl w:val="0"/>
                <w:numId w:val="24"/>
              </w:numPr>
              <w:spacing w:after="0" w:line="276" w:lineRule="auto"/>
              <w:ind w:left="357" w:hanging="357"/>
              <w:rPr>
                <w:rFonts w:ascii="Arial Narrow" w:eastAsia="Calibri" w:hAnsi="Arial Narrow"/>
                <w:sz w:val="18"/>
                <w:szCs w:val="18"/>
              </w:rPr>
            </w:pPr>
            <w:r w:rsidRPr="00E70A11">
              <w:rPr>
                <w:rFonts w:ascii="Arial Narrow" w:eastAsia="Calibri" w:hAnsi="Arial Narrow"/>
                <w:sz w:val="18"/>
                <w:szCs w:val="18"/>
              </w:rPr>
              <w:t xml:space="preserve">Webpages, videos and brochures have been prepared to increase the general understanding of the World Heritage Area and outstanding universal value. </w:t>
            </w:r>
          </w:p>
          <w:p w14:paraId="5761F687" w14:textId="77777777" w:rsidR="00A56EE9" w:rsidRPr="00E70A11" w:rsidRDefault="00A56EE9" w:rsidP="00A11869">
            <w:pPr>
              <w:pStyle w:val="ListParagraph"/>
              <w:numPr>
                <w:ilvl w:val="0"/>
                <w:numId w:val="24"/>
              </w:numPr>
              <w:spacing w:after="0" w:line="276" w:lineRule="auto"/>
              <w:ind w:left="357" w:hanging="357"/>
              <w:rPr>
                <w:rFonts w:ascii="Arial Narrow" w:eastAsia="Calibri" w:hAnsi="Arial Narrow"/>
                <w:sz w:val="18"/>
                <w:szCs w:val="18"/>
              </w:rPr>
            </w:pPr>
            <w:r w:rsidRPr="00E70A11">
              <w:rPr>
                <w:rFonts w:ascii="Arial Narrow" w:eastAsia="Calibri" w:hAnsi="Arial Narrow"/>
                <w:sz w:val="18"/>
                <w:szCs w:val="18"/>
              </w:rPr>
              <w:t>During Heritage Week each year, public talks are given in Townsville on historic as well as Indigenous heritage.</w:t>
            </w:r>
          </w:p>
          <w:p w14:paraId="5761F688"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 xml:space="preserve">The Authority works closely with community and partners that wish to act to protect the Reef’s heritage they value, such as lighthouse enthusiasts and scuba divers searching for shipwrecks. </w:t>
            </w:r>
          </w:p>
          <w:p w14:paraId="5761F689"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 xml:space="preserve">Signage at the places, the Authority’s website and social media are the tools that the Authority employs to raise the awareness of people visiting the Commonwealth Heritage listed places. </w:t>
            </w:r>
          </w:p>
          <w:p w14:paraId="5761F68A"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The Reef Guardian Program is an important tool for transmitting (communicating) heritage values.</w:t>
            </w:r>
          </w:p>
          <w:p w14:paraId="5761F68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Authority transmits heritage values with communication tools including pull-up banners, the Authority’s website, videos on YouTube and posters, presentations during National Heritage Week and the online </w:t>
            </w:r>
            <w:r w:rsidRPr="00E70A11">
              <w:rPr>
                <w:rFonts w:ascii="Arial Narrow" w:eastAsia="Calibri" w:hAnsi="Arial Narrow"/>
                <w:i/>
                <w:sz w:val="18"/>
                <w:szCs w:val="18"/>
              </w:rPr>
              <w:t>Reef Discovery Course</w:t>
            </w:r>
            <w:r w:rsidRPr="00E70A11">
              <w:rPr>
                <w:rFonts w:ascii="Arial Narrow" w:eastAsia="Calibri" w:hAnsi="Arial Narrow"/>
                <w:sz w:val="18"/>
                <w:szCs w:val="18"/>
              </w:rPr>
              <w:t xml:space="preserve"> for tourism operators that enables tourist operators to educate visitors to the Reef.</w:t>
            </w:r>
            <w:r>
              <w:rPr>
                <w:rFonts w:ascii="Arial Narrow" w:eastAsia="Calibri" w:hAnsi="Arial Narrow"/>
                <w:sz w:val="18"/>
                <w:szCs w:val="18"/>
              </w:rPr>
              <w:t xml:space="preserve"> </w:t>
            </w:r>
            <w:r w:rsidRPr="00E70A11">
              <w:rPr>
                <w:rFonts w:ascii="Arial Narrow" w:eastAsia="Calibri" w:hAnsi="Arial Narrow"/>
                <w:sz w:val="18"/>
                <w:szCs w:val="18"/>
              </w:rPr>
              <w:t>Staff training and through annual staff forums dedicated to heritage, and presentations to Local Marine Advisory Committees also contribute to educating stakeholders</w:t>
            </w: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68C" w14:textId="6FA76A09"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990" w:tooltip="document link" w:history="1">
              <w:r w:rsidR="00A56EE9" w:rsidRPr="00E70A11">
                <w:rPr>
                  <w:rStyle w:val="Hyperlink"/>
                  <w:rFonts w:ascii="Arial Narrow" w:eastAsia="Calibri" w:hAnsi="Arial Narrow"/>
                  <w:sz w:val="18"/>
                  <w:szCs w:val="18"/>
                </w:rPr>
                <w:t>http://www.gbrmpa.gov.au/media-room/latest-news/heritage/2017/celebrating-great-barrier-reef-heritage</w:t>
              </w:r>
            </w:hyperlink>
          </w:p>
          <w:p w14:paraId="5761F68D" w14:textId="7B5523D9" w:rsidR="00A56EE9" w:rsidRPr="00E70A11" w:rsidRDefault="00A56EE9" w:rsidP="00A11869">
            <w:pPr>
              <w:numPr>
                <w:ilvl w:val="0"/>
                <w:numId w:val="24"/>
              </w:numPr>
              <w:spacing w:after="0" w:line="240" w:lineRule="auto"/>
              <w:contextualSpacing/>
              <w:rPr>
                <w:rStyle w:val="Hyperlink"/>
                <w:rFonts w:ascii="Arial Narrow" w:eastAsia="Calibri" w:hAnsi="Arial Narrow"/>
                <w:sz w:val="18"/>
                <w:szCs w:val="18"/>
              </w:rPr>
            </w:pPr>
            <w:r w:rsidRPr="00E70A11">
              <w:rPr>
                <w:rFonts w:ascii="Arial Narrow" w:eastAsia="Calibri" w:hAnsi="Arial Narrow"/>
                <w:sz w:val="18"/>
                <w:szCs w:val="18"/>
              </w:rPr>
              <w:t>(</w:t>
            </w:r>
            <w:hyperlink r:id="rId991" w:tooltip="document link" w:history="1">
              <w:r w:rsidRPr="00E70A11">
                <w:rPr>
                  <w:rStyle w:val="Hyperlink"/>
                  <w:rFonts w:ascii="Arial Narrow" w:eastAsia="Calibri" w:hAnsi="Arial Narrow"/>
                  <w:sz w:val="18"/>
                  <w:szCs w:val="18"/>
                </w:rPr>
                <w:t>https://www.youtube.com/watch?v=QpM8lk6U-pk&amp;feature=player_embedded</w:t>
              </w:r>
            </w:hyperlink>
          </w:p>
          <w:p w14:paraId="5761F68E" w14:textId="762813C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992" w:tooltip="document link" w:history="1">
              <w:r w:rsidR="00A56EE9" w:rsidRPr="00E70A11">
                <w:rPr>
                  <w:rStyle w:val="Hyperlink"/>
                  <w:rFonts w:ascii="Arial Narrow" w:eastAsia="Calibri" w:hAnsi="Arial Narrow"/>
                  <w:sz w:val="18"/>
                  <w:szCs w:val="18"/>
                </w:rPr>
                <w:t>https://www.youtube.com/watch?v=vPsKxFXqU0g&amp;feature=player_embedded</w:t>
              </w:r>
            </w:hyperlink>
            <w:r w:rsidR="00A56EE9" w:rsidRPr="00E70A11">
              <w:rPr>
                <w:rFonts w:ascii="Arial Narrow" w:eastAsia="Calibri" w:hAnsi="Arial Narrow"/>
                <w:sz w:val="18"/>
                <w:szCs w:val="18"/>
              </w:rPr>
              <w:t>),</w:t>
            </w:r>
          </w:p>
          <w:p w14:paraId="5761F68F" w14:textId="77777777" w:rsidR="00A56EE9" w:rsidRPr="00E70A11" w:rsidRDefault="00A56EE9" w:rsidP="00A11869">
            <w:pPr>
              <w:numPr>
                <w:ilvl w:val="0"/>
                <w:numId w:val="24"/>
              </w:numPr>
              <w:spacing w:after="0" w:line="240" w:lineRule="auto"/>
              <w:contextualSpacing/>
              <w:rPr>
                <w:rFonts w:ascii="Arial Narrow" w:eastAsia="Calibri" w:hAnsi="Arial Narrow"/>
                <w:color w:val="1F4E79" w:themeColor="accent5" w:themeShade="80"/>
                <w:sz w:val="18"/>
                <w:szCs w:val="18"/>
                <w:u w:val="single"/>
              </w:rPr>
            </w:pPr>
            <w:r w:rsidRPr="00E70A11">
              <w:rPr>
                <w:rFonts w:ascii="Arial Narrow" w:eastAsia="Calibri" w:hAnsi="Arial Narrow"/>
                <w:color w:val="1F4E79" w:themeColor="accent5" w:themeShade="80"/>
                <w:sz w:val="18"/>
                <w:szCs w:val="18"/>
                <w:u w:val="single"/>
              </w:rPr>
              <w:t>https://www.ninneyrise.com/audios-and-photos.html</w:t>
            </w:r>
          </w:p>
          <w:p w14:paraId="5761F690" w14:textId="77777777" w:rsidR="00A56EE9" w:rsidRPr="00E70A11" w:rsidRDefault="00A56EE9" w:rsidP="00BB6AD5">
            <w:pPr>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9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9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9D"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9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PR3</w:t>
            </w:r>
            <w:r>
              <w:rPr>
                <w:rFonts w:ascii="Arial Narrow" w:hAnsi="Arial Narrow"/>
                <w:sz w:val="18"/>
                <w:szCs w:val="18"/>
              </w:rPr>
              <w:t xml:space="preserve"> </w:t>
            </w:r>
            <w:r w:rsidRPr="00E70A11">
              <w:rPr>
                <w:rFonts w:ascii="Arial Narrow" w:hAnsi="Arial Narrow"/>
                <w:sz w:val="18"/>
                <w:szCs w:val="18"/>
              </w:rPr>
              <w:t>There is a sound governance system in place to address historic heritage</w:t>
            </w:r>
          </w:p>
        </w:tc>
        <w:tc>
          <w:tcPr>
            <w:tcW w:w="709" w:type="dxa"/>
            <w:tcBorders>
              <w:top w:val="single" w:sz="4" w:space="0" w:color="auto"/>
              <w:left w:val="single" w:sz="4" w:space="0" w:color="auto"/>
              <w:bottom w:val="single" w:sz="4" w:space="0" w:color="auto"/>
              <w:right w:val="single" w:sz="4" w:space="0" w:color="auto"/>
            </w:tcBorders>
          </w:tcPr>
          <w:p w14:paraId="5761F69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69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protection of the Marine Park’s historic heritage is a strong collaborative partnership between GBRMPA, Queensland’s Department of Environment and Science, the Joint Field Management Program (JFMP), Queensland Parks and Wildlife Service and the Australian Maritime Safety Authority. Stakeholders play an important role. </w:t>
            </w:r>
          </w:p>
          <w:p w14:paraId="5761F69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However, the split between Commonwealth and State responsibilities, and the fact that a few sites are listed while others are not, makes little sense in the real world or to stakeholders.</w:t>
            </w:r>
          </w:p>
          <w:p w14:paraId="5761F69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is legal protection for historic sites and objects throughout the region, and the Field Management Program delivers compliance and maintenance services across the boundaries.</w:t>
            </w:r>
          </w:p>
        </w:tc>
        <w:tc>
          <w:tcPr>
            <w:tcW w:w="3907" w:type="dxa"/>
            <w:tcBorders>
              <w:top w:val="single" w:sz="4" w:space="0" w:color="auto"/>
              <w:left w:val="single" w:sz="4" w:space="0" w:color="auto"/>
              <w:bottom w:val="single" w:sz="4" w:space="0" w:color="auto"/>
              <w:right w:val="single" w:sz="4" w:space="0" w:color="auto"/>
            </w:tcBorders>
          </w:tcPr>
          <w:p w14:paraId="5761F69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 Intergovernmental Agreement 2015</w:t>
            </w:r>
          </w:p>
          <w:p w14:paraId="5761F69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Field Management Program Business Plans and Annual Reports</w:t>
            </w:r>
          </w:p>
        </w:tc>
        <w:tc>
          <w:tcPr>
            <w:tcW w:w="912" w:type="dxa"/>
            <w:tcBorders>
              <w:top w:val="single" w:sz="4" w:space="0" w:color="auto"/>
              <w:left w:val="single" w:sz="4" w:space="0" w:color="auto"/>
              <w:bottom w:val="single" w:sz="4" w:space="0" w:color="auto"/>
              <w:right w:val="single" w:sz="4" w:space="0" w:color="auto"/>
            </w:tcBorders>
          </w:tcPr>
          <w:p w14:paraId="5761F69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9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A6"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9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PR4</w:t>
            </w:r>
            <w:r>
              <w:rPr>
                <w:rFonts w:ascii="Arial Narrow" w:hAnsi="Arial Narrow"/>
                <w:sz w:val="18"/>
                <w:szCs w:val="18"/>
              </w:rPr>
              <w:t xml:space="preserve"> </w:t>
            </w:r>
            <w:r w:rsidRPr="00E70A11">
              <w:rPr>
                <w:rFonts w:ascii="Arial Narrow" w:hAnsi="Arial Narrow"/>
                <w:sz w:val="18"/>
                <w:szCs w:val="18"/>
              </w:rPr>
              <w:t>There is effective performance monitoring, including. regular assessment of appropriateness and effectiveness of tools, to gauge progress towards the objective(s) for historic heritage</w:t>
            </w:r>
          </w:p>
        </w:tc>
        <w:tc>
          <w:tcPr>
            <w:tcW w:w="709" w:type="dxa"/>
            <w:tcBorders>
              <w:top w:val="single" w:sz="4" w:space="0" w:color="auto"/>
              <w:left w:val="single" w:sz="4" w:space="0" w:color="auto"/>
              <w:bottom w:val="single" w:sz="4" w:space="0" w:color="auto"/>
              <w:right w:val="single" w:sz="4" w:space="0" w:color="auto"/>
            </w:tcBorders>
          </w:tcPr>
          <w:p w14:paraId="5761F69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tcPr>
          <w:p w14:paraId="5761F6A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Both GBRMPA and the Field Management Program have regular process of performance monitoring and reporting, including against the Reef 2050 actions.</w:t>
            </w:r>
          </w:p>
          <w:p w14:paraId="5761F6A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Listed places have regular monitoring requirements.</w:t>
            </w:r>
          </w:p>
        </w:tc>
        <w:tc>
          <w:tcPr>
            <w:tcW w:w="3907" w:type="dxa"/>
            <w:tcBorders>
              <w:top w:val="single" w:sz="4" w:space="0" w:color="auto"/>
              <w:left w:val="single" w:sz="4" w:space="0" w:color="auto"/>
              <w:bottom w:val="single" w:sz="4" w:space="0" w:color="auto"/>
              <w:right w:val="single" w:sz="4" w:space="0" w:color="auto"/>
            </w:tcBorders>
          </w:tcPr>
          <w:p w14:paraId="5761F6A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Progress reports against Reef 2050 targets</w:t>
            </w:r>
          </w:p>
          <w:p w14:paraId="5761F6A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Field Management Program annual reports</w:t>
            </w:r>
          </w:p>
        </w:tc>
        <w:tc>
          <w:tcPr>
            <w:tcW w:w="912" w:type="dxa"/>
            <w:tcBorders>
              <w:top w:val="single" w:sz="4" w:space="0" w:color="auto"/>
              <w:left w:val="single" w:sz="4" w:space="0" w:color="auto"/>
              <w:bottom w:val="single" w:sz="4" w:space="0" w:color="auto"/>
              <w:right w:val="single" w:sz="4" w:space="0" w:color="auto"/>
            </w:tcBorders>
          </w:tcPr>
          <w:p w14:paraId="5761F6A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A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AE"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A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PR5</w:t>
            </w:r>
            <w:r>
              <w:rPr>
                <w:rFonts w:ascii="Arial Narrow" w:hAnsi="Arial Narrow"/>
                <w:sz w:val="18"/>
                <w:szCs w:val="18"/>
              </w:rPr>
              <w:t xml:space="preserve"> </w:t>
            </w:r>
            <w:r w:rsidRPr="00E70A11">
              <w:rPr>
                <w:rFonts w:ascii="Arial Narrow" w:hAnsi="Arial Narrow"/>
                <w:sz w:val="18"/>
                <w:szCs w:val="18"/>
              </w:rPr>
              <w:t>Appropriate training is available to the managing agencies to address historic heritage</w:t>
            </w:r>
          </w:p>
        </w:tc>
        <w:tc>
          <w:tcPr>
            <w:tcW w:w="709" w:type="dxa"/>
            <w:tcBorders>
              <w:top w:val="single" w:sz="4" w:space="0" w:color="auto"/>
              <w:left w:val="single" w:sz="4" w:space="0" w:color="auto"/>
              <w:bottom w:val="single" w:sz="4" w:space="0" w:color="auto"/>
              <w:right w:val="single" w:sz="4" w:space="0" w:color="auto"/>
            </w:tcBorders>
          </w:tcPr>
          <w:p w14:paraId="5761F6A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tcPr>
          <w:p w14:paraId="5761F6A9" w14:textId="77777777" w:rsidR="00A56EE9" w:rsidRPr="00E70A11" w:rsidRDefault="00A56EE9" w:rsidP="00A11869">
            <w:pPr>
              <w:pStyle w:val="ListParagraph"/>
              <w:numPr>
                <w:ilvl w:val="0"/>
                <w:numId w:val="24"/>
              </w:numPr>
              <w:rPr>
                <w:rFonts w:ascii="Arial Narrow" w:eastAsia="Calibri" w:hAnsi="Arial Narrow"/>
                <w:sz w:val="18"/>
                <w:szCs w:val="18"/>
              </w:rPr>
            </w:pPr>
            <w:r w:rsidRPr="00E70A11">
              <w:rPr>
                <w:rFonts w:ascii="Arial Narrow" w:eastAsia="Calibri" w:hAnsi="Arial Narrow"/>
                <w:sz w:val="18"/>
                <w:szCs w:val="18"/>
              </w:rPr>
              <w:t>Since 2014, internal programs to increase staff understanding of heritage include: Presentations during National Heritage Week include: world heritage listing, historic heritage values and Indigenous heritage values; Public talks; Staff forums dedicated to instructing on heritage; and presentations to the Senior Management Team.</w:t>
            </w:r>
          </w:p>
          <w:p w14:paraId="5761F6AA" w14:textId="77777777" w:rsidR="00A56EE9" w:rsidRPr="00E70A11" w:rsidRDefault="00A56EE9" w:rsidP="00A11869">
            <w:pPr>
              <w:pStyle w:val="ListParagraph"/>
              <w:numPr>
                <w:ilvl w:val="0"/>
                <w:numId w:val="24"/>
              </w:numPr>
              <w:spacing w:after="0"/>
              <w:rPr>
                <w:rFonts w:ascii="Arial Narrow" w:eastAsia="Calibri" w:hAnsi="Arial Narrow"/>
                <w:sz w:val="18"/>
                <w:szCs w:val="18"/>
              </w:rPr>
            </w:pPr>
            <w:r w:rsidRPr="00E70A11">
              <w:rPr>
                <w:rFonts w:ascii="Arial Narrow" w:eastAsia="Calibri" w:hAnsi="Arial Narrow"/>
                <w:sz w:val="18"/>
                <w:szCs w:val="18"/>
              </w:rPr>
              <w:t xml:space="preserve">Field Management Fact Files are prepared for the rangers with heritage key messaging which keeps them informed and updated. The rangers are then able to transmit this knowledge when meeting with users of the Marine Park. </w:t>
            </w:r>
          </w:p>
        </w:tc>
        <w:tc>
          <w:tcPr>
            <w:tcW w:w="3907" w:type="dxa"/>
            <w:tcBorders>
              <w:top w:val="single" w:sz="4" w:space="0" w:color="auto"/>
              <w:left w:val="single" w:sz="4" w:space="0" w:color="auto"/>
              <w:bottom w:val="single" w:sz="4" w:space="0" w:color="auto"/>
              <w:right w:val="single" w:sz="4" w:space="0" w:color="auto"/>
            </w:tcBorders>
          </w:tcPr>
          <w:p w14:paraId="5761F6A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discussions</w:t>
            </w:r>
          </w:p>
        </w:tc>
        <w:tc>
          <w:tcPr>
            <w:tcW w:w="912" w:type="dxa"/>
            <w:tcBorders>
              <w:top w:val="single" w:sz="4" w:space="0" w:color="auto"/>
              <w:left w:val="single" w:sz="4" w:space="0" w:color="auto"/>
              <w:bottom w:val="single" w:sz="4" w:space="0" w:color="auto"/>
              <w:right w:val="single" w:sz="4" w:space="0" w:color="auto"/>
            </w:tcBorders>
          </w:tcPr>
          <w:p w14:paraId="5761F6A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A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B9"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5761F6A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PR6</w:t>
            </w:r>
            <w:r>
              <w:rPr>
                <w:rFonts w:ascii="Arial Narrow" w:hAnsi="Arial Narrow"/>
                <w:sz w:val="18"/>
                <w:szCs w:val="18"/>
              </w:rPr>
              <w:t xml:space="preserve"> </w:t>
            </w:r>
            <w:r w:rsidRPr="00E70A11">
              <w:rPr>
                <w:rFonts w:ascii="Arial Narrow" w:hAnsi="Arial Narrow"/>
                <w:sz w:val="18"/>
                <w:szCs w:val="18"/>
              </w:rPr>
              <w:t>Management of historic heritage is consistently implemented across the relevant jurisdictions</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761F6B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6B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Joint </w:t>
            </w:r>
            <w:r w:rsidRPr="00E70A11">
              <w:rPr>
                <w:rFonts w:ascii="Arial Narrow" w:eastAsia="Calibri" w:hAnsi="Arial Narrow"/>
                <w:sz w:val="18"/>
                <w:szCs w:val="18"/>
                <w:lang w:val="en"/>
              </w:rPr>
              <w:t xml:space="preserve">Field Management Program </w:t>
            </w:r>
            <w:r w:rsidRPr="00E70A11">
              <w:rPr>
                <w:rFonts w:ascii="Arial Narrow" w:eastAsia="Calibri" w:hAnsi="Arial Narrow"/>
                <w:sz w:val="18"/>
                <w:szCs w:val="18"/>
              </w:rPr>
              <w:t xml:space="preserve">works closely with partners including the Queensland Police Service, Maritime Safety Queensland and the Australian Federal Police. </w:t>
            </w:r>
          </w:p>
          <w:p w14:paraId="5761F6B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Consideration of potential impacts to historic heritage is consistently considered for joint Marine Park permits under the Intergovernmental Agreement.</w:t>
            </w:r>
          </w:p>
          <w:p w14:paraId="5761F6B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Inconsistency is seen in the resourcing of listed vs non-listed places.</w:t>
            </w: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6B4" w14:textId="77777777" w:rsidR="00A56EE9" w:rsidRPr="00E70A11" w:rsidRDefault="00A56EE9" w:rsidP="00A11869">
            <w:pPr>
              <w:pStyle w:val="ListParagraph"/>
              <w:numPr>
                <w:ilvl w:val="0"/>
                <w:numId w:val="24"/>
              </w:numPr>
              <w:rPr>
                <w:rFonts w:ascii="Arial Narrow" w:eastAsia="Calibri" w:hAnsi="Arial Narrow"/>
                <w:sz w:val="18"/>
                <w:szCs w:val="18"/>
              </w:rPr>
            </w:pPr>
            <w:r w:rsidRPr="00E70A11">
              <w:rPr>
                <w:rFonts w:ascii="Arial Narrow" w:eastAsia="Calibri" w:hAnsi="Arial Narrow"/>
                <w:sz w:val="18"/>
                <w:szCs w:val="18"/>
              </w:rPr>
              <w:t>GBR Intergovernmental Agreement 2015</w:t>
            </w:r>
          </w:p>
          <w:p w14:paraId="5761F6B5" w14:textId="77777777" w:rsidR="00A56EE9" w:rsidRPr="00E70A11" w:rsidRDefault="00A56EE9" w:rsidP="00A11869">
            <w:pPr>
              <w:pStyle w:val="ListParagraph"/>
              <w:numPr>
                <w:ilvl w:val="0"/>
                <w:numId w:val="24"/>
              </w:numPr>
              <w:rPr>
                <w:rFonts w:ascii="Arial Narrow" w:eastAsia="Calibri" w:hAnsi="Arial Narrow"/>
                <w:sz w:val="18"/>
                <w:szCs w:val="18"/>
              </w:rPr>
            </w:pPr>
            <w:r w:rsidRPr="00E70A11">
              <w:rPr>
                <w:rFonts w:ascii="Arial Narrow" w:eastAsia="Calibri" w:hAnsi="Arial Narrow"/>
                <w:sz w:val="18"/>
                <w:szCs w:val="18"/>
              </w:rPr>
              <w:t>Workshop discussions</w:t>
            </w:r>
          </w:p>
          <w:p w14:paraId="5761F6B6" w14:textId="77777777" w:rsidR="00A56EE9" w:rsidRPr="00E70A11" w:rsidRDefault="00A56EE9" w:rsidP="00BB6AD5">
            <w:pPr>
              <w:ind w:left="360"/>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B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B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C2"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B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PR7</w:t>
            </w:r>
            <w:r>
              <w:rPr>
                <w:rFonts w:ascii="Arial Narrow" w:hAnsi="Arial Narrow"/>
                <w:sz w:val="18"/>
                <w:szCs w:val="18"/>
              </w:rPr>
              <w:t xml:space="preserve"> </w:t>
            </w:r>
            <w:r w:rsidRPr="00E70A11">
              <w:rPr>
                <w:rFonts w:ascii="Arial Narrow" w:hAnsi="Arial Narrow"/>
                <w:sz w:val="18"/>
                <w:szCs w:val="18"/>
              </w:rPr>
              <w:t>There are effective processes applied to resolve differing views/ conflicts regarding historic heritage</w:t>
            </w:r>
          </w:p>
        </w:tc>
        <w:tc>
          <w:tcPr>
            <w:tcW w:w="709" w:type="dxa"/>
            <w:tcBorders>
              <w:top w:val="single" w:sz="4" w:space="0" w:color="auto"/>
              <w:left w:val="single" w:sz="4" w:space="0" w:color="auto"/>
              <w:bottom w:val="single" w:sz="4" w:space="0" w:color="auto"/>
              <w:right w:val="single" w:sz="4" w:space="0" w:color="auto"/>
            </w:tcBorders>
          </w:tcPr>
          <w:p w14:paraId="5761F6B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6BC" w14:textId="77777777" w:rsidR="00A56EE9" w:rsidRPr="00E70A11" w:rsidRDefault="00A56EE9" w:rsidP="00A11869">
            <w:pPr>
              <w:pStyle w:val="ListParagraph"/>
              <w:numPr>
                <w:ilvl w:val="0"/>
                <w:numId w:val="24"/>
              </w:numPr>
              <w:rPr>
                <w:rFonts w:ascii="Arial Narrow" w:eastAsia="Calibri" w:hAnsi="Arial Narrow"/>
                <w:sz w:val="18"/>
                <w:szCs w:val="18"/>
              </w:rPr>
            </w:pPr>
            <w:r w:rsidRPr="00E70A11">
              <w:rPr>
                <w:rFonts w:ascii="Arial Narrow" w:eastAsia="Calibri" w:hAnsi="Arial Narrow"/>
                <w:sz w:val="18"/>
                <w:szCs w:val="18"/>
              </w:rPr>
              <w:t xml:space="preserve">The draft GBRMPA draft Heritage Strategy 2017 outlines a conflict resolution process consistent with the Agency’s corporate protocols. </w:t>
            </w:r>
          </w:p>
          <w:p w14:paraId="5761F6BD" w14:textId="77777777" w:rsidR="00A56EE9" w:rsidRPr="00E70A11" w:rsidRDefault="00A56EE9" w:rsidP="00A11869">
            <w:pPr>
              <w:pStyle w:val="ListParagraph"/>
              <w:numPr>
                <w:ilvl w:val="0"/>
                <w:numId w:val="24"/>
              </w:numPr>
              <w:shd w:val="clear" w:color="auto" w:fill="FFFFFF" w:themeFill="background1"/>
              <w:rPr>
                <w:rFonts w:ascii="Arial Narrow" w:eastAsia="Calibri" w:hAnsi="Arial Narrow"/>
                <w:sz w:val="18"/>
                <w:szCs w:val="18"/>
              </w:rPr>
            </w:pPr>
            <w:r w:rsidRPr="00E70A11">
              <w:rPr>
                <w:rFonts w:ascii="Arial Narrow" w:eastAsia="Calibri" w:hAnsi="Arial Narrow"/>
                <w:sz w:val="18"/>
                <w:szCs w:val="18"/>
              </w:rPr>
              <w:t>A conflict resolutions strategy for listed places in the Commonwealth Heritage Listed Places and Properties Heritage Strategy</w:t>
            </w:r>
          </w:p>
          <w:p w14:paraId="5761F6BE" w14:textId="77777777" w:rsidR="00A56EE9" w:rsidRPr="00E70A11" w:rsidRDefault="00A56EE9" w:rsidP="00A11869">
            <w:pPr>
              <w:pStyle w:val="ListParagraph"/>
              <w:numPr>
                <w:ilvl w:val="0"/>
                <w:numId w:val="24"/>
              </w:numPr>
              <w:shd w:val="clear" w:color="auto" w:fill="FFFFFF" w:themeFill="background1"/>
              <w:spacing w:after="0"/>
              <w:rPr>
                <w:rFonts w:ascii="Arial Narrow" w:eastAsia="Calibri" w:hAnsi="Arial Narrow"/>
                <w:sz w:val="18"/>
                <w:szCs w:val="18"/>
              </w:rPr>
            </w:pPr>
            <w:r w:rsidRPr="00E70A11">
              <w:rPr>
                <w:rFonts w:ascii="Arial Narrow" w:eastAsia="Calibri" w:hAnsi="Arial Narrow"/>
                <w:sz w:val="18"/>
                <w:szCs w:val="18"/>
              </w:rPr>
              <w:t>Information is not available about its implementation or the effectiveness of the processes</w:t>
            </w:r>
          </w:p>
        </w:tc>
        <w:tc>
          <w:tcPr>
            <w:tcW w:w="3907" w:type="dxa"/>
            <w:tcBorders>
              <w:top w:val="single" w:sz="4" w:space="0" w:color="auto"/>
              <w:left w:val="single" w:sz="4" w:space="0" w:color="auto"/>
              <w:bottom w:val="single" w:sz="4" w:space="0" w:color="auto"/>
              <w:right w:val="single" w:sz="4" w:space="0" w:color="auto"/>
            </w:tcBorders>
          </w:tcPr>
          <w:p w14:paraId="5761F6B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Draft Heritage Strategy 2017</w:t>
            </w:r>
          </w:p>
        </w:tc>
        <w:tc>
          <w:tcPr>
            <w:tcW w:w="912" w:type="dxa"/>
            <w:tcBorders>
              <w:top w:val="single" w:sz="4" w:space="0" w:color="auto"/>
              <w:left w:val="single" w:sz="4" w:space="0" w:color="auto"/>
              <w:bottom w:val="single" w:sz="4" w:space="0" w:color="auto"/>
              <w:right w:val="single" w:sz="4" w:space="0" w:color="auto"/>
            </w:tcBorders>
          </w:tcPr>
          <w:p w14:paraId="5761F6C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12" w:type="dxa"/>
            <w:tcBorders>
              <w:top w:val="single" w:sz="4" w:space="0" w:color="auto"/>
              <w:left w:val="single" w:sz="4" w:space="0" w:color="auto"/>
              <w:bottom w:val="single" w:sz="4" w:space="0" w:color="auto"/>
              <w:right w:val="single" w:sz="4" w:space="0" w:color="auto"/>
            </w:tcBorders>
          </w:tcPr>
          <w:p w14:paraId="5761F6C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6D1"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5761F6C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PR8</w:t>
            </w:r>
            <w:r>
              <w:rPr>
                <w:rFonts w:ascii="Arial Narrow" w:hAnsi="Arial Narrow"/>
                <w:sz w:val="18"/>
                <w:szCs w:val="18"/>
              </w:rPr>
              <w:t xml:space="preserve"> </w:t>
            </w:r>
            <w:r w:rsidRPr="00E70A11">
              <w:rPr>
                <w:rFonts w:ascii="Arial Narrow" w:hAnsi="Arial Narrow"/>
                <w:sz w:val="18"/>
                <w:szCs w:val="18"/>
              </w:rPr>
              <w:t>Impacts (direct, indirect and cumulative) of activities associated with historic heritage are appropriately considered.</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761F6C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6C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Refer CO3 and PL9 </w:t>
            </w:r>
          </w:p>
          <w:p w14:paraId="5761F6C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Impact assessment guidelines have been developed (action HA5 in the Reef 2050 Plan) to provide guidance on assessing possible impacts within the Marine Park. </w:t>
            </w:r>
          </w:p>
          <w:p w14:paraId="5761F6C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Three assessment guidelines (including risk matrices) have been developed for use when permit applications are received these include:</w:t>
            </w:r>
          </w:p>
          <w:p w14:paraId="5761F6C8" w14:textId="77777777" w:rsidR="00A56EE9" w:rsidRPr="00E70A11" w:rsidRDefault="00A56EE9" w:rsidP="00A11869">
            <w:pPr>
              <w:numPr>
                <w:ilvl w:val="1"/>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Historic heritage assessment: maritime cultural heritage protection special management area </w:t>
            </w:r>
          </w:p>
          <w:p w14:paraId="5761F6C9" w14:textId="77777777" w:rsidR="00A56EE9" w:rsidRPr="00E70A11" w:rsidRDefault="00A56EE9" w:rsidP="00A11869">
            <w:pPr>
              <w:numPr>
                <w:ilvl w:val="1"/>
                <w:numId w:val="24"/>
              </w:numPr>
              <w:spacing w:after="0" w:line="240" w:lineRule="auto"/>
              <w:ind w:left="1077" w:hanging="357"/>
              <w:contextualSpacing/>
              <w:rPr>
                <w:rFonts w:ascii="Arial Narrow" w:eastAsia="Calibri" w:hAnsi="Arial Narrow"/>
                <w:sz w:val="18"/>
                <w:szCs w:val="18"/>
              </w:rPr>
            </w:pPr>
            <w:r w:rsidRPr="00E70A11">
              <w:rPr>
                <w:rFonts w:ascii="Arial Narrow" w:eastAsia="Calibri" w:hAnsi="Arial Narrow"/>
                <w:sz w:val="18"/>
                <w:szCs w:val="18"/>
              </w:rPr>
              <w:t xml:space="preserve">Historic heritage assessment: other places of historic and social significance </w:t>
            </w:r>
          </w:p>
          <w:p w14:paraId="5761F6CA" w14:textId="77777777" w:rsidR="00A56EE9" w:rsidRPr="00E70A11" w:rsidRDefault="00A56EE9" w:rsidP="00A11869">
            <w:pPr>
              <w:pStyle w:val="ListParagraph"/>
              <w:numPr>
                <w:ilvl w:val="1"/>
                <w:numId w:val="24"/>
              </w:numPr>
              <w:spacing w:after="0" w:line="276" w:lineRule="auto"/>
              <w:ind w:left="1077" w:hanging="357"/>
              <w:rPr>
                <w:rFonts w:ascii="Arial Narrow" w:eastAsia="Calibri" w:hAnsi="Arial Narrow"/>
                <w:sz w:val="18"/>
                <w:szCs w:val="18"/>
              </w:rPr>
            </w:pPr>
            <w:r w:rsidRPr="00E70A11">
              <w:rPr>
                <w:rFonts w:ascii="Arial Narrow" w:eastAsia="Calibri" w:hAnsi="Arial Narrow"/>
                <w:sz w:val="18"/>
                <w:szCs w:val="18"/>
              </w:rPr>
              <w:t>Historic heritage assessment: WWII features and sites, and voyages and shipwrecks.</w:t>
            </w:r>
          </w:p>
          <w:p w14:paraId="5761F6CB" w14:textId="77777777" w:rsidR="00A56EE9" w:rsidRPr="00E70A11" w:rsidRDefault="00A56EE9" w:rsidP="00A11869">
            <w:pPr>
              <w:pStyle w:val="ListParagraph"/>
              <w:numPr>
                <w:ilvl w:val="0"/>
                <w:numId w:val="24"/>
              </w:numPr>
              <w:spacing w:after="0"/>
              <w:rPr>
                <w:rFonts w:ascii="Arial Narrow" w:eastAsia="Calibri" w:hAnsi="Arial Narrow"/>
                <w:sz w:val="18"/>
                <w:szCs w:val="18"/>
              </w:rPr>
            </w:pPr>
            <w:r w:rsidRPr="00E70A11">
              <w:rPr>
                <w:rFonts w:ascii="Arial Narrow" w:eastAsia="Calibri" w:hAnsi="Arial Narrow"/>
                <w:sz w:val="18"/>
                <w:szCs w:val="18"/>
              </w:rPr>
              <w:t>Risk assessments in relation to the issue have not been undertaken. However the new guidelines that were developed through the permission system will assist to address impacts.</w:t>
            </w:r>
            <w:r>
              <w:rPr>
                <w:rFonts w:ascii="Arial Narrow" w:eastAsia="Calibri" w:hAnsi="Arial Narrow"/>
                <w:sz w:val="18"/>
                <w:szCs w:val="18"/>
              </w:rPr>
              <w:t xml:space="preserve"> </w:t>
            </w: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6CC" w14:textId="09FF58D6"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Historic impact assessment guidelines </w:t>
            </w:r>
            <w:hyperlink r:id="rId993" w:tooltip="document link" w:history="1">
              <w:r w:rsidRPr="00E70A11">
                <w:rPr>
                  <w:rStyle w:val="Hyperlink"/>
                  <w:rFonts w:ascii="Arial Narrow" w:eastAsia="Calibri" w:hAnsi="Arial Narrow"/>
                  <w:sz w:val="18"/>
                  <w:szCs w:val="18"/>
                </w:rPr>
                <w:t>http://www.gbrmpa.gov.au/__data/assets/pdf_file/0004/248980/Historic-heritage-value-assessment-guidelines.pdf</w:t>
              </w:r>
            </w:hyperlink>
          </w:p>
          <w:p w14:paraId="5761F6CD" w14:textId="5F695C3B"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Queensland heritage impacts assessment guidelines (including protected areas) </w:t>
            </w:r>
            <w:hyperlink r:id="rId994" w:tooltip="document link" w:history="1">
              <w:r w:rsidRPr="00E70A11">
                <w:rPr>
                  <w:rStyle w:val="Hyperlink"/>
                  <w:rFonts w:ascii="Arial Narrow" w:eastAsia="Calibri" w:hAnsi="Arial Narrow"/>
                  <w:sz w:val="18"/>
                  <w:szCs w:val="18"/>
                </w:rPr>
                <w:t>https://www.qld.gov.au/environment/assets/documents/land/heritage/heritage-impact-statement.pdf</w:t>
              </w:r>
            </w:hyperlink>
          </w:p>
          <w:p w14:paraId="5761F6CE" w14:textId="77777777" w:rsidR="00A56EE9" w:rsidRPr="00E70A11" w:rsidRDefault="00A56EE9" w:rsidP="00BB6AD5">
            <w:pPr>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C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D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6D9"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D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PR9</w:t>
            </w:r>
            <w:r>
              <w:rPr>
                <w:rFonts w:ascii="Arial Narrow" w:hAnsi="Arial Narrow"/>
                <w:sz w:val="18"/>
                <w:szCs w:val="18"/>
              </w:rPr>
              <w:t xml:space="preserve"> </w:t>
            </w:r>
            <w:r w:rsidRPr="00E70A11">
              <w:rPr>
                <w:rFonts w:ascii="Arial Narrow" w:hAnsi="Arial Narrow"/>
                <w:sz w:val="18"/>
                <w:szCs w:val="18"/>
              </w:rPr>
              <w:t>The best available biophysical research and/or monitoring information is applied appropriately to make relevant management decisions regarding historic heritage</w:t>
            </w:r>
          </w:p>
        </w:tc>
        <w:tc>
          <w:tcPr>
            <w:tcW w:w="709" w:type="dxa"/>
            <w:tcBorders>
              <w:top w:val="single" w:sz="4" w:space="0" w:color="auto"/>
              <w:left w:val="single" w:sz="4" w:space="0" w:color="auto"/>
              <w:bottom w:val="single" w:sz="4" w:space="0" w:color="auto"/>
              <w:right w:val="single" w:sz="4" w:space="0" w:color="auto"/>
            </w:tcBorders>
          </w:tcPr>
          <w:p w14:paraId="5761F6D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6D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Where major planning and works are undertaken, the best available information is used to ensure good management decisions.</w:t>
            </w:r>
          </w:p>
          <w:p w14:paraId="5761F6D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PR8 for list of impact guidelines</w:t>
            </w:r>
          </w:p>
        </w:tc>
        <w:tc>
          <w:tcPr>
            <w:tcW w:w="3907" w:type="dxa"/>
            <w:tcBorders>
              <w:top w:val="single" w:sz="4" w:space="0" w:color="auto"/>
              <w:left w:val="single" w:sz="4" w:space="0" w:color="auto"/>
              <w:bottom w:val="single" w:sz="4" w:space="0" w:color="auto"/>
              <w:right w:val="single" w:sz="4" w:space="0" w:color="auto"/>
            </w:tcBorders>
          </w:tcPr>
          <w:p w14:paraId="5761F6D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As above</w:t>
            </w:r>
          </w:p>
        </w:tc>
        <w:tc>
          <w:tcPr>
            <w:tcW w:w="912" w:type="dxa"/>
            <w:tcBorders>
              <w:top w:val="single" w:sz="4" w:space="0" w:color="auto"/>
              <w:left w:val="single" w:sz="4" w:space="0" w:color="auto"/>
              <w:bottom w:val="single" w:sz="4" w:space="0" w:color="auto"/>
              <w:right w:val="single" w:sz="4" w:space="0" w:color="auto"/>
            </w:tcBorders>
          </w:tcPr>
          <w:p w14:paraId="5761F6D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D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6E2"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6D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PR10</w:t>
            </w:r>
            <w:r>
              <w:rPr>
                <w:rFonts w:ascii="Arial Narrow" w:hAnsi="Arial Narrow"/>
                <w:sz w:val="18"/>
                <w:szCs w:val="18"/>
              </w:rPr>
              <w:t xml:space="preserve"> </w:t>
            </w:r>
            <w:r w:rsidRPr="00E70A11">
              <w:rPr>
                <w:rFonts w:ascii="Arial Narrow" w:hAnsi="Arial Narrow"/>
                <w:sz w:val="18"/>
                <w:szCs w:val="18"/>
              </w:rPr>
              <w:t>The best available socio-economic research and/or monitoring information is applied appropriately to make relevant management decisions regarding historic heritage</w:t>
            </w:r>
          </w:p>
        </w:tc>
        <w:tc>
          <w:tcPr>
            <w:tcW w:w="709" w:type="dxa"/>
            <w:tcBorders>
              <w:top w:val="single" w:sz="4" w:space="0" w:color="auto"/>
              <w:left w:val="single" w:sz="4" w:space="0" w:color="auto"/>
              <w:bottom w:val="single" w:sz="4" w:space="0" w:color="auto"/>
              <w:right w:val="single" w:sz="4" w:space="0" w:color="auto"/>
            </w:tcBorders>
          </w:tcPr>
          <w:p w14:paraId="5761F6D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6D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Where major planning and works are undertaken, the best available information is used to ensure good management decisions.</w:t>
            </w:r>
            <w:r w:rsidRPr="00E70A11">
              <w:rPr>
                <w:rFonts w:ascii="Arial Narrow" w:eastAsia="Calibri" w:hAnsi="Arial Narrow"/>
                <w:sz w:val="18"/>
                <w:szCs w:val="18"/>
              </w:rPr>
              <w:br/>
            </w:r>
          </w:p>
        </w:tc>
        <w:tc>
          <w:tcPr>
            <w:tcW w:w="3907" w:type="dxa"/>
            <w:tcBorders>
              <w:top w:val="single" w:sz="4" w:space="0" w:color="auto"/>
              <w:left w:val="single" w:sz="4" w:space="0" w:color="auto"/>
              <w:bottom w:val="single" w:sz="4" w:space="0" w:color="auto"/>
              <w:right w:val="single" w:sz="4" w:space="0" w:color="auto"/>
            </w:tcBorders>
          </w:tcPr>
          <w:p w14:paraId="5761F6DD" w14:textId="77777777" w:rsidR="00A56EE9" w:rsidRPr="00E70A11" w:rsidRDefault="008B5998" w:rsidP="00A11869">
            <w:pPr>
              <w:pStyle w:val="ListParagraph"/>
              <w:numPr>
                <w:ilvl w:val="0"/>
                <w:numId w:val="24"/>
              </w:numPr>
              <w:rPr>
                <w:rStyle w:val="Hyperlink"/>
                <w:rFonts w:ascii="Arial Narrow" w:hAnsi="Arial Narrow"/>
                <w:sz w:val="18"/>
                <w:szCs w:val="18"/>
              </w:rPr>
            </w:pPr>
            <w:hyperlink r:id="rId995" w:history="1">
              <w:r w:rsidR="00A56EE9" w:rsidRPr="00E70A11">
                <w:rPr>
                  <w:rStyle w:val="Hyperlink"/>
                  <w:rFonts w:ascii="Arial Narrow" w:hAnsi="Arial Narrow"/>
                  <w:sz w:val="18"/>
                  <w:szCs w:val="18"/>
                </w:rPr>
                <w:t>Social and Economic Longterm Monitoring Project</w:t>
              </w:r>
            </w:hyperlink>
          </w:p>
          <w:p w14:paraId="5761F6DE"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F6DF" w14:textId="77777777" w:rsidR="00A56EE9" w:rsidRPr="00E70A11" w:rsidRDefault="00A56EE9" w:rsidP="00A11869">
            <w:pPr>
              <w:pStyle w:val="ListParagraph"/>
              <w:numPr>
                <w:ilvl w:val="0"/>
                <w:numId w:val="24"/>
              </w:numPr>
              <w:spacing w:after="0"/>
              <w:rPr>
                <w:rFonts w:ascii="Arial Narrow" w:eastAsia="Calibri" w:hAnsi="Arial Narrow"/>
                <w:sz w:val="18"/>
                <w:szCs w:val="18"/>
              </w:rPr>
            </w:pPr>
            <w:r w:rsidRPr="00E70A11">
              <w:rPr>
                <w:rFonts w:ascii="Arial Narrow" w:hAnsi="Arial Narrow"/>
                <w:sz w:val="18"/>
                <w:szCs w:val="18"/>
              </w:rPr>
              <w:t>Marshall</w:t>
            </w:r>
            <w:proofErr w:type="gramStart"/>
            <w:r w:rsidRPr="00E70A11">
              <w:rPr>
                <w:rFonts w:ascii="Arial Narrow" w:hAnsi="Arial Narrow"/>
                <w:sz w:val="18"/>
                <w:szCs w:val="18"/>
              </w:rPr>
              <w:t>,N.A</w:t>
            </w:r>
            <w:proofErr w:type="gramEnd"/>
            <w:r w:rsidRPr="00E70A11">
              <w:rPr>
                <w:rFonts w:ascii="Arial Narrow" w:hAnsi="Arial Narrow"/>
                <w:sz w:val="18"/>
                <w:szCs w:val="18"/>
              </w:rPr>
              <w:t>., Marshall, P. and</w:t>
            </w:r>
            <w:r>
              <w:rPr>
                <w:rFonts w:ascii="Arial Narrow" w:hAnsi="Arial Narrow"/>
                <w:sz w:val="18"/>
                <w:szCs w:val="18"/>
              </w:rPr>
              <w:t xml:space="preserve"> </w:t>
            </w:r>
            <w:r w:rsidRPr="00E70A11">
              <w:rPr>
                <w:rFonts w:ascii="Arial Narrow" w:hAnsi="Arial Narrow"/>
                <w:sz w:val="18"/>
                <w:szCs w:val="18"/>
              </w:rPr>
              <w:t>Smith, A.K. 2017. Managing for aesthetic values in the Great Barrier Reef-Identifying indicators and linking reef aesthetics to reef health. Report to the National Environmental Science Programme. Reef and Rainforest Research Centre Limited, Cairns.</w:t>
            </w:r>
          </w:p>
        </w:tc>
        <w:tc>
          <w:tcPr>
            <w:tcW w:w="912" w:type="dxa"/>
            <w:tcBorders>
              <w:top w:val="single" w:sz="4" w:space="0" w:color="auto"/>
              <w:left w:val="single" w:sz="4" w:space="0" w:color="auto"/>
              <w:bottom w:val="single" w:sz="4" w:space="0" w:color="auto"/>
              <w:right w:val="single" w:sz="4" w:space="0" w:color="auto"/>
            </w:tcBorders>
          </w:tcPr>
          <w:p w14:paraId="5761F6E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6E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6E9"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5761F6E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PR11</w:t>
            </w:r>
            <w:r>
              <w:rPr>
                <w:rFonts w:ascii="Arial Narrow" w:hAnsi="Arial Narrow"/>
                <w:sz w:val="18"/>
                <w:szCs w:val="18"/>
              </w:rPr>
              <w:t xml:space="preserve"> </w:t>
            </w:r>
            <w:r w:rsidRPr="00E70A11">
              <w:rPr>
                <w:rFonts w:ascii="Arial Narrow" w:hAnsi="Arial Narrow"/>
                <w:sz w:val="18"/>
                <w:szCs w:val="18"/>
              </w:rPr>
              <w:t>The best available Indigenous heritage information is applied appropriately to make relevant management decisions regarding historic heritage</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761F6E4" w14:textId="77777777" w:rsidR="00A56EE9" w:rsidRPr="00E70A11" w:rsidRDefault="00A56EE9" w:rsidP="00BB6AD5">
            <w:pPr>
              <w:rPr>
                <w:rFonts w:ascii="Arial Narrow" w:hAnsi="Arial Narrow"/>
                <w:sz w:val="18"/>
                <w:szCs w:val="18"/>
              </w:rPr>
            </w:pPr>
            <w:r>
              <w:rPr>
                <w:rFonts w:ascii="Arial Narrow" w:hAnsi="Arial Narrow"/>
                <w:sz w:val="18"/>
                <w:szCs w:val="18"/>
              </w:rPr>
              <w:t>NA</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6E5" w14:textId="77777777" w:rsidR="00A56EE9" w:rsidRPr="00E70A11" w:rsidRDefault="00A56EE9" w:rsidP="00BB6AD5">
            <w:pPr>
              <w:ind w:left="360"/>
              <w:contextualSpacing/>
              <w:rPr>
                <w:rFonts w:ascii="Arial Narrow" w:eastAsia="Calibri" w:hAnsi="Arial Narrow"/>
                <w:sz w:val="18"/>
                <w:szCs w:val="18"/>
              </w:rPr>
            </w:pP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6E6" w14:textId="77777777" w:rsidR="00A56EE9" w:rsidRPr="00E70A11" w:rsidRDefault="00A56EE9" w:rsidP="00BB6AD5">
            <w:pPr>
              <w:ind w:left="360"/>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E7" w14:textId="77777777" w:rsidR="00A56EE9" w:rsidRPr="00E70A11" w:rsidRDefault="00A56EE9" w:rsidP="00BB6AD5">
            <w:pPr>
              <w:rPr>
                <w:rFonts w:ascii="Arial Narrow"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E8" w14:textId="77777777" w:rsidR="00A56EE9" w:rsidRPr="00E70A11" w:rsidRDefault="00A56EE9" w:rsidP="00BB6AD5">
            <w:pPr>
              <w:rPr>
                <w:rFonts w:ascii="Arial Narrow" w:hAnsi="Arial Narrow"/>
                <w:sz w:val="18"/>
                <w:szCs w:val="18"/>
              </w:rPr>
            </w:pPr>
          </w:p>
        </w:tc>
      </w:tr>
      <w:tr w:rsidR="00A56EE9" w:rsidRPr="00E70A11" w14:paraId="5761F6F2"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5761F6E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PR12</w:t>
            </w:r>
            <w:r>
              <w:rPr>
                <w:rFonts w:ascii="Arial Narrow" w:hAnsi="Arial Narrow"/>
                <w:sz w:val="18"/>
                <w:szCs w:val="18"/>
              </w:rPr>
              <w:t xml:space="preserve"> </w:t>
            </w:r>
            <w:r w:rsidRPr="00E70A11">
              <w:rPr>
                <w:rFonts w:ascii="Arial Narrow" w:hAnsi="Arial Narrow"/>
                <w:sz w:val="18"/>
                <w:szCs w:val="18"/>
              </w:rPr>
              <w:t>The best available historic heritage information is applied appropriately to make relevant management decisions regarding historic heritage</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761F6E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6E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Where detailed information is available about heritage values, this is taken into account in management decisions, using planning and permissions processes.</w:t>
            </w:r>
          </w:p>
          <w:p w14:paraId="5761F6E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Problems arise where there is no recorded information: integration of cultural heritage assessments or searches by experts is needed before decisions are made.</w:t>
            </w:r>
          </w:p>
          <w:p w14:paraId="5761F6E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impact assessment guidelines above.</w:t>
            </w: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6E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F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F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6FD"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5761F6F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PR13</w:t>
            </w:r>
            <w:r>
              <w:rPr>
                <w:rFonts w:ascii="Arial Narrow" w:hAnsi="Arial Narrow"/>
                <w:sz w:val="18"/>
                <w:szCs w:val="18"/>
              </w:rPr>
              <w:t xml:space="preserve"> </w:t>
            </w:r>
            <w:r w:rsidRPr="00E70A11">
              <w:rPr>
                <w:rFonts w:ascii="Arial Narrow" w:hAnsi="Arial Narrow"/>
                <w:sz w:val="18"/>
                <w:szCs w:val="18"/>
              </w:rPr>
              <w:t>Relevant standards are identified and being met regarding historic heritage</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761F6F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6F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Guiding principles for historic heritage management have been updated and defined in the Heritage Strategy and in the plans and strategies relating to listed places. </w:t>
            </w:r>
          </w:p>
          <w:p w14:paraId="5761F6F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Resources are not available to provide a high level of documentation and protection to many of the historic sites.</w:t>
            </w: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6F7" w14:textId="77777777" w:rsidR="00A56EE9" w:rsidRPr="00E70A11" w:rsidRDefault="008B5998" w:rsidP="00A11869">
            <w:pPr>
              <w:numPr>
                <w:ilvl w:val="0"/>
                <w:numId w:val="157"/>
              </w:numPr>
              <w:shd w:val="clear" w:color="auto" w:fill="FFFFFF"/>
              <w:spacing w:before="100" w:beforeAutospacing="1" w:after="100" w:afterAutospacing="1" w:line="240" w:lineRule="auto"/>
              <w:ind w:left="360"/>
              <w:rPr>
                <w:rStyle w:val="Hyperlink"/>
                <w:rFonts w:ascii="Arial Narrow" w:hAnsi="Arial Narrow"/>
                <w:sz w:val="18"/>
                <w:szCs w:val="18"/>
                <w:lang w:val="en" w:eastAsia="en-AU"/>
              </w:rPr>
            </w:pPr>
            <w:hyperlink r:id="rId996" w:tgtFrame="_blank" w:history="1">
              <w:r w:rsidR="00A56EE9" w:rsidRPr="00E70A11">
                <w:rPr>
                  <w:rStyle w:val="Hyperlink"/>
                  <w:rFonts w:ascii="Arial Narrow" w:hAnsi="Arial Narrow"/>
                  <w:sz w:val="18"/>
                  <w:szCs w:val="18"/>
                  <w:lang w:val="en" w:eastAsia="en-AU"/>
                </w:rPr>
                <w:t>Dent Island Lightstation Heritage Register</w:t>
              </w:r>
            </w:hyperlink>
          </w:p>
          <w:p w14:paraId="5761F6F8" w14:textId="77777777" w:rsidR="00A56EE9" w:rsidRPr="00E70A11" w:rsidRDefault="008B5998" w:rsidP="00A11869">
            <w:pPr>
              <w:numPr>
                <w:ilvl w:val="0"/>
                <w:numId w:val="157"/>
              </w:numPr>
              <w:shd w:val="clear" w:color="auto" w:fill="FFFFFF"/>
              <w:spacing w:before="100" w:beforeAutospacing="1" w:after="100" w:afterAutospacing="1" w:line="240" w:lineRule="auto"/>
              <w:ind w:left="360"/>
              <w:rPr>
                <w:rStyle w:val="Hyperlink"/>
                <w:rFonts w:ascii="Arial Narrow" w:hAnsi="Arial Narrow"/>
                <w:sz w:val="18"/>
                <w:szCs w:val="18"/>
              </w:rPr>
            </w:pPr>
            <w:hyperlink r:id="rId997" w:tgtFrame="_blank" w:history="1">
              <w:r w:rsidR="00A56EE9" w:rsidRPr="00E70A11">
                <w:rPr>
                  <w:rStyle w:val="Hyperlink"/>
                  <w:rFonts w:ascii="Arial Narrow" w:hAnsi="Arial Narrow"/>
                  <w:sz w:val="18"/>
                  <w:szCs w:val="18"/>
                </w:rPr>
                <w:t>Lady Elliot Island Lightstation Heritage Register</w:t>
              </w:r>
            </w:hyperlink>
          </w:p>
          <w:p w14:paraId="5761F6F9" w14:textId="77777777" w:rsidR="00A56EE9" w:rsidRPr="00E70A11" w:rsidRDefault="008B5998" w:rsidP="00A11869">
            <w:pPr>
              <w:numPr>
                <w:ilvl w:val="0"/>
                <w:numId w:val="157"/>
              </w:numPr>
              <w:shd w:val="clear" w:color="auto" w:fill="FFFFFF"/>
              <w:spacing w:before="100" w:beforeAutospacing="1" w:after="100" w:afterAutospacing="1" w:line="240" w:lineRule="auto"/>
              <w:ind w:left="360"/>
              <w:rPr>
                <w:rStyle w:val="Hyperlink"/>
                <w:rFonts w:ascii="Arial Narrow" w:hAnsi="Arial Narrow"/>
                <w:sz w:val="18"/>
                <w:szCs w:val="18"/>
              </w:rPr>
            </w:pPr>
            <w:hyperlink r:id="rId998" w:tgtFrame="_blank" w:history="1">
              <w:r w:rsidR="00A56EE9" w:rsidRPr="00E70A11">
                <w:rPr>
                  <w:rStyle w:val="Hyperlink"/>
                  <w:rFonts w:ascii="Arial Narrow" w:hAnsi="Arial Narrow"/>
                  <w:sz w:val="18"/>
                  <w:szCs w:val="18"/>
                </w:rPr>
                <w:t>Low Island and Low Islets Lightstation Heritage Register</w:t>
              </w:r>
            </w:hyperlink>
          </w:p>
          <w:p w14:paraId="5761F6FA" w14:textId="77777777" w:rsidR="00A56EE9" w:rsidRPr="00E70A11" w:rsidRDefault="008B5998" w:rsidP="00A11869">
            <w:pPr>
              <w:numPr>
                <w:ilvl w:val="0"/>
                <w:numId w:val="157"/>
              </w:numPr>
              <w:shd w:val="clear" w:color="auto" w:fill="FFFFFF"/>
              <w:spacing w:before="100" w:beforeAutospacing="1" w:after="0" w:line="240" w:lineRule="auto"/>
              <w:ind w:left="360"/>
              <w:rPr>
                <w:rFonts w:ascii="Arial Narrow" w:hAnsi="Arial Narrow"/>
                <w:color w:val="0000FF"/>
                <w:sz w:val="18"/>
                <w:szCs w:val="18"/>
                <w:u w:val="single"/>
              </w:rPr>
            </w:pPr>
            <w:hyperlink r:id="rId999" w:tgtFrame="_blank" w:history="1">
              <w:r w:rsidR="00A56EE9" w:rsidRPr="00E70A11">
                <w:rPr>
                  <w:rStyle w:val="Hyperlink"/>
                  <w:rFonts w:ascii="Arial Narrow" w:hAnsi="Arial Narrow"/>
                  <w:sz w:val="18"/>
                  <w:szCs w:val="18"/>
                </w:rPr>
                <w:t>Great Barrier Reef Marine Park Commonwealth Heritage Listed Places and Properties Heritage Strategy 2018–21</w:t>
              </w:r>
            </w:hyperlink>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F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6F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706"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5761F6F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PR14</w:t>
            </w:r>
            <w:r>
              <w:rPr>
                <w:rFonts w:ascii="Arial Narrow" w:hAnsi="Arial Narrow"/>
                <w:sz w:val="18"/>
                <w:szCs w:val="18"/>
              </w:rPr>
              <w:t xml:space="preserve"> </w:t>
            </w:r>
            <w:r w:rsidRPr="00E70A11">
              <w:rPr>
                <w:rFonts w:ascii="Arial Narrow" w:hAnsi="Arial Narrow"/>
                <w:sz w:val="18"/>
                <w:szCs w:val="18"/>
              </w:rPr>
              <w:t>Targets have been established to benchmark management performance for historic heritage</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761F6F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70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Targets are established in the Field Management Program. </w:t>
            </w:r>
          </w:p>
          <w:p w14:paraId="5761F70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Reef 2050 Plan has set high-level targets but these are mostly focussed on planning and impact assessments rather than implementation of actions.</w:t>
            </w: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70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Joint Field Management Business Plans and Strategies </w:t>
            </w:r>
          </w:p>
          <w:p w14:paraId="5761F703" w14:textId="77777777" w:rsidR="00A56EE9" w:rsidRPr="00E70A11" w:rsidRDefault="00A56EE9" w:rsidP="00BB6AD5">
            <w:pPr>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70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70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70D"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E7E6E6"/>
          </w:tcPr>
          <w:p w14:paraId="5761F70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OUTPUTS</w:t>
            </w:r>
          </w:p>
        </w:tc>
        <w:tc>
          <w:tcPr>
            <w:tcW w:w="709" w:type="dxa"/>
            <w:tcBorders>
              <w:top w:val="single" w:sz="4" w:space="0" w:color="auto"/>
              <w:left w:val="single" w:sz="4" w:space="0" w:color="auto"/>
              <w:bottom w:val="single" w:sz="4" w:space="0" w:color="auto"/>
              <w:right w:val="single" w:sz="4" w:space="0" w:color="auto"/>
            </w:tcBorders>
            <w:shd w:val="clear" w:color="auto" w:fill="E7E6E6"/>
          </w:tcPr>
          <w:p w14:paraId="5761F708" w14:textId="77777777" w:rsidR="00A56EE9" w:rsidRPr="00E70A11" w:rsidRDefault="00A56EE9" w:rsidP="00BB6AD5">
            <w:pPr>
              <w:rPr>
                <w:rFonts w:ascii="Arial Narrow" w:hAnsi="Arial Narrow"/>
                <w:sz w:val="18"/>
                <w:szCs w:val="18"/>
              </w:rPr>
            </w:pPr>
          </w:p>
        </w:tc>
        <w:tc>
          <w:tcPr>
            <w:tcW w:w="5103" w:type="dxa"/>
            <w:tcBorders>
              <w:top w:val="single" w:sz="4" w:space="0" w:color="auto"/>
              <w:left w:val="single" w:sz="4" w:space="0" w:color="auto"/>
              <w:bottom w:val="single" w:sz="4" w:space="0" w:color="auto"/>
              <w:right w:val="single" w:sz="4" w:space="0" w:color="auto"/>
            </w:tcBorders>
            <w:shd w:val="clear" w:color="auto" w:fill="E7E6E6"/>
          </w:tcPr>
          <w:p w14:paraId="5761F709" w14:textId="77777777" w:rsidR="00A56EE9" w:rsidRPr="00E70A11" w:rsidRDefault="00A56EE9" w:rsidP="00BB6AD5">
            <w:pPr>
              <w:ind w:left="360"/>
              <w:contextualSpacing/>
              <w:rPr>
                <w:rFonts w:ascii="Arial Narrow" w:eastAsia="Calibri" w:hAnsi="Arial Narrow"/>
                <w:sz w:val="18"/>
                <w:szCs w:val="18"/>
              </w:rPr>
            </w:pPr>
          </w:p>
        </w:tc>
        <w:tc>
          <w:tcPr>
            <w:tcW w:w="3907" w:type="dxa"/>
            <w:tcBorders>
              <w:top w:val="single" w:sz="4" w:space="0" w:color="auto"/>
              <w:left w:val="single" w:sz="4" w:space="0" w:color="auto"/>
              <w:bottom w:val="single" w:sz="4" w:space="0" w:color="auto"/>
              <w:right w:val="single" w:sz="4" w:space="0" w:color="auto"/>
            </w:tcBorders>
            <w:shd w:val="clear" w:color="auto" w:fill="E7E6E6"/>
          </w:tcPr>
          <w:p w14:paraId="5761F70A" w14:textId="77777777" w:rsidR="00A56EE9" w:rsidRPr="00E70A11" w:rsidRDefault="00A56EE9" w:rsidP="00BB6AD5">
            <w:pPr>
              <w:ind w:left="360"/>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7E6E6"/>
          </w:tcPr>
          <w:p w14:paraId="5761F70B" w14:textId="77777777" w:rsidR="00A56EE9" w:rsidRPr="00E70A11" w:rsidRDefault="00A56EE9" w:rsidP="00BB6AD5">
            <w:pPr>
              <w:rPr>
                <w:rFonts w:ascii="Arial Narrow"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7E6E6"/>
          </w:tcPr>
          <w:p w14:paraId="5761F70C" w14:textId="77777777" w:rsidR="00A56EE9" w:rsidRPr="00E70A11" w:rsidRDefault="00A56EE9" w:rsidP="00BB6AD5">
            <w:pPr>
              <w:rPr>
                <w:rFonts w:ascii="Arial Narrow" w:hAnsi="Arial Narrow"/>
                <w:sz w:val="18"/>
                <w:szCs w:val="18"/>
              </w:rPr>
            </w:pPr>
          </w:p>
        </w:tc>
      </w:tr>
      <w:tr w:rsidR="00A56EE9" w:rsidRPr="00E70A11" w14:paraId="5761F727"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70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OP1</w:t>
            </w:r>
            <w:r>
              <w:rPr>
                <w:rFonts w:ascii="Arial Narrow" w:hAnsi="Arial Narrow"/>
                <w:sz w:val="18"/>
                <w:szCs w:val="18"/>
              </w:rPr>
              <w:t xml:space="preserve"> </w:t>
            </w:r>
            <w:r w:rsidRPr="00E70A11">
              <w:rPr>
                <w:rFonts w:ascii="Arial Narrow" w:hAnsi="Arial Narrow"/>
                <w:sz w:val="18"/>
                <w:szCs w:val="18"/>
              </w:rPr>
              <w:t xml:space="preserve">To date, the actual management program (or activities) have progressed in accordance with the planned work program for historic heritage </w:t>
            </w:r>
          </w:p>
        </w:tc>
        <w:tc>
          <w:tcPr>
            <w:tcW w:w="709" w:type="dxa"/>
            <w:tcBorders>
              <w:top w:val="single" w:sz="4" w:space="0" w:color="auto"/>
              <w:left w:val="single" w:sz="4" w:space="0" w:color="auto"/>
              <w:bottom w:val="single" w:sz="4" w:space="0" w:color="auto"/>
              <w:right w:val="single" w:sz="4" w:space="0" w:color="auto"/>
            </w:tcBorders>
          </w:tcPr>
          <w:p w14:paraId="5761F70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71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Actions relating to cultural heritage in the Reef 2050 Plan have been achieved as follows:</w:t>
            </w:r>
          </w:p>
          <w:p w14:paraId="5761F71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(HA4) Updated Heritage Strategy is underway and should be released in 2018 </w:t>
            </w:r>
          </w:p>
          <w:p w14:paraId="5761F71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(HA5)</w:t>
            </w:r>
            <w:r w:rsidRPr="00E70A11">
              <w:rPr>
                <w:rFonts w:ascii="Arial Narrow" w:hAnsi="Arial Narrow"/>
                <w:sz w:val="18"/>
                <w:szCs w:val="18"/>
              </w:rPr>
              <w:t xml:space="preserve"> </w:t>
            </w:r>
            <w:r w:rsidRPr="00E70A11">
              <w:rPr>
                <w:rFonts w:ascii="Arial Narrow" w:eastAsia="Calibri" w:hAnsi="Arial Narrow"/>
                <w:sz w:val="18"/>
                <w:szCs w:val="18"/>
              </w:rPr>
              <w:t xml:space="preserve">Guidelines to inform Marine Park permittees and assessors about requirements when assessing places with heritage value have been finalised. </w:t>
            </w:r>
          </w:p>
          <w:p w14:paraId="5761F71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HA6</w:t>
            </w:r>
            <w:r w:rsidRPr="00E70A11">
              <w:rPr>
                <w:rFonts w:ascii="Arial Narrow" w:hAnsi="Arial Narrow"/>
                <w:sz w:val="18"/>
                <w:szCs w:val="18"/>
              </w:rPr>
              <w:t xml:space="preserve"> </w:t>
            </w:r>
            <w:proofErr w:type="gramStart"/>
            <w:r w:rsidRPr="00E70A11">
              <w:rPr>
                <w:rFonts w:ascii="Arial Narrow" w:eastAsia="Calibri" w:hAnsi="Arial Narrow"/>
                <w:sz w:val="18"/>
                <w:szCs w:val="18"/>
              </w:rPr>
              <w:t>The</w:t>
            </w:r>
            <w:proofErr w:type="gramEnd"/>
            <w:r w:rsidRPr="00E70A11">
              <w:rPr>
                <w:rFonts w:ascii="Arial Narrow" w:eastAsia="Calibri" w:hAnsi="Arial Narrow"/>
                <w:sz w:val="18"/>
                <w:szCs w:val="18"/>
              </w:rPr>
              <w:t xml:space="preserve"> State planning policy for Cultural heritage establishes requirements for local government planning instruments to identify local heritage places and areas and facilitate their conservation (operations in July 2017). 18 new State Planning Policy compliant local government planning schemes have commenced in the basin boundary area including local heritage provisions. 9 schemes are yet to be finalised.</w:t>
            </w:r>
          </w:p>
          <w:p w14:paraId="5761F71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HA7 Considerable work has been undertaken to document the heritage values in the Great Barrier Reef and this is included in an internal heritage register that includes:</w:t>
            </w:r>
          </w:p>
          <w:p w14:paraId="5761F715" w14:textId="77777777" w:rsidR="00A56EE9" w:rsidRPr="00E70A11" w:rsidRDefault="00A56EE9" w:rsidP="00A11869">
            <w:pPr>
              <w:numPr>
                <w:ilvl w:val="1"/>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An inventory with heritage information for islands and reefs; </w:t>
            </w:r>
          </w:p>
          <w:p w14:paraId="5761F716" w14:textId="77777777" w:rsidR="00A56EE9" w:rsidRPr="00E70A11" w:rsidRDefault="00A56EE9" w:rsidP="00A11869">
            <w:pPr>
              <w:numPr>
                <w:ilvl w:val="1"/>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An in-house database for Commonwealth Islands;</w:t>
            </w:r>
          </w:p>
          <w:p w14:paraId="5761F717" w14:textId="77777777" w:rsidR="00A56EE9" w:rsidRPr="00E70A11" w:rsidRDefault="00A56EE9" w:rsidP="00A11869">
            <w:pPr>
              <w:numPr>
                <w:ilvl w:val="1"/>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 list of aircraft wrecks within the Great Barrier Reef; and</w:t>
            </w:r>
          </w:p>
          <w:p w14:paraId="5761F718" w14:textId="77777777" w:rsidR="00A56EE9" w:rsidRPr="00E70A11" w:rsidRDefault="00A56EE9" w:rsidP="00A11869">
            <w:pPr>
              <w:numPr>
                <w:ilvl w:val="1"/>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Heritage impact assessment guidelines from Woppaburra Traditional Owners.</w:t>
            </w:r>
          </w:p>
          <w:p w14:paraId="5761F719" w14:textId="77777777" w:rsidR="00A56EE9" w:rsidRPr="00E70A11" w:rsidRDefault="00A56EE9" w:rsidP="00A11869">
            <w:pPr>
              <w:pStyle w:val="ListParagraph"/>
              <w:numPr>
                <w:ilvl w:val="0"/>
                <w:numId w:val="24"/>
              </w:numPr>
              <w:spacing w:after="0"/>
              <w:rPr>
                <w:rFonts w:ascii="Arial Narrow" w:eastAsia="Calibri" w:hAnsi="Arial Narrow"/>
                <w:sz w:val="18"/>
                <w:szCs w:val="18"/>
              </w:rPr>
            </w:pPr>
            <w:r w:rsidRPr="00E70A11">
              <w:rPr>
                <w:rFonts w:ascii="Arial Narrow" w:eastAsia="Calibri" w:hAnsi="Arial Narrow"/>
                <w:sz w:val="18"/>
                <w:szCs w:val="18"/>
              </w:rPr>
              <w:t>HA8:</w:t>
            </w:r>
            <w:r w:rsidRPr="00E70A11">
              <w:rPr>
                <w:rFonts w:ascii="Arial Narrow" w:hAnsi="Arial Narrow"/>
                <w:sz w:val="18"/>
                <w:szCs w:val="18"/>
              </w:rPr>
              <w:t xml:space="preserve"> </w:t>
            </w:r>
            <w:r w:rsidRPr="00E70A11">
              <w:rPr>
                <w:rFonts w:ascii="Arial Narrow" w:eastAsia="Calibri" w:hAnsi="Arial Narrow"/>
                <w:sz w:val="18"/>
                <w:szCs w:val="18"/>
              </w:rPr>
              <w:t>Complete heritage management plans for Low Isles and North Reef light stations:</w:t>
            </w:r>
            <w:r>
              <w:rPr>
                <w:rFonts w:ascii="Arial Narrow" w:eastAsia="Calibri" w:hAnsi="Arial Narrow"/>
                <w:sz w:val="18"/>
                <w:szCs w:val="18"/>
              </w:rPr>
              <w:t xml:space="preserve"> </w:t>
            </w:r>
            <w:r w:rsidRPr="00E70A11">
              <w:rPr>
                <w:rFonts w:ascii="Arial Narrow" w:eastAsia="Calibri" w:hAnsi="Arial Narrow"/>
                <w:sz w:val="18"/>
                <w:szCs w:val="18"/>
              </w:rPr>
              <w:t xml:space="preserve">A draft heritage management plan for Low Islet Lighstation and Low Isles to achieve is currently being prepared to satisfy the Reef 2050 HA8 action. It will be a joint plan between the Great Barrier Reef Marine Park Authority and AMSA. North Reef Light station heritage management plan has not yet commenced. </w:t>
            </w:r>
          </w:p>
          <w:p w14:paraId="5761F71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HA9/ HA10 relate to development, updating and implementation of six shipwreck conservation plans (See PL1 for details). These are underway and should all be complete and up to date by 2020.</w:t>
            </w:r>
          </w:p>
          <w:p w14:paraId="5761F71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HA11 Desktop research has commenced and been finalized for the Whitsunday priority area. Fieldwork has been conducted and the report is being drafted.</w:t>
            </w:r>
          </w:p>
        </w:tc>
        <w:tc>
          <w:tcPr>
            <w:tcW w:w="3907" w:type="dxa"/>
            <w:tcBorders>
              <w:top w:val="single" w:sz="4" w:space="0" w:color="auto"/>
              <w:left w:val="single" w:sz="4" w:space="0" w:color="auto"/>
              <w:bottom w:val="single" w:sz="4" w:space="0" w:color="auto"/>
              <w:right w:val="single" w:sz="4" w:space="0" w:color="auto"/>
            </w:tcBorders>
          </w:tcPr>
          <w:p w14:paraId="5761F71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Woppaburra Traditional Owners</w:t>
            </w:r>
          </w:p>
          <w:p w14:paraId="5761F71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Joint Field Management Business Plans and Strategies </w:t>
            </w:r>
          </w:p>
          <w:p w14:paraId="5761F71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GBRMPA draft Heritage Strategy 2017</w:t>
            </w:r>
          </w:p>
          <w:p w14:paraId="5761F71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 Intergovernmental Agreement 2015</w:t>
            </w:r>
          </w:p>
          <w:p w14:paraId="5761F720" w14:textId="77777777" w:rsidR="00A56EE9" w:rsidRPr="00E70A11" w:rsidRDefault="008B5998" w:rsidP="00A11869">
            <w:pPr>
              <w:numPr>
                <w:ilvl w:val="0"/>
                <w:numId w:val="157"/>
              </w:numPr>
              <w:shd w:val="clear" w:color="auto" w:fill="FFFFFF"/>
              <w:spacing w:before="100" w:beforeAutospacing="1" w:after="0" w:line="240" w:lineRule="auto"/>
              <w:ind w:left="360"/>
              <w:rPr>
                <w:rStyle w:val="Hyperlink"/>
                <w:rFonts w:ascii="Arial Narrow" w:hAnsi="Arial Narrow"/>
                <w:sz w:val="18"/>
                <w:szCs w:val="18"/>
                <w:lang w:val="en" w:eastAsia="en-AU"/>
              </w:rPr>
            </w:pPr>
            <w:hyperlink r:id="rId1000" w:tgtFrame="_blank" w:history="1">
              <w:r w:rsidR="00A56EE9" w:rsidRPr="00E70A11">
                <w:rPr>
                  <w:rStyle w:val="Hyperlink"/>
                  <w:rFonts w:ascii="Arial Narrow" w:hAnsi="Arial Narrow"/>
                  <w:sz w:val="18"/>
                  <w:szCs w:val="18"/>
                  <w:lang w:val="en" w:eastAsia="en-AU"/>
                </w:rPr>
                <w:t>Dent Island Lightstation Heritage Register</w:t>
              </w:r>
            </w:hyperlink>
          </w:p>
          <w:p w14:paraId="5761F721" w14:textId="77777777" w:rsidR="00A56EE9" w:rsidRPr="00E70A11" w:rsidRDefault="008B5998" w:rsidP="00A11869">
            <w:pPr>
              <w:numPr>
                <w:ilvl w:val="0"/>
                <w:numId w:val="157"/>
              </w:numPr>
              <w:shd w:val="clear" w:color="auto" w:fill="FFFFFF"/>
              <w:spacing w:before="100" w:beforeAutospacing="1" w:after="100" w:afterAutospacing="1" w:line="240" w:lineRule="auto"/>
              <w:ind w:left="360"/>
              <w:rPr>
                <w:rStyle w:val="Hyperlink"/>
                <w:rFonts w:ascii="Arial Narrow" w:hAnsi="Arial Narrow"/>
                <w:sz w:val="18"/>
                <w:szCs w:val="18"/>
              </w:rPr>
            </w:pPr>
            <w:hyperlink r:id="rId1001" w:tgtFrame="_blank" w:history="1">
              <w:r w:rsidR="00A56EE9" w:rsidRPr="00E70A11">
                <w:rPr>
                  <w:rStyle w:val="Hyperlink"/>
                  <w:rFonts w:ascii="Arial Narrow" w:hAnsi="Arial Narrow"/>
                  <w:sz w:val="18"/>
                  <w:szCs w:val="18"/>
                </w:rPr>
                <w:t>Lady Elliot Island Lightstation Heritage Register</w:t>
              </w:r>
            </w:hyperlink>
          </w:p>
          <w:p w14:paraId="5761F722" w14:textId="77777777" w:rsidR="00A56EE9" w:rsidRPr="00E70A11" w:rsidRDefault="008B5998" w:rsidP="00A11869">
            <w:pPr>
              <w:numPr>
                <w:ilvl w:val="0"/>
                <w:numId w:val="157"/>
              </w:numPr>
              <w:shd w:val="clear" w:color="auto" w:fill="FFFFFF"/>
              <w:spacing w:before="100" w:beforeAutospacing="1" w:after="100" w:afterAutospacing="1" w:line="240" w:lineRule="auto"/>
              <w:ind w:left="360"/>
              <w:rPr>
                <w:rStyle w:val="Hyperlink"/>
                <w:rFonts w:ascii="Arial Narrow" w:hAnsi="Arial Narrow"/>
                <w:sz w:val="18"/>
                <w:szCs w:val="18"/>
              </w:rPr>
            </w:pPr>
            <w:hyperlink r:id="rId1002" w:tgtFrame="_blank" w:history="1">
              <w:r w:rsidR="00A56EE9" w:rsidRPr="00E70A11">
                <w:rPr>
                  <w:rStyle w:val="Hyperlink"/>
                  <w:rFonts w:ascii="Arial Narrow" w:hAnsi="Arial Narrow"/>
                  <w:sz w:val="18"/>
                  <w:szCs w:val="18"/>
                </w:rPr>
                <w:t>Low Island and Low Islets Lightstation Heritage Register</w:t>
              </w:r>
            </w:hyperlink>
          </w:p>
          <w:p w14:paraId="5761F723" w14:textId="77777777" w:rsidR="00A56EE9" w:rsidRPr="00E70A11" w:rsidRDefault="008B5998" w:rsidP="00A11869">
            <w:pPr>
              <w:numPr>
                <w:ilvl w:val="0"/>
                <w:numId w:val="157"/>
              </w:numPr>
              <w:shd w:val="clear" w:color="auto" w:fill="FFFFFF"/>
              <w:spacing w:before="100" w:beforeAutospacing="1" w:after="100" w:afterAutospacing="1" w:line="240" w:lineRule="auto"/>
              <w:ind w:left="360"/>
              <w:rPr>
                <w:rStyle w:val="Hyperlink"/>
                <w:rFonts w:ascii="Arial Narrow" w:hAnsi="Arial Narrow"/>
                <w:sz w:val="18"/>
                <w:szCs w:val="18"/>
              </w:rPr>
            </w:pPr>
            <w:hyperlink r:id="rId1003" w:tgtFrame="_blank" w:history="1">
              <w:r w:rsidR="00A56EE9" w:rsidRPr="00E70A11">
                <w:rPr>
                  <w:rStyle w:val="Hyperlink"/>
                  <w:rFonts w:ascii="Arial Narrow" w:hAnsi="Arial Narrow"/>
                  <w:sz w:val="18"/>
                  <w:szCs w:val="18"/>
                </w:rPr>
                <w:t>Great Barrier Reef Marine Park Commonwealth Heritage Listed Places and Properties Heritage Strategy 2018–21</w:t>
              </w:r>
            </w:hyperlink>
          </w:p>
          <w:p w14:paraId="5761F724" w14:textId="77777777" w:rsidR="00A56EE9" w:rsidRPr="00E70A11" w:rsidRDefault="00A56EE9" w:rsidP="00BB6AD5">
            <w:pPr>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tcPr>
          <w:p w14:paraId="5761F72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72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731"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72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OP2</w:t>
            </w:r>
            <w:r>
              <w:rPr>
                <w:rFonts w:ascii="Arial Narrow" w:hAnsi="Arial Narrow"/>
                <w:sz w:val="18"/>
                <w:szCs w:val="18"/>
              </w:rPr>
              <w:t xml:space="preserve"> </w:t>
            </w:r>
            <w:r w:rsidRPr="00E70A11">
              <w:rPr>
                <w:rFonts w:ascii="Arial Narrow" w:hAnsi="Arial Narrow"/>
                <w:sz w:val="18"/>
                <w:szCs w:val="18"/>
              </w:rPr>
              <w:t>Implementation of management documents and/or programs relevant to historic heritage have progressed in accordance with timeframes specified in those documents</w:t>
            </w:r>
          </w:p>
        </w:tc>
        <w:tc>
          <w:tcPr>
            <w:tcW w:w="709" w:type="dxa"/>
            <w:tcBorders>
              <w:top w:val="single" w:sz="4" w:space="0" w:color="auto"/>
              <w:left w:val="single" w:sz="4" w:space="0" w:color="auto"/>
              <w:bottom w:val="single" w:sz="4" w:space="0" w:color="auto"/>
              <w:right w:val="single" w:sz="4" w:space="0" w:color="auto"/>
            </w:tcBorders>
          </w:tcPr>
          <w:p w14:paraId="5761F72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72A" w14:textId="77777777" w:rsidR="00A56EE9" w:rsidRPr="00E70A11" w:rsidRDefault="00A56EE9" w:rsidP="00A11869">
            <w:pPr>
              <w:pStyle w:val="ListParagraph"/>
              <w:numPr>
                <w:ilvl w:val="0"/>
                <w:numId w:val="156"/>
              </w:numPr>
              <w:spacing w:after="200" w:line="276" w:lineRule="auto"/>
              <w:rPr>
                <w:rFonts w:ascii="Arial Narrow" w:eastAsia="Calibri" w:hAnsi="Arial Narrow"/>
                <w:sz w:val="18"/>
                <w:szCs w:val="18"/>
              </w:rPr>
            </w:pPr>
            <w:r w:rsidRPr="00E70A11">
              <w:rPr>
                <w:rFonts w:ascii="Arial Narrow" w:eastAsia="Calibri" w:hAnsi="Arial Narrow"/>
                <w:sz w:val="18"/>
                <w:szCs w:val="18"/>
              </w:rPr>
              <w:t>See OP1: progress is good according to timeframes.</w:t>
            </w:r>
          </w:p>
          <w:p w14:paraId="5761F72B" w14:textId="77777777" w:rsidR="00A56EE9" w:rsidRPr="00E70A11" w:rsidRDefault="00A56EE9" w:rsidP="00BB6AD5">
            <w:pPr>
              <w:contextualSpacing/>
              <w:rPr>
                <w:rFonts w:ascii="Arial Narrow" w:eastAsia="Calibri" w:hAnsi="Arial Narrow"/>
                <w:sz w:val="18"/>
                <w:szCs w:val="18"/>
              </w:rPr>
            </w:pPr>
          </w:p>
        </w:tc>
        <w:tc>
          <w:tcPr>
            <w:tcW w:w="3907" w:type="dxa"/>
            <w:tcBorders>
              <w:top w:val="single" w:sz="4" w:space="0" w:color="auto"/>
              <w:left w:val="single" w:sz="4" w:space="0" w:color="auto"/>
              <w:bottom w:val="single" w:sz="4" w:space="0" w:color="auto"/>
              <w:right w:val="single" w:sz="4" w:space="0" w:color="auto"/>
            </w:tcBorders>
          </w:tcPr>
          <w:p w14:paraId="5761F72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FMP Annual Business Plan</w:t>
            </w:r>
          </w:p>
          <w:p w14:paraId="5761F72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FMP Annual Reports</w:t>
            </w:r>
          </w:p>
          <w:p w14:paraId="5761F72E" w14:textId="77777777" w:rsidR="00A56EE9" w:rsidRPr="00E70A11" w:rsidRDefault="00A56EE9" w:rsidP="00BB6AD5">
            <w:pPr>
              <w:ind w:left="360"/>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tcPr>
          <w:p w14:paraId="5761F72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730" w14:textId="77777777" w:rsidR="00A56EE9" w:rsidRPr="00E70A11" w:rsidRDefault="00A56EE9" w:rsidP="00BB6AD5">
            <w:pPr>
              <w:rPr>
                <w:rFonts w:ascii="Arial Narrow" w:hAnsi="Arial Narrow"/>
                <w:sz w:val="18"/>
                <w:szCs w:val="18"/>
              </w:rPr>
            </w:pPr>
            <w:r>
              <w:rPr>
                <w:rFonts w:ascii="Arial Narrow" w:hAnsi="Arial Narrow"/>
                <w:sz w:val="18"/>
                <w:szCs w:val="18"/>
              </w:rPr>
              <w:t>Stable</w:t>
            </w:r>
          </w:p>
        </w:tc>
      </w:tr>
      <w:tr w:rsidR="00A56EE9" w:rsidRPr="00E70A11" w14:paraId="5761F73F"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73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OP3</w:t>
            </w:r>
            <w:r>
              <w:rPr>
                <w:rFonts w:ascii="Arial Narrow" w:hAnsi="Arial Narrow"/>
                <w:sz w:val="18"/>
                <w:szCs w:val="18"/>
              </w:rPr>
              <w:t xml:space="preserve"> </w:t>
            </w:r>
            <w:r w:rsidRPr="00E70A11">
              <w:rPr>
                <w:rFonts w:ascii="Arial Narrow" w:hAnsi="Arial Narrow"/>
                <w:sz w:val="18"/>
                <w:szCs w:val="18"/>
              </w:rPr>
              <w:t>The results (in OP1 above) have achieved their stated management objectives for historic heritage</w:t>
            </w:r>
          </w:p>
        </w:tc>
        <w:tc>
          <w:tcPr>
            <w:tcW w:w="709" w:type="dxa"/>
            <w:tcBorders>
              <w:top w:val="single" w:sz="4" w:space="0" w:color="auto"/>
              <w:left w:val="single" w:sz="4" w:space="0" w:color="auto"/>
              <w:bottom w:val="single" w:sz="4" w:space="0" w:color="auto"/>
              <w:right w:val="single" w:sz="4" w:space="0" w:color="auto"/>
            </w:tcBorders>
          </w:tcPr>
          <w:p w14:paraId="5761F73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tcPr>
          <w:p w14:paraId="5761F73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Progress towards achieving objectives is good, but limited by resources and the ability to document and understand many of the historic heritage places and objects.</w:t>
            </w:r>
          </w:p>
        </w:tc>
        <w:tc>
          <w:tcPr>
            <w:tcW w:w="3907" w:type="dxa"/>
            <w:tcBorders>
              <w:top w:val="single" w:sz="4" w:space="0" w:color="auto"/>
              <w:left w:val="single" w:sz="4" w:space="0" w:color="auto"/>
              <w:bottom w:val="single" w:sz="4" w:space="0" w:color="auto"/>
              <w:right w:val="single" w:sz="4" w:space="0" w:color="auto"/>
            </w:tcBorders>
          </w:tcPr>
          <w:p w14:paraId="5761F73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Woppaburra Traditional Owners</w:t>
            </w:r>
          </w:p>
          <w:p w14:paraId="5761F73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Joint Field Management Business Plans and Strategies </w:t>
            </w:r>
          </w:p>
          <w:p w14:paraId="5761F73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GBRMPA draft Heritage Strategy 2017</w:t>
            </w:r>
          </w:p>
          <w:p w14:paraId="5761F73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 Intergovernmental Agreement 2015</w:t>
            </w:r>
          </w:p>
          <w:p w14:paraId="5761F739" w14:textId="77777777" w:rsidR="00A56EE9" w:rsidRPr="00E70A11" w:rsidRDefault="008B5998" w:rsidP="00A11869">
            <w:pPr>
              <w:numPr>
                <w:ilvl w:val="0"/>
                <w:numId w:val="157"/>
              </w:numPr>
              <w:shd w:val="clear" w:color="auto" w:fill="FFFFFF"/>
              <w:spacing w:before="100" w:beforeAutospacing="1" w:after="0" w:line="240" w:lineRule="auto"/>
              <w:ind w:left="360"/>
              <w:rPr>
                <w:rStyle w:val="Hyperlink"/>
                <w:rFonts w:ascii="Arial Narrow" w:hAnsi="Arial Narrow"/>
                <w:sz w:val="18"/>
                <w:szCs w:val="18"/>
                <w:lang w:val="en" w:eastAsia="en-AU"/>
              </w:rPr>
            </w:pPr>
            <w:hyperlink r:id="rId1004" w:tgtFrame="_blank" w:history="1">
              <w:r w:rsidR="00A56EE9" w:rsidRPr="00E70A11">
                <w:rPr>
                  <w:rStyle w:val="Hyperlink"/>
                  <w:rFonts w:ascii="Arial Narrow" w:hAnsi="Arial Narrow"/>
                  <w:sz w:val="18"/>
                  <w:szCs w:val="18"/>
                  <w:lang w:val="en" w:eastAsia="en-AU"/>
                </w:rPr>
                <w:t>Dent Island Lightstation Heritage Register</w:t>
              </w:r>
            </w:hyperlink>
          </w:p>
          <w:p w14:paraId="5761F73A" w14:textId="77777777" w:rsidR="00A56EE9" w:rsidRPr="00E70A11" w:rsidRDefault="008B5998" w:rsidP="00A11869">
            <w:pPr>
              <w:numPr>
                <w:ilvl w:val="0"/>
                <w:numId w:val="157"/>
              </w:numPr>
              <w:shd w:val="clear" w:color="auto" w:fill="FFFFFF"/>
              <w:spacing w:before="100" w:beforeAutospacing="1" w:after="100" w:afterAutospacing="1" w:line="240" w:lineRule="auto"/>
              <w:ind w:left="360"/>
              <w:rPr>
                <w:rStyle w:val="Hyperlink"/>
                <w:rFonts w:ascii="Arial Narrow" w:hAnsi="Arial Narrow"/>
                <w:sz w:val="18"/>
                <w:szCs w:val="18"/>
              </w:rPr>
            </w:pPr>
            <w:hyperlink r:id="rId1005" w:tgtFrame="_blank" w:history="1">
              <w:r w:rsidR="00A56EE9" w:rsidRPr="00E70A11">
                <w:rPr>
                  <w:rStyle w:val="Hyperlink"/>
                  <w:rFonts w:ascii="Arial Narrow" w:hAnsi="Arial Narrow"/>
                  <w:sz w:val="18"/>
                  <w:szCs w:val="18"/>
                </w:rPr>
                <w:t>Lady Elliot Island Lightstation Heritage Register</w:t>
              </w:r>
            </w:hyperlink>
          </w:p>
          <w:p w14:paraId="5761F73B" w14:textId="77777777" w:rsidR="00A56EE9" w:rsidRPr="00E70A11" w:rsidRDefault="008B5998" w:rsidP="00A11869">
            <w:pPr>
              <w:numPr>
                <w:ilvl w:val="0"/>
                <w:numId w:val="157"/>
              </w:numPr>
              <w:shd w:val="clear" w:color="auto" w:fill="FFFFFF"/>
              <w:spacing w:before="100" w:beforeAutospacing="1" w:after="100" w:afterAutospacing="1" w:line="240" w:lineRule="auto"/>
              <w:ind w:left="360"/>
              <w:rPr>
                <w:rStyle w:val="Hyperlink"/>
                <w:rFonts w:ascii="Arial Narrow" w:hAnsi="Arial Narrow"/>
                <w:sz w:val="18"/>
                <w:szCs w:val="18"/>
              </w:rPr>
            </w:pPr>
            <w:hyperlink r:id="rId1006" w:tgtFrame="_blank" w:history="1">
              <w:r w:rsidR="00A56EE9" w:rsidRPr="00E70A11">
                <w:rPr>
                  <w:rStyle w:val="Hyperlink"/>
                  <w:rFonts w:ascii="Arial Narrow" w:hAnsi="Arial Narrow"/>
                  <w:sz w:val="18"/>
                  <w:szCs w:val="18"/>
                </w:rPr>
                <w:t>Low Island and Low Islets Lightstation Heritage Register</w:t>
              </w:r>
            </w:hyperlink>
          </w:p>
          <w:p w14:paraId="5761F73C" w14:textId="77777777" w:rsidR="00A56EE9" w:rsidRPr="002A557C" w:rsidRDefault="008B5998" w:rsidP="00A11869">
            <w:pPr>
              <w:numPr>
                <w:ilvl w:val="0"/>
                <w:numId w:val="157"/>
              </w:numPr>
              <w:shd w:val="clear" w:color="auto" w:fill="FFFFFF"/>
              <w:spacing w:before="100" w:beforeAutospacing="1" w:after="100" w:afterAutospacing="1" w:line="240" w:lineRule="auto"/>
              <w:ind w:left="360"/>
              <w:rPr>
                <w:rFonts w:ascii="Arial Narrow" w:hAnsi="Arial Narrow"/>
                <w:color w:val="0000FF"/>
                <w:sz w:val="18"/>
                <w:szCs w:val="18"/>
                <w:u w:val="single"/>
              </w:rPr>
            </w:pPr>
            <w:hyperlink r:id="rId1007" w:tgtFrame="_blank" w:history="1">
              <w:r w:rsidR="00A56EE9" w:rsidRPr="00E70A11">
                <w:rPr>
                  <w:rStyle w:val="Hyperlink"/>
                  <w:rFonts w:ascii="Arial Narrow" w:hAnsi="Arial Narrow"/>
                  <w:sz w:val="18"/>
                  <w:szCs w:val="18"/>
                </w:rPr>
                <w:t>Great Barrier Reef Marine Park Commonwealth Heritage Listed Places and Properties Heritage Strategy 2018–21</w:t>
              </w:r>
            </w:hyperlink>
          </w:p>
        </w:tc>
        <w:tc>
          <w:tcPr>
            <w:tcW w:w="912" w:type="dxa"/>
            <w:tcBorders>
              <w:top w:val="single" w:sz="4" w:space="0" w:color="auto"/>
              <w:left w:val="single" w:sz="4" w:space="0" w:color="auto"/>
              <w:bottom w:val="single" w:sz="4" w:space="0" w:color="auto"/>
              <w:right w:val="single" w:sz="4" w:space="0" w:color="auto"/>
            </w:tcBorders>
          </w:tcPr>
          <w:p w14:paraId="5761F73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73E" w14:textId="77777777" w:rsidR="00A56EE9" w:rsidRPr="00E70A11" w:rsidRDefault="00A56EE9" w:rsidP="00BB6AD5">
            <w:pPr>
              <w:rPr>
                <w:rFonts w:ascii="Arial Narrow" w:hAnsi="Arial Narrow"/>
                <w:sz w:val="18"/>
                <w:szCs w:val="18"/>
              </w:rPr>
            </w:pPr>
            <w:r>
              <w:rPr>
                <w:rFonts w:ascii="Arial Narrow" w:hAnsi="Arial Narrow"/>
                <w:sz w:val="18"/>
                <w:szCs w:val="18"/>
              </w:rPr>
              <w:t>Stable</w:t>
            </w:r>
          </w:p>
        </w:tc>
      </w:tr>
      <w:tr w:rsidR="00A56EE9" w:rsidRPr="00E70A11" w14:paraId="5761F74E"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5761F74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OP4</w:t>
            </w:r>
            <w:r>
              <w:rPr>
                <w:rFonts w:ascii="Arial Narrow" w:hAnsi="Arial Narrow"/>
                <w:sz w:val="18"/>
                <w:szCs w:val="18"/>
              </w:rPr>
              <w:t xml:space="preserve"> </w:t>
            </w:r>
            <w:r w:rsidRPr="00E70A11">
              <w:rPr>
                <w:rFonts w:ascii="Arial Narrow" w:hAnsi="Arial Narrow"/>
                <w:sz w:val="18"/>
                <w:szCs w:val="18"/>
              </w:rPr>
              <w:t>To date, products or services have been produced in accordance with the stated management objectives for historic heritage</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761F74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74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OP1: progress is good according to timeframes.</w:t>
            </w: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74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Woppaburra Traditional Owners</w:t>
            </w:r>
          </w:p>
          <w:p w14:paraId="5761F74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Joint Field Management Business Plans and Strategies </w:t>
            </w:r>
          </w:p>
          <w:p w14:paraId="5761F74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GBRMPA draft Heritage Strategy 2017</w:t>
            </w:r>
          </w:p>
          <w:p w14:paraId="5761F74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 Intergovernmental Agreement 2015</w:t>
            </w:r>
          </w:p>
          <w:p w14:paraId="5761F747" w14:textId="77777777" w:rsidR="00A56EE9" w:rsidRPr="00E70A11" w:rsidRDefault="008B5998" w:rsidP="00A11869">
            <w:pPr>
              <w:numPr>
                <w:ilvl w:val="0"/>
                <w:numId w:val="157"/>
              </w:numPr>
              <w:shd w:val="clear" w:color="auto" w:fill="FFFFFF"/>
              <w:spacing w:before="100" w:beforeAutospacing="1" w:after="0" w:line="240" w:lineRule="auto"/>
              <w:ind w:left="360"/>
              <w:rPr>
                <w:rStyle w:val="Hyperlink"/>
                <w:rFonts w:ascii="Arial Narrow" w:hAnsi="Arial Narrow"/>
                <w:sz w:val="18"/>
                <w:szCs w:val="18"/>
                <w:lang w:val="en" w:eastAsia="en-AU"/>
              </w:rPr>
            </w:pPr>
            <w:hyperlink r:id="rId1008" w:tgtFrame="_blank" w:history="1">
              <w:r w:rsidR="00A56EE9" w:rsidRPr="00E70A11">
                <w:rPr>
                  <w:rStyle w:val="Hyperlink"/>
                  <w:rFonts w:ascii="Arial Narrow" w:hAnsi="Arial Narrow"/>
                  <w:sz w:val="18"/>
                  <w:szCs w:val="18"/>
                  <w:lang w:val="en" w:eastAsia="en-AU"/>
                </w:rPr>
                <w:t>Dent Island Lightstation Heritage Register</w:t>
              </w:r>
            </w:hyperlink>
          </w:p>
          <w:p w14:paraId="5761F748" w14:textId="77777777" w:rsidR="00A56EE9" w:rsidRPr="00E70A11" w:rsidRDefault="008B5998" w:rsidP="00A11869">
            <w:pPr>
              <w:numPr>
                <w:ilvl w:val="0"/>
                <w:numId w:val="157"/>
              </w:numPr>
              <w:shd w:val="clear" w:color="auto" w:fill="FFFFFF"/>
              <w:spacing w:before="100" w:beforeAutospacing="1" w:after="100" w:afterAutospacing="1" w:line="240" w:lineRule="auto"/>
              <w:ind w:left="360"/>
              <w:rPr>
                <w:rStyle w:val="Hyperlink"/>
                <w:rFonts w:ascii="Arial Narrow" w:hAnsi="Arial Narrow"/>
                <w:sz w:val="18"/>
                <w:szCs w:val="18"/>
              </w:rPr>
            </w:pPr>
            <w:hyperlink r:id="rId1009" w:tgtFrame="_blank" w:history="1">
              <w:r w:rsidR="00A56EE9" w:rsidRPr="00E70A11">
                <w:rPr>
                  <w:rStyle w:val="Hyperlink"/>
                  <w:rFonts w:ascii="Arial Narrow" w:hAnsi="Arial Narrow"/>
                  <w:sz w:val="18"/>
                  <w:szCs w:val="18"/>
                </w:rPr>
                <w:t>Lady Elliot Island Lightstation Heritage Register</w:t>
              </w:r>
            </w:hyperlink>
          </w:p>
          <w:p w14:paraId="5761F749" w14:textId="77777777" w:rsidR="00A56EE9" w:rsidRPr="00E70A11" w:rsidRDefault="008B5998" w:rsidP="00A11869">
            <w:pPr>
              <w:numPr>
                <w:ilvl w:val="0"/>
                <w:numId w:val="157"/>
              </w:numPr>
              <w:shd w:val="clear" w:color="auto" w:fill="FFFFFF"/>
              <w:spacing w:before="100" w:beforeAutospacing="1" w:after="100" w:afterAutospacing="1" w:line="240" w:lineRule="auto"/>
              <w:ind w:left="360"/>
              <w:rPr>
                <w:rStyle w:val="Hyperlink"/>
                <w:rFonts w:ascii="Arial Narrow" w:hAnsi="Arial Narrow"/>
                <w:sz w:val="18"/>
                <w:szCs w:val="18"/>
              </w:rPr>
            </w:pPr>
            <w:hyperlink r:id="rId1010" w:tgtFrame="_blank" w:history="1">
              <w:r w:rsidR="00A56EE9" w:rsidRPr="00E70A11">
                <w:rPr>
                  <w:rStyle w:val="Hyperlink"/>
                  <w:rFonts w:ascii="Arial Narrow" w:hAnsi="Arial Narrow"/>
                  <w:sz w:val="18"/>
                  <w:szCs w:val="18"/>
                </w:rPr>
                <w:t>Low Island and Low Islets Lightstation Heritage Register</w:t>
              </w:r>
            </w:hyperlink>
          </w:p>
          <w:p w14:paraId="5761F74A" w14:textId="77777777" w:rsidR="00A56EE9" w:rsidRPr="00E70A11" w:rsidRDefault="008B5998" w:rsidP="00A11869">
            <w:pPr>
              <w:numPr>
                <w:ilvl w:val="0"/>
                <w:numId w:val="157"/>
              </w:numPr>
              <w:shd w:val="clear" w:color="auto" w:fill="FFFFFF"/>
              <w:spacing w:before="100" w:beforeAutospacing="1" w:after="100" w:afterAutospacing="1" w:line="240" w:lineRule="auto"/>
              <w:ind w:left="360"/>
              <w:rPr>
                <w:rStyle w:val="Hyperlink"/>
                <w:rFonts w:ascii="Arial Narrow" w:hAnsi="Arial Narrow"/>
                <w:sz w:val="18"/>
                <w:szCs w:val="18"/>
              </w:rPr>
            </w:pPr>
            <w:hyperlink r:id="rId1011" w:tgtFrame="_blank" w:history="1">
              <w:r w:rsidR="00A56EE9" w:rsidRPr="00E70A11">
                <w:rPr>
                  <w:rStyle w:val="Hyperlink"/>
                  <w:rFonts w:ascii="Arial Narrow" w:hAnsi="Arial Narrow"/>
                  <w:sz w:val="18"/>
                  <w:szCs w:val="18"/>
                </w:rPr>
                <w:t>Great Barrier Reef Marine Park Commonwealth Heritage Listed Places and Properties Heritage Strategy 2018–21</w:t>
              </w:r>
            </w:hyperlink>
          </w:p>
          <w:p w14:paraId="5761F74B" w14:textId="77777777" w:rsidR="00A56EE9" w:rsidRPr="00E70A11" w:rsidRDefault="00A56EE9" w:rsidP="00BB6AD5">
            <w:pPr>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74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74D" w14:textId="77777777" w:rsidR="00A56EE9" w:rsidRPr="00E70A11" w:rsidRDefault="00A56EE9" w:rsidP="00BB6AD5">
            <w:pPr>
              <w:rPr>
                <w:rFonts w:ascii="Arial Narrow" w:hAnsi="Arial Narrow"/>
                <w:sz w:val="18"/>
                <w:szCs w:val="18"/>
              </w:rPr>
            </w:pPr>
            <w:r>
              <w:rPr>
                <w:rFonts w:ascii="Arial Narrow" w:hAnsi="Arial Narrow"/>
                <w:sz w:val="18"/>
                <w:szCs w:val="18"/>
              </w:rPr>
              <w:t>Stable</w:t>
            </w:r>
          </w:p>
        </w:tc>
      </w:tr>
      <w:tr w:rsidR="00A56EE9" w:rsidRPr="00E70A11" w14:paraId="5761F75F"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4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OP5</w:t>
            </w:r>
            <w:r>
              <w:rPr>
                <w:rFonts w:ascii="Arial Narrow" w:hAnsi="Arial Narrow"/>
                <w:sz w:val="18"/>
                <w:szCs w:val="18"/>
              </w:rPr>
              <w:t xml:space="preserve"> </w:t>
            </w:r>
            <w:r w:rsidRPr="00E70A11">
              <w:rPr>
                <w:rFonts w:ascii="Arial Narrow" w:hAnsi="Arial Narrow"/>
                <w:sz w:val="18"/>
                <w:szCs w:val="18"/>
              </w:rPr>
              <w:t>Effective knowledge management systems regarding historic heritage are in place within agencies</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5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5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do not appear to be significant efforts to research and record living cultural heritage (including through interviews and photographic collections of older people with knowledge and experience of the reef).</w:t>
            </w:r>
            <w:r w:rsidRPr="00E70A11" w:rsidDel="00CF7222">
              <w:rPr>
                <w:rFonts w:ascii="Arial Narrow" w:eastAsia="Calibri" w:hAnsi="Arial Narrow"/>
                <w:sz w:val="18"/>
                <w:szCs w:val="18"/>
              </w:rPr>
              <w:t xml:space="preserve"> </w:t>
            </w:r>
          </w:p>
          <w:p w14:paraId="5761F75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Knowledge management systems are outlined in CO1</w:t>
            </w:r>
          </w:p>
          <w:p w14:paraId="5761F75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u w:val="single"/>
              </w:rPr>
            </w:pPr>
            <w:r w:rsidRPr="00E70A11">
              <w:rPr>
                <w:rFonts w:ascii="Arial Narrow" w:eastAsia="Calibri" w:hAnsi="Arial Narrow"/>
                <w:sz w:val="18"/>
                <w:szCs w:val="18"/>
                <w:u w:val="single"/>
              </w:rPr>
              <w:t xml:space="preserve">Commonwealth Heritage List - GBR Heritage Register </w:t>
            </w:r>
          </w:p>
          <w:p w14:paraId="5761F754" w14:textId="77777777" w:rsidR="00A56EE9" w:rsidRPr="00E70A11" w:rsidRDefault="00A56EE9" w:rsidP="00A11869">
            <w:pPr>
              <w:numPr>
                <w:ilvl w:val="0"/>
                <w:numId w:val="24"/>
              </w:numPr>
              <w:spacing w:after="0" w:line="240" w:lineRule="auto"/>
              <w:contextualSpacing/>
              <w:rPr>
                <w:rFonts w:ascii="Arial Narrow" w:eastAsia="Calibri" w:hAnsi="Arial Narrow"/>
                <w:b/>
                <w:i/>
                <w:sz w:val="18"/>
                <w:szCs w:val="18"/>
              </w:rPr>
            </w:pPr>
            <w:r w:rsidRPr="00E70A11">
              <w:rPr>
                <w:rFonts w:ascii="Arial Narrow" w:eastAsia="Calibri" w:hAnsi="Arial Narrow"/>
                <w:sz w:val="18"/>
                <w:szCs w:val="18"/>
              </w:rPr>
              <w:t>All Commonwealth agencies must produce a statutory register of listed places, available to the public, that sets out, for each place it owns or controls, the heritage values (if any) of that place.</w:t>
            </w:r>
          </w:p>
          <w:p w14:paraId="5761F755" w14:textId="77777777" w:rsidR="00A56EE9" w:rsidRPr="00E70A11" w:rsidRDefault="00A56EE9" w:rsidP="00A11869">
            <w:pPr>
              <w:numPr>
                <w:ilvl w:val="0"/>
                <w:numId w:val="24"/>
              </w:numPr>
              <w:spacing w:after="0" w:line="240" w:lineRule="auto"/>
              <w:contextualSpacing/>
              <w:rPr>
                <w:rFonts w:ascii="Arial Narrow" w:eastAsia="Calibri" w:hAnsi="Arial Narrow"/>
                <w:b/>
                <w:i/>
                <w:sz w:val="18"/>
                <w:szCs w:val="18"/>
              </w:rPr>
            </w:pPr>
            <w:r w:rsidRPr="00E70A11">
              <w:rPr>
                <w:rFonts w:ascii="Arial Narrow" w:eastAsia="Calibri" w:hAnsi="Arial Narrow"/>
                <w:sz w:val="18"/>
                <w:szCs w:val="18"/>
              </w:rPr>
              <w:t>Australian historic shipwrecks database ran by DoEE. GBRMPA has provided data on maritime cultural heritage in the GBR,</w:t>
            </w:r>
          </w:p>
          <w:p w14:paraId="5761F75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Draft GBRMP heritage register entries for Dent Island Lighstation, Lady Elliott Island Lighstation, and Low Island and Low Islet Lighstation were finalised in October 2017. </w:t>
            </w:r>
          </w:p>
          <w:p w14:paraId="5761F75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GBR Heritage Register is aimed to identify whether the heritage item is within the GBR Marine Park, the Region or the GBWHA, via spatial mapping/ GPS coordinates and be able to subsequently be linked to spatial layers by either a centroid or polygon. Register is under development. </w:t>
            </w:r>
          </w:p>
          <w:p w14:paraId="5761F75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Islands register – available within GBRMPA only.</w:t>
            </w:r>
          </w:p>
          <w:p w14:paraId="5761F75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Management of scientific information procedures are in place and are delivered at whole-of-GBRMPA using RefWorks as its database and citation management tool.</w:t>
            </w:r>
          </w:p>
          <w:p w14:paraId="5761F75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Spatial information and datasets arising from research conducted on in the Marine Park are housed and managed by the GBRMPA Spatial Data Centre.</w:t>
            </w:r>
          </w:p>
        </w:tc>
        <w:tc>
          <w:tcPr>
            <w:tcW w:w="3907"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5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u w:val="single"/>
              </w:rPr>
            </w:pPr>
            <w:r w:rsidRPr="00E70A11">
              <w:rPr>
                <w:rFonts w:ascii="Arial Narrow" w:eastAsia="Calibri" w:hAnsi="Arial Narrow"/>
                <w:sz w:val="18"/>
                <w:szCs w:val="18"/>
                <w:u w:val="single"/>
              </w:rPr>
              <w:t xml:space="preserve">Commonwealth Heritage List - GBR Heritage Register </w:t>
            </w:r>
          </w:p>
          <w:p w14:paraId="5761F75C" w14:textId="77777777" w:rsidR="00A56EE9" w:rsidRPr="00E70A11" w:rsidRDefault="00A56EE9" w:rsidP="00BB6AD5">
            <w:pPr>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5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5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76A"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6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OP6</w:t>
            </w:r>
            <w:r>
              <w:rPr>
                <w:rFonts w:ascii="Arial Narrow" w:hAnsi="Arial Narrow"/>
                <w:sz w:val="18"/>
                <w:szCs w:val="18"/>
              </w:rPr>
              <w:t xml:space="preserve"> </w:t>
            </w:r>
            <w:r w:rsidRPr="00E70A11">
              <w:rPr>
                <w:rFonts w:ascii="Arial Narrow" w:hAnsi="Arial Narrow"/>
                <w:sz w:val="18"/>
                <w:szCs w:val="18"/>
              </w:rPr>
              <w:t>Effective systems are in place to share knowledge on historic heritage with the community</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6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6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Within limitations of funds and staff, information is shared through many media outlets. See PR 2</w:t>
            </w:r>
          </w:p>
        </w:tc>
        <w:tc>
          <w:tcPr>
            <w:tcW w:w="3907"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63" w14:textId="06E05199" w:rsidR="00A56EE9" w:rsidRPr="002A557C" w:rsidRDefault="008B5998" w:rsidP="00A11869">
            <w:pPr>
              <w:numPr>
                <w:ilvl w:val="0"/>
                <w:numId w:val="24"/>
              </w:numPr>
              <w:spacing w:after="0" w:line="240" w:lineRule="auto"/>
              <w:contextualSpacing/>
              <w:rPr>
                <w:rFonts w:ascii="Arial Narrow" w:eastAsia="Calibri" w:hAnsi="Arial Narrow"/>
                <w:sz w:val="18"/>
                <w:szCs w:val="18"/>
              </w:rPr>
            </w:pPr>
            <w:hyperlink r:id="rId1012" w:tooltip="document link" w:history="1">
              <w:r w:rsidR="00A56EE9" w:rsidRPr="002A557C">
                <w:rPr>
                  <w:rFonts w:ascii="Arial Narrow" w:eastAsia="Calibri" w:hAnsi="Arial Narrow"/>
                  <w:color w:val="0000FF"/>
                  <w:sz w:val="18"/>
                  <w:szCs w:val="18"/>
                  <w:u w:val="single"/>
                </w:rPr>
                <w:t>http://www.gbrmpa.gov.au/media-room/latest-news/heritage/2017/celebrating-great-barrier-reef-heritage</w:t>
              </w:r>
            </w:hyperlink>
          </w:p>
          <w:p w14:paraId="5761F764" w14:textId="5366EE50" w:rsidR="00A56EE9" w:rsidRPr="002A557C" w:rsidRDefault="00A56EE9" w:rsidP="00A11869">
            <w:pPr>
              <w:numPr>
                <w:ilvl w:val="0"/>
                <w:numId w:val="24"/>
              </w:numPr>
              <w:spacing w:after="0" w:line="240" w:lineRule="auto"/>
              <w:contextualSpacing/>
              <w:rPr>
                <w:rFonts w:ascii="Arial Narrow" w:eastAsia="Calibri" w:hAnsi="Arial Narrow"/>
                <w:color w:val="0000FF"/>
                <w:sz w:val="18"/>
                <w:szCs w:val="18"/>
                <w:u w:val="single"/>
              </w:rPr>
            </w:pPr>
            <w:r w:rsidRPr="002A557C">
              <w:rPr>
                <w:rFonts w:ascii="Arial Narrow" w:eastAsia="Calibri" w:hAnsi="Arial Narrow"/>
                <w:sz w:val="18"/>
                <w:szCs w:val="18"/>
              </w:rPr>
              <w:t>(</w:t>
            </w:r>
            <w:hyperlink r:id="rId1013" w:tooltip="document link" w:history="1">
              <w:r w:rsidRPr="002A557C">
                <w:rPr>
                  <w:rFonts w:ascii="Arial Narrow" w:eastAsia="Calibri" w:hAnsi="Arial Narrow"/>
                  <w:color w:val="0000FF"/>
                  <w:sz w:val="18"/>
                  <w:szCs w:val="18"/>
                  <w:u w:val="single"/>
                </w:rPr>
                <w:t>https://www.youtube.com/watch?v=QpM8lk6U-pk&amp;feature=player_embedded</w:t>
              </w:r>
            </w:hyperlink>
          </w:p>
          <w:p w14:paraId="5761F765" w14:textId="41EB7914" w:rsidR="00A56EE9" w:rsidRPr="002A557C" w:rsidRDefault="008B5998" w:rsidP="00A11869">
            <w:pPr>
              <w:numPr>
                <w:ilvl w:val="0"/>
                <w:numId w:val="24"/>
              </w:numPr>
              <w:spacing w:after="0" w:line="240" w:lineRule="auto"/>
              <w:contextualSpacing/>
              <w:rPr>
                <w:rFonts w:ascii="Arial Narrow" w:eastAsia="Calibri" w:hAnsi="Arial Narrow"/>
                <w:sz w:val="18"/>
                <w:szCs w:val="18"/>
              </w:rPr>
            </w:pPr>
            <w:hyperlink r:id="rId1014" w:tooltip="document link" w:history="1">
              <w:r w:rsidR="00A56EE9" w:rsidRPr="002A557C">
                <w:rPr>
                  <w:rFonts w:ascii="Arial Narrow" w:eastAsia="Calibri" w:hAnsi="Arial Narrow"/>
                  <w:color w:val="0000FF"/>
                  <w:sz w:val="18"/>
                  <w:szCs w:val="18"/>
                  <w:u w:val="single"/>
                </w:rPr>
                <w:t>https://www.youtube.com/watch?v=vPsKxFXqU0g&amp;feature=player_embedded</w:t>
              </w:r>
            </w:hyperlink>
            <w:r w:rsidR="00A56EE9" w:rsidRPr="002A557C">
              <w:rPr>
                <w:rFonts w:ascii="Arial Narrow" w:eastAsia="Calibri" w:hAnsi="Arial Narrow"/>
                <w:sz w:val="18"/>
                <w:szCs w:val="18"/>
              </w:rPr>
              <w:t>),</w:t>
            </w:r>
          </w:p>
          <w:p w14:paraId="5761F766" w14:textId="77777777" w:rsidR="00A56EE9" w:rsidRPr="002A557C" w:rsidRDefault="00A56EE9" w:rsidP="00A11869">
            <w:pPr>
              <w:numPr>
                <w:ilvl w:val="0"/>
                <w:numId w:val="24"/>
              </w:numPr>
              <w:spacing w:after="0" w:line="240" w:lineRule="auto"/>
              <w:contextualSpacing/>
              <w:rPr>
                <w:rFonts w:ascii="Arial Narrow" w:eastAsia="Calibri" w:hAnsi="Arial Narrow"/>
                <w:color w:val="1F4E79" w:themeColor="accent5" w:themeShade="80"/>
                <w:sz w:val="18"/>
                <w:szCs w:val="18"/>
                <w:u w:val="single"/>
              </w:rPr>
            </w:pPr>
            <w:r w:rsidRPr="002A557C">
              <w:rPr>
                <w:rFonts w:ascii="Arial Narrow" w:eastAsia="Calibri" w:hAnsi="Arial Narrow"/>
                <w:color w:val="1F4E79" w:themeColor="accent5" w:themeShade="80"/>
                <w:sz w:val="18"/>
                <w:szCs w:val="18"/>
                <w:u w:val="single"/>
              </w:rPr>
              <w:t>https://www.ninneyrise.com/audios-and-photos.html</w:t>
            </w:r>
          </w:p>
          <w:p w14:paraId="5761F767" w14:textId="77777777" w:rsidR="00A56EE9" w:rsidRPr="00E70A11" w:rsidRDefault="00A56EE9" w:rsidP="00BB6AD5">
            <w:pPr>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6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6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771"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E7E6E6"/>
          </w:tcPr>
          <w:p w14:paraId="5761F76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OUTCOMES</w:t>
            </w:r>
          </w:p>
        </w:tc>
        <w:tc>
          <w:tcPr>
            <w:tcW w:w="709" w:type="dxa"/>
            <w:tcBorders>
              <w:top w:val="single" w:sz="4" w:space="0" w:color="auto"/>
              <w:left w:val="single" w:sz="4" w:space="0" w:color="auto"/>
              <w:bottom w:val="single" w:sz="4" w:space="0" w:color="auto"/>
              <w:right w:val="single" w:sz="4" w:space="0" w:color="auto"/>
            </w:tcBorders>
            <w:shd w:val="clear" w:color="auto" w:fill="E7E6E6"/>
          </w:tcPr>
          <w:p w14:paraId="5761F76C" w14:textId="77777777" w:rsidR="00A56EE9" w:rsidRPr="00E70A11" w:rsidRDefault="00A56EE9" w:rsidP="00BB6AD5">
            <w:pPr>
              <w:rPr>
                <w:rFonts w:ascii="Arial Narrow" w:hAnsi="Arial Narrow"/>
                <w:sz w:val="18"/>
                <w:szCs w:val="18"/>
              </w:rPr>
            </w:pPr>
          </w:p>
        </w:tc>
        <w:tc>
          <w:tcPr>
            <w:tcW w:w="5103" w:type="dxa"/>
            <w:tcBorders>
              <w:top w:val="single" w:sz="4" w:space="0" w:color="auto"/>
              <w:left w:val="single" w:sz="4" w:space="0" w:color="auto"/>
              <w:bottom w:val="single" w:sz="4" w:space="0" w:color="auto"/>
              <w:right w:val="single" w:sz="4" w:space="0" w:color="auto"/>
            </w:tcBorders>
            <w:shd w:val="clear" w:color="auto" w:fill="E7E6E6"/>
          </w:tcPr>
          <w:p w14:paraId="5761F76D" w14:textId="77777777" w:rsidR="00A56EE9" w:rsidRPr="00E70A11" w:rsidRDefault="00A56EE9" w:rsidP="00BB6AD5">
            <w:pPr>
              <w:ind w:left="360"/>
              <w:contextualSpacing/>
              <w:rPr>
                <w:rFonts w:ascii="Arial Narrow" w:eastAsia="Calibri" w:hAnsi="Arial Narrow"/>
                <w:sz w:val="18"/>
                <w:szCs w:val="18"/>
              </w:rPr>
            </w:pPr>
          </w:p>
        </w:tc>
        <w:tc>
          <w:tcPr>
            <w:tcW w:w="3907" w:type="dxa"/>
            <w:tcBorders>
              <w:top w:val="single" w:sz="4" w:space="0" w:color="auto"/>
              <w:left w:val="single" w:sz="4" w:space="0" w:color="auto"/>
              <w:bottom w:val="single" w:sz="4" w:space="0" w:color="auto"/>
              <w:right w:val="single" w:sz="4" w:space="0" w:color="auto"/>
            </w:tcBorders>
            <w:shd w:val="clear" w:color="auto" w:fill="E7E6E6"/>
          </w:tcPr>
          <w:p w14:paraId="5761F76E" w14:textId="77777777" w:rsidR="00A56EE9" w:rsidRPr="00E70A11" w:rsidRDefault="00A56EE9" w:rsidP="00BB6AD5">
            <w:pPr>
              <w:ind w:left="360"/>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7E6E6"/>
          </w:tcPr>
          <w:p w14:paraId="5761F76F" w14:textId="77777777" w:rsidR="00A56EE9" w:rsidRPr="00E70A11" w:rsidRDefault="00A56EE9" w:rsidP="00BB6AD5">
            <w:pPr>
              <w:rPr>
                <w:rFonts w:ascii="Arial Narrow"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shd w:val="clear" w:color="auto" w:fill="E7E6E6"/>
          </w:tcPr>
          <w:p w14:paraId="5761F770" w14:textId="77777777" w:rsidR="00A56EE9" w:rsidRPr="00E70A11" w:rsidRDefault="00A56EE9" w:rsidP="00BB6AD5">
            <w:pPr>
              <w:rPr>
                <w:rFonts w:ascii="Arial Narrow" w:hAnsi="Arial Narrow"/>
                <w:sz w:val="18"/>
                <w:szCs w:val="18"/>
              </w:rPr>
            </w:pPr>
          </w:p>
        </w:tc>
      </w:tr>
      <w:tr w:rsidR="00A56EE9" w:rsidRPr="00E70A11" w14:paraId="5761F77C"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7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OC1</w:t>
            </w:r>
            <w:r>
              <w:rPr>
                <w:rFonts w:ascii="Arial Narrow" w:hAnsi="Arial Narrow"/>
                <w:sz w:val="18"/>
                <w:szCs w:val="18"/>
              </w:rPr>
              <w:t xml:space="preserve"> </w:t>
            </w:r>
            <w:r w:rsidRPr="00E70A11">
              <w:rPr>
                <w:rFonts w:ascii="Arial Narrow" w:hAnsi="Arial Narrow"/>
                <w:sz w:val="18"/>
                <w:szCs w:val="18"/>
              </w:rPr>
              <w:t>The relevant managing agencies are to date effectively addressing historic heritage and moving towards the attainment of the desired outcomes.</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7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7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has been progress in planning for and documenting historic values, but there are still many significant sites without full documentation, mapping or protection.</w:t>
            </w:r>
          </w:p>
          <w:p w14:paraId="5761F77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A substantial gap in the GBRMPA’s current practice for protecting heritage is integration of heritage into all decision making, especially relating to development approvals. </w:t>
            </w:r>
          </w:p>
          <w:p w14:paraId="5761F77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Special Management Areas have been declared for two Catalina wrecks</w:t>
            </w:r>
          </w:p>
          <w:p w14:paraId="5761F77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Assessment guidelines have been produced.</w:t>
            </w:r>
          </w:p>
          <w:p w14:paraId="5761F77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Draft Heritage Strategy has been developed.</w:t>
            </w:r>
          </w:p>
        </w:tc>
        <w:tc>
          <w:tcPr>
            <w:tcW w:w="3907"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7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 Staff discussions and documents referenced above</w:t>
            </w:r>
          </w:p>
        </w:tc>
        <w:tc>
          <w:tcPr>
            <w:tcW w:w="912"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7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7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785"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7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OC2</w:t>
            </w:r>
            <w:r>
              <w:rPr>
                <w:rFonts w:ascii="Arial Narrow" w:hAnsi="Arial Narrow"/>
                <w:sz w:val="18"/>
                <w:szCs w:val="18"/>
              </w:rPr>
              <w:t xml:space="preserve"> </w:t>
            </w:r>
            <w:r w:rsidRPr="00E70A11">
              <w:rPr>
                <w:rFonts w:ascii="Arial Narrow" w:hAnsi="Arial Narrow"/>
                <w:sz w:val="18"/>
                <w:szCs w:val="18"/>
              </w:rPr>
              <w:t>The outputs relating to historic heritage are on track to ensure the values of the Great Barrier Reef are protected (refer CO1)</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7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7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Outputs listed in OP1 show progress but relate mainly to planning and documentation, and there remain some gaps in protection.</w:t>
            </w:r>
          </w:p>
          <w:p w14:paraId="5761F78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Maritime cultural heritage sites, including some that contain human remains, remain under threat, and many have not been documented or mapped.</w:t>
            </w:r>
          </w:p>
          <w:p w14:paraId="5761F781" w14:textId="77777777" w:rsidR="00A56EE9" w:rsidRPr="004038C6"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development approval process may not yet give full protection to historic sites.</w:t>
            </w:r>
          </w:p>
        </w:tc>
        <w:tc>
          <w:tcPr>
            <w:tcW w:w="3907"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8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Staff discussions and documents referenced above</w:t>
            </w:r>
          </w:p>
        </w:tc>
        <w:tc>
          <w:tcPr>
            <w:tcW w:w="912"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8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8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78D"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78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OC3</w:t>
            </w:r>
            <w:r>
              <w:rPr>
                <w:rFonts w:ascii="Arial Narrow" w:hAnsi="Arial Narrow"/>
                <w:sz w:val="18"/>
                <w:szCs w:val="18"/>
              </w:rPr>
              <w:t xml:space="preserve"> </w:t>
            </w:r>
            <w:r w:rsidRPr="00E70A11">
              <w:rPr>
                <w:rFonts w:ascii="Arial Narrow" w:hAnsi="Arial Narrow"/>
                <w:sz w:val="18"/>
                <w:szCs w:val="18"/>
              </w:rPr>
              <w:t>The outputs (refer OP1 and 3) for historic heritage are reducing the major risks and the threats to the Great Barrier Reef</w:t>
            </w:r>
          </w:p>
        </w:tc>
        <w:tc>
          <w:tcPr>
            <w:tcW w:w="709" w:type="dxa"/>
            <w:tcBorders>
              <w:top w:val="single" w:sz="4" w:space="0" w:color="auto"/>
              <w:left w:val="single" w:sz="4" w:space="0" w:color="auto"/>
              <w:bottom w:val="single" w:sz="4" w:space="0" w:color="auto"/>
              <w:right w:val="single" w:sz="4" w:space="0" w:color="auto"/>
            </w:tcBorders>
          </w:tcPr>
          <w:p w14:paraId="5761F78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103" w:type="dxa"/>
            <w:tcBorders>
              <w:top w:val="single" w:sz="4" w:space="0" w:color="auto"/>
              <w:left w:val="single" w:sz="4" w:space="0" w:color="auto"/>
              <w:bottom w:val="single" w:sz="4" w:space="0" w:color="auto"/>
              <w:right w:val="single" w:sz="4" w:space="0" w:color="auto"/>
            </w:tcBorders>
          </w:tcPr>
          <w:p w14:paraId="5761F78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Major risks to historic cultural heritage and aesthetic values include climate change, cyclones, turbidity and sedimentation. These major threats are not being effectively reduced. In addition, historic sites will naturally deteriorate over time without specific restoration measures.</w:t>
            </w:r>
          </w:p>
          <w:p w14:paraId="5761F78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Aircraft and vessel patrols include the two WWII Catalina seaplane wrecks and historic shipwreck sites to deter and detect illegal fishing and unpermitted access to exclusion zones. In addition to their Marine Park Inspector powers, several joint Field Management Program (FMP) staff also have enforcement powers under the Historic Shipwrecks Act 1976, and undertake investigations of breaches of this legislation – such as scuba divers illegally entering the Yongala shipwreck.</w:t>
            </w:r>
          </w:p>
        </w:tc>
        <w:tc>
          <w:tcPr>
            <w:tcW w:w="3907" w:type="dxa"/>
            <w:tcBorders>
              <w:top w:val="single" w:sz="4" w:space="0" w:color="auto"/>
              <w:left w:val="single" w:sz="4" w:space="0" w:color="auto"/>
              <w:bottom w:val="single" w:sz="4" w:space="0" w:color="auto"/>
              <w:right w:val="single" w:sz="4" w:space="0" w:color="auto"/>
            </w:tcBorders>
          </w:tcPr>
          <w:p w14:paraId="5761F78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Staff discussions</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78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78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795"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78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OC4</w:t>
            </w:r>
            <w:r>
              <w:rPr>
                <w:rFonts w:ascii="Arial Narrow" w:hAnsi="Arial Narrow"/>
                <w:sz w:val="18"/>
                <w:szCs w:val="18"/>
              </w:rPr>
              <w:t xml:space="preserve"> </w:t>
            </w:r>
            <w:r w:rsidRPr="00E70A11">
              <w:rPr>
                <w:rFonts w:ascii="Arial Narrow" w:hAnsi="Arial Narrow"/>
                <w:sz w:val="18"/>
                <w:szCs w:val="18"/>
              </w:rPr>
              <w:t>Use of the Great Barrier Reef relating to historic heritage is demonstrably environmentally sustainable</w:t>
            </w:r>
          </w:p>
        </w:tc>
        <w:tc>
          <w:tcPr>
            <w:tcW w:w="709" w:type="dxa"/>
            <w:tcBorders>
              <w:top w:val="single" w:sz="4" w:space="0" w:color="auto"/>
              <w:left w:val="single" w:sz="4" w:space="0" w:color="auto"/>
              <w:bottom w:val="single" w:sz="4" w:space="0" w:color="auto"/>
              <w:right w:val="single" w:sz="4" w:space="0" w:color="auto"/>
            </w:tcBorders>
          </w:tcPr>
          <w:p w14:paraId="5761F78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103" w:type="dxa"/>
            <w:tcBorders>
              <w:top w:val="single" w:sz="4" w:space="0" w:color="auto"/>
              <w:left w:val="single" w:sz="4" w:space="0" w:color="auto"/>
              <w:bottom w:val="single" w:sz="4" w:space="0" w:color="auto"/>
              <w:right w:val="single" w:sz="4" w:space="0" w:color="auto"/>
            </w:tcBorders>
          </w:tcPr>
          <w:p w14:paraId="5761F79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Use/access of heritage sites such as shipwrecks, Low Isles, Endeavour Reef and the tourism ventures at Low Isles and Lady Elliot Island are considered environmentally sustainable.</w:t>
            </w:r>
          </w:p>
          <w:p w14:paraId="5761F79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Few impacts have been recorded from human use</w:t>
            </w:r>
            <w:r>
              <w:rPr>
                <w:rFonts w:ascii="Arial Narrow" w:eastAsia="Calibri" w:hAnsi="Arial Narrow"/>
                <w:sz w:val="18"/>
                <w:szCs w:val="18"/>
              </w:rPr>
              <w:t xml:space="preserve"> in relation to historic hertitage</w:t>
            </w:r>
            <w:r w:rsidRPr="00E70A11">
              <w:rPr>
                <w:rFonts w:ascii="Arial Narrow" w:eastAsia="Calibri" w:hAnsi="Arial Narrow"/>
                <w:sz w:val="18"/>
                <w:szCs w:val="18"/>
              </w:rPr>
              <w:t>.</w:t>
            </w:r>
          </w:p>
        </w:tc>
        <w:tc>
          <w:tcPr>
            <w:tcW w:w="3907" w:type="dxa"/>
            <w:tcBorders>
              <w:top w:val="single" w:sz="4" w:space="0" w:color="auto"/>
              <w:left w:val="single" w:sz="4" w:space="0" w:color="auto"/>
              <w:bottom w:val="single" w:sz="4" w:space="0" w:color="auto"/>
              <w:right w:val="single" w:sz="4" w:space="0" w:color="auto"/>
            </w:tcBorders>
          </w:tcPr>
          <w:p w14:paraId="5761F79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Staff discussions</w:t>
            </w:r>
          </w:p>
        </w:tc>
        <w:tc>
          <w:tcPr>
            <w:tcW w:w="912" w:type="dxa"/>
            <w:tcBorders>
              <w:top w:val="single" w:sz="4" w:space="0" w:color="auto"/>
              <w:left w:val="single" w:sz="4" w:space="0" w:color="auto"/>
              <w:bottom w:val="single" w:sz="4" w:space="0" w:color="auto"/>
              <w:right w:val="single" w:sz="4" w:space="0" w:color="auto"/>
            </w:tcBorders>
          </w:tcPr>
          <w:p w14:paraId="5761F79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12" w:type="dxa"/>
            <w:tcBorders>
              <w:top w:val="single" w:sz="4" w:space="0" w:color="auto"/>
              <w:left w:val="single" w:sz="4" w:space="0" w:color="auto"/>
              <w:bottom w:val="single" w:sz="4" w:space="0" w:color="auto"/>
              <w:right w:val="single" w:sz="4" w:space="0" w:color="auto"/>
            </w:tcBorders>
          </w:tcPr>
          <w:p w14:paraId="5761F79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79F"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79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OC5</w:t>
            </w:r>
            <w:r>
              <w:rPr>
                <w:rFonts w:ascii="Arial Narrow" w:hAnsi="Arial Narrow"/>
                <w:sz w:val="18"/>
                <w:szCs w:val="18"/>
              </w:rPr>
              <w:t xml:space="preserve"> </w:t>
            </w:r>
            <w:r w:rsidRPr="00E70A11">
              <w:rPr>
                <w:rFonts w:ascii="Arial Narrow" w:hAnsi="Arial Narrow"/>
                <w:sz w:val="18"/>
                <w:szCs w:val="18"/>
              </w:rPr>
              <w:t>Use of the Great Barrier Reef relating to historic heritage is demonstrably economically sustainable</w:t>
            </w:r>
          </w:p>
        </w:tc>
        <w:tc>
          <w:tcPr>
            <w:tcW w:w="709" w:type="dxa"/>
            <w:tcBorders>
              <w:top w:val="single" w:sz="4" w:space="0" w:color="auto"/>
              <w:left w:val="single" w:sz="4" w:space="0" w:color="auto"/>
              <w:bottom w:val="single" w:sz="4" w:space="0" w:color="auto"/>
              <w:right w:val="single" w:sz="4" w:space="0" w:color="auto"/>
            </w:tcBorders>
          </w:tcPr>
          <w:p w14:paraId="5761F79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79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SELTMP program may be of assistance to understand the economic sustainability of historic heritage values within the GBRMP.</w:t>
            </w:r>
          </w:p>
          <w:p w14:paraId="5761F79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Use relating to historic heritage is usually part of more general use of the GBR, except where people are specifically visiting historic shipwrecks</w:t>
            </w:r>
          </w:p>
          <w:p w14:paraId="5761F79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Yongala wreck is visited regularly by tourists and recreational users, and is a good example of economic sustainability. The site is Australia’s largest and most intact historic shipwreck and is considered one of the top ten wrecks dives in the world.</w:t>
            </w: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79B" w14:textId="1CE16DCD" w:rsidR="00A56EE9" w:rsidRPr="00E70A11" w:rsidRDefault="00A56EE9" w:rsidP="00762551">
            <w:pPr>
              <w:pStyle w:val="ListParagraph"/>
              <w:numPr>
                <w:ilvl w:val="0"/>
                <w:numId w:val="24"/>
              </w:numPr>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F79C" w14:textId="77777777" w:rsidR="00A56EE9" w:rsidRPr="00E70A11" w:rsidRDefault="00A56EE9" w:rsidP="00BB6AD5">
            <w:pPr>
              <w:contextualSpacing/>
              <w:rPr>
                <w:rFonts w:ascii="Arial Narrow" w:eastAsia="Calibri" w:hAnsi="Arial Narrow"/>
                <w:sz w:val="18"/>
                <w:szCs w:val="18"/>
              </w:rPr>
            </w:pPr>
          </w:p>
        </w:tc>
        <w:tc>
          <w:tcPr>
            <w:tcW w:w="912" w:type="dxa"/>
            <w:tcBorders>
              <w:top w:val="single" w:sz="4" w:space="0" w:color="auto"/>
              <w:left w:val="single" w:sz="4" w:space="0" w:color="auto"/>
              <w:bottom w:val="single" w:sz="4" w:space="0" w:color="auto"/>
              <w:right w:val="single" w:sz="4" w:space="0" w:color="auto"/>
            </w:tcBorders>
          </w:tcPr>
          <w:p w14:paraId="5761F79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12" w:type="dxa"/>
            <w:tcBorders>
              <w:top w:val="single" w:sz="4" w:space="0" w:color="auto"/>
              <w:left w:val="single" w:sz="4" w:space="0" w:color="auto"/>
              <w:bottom w:val="single" w:sz="4" w:space="0" w:color="auto"/>
              <w:right w:val="single" w:sz="4" w:space="0" w:color="auto"/>
            </w:tcBorders>
          </w:tcPr>
          <w:p w14:paraId="5761F79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7A9"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7A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OC6</w:t>
            </w:r>
            <w:r>
              <w:rPr>
                <w:rFonts w:ascii="Arial Narrow" w:hAnsi="Arial Narrow"/>
                <w:sz w:val="18"/>
                <w:szCs w:val="18"/>
              </w:rPr>
              <w:t xml:space="preserve"> </w:t>
            </w:r>
            <w:r w:rsidRPr="00E70A11">
              <w:rPr>
                <w:rFonts w:ascii="Arial Narrow" w:hAnsi="Arial Narrow"/>
                <w:sz w:val="18"/>
                <w:szCs w:val="18"/>
              </w:rPr>
              <w:t>Use of the Great Barrier Reef relating to historic heritage is demonstrably socially sustainable, in terms of understanding and/or enjoyment</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A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761F7A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Reef‘s environment contributes to the community’s wellbeing, both locally and more indirectly throughout Australia and the world. The Reef’s biodiversity, geomorphological features, heritage values and natural beauty supports people economically, provides them with food and enriches their lives.</w:t>
            </w:r>
          </w:p>
          <w:p w14:paraId="5761F7A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Benefits vary according to people’s cultural connections, experiences, personal perspectives, and dependence upon and familiarity with the Region</w:t>
            </w:r>
          </w:p>
          <w:p w14:paraId="5761F7A4" w14:textId="77777777" w:rsidR="00A56EE9" w:rsidRPr="00E70A11" w:rsidRDefault="00A56EE9" w:rsidP="00BB6AD5">
            <w:pPr>
              <w:ind w:left="360"/>
              <w:contextualSpacing/>
              <w:rPr>
                <w:rFonts w:ascii="Arial Narrow" w:eastAsia="Calibri" w:hAnsi="Arial Narrow"/>
                <w:sz w:val="18"/>
                <w:szCs w:val="18"/>
              </w:rPr>
            </w:pPr>
          </w:p>
        </w:tc>
        <w:tc>
          <w:tcPr>
            <w:tcW w:w="3907" w:type="dxa"/>
            <w:tcBorders>
              <w:top w:val="single" w:sz="4" w:space="0" w:color="auto"/>
              <w:left w:val="single" w:sz="4" w:space="0" w:color="auto"/>
              <w:bottom w:val="single" w:sz="4" w:space="0" w:color="auto"/>
              <w:right w:val="single" w:sz="4" w:space="0" w:color="auto"/>
            </w:tcBorders>
            <w:shd w:val="clear" w:color="auto" w:fill="auto"/>
          </w:tcPr>
          <w:p w14:paraId="5761F7A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p w14:paraId="5761F7A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Marshall</w:t>
            </w:r>
            <w:proofErr w:type="gramStart"/>
            <w:r w:rsidRPr="00E70A11">
              <w:rPr>
                <w:rFonts w:ascii="Arial Narrow" w:eastAsia="Calibri" w:hAnsi="Arial Narrow"/>
                <w:sz w:val="18"/>
                <w:szCs w:val="18"/>
              </w:rPr>
              <w:t>,N.A</w:t>
            </w:r>
            <w:proofErr w:type="gramEnd"/>
            <w:r w:rsidRPr="00E70A11">
              <w:rPr>
                <w:rFonts w:ascii="Arial Narrow" w:eastAsia="Calibri" w:hAnsi="Arial Narrow"/>
                <w:sz w:val="18"/>
                <w:szCs w:val="18"/>
              </w:rPr>
              <w:t>., Marshall, P. and</w:t>
            </w:r>
            <w:r>
              <w:rPr>
                <w:rFonts w:ascii="Arial Narrow" w:eastAsia="Calibri" w:hAnsi="Arial Narrow"/>
                <w:sz w:val="18"/>
                <w:szCs w:val="18"/>
              </w:rPr>
              <w:t xml:space="preserve"> </w:t>
            </w:r>
            <w:r w:rsidRPr="00E70A11">
              <w:rPr>
                <w:rFonts w:ascii="Arial Narrow" w:eastAsia="Calibri" w:hAnsi="Arial Narrow"/>
                <w:sz w:val="18"/>
                <w:szCs w:val="18"/>
              </w:rPr>
              <w:t>Smith, A.K. 2017. Managing for aesthetic values in the Great Barrier Reef-Identifying indicators and linking reef aesthetics to reef health. Report to the National Environmental Science Programme. Reef and Rainforest Research Centre Limited, Cairns.</w:t>
            </w:r>
          </w:p>
        </w:tc>
        <w:tc>
          <w:tcPr>
            <w:tcW w:w="912" w:type="dxa"/>
            <w:tcBorders>
              <w:top w:val="single" w:sz="4" w:space="0" w:color="auto"/>
              <w:left w:val="single" w:sz="4" w:space="0" w:color="auto"/>
              <w:bottom w:val="single" w:sz="4" w:space="0" w:color="auto"/>
              <w:right w:val="single" w:sz="4" w:space="0" w:color="auto"/>
            </w:tcBorders>
            <w:shd w:val="clear" w:color="auto" w:fill="auto"/>
          </w:tcPr>
          <w:p w14:paraId="5761F7A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12" w:type="dxa"/>
            <w:tcBorders>
              <w:top w:val="single" w:sz="4" w:space="0" w:color="auto"/>
              <w:left w:val="single" w:sz="4" w:space="0" w:color="auto"/>
              <w:bottom w:val="single" w:sz="4" w:space="0" w:color="auto"/>
              <w:right w:val="single" w:sz="4" w:space="0" w:color="auto"/>
            </w:tcBorders>
          </w:tcPr>
          <w:p w14:paraId="5761F7A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7BB" w14:textId="77777777" w:rsidTr="00BB6AD5">
        <w:trPr>
          <w:trHeight w:val="170"/>
        </w:trPr>
        <w:tc>
          <w:tcPr>
            <w:tcW w:w="2405" w:type="dxa"/>
            <w:tcBorders>
              <w:top w:val="single" w:sz="4" w:space="0" w:color="auto"/>
              <w:left w:val="single" w:sz="4" w:space="0" w:color="auto"/>
              <w:bottom w:val="single" w:sz="4" w:space="0" w:color="auto"/>
              <w:right w:val="single" w:sz="4" w:space="0" w:color="auto"/>
            </w:tcBorders>
          </w:tcPr>
          <w:p w14:paraId="5761F7A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OC7</w:t>
            </w:r>
            <w:r>
              <w:rPr>
                <w:rFonts w:ascii="Arial Narrow" w:hAnsi="Arial Narrow"/>
                <w:sz w:val="18"/>
                <w:szCs w:val="18"/>
              </w:rPr>
              <w:t xml:space="preserve"> </w:t>
            </w:r>
            <w:r w:rsidRPr="00E70A11">
              <w:rPr>
                <w:rFonts w:ascii="Arial Narrow" w:hAnsi="Arial Narrow"/>
                <w:sz w:val="18"/>
                <w:szCs w:val="18"/>
              </w:rPr>
              <w:t xml:space="preserve">The relevant managing agencies have developed effective partnerships with local communities and/or stakeholders to address historic heritage </w:t>
            </w:r>
          </w:p>
        </w:tc>
        <w:tc>
          <w:tcPr>
            <w:tcW w:w="709" w:type="dxa"/>
            <w:tcBorders>
              <w:top w:val="single" w:sz="4" w:space="0" w:color="auto"/>
              <w:left w:val="single" w:sz="4" w:space="0" w:color="auto"/>
              <w:bottom w:val="single" w:sz="4" w:space="0" w:color="auto"/>
              <w:right w:val="single" w:sz="4" w:space="0" w:color="auto"/>
            </w:tcBorders>
          </w:tcPr>
          <w:p w14:paraId="5761F7A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103" w:type="dxa"/>
            <w:tcBorders>
              <w:top w:val="single" w:sz="4" w:space="0" w:color="auto"/>
              <w:left w:val="single" w:sz="4" w:space="0" w:color="auto"/>
              <w:bottom w:val="single" w:sz="4" w:space="0" w:color="auto"/>
              <w:right w:val="single" w:sz="4" w:space="0" w:color="auto"/>
            </w:tcBorders>
          </w:tcPr>
          <w:p w14:paraId="5761F7A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Partnerships are essential in management of historic sites, as the amount of work required would be beyond the resources of any management agency. This especially applies to sites where restoration works are needed.</w:t>
            </w:r>
          </w:p>
          <w:p w14:paraId="5761F7A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Leaseholders on Commonwealth islands play an important role in maintenance of light stations.</w:t>
            </w:r>
          </w:p>
          <w:p w14:paraId="5761F7A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Raine Island Recovery Project is a five year, $7.95M collaboration between the Authority, BHP Billiton, the Queensland Government, the Great Barrier Reef Foundation and the Traditional Owners; the Wuthathi and Kemer Kemer Meriam Nation (Ugar, Mer, </w:t>
            </w:r>
            <w:proofErr w:type="gramStart"/>
            <w:r w:rsidRPr="00E70A11">
              <w:rPr>
                <w:rFonts w:ascii="Arial Narrow" w:eastAsia="Calibri" w:hAnsi="Arial Narrow"/>
                <w:sz w:val="18"/>
                <w:szCs w:val="18"/>
              </w:rPr>
              <w:t>Erub</w:t>
            </w:r>
            <w:proofErr w:type="gramEnd"/>
            <w:r w:rsidRPr="00E70A11">
              <w:rPr>
                <w:rFonts w:ascii="Arial Narrow" w:eastAsia="Calibri" w:hAnsi="Arial Narrow"/>
                <w:sz w:val="18"/>
                <w:szCs w:val="18"/>
              </w:rPr>
              <w:t xml:space="preserve">). </w:t>
            </w:r>
          </w:p>
          <w:p w14:paraId="5761F7A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Field Management Program works closely with partners including the Queensland Police Service, Maritime Safety Queensland and the Australian Federal Police in compliance and protection of all heritage values. </w:t>
            </w:r>
          </w:p>
          <w:p w14:paraId="5761F7B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SELTMP project has harnessed external expertise to </w:t>
            </w:r>
            <w:proofErr w:type="gramStart"/>
            <w:r w:rsidRPr="00E70A11">
              <w:rPr>
                <w:rFonts w:ascii="Arial Narrow" w:eastAsia="Calibri" w:hAnsi="Arial Narrow"/>
                <w:sz w:val="18"/>
                <w:szCs w:val="18"/>
              </w:rPr>
              <w:t>advise</w:t>
            </w:r>
            <w:proofErr w:type="gramEnd"/>
            <w:r w:rsidRPr="00E70A11">
              <w:rPr>
                <w:rFonts w:ascii="Arial Narrow" w:eastAsia="Calibri" w:hAnsi="Arial Narrow"/>
                <w:sz w:val="18"/>
                <w:szCs w:val="18"/>
              </w:rPr>
              <w:t xml:space="preserve"> on the human dimensions of reef management.</w:t>
            </w:r>
          </w:p>
          <w:p w14:paraId="5761F7B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citizen ‘Eye on the Reef’ monitoring and assessment program protects heritage values as it enables anyone who visits the GBRMP to collect and submit valuable information about reef health, marine animals and incidents. This could include any damage or threats to historic sites.</w:t>
            </w:r>
          </w:p>
          <w:p w14:paraId="5761F7B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Low Isles Preservation Society (LIPS) play a role in management of the Low Isles Lighthouse. They have set up and operate a small museum for day visitors using one of the lightstation’s buildings, which is viewed by up to 50,000 people each year.</w:t>
            </w:r>
          </w:p>
          <w:p w14:paraId="5761F7B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Tourist operators also play a key role in promoting heritage values and appropriate behaviour by tourists around heritage sites.</w:t>
            </w:r>
          </w:p>
        </w:tc>
        <w:tc>
          <w:tcPr>
            <w:tcW w:w="3907" w:type="dxa"/>
            <w:tcBorders>
              <w:top w:val="single" w:sz="4" w:space="0" w:color="auto"/>
              <w:left w:val="single" w:sz="4" w:space="0" w:color="auto"/>
              <w:bottom w:val="single" w:sz="4" w:space="0" w:color="auto"/>
              <w:right w:val="single" w:sz="4" w:space="0" w:color="auto"/>
            </w:tcBorders>
          </w:tcPr>
          <w:p w14:paraId="5761F7B4" w14:textId="00259EF3" w:rsidR="00A56EE9" w:rsidRPr="00E70A11" w:rsidRDefault="008B5998" w:rsidP="00A11869">
            <w:pPr>
              <w:numPr>
                <w:ilvl w:val="0"/>
                <w:numId w:val="24"/>
              </w:numPr>
              <w:spacing w:after="0" w:line="240" w:lineRule="auto"/>
              <w:contextualSpacing/>
              <w:rPr>
                <w:rStyle w:val="Hyperlink"/>
                <w:rFonts w:ascii="Arial Narrow" w:hAnsi="Arial Narrow"/>
                <w:sz w:val="18"/>
                <w:szCs w:val="18"/>
              </w:rPr>
            </w:pPr>
            <w:hyperlink r:id="rId1015" w:tooltip="document link" w:history="1">
              <w:r w:rsidR="00A56EE9" w:rsidRPr="00E70A11">
                <w:rPr>
                  <w:rStyle w:val="Hyperlink"/>
                  <w:rFonts w:ascii="Arial Narrow" w:eastAsia="Calibri" w:hAnsi="Arial Narrow"/>
                  <w:sz w:val="18"/>
                  <w:szCs w:val="18"/>
                </w:rPr>
                <w:t>http://www.npsr.qld.gov.au/raineisland/</w:t>
              </w:r>
            </w:hyperlink>
          </w:p>
          <w:p w14:paraId="5761F7B5" w14:textId="77777777" w:rsidR="00A56EE9" w:rsidRPr="00E70A11" w:rsidRDefault="008B5998" w:rsidP="00A11869">
            <w:pPr>
              <w:pStyle w:val="ListParagraph"/>
              <w:numPr>
                <w:ilvl w:val="0"/>
                <w:numId w:val="24"/>
              </w:numPr>
              <w:spacing w:after="0" w:line="276" w:lineRule="auto"/>
              <w:ind w:left="317" w:hanging="317"/>
              <w:jc w:val="both"/>
              <w:rPr>
                <w:rStyle w:val="Hyperlink"/>
                <w:rFonts w:ascii="Arial Narrow" w:eastAsia="Calibri" w:hAnsi="Arial Narrow"/>
                <w:sz w:val="18"/>
                <w:szCs w:val="18"/>
              </w:rPr>
            </w:pPr>
            <w:hyperlink r:id="rId1016" w:history="1">
              <w:r w:rsidR="00A56EE9" w:rsidRPr="00E70A11">
                <w:rPr>
                  <w:rStyle w:val="Hyperlink"/>
                  <w:rFonts w:ascii="Arial Narrow" w:eastAsia="Calibri" w:hAnsi="Arial Narrow"/>
                  <w:sz w:val="18"/>
                  <w:szCs w:val="18"/>
                </w:rPr>
                <w:t>LMAC</w:t>
              </w:r>
            </w:hyperlink>
          </w:p>
          <w:p w14:paraId="5761F7B6" w14:textId="77777777" w:rsidR="00A56EE9" w:rsidRPr="00E70A11" w:rsidRDefault="008B5998" w:rsidP="00A11869">
            <w:pPr>
              <w:pStyle w:val="ListParagraph"/>
              <w:numPr>
                <w:ilvl w:val="0"/>
                <w:numId w:val="24"/>
              </w:numPr>
              <w:spacing w:after="0" w:line="276" w:lineRule="auto"/>
              <w:ind w:left="317" w:hanging="317"/>
              <w:jc w:val="both"/>
              <w:rPr>
                <w:rStyle w:val="Hyperlink"/>
                <w:rFonts w:ascii="Arial Narrow" w:eastAsia="Calibri" w:hAnsi="Arial Narrow"/>
                <w:sz w:val="18"/>
                <w:szCs w:val="18"/>
              </w:rPr>
            </w:pPr>
            <w:hyperlink r:id="rId1017" w:history="1">
              <w:r w:rsidR="00A56EE9" w:rsidRPr="00E70A11">
                <w:rPr>
                  <w:rStyle w:val="Hyperlink"/>
                  <w:rFonts w:ascii="Arial Narrow" w:eastAsia="Calibri" w:hAnsi="Arial Narrow"/>
                  <w:sz w:val="18"/>
                  <w:szCs w:val="18"/>
                </w:rPr>
                <w:t>Low Isles Preservation Society</w:t>
              </w:r>
            </w:hyperlink>
          </w:p>
          <w:p w14:paraId="5761F7B7" w14:textId="77777777" w:rsidR="00A56EE9" w:rsidRPr="00E70A11" w:rsidRDefault="008B5998" w:rsidP="00A11869">
            <w:pPr>
              <w:numPr>
                <w:ilvl w:val="0"/>
                <w:numId w:val="24"/>
              </w:numPr>
              <w:spacing w:after="0" w:line="240" w:lineRule="auto"/>
              <w:contextualSpacing/>
              <w:rPr>
                <w:rStyle w:val="Hyperlink"/>
                <w:rFonts w:ascii="Arial Narrow" w:eastAsia="Calibri" w:hAnsi="Arial Narrow"/>
                <w:sz w:val="18"/>
                <w:szCs w:val="18"/>
              </w:rPr>
            </w:pPr>
            <w:hyperlink r:id="rId1018" w:history="1">
              <w:r w:rsidR="00A56EE9" w:rsidRPr="00E70A11">
                <w:rPr>
                  <w:rStyle w:val="Hyperlink"/>
                  <w:rFonts w:ascii="Arial Narrow" w:eastAsia="Calibri" w:hAnsi="Arial Narrow"/>
                  <w:sz w:val="18"/>
                  <w:szCs w:val="18"/>
                </w:rPr>
                <w:t>GBRMPA Heritage website</w:t>
              </w:r>
            </w:hyperlink>
            <w:r w:rsidR="00A56EE9">
              <w:rPr>
                <w:rStyle w:val="Hyperlink"/>
                <w:rFonts w:ascii="Arial Narrow" w:hAnsi="Arial Narrow"/>
                <w:sz w:val="18"/>
                <w:szCs w:val="18"/>
              </w:rPr>
              <w:t xml:space="preserve"> </w:t>
            </w:r>
          </w:p>
          <w:p w14:paraId="5761F7B8" w14:textId="77777777" w:rsidR="00A56EE9" w:rsidRPr="00E70A11" w:rsidRDefault="00A56EE9" w:rsidP="00A11869">
            <w:pPr>
              <w:pStyle w:val="ListParagraph"/>
              <w:numPr>
                <w:ilvl w:val="0"/>
                <w:numId w:val="24"/>
              </w:numPr>
              <w:spacing w:after="0" w:line="276" w:lineRule="auto"/>
              <w:rPr>
                <w:rFonts w:ascii="Arial Narrow" w:hAnsi="Arial Narrow"/>
                <w:sz w:val="18"/>
                <w:szCs w:val="18"/>
              </w:rPr>
            </w:pPr>
            <w:r w:rsidRPr="00E70A11">
              <w:rPr>
                <w:rFonts w:ascii="Arial Narrow" w:hAnsi="Arial Narrow"/>
                <w:sz w:val="18"/>
                <w:szCs w:val="18"/>
              </w:rPr>
              <w:t xml:space="preserve">Marshall, N.A. Curnock, M., Pert, P.L., Williams, G. (2017) The Social and Economic Long Term Monitoring Program (SELTMP) for the Great Barrier </w:t>
            </w:r>
            <w:proofErr w:type="gramStart"/>
            <w:r w:rsidRPr="00E70A11">
              <w:rPr>
                <w:rFonts w:ascii="Arial Narrow" w:hAnsi="Arial Narrow"/>
                <w:sz w:val="18"/>
                <w:szCs w:val="18"/>
              </w:rPr>
              <w:t>Reef .</w:t>
            </w:r>
            <w:proofErr w:type="gramEnd"/>
            <w:r w:rsidRPr="00E70A11">
              <w:rPr>
                <w:rFonts w:ascii="Arial Narrow" w:hAnsi="Arial Narrow"/>
                <w:sz w:val="18"/>
                <w:szCs w:val="18"/>
              </w:rPr>
              <w:t xml:space="preserve"> Final Report. Report to the Great Barrier Reef Marine Park Authority.</w:t>
            </w:r>
            <w:r>
              <w:rPr>
                <w:rFonts w:ascii="Arial Narrow" w:hAnsi="Arial Narrow"/>
                <w:sz w:val="18"/>
                <w:szCs w:val="18"/>
              </w:rPr>
              <w:t xml:space="preserve"> </w:t>
            </w:r>
            <w:r w:rsidRPr="00E70A11">
              <w:rPr>
                <w:rFonts w:ascii="Arial Narrow" w:hAnsi="Arial Narrow"/>
                <w:sz w:val="18"/>
                <w:szCs w:val="18"/>
              </w:rPr>
              <w:t>Townsville, Australia (220pp.).</w:t>
            </w:r>
          </w:p>
        </w:tc>
        <w:tc>
          <w:tcPr>
            <w:tcW w:w="912" w:type="dxa"/>
            <w:tcBorders>
              <w:top w:val="single" w:sz="4" w:space="0" w:color="auto"/>
              <w:left w:val="single" w:sz="4" w:space="0" w:color="auto"/>
              <w:bottom w:val="single" w:sz="4" w:space="0" w:color="auto"/>
              <w:right w:val="single" w:sz="4" w:space="0" w:color="auto"/>
            </w:tcBorders>
          </w:tcPr>
          <w:p w14:paraId="5761F7B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12" w:type="dxa"/>
            <w:tcBorders>
              <w:top w:val="single" w:sz="4" w:space="0" w:color="auto"/>
              <w:left w:val="single" w:sz="4" w:space="0" w:color="auto"/>
              <w:bottom w:val="single" w:sz="4" w:space="0" w:color="auto"/>
              <w:right w:val="single" w:sz="4" w:space="0" w:color="auto"/>
            </w:tcBorders>
          </w:tcPr>
          <w:p w14:paraId="5761F7B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 -or improving</w:t>
            </w:r>
          </w:p>
        </w:tc>
      </w:tr>
    </w:tbl>
    <w:p w14:paraId="5761F7B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br w:type="page"/>
      </w:r>
    </w:p>
    <w:p w14:paraId="5761F7BE" w14:textId="77A858D8" w:rsidR="00A56EE9" w:rsidRPr="00E70A11" w:rsidRDefault="00A56EE9" w:rsidP="009C7D6F">
      <w:pPr>
        <w:pStyle w:val="Heading4"/>
        <w:rPr>
          <w:rFonts w:eastAsia="Calibri"/>
          <w:sz w:val="18"/>
        </w:rPr>
      </w:pPr>
      <w:bookmarkStart w:id="204" w:name="_Toc369686749"/>
      <w:bookmarkStart w:id="205" w:name="_Toc522532008"/>
      <w:bookmarkStart w:id="206" w:name="_Toc525654475"/>
      <w:r>
        <w:t xml:space="preserve">Table </w:t>
      </w:r>
      <w:r>
        <w:rPr>
          <w:noProof/>
        </w:rPr>
        <w:fldChar w:fldCharType="begin"/>
      </w:r>
      <w:r>
        <w:rPr>
          <w:noProof/>
        </w:rPr>
        <w:instrText xml:space="preserve"> SEQ Table \* ARABIC </w:instrText>
      </w:r>
      <w:r>
        <w:rPr>
          <w:noProof/>
        </w:rPr>
        <w:fldChar w:fldCharType="separate"/>
      </w:r>
      <w:r w:rsidR="00A4170C">
        <w:rPr>
          <w:noProof/>
        </w:rPr>
        <w:t>30</w:t>
      </w:r>
      <w:r>
        <w:rPr>
          <w:noProof/>
        </w:rPr>
        <w:fldChar w:fldCharType="end"/>
      </w:r>
      <w:r>
        <w:t xml:space="preserve"> </w:t>
      </w:r>
      <w:r w:rsidRPr="00185B8F">
        <w:t>Calculation of grades for heritage (Indigenous)</w:t>
      </w:r>
      <w:bookmarkEnd w:id="204"/>
      <w:bookmarkEnd w:id="205"/>
      <w:bookmarkEnd w:id="20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0 Calculation of grades for heritage (Indigenous)"/>
        <w:tblDescription w:val="Table showing the ratings,  justificaiton and evidence for each of the components for the management effectiveness for heritage (Indigenous).  Confidence in the assessment and trend since Outlook 2014 is also provided."/>
      </w:tblPr>
      <w:tblGrid>
        <w:gridCol w:w="2090"/>
        <w:gridCol w:w="643"/>
        <w:gridCol w:w="4444"/>
        <w:gridCol w:w="4926"/>
        <w:gridCol w:w="980"/>
        <w:gridCol w:w="865"/>
      </w:tblGrid>
      <w:tr w:rsidR="00A56EE9" w:rsidRPr="00E70A11" w14:paraId="5761F7C5"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7B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Component of Management</w:t>
            </w:r>
          </w:p>
        </w:tc>
        <w:tc>
          <w:tcPr>
            <w:tcW w:w="643" w:type="dxa"/>
            <w:tcBorders>
              <w:top w:val="single" w:sz="4" w:space="0" w:color="auto"/>
              <w:left w:val="single" w:sz="4" w:space="0" w:color="auto"/>
              <w:bottom w:val="single" w:sz="4" w:space="0" w:color="auto"/>
              <w:right w:val="single" w:sz="4" w:space="0" w:color="auto"/>
            </w:tcBorders>
          </w:tcPr>
          <w:p w14:paraId="5761F7C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Rating</w:t>
            </w:r>
          </w:p>
        </w:tc>
        <w:tc>
          <w:tcPr>
            <w:tcW w:w="4444" w:type="dxa"/>
            <w:tcBorders>
              <w:top w:val="single" w:sz="4" w:space="0" w:color="auto"/>
              <w:left w:val="single" w:sz="4" w:space="0" w:color="auto"/>
              <w:bottom w:val="single" w:sz="4" w:space="0" w:color="auto"/>
              <w:right w:val="single" w:sz="4" w:space="0" w:color="auto"/>
            </w:tcBorders>
          </w:tcPr>
          <w:p w14:paraId="5761F7C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Justification</w:t>
            </w:r>
          </w:p>
        </w:tc>
        <w:tc>
          <w:tcPr>
            <w:tcW w:w="4926" w:type="dxa"/>
            <w:tcBorders>
              <w:top w:val="single" w:sz="4" w:space="0" w:color="auto"/>
              <w:left w:val="single" w:sz="4" w:space="0" w:color="auto"/>
              <w:bottom w:val="single" w:sz="4" w:space="0" w:color="auto"/>
              <w:right w:val="single" w:sz="4" w:space="0" w:color="auto"/>
            </w:tcBorders>
          </w:tcPr>
          <w:p w14:paraId="5761F7C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Evidence/sources</w:t>
            </w:r>
          </w:p>
        </w:tc>
        <w:tc>
          <w:tcPr>
            <w:tcW w:w="980" w:type="dxa"/>
            <w:tcBorders>
              <w:top w:val="single" w:sz="4" w:space="0" w:color="auto"/>
              <w:left w:val="single" w:sz="4" w:space="0" w:color="auto"/>
              <w:bottom w:val="single" w:sz="4" w:space="0" w:color="auto"/>
              <w:right w:val="single" w:sz="4" w:space="0" w:color="auto"/>
            </w:tcBorders>
          </w:tcPr>
          <w:p w14:paraId="5761F7C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Confidence</w:t>
            </w:r>
          </w:p>
        </w:tc>
        <w:tc>
          <w:tcPr>
            <w:tcW w:w="865" w:type="dxa"/>
            <w:tcBorders>
              <w:top w:val="single" w:sz="4" w:space="0" w:color="auto"/>
              <w:left w:val="single" w:sz="4" w:space="0" w:color="auto"/>
              <w:bottom w:val="single" w:sz="4" w:space="0" w:color="auto"/>
              <w:right w:val="single" w:sz="4" w:space="0" w:color="auto"/>
            </w:tcBorders>
          </w:tcPr>
          <w:p w14:paraId="5761F7C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Trend</w:t>
            </w:r>
          </w:p>
        </w:tc>
      </w:tr>
      <w:tr w:rsidR="00A56EE9" w:rsidRPr="00E70A11" w14:paraId="5761F7CC"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shd w:val="clear" w:color="auto" w:fill="EEECE1"/>
          </w:tcPr>
          <w:p w14:paraId="5761F7C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CONTEXT</w:t>
            </w:r>
          </w:p>
        </w:tc>
        <w:tc>
          <w:tcPr>
            <w:tcW w:w="643" w:type="dxa"/>
            <w:tcBorders>
              <w:top w:val="single" w:sz="4" w:space="0" w:color="auto"/>
              <w:left w:val="single" w:sz="4" w:space="0" w:color="auto"/>
              <w:bottom w:val="single" w:sz="4" w:space="0" w:color="auto"/>
              <w:right w:val="single" w:sz="4" w:space="0" w:color="auto"/>
            </w:tcBorders>
            <w:shd w:val="clear" w:color="auto" w:fill="EEECE1"/>
          </w:tcPr>
          <w:p w14:paraId="5761F7C7" w14:textId="77777777" w:rsidR="00A56EE9" w:rsidRPr="00E70A11" w:rsidRDefault="00A56EE9" w:rsidP="00BB6AD5">
            <w:pPr>
              <w:rPr>
                <w:rFonts w:ascii="Arial Narrow" w:hAnsi="Arial Narrow"/>
                <w:sz w:val="18"/>
                <w:szCs w:val="18"/>
              </w:rPr>
            </w:pPr>
          </w:p>
        </w:tc>
        <w:tc>
          <w:tcPr>
            <w:tcW w:w="4444" w:type="dxa"/>
            <w:tcBorders>
              <w:top w:val="single" w:sz="4" w:space="0" w:color="auto"/>
              <w:left w:val="single" w:sz="4" w:space="0" w:color="auto"/>
              <w:bottom w:val="single" w:sz="4" w:space="0" w:color="auto"/>
              <w:right w:val="single" w:sz="4" w:space="0" w:color="auto"/>
            </w:tcBorders>
            <w:shd w:val="clear" w:color="auto" w:fill="EEECE1"/>
          </w:tcPr>
          <w:p w14:paraId="5761F7C8" w14:textId="77777777" w:rsidR="00A56EE9" w:rsidRPr="00E70A11" w:rsidRDefault="00A56EE9" w:rsidP="00BB6AD5">
            <w:pPr>
              <w:rPr>
                <w:rFonts w:ascii="Arial Narrow" w:hAnsi="Arial Narrow"/>
                <w:sz w:val="18"/>
                <w:szCs w:val="18"/>
              </w:rPr>
            </w:pPr>
          </w:p>
        </w:tc>
        <w:tc>
          <w:tcPr>
            <w:tcW w:w="4926" w:type="dxa"/>
            <w:tcBorders>
              <w:top w:val="single" w:sz="4" w:space="0" w:color="auto"/>
              <w:left w:val="single" w:sz="4" w:space="0" w:color="auto"/>
              <w:bottom w:val="single" w:sz="4" w:space="0" w:color="auto"/>
              <w:right w:val="single" w:sz="4" w:space="0" w:color="auto"/>
            </w:tcBorders>
            <w:shd w:val="clear" w:color="auto" w:fill="EEECE1"/>
          </w:tcPr>
          <w:p w14:paraId="5761F7C9" w14:textId="77777777" w:rsidR="00A56EE9" w:rsidRPr="00E70A11" w:rsidRDefault="00A56EE9" w:rsidP="00BB6AD5">
            <w:pPr>
              <w:rPr>
                <w:rFonts w:ascii="Arial Narrow"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shd w:val="clear" w:color="auto" w:fill="EEECE1"/>
          </w:tcPr>
          <w:p w14:paraId="5761F7CA" w14:textId="77777777" w:rsidR="00A56EE9" w:rsidRPr="00E70A11" w:rsidRDefault="00A56EE9" w:rsidP="00BB6AD5">
            <w:pPr>
              <w:rPr>
                <w:rFonts w:ascii="Arial Narrow" w:hAnsi="Arial Narrow"/>
                <w:sz w:val="18"/>
                <w:szCs w:val="18"/>
              </w:rPr>
            </w:pPr>
          </w:p>
        </w:tc>
        <w:tc>
          <w:tcPr>
            <w:tcW w:w="865" w:type="dxa"/>
            <w:tcBorders>
              <w:top w:val="single" w:sz="4" w:space="0" w:color="auto"/>
              <w:left w:val="single" w:sz="4" w:space="0" w:color="auto"/>
              <w:bottom w:val="single" w:sz="4" w:space="0" w:color="auto"/>
              <w:right w:val="single" w:sz="4" w:space="0" w:color="auto"/>
            </w:tcBorders>
            <w:shd w:val="clear" w:color="auto" w:fill="EEECE1"/>
          </w:tcPr>
          <w:p w14:paraId="5761F7CB" w14:textId="77777777" w:rsidR="00A56EE9" w:rsidRPr="00E70A11" w:rsidRDefault="00A56EE9" w:rsidP="00BB6AD5">
            <w:pPr>
              <w:rPr>
                <w:rFonts w:ascii="Arial Narrow" w:hAnsi="Arial Narrow"/>
                <w:sz w:val="18"/>
                <w:szCs w:val="18"/>
              </w:rPr>
            </w:pPr>
          </w:p>
        </w:tc>
      </w:tr>
      <w:tr w:rsidR="00A56EE9" w:rsidRPr="00E70A11" w14:paraId="5761F7F9"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7C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CO1</w:t>
            </w:r>
            <w:r>
              <w:rPr>
                <w:rFonts w:ascii="Arial Narrow" w:hAnsi="Arial Narrow"/>
                <w:sz w:val="18"/>
                <w:szCs w:val="18"/>
              </w:rPr>
              <w:t xml:space="preserve"> </w:t>
            </w:r>
            <w:r w:rsidRPr="00E70A11">
              <w:rPr>
                <w:rFonts w:ascii="Arial Narrow" w:hAnsi="Arial Narrow"/>
                <w:sz w:val="18"/>
                <w:szCs w:val="18"/>
              </w:rPr>
              <w:t>The values of the Great Barrier Reef relevant to Indigenous heritage are understood by managers</w:t>
            </w:r>
          </w:p>
        </w:tc>
        <w:tc>
          <w:tcPr>
            <w:tcW w:w="643"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C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CF" w14:textId="77777777" w:rsidR="00A56EE9" w:rsidRPr="00E70A11" w:rsidRDefault="00A56EE9" w:rsidP="00A11869">
            <w:pPr>
              <w:numPr>
                <w:ilvl w:val="0"/>
                <w:numId w:val="24"/>
              </w:numPr>
              <w:spacing w:after="0" w:line="240" w:lineRule="auto"/>
              <w:contextualSpacing/>
              <w:rPr>
                <w:rFonts w:ascii="Arial Narrow" w:eastAsia="Calibri" w:hAnsi="Arial Narrow"/>
                <w:i/>
                <w:sz w:val="18"/>
                <w:szCs w:val="18"/>
              </w:rPr>
            </w:pPr>
            <w:r w:rsidRPr="00E70A11">
              <w:rPr>
                <w:rFonts w:ascii="Arial Narrow" w:eastAsia="Calibri" w:hAnsi="Arial Narrow"/>
                <w:i/>
                <w:sz w:val="18"/>
                <w:szCs w:val="18"/>
              </w:rPr>
              <w:t>In all of this table, it is noted that Aboriginal and Torres Strait Islanders are important as managers of their own sea country, as well as partners in management with government agencies. Many of the values understood by these communities are not documented in written form and may not be shared with other people.</w:t>
            </w:r>
          </w:p>
          <w:p w14:paraId="5761F7D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Indigenous heritage includes tangible and intangible components of Aboriginal and Torres Strait Islander peoples’ land and sea country in accordance with their practices, observances, customs, traditions, beliefs or history.</w:t>
            </w:r>
          </w:p>
          <w:p w14:paraId="5761F7D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GBRMPA considers Indigenous heritage components in four groups: </w:t>
            </w:r>
          </w:p>
          <w:p w14:paraId="5761F7D2" w14:textId="77777777" w:rsidR="00A56EE9" w:rsidRPr="00E70A11" w:rsidRDefault="00A56EE9" w:rsidP="00A11869">
            <w:pPr>
              <w:numPr>
                <w:ilvl w:val="1"/>
                <w:numId w:val="24"/>
              </w:numPr>
              <w:spacing w:after="0" w:line="240" w:lineRule="auto"/>
              <w:ind w:left="790"/>
              <w:contextualSpacing/>
              <w:rPr>
                <w:rFonts w:ascii="Arial Narrow" w:eastAsia="Calibri" w:hAnsi="Arial Narrow"/>
                <w:sz w:val="18"/>
                <w:szCs w:val="18"/>
              </w:rPr>
            </w:pPr>
            <w:r w:rsidRPr="00E70A11">
              <w:rPr>
                <w:rFonts w:ascii="Arial Narrow" w:eastAsia="Calibri" w:hAnsi="Arial Narrow"/>
                <w:sz w:val="18"/>
                <w:szCs w:val="18"/>
              </w:rPr>
              <w:t xml:space="preserve">Sacred sites, sites of particular significance and places important for cultural tradition; </w:t>
            </w:r>
          </w:p>
          <w:p w14:paraId="5761F7D3" w14:textId="77777777" w:rsidR="00A56EE9" w:rsidRPr="00E70A11" w:rsidRDefault="00A56EE9" w:rsidP="00A11869">
            <w:pPr>
              <w:numPr>
                <w:ilvl w:val="1"/>
                <w:numId w:val="24"/>
              </w:numPr>
              <w:spacing w:after="0" w:line="240" w:lineRule="auto"/>
              <w:ind w:left="790"/>
              <w:contextualSpacing/>
              <w:rPr>
                <w:rFonts w:ascii="Arial Narrow" w:eastAsia="Calibri" w:hAnsi="Arial Narrow"/>
                <w:sz w:val="18"/>
                <w:szCs w:val="18"/>
              </w:rPr>
            </w:pPr>
            <w:r w:rsidRPr="00E70A11">
              <w:rPr>
                <w:rFonts w:ascii="Arial Narrow" w:eastAsia="Calibri" w:hAnsi="Arial Narrow"/>
                <w:sz w:val="18"/>
                <w:szCs w:val="18"/>
              </w:rPr>
              <w:t xml:space="preserve">Aboriginal and Torres Strait Islander structures, technology, tools and archaeology; </w:t>
            </w:r>
          </w:p>
          <w:p w14:paraId="5761F7D4" w14:textId="77777777" w:rsidR="00A56EE9" w:rsidRPr="00E70A11" w:rsidRDefault="00A56EE9" w:rsidP="00A11869">
            <w:pPr>
              <w:numPr>
                <w:ilvl w:val="1"/>
                <w:numId w:val="24"/>
              </w:numPr>
              <w:spacing w:after="0" w:line="240" w:lineRule="auto"/>
              <w:ind w:left="790"/>
              <w:contextualSpacing/>
              <w:rPr>
                <w:rFonts w:ascii="Arial Narrow" w:eastAsia="Calibri" w:hAnsi="Arial Narrow"/>
                <w:sz w:val="18"/>
                <w:szCs w:val="18"/>
              </w:rPr>
            </w:pPr>
            <w:r w:rsidRPr="00E70A11">
              <w:rPr>
                <w:rFonts w:ascii="Arial Narrow" w:eastAsia="Calibri" w:hAnsi="Arial Narrow"/>
                <w:sz w:val="18"/>
                <w:szCs w:val="18"/>
              </w:rPr>
              <w:t xml:space="preserve">Stories, songlines, totems and languages; </w:t>
            </w:r>
          </w:p>
          <w:p w14:paraId="5761F7D5" w14:textId="77777777" w:rsidR="00A56EE9" w:rsidRPr="00E70A11" w:rsidRDefault="00A56EE9" w:rsidP="00A11869">
            <w:pPr>
              <w:numPr>
                <w:ilvl w:val="1"/>
                <w:numId w:val="24"/>
              </w:numPr>
              <w:spacing w:after="0" w:line="240" w:lineRule="auto"/>
              <w:ind w:left="790"/>
              <w:contextualSpacing/>
              <w:rPr>
                <w:rFonts w:ascii="Arial Narrow" w:eastAsia="Calibri" w:hAnsi="Arial Narrow"/>
                <w:sz w:val="18"/>
                <w:szCs w:val="18"/>
              </w:rPr>
            </w:pPr>
            <w:r w:rsidRPr="00E70A11">
              <w:rPr>
                <w:rFonts w:ascii="Arial Narrow" w:eastAsia="Calibri" w:hAnsi="Arial Narrow"/>
                <w:sz w:val="18"/>
                <w:szCs w:val="18"/>
              </w:rPr>
              <w:t>Cultural practices, observances, customs and lore.</w:t>
            </w:r>
          </w:p>
          <w:p w14:paraId="5761F7D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2014 Strategic Assessment noted that there is a lack of information recorded or known about the location, condition and trend of most Indigenous heritage values, and this is still the case. However, there are efforts being made to improve the situation.</w:t>
            </w:r>
          </w:p>
          <w:p w14:paraId="5761F7D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Within GBRMPA, increasing emphasis has been placed on understanding Indigenous cultural heritage, with the development of the draft Aboriginal and Torres Strait Islander Heritage Strategy a major milestone.</w:t>
            </w:r>
          </w:p>
          <w:p w14:paraId="5761F7D8" w14:textId="0C85AE2F" w:rsidR="00A56EE9" w:rsidRDefault="00A56EE9" w:rsidP="00A11869">
            <w:pPr>
              <w:pStyle w:val="ListBullet"/>
              <w:numPr>
                <w:ilvl w:val="0"/>
                <w:numId w:val="166"/>
              </w:numPr>
              <w:spacing w:line="240" w:lineRule="auto"/>
              <w:contextualSpacing/>
            </w:pPr>
            <w:r>
              <w:t xml:space="preserve">Internal engagement and a survey informed the development of a Reconciliation Action Plan. Generally staff felt the agency had an above average understanding of Indigenous culture. </w:t>
            </w:r>
          </w:p>
          <w:p w14:paraId="5761F7D9" w14:textId="77777777" w:rsidR="00A56EE9" w:rsidRPr="00E70A11" w:rsidRDefault="00A56EE9" w:rsidP="00A11869">
            <w:pPr>
              <w:pStyle w:val="ListBullet"/>
              <w:numPr>
                <w:ilvl w:val="0"/>
                <w:numId w:val="24"/>
              </w:numPr>
              <w:spacing w:line="240" w:lineRule="auto"/>
              <w:ind w:left="357" w:hanging="357"/>
              <w:contextualSpacing/>
            </w:pPr>
            <w:r w:rsidRPr="00E70A11">
              <w:t xml:space="preserve">Involvement in the development of the Aboriginal and Torres Strait Islander Heritage Strategy included more than 80 Traditional Owners in discussions on their heritage. Consultations supported 2014 assessment findings that Traditional Owners hold knowledge on values, but managing agencies do not. </w:t>
            </w:r>
          </w:p>
          <w:p w14:paraId="5761F7D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Understanding of culture by managers in the Field Management Program has been enhanced in recent years with better opportunities to work alongside Indigenous Rangers and Traditional Owners, th</w:t>
            </w:r>
            <w:r>
              <w:rPr>
                <w:rFonts w:ascii="Arial Narrow" w:eastAsia="Calibri" w:hAnsi="Arial Narrow"/>
                <w:sz w:val="18"/>
                <w:szCs w:val="18"/>
              </w:rPr>
              <w:t>r</w:t>
            </w:r>
            <w:r w:rsidRPr="00E70A11">
              <w:rPr>
                <w:rFonts w:ascii="Arial Narrow" w:eastAsia="Calibri" w:hAnsi="Arial Narrow"/>
                <w:sz w:val="18"/>
                <w:szCs w:val="18"/>
              </w:rPr>
              <w:t xml:space="preserve">ough their inclusion on vessel trips. Many QPWS staff in the GBR region have also undergone training in cultural capability. </w:t>
            </w:r>
          </w:p>
          <w:p w14:paraId="5761F7DB"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Pilot work in a few sites shows good promise. Woppaburra Guidelines, developed with Woppaburra Traditional Owners and adopted in July 2017, map the important cultural heritage values in the Keppel Islands region. Intention is to develop similar guidelines with other Traditional Owner groups within the GBR Region to better protect Indigenous heritage values.</w:t>
            </w:r>
          </w:p>
          <w:p w14:paraId="5761F7DC" w14:textId="77777777" w:rsidR="00A56EE9" w:rsidRPr="00E70A11" w:rsidRDefault="00A56EE9" w:rsidP="00A11869">
            <w:pPr>
              <w:pStyle w:val="ListParagraph"/>
              <w:numPr>
                <w:ilvl w:val="0"/>
                <w:numId w:val="24"/>
              </w:numPr>
              <w:spacing w:after="0" w:line="276" w:lineRule="auto"/>
              <w:ind w:left="357" w:hanging="357"/>
              <w:rPr>
                <w:rFonts w:ascii="Arial Narrow" w:eastAsia="Calibri" w:hAnsi="Arial Narrow" w:cs="Times New Roman"/>
                <w:sz w:val="18"/>
                <w:szCs w:val="18"/>
              </w:rPr>
            </w:pPr>
            <w:r w:rsidRPr="00E70A11">
              <w:rPr>
                <w:rFonts w:ascii="Arial Narrow" w:eastAsia="Calibri" w:hAnsi="Arial Narrow" w:cs="Times New Roman"/>
                <w:sz w:val="18"/>
                <w:szCs w:val="18"/>
              </w:rPr>
              <w:t>Raine Island Recovery project is a partnership with Traditional Owners and park managers to monitor and restore the values. This has resulted in increased understanding of all values, including Indigenous culture.</w:t>
            </w:r>
          </w:p>
          <w:p w14:paraId="5761F7DD" w14:textId="77777777" w:rsidR="00A56EE9" w:rsidRPr="00E70A11" w:rsidRDefault="00A56EE9" w:rsidP="00A11869">
            <w:pPr>
              <w:pStyle w:val="ListParagraph"/>
              <w:numPr>
                <w:ilvl w:val="0"/>
                <w:numId w:val="24"/>
              </w:numPr>
              <w:spacing w:before="200" w:after="200" w:line="276" w:lineRule="auto"/>
              <w:rPr>
                <w:rStyle w:val="BookTitle"/>
                <w:rFonts w:ascii="Arial Narrow" w:eastAsia="Calibri" w:hAnsi="Arial Narrow" w:cs="Times New Roman"/>
                <w:sz w:val="18"/>
                <w:szCs w:val="18"/>
              </w:rPr>
            </w:pPr>
            <w:r w:rsidRPr="00E70A11">
              <w:rPr>
                <w:rFonts w:ascii="Arial Narrow" w:eastAsia="Calibri" w:hAnsi="Arial Narrow" w:cs="Times New Roman"/>
                <w:sz w:val="18"/>
                <w:szCs w:val="18"/>
              </w:rPr>
              <w:t>Curtis Island NP Indigenous Engagement and Cultural Heritage Strategy has been developed in partnership with Gidarjil Aboriginal Corporation, covering four Traditional Owner groups</w:t>
            </w:r>
            <w:r w:rsidRPr="00E70A11">
              <w:rPr>
                <w:rStyle w:val="BookTitle"/>
                <w:rFonts w:ascii="Arial Narrow" w:hAnsi="Arial Narrow"/>
                <w:sz w:val="18"/>
                <w:szCs w:val="18"/>
              </w:rPr>
              <w:t>.</w:t>
            </w:r>
          </w:p>
          <w:p w14:paraId="5761F7DE" w14:textId="77777777" w:rsidR="00A56EE9" w:rsidRPr="00E70A11" w:rsidRDefault="00A56EE9" w:rsidP="00A11869">
            <w:pPr>
              <w:pStyle w:val="ListParagraph"/>
              <w:numPr>
                <w:ilvl w:val="0"/>
                <w:numId w:val="24"/>
              </w:numPr>
              <w:spacing w:after="200" w:line="240" w:lineRule="auto"/>
              <w:rPr>
                <w:rStyle w:val="BookTitle"/>
                <w:rFonts w:ascii="Arial Narrow" w:hAnsi="Arial Narrow"/>
                <w:sz w:val="18"/>
                <w:szCs w:val="18"/>
              </w:rPr>
            </w:pPr>
            <w:r w:rsidRPr="00E70A11">
              <w:rPr>
                <w:rStyle w:val="BookTitle"/>
                <w:rFonts w:ascii="Arial Narrow" w:hAnsi="Arial Narrow"/>
                <w:sz w:val="18"/>
                <w:szCs w:val="18"/>
              </w:rPr>
              <w:t>By the end of 2017 a total of nine jointly managed island national parks (Cape York Peninsula Aboriginal land) have been dedicated under four separate Indigenous Management Agreements. These agreements have a strong focus on protection and management of cultural values, but there is still a lot of work to do in documenting values and making sure all managers understand them.</w:t>
            </w:r>
          </w:p>
          <w:p w14:paraId="5761F7DF" w14:textId="77777777" w:rsidR="00A56EE9" w:rsidRPr="00E70A11" w:rsidRDefault="00A56EE9" w:rsidP="00A11869">
            <w:pPr>
              <w:pStyle w:val="ListParagraph"/>
              <w:numPr>
                <w:ilvl w:val="0"/>
                <w:numId w:val="24"/>
              </w:numPr>
              <w:spacing w:after="0" w:line="276" w:lineRule="auto"/>
              <w:ind w:left="357" w:hanging="357"/>
              <w:rPr>
                <w:rFonts w:ascii="Arial Narrow" w:eastAsia="Calibri" w:hAnsi="Arial Narrow" w:cs="Times New Roman"/>
                <w:sz w:val="18"/>
                <w:szCs w:val="18"/>
              </w:rPr>
            </w:pPr>
            <w:r w:rsidRPr="00E70A11">
              <w:rPr>
                <w:rFonts w:ascii="Arial Narrow" w:hAnsi="Arial Narrow"/>
                <w:color w:val="000000"/>
                <w:sz w:val="18"/>
                <w:szCs w:val="18"/>
              </w:rPr>
              <w:t>Indigenous structures, technology, tools and archaeology: Indigenous structures (for example fish traps), tools, technologies and archaeology have not been systematically identified throughout the Region.</w:t>
            </w:r>
          </w:p>
          <w:p w14:paraId="5761F7E0" w14:textId="77777777" w:rsidR="00A56EE9" w:rsidRPr="00E70A11" w:rsidRDefault="00A56EE9" w:rsidP="00A11869">
            <w:pPr>
              <w:pStyle w:val="ListBullet"/>
              <w:numPr>
                <w:ilvl w:val="0"/>
                <w:numId w:val="24"/>
              </w:numPr>
              <w:spacing w:line="240" w:lineRule="auto"/>
              <w:ind w:left="357" w:hanging="357"/>
              <w:contextualSpacing/>
            </w:pPr>
            <w:r w:rsidRPr="00E70A11">
              <w:rPr>
                <w:lang w:val="en-GB"/>
              </w:rPr>
              <w:t>As part of RIMReP, social and economic monitoring is being developed under SELTMP (CSIRO’s Social and Economic Long Term Monitoring Program),</w:t>
            </w:r>
            <w:r w:rsidRPr="00E70A11">
              <w:t xml:space="preserve"> new </w:t>
            </w:r>
            <w:r w:rsidRPr="00E70A11">
              <w:rPr>
                <w:lang w:val="en-GB"/>
              </w:rPr>
              <w:t>questions were inserted into the Survey in 2017 to improve knowledge of the wider community’s perceptions and understanding of GBR heritage (including cultural heritage).</w:t>
            </w:r>
          </w:p>
          <w:p w14:paraId="5761F7E1" w14:textId="77777777" w:rsidR="00A56EE9" w:rsidRPr="00E70A11" w:rsidRDefault="00A56EE9" w:rsidP="00A11869">
            <w:pPr>
              <w:pStyle w:val="ListBullet"/>
              <w:numPr>
                <w:ilvl w:val="0"/>
                <w:numId w:val="24"/>
              </w:numPr>
              <w:spacing w:line="240" w:lineRule="auto"/>
              <w:contextualSpacing/>
            </w:pPr>
            <w:r w:rsidRPr="00E70A11">
              <w:t xml:space="preserve">GBRMPA recognises gaps in its knowledge of the following specific aspects of Indigenous heritage values and their appropriate management: </w:t>
            </w:r>
          </w:p>
          <w:p w14:paraId="5761F7E2" w14:textId="77777777" w:rsidR="00A56EE9" w:rsidRPr="00E70A11" w:rsidRDefault="00A56EE9" w:rsidP="00BB6AD5">
            <w:pPr>
              <w:pStyle w:val="ListBullet"/>
              <w:spacing w:line="240" w:lineRule="auto"/>
              <w:ind w:left="729"/>
              <w:contextualSpacing/>
            </w:pPr>
            <w:r w:rsidRPr="00E70A11">
              <w:t>places of significance for Traditional Owners, including sacred sites, spiritual sites, burial sites, songlines and ceremonial sites — some of which may not be at all obvious</w:t>
            </w:r>
          </w:p>
          <w:p w14:paraId="5761F7E3" w14:textId="77777777" w:rsidR="00A56EE9" w:rsidRPr="00E70A11" w:rsidRDefault="00A56EE9" w:rsidP="00BB6AD5">
            <w:pPr>
              <w:pStyle w:val="ListBullet"/>
              <w:spacing w:line="240" w:lineRule="auto"/>
              <w:ind w:left="729"/>
              <w:contextualSpacing/>
            </w:pPr>
            <w:r w:rsidRPr="00E70A11">
              <w:t>tangible places of importance for Indigenous people, including middens, fish traps, scarred trees, camp sites and rock art sites</w:t>
            </w:r>
          </w:p>
          <w:p w14:paraId="5761F7E4" w14:textId="77777777" w:rsidR="00A56EE9" w:rsidRPr="00E70A11" w:rsidRDefault="00A56EE9" w:rsidP="00BB6AD5">
            <w:pPr>
              <w:pStyle w:val="ListBullet"/>
              <w:spacing w:line="240" w:lineRule="auto"/>
              <w:ind w:left="729"/>
              <w:contextualSpacing/>
            </w:pPr>
            <w:r w:rsidRPr="00E70A11">
              <w:t>archaeological sites or Indigenous places recognised as being of national significance (for example, the axe quarry on South Molle Island and the ‘contact’ rock art of Flinders Island)</w:t>
            </w:r>
          </w:p>
          <w:p w14:paraId="5761F7E5" w14:textId="77777777" w:rsidR="00A56EE9" w:rsidRPr="00E70A11" w:rsidRDefault="00A56EE9" w:rsidP="00BB6AD5">
            <w:pPr>
              <w:pStyle w:val="ListBullet"/>
              <w:spacing w:line="240" w:lineRule="auto"/>
              <w:ind w:left="729"/>
              <w:contextualSpacing/>
            </w:pPr>
            <w:r w:rsidRPr="00E70A11">
              <w:t xml:space="preserve">intangible story places and songlines and their connections to biodiversity values and ecological processes </w:t>
            </w:r>
          </w:p>
          <w:p w14:paraId="5761F7E6" w14:textId="77777777" w:rsidR="00A56EE9" w:rsidRPr="00E70A11" w:rsidRDefault="00A56EE9" w:rsidP="00BB6AD5">
            <w:pPr>
              <w:pStyle w:val="ListBullet"/>
              <w:spacing w:line="240" w:lineRule="auto"/>
              <w:ind w:left="729"/>
              <w:contextualSpacing/>
            </w:pPr>
            <w:proofErr w:type="gramStart"/>
            <w:r w:rsidRPr="00E70A11">
              <w:t>places</w:t>
            </w:r>
            <w:proofErr w:type="gramEnd"/>
            <w:r w:rsidRPr="00E70A11">
              <w:t xml:space="preserve"> or totems and the reasons they are of contemporary value to Indigenous people.</w:t>
            </w:r>
          </w:p>
          <w:p w14:paraId="5761F7E7" w14:textId="77777777" w:rsidR="00A56EE9" w:rsidRPr="00E70A11" w:rsidRDefault="00A56EE9" w:rsidP="00BB6AD5">
            <w:pPr>
              <w:pStyle w:val="ListBullet"/>
              <w:spacing w:line="240" w:lineRule="auto"/>
              <w:ind w:left="729"/>
              <w:contextualSpacing/>
            </w:pPr>
            <w:r w:rsidRPr="00E70A11">
              <w:t>Indigenous place names and language relevant to the Region. Some have been recorded (for example, Bandjin Reefs or Woopaburra place names) but many more need to be before this knowledge is lost.</w:t>
            </w:r>
          </w:p>
        </w:tc>
        <w:tc>
          <w:tcPr>
            <w:tcW w:w="4926"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E8" w14:textId="77777777" w:rsidR="00A56EE9" w:rsidRPr="00E70A11" w:rsidRDefault="008B5998" w:rsidP="00A11869">
            <w:pPr>
              <w:pStyle w:val="ListParagraph"/>
              <w:numPr>
                <w:ilvl w:val="0"/>
                <w:numId w:val="160"/>
              </w:numPr>
              <w:spacing w:after="0" w:line="240" w:lineRule="auto"/>
              <w:ind w:left="357" w:hanging="357"/>
              <w:rPr>
                <w:rStyle w:val="Hyperlink"/>
                <w:rFonts w:ascii="Arial Narrow" w:hAnsi="Arial Narrow"/>
                <w:sz w:val="18"/>
                <w:szCs w:val="18"/>
              </w:rPr>
            </w:pPr>
            <w:hyperlink r:id="rId1019" w:history="1">
              <w:r w:rsidR="00A56EE9" w:rsidRPr="00E70A11">
                <w:rPr>
                  <w:rStyle w:val="Hyperlink"/>
                  <w:rFonts w:ascii="Arial Narrow" w:eastAsia="Calibri" w:hAnsi="Arial Narrow"/>
                  <w:sz w:val="18"/>
                  <w:szCs w:val="18"/>
                </w:rPr>
                <w:t>Strategic Assessment Report</w:t>
              </w:r>
            </w:hyperlink>
          </w:p>
          <w:p w14:paraId="5761F7E9"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1020" w:history="1">
              <w:r w:rsidR="00A56EE9" w:rsidRPr="00E70A11">
                <w:rPr>
                  <w:rStyle w:val="Hyperlink"/>
                  <w:rFonts w:ascii="Arial Narrow" w:eastAsia="Calibri" w:hAnsi="Arial Narrow"/>
                  <w:sz w:val="18"/>
                  <w:szCs w:val="18"/>
                </w:rPr>
                <w:t>Draft Aboriginal &amp; Torres Strait Islander Heritage Strategy</w:t>
              </w:r>
            </w:hyperlink>
            <w:r w:rsidR="00A56EE9" w:rsidRPr="00E70A11">
              <w:rPr>
                <w:rFonts w:ascii="Arial Narrow" w:eastAsia="Calibri" w:hAnsi="Arial Narrow"/>
                <w:sz w:val="18"/>
                <w:szCs w:val="18"/>
              </w:rPr>
              <w:t xml:space="preserve"> </w:t>
            </w:r>
          </w:p>
          <w:p w14:paraId="5761F7EA" w14:textId="77777777" w:rsidR="00A56EE9" w:rsidRPr="00E70A11" w:rsidRDefault="00A56EE9" w:rsidP="00A11869">
            <w:pPr>
              <w:pStyle w:val="ListParagraph"/>
              <w:numPr>
                <w:ilvl w:val="0"/>
                <w:numId w:val="24"/>
              </w:numPr>
              <w:spacing w:after="0" w:line="240" w:lineRule="auto"/>
              <w:ind w:left="357" w:hanging="357"/>
              <w:rPr>
                <w:rStyle w:val="Hyperlink"/>
                <w:rFonts w:ascii="Arial Narrow" w:hAnsi="Arial Narrow"/>
                <w:sz w:val="18"/>
                <w:szCs w:val="18"/>
                <w:lang w:val="en-GB"/>
              </w:rPr>
            </w:pPr>
            <w:r w:rsidRPr="00E70A11">
              <w:rPr>
                <w:rStyle w:val="Hyperlink"/>
                <w:rFonts w:ascii="Arial Narrow" w:hAnsi="Arial Narrow"/>
                <w:sz w:val="18"/>
                <w:szCs w:val="18"/>
              </w:rPr>
              <w:fldChar w:fldCharType="begin"/>
            </w:r>
            <w:r w:rsidRPr="00E70A11">
              <w:rPr>
                <w:rStyle w:val="Hyperlink"/>
                <w:rFonts w:ascii="Arial Narrow" w:hAnsi="Arial Narrow"/>
                <w:sz w:val="18"/>
                <w:szCs w:val="18"/>
              </w:rPr>
              <w:instrText xml:space="preserve"> HYPERLINK "http://elibrary.gbrmpa.gov.au/jspui/handle/11017/3215" </w:instrText>
            </w:r>
            <w:r w:rsidRPr="00E70A11">
              <w:rPr>
                <w:rStyle w:val="Hyperlink"/>
                <w:rFonts w:ascii="Arial Narrow" w:hAnsi="Arial Narrow"/>
                <w:sz w:val="18"/>
                <w:szCs w:val="18"/>
              </w:rPr>
              <w:fldChar w:fldCharType="separate"/>
            </w:r>
            <w:r w:rsidRPr="00E70A11">
              <w:rPr>
                <w:rStyle w:val="Hyperlink"/>
                <w:rFonts w:ascii="Arial Narrow" w:hAnsi="Arial Narrow"/>
                <w:sz w:val="18"/>
                <w:szCs w:val="18"/>
              </w:rPr>
              <w:t xml:space="preserve"> Guidelines: Woppaburra Traditional Owner Heritage Assessment</w:t>
            </w:r>
          </w:p>
          <w:p w14:paraId="5761F7EB" w14:textId="77777777" w:rsidR="00A56EE9" w:rsidRPr="00E70A11" w:rsidRDefault="00A56EE9" w:rsidP="00A11869">
            <w:pPr>
              <w:pStyle w:val="ListParagraph"/>
              <w:numPr>
                <w:ilvl w:val="0"/>
                <w:numId w:val="24"/>
              </w:numPr>
              <w:spacing w:after="0" w:line="240" w:lineRule="auto"/>
              <w:ind w:left="357" w:hanging="357"/>
              <w:rPr>
                <w:rFonts w:ascii="Arial Narrow" w:hAnsi="Arial Narrow"/>
                <w:sz w:val="18"/>
                <w:szCs w:val="18"/>
              </w:rPr>
            </w:pPr>
            <w:r w:rsidRPr="00E70A11">
              <w:rPr>
                <w:rStyle w:val="Hyperlink"/>
                <w:rFonts w:ascii="Arial Narrow" w:hAnsi="Arial Narrow"/>
                <w:sz w:val="18"/>
                <w:szCs w:val="18"/>
              </w:rPr>
              <w:fldChar w:fldCharType="end"/>
            </w:r>
            <w:r w:rsidRPr="00E70A11">
              <w:rPr>
                <w:rFonts w:ascii="Arial Narrow" w:eastAsia="Calibri" w:hAnsi="Arial Narrow"/>
                <w:sz w:val="18"/>
                <w:szCs w:val="18"/>
              </w:rPr>
              <w:t>Outlook Report 2014</w:t>
            </w:r>
          </w:p>
          <w:p w14:paraId="5761F7EC" w14:textId="77777777" w:rsidR="00A56EE9" w:rsidRPr="00E70A11" w:rsidRDefault="00A56EE9" w:rsidP="00A11869">
            <w:pPr>
              <w:pStyle w:val="ListParagraph"/>
              <w:numPr>
                <w:ilvl w:val="0"/>
                <w:numId w:val="24"/>
              </w:numPr>
              <w:spacing w:after="200" w:line="240" w:lineRule="auto"/>
              <w:rPr>
                <w:rStyle w:val="Hyperlink"/>
                <w:rFonts w:ascii="Arial Narrow" w:hAnsi="Arial Narrow"/>
                <w:sz w:val="18"/>
                <w:szCs w:val="18"/>
              </w:rPr>
            </w:pPr>
            <w:r w:rsidRPr="00E70A11">
              <w:rPr>
                <w:rFonts w:ascii="Arial Narrow" w:hAnsi="Arial Narrow"/>
                <w:sz w:val="18"/>
                <w:szCs w:val="18"/>
              </w:rPr>
              <w:t xml:space="preserve">Guidelines: </w:t>
            </w:r>
            <w:hyperlink r:id="rId1021" w:history="1">
              <w:r w:rsidRPr="00E70A11">
                <w:rPr>
                  <w:rStyle w:val="Hyperlink"/>
                  <w:rFonts w:ascii="Arial Narrow" w:hAnsi="Arial Narrow"/>
                  <w:sz w:val="18"/>
                  <w:szCs w:val="18"/>
                </w:rPr>
                <w:t>Traditional Owner Heritage</w:t>
              </w:r>
              <w:r>
                <w:rPr>
                  <w:rStyle w:val="Hyperlink"/>
                  <w:rFonts w:ascii="Arial Narrow" w:hAnsi="Arial Narrow"/>
                  <w:sz w:val="18"/>
                  <w:szCs w:val="18"/>
                </w:rPr>
                <w:t xml:space="preserve"> </w:t>
              </w:r>
              <w:r w:rsidRPr="00E70A11">
                <w:rPr>
                  <w:rStyle w:val="Hyperlink"/>
                  <w:rFonts w:ascii="Arial Narrow" w:hAnsi="Arial Narrow"/>
                  <w:sz w:val="18"/>
                  <w:szCs w:val="18"/>
                </w:rPr>
                <w:t>Assessment</w:t>
              </w:r>
            </w:hyperlink>
          </w:p>
          <w:p w14:paraId="5761F7ED" w14:textId="77777777" w:rsidR="00A56EE9" w:rsidRPr="00E70A11" w:rsidRDefault="00A56EE9" w:rsidP="00A11869">
            <w:pPr>
              <w:pStyle w:val="ListParagraph"/>
              <w:numPr>
                <w:ilvl w:val="0"/>
                <w:numId w:val="24"/>
              </w:numPr>
              <w:spacing w:after="200" w:line="240" w:lineRule="auto"/>
              <w:rPr>
                <w:rFonts w:ascii="Arial Narrow" w:hAnsi="Arial Narrow"/>
                <w:color w:val="0000FF"/>
                <w:sz w:val="18"/>
                <w:szCs w:val="18"/>
                <w:u w:val="single"/>
              </w:rPr>
            </w:pPr>
            <w:r w:rsidRPr="00E70A11">
              <w:rPr>
                <w:rFonts w:ascii="Arial Narrow" w:hAnsi="Arial Narrow"/>
                <w:sz w:val="18"/>
                <w:szCs w:val="18"/>
              </w:rPr>
              <w:t>Workshop and staff consultation</w:t>
            </w:r>
          </w:p>
          <w:bookmarkStart w:id="207" w:name="_Hlk519177113"/>
          <w:p w14:paraId="5761F7EE" w14:textId="115D7899" w:rsidR="00A56EE9" w:rsidRPr="00E70A11" w:rsidRDefault="00A56EE9" w:rsidP="00A11869">
            <w:pPr>
              <w:pStyle w:val="ListParagraph"/>
              <w:numPr>
                <w:ilvl w:val="0"/>
                <w:numId w:val="24"/>
              </w:numPr>
              <w:spacing w:after="200" w:line="240" w:lineRule="auto"/>
              <w:rPr>
                <w:rStyle w:val="Hyperlink"/>
                <w:rFonts w:ascii="Arial Narrow" w:hAnsi="Arial Narrow"/>
                <w:sz w:val="18"/>
                <w:szCs w:val="18"/>
              </w:rPr>
            </w:pPr>
            <w:r w:rsidRPr="00E70A11">
              <w:rPr>
                <w:rStyle w:val="Hyperlink"/>
                <w:rFonts w:ascii="Arial Narrow" w:hAnsi="Arial Narrow"/>
                <w:sz w:val="18"/>
                <w:szCs w:val="18"/>
              </w:rPr>
              <w:fldChar w:fldCharType="begin"/>
            </w:r>
            <w:r w:rsidR="008F5DF2">
              <w:rPr>
                <w:rStyle w:val="Hyperlink"/>
                <w:rFonts w:ascii="Arial Narrow" w:hAnsi="Arial Narrow"/>
                <w:sz w:val="18"/>
                <w:szCs w:val="18"/>
              </w:rPr>
              <w:instrText>HYPERLINK "https://www.npsr.qld.gov.au/raineisland/" \o "document link"</w:instrText>
            </w:r>
            <w:r w:rsidRPr="00E70A11">
              <w:rPr>
                <w:rStyle w:val="Hyperlink"/>
                <w:rFonts w:ascii="Arial Narrow" w:hAnsi="Arial Narrow"/>
                <w:sz w:val="18"/>
                <w:szCs w:val="18"/>
              </w:rPr>
              <w:fldChar w:fldCharType="separate"/>
            </w:r>
            <w:r w:rsidRPr="00E70A11">
              <w:rPr>
                <w:rStyle w:val="Hyperlink"/>
                <w:rFonts w:ascii="Arial Narrow" w:hAnsi="Arial Narrow"/>
                <w:sz w:val="18"/>
                <w:szCs w:val="18"/>
              </w:rPr>
              <w:t>https://www.npsr.qld.gov.au/raineisland/</w:t>
            </w:r>
            <w:r w:rsidRPr="00E70A11">
              <w:rPr>
                <w:rStyle w:val="Hyperlink"/>
                <w:rFonts w:ascii="Arial Narrow" w:hAnsi="Arial Narrow"/>
                <w:sz w:val="18"/>
                <w:szCs w:val="18"/>
              </w:rPr>
              <w:fldChar w:fldCharType="end"/>
            </w:r>
          </w:p>
          <w:p w14:paraId="5761F7EF" w14:textId="77777777" w:rsidR="00A56EE9" w:rsidRPr="00E70A11" w:rsidRDefault="008B5998" w:rsidP="00A11869">
            <w:pPr>
              <w:pStyle w:val="ListParagraph"/>
              <w:numPr>
                <w:ilvl w:val="0"/>
                <w:numId w:val="24"/>
              </w:numPr>
              <w:spacing w:after="200" w:line="240" w:lineRule="auto"/>
              <w:rPr>
                <w:rStyle w:val="Hyperlink"/>
                <w:rFonts w:ascii="Arial Narrow" w:hAnsi="Arial Narrow"/>
                <w:sz w:val="18"/>
                <w:szCs w:val="18"/>
              </w:rPr>
            </w:pPr>
            <w:hyperlink r:id="rId1022" w:history="1">
              <w:r w:rsidR="00A56EE9" w:rsidRPr="00E70A11">
                <w:rPr>
                  <w:rStyle w:val="Hyperlink"/>
                  <w:rFonts w:ascii="Arial Narrow" w:hAnsi="Arial Narrow"/>
                  <w:sz w:val="18"/>
                  <w:szCs w:val="18"/>
                </w:rPr>
                <w:t>Field Management Program annual report</w:t>
              </w:r>
            </w:hyperlink>
            <w:r w:rsidR="00A56EE9" w:rsidRPr="00E70A11">
              <w:rPr>
                <w:rStyle w:val="Hyperlink"/>
                <w:rFonts w:ascii="Arial Narrow" w:hAnsi="Arial Narrow"/>
                <w:sz w:val="18"/>
                <w:szCs w:val="18"/>
              </w:rPr>
              <w:t xml:space="preserve"> (2016-17 summary)</w:t>
            </w:r>
          </w:p>
          <w:p w14:paraId="5761F7F0"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Style w:val="Hyperlink"/>
                <w:rFonts w:ascii="Arial Narrow" w:hAnsi="Arial Narrow"/>
                <w:sz w:val="18"/>
                <w:szCs w:val="18"/>
              </w:rPr>
              <w:t xml:space="preserve">Websites for some of the Aboriginal and Torres Strait Islander communities demonstrate understanding of Indigenous culture relating to the Reef, as well as some of the activities to pass this understanding to others. For examples, see </w:t>
            </w:r>
            <w:hyperlink r:id="rId1023" w:history="1">
              <w:r w:rsidRPr="00E70A11">
                <w:rPr>
                  <w:rStyle w:val="Hyperlink"/>
                  <w:rFonts w:ascii="Arial Narrow" w:hAnsi="Arial Narrow"/>
                  <w:sz w:val="18"/>
                  <w:szCs w:val="18"/>
                </w:rPr>
                <w:t>Girrigun</w:t>
              </w:r>
            </w:hyperlink>
            <w:r w:rsidRPr="00E70A11">
              <w:rPr>
                <w:rStyle w:val="Hyperlink"/>
                <w:rFonts w:ascii="Arial Narrow" w:hAnsi="Arial Narrow"/>
                <w:sz w:val="18"/>
                <w:szCs w:val="18"/>
              </w:rPr>
              <w:t xml:space="preserve"> and </w:t>
            </w:r>
            <w:hyperlink r:id="rId1024" w:history="1">
              <w:r w:rsidRPr="00E70A11">
                <w:rPr>
                  <w:rStyle w:val="Hyperlink"/>
                  <w:rFonts w:ascii="Arial Narrow" w:hAnsi="Arial Narrow"/>
                  <w:sz w:val="18"/>
                  <w:szCs w:val="18"/>
                </w:rPr>
                <w:t>Yuku Baja Muliku</w:t>
              </w:r>
            </w:hyperlink>
          </w:p>
          <w:p w14:paraId="5761F7F1" w14:textId="77777777" w:rsidR="00A56EE9" w:rsidRPr="00E70A11" w:rsidRDefault="008B5998" w:rsidP="00A11869">
            <w:pPr>
              <w:pStyle w:val="ListParagraph"/>
              <w:numPr>
                <w:ilvl w:val="0"/>
                <w:numId w:val="24"/>
              </w:numPr>
              <w:spacing w:after="200" w:line="240" w:lineRule="auto"/>
              <w:rPr>
                <w:rFonts w:ascii="Arial Narrow" w:hAnsi="Arial Narrow"/>
                <w:sz w:val="18"/>
                <w:szCs w:val="18"/>
              </w:rPr>
            </w:pPr>
            <w:hyperlink r:id="rId1025" w:history="1">
              <w:r w:rsidR="00A56EE9" w:rsidRPr="00E70A11">
                <w:rPr>
                  <w:rStyle w:val="Hyperlink"/>
                  <w:rFonts w:ascii="Arial Narrow" w:hAnsi="Arial Narrow"/>
                  <w:sz w:val="18"/>
                  <w:szCs w:val="18"/>
                </w:rPr>
                <w:t>Video about TUMRA also shows knowledge of Indigenous heritage</w:t>
              </w:r>
            </w:hyperlink>
          </w:p>
          <w:p w14:paraId="5761F7F6" w14:textId="28731D6E" w:rsidR="00A56EE9" w:rsidRPr="00762551" w:rsidRDefault="008B5998" w:rsidP="00BB6AD5">
            <w:pPr>
              <w:pStyle w:val="ListParagraph"/>
              <w:numPr>
                <w:ilvl w:val="0"/>
                <w:numId w:val="24"/>
              </w:numPr>
              <w:spacing w:after="200" w:line="240" w:lineRule="auto"/>
              <w:rPr>
                <w:rFonts w:ascii="Arial Narrow" w:hAnsi="Arial Narrow"/>
                <w:color w:val="0000FF"/>
                <w:sz w:val="18"/>
                <w:szCs w:val="18"/>
                <w:u w:val="single"/>
              </w:rPr>
            </w:pPr>
            <w:hyperlink r:id="rId1026" w:history="1">
              <w:r w:rsidR="00A56EE9" w:rsidRPr="00E70A11">
                <w:rPr>
                  <w:rStyle w:val="Hyperlink"/>
                  <w:rFonts w:ascii="Arial Narrow" w:hAnsi="Arial Narrow"/>
                  <w:sz w:val="18"/>
                  <w:szCs w:val="18"/>
                </w:rPr>
                <w:t>Reef Integrated Monitoring and Reporting Program</w:t>
              </w:r>
            </w:hyperlink>
            <w:r w:rsidR="00A56EE9" w:rsidRPr="00E70A11">
              <w:rPr>
                <w:rStyle w:val="Hyperlink"/>
                <w:rFonts w:ascii="Arial Narrow" w:hAnsi="Arial Narrow"/>
                <w:sz w:val="18"/>
                <w:szCs w:val="18"/>
              </w:rPr>
              <w:t xml:space="preserve"> (RIMReP)</w:t>
            </w:r>
            <w:bookmarkEnd w:id="207"/>
          </w:p>
        </w:tc>
        <w:tc>
          <w:tcPr>
            <w:tcW w:w="980" w:type="dxa"/>
            <w:tcBorders>
              <w:top w:val="single" w:sz="4" w:space="0" w:color="auto"/>
              <w:left w:val="single" w:sz="4" w:space="0" w:color="auto"/>
              <w:bottom w:val="single" w:sz="4" w:space="0" w:color="auto"/>
              <w:right w:val="single" w:sz="4" w:space="0" w:color="auto"/>
            </w:tcBorders>
          </w:tcPr>
          <w:p w14:paraId="5761F7F7" w14:textId="75511BC7" w:rsidR="00A56EE9" w:rsidRPr="00E70A11" w:rsidRDefault="00615DDA"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7F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06"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7F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CO2</w:t>
            </w:r>
            <w:r>
              <w:rPr>
                <w:rFonts w:ascii="Arial Narrow" w:hAnsi="Arial Narrow"/>
                <w:sz w:val="18"/>
                <w:szCs w:val="18"/>
              </w:rPr>
              <w:t xml:space="preserve"> </w:t>
            </w:r>
            <w:r w:rsidRPr="00E70A11">
              <w:rPr>
                <w:rFonts w:ascii="Arial Narrow" w:hAnsi="Arial Narrow"/>
                <w:sz w:val="18"/>
                <w:szCs w:val="18"/>
              </w:rPr>
              <w:t>The current condition and trend of values relevant Indigenous heritage are known by managers</w:t>
            </w:r>
          </w:p>
        </w:tc>
        <w:tc>
          <w:tcPr>
            <w:tcW w:w="643" w:type="dxa"/>
            <w:tcBorders>
              <w:top w:val="single" w:sz="4" w:space="0" w:color="auto"/>
              <w:left w:val="single" w:sz="4" w:space="0" w:color="auto"/>
              <w:bottom w:val="single" w:sz="4" w:space="0" w:color="auto"/>
              <w:right w:val="single" w:sz="4" w:space="0" w:color="auto"/>
            </w:tcBorders>
          </w:tcPr>
          <w:p w14:paraId="5761F7F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4444"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7F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QPWS has formally established a program to regularly report on the state of values of protected areas, including the condition of Indigenous heritage values. However, this has not been fully applied yet.</w:t>
            </w:r>
          </w:p>
          <w:p w14:paraId="5761F7F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most recently updated Whitsundays Plan of Management contains a far more detailed coverage of Indigenous values, and their protection, than was contained in earlier versions of the Plan.</w:t>
            </w:r>
          </w:p>
          <w:p w14:paraId="5761F7F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Most Indigenous Heritage values are related to the natural environment, so knowledge of the condition of natural values is also highly relevant to this criteria.</w:t>
            </w:r>
            <w:r w:rsidRPr="00E70A11">
              <w:rPr>
                <w:rFonts w:ascii="Arial Narrow" w:hAnsi="Arial Narrow"/>
                <w:color w:val="000000"/>
                <w:sz w:val="18"/>
                <w:szCs w:val="18"/>
                <w:lang w:eastAsia="en-AU"/>
              </w:rPr>
              <w:t xml:space="preserve"> Monitoring of culturally significant (cultural keystone) species and their habitats is undertaken by numerous Traditional Owner Groups along the GBRR (see also TUMRA table).</w:t>
            </w:r>
          </w:p>
          <w:p w14:paraId="5761F7F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Under the Reef 2050 RIMReP, an Expert Indigenous Heritage Working Group has formed and is developing Indigenous heritage indicators which can then be used for measuring condition and trend.</w:t>
            </w:r>
          </w:p>
        </w:tc>
        <w:tc>
          <w:tcPr>
            <w:tcW w:w="4926"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800"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27" w:history="1">
              <w:r w:rsidR="00A56EE9" w:rsidRPr="00E70A11">
                <w:rPr>
                  <w:rStyle w:val="Hyperlink"/>
                  <w:rFonts w:ascii="Arial Narrow" w:eastAsia="Calibri" w:hAnsi="Arial Narrow" w:cs="Times New Roman"/>
                  <w:sz w:val="18"/>
                  <w:szCs w:val="18"/>
                </w:rPr>
                <w:t>Whitsunday Islands Plan of Management</w:t>
              </w:r>
            </w:hyperlink>
          </w:p>
          <w:p w14:paraId="5761F801" w14:textId="77777777" w:rsidR="00A56EE9" w:rsidRPr="00E70A11" w:rsidRDefault="00A56EE9" w:rsidP="00A11869">
            <w:pPr>
              <w:pStyle w:val="ListParagraph"/>
              <w:numPr>
                <w:ilvl w:val="0"/>
                <w:numId w:val="24"/>
              </w:numPr>
              <w:spacing w:after="200" w:line="276" w:lineRule="auto"/>
              <w:rPr>
                <w:rStyle w:val="Hyperlink"/>
                <w:rFonts w:ascii="Arial Narrow" w:eastAsia="Calibri" w:hAnsi="Arial Narrow" w:cs="Times New Roman"/>
                <w:sz w:val="18"/>
                <w:szCs w:val="18"/>
              </w:rPr>
            </w:pPr>
            <w:r w:rsidRPr="00E70A11">
              <w:rPr>
                <w:rStyle w:val="Hyperlink"/>
                <w:rFonts w:ascii="Arial Narrow" w:eastAsia="Calibri" w:hAnsi="Arial Narrow"/>
                <w:sz w:val="18"/>
                <w:szCs w:val="18"/>
              </w:rPr>
              <w:t>Report on the</w:t>
            </w:r>
            <w:r>
              <w:rPr>
                <w:rStyle w:val="Hyperlink"/>
                <w:rFonts w:ascii="Arial Narrow" w:eastAsia="Calibri" w:hAnsi="Arial Narrow"/>
                <w:sz w:val="18"/>
                <w:szCs w:val="18"/>
              </w:rPr>
              <w:t xml:space="preserve"> </w:t>
            </w:r>
            <w:r w:rsidRPr="00E70A11">
              <w:rPr>
                <w:rStyle w:val="Hyperlink"/>
                <w:rFonts w:ascii="Arial Narrow" w:eastAsia="Calibri" w:hAnsi="Arial Narrow" w:cs="Times New Roman"/>
                <w:sz w:val="18"/>
                <w:szCs w:val="18"/>
              </w:rPr>
              <w:t>Social and Economic Long Term Monitoring Program</w:t>
            </w:r>
          </w:p>
          <w:p w14:paraId="5761F802"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28" w:history="1">
              <w:r w:rsidR="00A56EE9" w:rsidRPr="00E70A11">
                <w:rPr>
                  <w:rStyle w:val="Hyperlink"/>
                  <w:rFonts w:ascii="Arial Narrow" w:eastAsia="Calibri" w:hAnsi="Arial Narrow" w:cs="Times New Roman"/>
                  <w:sz w:val="18"/>
                  <w:szCs w:val="18"/>
                </w:rPr>
                <w:t>Draft Aboriginal and Islander Heritage Strategy</w:t>
              </w:r>
            </w:hyperlink>
          </w:p>
          <w:p w14:paraId="5761F803" w14:textId="77777777" w:rsidR="00A56EE9" w:rsidRPr="00E70A11" w:rsidRDefault="00A56EE9" w:rsidP="00BB6AD5">
            <w:pPr>
              <w:ind w:left="360"/>
              <w:contextualSpacing/>
              <w:rPr>
                <w:rStyle w:val="Hyperlink"/>
                <w:rFonts w:ascii="Arial Narrow" w:hAnsi="Arial Narrow"/>
                <w:sz w:val="18"/>
                <w:szCs w:val="18"/>
                <w:lang w:eastAsia="en-AU"/>
              </w:rPr>
            </w:pPr>
          </w:p>
        </w:tc>
        <w:tc>
          <w:tcPr>
            <w:tcW w:w="980" w:type="dxa"/>
            <w:tcBorders>
              <w:top w:val="single" w:sz="4" w:space="0" w:color="auto"/>
              <w:left w:val="single" w:sz="4" w:space="0" w:color="auto"/>
              <w:bottom w:val="single" w:sz="4" w:space="0" w:color="auto"/>
              <w:right w:val="single" w:sz="4" w:space="0" w:color="auto"/>
            </w:tcBorders>
          </w:tcPr>
          <w:p w14:paraId="5761F80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0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1A"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0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CO3</w:t>
            </w:r>
            <w:r>
              <w:rPr>
                <w:rFonts w:ascii="Arial Narrow" w:hAnsi="Arial Narrow"/>
                <w:sz w:val="18"/>
                <w:szCs w:val="18"/>
              </w:rPr>
              <w:t xml:space="preserve"> </w:t>
            </w:r>
            <w:r w:rsidRPr="00E70A11">
              <w:rPr>
                <w:rFonts w:ascii="Arial Narrow" w:hAnsi="Arial Narrow"/>
                <w:sz w:val="18"/>
                <w:szCs w:val="18"/>
              </w:rPr>
              <w:t>Impacts (direct, indirect and cumulative) associated with Indigenous heritage are understood by managers.</w:t>
            </w:r>
          </w:p>
        </w:tc>
        <w:tc>
          <w:tcPr>
            <w:tcW w:w="643" w:type="dxa"/>
            <w:tcBorders>
              <w:top w:val="single" w:sz="4" w:space="0" w:color="auto"/>
              <w:left w:val="single" w:sz="4" w:space="0" w:color="auto"/>
              <w:bottom w:val="single" w:sz="4" w:space="0" w:color="auto"/>
              <w:right w:val="single" w:sz="4" w:space="0" w:color="auto"/>
            </w:tcBorders>
          </w:tcPr>
          <w:p w14:paraId="5761F80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0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information in CO2</w:t>
            </w:r>
          </w:p>
          <w:p w14:paraId="5761F80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Impacts relate to impacts on natural values with Heritage significance, deterioration of significant sites and the loss of cultural knowledge or links.</w:t>
            </w:r>
          </w:p>
          <w:p w14:paraId="5761F80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Increasing emphasis on heritage values in the draft Strategic Assessment Reports and the draft Outlook Report have led to an improved understanding of the impacts on Indigenous heritage values of the Region.</w:t>
            </w:r>
          </w:p>
          <w:p w14:paraId="5761F80C"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hAnsi="Arial Narrow"/>
                <w:color w:val="000000"/>
                <w:sz w:val="18"/>
                <w:szCs w:val="18"/>
                <w:lang w:eastAsia="en-AU"/>
              </w:rPr>
              <w:t>There remains a knowledge gap within GBRMPA where managers’ understanding of impacts to Indigenous heritage are not as well developed as for biophysical values.</w:t>
            </w:r>
          </w:p>
          <w:p w14:paraId="5761F80D"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 xml:space="preserve">In the development of the Woppaburra Traditional Owner Assessment Guidelines, GBRMPA undertook a comprehensive risk assessment of potential impacts to indigenous heritage (see Table 2 in the Guidelines). This is a useful model to apply in other areas. </w:t>
            </w:r>
          </w:p>
          <w:p w14:paraId="5761F80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Improvements to the permission system also require public consultation, including targeted Traditional Owner consultation for proposed higher risk activities (i.e. assessment approaches Public Information Package, Environmental Impact Statement and Public Environmental Report). T</w:t>
            </w:r>
            <w:r w:rsidRPr="00E70A11">
              <w:rPr>
                <w:rFonts w:ascii="Arial Narrow" w:hAnsi="Arial Narrow"/>
                <w:sz w:val="18"/>
                <w:szCs w:val="18"/>
              </w:rPr>
              <w:t>his has not yet been widely applied.</w:t>
            </w:r>
          </w:p>
          <w:p w14:paraId="5761F80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In 2017 GBRMPA developed a draft cumulative impact management policy (Reef 2050 Plan action EHA19). </w:t>
            </w:r>
          </w:p>
        </w:tc>
        <w:tc>
          <w:tcPr>
            <w:tcW w:w="4926" w:type="dxa"/>
            <w:tcBorders>
              <w:top w:val="single" w:sz="4" w:space="0" w:color="auto"/>
              <w:left w:val="single" w:sz="4" w:space="0" w:color="auto"/>
              <w:bottom w:val="single" w:sz="4" w:space="0" w:color="auto"/>
              <w:right w:val="single" w:sz="4" w:space="0" w:color="auto"/>
            </w:tcBorders>
          </w:tcPr>
          <w:p w14:paraId="5761F810" w14:textId="77777777" w:rsidR="00A56EE9" w:rsidRPr="00E70A11" w:rsidRDefault="00A56EE9" w:rsidP="00A11869">
            <w:pPr>
              <w:pStyle w:val="ListParagraph"/>
              <w:numPr>
                <w:ilvl w:val="0"/>
                <w:numId w:val="24"/>
              </w:numPr>
              <w:spacing w:after="0" w:line="240" w:lineRule="auto"/>
              <w:ind w:left="357" w:hanging="357"/>
              <w:rPr>
                <w:rStyle w:val="Hyperlink"/>
                <w:rFonts w:ascii="Arial Narrow" w:hAnsi="Arial Narrow"/>
                <w:sz w:val="18"/>
                <w:szCs w:val="18"/>
                <w:lang w:val="en-GB"/>
              </w:rPr>
            </w:pPr>
            <w:r w:rsidRPr="00E70A11">
              <w:rPr>
                <w:rFonts w:ascii="Arial Narrow" w:hAnsi="Arial Narrow"/>
                <w:sz w:val="18"/>
                <w:szCs w:val="18"/>
              </w:rPr>
              <w:t xml:space="preserve">Guidelines: </w:t>
            </w:r>
            <w:hyperlink r:id="rId1029" w:history="1">
              <w:r w:rsidRPr="00E70A11">
                <w:rPr>
                  <w:rStyle w:val="Hyperlink"/>
                  <w:rFonts w:ascii="Arial Narrow" w:hAnsi="Arial Narrow"/>
                  <w:sz w:val="18"/>
                  <w:szCs w:val="18"/>
                </w:rPr>
                <w:t>Traditional Owner Heritage</w:t>
              </w:r>
              <w:r>
                <w:rPr>
                  <w:rStyle w:val="Hyperlink"/>
                  <w:rFonts w:ascii="Arial Narrow" w:hAnsi="Arial Narrow"/>
                  <w:sz w:val="18"/>
                  <w:szCs w:val="18"/>
                </w:rPr>
                <w:t xml:space="preserve"> </w:t>
              </w:r>
              <w:r w:rsidRPr="00E70A11">
                <w:rPr>
                  <w:rStyle w:val="Hyperlink"/>
                  <w:rFonts w:ascii="Arial Narrow" w:hAnsi="Arial Narrow"/>
                  <w:sz w:val="18"/>
                  <w:szCs w:val="18"/>
                </w:rPr>
                <w:t>Assessment</w:t>
              </w:r>
            </w:hyperlink>
          </w:p>
          <w:p w14:paraId="5761F811" w14:textId="77777777" w:rsidR="00A56EE9" w:rsidRPr="00E70A11" w:rsidRDefault="008B5998" w:rsidP="00A11869">
            <w:pPr>
              <w:numPr>
                <w:ilvl w:val="0"/>
                <w:numId w:val="24"/>
              </w:numPr>
              <w:spacing w:after="0" w:line="240" w:lineRule="auto"/>
              <w:ind w:left="357" w:hanging="357"/>
              <w:contextualSpacing/>
              <w:rPr>
                <w:rStyle w:val="Hyperlink"/>
                <w:rFonts w:ascii="Arial Narrow" w:eastAsia="Calibri" w:hAnsi="Arial Narrow"/>
                <w:sz w:val="18"/>
                <w:szCs w:val="18"/>
                <w:lang w:eastAsia="en-AU"/>
              </w:rPr>
            </w:pPr>
            <w:hyperlink r:id="rId1030" w:history="1">
              <w:r w:rsidR="00A56EE9" w:rsidRPr="00E70A11">
                <w:rPr>
                  <w:rStyle w:val="Hyperlink"/>
                  <w:rFonts w:ascii="Arial Narrow" w:eastAsia="Calibri" w:hAnsi="Arial Narrow"/>
                  <w:sz w:val="18"/>
                  <w:szCs w:val="18"/>
                  <w:lang w:eastAsia="en-AU"/>
                </w:rPr>
                <w:t xml:space="preserve"> Guidelines: Woppaburra Traditional Owner Heritage</w:t>
              </w:r>
            </w:hyperlink>
            <w:r w:rsidR="00A56EE9" w:rsidRPr="00E70A11">
              <w:rPr>
                <w:rStyle w:val="Hyperlink"/>
                <w:rFonts w:ascii="Arial Narrow" w:eastAsia="Calibri" w:hAnsi="Arial Narrow"/>
                <w:sz w:val="18"/>
                <w:szCs w:val="18"/>
                <w:lang w:eastAsia="en-AU"/>
              </w:rPr>
              <w:t xml:space="preserve"> Assessment</w:t>
            </w:r>
          </w:p>
          <w:p w14:paraId="5761F812" w14:textId="77777777" w:rsidR="00A56EE9" w:rsidRPr="00E70A11" w:rsidRDefault="008B5998" w:rsidP="00A11869">
            <w:pPr>
              <w:pStyle w:val="ListParagraph"/>
              <w:numPr>
                <w:ilvl w:val="0"/>
                <w:numId w:val="24"/>
              </w:numPr>
              <w:spacing w:after="200" w:line="240" w:lineRule="auto"/>
              <w:rPr>
                <w:rStyle w:val="Hyperlink"/>
                <w:rFonts w:ascii="Arial Narrow" w:eastAsia="Calibri" w:hAnsi="Arial Narrow" w:cs="Times New Roman"/>
                <w:sz w:val="18"/>
                <w:szCs w:val="18"/>
              </w:rPr>
            </w:pPr>
            <w:hyperlink r:id="rId1031" w:history="1">
              <w:r w:rsidR="00A56EE9" w:rsidRPr="00E70A11">
                <w:rPr>
                  <w:rStyle w:val="Hyperlink"/>
                  <w:rFonts w:ascii="Arial Narrow" w:eastAsia="Calibri" w:hAnsi="Arial Narrow" w:cs="Times New Roman"/>
                  <w:sz w:val="18"/>
                  <w:szCs w:val="18"/>
                </w:rPr>
                <w:t>Traditional Owner Heritage Assessment Guidelines</w:t>
              </w:r>
            </w:hyperlink>
          </w:p>
          <w:p w14:paraId="5761F813" w14:textId="77777777" w:rsidR="00A56EE9" w:rsidRPr="00E70A11" w:rsidRDefault="008B5998" w:rsidP="00A11869">
            <w:pPr>
              <w:pStyle w:val="ListParagraph"/>
              <w:numPr>
                <w:ilvl w:val="0"/>
                <w:numId w:val="24"/>
              </w:numPr>
              <w:spacing w:after="0" w:line="276" w:lineRule="auto"/>
              <w:ind w:left="357" w:hanging="357"/>
              <w:rPr>
                <w:rStyle w:val="Hyperlink"/>
                <w:rFonts w:ascii="Arial Narrow" w:eastAsia="Calibri" w:hAnsi="Arial Narrow" w:cs="Times New Roman"/>
                <w:sz w:val="18"/>
                <w:szCs w:val="18"/>
              </w:rPr>
            </w:pPr>
            <w:hyperlink r:id="rId1032" w:history="1">
              <w:r w:rsidR="00A56EE9" w:rsidRPr="00E70A11">
                <w:rPr>
                  <w:rStyle w:val="Hyperlink"/>
                  <w:rFonts w:ascii="Arial Narrow" w:eastAsia="Calibri" w:hAnsi="Arial Narrow" w:cs="Times New Roman"/>
                  <w:sz w:val="18"/>
                  <w:szCs w:val="18"/>
                </w:rPr>
                <w:t>Draft Aboriginal and Islander Heritage Strategy</w:t>
              </w:r>
            </w:hyperlink>
          </w:p>
          <w:p w14:paraId="5761F814" w14:textId="77777777" w:rsidR="00A56EE9" w:rsidRPr="00E70A11" w:rsidRDefault="00A56EE9" w:rsidP="00A11869">
            <w:pPr>
              <w:pStyle w:val="ListParagraph"/>
              <w:numPr>
                <w:ilvl w:val="0"/>
                <w:numId w:val="24"/>
              </w:numPr>
              <w:spacing w:after="0" w:line="240" w:lineRule="auto"/>
              <w:ind w:left="357" w:hanging="357"/>
              <w:rPr>
                <w:rFonts w:ascii="Arial Narrow" w:hAnsi="Arial Narrow"/>
                <w:color w:val="0000FF"/>
                <w:sz w:val="18"/>
                <w:szCs w:val="18"/>
                <w:u w:val="single"/>
              </w:rPr>
            </w:pPr>
            <w:r w:rsidRPr="00E70A11">
              <w:rPr>
                <w:rFonts w:ascii="Arial Narrow" w:hAnsi="Arial Narrow"/>
                <w:sz w:val="18"/>
                <w:szCs w:val="18"/>
              </w:rPr>
              <w:t>Workshop and staff consultation</w:t>
            </w:r>
          </w:p>
          <w:p w14:paraId="5761F815" w14:textId="3EE4D01D" w:rsidR="00A56EE9" w:rsidRPr="00E70A11" w:rsidRDefault="008B5998" w:rsidP="00A11869">
            <w:pPr>
              <w:pStyle w:val="ListParagraph"/>
              <w:numPr>
                <w:ilvl w:val="0"/>
                <w:numId w:val="24"/>
              </w:numPr>
              <w:spacing w:after="0" w:line="240" w:lineRule="auto"/>
              <w:ind w:left="357" w:hanging="357"/>
              <w:rPr>
                <w:rStyle w:val="Hyperlink"/>
                <w:rFonts w:ascii="Arial Narrow" w:hAnsi="Arial Narrow"/>
                <w:sz w:val="18"/>
                <w:szCs w:val="18"/>
              </w:rPr>
            </w:pPr>
            <w:hyperlink r:id="rId1033" w:tooltip="document link" w:history="1">
              <w:r w:rsidR="00A56EE9" w:rsidRPr="00E70A11">
                <w:rPr>
                  <w:rStyle w:val="Hyperlink"/>
                  <w:rFonts w:ascii="Arial Narrow" w:hAnsi="Arial Narrow"/>
                  <w:sz w:val="18"/>
                  <w:szCs w:val="18"/>
                </w:rPr>
                <w:t>https://www.npsr.qld.gov.au/raineisland/</w:t>
              </w:r>
            </w:hyperlink>
          </w:p>
          <w:p w14:paraId="5761F816"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hAnsi="Arial Narrow"/>
                <w:sz w:val="18"/>
                <w:szCs w:val="18"/>
              </w:rPr>
            </w:pPr>
            <w:hyperlink r:id="rId1034" w:history="1">
              <w:r w:rsidR="00A56EE9" w:rsidRPr="00E70A11">
                <w:rPr>
                  <w:rStyle w:val="Hyperlink"/>
                  <w:rFonts w:ascii="Arial Narrow" w:hAnsi="Arial Narrow"/>
                  <w:sz w:val="18"/>
                  <w:szCs w:val="18"/>
                </w:rPr>
                <w:t>Field Management Program annual report</w:t>
              </w:r>
            </w:hyperlink>
            <w:r w:rsidR="00A56EE9" w:rsidRPr="00E70A11">
              <w:rPr>
                <w:rStyle w:val="Hyperlink"/>
                <w:rFonts w:ascii="Arial Narrow" w:hAnsi="Arial Narrow"/>
                <w:sz w:val="18"/>
                <w:szCs w:val="18"/>
              </w:rPr>
              <w:t xml:space="preserve"> (2016-17 summary)</w:t>
            </w:r>
          </w:p>
          <w:p w14:paraId="5761F817"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Draft Cumulative Impact Management Policy – note TUMRA case study</w:t>
            </w:r>
          </w:p>
        </w:tc>
        <w:tc>
          <w:tcPr>
            <w:tcW w:w="980" w:type="dxa"/>
            <w:tcBorders>
              <w:top w:val="single" w:sz="4" w:space="0" w:color="auto"/>
              <w:left w:val="single" w:sz="4" w:space="0" w:color="auto"/>
              <w:bottom w:val="single" w:sz="4" w:space="0" w:color="auto"/>
              <w:right w:val="single" w:sz="4" w:space="0" w:color="auto"/>
            </w:tcBorders>
          </w:tcPr>
          <w:p w14:paraId="5761F81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1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82B"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1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CO4</w:t>
            </w:r>
            <w:r>
              <w:rPr>
                <w:rFonts w:ascii="Arial Narrow" w:hAnsi="Arial Narrow"/>
                <w:sz w:val="18"/>
                <w:szCs w:val="18"/>
              </w:rPr>
              <w:t xml:space="preserve"> </w:t>
            </w:r>
            <w:r w:rsidRPr="00E70A11">
              <w:rPr>
                <w:rFonts w:ascii="Arial Narrow" w:hAnsi="Arial Narrow"/>
                <w:sz w:val="18"/>
                <w:szCs w:val="18"/>
              </w:rPr>
              <w:t>The broader (national and international) level influences relevant to Indigenous heritage are understood by managers.</w:t>
            </w:r>
          </w:p>
        </w:tc>
        <w:tc>
          <w:tcPr>
            <w:tcW w:w="643" w:type="dxa"/>
            <w:tcBorders>
              <w:top w:val="single" w:sz="4" w:space="0" w:color="auto"/>
              <w:left w:val="single" w:sz="4" w:space="0" w:color="auto"/>
              <w:bottom w:val="single" w:sz="4" w:space="0" w:color="auto"/>
              <w:right w:val="single" w:sz="4" w:space="0" w:color="auto"/>
            </w:tcBorders>
          </w:tcPr>
          <w:p w14:paraId="5761F81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4444" w:type="dxa"/>
            <w:tcBorders>
              <w:top w:val="single" w:sz="4" w:space="0" w:color="auto"/>
              <w:left w:val="single" w:sz="4" w:space="0" w:color="auto"/>
              <w:bottom w:val="single" w:sz="4" w:space="0" w:color="auto"/>
              <w:right w:val="single" w:sz="4" w:space="0" w:color="auto"/>
            </w:tcBorders>
          </w:tcPr>
          <w:p w14:paraId="5761F81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National and international obligations to protect Indigenous heritage are well understood by managers in GMRMPA and the Field Management Program.</w:t>
            </w:r>
            <w:r w:rsidRPr="00E70A11">
              <w:rPr>
                <w:rFonts w:ascii="Arial Narrow" w:hAnsi="Arial Narrow"/>
                <w:color w:val="000000" w:themeColor="text1"/>
                <w:sz w:val="18"/>
                <w:szCs w:val="18"/>
                <w:lang w:eastAsia="en-AU"/>
              </w:rPr>
              <w:t xml:space="preserve"> I</w:t>
            </w:r>
            <w:r w:rsidRPr="00E70A11">
              <w:rPr>
                <w:rFonts w:ascii="Arial Narrow" w:eastAsia="Calibri" w:hAnsi="Arial Narrow"/>
                <w:sz w:val="18"/>
                <w:szCs w:val="18"/>
              </w:rPr>
              <w:t xml:space="preserve">ncreasing emphasis on heritage values in the Strategic Assessment Reports and the 2014 Outlook Report have led to an improved understanding of the broader influences on Indigenous heritage values of the Region. </w:t>
            </w:r>
          </w:p>
          <w:p w14:paraId="5761F81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 good summary of these agreements i</w:t>
            </w:r>
            <w:r>
              <w:rPr>
                <w:rFonts w:ascii="Arial Narrow" w:eastAsia="Calibri" w:hAnsi="Arial Narrow"/>
                <w:sz w:val="18"/>
                <w:szCs w:val="18"/>
              </w:rPr>
              <w:t>s</w:t>
            </w:r>
            <w:r w:rsidRPr="00E70A11">
              <w:rPr>
                <w:rFonts w:ascii="Arial Narrow" w:eastAsia="Calibri" w:hAnsi="Arial Narrow"/>
                <w:sz w:val="18"/>
                <w:szCs w:val="18"/>
              </w:rPr>
              <w:t xml:space="preserve"> included in the draft GBRMPA Heritage Strategy, but it is uncertain when this will be finalised or available to the public.</w:t>
            </w:r>
          </w:p>
          <w:p w14:paraId="5761F81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Traditional Owner groups have a high degree of awareness of the International context, with people attending a number of International gatherings. For example, 12 Traditional Owners attended the IUCN World Conservation Congress in Hawaii in September 2016 and several attended the International Marine Protected Areas Congress in 2017.</w:t>
            </w:r>
          </w:p>
          <w:p w14:paraId="5761F82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Management Plans for protected areas in the region recognise national and international obligations including protection of cultural values under the </w:t>
            </w:r>
            <w:r w:rsidRPr="00E70A11">
              <w:rPr>
                <w:rFonts w:ascii="Arial Narrow" w:eastAsia="Calibri" w:hAnsi="Arial Narrow"/>
                <w:i/>
                <w:sz w:val="18"/>
                <w:szCs w:val="18"/>
              </w:rPr>
              <w:t>Nature Conservation Act 1992 and</w:t>
            </w:r>
            <w:r w:rsidRPr="00E70A11">
              <w:rPr>
                <w:rFonts w:ascii="Arial Narrow" w:eastAsia="Calibri" w:hAnsi="Arial Narrow"/>
                <w:sz w:val="18"/>
                <w:szCs w:val="18"/>
              </w:rPr>
              <w:t xml:space="preserve"> The World Heritage Convention 1972.</w:t>
            </w:r>
          </w:p>
          <w:p w14:paraId="5761F82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Managers’ awareness of obligations under other multi-national agreements such as the Convention on Biological Diversity and the Declaration of Rights of Indigenous Peoples are more limited, but the intent of these obligations is reflected in relevant plans and strategies for the Region.</w:t>
            </w:r>
          </w:p>
        </w:tc>
        <w:tc>
          <w:tcPr>
            <w:tcW w:w="4926" w:type="dxa"/>
            <w:tcBorders>
              <w:top w:val="single" w:sz="4" w:space="0" w:color="auto"/>
              <w:left w:val="single" w:sz="4" w:space="0" w:color="auto"/>
              <w:bottom w:val="single" w:sz="4" w:space="0" w:color="auto"/>
              <w:right w:val="single" w:sz="4" w:space="0" w:color="auto"/>
            </w:tcBorders>
          </w:tcPr>
          <w:p w14:paraId="5761F822"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1035" w:history="1">
              <w:r w:rsidR="00A56EE9" w:rsidRPr="00E70A11">
                <w:rPr>
                  <w:rStyle w:val="Hyperlink"/>
                  <w:rFonts w:ascii="Arial Narrow" w:hAnsi="Arial Narrow"/>
                  <w:sz w:val="18"/>
                  <w:szCs w:val="18"/>
                </w:rPr>
                <w:t>Draft Aboriginal and Islander Heritage Strategy</w:t>
              </w:r>
            </w:hyperlink>
          </w:p>
          <w:p w14:paraId="5761F823"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Draft GBRMPA Heritage Strategy</w:t>
            </w:r>
          </w:p>
          <w:p w14:paraId="5761F82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International Union for Conservation of Nature 2017, </w:t>
            </w:r>
            <w:hyperlink r:id="rId1036" w:history="1">
              <w:r w:rsidRPr="00E70A11">
                <w:rPr>
                  <w:rStyle w:val="Hyperlink"/>
                  <w:rFonts w:ascii="Arial Narrow" w:hAnsi="Arial Narrow"/>
                  <w:sz w:val="18"/>
                  <w:szCs w:val="18"/>
                </w:rPr>
                <w:t>World Heritage Outlook</w:t>
              </w:r>
            </w:hyperlink>
            <w:r w:rsidRPr="00E70A11">
              <w:rPr>
                <w:rFonts w:ascii="Arial Narrow" w:hAnsi="Arial Narrow"/>
                <w:sz w:val="18"/>
                <w:szCs w:val="18"/>
              </w:rPr>
              <w:t xml:space="preserve"> </w:t>
            </w:r>
          </w:p>
          <w:p w14:paraId="5761F825" w14:textId="77777777" w:rsidR="00A56EE9" w:rsidRPr="00E70A11" w:rsidRDefault="008B5998" w:rsidP="00A11869">
            <w:pPr>
              <w:pStyle w:val="ListParagraph"/>
              <w:numPr>
                <w:ilvl w:val="0"/>
                <w:numId w:val="24"/>
              </w:numPr>
              <w:spacing w:after="200" w:line="240" w:lineRule="auto"/>
              <w:rPr>
                <w:rStyle w:val="Hyperlink"/>
                <w:rFonts w:ascii="Arial Narrow" w:hAnsi="Arial Narrow"/>
                <w:sz w:val="18"/>
                <w:szCs w:val="18"/>
              </w:rPr>
            </w:pPr>
            <w:hyperlink r:id="rId1037" w:history="1">
              <w:r w:rsidR="00A56EE9" w:rsidRPr="00E70A11">
                <w:rPr>
                  <w:rStyle w:val="Hyperlink"/>
                  <w:rFonts w:ascii="Arial Narrow" w:hAnsi="Arial Narrow"/>
                  <w:sz w:val="18"/>
                  <w:szCs w:val="18"/>
                </w:rPr>
                <w:t>Strategic Assessment Report</w:t>
              </w:r>
            </w:hyperlink>
          </w:p>
          <w:p w14:paraId="5761F826" w14:textId="77777777" w:rsidR="00A56EE9" w:rsidRPr="00E70A11" w:rsidRDefault="00A56EE9" w:rsidP="00A11869">
            <w:pPr>
              <w:pStyle w:val="ListParagraph"/>
              <w:numPr>
                <w:ilvl w:val="0"/>
                <w:numId w:val="24"/>
              </w:numPr>
              <w:spacing w:after="0" w:line="276" w:lineRule="auto"/>
              <w:ind w:left="357" w:hanging="357"/>
              <w:rPr>
                <w:rFonts w:ascii="Arial Narrow" w:hAnsi="Arial Narrow"/>
                <w:sz w:val="18"/>
                <w:szCs w:val="18"/>
              </w:rPr>
            </w:pPr>
            <w:r w:rsidRPr="00E70A11">
              <w:rPr>
                <w:rFonts w:ascii="Arial Narrow" w:hAnsi="Arial Narrow"/>
                <w:sz w:val="18"/>
                <w:szCs w:val="18"/>
              </w:rPr>
              <w:t xml:space="preserve">Mackay, R. 2017, </w:t>
            </w:r>
            <w:hyperlink r:id="rId1038" w:history="1">
              <w:r w:rsidRPr="00E70A11">
                <w:rPr>
                  <w:rStyle w:val="Hyperlink"/>
                  <w:rFonts w:ascii="Arial Narrow" w:hAnsi="Arial Narrow"/>
                  <w:sz w:val="18"/>
                  <w:szCs w:val="18"/>
                </w:rPr>
                <w:t>Australia state of the environment 2016: heritage: independent report to the Australian Government Minister for the Environment and Energy</w:t>
              </w:r>
            </w:hyperlink>
            <w:r w:rsidRPr="00E70A11">
              <w:rPr>
                <w:rFonts w:ascii="Arial Narrow" w:hAnsi="Arial Narrow"/>
                <w:sz w:val="18"/>
                <w:szCs w:val="18"/>
              </w:rPr>
              <w:t xml:space="preserve">, Department of the Environment and Energy, Commonwealth of Australia, Canberra </w:t>
            </w:r>
          </w:p>
          <w:p w14:paraId="5761F827"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hAnsi="Arial Narrow"/>
                <w:sz w:val="18"/>
                <w:szCs w:val="18"/>
              </w:rPr>
              <w:t xml:space="preserve">Department of the Environment and Heritage Protection., 2015, </w:t>
            </w:r>
            <w:hyperlink r:id="rId1039" w:history="1">
              <w:r w:rsidRPr="00E70A11">
                <w:rPr>
                  <w:rStyle w:val="Hyperlink"/>
                  <w:rFonts w:ascii="Arial Narrow" w:hAnsi="Arial Narrow"/>
                  <w:sz w:val="18"/>
                  <w:szCs w:val="18"/>
                </w:rPr>
                <w:t>Queensland Heritage Strategy: protecting, investing in and connecting Queensland’s story</w:t>
              </w:r>
            </w:hyperlink>
            <w:r w:rsidRPr="00E70A11">
              <w:rPr>
                <w:rFonts w:ascii="Arial Narrow" w:hAnsi="Arial Narrow"/>
                <w:sz w:val="18"/>
                <w:szCs w:val="18"/>
              </w:rPr>
              <w:t>, Department of the Environment and Heritage Protection, Brisbane</w:t>
            </w:r>
          </w:p>
        </w:tc>
        <w:tc>
          <w:tcPr>
            <w:tcW w:w="980" w:type="dxa"/>
            <w:tcBorders>
              <w:top w:val="single" w:sz="4" w:space="0" w:color="auto"/>
              <w:left w:val="single" w:sz="4" w:space="0" w:color="auto"/>
              <w:bottom w:val="single" w:sz="4" w:space="0" w:color="auto"/>
              <w:right w:val="single" w:sz="4" w:space="0" w:color="auto"/>
            </w:tcBorders>
          </w:tcPr>
          <w:p w14:paraId="5761F82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p w14:paraId="5761F829" w14:textId="77777777" w:rsidR="00A56EE9" w:rsidRPr="00E70A11" w:rsidRDefault="00A56EE9" w:rsidP="00BB6AD5">
            <w:pPr>
              <w:rPr>
                <w:rFonts w:ascii="Arial Narrow" w:hAnsi="Arial Narrow"/>
                <w:sz w:val="18"/>
                <w:szCs w:val="18"/>
              </w:rPr>
            </w:pPr>
          </w:p>
        </w:tc>
        <w:tc>
          <w:tcPr>
            <w:tcW w:w="865" w:type="dxa"/>
            <w:tcBorders>
              <w:top w:val="single" w:sz="4" w:space="0" w:color="auto"/>
              <w:left w:val="single" w:sz="4" w:space="0" w:color="auto"/>
              <w:bottom w:val="single" w:sz="4" w:space="0" w:color="auto"/>
              <w:right w:val="single" w:sz="4" w:space="0" w:color="auto"/>
            </w:tcBorders>
          </w:tcPr>
          <w:p w14:paraId="5761F82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3E"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2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CO5</w:t>
            </w:r>
            <w:r>
              <w:rPr>
                <w:rFonts w:ascii="Arial Narrow" w:hAnsi="Arial Narrow"/>
                <w:sz w:val="18"/>
                <w:szCs w:val="18"/>
              </w:rPr>
              <w:t xml:space="preserve"> </w:t>
            </w:r>
            <w:r w:rsidRPr="00E70A11">
              <w:rPr>
                <w:rFonts w:ascii="Arial Narrow" w:hAnsi="Arial Narrow"/>
                <w:sz w:val="18"/>
                <w:szCs w:val="18"/>
              </w:rPr>
              <w:t>The stakeholders relevant to Indigenous heritage are well known by managers.</w:t>
            </w:r>
          </w:p>
        </w:tc>
        <w:tc>
          <w:tcPr>
            <w:tcW w:w="643" w:type="dxa"/>
            <w:tcBorders>
              <w:top w:val="single" w:sz="4" w:space="0" w:color="auto"/>
              <w:left w:val="single" w:sz="4" w:space="0" w:color="auto"/>
              <w:bottom w:val="single" w:sz="4" w:space="0" w:color="auto"/>
              <w:right w:val="single" w:sz="4" w:space="0" w:color="auto"/>
            </w:tcBorders>
          </w:tcPr>
          <w:p w14:paraId="5761F82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4444" w:type="dxa"/>
            <w:tcBorders>
              <w:top w:val="single" w:sz="4" w:space="0" w:color="auto"/>
              <w:left w:val="single" w:sz="4" w:space="0" w:color="auto"/>
              <w:bottom w:val="single" w:sz="4" w:space="0" w:color="auto"/>
              <w:right w:val="single" w:sz="4" w:space="0" w:color="auto"/>
            </w:tcBorders>
          </w:tcPr>
          <w:p w14:paraId="5761F82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is a clear list of Traditional Owners groups for the Great Barrier Reef Region.</w:t>
            </w:r>
          </w:p>
          <w:p w14:paraId="5761F82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Traditional Owners within the Region have been identified and are in regular contact with managers both at GBRMPA and within the Field Management Program. In some cases, there is uncertainty about who has the right to speak for country. </w:t>
            </w:r>
          </w:p>
          <w:p w14:paraId="5761F830"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The Indigenous Reef Advisory Committee meets three times a year and is a conduit of information between GBRMPA and Traditional Owner groups. How effective is this at present?</w:t>
            </w:r>
          </w:p>
          <w:p w14:paraId="5761F831" w14:textId="77777777" w:rsidR="00A56EE9" w:rsidRPr="00E70A11" w:rsidRDefault="00A56EE9" w:rsidP="00A11869">
            <w:pPr>
              <w:pStyle w:val="ListParagraph"/>
              <w:numPr>
                <w:ilvl w:val="0"/>
                <w:numId w:val="24"/>
              </w:numPr>
              <w:spacing w:after="0" w:line="240" w:lineRule="auto"/>
              <w:ind w:left="357" w:hanging="357"/>
              <w:rPr>
                <w:rFonts w:ascii="Arial Narrow" w:eastAsia="Calibri" w:hAnsi="Arial Narrow" w:cs="Times New Roman"/>
                <w:sz w:val="18"/>
                <w:szCs w:val="18"/>
              </w:rPr>
            </w:pPr>
            <w:r w:rsidRPr="00E70A11">
              <w:rPr>
                <w:rFonts w:ascii="Arial Narrow" w:eastAsia="Calibri" w:hAnsi="Arial Narrow" w:cs="Times New Roman"/>
                <w:sz w:val="18"/>
                <w:szCs w:val="18"/>
              </w:rPr>
              <w:t xml:space="preserve">As part of the implementation of the Woppaburra pilot project, a consultation process is being trailed whereby Woppaburra key contacts are consulted on location-specific proposed permitted activities within their TUMRA area. </w:t>
            </w:r>
          </w:p>
          <w:p w14:paraId="5761F83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GBRMPA has strong engagement with Traditional Owners through the Land and Sea Country Partnerships program and the joint Field Management Program, which has a specific work strategy on Indigenous engagement.</w:t>
            </w:r>
          </w:p>
          <w:p w14:paraId="5761F83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bookmarkStart w:id="208" w:name="_Hlk519237370"/>
            <w:r w:rsidRPr="00E70A11">
              <w:rPr>
                <w:rFonts w:ascii="Arial Narrow" w:eastAsia="Calibri" w:hAnsi="Arial Narrow"/>
                <w:sz w:val="18"/>
                <w:szCs w:val="18"/>
              </w:rPr>
              <w:t>In 2015-16 the Indigenous Partnerships team at GBRMPA engaged 569 Traditional Owners (see CO1 - LSCP report for 15-16 link in evidence). This is equivalent to a meeting with Traditional Owners every 3.5 days. The distance travelled by the 19 GBRMPA staff to meet with Traditional Owners in 15-16 amounted to 181,000km. 87 Traditional Owners also travelled to meet with us – travelling an equivalent of 127,900 km.</w:t>
            </w:r>
          </w:p>
          <w:bookmarkEnd w:id="208"/>
          <w:p w14:paraId="5761F83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Traditional Owners spent 420 days on field management vessels in 2016-17 and</w:t>
            </w:r>
            <w:r>
              <w:rPr>
                <w:rFonts w:ascii="Arial Narrow" w:eastAsia="Calibri" w:hAnsi="Arial Narrow"/>
                <w:sz w:val="18"/>
                <w:szCs w:val="18"/>
              </w:rPr>
              <w:t xml:space="preserve"> </w:t>
            </w:r>
            <w:r w:rsidRPr="00E70A11">
              <w:rPr>
                <w:rFonts w:ascii="Arial Narrow" w:eastAsia="Calibri" w:hAnsi="Arial Narrow"/>
                <w:sz w:val="18"/>
                <w:szCs w:val="18"/>
              </w:rPr>
              <w:t xml:space="preserve">574 in 2015–16; a significant increase from 143 days in 2013–14. </w:t>
            </w:r>
          </w:p>
          <w:p w14:paraId="5761F83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In 2016-17 GBRMPA worked with its strong network of Traditional Owners/TUMRA partners to undertake a series of engagement workshops to better understand and protect heritage. </w:t>
            </w:r>
          </w:p>
        </w:tc>
        <w:tc>
          <w:tcPr>
            <w:tcW w:w="4926" w:type="dxa"/>
            <w:tcBorders>
              <w:top w:val="single" w:sz="4" w:space="0" w:color="auto"/>
              <w:left w:val="single" w:sz="4" w:space="0" w:color="auto"/>
              <w:bottom w:val="single" w:sz="4" w:space="0" w:color="auto"/>
              <w:right w:val="single" w:sz="4" w:space="0" w:color="auto"/>
            </w:tcBorders>
          </w:tcPr>
          <w:p w14:paraId="5761F836" w14:textId="77777777" w:rsidR="00A56EE9" w:rsidRPr="00E70A11" w:rsidRDefault="008B5998" w:rsidP="00A11869">
            <w:pPr>
              <w:pStyle w:val="ListParagraph"/>
              <w:numPr>
                <w:ilvl w:val="0"/>
                <w:numId w:val="24"/>
              </w:numPr>
              <w:spacing w:after="0" w:line="276" w:lineRule="auto"/>
              <w:ind w:left="357" w:hanging="357"/>
              <w:rPr>
                <w:rFonts w:ascii="Arial Narrow" w:eastAsia="Calibri" w:hAnsi="Arial Narrow" w:cs="Times New Roman"/>
                <w:sz w:val="18"/>
                <w:szCs w:val="18"/>
              </w:rPr>
            </w:pPr>
            <w:hyperlink r:id="rId1040" w:history="1">
              <w:r w:rsidR="00A56EE9" w:rsidRPr="00E70A11">
                <w:rPr>
                  <w:rStyle w:val="Hyperlink"/>
                  <w:rFonts w:ascii="Arial Narrow" w:eastAsia="Calibri" w:hAnsi="Arial Narrow" w:cs="Times New Roman"/>
                  <w:sz w:val="18"/>
                  <w:szCs w:val="18"/>
                </w:rPr>
                <w:t>Website information (GBRMPA)</w:t>
              </w:r>
            </w:hyperlink>
            <w:r w:rsidR="00A56EE9" w:rsidRPr="00E70A11">
              <w:rPr>
                <w:rStyle w:val="Hyperlink"/>
                <w:rFonts w:ascii="Arial Narrow" w:eastAsia="Calibri" w:hAnsi="Arial Narrow" w:cs="Times New Roman"/>
                <w:sz w:val="18"/>
                <w:szCs w:val="18"/>
              </w:rPr>
              <w:t xml:space="preserve"> includes list of Traditional Owner groups</w:t>
            </w:r>
          </w:p>
          <w:p w14:paraId="5761F837"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1041" w:history="1">
              <w:r w:rsidR="00A56EE9" w:rsidRPr="00E70A11">
                <w:rPr>
                  <w:rStyle w:val="Hyperlink"/>
                  <w:rFonts w:ascii="Arial Narrow" w:eastAsia="Calibri" w:hAnsi="Arial Narrow"/>
                  <w:sz w:val="18"/>
                  <w:szCs w:val="18"/>
                </w:rPr>
                <w:t xml:space="preserve"> Guidelines: Woppaburra Traditional Owner Heritage</w:t>
              </w:r>
            </w:hyperlink>
            <w:r w:rsidR="00A56EE9" w:rsidRPr="00E70A11">
              <w:rPr>
                <w:rFonts w:ascii="Arial Narrow" w:eastAsia="Calibri" w:hAnsi="Arial Narrow"/>
                <w:sz w:val="18"/>
                <w:szCs w:val="18"/>
                <w:u w:val="single"/>
              </w:rPr>
              <w:t xml:space="preserve"> Assessment</w:t>
            </w:r>
          </w:p>
          <w:p w14:paraId="5761F838" w14:textId="77777777" w:rsidR="00A56EE9" w:rsidRPr="00E70A11" w:rsidRDefault="00A56EE9" w:rsidP="00A11869">
            <w:pPr>
              <w:numPr>
                <w:ilvl w:val="0"/>
                <w:numId w:val="24"/>
              </w:numPr>
              <w:spacing w:after="0" w:line="240" w:lineRule="auto"/>
              <w:contextualSpacing/>
              <w:rPr>
                <w:rFonts w:ascii="Arial Narrow" w:hAnsi="Arial Narrow"/>
                <w:color w:val="0000FF"/>
                <w:sz w:val="18"/>
                <w:szCs w:val="18"/>
                <w:u w:val="single"/>
                <w:lang w:eastAsia="en-AU"/>
              </w:rPr>
            </w:pPr>
            <w:r w:rsidRPr="00E70A11">
              <w:rPr>
                <w:rFonts w:ascii="Arial Narrow" w:eastAsia="Calibri" w:hAnsi="Arial Narrow"/>
                <w:sz w:val="18"/>
                <w:szCs w:val="18"/>
              </w:rPr>
              <w:t xml:space="preserve">Field management Program Annual Reports reflect good knowledge of the Traditional Owner groups </w:t>
            </w:r>
            <w:hyperlink r:id="rId1042" w:history="1">
              <w:r w:rsidRPr="00E70A11">
                <w:rPr>
                  <w:rFonts w:ascii="Arial Narrow" w:hAnsi="Arial Narrow"/>
                  <w:color w:val="0000FF"/>
                  <w:sz w:val="18"/>
                  <w:szCs w:val="18"/>
                  <w:u w:val="single"/>
                  <w:lang w:eastAsia="en-AU"/>
                </w:rPr>
                <w:t>Field Management Program annual report</w:t>
              </w:r>
            </w:hyperlink>
            <w:r w:rsidRPr="00E70A11">
              <w:rPr>
                <w:rFonts w:ascii="Arial Narrow" w:hAnsi="Arial Narrow"/>
                <w:color w:val="0000FF"/>
                <w:sz w:val="18"/>
                <w:szCs w:val="18"/>
                <w:u w:val="single"/>
                <w:lang w:eastAsia="en-AU"/>
              </w:rPr>
              <w:t xml:space="preserve"> (2016-17 summary)</w:t>
            </w:r>
          </w:p>
          <w:p w14:paraId="5761F83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Information about the</w:t>
            </w:r>
            <w:bookmarkStart w:id="209" w:name="_Hlk519237187"/>
            <w:r w:rsidRPr="00E70A11">
              <w:rPr>
                <w:rFonts w:ascii="Arial Narrow" w:eastAsia="Calibri" w:hAnsi="Arial Narrow"/>
                <w:sz w:val="18"/>
                <w:szCs w:val="18"/>
              </w:rPr>
              <w:t xml:space="preserve"> </w:t>
            </w:r>
            <w:hyperlink r:id="rId1043" w:history="1">
              <w:r w:rsidRPr="00E70A11">
                <w:rPr>
                  <w:rStyle w:val="Hyperlink"/>
                  <w:rFonts w:ascii="Arial Narrow" w:eastAsia="Calibri" w:hAnsi="Arial Narrow"/>
                  <w:sz w:val="18"/>
                  <w:szCs w:val="18"/>
                </w:rPr>
                <w:t>Indigenous Reef Advisory Committee</w:t>
              </w:r>
            </w:hyperlink>
            <w:bookmarkEnd w:id="209"/>
          </w:p>
          <w:p w14:paraId="5761F83A" w14:textId="77777777" w:rsidR="00A56EE9" w:rsidRPr="00E70A11" w:rsidRDefault="008B5998" w:rsidP="00A11869">
            <w:pPr>
              <w:pStyle w:val="ListParagraph"/>
              <w:numPr>
                <w:ilvl w:val="0"/>
                <w:numId w:val="24"/>
              </w:numPr>
              <w:spacing w:after="0" w:line="240" w:lineRule="auto"/>
              <w:rPr>
                <w:rFonts w:ascii="Arial Narrow" w:hAnsi="Arial Narrow"/>
                <w:sz w:val="18"/>
                <w:szCs w:val="18"/>
              </w:rPr>
            </w:pPr>
            <w:hyperlink r:id="rId1044" w:history="1">
              <w:r w:rsidR="00A56EE9" w:rsidRPr="00E70A11">
                <w:rPr>
                  <w:rStyle w:val="Hyperlink"/>
                  <w:rFonts w:ascii="Arial Narrow" w:hAnsi="Arial Narrow"/>
                  <w:sz w:val="18"/>
                  <w:szCs w:val="18"/>
                </w:rPr>
                <w:t>Video about TUMRA demonstrates Traditional</w:t>
              </w:r>
            </w:hyperlink>
            <w:r w:rsidR="00A56EE9" w:rsidRPr="00E70A11">
              <w:rPr>
                <w:rStyle w:val="Hyperlink"/>
                <w:rFonts w:ascii="Arial Narrow" w:hAnsi="Arial Narrow"/>
                <w:sz w:val="18"/>
                <w:szCs w:val="18"/>
              </w:rPr>
              <w:t xml:space="preserve"> Owners and other managers working together</w:t>
            </w:r>
          </w:p>
          <w:p w14:paraId="5761F83B" w14:textId="77777777" w:rsidR="00A56EE9" w:rsidRPr="00774D6C"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83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3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845"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shd w:val="clear" w:color="auto" w:fill="E7E6E6"/>
          </w:tcPr>
          <w:p w14:paraId="5761F83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PLANNING</w:t>
            </w:r>
          </w:p>
        </w:tc>
        <w:tc>
          <w:tcPr>
            <w:tcW w:w="643" w:type="dxa"/>
            <w:tcBorders>
              <w:top w:val="single" w:sz="4" w:space="0" w:color="auto"/>
              <w:left w:val="single" w:sz="4" w:space="0" w:color="auto"/>
              <w:bottom w:val="single" w:sz="4" w:space="0" w:color="auto"/>
              <w:right w:val="single" w:sz="4" w:space="0" w:color="auto"/>
            </w:tcBorders>
            <w:shd w:val="clear" w:color="auto" w:fill="E7E6E6"/>
          </w:tcPr>
          <w:p w14:paraId="5761F840" w14:textId="77777777" w:rsidR="00A56EE9" w:rsidRPr="00E70A11" w:rsidRDefault="00A56EE9" w:rsidP="00BB6AD5">
            <w:pPr>
              <w:rPr>
                <w:rFonts w:ascii="Arial Narrow" w:hAnsi="Arial Narrow"/>
                <w:sz w:val="18"/>
                <w:szCs w:val="18"/>
              </w:rPr>
            </w:pPr>
          </w:p>
        </w:tc>
        <w:tc>
          <w:tcPr>
            <w:tcW w:w="4444" w:type="dxa"/>
            <w:tcBorders>
              <w:top w:val="single" w:sz="4" w:space="0" w:color="auto"/>
              <w:left w:val="single" w:sz="4" w:space="0" w:color="auto"/>
              <w:bottom w:val="single" w:sz="4" w:space="0" w:color="auto"/>
              <w:right w:val="single" w:sz="4" w:space="0" w:color="auto"/>
            </w:tcBorders>
            <w:shd w:val="clear" w:color="auto" w:fill="E7E6E6"/>
          </w:tcPr>
          <w:p w14:paraId="5761F841" w14:textId="77777777" w:rsidR="00A56EE9" w:rsidRPr="00E70A11" w:rsidRDefault="00A56EE9" w:rsidP="00BB6AD5">
            <w:pPr>
              <w:ind w:left="360"/>
              <w:contextualSpacing/>
              <w:rPr>
                <w:rFonts w:ascii="Arial Narrow" w:eastAsia="Calibri" w:hAnsi="Arial Narrow"/>
                <w:sz w:val="18"/>
                <w:szCs w:val="18"/>
              </w:rPr>
            </w:pPr>
          </w:p>
        </w:tc>
        <w:tc>
          <w:tcPr>
            <w:tcW w:w="4926" w:type="dxa"/>
            <w:tcBorders>
              <w:top w:val="single" w:sz="4" w:space="0" w:color="auto"/>
              <w:left w:val="single" w:sz="4" w:space="0" w:color="auto"/>
              <w:bottom w:val="single" w:sz="4" w:space="0" w:color="auto"/>
              <w:right w:val="single" w:sz="4" w:space="0" w:color="auto"/>
            </w:tcBorders>
            <w:shd w:val="clear" w:color="auto" w:fill="E7E6E6"/>
          </w:tcPr>
          <w:p w14:paraId="5761F842" w14:textId="77777777" w:rsidR="00A56EE9" w:rsidRPr="00E70A11" w:rsidRDefault="00A56EE9" w:rsidP="00BB6AD5">
            <w:pPr>
              <w:ind w:left="360"/>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shd w:val="clear" w:color="auto" w:fill="E7E6E6"/>
          </w:tcPr>
          <w:p w14:paraId="5761F843" w14:textId="77777777" w:rsidR="00A56EE9" w:rsidRPr="00E70A11" w:rsidRDefault="00A56EE9" w:rsidP="00BB6AD5">
            <w:pPr>
              <w:rPr>
                <w:rFonts w:ascii="Arial Narrow" w:hAnsi="Arial Narrow"/>
                <w:sz w:val="18"/>
                <w:szCs w:val="18"/>
              </w:rPr>
            </w:pPr>
          </w:p>
        </w:tc>
        <w:tc>
          <w:tcPr>
            <w:tcW w:w="865" w:type="dxa"/>
            <w:tcBorders>
              <w:top w:val="single" w:sz="4" w:space="0" w:color="auto"/>
              <w:left w:val="single" w:sz="4" w:space="0" w:color="auto"/>
              <w:bottom w:val="single" w:sz="4" w:space="0" w:color="auto"/>
              <w:right w:val="single" w:sz="4" w:space="0" w:color="auto"/>
            </w:tcBorders>
            <w:shd w:val="clear" w:color="auto" w:fill="E7E6E6"/>
          </w:tcPr>
          <w:p w14:paraId="5761F844" w14:textId="77777777" w:rsidR="00A56EE9" w:rsidRPr="00E70A11" w:rsidRDefault="00A56EE9" w:rsidP="00BB6AD5">
            <w:pPr>
              <w:rPr>
                <w:rFonts w:ascii="Arial Narrow" w:hAnsi="Arial Narrow"/>
                <w:sz w:val="18"/>
                <w:szCs w:val="18"/>
              </w:rPr>
            </w:pPr>
          </w:p>
        </w:tc>
      </w:tr>
      <w:tr w:rsidR="00A56EE9" w:rsidRPr="00E70A11" w14:paraId="5761F858"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4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PL1</w:t>
            </w:r>
            <w:r>
              <w:rPr>
                <w:rFonts w:ascii="Arial Narrow" w:hAnsi="Arial Narrow"/>
                <w:sz w:val="18"/>
                <w:szCs w:val="18"/>
              </w:rPr>
              <w:t xml:space="preserve"> </w:t>
            </w:r>
            <w:r w:rsidRPr="00E70A11">
              <w:rPr>
                <w:rFonts w:ascii="Arial Narrow" w:hAnsi="Arial Narrow"/>
                <w:sz w:val="18"/>
                <w:szCs w:val="18"/>
              </w:rPr>
              <w:t xml:space="preserve">There is a planning system in place that effectively addresses Indigenous heritage </w:t>
            </w:r>
          </w:p>
        </w:tc>
        <w:tc>
          <w:tcPr>
            <w:tcW w:w="643" w:type="dxa"/>
            <w:tcBorders>
              <w:top w:val="single" w:sz="4" w:space="0" w:color="auto"/>
              <w:left w:val="single" w:sz="4" w:space="0" w:color="auto"/>
              <w:bottom w:val="single" w:sz="4" w:space="0" w:color="auto"/>
              <w:right w:val="single" w:sz="4" w:space="0" w:color="auto"/>
            </w:tcBorders>
          </w:tcPr>
          <w:p w14:paraId="5761F84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48" w14:textId="77777777" w:rsidR="00A56EE9" w:rsidRPr="00E70A11" w:rsidRDefault="00A56EE9" w:rsidP="00A11869">
            <w:pPr>
              <w:pStyle w:val="ListParagraph"/>
              <w:numPr>
                <w:ilvl w:val="0"/>
                <w:numId w:val="24"/>
              </w:numPr>
              <w:spacing w:after="0" w:line="240" w:lineRule="auto"/>
              <w:rPr>
                <w:rFonts w:ascii="Arial Narrow" w:eastAsia="Calibri" w:hAnsi="Arial Narrow" w:cs="Times New Roman"/>
                <w:sz w:val="18"/>
                <w:szCs w:val="18"/>
              </w:rPr>
            </w:pPr>
            <w:r w:rsidRPr="00E70A11">
              <w:rPr>
                <w:rFonts w:ascii="Arial Narrow" w:eastAsia="Calibri" w:hAnsi="Arial Narrow" w:cs="Times New Roman"/>
                <w:sz w:val="18"/>
                <w:szCs w:val="18"/>
              </w:rPr>
              <w:t xml:space="preserve">A number of overlapping planning systems relate Indigenous heritage in the Region. </w:t>
            </w:r>
          </w:p>
          <w:p w14:paraId="5761F849" w14:textId="77777777" w:rsidR="00A56EE9" w:rsidRPr="00E70A11" w:rsidRDefault="00A56EE9" w:rsidP="00A11869">
            <w:pPr>
              <w:pStyle w:val="ListParagraph"/>
              <w:numPr>
                <w:ilvl w:val="0"/>
                <w:numId w:val="24"/>
              </w:numPr>
              <w:spacing w:after="0" w:line="276" w:lineRule="auto"/>
              <w:ind w:left="357" w:hanging="357"/>
              <w:rPr>
                <w:rFonts w:ascii="Arial Narrow" w:eastAsia="Calibri" w:hAnsi="Arial Narrow"/>
                <w:sz w:val="18"/>
                <w:szCs w:val="18"/>
                <w:lang w:val="en"/>
              </w:rPr>
            </w:pPr>
            <w:r w:rsidRPr="00E70A11">
              <w:rPr>
                <w:rFonts w:ascii="Arial Narrow" w:eastAsia="Calibri" w:hAnsi="Arial Narrow" w:cs="Times New Roman"/>
                <w:sz w:val="18"/>
                <w:szCs w:val="18"/>
              </w:rPr>
              <w:t xml:space="preserve">The Reef 2050 Plan raised the profile of Indigenous heritage. </w:t>
            </w:r>
            <w:r w:rsidRPr="00E70A11">
              <w:rPr>
                <w:rFonts w:ascii="Arial Narrow" w:eastAsia="Calibri" w:hAnsi="Arial Narrow"/>
                <w:sz w:val="18"/>
                <w:szCs w:val="18"/>
              </w:rPr>
              <w:t xml:space="preserve">23 Reef 2050 Plan actions specifically relate to Traditional Owners. The Reef 2050 Indigenous Implementation Plan proposes pathways for implementing the Traditional Owner- specific Reef 2050 Plan actions as a group. The Reef 2050 Plan Investment Framework identifies Traditional Owner actions as one of six priority areas for future investment stating that: “a key priority for investment is to improve involvement of Traditional Owners in the delivery of Reef 2050 actions”. </w:t>
            </w:r>
          </w:p>
          <w:p w14:paraId="5761F84A"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lang w:val="en"/>
              </w:rPr>
            </w:pPr>
            <w:r w:rsidRPr="00E70A11">
              <w:rPr>
                <w:rFonts w:ascii="Arial Narrow" w:eastAsia="Calibri" w:hAnsi="Arial Narrow"/>
                <w:sz w:val="18"/>
                <w:szCs w:val="18"/>
                <w:lang w:val="en"/>
              </w:rPr>
              <w:t>A draft Aboriginal and Torres Strait Islander Heritage Strategy is currently available for public comment.</w:t>
            </w:r>
          </w:p>
          <w:p w14:paraId="5761F84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lang w:val="en"/>
              </w:rPr>
            </w:pPr>
            <w:r w:rsidRPr="00E70A11">
              <w:rPr>
                <w:rFonts w:ascii="Arial Narrow" w:eastAsia="Calibri" w:hAnsi="Arial Narrow"/>
                <w:sz w:val="18"/>
                <w:szCs w:val="18"/>
                <w:lang w:val="en"/>
              </w:rPr>
              <w:t xml:space="preserve">In addition, the planning system for Indigenous Heritage includes Plans of Management for different sections of the Region, Management Plans for protected areas under the </w:t>
            </w:r>
            <w:r w:rsidRPr="00E70A11">
              <w:rPr>
                <w:rFonts w:ascii="Arial Narrow" w:eastAsia="Calibri" w:hAnsi="Arial Narrow"/>
                <w:i/>
                <w:sz w:val="18"/>
                <w:szCs w:val="18"/>
                <w:lang w:val="en"/>
              </w:rPr>
              <w:t xml:space="preserve">Nature Conservation Act 1992 </w:t>
            </w:r>
            <w:r w:rsidRPr="00E70A11">
              <w:rPr>
                <w:rFonts w:ascii="Arial Narrow" w:eastAsia="Calibri" w:hAnsi="Arial Narrow"/>
                <w:sz w:val="18"/>
                <w:szCs w:val="18"/>
                <w:lang w:val="en"/>
              </w:rPr>
              <w:t>and for Indigenous Protected Areas, Sea Country Plans compiled by Indigenous groups and Corporations.</w:t>
            </w:r>
          </w:p>
          <w:p w14:paraId="5761F84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most recently updated Plan of Management for the Whitsundays section of the Reef contains a far more detailed coverage of Indigenous values, and their protection, than was contained in earlier versions of the Plan, and all strategies in the Plan recognised the involvement and aspirations of Indigenous people. </w:t>
            </w:r>
          </w:p>
          <w:p w14:paraId="5761F84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Special Management Areas (SMAs) </w:t>
            </w:r>
            <w:r w:rsidRPr="00EE767E">
              <w:rPr>
                <w:rFonts w:ascii="Arial Narrow" w:eastAsia="Calibri" w:hAnsi="Arial Narrow"/>
                <w:sz w:val="18"/>
                <w:szCs w:val="18"/>
              </w:rPr>
              <w:t>could</w:t>
            </w:r>
            <w:r w:rsidRPr="0070574A">
              <w:rPr>
                <w:rFonts w:ascii="Arial Narrow" w:eastAsia="Calibri" w:hAnsi="Arial Narrow"/>
                <w:sz w:val="18"/>
                <w:szCs w:val="18"/>
              </w:rPr>
              <w:t xml:space="preserve"> </w:t>
            </w:r>
            <w:r w:rsidRPr="00E70A11">
              <w:rPr>
                <w:rFonts w:ascii="Arial Narrow" w:eastAsia="Calibri" w:hAnsi="Arial Narrow"/>
                <w:sz w:val="18"/>
                <w:szCs w:val="18"/>
              </w:rPr>
              <w:t>be used to protect isolated/known tangible indigenous heritage e.g. fish traps, middens, underwater burial grounds from all or certain types of activities e.g. anchoring Currently there are no SMAs in place specifically for the purpose of Traditional Use activities or Indigenous heritage protection.</w:t>
            </w:r>
          </w:p>
          <w:p w14:paraId="5761F84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lang w:val="en"/>
              </w:rPr>
            </w:pPr>
            <w:r w:rsidRPr="00E70A11">
              <w:rPr>
                <w:rFonts w:ascii="Arial Narrow" w:eastAsia="Calibri" w:hAnsi="Arial Narrow"/>
                <w:sz w:val="18"/>
                <w:szCs w:val="18"/>
                <w:lang w:val="en"/>
              </w:rPr>
              <w:t>Sea Country Plans (and Land and Sea plans) help Indigenous communities describe their objectives for the use, conservation and management of sea country and to work with others to achieve them. Sea Country Plans seeks to marry Indigenous community priorities and aspirations with those of others with an interest in sea country, including government. They have been developed for some Indigenous Protected Areas, but can potentially be developed for sea country of any Traditional Owner group.</w:t>
            </w:r>
          </w:p>
          <w:p w14:paraId="5761F84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lang w:val="en"/>
              </w:rPr>
              <w:t>The QPWS Values Based Planning Framework provides a planning and resourcing platform that clearly recognises Indigenous cultural values as a significant focus of protected area planning. For example, the 2017 Hinchinbrook Island National Park Management Plan identifies Traditional Owner connection to country as a ‘key value’ and, accordingly, provides desired outcomes and strategic management directions to protect the island’s Indigenous heritage values.</w:t>
            </w:r>
          </w:p>
        </w:tc>
        <w:tc>
          <w:tcPr>
            <w:tcW w:w="4926" w:type="dxa"/>
            <w:tcBorders>
              <w:top w:val="single" w:sz="4" w:space="0" w:color="auto"/>
              <w:left w:val="single" w:sz="4" w:space="0" w:color="auto"/>
              <w:bottom w:val="single" w:sz="4" w:space="0" w:color="auto"/>
              <w:right w:val="single" w:sz="4" w:space="0" w:color="auto"/>
            </w:tcBorders>
          </w:tcPr>
          <w:p w14:paraId="5761F850"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45" w:history="1">
              <w:r w:rsidR="00A56EE9" w:rsidRPr="00E70A11">
                <w:rPr>
                  <w:rStyle w:val="Hyperlink"/>
                  <w:rFonts w:ascii="Arial Narrow" w:eastAsia="Calibri" w:hAnsi="Arial Narrow" w:cs="Times New Roman"/>
                  <w:sz w:val="18"/>
                  <w:szCs w:val="18"/>
                </w:rPr>
                <w:t>Reef 2050 Plan</w:t>
              </w:r>
            </w:hyperlink>
          </w:p>
          <w:p w14:paraId="5761F851"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46" w:history="1">
              <w:r w:rsidR="00A56EE9" w:rsidRPr="00E70A11">
                <w:rPr>
                  <w:rStyle w:val="Hyperlink"/>
                  <w:rFonts w:ascii="Arial Narrow" w:eastAsia="Calibri" w:hAnsi="Arial Narrow" w:cs="Times New Roman"/>
                  <w:sz w:val="18"/>
                  <w:szCs w:val="18"/>
                </w:rPr>
                <w:t>Draft Aboriginal and Islander Heritage Strategy</w:t>
              </w:r>
            </w:hyperlink>
          </w:p>
          <w:p w14:paraId="5761F852"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47" w:history="1">
              <w:r w:rsidR="00A56EE9" w:rsidRPr="00E70A11">
                <w:rPr>
                  <w:rStyle w:val="Hyperlink"/>
                  <w:rFonts w:ascii="Arial Narrow" w:eastAsia="Calibri" w:hAnsi="Arial Narrow" w:cs="Times New Roman"/>
                  <w:sz w:val="18"/>
                  <w:szCs w:val="18"/>
                </w:rPr>
                <w:t>Whitsunday Plan of Management</w:t>
              </w:r>
            </w:hyperlink>
          </w:p>
          <w:p w14:paraId="5761F853" w14:textId="77777777" w:rsidR="00A56EE9" w:rsidRPr="00E70A11" w:rsidRDefault="008B5998" w:rsidP="00A11869">
            <w:pPr>
              <w:pStyle w:val="ListParagraph"/>
              <w:numPr>
                <w:ilvl w:val="0"/>
                <w:numId w:val="24"/>
              </w:numPr>
              <w:spacing w:after="0" w:line="240" w:lineRule="auto"/>
              <w:rPr>
                <w:rStyle w:val="Hyperlink"/>
                <w:rFonts w:ascii="Arial Narrow" w:eastAsia="Calibri" w:hAnsi="Arial Narrow" w:cs="Times New Roman"/>
                <w:sz w:val="18"/>
                <w:szCs w:val="18"/>
              </w:rPr>
            </w:pPr>
            <w:hyperlink r:id="rId1048" w:history="1">
              <w:r w:rsidR="00A56EE9" w:rsidRPr="00E70A11">
                <w:rPr>
                  <w:rStyle w:val="Hyperlink"/>
                  <w:rFonts w:ascii="Arial Narrow" w:eastAsia="Calibri" w:hAnsi="Arial Narrow" w:cs="Times New Roman"/>
                  <w:sz w:val="18"/>
                  <w:szCs w:val="18"/>
                </w:rPr>
                <w:t>Yirrganydji Sea Country Plan</w:t>
              </w:r>
            </w:hyperlink>
          </w:p>
          <w:p w14:paraId="5761F854"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49" w:history="1">
              <w:r w:rsidR="00A56EE9" w:rsidRPr="00E70A11">
                <w:rPr>
                  <w:rStyle w:val="Hyperlink"/>
                  <w:rFonts w:ascii="Arial Narrow" w:eastAsia="Calibri" w:hAnsi="Arial Narrow" w:cs="Times New Roman"/>
                  <w:sz w:val="18"/>
                  <w:szCs w:val="18"/>
                </w:rPr>
                <w:t>List of IPA plans in Queensland</w:t>
              </w:r>
            </w:hyperlink>
          </w:p>
          <w:p w14:paraId="5761F855" w14:textId="77777777" w:rsidR="00A56EE9" w:rsidRPr="00E70A11" w:rsidRDefault="008B5998" w:rsidP="00A11869">
            <w:pPr>
              <w:pStyle w:val="ListParagraph"/>
              <w:numPr>
                <w:ilvl w:val="0"/>
                <w:numId w:val="24"/>
              </w:numPr>
              <w:spacing w:after="200" w:line="276" w:lineRule="auto"/>
              <w:rPr>
                <w:rFonts w:ascii="Arial Narrow" w:eastAsia="Calibri" w:hAnsi="Arial Narrow"/>
                <w:sz w:val="18"/>
                <w:szCs w:val="18"/>
              </w:rPr>
            </w:pPr>
            <w:hyperlink r:id="rId1050" w:history="1">
              <w:r w:rsidR="00A56EE9" w:rsidRPr="00E70A11">
                <w:rPr>
                  <w:rStyle w:val="Hyperlink"/>
                  <w:rFonts w:ascii="Arial Narrow" w:eastAsia="Calibri" w:hAnsi="Arial Narrow"/>
                  <w:sz w:val="18"/>
                  <w:szCs w:val="18"/>
                </w:rPr>
                <w:t>Queensland protected area management plans</w:t>
              </w:r>
            </w:hyperlink>
          </w:p>
        </w:tc>
        <w:tc>
          <w:tcPr>
            <w:tcW w:w="980" w:type="dxa"/>
            <w:tcBorders>
              <w:top w:val="single" w:sz="4" w:space="0" w:color="auto"/>
              <w:left w:val="single" w:sz="4" w:space="0" w:color="auto"/>
              <w:bottom w:val="single" w:sz="4" w:space="0" w:color="auto"/>
              <w:right w:val="single" w:sz="4" w:space="0" w:color="auto"/>
            </w:tcBorders>
          </w:tcPr>
          <w:p w14:paraId="5761F85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5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65"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5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PL2</w:t>
            </w:r>
            <w:r>
              <w:rPr>
                <w:rFonts w:ascii="Arial Narrow" w:hAnsi="Arial Narrow"/>
                <w:sz w:val="18"/>
                <w:szCs w:val="18"/>
              </w:rPr>
              <w:t xml:space="preserve"> </w:t>
            </w:r>
            <w:r w:rsidRPr="00E70A11">
              <w:rPr>
                <w:rFonts w:ascii="Arial Narrow" w:hAnsi="Arial Narrow"/>
                <w:sz w:val="18"/>
                <w:szCs w:val="18"/>
              </w:rPr>
              <w:t>The planning system for Indigenous heritage addresses the major factors influencing the Great Barrier Reef Region’s values.</w:t>
            </w:r>
          </w:p>
        </w:tc>
        <w:tc>
          <w:tcPr>
            <w:tcW w:w="643" w:type="dxa"/>
            <w:tcBorders>
              <w:top w:val="single" w:sz="4" w:space="0" w:color="auto"/>
              <w:left w:val="single" w:sz="4" w:space="0" w:color="auto"/>
              <w:bottom w:val="single" w:sz="4" w:space="0" w:color="auto"/>
              <w:right w:val="single" w:sz="4" w:space="0" w:color="auto"/>
            </w:tcBorders>
          </w:tcPr>
          <w:p w14:paraId="5761F85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5B" w14:textId="77777777" w:rsidR="00A56EE9" w:rsidRPr="00E70A11" w:rsidRDefault="00A56EE9" w:rsidP="00A11869">
            <w:pPr>
              <w:pStyle w:val="ListParagraph"/>
              <w:numPr>
                <w:ilvl w:val="0"/>
                <w:numId w:val="159"/>
              </w:numPr>
              <w:spacing w:after="200" w:line="276" w:lineRule="auto"/>
              <w:rPr>
                <w:rFonts w:ascii="Arial Narrow" w:eastAsia="Calibri" w:hAnsi="Arial Narrow"/>
                <w:sz w:val="18"/>
                <w:szCs w:val="18"/>
              </w:rPr>
            </w:pPr>
            <w:r w:rsidRPr="00E70A11">
              <w:rPr>
                <w:rFonts w:ascii="Arial Narrow" w:eastAsia="Calibri" w:hAnsi="Arial Narrow"/>
                <w:sz w:val="18"/>
                <w:szCs w:val="18"/>
              </w:rPr>
              <w:t xml:space="preserve">The planning system outlined in PL1 above addresses many of the factors influencing Indigenous Heritage values, including recreation and tourism use and commercial extraction activities, but the root causes of the two of the main impacts on the values – climate change and the loss of traditional knowledge – are complex and difficult to address through such plans. </w:t>
            </w:r>
          </w:p>
          <w:p w14:paraId="5761F85C" w14:textId="77777777" w:rsidR="00A56EE9" w:rsidRPr="00E70A11" w:rsidRDefault="00A56EE9" w:rsidP="00A11869">
            <w:pPr>
              <w:pStyle w:val="ListParagraph"/>
              <w:numPr>
                <w:ilvl w:val="0"/>
                <w:numId w:val="159"/>
              </w:numPr>
              <w:spacing w:after="200" w:line="276" w:lineRule="auto"/>
              <w:rPr>
                <w:rFonts w:ascii="Arial Narrow" w:eastAsia="Calibri" w:hAnsi="Arial Narrow"/>
                <w:sz w:val="18"/>
                <w:szCs w:val="18"/>
              </w:rPr>
            </w:pPr>
            <w:r w:rsidRPr="00E70A11">
              <w:rPr>
                <w:rFonts w:ascii="Arial Narrow" w:eastAsia="Calibri" w:hAnsi="Arial Narrow"/>
                <w:sz w:val="18"/>
                <w:szCs w:val="18"/>
              </w:rPr>
              <w:t>The Great Barrier Reef Zoning Plans expressly acknowledge the rights and interests of Aboriginal and Torres Strait Islanders in the Marine Parks by providing for the management of the Traditional Use of Marine Resources, including traditional hunting, in accordance with Aboriginal and Torres Strait Islander custom and tradition.</w:t>
            </w:r>
          </w:p>
        </w:tc>
        <w:tc>
          <w:tcPr>
            <w:tcW w:w="4926" w:type="dxa"/>
            <w:tcBorders>
              <w:top w:val="single" w:sz="4" w:space="0" w:color="auto"/>
              <w:left w:val="single" w:sz="4" w:space="0" w:color="auto"/>
              <w:bottom w:val="single" w:sz="4" w:space="0" w:color="auto"/>
              <w:right w:val="single" w:sz="4" w:space="0" w:color="auto"/>
            </w:tcBorders>
          </w:tcPr>
          <w:p w14:paraId="5761F85D"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51" w:history="1">
              <w:r w:rsidR="00A56EE9" w:rsidRPr="00E70A11">
                <w:rPr>
                  <w:rStyle w:val="Hyperlink"/>
                  <w:rFonts w:ascii="Arial Narrow" w:eastAsia="Calibri" w:hAnsi="Arial Narrow" w:cs="Times New Roman"/>
                  <w:sz w:val="18"/>
                  <w:szCs w:val="18"/>
                </w:rPr>
                <w:t>Reef 2050 Plan</w:t>
              </w:r>
            </w:hyperlink>
          </w:p>
          <w:p w14:paraId="5761F85E"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52" w:history="1">
              <w:r w:rsidR="00A56EE9" w:rsidRPr="00E70A11">
                <w:rPr>
                  <w:rStyle w:val="Hyperlink"/>
                  <w:rFonts w:ascii="Arial Narrow" w:eastAsia="Calibri" w:hAnsi="Arial Narrow" w:cs="Times New Roman"/>
                  <w:sz w:val="18"/>
                  <w:szCs w:val="18"/>
                </w:rPr>
                <w:t>Draft Aboriginal and Islander Heritage Strategy</w:t>
              </w:r>
            </w:hyperlink>
          </w:p>
          <w:p w14:paraId="5761F85F"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53" w:history="1">
              <w:r w:rsidR="00A56EE9" w:rsidRPr="00E70A11">
                <w:rPr>
                  <w:rStyle w:val="Hyperlink"/>
                  <w:rFonts w:ascii="Arial Narrow" w:eastAsia="Calibri" w:hAnsi="Arial Narrow" w:cs="Times New Roman"/>
                  <w:sz w:val="18"/>
                  <w:szCs w:val="18"/>
                </w:rPr>
                <w:t>Whitsunday Plan of Management</w:t>
              </w:r>
            </w:hyperlink>
          </w:p>
          <w:p w14:paraId="5761F860" w14:textId="77777777" w:rsidR="00A56EE9" w:rsidRPr="00E70A11" w:rsidRDefault="008B5998" w:rsidP="00A11869">
            <w:pPr>
              <w:pStyle w:val="ListParagraph"/>
              <w:numPr>
                <w:ilvl w:val="0"/>
                <w:numId w:val="24"/>
              </w:numPr>
              <w:spacing w:after="0" w:line="240" w:lineRule="auto"/>
              <w:rPr>
                <w:rStyle w:val="Hyperlink"/>
                <w:rFonts w:ascii="Arial Narrow" w:eastAsia="Calibri" w:hAnsi="Arial Narrow" w:cs="Times New Roman"/>
                <w:sz w:val="18"/>
                <w:szCs w:val="18"/>
              </w:rPr>
            </w:pPr>
            <w:hyperlink r:id="rId1054" w:history="1">
              <w:r w:rsidR="00A56EE9" w:rsidRPr="00E70A11">
                <w:rPr>
                  <w:rStyle w:val="Hyperlink"/>
                  <w:rFonts w:ascii="Arial Narrow" w:eastAsia="Calibri" w:hAnsi="Arial Narrow" w:cs="Times New Roman"/>
                  <w:sz w:val="18"/>
                  <w:szCs w:val="18"/>
                </w:rPr>
                <w:t>Yirrganydji Sea Country Plan</w:t>
              </w:r>
            </w:hyperlink>
          </w:p>
          <w:p w14:paraId="5761F861"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olor w:val="000000" w:themeColor="text1"/>
                <w:sz w:val="18"/>
                <w:szCs w:val="18"/>
              </w:rPr>
            </w:pPr>
            <w:hyperlink r:id="rId1055" w:history="1">
              <w:r w:rsidR="00A56EE9" w:rsidRPr="00E70A11">
                <w:rPr>
                  <w:rStyle w:val="Hyperlink"/>
                  <w:rFonts w:ascii="Arial Narrow" w:eastAsia="Calibri" w:hAnsi="Arial Narrow" w:cs="Times New Roman"/>
                  <w:sz w:val="18"/>
                  <w:szCs w:val="18"/>
                </w:rPr>
                <w:t>List of IPA plans in Queensland</w:t>
              </w:r>
            </w:hyperlink>
          </w:p>
          <w:p w14:paraId="5761F862" w14:textId="77777777" w:rsidR="00A56EE9" w:rsidRPr="00E70A11" w:rsidRDefault="008B5998" w:rsidP="00A11869">
            <w:pPr>
              <w:pStyle w:val="ListParagraph"/>
              <w:numPr>
                <w:ilvl w:val="0"/>
                <w:numId w:val="24"/>
              </w:numPr>
              <w:spacing w:after="200" w:line="276" w:lineRule="auto"/>
              <w:rPr>
                <w:rFonts w:ascii="Arial Narrow" w:eastAsia="Calibri" w:hAnsi="Arial Narrow"/>
                <w:sz w:val="18"/>
                <w:szCs w:val="18"/>
              </w:rPr>
            </w:pPr>
            <w:hyperlink r:id="rId1056" w:history="1">
              <w:r w:rsidR="00A56EE9" w:rsidRPr="00E70A11">
                <w:rPr>
                  <w:rStyle w:val="Hyperlink"/>
                  <w:rFonts w:ascii="Arial Narrow" w:eastAsia="Calibri" w:hAnsi="Arial Narrow" w:cs="Times New Roman"/>
                  <w:sz w:val="18"/>
                  <w:szCs w:val="18"/>
                </w:rPr>
                <w:t>Queensland protected area management plans</w:t>
              </w:r>
            </w:hyperlink>
          </w:p>
        </w:tc>
        <w:tc>
          <w:tcPr>
            <w:tcW w:w="980" w:type="dxa"/>
            <w:tcBorders>
              <w:top w:val="single" w:sz="4" w:space="0" w:color="auto"/>
              <w:left w:val="single" w:sz="4" w:space="0" w:color="auto"/>
              <w:bottom w:val="single" w:sz="4" w:space="0" w:color="auto"/>
              <w:right w:val="single" w:sz="4" w:space="0" w:color="auto"/>
            </w:tcBorders>
          </w:tcPr>
          <w:p w14:paraId="5761F863" w14:textId="77777777" w:rsidR="00A56EE9" w:rsidRPr="00E70A11" w:rsidRDefault="00A56EE9" w:rsidP="00BB6AD5">
            <w:pPr>
              <w:rPr>
                <w:rFonts w:ascii="Arial Narrow" w:hAnsi="Arial Narrow"/>
                <w:sz w:val="18"/>
                <w:szCs w:val="18"/>
              </w:rPr>
            </w:pPr>
            <w:r>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6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877"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6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PL3</w:t>
            </w:r>
            <w:r>
              <w:rPr>
                <w:rFonts w:ascii="Arial Narrow" w:hAnsi="Arial Narrow"/>
                <w:sz w:val="18"/>
                <w:szCs w:val="18"/>
              </w:rPr>
              <w:t xml:space="preserve"> </w:t>
            </w:r>
            <w:r w:rsidRPr="00E70A11">
              <w:rPr>
                <w:rFonts w:ascii="Arial Narrow" w:hAnsi="Arial Narrow"/>
                <w:sz w:val="18"/>
                <w:szCs w:val="18"/>
              </w:rPr>
              <w:t xml:space="preserve">Actions for implementation regarding Indigenous heritage are clearly identified within the plan </w:t>
            </w:r>
          </w:p>
        </w:tc>
        <w:tc>
          <w:tcPr>
            <w:tcW w:w="643" w:type="dxa"/>
            <w:tcBorders>
              <w:top w:val="single" w:sz="4" w:space="0" w:color="auto"/>
              <w:left w:val="single" w:sz="4" w:space="0" w:color="auto"/>
              <w:bottom w:val="single" w:sz="4" w:space="0" w:color="auto"/>
              <w:right w:val="single" w:sz="4" w:space="0" w:color="auto"/>
            </w:tcBorders>
          </w:tcPr>
          <w:p w14:paraId="5761F86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6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Actions regarding Indigenous Heritage values and the aspirations of Indigenous people are now clearly stated in the hierarchy of plans including the Reef 2050 Plan (23 actions), the draft Indigenous Heritage Strategy, Sea Country Plans and the more recently completed or revised area-based plans (see PL1 for list).</w:t>
            </w:r>
          </w:p>
          <w:p w14:paraId="5761F86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Other area-based plans to be revised in the future will also pay greater attention to these aspects, but some current management plans are still lacking in their relevant detail.</w:t>
            </w:r>
          </w:p>
          <w:p w14:paraId="5761F86A"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Revised Plans of Management identify the need to work with Traditional Owners to address issues and define aspirations, rather than providing a prescriptive list of issues.</w:t>
            </w:r>
          </w:p>
          <w:p w14:paraId="5761F86B" w14:textId="77777777" w:rsidR="00A56EE9" w:rsidRPr="00E70A11" w:rsidRDefault="00A56EE9" w:rsidP="00A11869">
            <w:pPr>
              <w:pStyle w:val="ListParagraph"/>
              <w:numPr>
                <w:ilvl w:val="0"/>
                <w:numId w:val="24"/>
              </w:numPr>
              <w:spacing w:after="0" w:line="276" w:lineRule="auto"/>
              <w:ind w:left="357" w:hanging="357"/>
              <w:rPr>
                <w:rFonts w:ascii="Arial Narrow" w:eastAsia="Calibri" w:hAnsi="Arial Narrow"/>
                <w:sz w:val="18"/>
                <w:szCs w:val="18"/>
              </w:rPr>
            </w:pPr>
            <w:r w:rsidRPr="00E70A11">
              <w:rPr>
                <w:rFonts w:ascii="Arial Narrow" w:hAnsi="Arial Narrow"/>
                <w:sz w:val="18"/>
                <w:szCs w:val="18"/>
              </w:rPr>
              <w:t xml:space="preserve">Field Management Annual Business Plans now recognise Indigenous engagement as a standalone high-level strategy with specific targets, performance indicators and activities that promote indigenous partnerships in heritage management </w:t>
            </w:r>
          </w:p>
        </w:tc>
        <w:tc>
          <w:tcPr>
            <w:tcW w:w="4926" w:type="dxa"/>
            <w:tcBorders>
              <w:top w:val="single" w:sz="4" w:space="0" w:color="auto"/>
              <w:left w:val="single" w:sz="4" w:space="0" w:color="auto"/>
              <w:bottom w:val="single" w:sz="4" w:space="0" w:color="auto"/>
              <w:right w:val="single" w:sz="4" w:space="0" w:color="auto"/>
            </w:tcBorders>
          </w:tcPr>
          <w:p w14:paraId="5761F86C" w14:textId="77777777" w:rsidR="00A56EE9" w:rsidRPr="00E70A11" w:rsidRDefault="008B5998" w:rsidP="00A11869">
            <w:pPr>
              <w:pStyle w:val="ListParagraph"/>
              <w:numPr>
                <w:ilvl w:val="0"/>
                <w:numId w:val="24"/>
              </w:numPr>
              <w:spacing w:after="200" w:line="240" w:lineRule="auto"/>
              <w:rPr>
                <w:rFonts w:ascii="Arial Narrow" w:hAnsi="Arial Narrow" w:cstheme="majorHAnsi"/>
                <w:sz w:val="18"/>
                <w:szCs w:val="18"/>
              </w:rPr>
            </w:pPr>
            <w:hyperlink r:id="rId1057" w:history="1">
              <w:r w:rsidR="00A56EE9" w:rsidRPr="00E70A11">
                <w:rPr>
                  <w:rStyle w:val="Hyperlink"/>
                  <w:rFonts w:ascii="Arial Narrow" w:hAnsi="Arial Narrow" w:cstheme="majorHAnsi"/>
                  <w:sz w:val="18"/>
                  <w:szCs w:val="18"/>
                </w:rPr>
                <w:t>Managing Traditional Use</w:t>
              </w:r>
            </w:hyperlink>
          </w:p>
          <w:p w14:paraId="5761F86D"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58" w:history="1">
              <w:r w:rsidR="00A56EE9" w:rsidRPr="00E70A11">
                <w:rPr>
                  <w:rStyle w:val="Hyperlink"/>
                  <w:rFonts w:ascii="Arial Narrow" w:eastAsia="Calibri" w:hAnsi="Arial Narrow" w:cs="Times New Roman"/>
                  <w:sz w:val="18"/>
                  <w:szCs w:val="18"/>
                </w:rPr>
                <w:t>Draft Aboriginal and Islander Heritage Strategy</w:t>
              </w:r>
            </w:hyperlink>
          </w:p>
          <w:p w14:paraId="5761F86E" w14:textId="77777777" w:rsidR="00A56EE9" w:rsidRPr="00E70A11" w:rsidRDefault="00A56EE9" w:rsidP="00A11869">
            <w:pPr>
              <w:pStyle w:val="ListParagraph"/>
              <w:numPr>
                <w:ilvl w:val="0"/>
                <w:numId w:val="24"/>
              </w:numPr>
              <w:spacing w:after="200" w:line="240" w:lineRule="auto"/>
              <w:rPr>
                <w:rFonts w:ascii="Arial Narrow" w:hAnsi="Arial Narrow" w:cstheme="majorHAnsi"/>
                <w:sz w:val="18"/>
                <w:szCs w:val="18"/>
              </w:rPr>
            </w:pPr>
            <w:r w:rsidRPr="00E70A11">
              <w:rPr>
                <w:rFonts w:ascii="Arial Narrow" w:hAnsi="Arial Narrow" w:cstheme="majorHAnsi"/>
                <w:sz w:val="18"/>
                <w:szCs w:val="18"/>
              </w:rPr>
              <w:t xml:space="preserve">Indigenous partnerships section plan </w:t>
            </w:r>
          </w:p>
          <w:p w14:paraId="5761F86F" w14:textId="77777777" w:rsidR="00A56EE9" w:rsidRPr="00E70A11" w:rsidRDefault="00A56EE9" w:rsidP="00A11869">
            <w:pPr>
              <w:pStyle w:val="ListParagraph"/>
              <w:numPr>
                <w:ilvl w:val="0"/>
                <w:numId w:val="24"/>
              </w:numPr>
              <w:spacing w:after="200" w:line="240" w:lineRule="auto"/>
              <w:rPr>
                <w:rFonts w:ascii="Arial Narrow" w:hAnsi="Arial Narrow" w:cstheme="majorHAnsi"/>
                <w:sz w:val="18"/>
                <w:szCs w:val="18"/>
              </w:rPr>
            </w:pPr>
            <w:r w:rsidRPr="00E70A11">
              <w:rPr>
                <w:rFonts w:ascii="Arial Narrow" w:hAnsi="Arial Narrow" w:cstheme="majorHAnsi"/>
                <w:sz w:val="18"/>
                <w:szCs w:val="18"/>
              </w:rPr>
              <w:t xml:space="preserve">Field Management Business Plans </w:t>
            </w:r>
          </w:p>
          <w:p w14:paraId="5761F870" w14:textId="77777777" w:rsidR="00A56EE9" w:rsidRPr="00E70A11" w:rsidRDefault="008B5998" w:rsidP="00A11869">
            <w:pPr>
              <w:pStyle w:val="ListParagraph"/>
              <w:numPr>
                <w:ilvl w:val="0"/>
                <w:numId w:val="24"/>
              </w:numPr>
              <w:spacing w:after="200" w:line="240" w:lineRule="auto"/>
              <w:rPr>
                <w:rFonts w:ascii="Arial Narrow" w:hAnsi="Arial Narrow" w:cstheme="majorHAnsi"/>
                <w:sz w:val="18"/>
                <w:szCs w:val="18"/>
              </w:rPr>
            </w:pPr>
            <w:hyperlink r:id="rId1059" w:history="1">
              <w:r w:rsidR="00A56EE9" w:rsidRPr="00E70A11">
                <w:rPr>
                  <w:rStyle w:val="Hyperlink"/>
                  <w:rFonts w:ascii="Arial Narrow" w:hAnsi="Arial Narrow" w:cstheme="majorHAnsi"/>
                  <w:sz w:val="18"/>
                  <w:szCs w:val="18"/>
                </w:rPr>
                <w:t>Reef 2050 Plan</w:t>
              </w:r>
            </w:hyperlink>
            <w:r w:rsidR="00A56EE9" w:rsidRPr="00E70A11">
              <w:rPr>
                <w:rFonts w:ascii="Arial Narrow" w:hAnsi="Arial Narrow" w:cstheme="majorHAnsi"/>
                <w:sz w:val="18"/>
                <w:szCs w:val="18"/>
              </w:rPr>
              <w:t xml:space="preserve"> has 17 specific actions that relate to Traditional Owners. </w:t>
            </w:r>
          </w:p>
          <w:p w14:paraId="5761F871" w14:textId="77777777" w:rsidR="00A56EE9" w:rsidRPr="00E70A11" w:rsidRDefault="008B5998" w:rsidP="00A11869">
            <w:pPr>
              <w:pStyle w:val="ListParagraph"/>
              <w:numPr>
                <w:ilvl w:val="0"/>
                <w:numId w:val="24"/>
              </w:numPr>
              <w:spacing w:after="200" w:line="240" w:lineRule="auto"/>
              <w:rPr>
                <w:rStyle w:val="Hyperlink"/>
                <w:rFonts w:ascii="Arial Narrow" w:hAnsi="Arial Narrow" w:cstheme="majorHAnsi"/>
                <w:color w:val="000000" w:themeColor="text1"/>
                <w:sz w:val="18"/>
                <w:szCs w:val="18"/>
              </w:rPr>
            </w:pPr>
            <w:hyperlink r:id="rId1060" w:history="1">
              <w:r w:rsidR="00A56EE9" w:rsidRPr="00E70A11">
                <w:rPr>
                  <w:rStyle w:val="Hyperlink"/>
                  <w:rFonts w:ascii="Arial Narrow" w:eastAsia="Calibri" w:hAnsi="Arial Narrow" w:cs="Times New Roman"/>
                  <w:sz w:val="18"/>
                  <w:szCs w:val="18"/>
                </w:rPr>
                <w:t>Queensland protected area management plans</w:t>
              </w:r>
            </w:hyperlink>
          </w:p>
          <w:p w14:paraId="5761F872"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61" w:history="1">
              <w:r w:rsidR="00A56EE9" w:rsidRPr="00E70A11">
                <w:rPr>
                  <w:rStyle w:val="Hyperlink"/>
                  <w:rFonts w:ascii="Arial Narrow" w:eastAsia="Calibri" w:hAnsi="Arial Narrow" w:cs="Times New Roman"/>
                  <w:sz w:val="18"/>
                  <w:szCs w:val="18"/>
                </w:rPr>
                <w:t>Whitsunday Plan of Management</w:t>
              </w:r>
            </w:hyperlink>
          </w:p>
          <w:p w14:paraId="5761F873" w14:textId="77777777" w:rsidR="00A56EE9" w:rsidRPr="00E70A11" w:rsidRDefault="00A56EE9" w:rsidP="00BB6AD5">
            <w:pPr>
              <w:rPr>
                <w:rFonts w:ascii="Arial Narrow" w:hAnsi="Arial Narrow" w:cstheme="majorHAnsi"/>
                <w:sz w:val="18"/>
                <w:szCs w:val="18"/>
              </w:rPr>
            </w:pPr>
          </w:p>
          <w:p w14:paraId="5761F874" w14:textId="77777777" w:rsidR="00A56EE9" w:rsidRPr="00E70A11" w:rsidRDefault="00A56EE9" w:rsidP="00BB6AD5">
            <w:pPr>
              <w:contextualSpacing/>
              <w:rPr>
                <w:rFonts w:ascii="Arial Narrow" w:eastAsia="Calibri" w:hAnsi="Arial Narrow"/>
                <w:sz w:val="18"/>
                <w:szCs w:val="18"/>
              </w:rPr>
            </w:pPr>
            <w:r w:rsidRPr="00E70A11">
              <w:rPr>
                <w:rFonts w:ascii="Arial Narrow" w:eastAsia="Calibri" w:hAnsi="Arial Narrow"/>
                <w:sz w:val="18"/>
                <w:szCs w:val="18"/>
              </w:rPr>
              <w:t>.</w:t>
            </w:r>
          </w:p>
        </w:tc>
        <w:tc>
          <w:tcPr>
            <w:tcW w:w="980" w:type="dxa"/>
            <w:tcBorders>
              <w:top w:val="single" w:sz="4" w:space="0" w:color="auto"/>
              <w:left w:val="single" w:sz="4" w:space="0" w:color="auto"/>
              <w:bottom w:val="single" w:sz="4" w:space="0" w:color="auto"/>
              <w:right w:val="single" w:sz="4" w:space="0" w:color="auto"/>
            </w:tcBorders>
          </w:tcPr>
          <w:p w14:paraId="5761F87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7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84"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7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PL4</w:t>
            </w:r>
            <w:r>
              <w:rPr>
                <w:rFonts w:ascii="Arial Narrow" w:hAnsi="Arial Narrow"/>
                <w:sz w:val="18"/>
                <w:szCs w:val="18"/>
              </w:rPr>
              <w:t xml:space="preserve"> </w:t>
            </w:r>
            <w:r w:rsidRPr="00E70A11">
              <w:rPr>
                <w:rFonts w:ascii="Arial Narrow" w:hAnsi="Arial Narrow"/>
                <w:sz w:val="18"/>
                <w:szCs w:val="18"/>
              </w:rPr>
              <w:t>Clear, measurable and appropriate objectives for management of Indigenous heritage have been documented</w:t>
            </w:r>
          </w:p>
        </w:tc>
        <w:tc>
          <w:tcPr>
            <w:tcW w:w="643" w:type="dxa"/>
            <w:tcBorders>
              <w:top w:val="single" w:sz="4" w:space="0" w:color="auto"/>
              <w:left w:val="single" w:sz="4" w:space="0" w:color="auto"/>
              <w:bottom w:val="single" w:sz="4" w:space="0" w:color="auto"/>
              <w:right w:val="single" w:sz="4" w:space="0" w:color="auto"/>
            </w:tcBorders>
          </w:tcPr>
          <w:p w14:paraId="5761F87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7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Clear and appropriate objectives relating to Indigenous Heritage protection are stated in the hierarchy of plans discussed in PL1. </w:t>
            </w:r>
          </w:p>
          <w:p w14:paraId="5761F87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Field Management Program sets clear and measurable objectives in its business planning.</w:t>
            </w:r>
          </w:p>
        </w:tc>
        <w:tc>
          <w:tcPr>
            <w:tcW w:w="4926" w:type="dxa"/>
            <w:tcBorders>
              <w:top w:val="single" w:sz="4" w:space="0" w:color="auto"/>
              <w:left w:val="single" w:sz="4" w:space="0" w:color="auto"/>
              <w:bottom w:val="single" w:sz="4" w:space="0" w:color="auto"/>
              <w:right w:val="single" w:sz="4" w:space="0" w:color="auto"/>
            </w:tcBorders>
          </w:tcPr>
          <w:p w14:paraId="5761F87C" w14:textId="77777777" w:rsidR="00A56EE9" w:rsidRPr="00E70A11" w:rsidRDefault="00A56EE9" w:rsidP="00A11869">
            <w:pPr>
              <w:pStyle w:val="ListParagraph"/>
              <w:numPr>
                <w:ilvl w:val="0"/>
                <w:numId w:val="24"/>
              </w:numPr>
              <w:spacing w:after="200" w:line="240" w:lineRule="auto"/>
              <w:rPr>
                <w:rFonts w:ascii="Arial Narrow" w:hAnsi="Arial Narrow" w:cstheme="majorHAnsi"/>
                <w:sz w:val="18"/>
                <w:szCs w:val="18"/>
              </w:rPr>
            </w:pPr>
            <w:r w:rsidRPr="00E70A11">
              <w:rPr>
                <w:rFonts w:ascii="Arial Narrow" w:hAnsi="Arial Narrow" w:cstheme="majorHAnsi"/>
                <w:sz w:val="18"/>
                <w:szCs w:val="18"/>
              </w:rPr>
              <w:t xml:space="preserve">Field Management Business Plan </w:t>
            </w:r>
          </w:p>
          <w:p w14:paraId="5761F87D"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62" w:history="1">
              <w:r w:rsidR="00A56EE9" w:rsidRPr="00E70A11">
                <w:rPr>
                  <w:rStyle w:val="Hyperlink"/>
                  <w:rFonts w:ascii="Arial Narrow" w:eastAsia="Calibri" w:hAnsi="Arial Narrow" w:cs="Times New Roman"/>
                  <w:sz w:val="18"/>
                  <w:szCs w:val="18"/>
                </w:rPr>
                <w:t>Reef 2050 Plan</w:t>
              </w:r>
            </w:hyperlink>
          </w:p>
          <w:p w14:paraId="5761F87E"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63" w:history="1">
              <w:r w:rsidR="00A56EE9" w:rsidRPr="00E70A11">
                <w:rPr>
                  <w:rStyle w:val="Hyperlink"/>
                  <w:rFonts w:ascii="Arial Narrow" w:eastAsia="Calibri" w:hAnsi="Arial Narrow" w:cs="Times New Roman"/>
                  <w:sz w:val="18"/>
                  <w:szCs w:val="18"/>
                </w:rPr>
                <w:t>Draft Aboriginal and Islander Heritage Strategy</w:t>
              </w:r>
            </w:hyperlink>
          </w:p>
          <w:p w14:paraId="5761F87F" w14:textId="77777777" w:rsidR="00A56EE9" w:rsidRPr="00E70A11" w:rsidRDefault="008B5998" w:rsidP="00A11869">
            <w:pPr>
              <w:pStyle w:val="ListParagraph"/>
              <w:numPr>
                <w:ilvl w:val="0"/>
                <w:numId w:val="24"/>
              </w:numPr>
              <w:spacing w:after="200" w:line="276" w:lineRule="auto"/>
              <w:rPr>
                <w:rStyle w:val="Hyperlink"/>
                <w:rFonts w:ascii="Arial Narrow" w:eastAsia="Calibri" w:hAnsi="Arial Narrow" w:cs="Times New Roman"/>
                <w:sz w:val="18"/>
                <w:szCs w:val="18"/>
              </w:rPr>
            </w:pPr>
            <w:hyperlink r:id="rId1064" w:history="1">
              <w:r w:rsidR="00A56EE9" w:rsidRPr="00E70A11">
                <w:rPr>
                  <w:rStyle w:val="Hyperlink"/>
                  <w:rFonts w:ascii="Arial Narrow" w:eastAsia="Calibri" w:hAnsi="Arial Narrow" w:cs="Times New Roman"/>
                  <w:sz w:val="18"/>
                  <w:szCs w:val="18"/>
                </w:rPr>
                <w:t>Whitsunday Plan of Management</w:t>
              </w:r>
            </w:hyperlink>
          </w:p>
          <w:p w14:paraId="5761F880" w14:textId="77777777" w:rsidR="00A56EE9" w:rsidRPr="00E70A11" w:rsidRDefault="008B5998" w:rsidP="00A11869">
            <w:pPr>
              <w:pStyle w:val="ListParagraph"/>
              <w:numPr>
                <w:ilvl w:val="0"/>
                <w:numId w:val="24"/>
              </w:numPr>
              <w:spacing w:after="0" w:line="276" w:lineRule="auto"/>
              <w:ind w:left="357" w:hanging="357"/>
              <w:rPr>
                <w:rStyle w:val="Hyperlink"/>
                <w:rFonts w:ascii="Arial Narrow" w:eastAsia="Calibri" w:hAnsi="Arial Narrow"/>
                <w:color w:val="000000" w:themeColor="text1"/>
                <w:sz w:val="18"/>
                <w:szCs w:val="18"/>
              </w:rPr>
            </w:pPr>
            <w:hyperlink r:id="rId1065" w:history="1">
              <w:r w:rsidR="00A56EE9" w:rsidRPr="00E70A11">
                <w:rPr>
                  <w:rStyle w:val="Hyperlink"/>
                  <w:rFonts w:ascii="Arial Narrow" w:eastAsia="Calibri" w:hAnsi="Arial Narrow" w:cs="Times New Roman"/>
                  <w:sz w:val="18"/>
                  <w:szCs w:val="18"/>
                </w:rPr>
                <w:t>List of IPA plans in Queensland</w:t>
              </w:r>
            </w:hyperlink>
          </w:p>
          <w:p w14:paraId="5761F881"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1066" w:history="1">
              <w:r w:rsidR="00A56EE9" w:rsidRPr="00E70A11">
                <w:rPr>
                  <w:rStyle w:val="Hyperlink"/>
                  <w:rFonts w:ascii="Arial Narrow" w:eastAsia="Calibri" w:hAnsi="Arial Narrow"/>
                  <w:sz w:val="18"/>
                  <w:szCs w:val="18"/>
                  <w:lang w:eastAsia="en-AU"/>
                </w:rPr>
                <w:t>Queensland protected area management plans</w:t>
              </w:r>
            </w:hyperlink>
          </w:p>
        </w:tc>
        <w:tc>
          <w:tcPr>
            <w:tcW w:w="980" w:type="dxa"/>
            <w:tcBorders>
              <w:top w:val="single" w:sz="4" w:space="0" w:color="auto"/>
              <w:left w:val="single" w:sz="4" w:space="0" w:color="auto"/>
              <w:bottom w:val="single" w:sz="4" w:space="0" w:color="auto"/>
              <w:right w:val="single" w:sz="4" w:space="0" w:color="auto"/>
            </w:tcBorders>
          </w:tcPr>
          <w:p w14:paraId="5761F88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8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8F"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8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PL5</w:t>
            </w:r>
            <w:r>
              <w:rPr>
                <w:rFonts w:ascii="Arial Narrow" w:hAnsi="Arial Narrow"/>
                <w:sz w:val="18"/>
                <w:szCs w:val="18"/>
              </w:rPr>
              <w:t xml:space="preserve"> </w:t>
            </w:r>
            <w:r w:rsidRPr="00E70A11">
              <w:rPr>
                <w:rFonts w:ascii="Arial Narrow" w:hAnsi="Arial Narrow"/>
                <w:sz w:val="18"/>
                <w:szCs w:val="18"/>
              </w:rPr>
              <w:t>There are plans and systems in place to ensure appropriate and adequate monitoring information is gathered in relation to Indigenous heritage</w:t>
            </w:r>
          </w:p>
        </w:tc>
        <w:tc>
          <w:tcPr>
            <w:tcW w:w="643" w:type="dxa"/>
            <w:tcBorders>
              <w:top w:val="single" w:sz="4" w:space="0" w:color="auto"/>
              <w:left w:val="single" w:sz="4" w:space="0" w:color="auto"/>
              <w:bottom w:val="single" w:sz="4" w:space="0" w:color="auto"/>
              <w:right w:val="single" w:sz="4" w:space="0" w:color="auto"/>
            </w:tcBorders>
          </w:tcPr>
          <w:p w14:paraId="5761F88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8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Actions in Indigenous partnerships are monitored and reported upon with adequate systems through the Land and Sea Country Partnerships </w:t>
            </w:r>
            <w:proofErr w:type="gramStart"/>
            <w:r w:rsidRPr="00E70A11">
              <w:rPr>
                <w:rFonts w:ascii="Arial Narrow" w:eastAsia="Calibri" w:hAnsi="Arial Narrow"/>
                <w:sz w:val="18"/>
                <w:szCs w:val="18"/>
              </w:rPr>
              <w:t>Program(</w:t>
            </w:r>
            <w:proofErr w:type="gramEnd"/>
            <w:r w:rsidRPr="00E70A11">
              <w:rPr>
                <w:rFonts w:ascii="Arial Narrow" w:eastAsia="Calibri" w:hAnsi="Arial Narrow"/>
                <w:sz w:val="18"/>
                <w:szCs w:val="18"/>
              </w:rPr>
              <w:t>LSCPP) reporting.</w:t>
            </w:r>
          </w:p>
          <w:p w14:paraId="5761F88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Monitoring information in relation to Indigenous Heritage values is very limited except for those related to TUMRA programs and key natural values.</w:t>
            </w:r>
          </w:p>
          <w:p w14:paraId="5761F88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RimREP has an Indigenous Heritage theme expert Working Group which will develop list of Indictors to be monitored, but this system is not yet operational</w:t>
            </w:r>
          </w:p>
        </w:tc>
        <w:tc>
          <w:tcPr>
            <w:tcW w:w="4926" w:type="dxa"/>
            <w:tcBorders>
              <w:top w:val="single" w:sz="4" w:space="0" w:color="auto"/>
              <w:left w:val="single" w:sz="4" w:space="0" w:color="auto"/>
              <w:bottom w:val="single" w:sz="4" w:space="0" w:color="auto"/>
              <w:right w:val="single" w:sz="4" w:space="0" w:color="auto"/>
            </w:tcBorders>
          </w:tcPr>
          <w:p w14:paraId="5761F88A"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 xml:space="preserve">LSCPP progress/annual reports and MERI Plan </w:t>
            </w:r>
          </w:p>
          <w:p w14:paraId="5761F88B" w14:textId="77777777" w:rsidR="00A56EE9" w:rsidRPr="00E70A11" w:rsidRDefault="00A56EE9" w:rsidP="00A11869">
            <w:pPr>
              <w:pStyle w:val="ListParagraph"/>
              <w:numPr>
                <w:ilvl w:val="0"/>
                <w:numId w:val="24"/>
              </w:numPr>
              <w:spacing w:after="200" w:line="240" w:lineRule="auto"/>
              <w:rPr>
                <w:rFonts w:ascii="Arial Narrow" w:eastAsia="Calibri" w:hAnsi="Arial Narrow"/>
                <w:sz w:val="18"/>
                <w:szCs w:val="18"/>
              </w:rPr>
            </w:pPr>
            <w:r w:rsidRPr="00E70A11">
              <w:rPr>
                <w:rFonts w:ascii="Arial Narrow" w:hAnsi="Arial Narrow"/>
                <w:sz w:val="18"/>
                <w:szCs w:val="18"/>
              </w:rPr>
              <w:t xml:space="preserve">Independent assessment of Land and Sea Country Partnerships Program 2017 by Knott and Associates </w:t>
            </w:r>
          </w:p>
          <w:p w14:paraId="5761F88C" w14:textId="77777777" w:rsidR="00A56EE9" w:rsidRPr="00E70A11" w:rsidRDefault="00A56EE9" w:rsidP="00BB6AD5">
            <w:pPr>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88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865" w:type="dxa"/>
            <w:tcBorders>
              <w:top w:val="single" w:sz="4" w:space="0" w:color="auto"/>
              <w:left w:val="single" w:sz="4" w:space="0" w:color="auto"/>
              <w:bottom w:val="single" w:sz="4" w:space="0" w:color="auto"/>
              <w:right w:val="single" w:sz="4" w:space="0" w:color="auto"/>
            </w:tcBorders>
          </w:tcPr>
          <w:p w14:paraId="5761F88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9C"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9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PL6</w:t>
            </w:r>
            <w:r>
              <w:rPr>
                <w:rFonts w:ascii="Arial Narrow" w:hAnsi="Arial Narrow"/>
                <w:sz w:val="18"/>
                <w:szCs w:val="18"/>
              </w:rPr>
              <w:t xml:space="preserve"> </w:t>
            </w:r>
            <w:r w:rsidRPr="00E70A11">
              <w:rPr>
                <w:rFonts w:ascii="Arial Narrow" w:hAnsi="Arial Narrow"/>
                <w:sz w:val="18"/>
                <w:szCs w:val="18"/>
              </w:rPr>
              <w:t>The main stakeholders &amp;/or the local community are effectively engaged in planning to address Indigenous heritage</w:t>
            </w:r>
          </w:p>
        </w:tc>
        <w:tc>
          <w:tcPr>
            <w:tcW w:w="643" w:type="dxa"/>
            <w:tcBorders>
              <w:top w:val="single" w:sz="4" w:space="0" w:color="auto"/>
              <w:left w:val="single" w:sz="4" w:space="0" w:color="auto"/>
              <w:bottom w:val="single" w:sz="4" w:space="0" w:color="auto"/>
              <w:right w:val="single" w:sz="4" w:space="0" w:color="auto"/>
            </w:tcBorders>
          </w:tcPr>
          <w:p w14:paraId="5761F89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9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Advisory committees include the Indigenous Reef Advisory Committee (IRAC), Indigenous representation in the Tourism Reef Advisory Committee and the Reef Advisory Committees.</w:t>
            </w:r>
          </w:p>
          <w:p w14:paraId="5761F89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has been extensive engagement of Indigenous people in the drafting of the Indigenous Heritage Strategy.</w:t>
            </w:r>
          </w:p>
          <w:p w14:paraId="5761F89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Development of the GBRMP Blueprint (2017) involved intensive engagement with Traditional Owners through the IRAC.</w:t>
            </w:r>
          </w:p>
          <w:p w14:paraId="5761F89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All permit holders with permissions in the Woppaburra TUMRA area were informed of the Woppaburra heritage assessment guidelines when they took effect in June 2017. </w:t>
            </w:r>
          </w:p>
          <w:p w14:paraId="5761F89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An Indigenous Heritage Theme Expert Working Group was established as part of RIMReP. All on the group identify as Aboriginal or Torres Strait Islander people.</w:t>
            </w:r>
          </w:p>
        </w:tc>
        <w:tc>
          <w:tcPr>
            <w:tcW w:w="4926" w:type="dxa"/>
            <w:tcBorders>
              <w:top w:val="single" w:sz="4" w:space="0" w:color="auto"/>
              <w:left w:val="single" w:sz="4" w:space="0" w:color="auto"/>
              <w:bottom w:val="single" w:sz="4" w:space="0" w:color="auto"/>
              <w:right w:val="single" w:sz="4" w:space="0" w:color="auto"/>
            </w:tcBorders>
          </w:tcPr>
          <w:p w14:paraId="5761F897"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Indigenous Advisory Committee records</w:t>
            </w:r>
          </w:p>
          <w:p w14:paraId="5761F898" w14:textId="77777777" w:rsidR="00A56EE9" w:rsidRPr="00E70A11" w:rsidRDefault="00A56EE9" w:rsidP="00A11869">
            <w:pPr>
              <w:pStyle w:val="ListParagraph"/>
              <w:numPr>
                <w:ilvl w:val="0"/>
                <w:numId w:val="24"/>
              </w:numPr>
              <w:spacing w:after="0" w:line="276" w:lineRule="auto"/>
              <w:ind w:left="357" w:hanging="357"/>
              <w:rPr>
                <w:rStyle w:val="Hyperlink"/>
                <w:rFonts w:ascii="Arial Narrow" w:eastAsia="Calibri" w:hAnsi="Arial Narrow" w:cs="Times New Roman"/>
                <w:sz w:val="18"/>
                <w:szCs w:val="18"/>
                <w:lang w:val="en-GB"/>
              </w:rPr>
            </w:pPr>
            <w:r w:rsidRPr="00E70A11">
              <w:rPr>
                <w:rFonts w:ascii="Arial Narrow" w:eastAsia="Calibri" w:hAnsi="Arial Narrow"/>
                <w:sz w:val="18"/>
                <w:szCs w:val="18"/>
              </w:rPr>
              <w:t xml:space="preserve">Records of meetings to discuss the </w:t>
            </w:r>
            <w:hyperlink r:id="rId1067" w:history="1">
              <w:r w:rsidRPr="00E70A11">
                <w:rPr>
                  <w:rStyle w:val="Hyperlink"/>
                  <w:rFonts w:ascii="Arial Narrow" w:eastAsia="Calibri" w:hAnsi="Arial Narrow" w:cs="Times New Roman"/>
                  <w:sz w:val="18"/>
                  <w:szCs w:val="18"/>
                </w:rPr>
                <w:t>Draft Aboriginal and Islander Heritage Strategy</w:t>
              </w:r>
            </w:hyperlink>
          </w:p>
          <w:p w14:paraId="5761F899"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89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9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AC"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9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PL7</w:t>
            </w:r>
            <w:r>
              <w:rPr>
                <w:rFonts w:ascii="Arial Narrow" w:hAnsi="Arial Narrow"/>
                <w:sz w:val="18"/>
                <w:szCs w:val="18"/>
              </w:rPr>
              <w:t xml:space="preserve"> </w:t>
            </w:r>
            <w:r w:rsidRPr="00E70A11">
              <w:rPr>
                <w:rFonts w:ascii="Arial Narrow" w:hAnsi="Arial Narrow"/>
                <w:sz w:val="18"/>
                <w:szCs w:val="18"/>
              </w:rPr>
              <w:t>Sufficient policy currently exists to effectively address Indigenous heritage</w:t>
            </w:r>
          </w:p>
        </w:tc>
        <w:tc>
          <w:tcPr>
            <w:tcW w:w="643" w:type="dxa"/>
            <w:tcBorders>
              <w:top w:val="single" w:sz="4" w:space="0" w:color="auto"/>
              <w:left w:val="single" w:sz="4" w:space="0" w:color="auto"/>
              <w:bottom w:val="single" w:sz="4" w:space="0" w:color="auto"/>
              <w:right w:val="single" w:sz="4" w:space="0" w:color="auto"/>
            </w:tcBorders>
          </w:tcPr>
          <w:p w14:paraId="5761F89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9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new Indigenous Heritage Strategy will effectively address the broad picture of Indigenous policy issues for GBRMPA, in conjunction with other policies in the organisation including those relating to permissions.</w:t>
            </w:r>
          </w:p>
          <w:p w14:paraId="5761F8A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Gaps remain in the policy settings for other organisations affecting Indigenous issues, including QPWS and local governments.</w:t>
            </w:r>
          </w:p>
          <w:p w14:paraId="5761F8A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NPSR Cultural Capability Action Plan 2017-2021 provides a blueprint for how QPWS is to meet its obligations under Queensland’s public sector-wide Cultural Capability Framework. Principles and activities promote the recognition, respect and valuing of indigenous culture which should be reflected in national park service delivery.</w:t>
            </w:r>
          </w:p>
          <w:p w14:paraId="5761F8A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hAnsi="Arial Narrow"/>
                <w:sz w:val="18"/>
                <w:szCs w:val="18"/>
              </w:rPr>
              <w:t>Range of policies in are in place in management agencies relation to Indigenous employment and engagement, cultural data access and storage, use of Traditional Marine Resources.</w:t>
            </w:r>
          </w:p>
        </w:tc>
        <w:tc>
          <w:tcPr>
            <w:tcW w:w="4926" w:type="dxa"/>
            <w:tcBorders>
              <w:top w:val="single" w:sz="4" w:space="0" w:color="auto"/>
              <w:left w:val="single" w:sz="4" w:space="0" w:color="auto"/>
              <w:bottom w:val="single" w:sz="4" w:space="0" w:color="auto"/>
              <w:right w:val="single" w:sz="4" w:space="0" w:color="auto"/>
            </w:tcBorders>
          </w:tcPr>
          <w:p w14:paraId="5761F8A3" w14:textId="77777777" w:rsidR="00A56EE9" w:rsidRPr="00E70A11" w:rsidRDefault="008B5998" w:rsidP="00A11869">
            <w:pPr>
              <w:pStyle w:val="ListParagraph"/>
              <w:numPr>
                <w:ilvl w:val="0"/>
                <w:numId w:val="24"/>
              </w:numPr>
              <w:spacing w:after="0" w:line="276" w:lineRule="auto"/>
              <w:ind w:left="357" w:hanging="357"/>
              <w:rPr>
                <w:rStyle w:val="Hyperlink"/>
                <w:rFonts w:ascii="Arial Narrow" w:eastAsia="Calibri" w:hAnsi="Arial Narrow" w:cs="Times New Roman"/>
                <w:sz w:val="18"/>
                <w:szCs w:val="18"/>
              </w:rPr>
            </w:pPr>
            <w:hyperlink r:id="rId1068" w:history="1">
              <w:r w:rsidR="00A56EE9" w:rsidRPr="00E70A11">
                <w:rPr>
                  <w:rStyle w:val="Hyperlink"/>
                  <w:rFonts w:ascii="Arial Narrow" w:eastAsia="Calibri" w:hAnsi="Arial Narrow" w:cs="Times New Roman"/>
                  <w:sz w:val="18"/>
                  <w:szCs w:val="18"/>
                </w:rPr>
                <w:t>Draft Aboriginal and Islander Heritage Strategy</w:t>
              </w:r>
            </w:hyperlink>
          </w:p>
          <w:p w14:paraId="5761F8A4"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1069" w:history="1">
              <w:r w:rsidR="00A56EE9" w:rsidRPr="00E70A11">
                <w:rPr>
                  <w:rStyle w:val="Hyperlink"/>
                  <w:rFonts w:ascii="Arial Narrow" w:eastAsia="Calibri" w:hAnsi="Arial Narrow"/>
                  <w:sz w:val="18"/>
                  <w:szCs w:val="18"/>
                </w:rPr>
                <w:t>Draft Policy on Traditional Use of Marine Resources (GBRMPA/NPSR</w:t>
              </w:r>
            </w:hyperlink>
            <w:r w:rsidR="00A56EE9" w:rsidRPr="00E70A11">
              <w:rPr>
                <w:rFonts w:ascii="Arial Narrow" w:eastAsia="Calibri" w:hAnsi="Arial Narrow"/>
                <w:sz w:val="18"/>
                <w:szCs w:val="18"/>
              </w:rPr>
              <w:t>)</w:t>
            </w:r>
          </w:p>
          <w:p w14:paraId="5761F8A5"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eastAsia="Calibri" w:hAnsi="Arial Narrow" w:cs="Times New Roman"/>
                <w:sz w:val="18"/>
                <w:szCs w:val="18"/>
              </w:rPr>
            </w:pPr>
            <w:hyperlink r:id="rId1070" w:history="1">
              <w:r w:rsidR="00A56EE9" w:rsidRPr="00E70A11">
                <w:rPr>
                  <w:rStyle w:val="Hyperlink"/>
                  <w:rFonts w:ascii="Arial Narrow" w:eastAsia="Calibri" w:hAnsi="Arial Narrow" w:cs="Times New Roman"/>
                  <w:sz w:val="18"/>
                  <w:szCs w:val="18"/>
                </w:rPr>
                <w:t xml:space="preserve"> Guidelines: Woppaburra Traditional Owner Heritage</w:t>
              </w:r>
            </w:hyperlink>
            <w:r w:rsidR="00A56EE9" w:rsidRPr="00E70A11">
              <w:rPr>
                <w:rStyle w:val="Hyperlink"/>
                <w:rFonts w:ascii="Arial Narrow" w:eastAsia="Calibri" w:hAnsi="Arial Narrow" w:cs="Times New Roman"/>
                <w:sz w:val="18"/>
                <w:szCs w:val="18"/>
              </w:rPr>
              <w:t xml:space="preserve"> Assessment</w:t>
            </w:r>
          </w:p>
          <w:p w14:paraId="5761F8A6"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1071" w:history="1">
              <w:r w:rsidR="00A56EE9" w:rsidRPr="00E70A11">
                <w:rPr>
                  <w:rStyle w:val="Hyperlink"/>
                  <w:rFonts w:ascii="Arial Narrow" w:eastAsia="Calibri" w:hAnsi="Arial Narrow"/>
                  <w:sz w:val="18"/>
                  <w:szCs w:val="18"/>
                  <w:lang w:eastAsia="en-AU"/>
                </w:rPr>
                <w:t>Traditional Owner Heritage Assessment Guidelines</w:t>
              </w:r>
            </w:hyperlink>
          </w:p>
          <w:p w14:paraId="5761F8A7"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DMS4 Cultural Protocol/Guidelines/Data Sharing Agreement Template</w:t>
            </w:r>
          </w:p>
          <w:p w14:paraId="5761F8A8" w14:textId="77777777" w:rsidR="00A56EE9" w:rsidRPr="00E70A11" w:rsidRDefault="00A56EE9" w:rsidP="00BB6AD5">
            <w:pPr>
              <w:ind w:left="357"/>
              <w:contextualSpacing/>
              <w:rPr>
                <w:rFonts w:ascii="Arial Narrow" w:eastAsia="Calibri" w:hAnsi="Arial Narrow"/>
                <w:sz w:val="18"/>
                <w:szCs w:val="18"/>
              </w:rPr>
            </w:pPr>
          </w:p>
          <w:p w14:paraId="5761F8A9" w14:textId="77777777" w:rsidR="00A56EE9" w:rsidRPr="00E70A11" w:rsidRDefault="00A56EE9" w:rsidP="00BB6AD5">
            <w:pPr>
              <w:ind w:left="360"/>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8A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A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B9"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shd w:val="clear" w:color="auto" w:fill="FFFFFF"/>
          </w:tcPr>
          <w:p w14:paraId="5761F8A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PL8 There is consistency across jurisdictions when planning for Indigenous heritage</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761F8A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shd w:val="clear" w:color="auto" w:fill="FFFFFF"/>
          </w:tcPr>
          <w:p w14:paraId="5761F8A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Great Barrier Reef Intergovernmental Agreement was updated in 2015 and commits to “ensure that Indigenous traditional cultural practices continue to be recognised in the conservation and management of the Great Barrier Reef (IGA p. 7).</w:t>
            </w:r>
          </w:p>
          <w:p w14:paraId="5761F8B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Overlaps in planning, and the separation of islands from the adjacent sea country in agency plans, can be confusing for Indigenous people and for the general public.</w:t>
            </w:r>
          </w:p>
          <w:p w14:paraId="5761F8B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There is close cooperation and consistency between the Field Management Program (QPWS) and GBRMPA in relation to Indigenous Heritage planning, and a consistent approach with a joint strategy for Indigenous engagement. TUMRAs are jointly approved, and Reef 2050 Plan is a joint product. </w:t>
            </w:r>
          </w:p>
          <w:p w14:paraId="5761F8B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Draft Policy on Traditional Use of Marine Resources is a joint policy for consistency (GBRMPA/NPSR)</w:t>
            </w:r>
          </w:p>
          <w:p w14:paraId="5761F8B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is strong alignment between the GBRMPA and QPWS under the joint Field Management Program, which includes a strategy for Indigenous Engagement. In 2016-17 an interdepartmental informal working group was formed to increase alignment and consistency between Indigenous Ranger programs (run by EHP and -PM&amp;C), the joint field management program and the TUMRA program.</w:t>
            </w:r>
          </w:p>
        </w:tc>
        <w:tc>
          <w:tcPr>
            <w:tcW w:w="4926" w:type="dxa"/>
            <w:tcBorders>
              <w:top w:val="single" w:sz="4" w:space="0" w:color="auto"/>
              <w:left w:val="single" w:sz="4" w:space="0" w:color="auto"/>
              <w:bottom w:val="single" w:sz="4" w:space="0" w:color="auto"/>
              <w:right w:val="single" w:sz="4" w:space="0" w:color="auto"/>
            </w:tcBorders>
            <w:shd w:val="clear" w:color="auto" w:fill="FFFFFF"/>
          </w:tcPr>
          <w:p w14:paraId="5761F8B4" w14:textId="77777777" w:rsidR="00A56EE9" w:rsidRPr="00E70A11" w:rsidRDefault="008B5998" w:rsidP="00A11869">
            <w:pPr>
              <w:pStyle w:val="ListParagraph"/>
              <w:numPr>
                <w:ilvl w:val="0"/>
                <w:numId w:val="24"/>
              </w:numPr>
              <w:spacing w:after="0" w:line="240" w:lineRule="auto"/>
              <w:rPr>
                <w:rFonts w:ascii="Arial Narrow" w:hAnsi="Arial Narrow" w:cs="Times New Roman"/>
                <w:sz w:val="18"/>
                <w:szCs w:val="18"/>
              </w:rPr>
            </w:pPr>
            <w:hyperlink r:id="rId1072" w:history="1">
              <w:r w:rsidR="00A56EE9" w:rsidRPr="00E70A11">
                <w:rPr>
                  <w:rFonts w:ascii="Arial Narrow" w:hAnsi="Arial Narrow" w:cs="Times New Roman"/>
                  <w:color w:val="0000FF"/>
                  <w:sz w:val="18"/>
                  <w:szCs w:val="18"/>
                  <w:u w:val="single"/>
                </w:rPr>
                <w:t>Great Barrier Reef Intergovernmental Agreement</w:t>
              </w:r>
            </w:hyperlink>
            <w:r w:rsidR="00A56EE9" w:rsidRPr="00E70A11">
              <w:rPr>
                <w:rFonts w:ascii="Arial Narrow" w:hAnsi="Arial Narrow" w:cs="Times New Roman"/>
                <w:sz w:val="18"/>
                <w:szCs w:val="18"/>
              </w:rPr>
              <w:t xml:space="preserve"> 2015</w:t>
            </w:r>
          </w:p>
          <w:p w14:paraId="5761F8B5" w14:textId="77777777" w:rsidR="00A56EE9" w:rsidRPr="00E70A11" w:rsidRDefault="00A56EE9" w:rsidP="00BB6AD5">
            <w:pPr>
              <w:pStyle w:val="ListParagraph"/>
              <w:spacing w:after="0" w:line="240" w:lineRule="auto"/>
              <w:rPr>
                <w:rFonts w:ascii="Arial Narrow" w:hAnsi="Arial Narrow" w:cs="Times New Roman"/>
                <w:sz w:val="18"/>
                <w:szCs w:val="18"/>
              </w:rPr>
            </w:pPr>
          </w:p>
          <w:p w14:paraId="5761F8B6"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shd w:val="clear" w:color="auto" w:fill="FFFFFF"/>
          </w:tcPr>
          <w:p w14:paraId="5761F8B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5761F8B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C8"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shd w:val="clear" w:color="auto" w:fill="auto"/>
          </w:tcPr>
          <w:p w14:paraId="5761F8B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PL9</w:t>
            </w:r>
            <w:r>
              <w:rPr>
                <w:rFonts w:ascii="Arial Narrow" w:hAnsi="Arial Narrow"/>
                <w:sz w:val="18"/>
                <w:szCs w:val="18"/>
              </w:rPr>
              <w:t xml:space="preserve"> </w:t>
            </w:r>
            <w:r w:rsidRPr="00E70A11">
              <w:rPr>
                <w:rFonts w:ascii="Arial Narrow" w:hAnsi="Arial Narrow"/>
                <w:sz w:val="18"/>
                <w:szCs w:val="18"/>
              </w:rPr>
              <w:t>Plans relevant to Indigenous heritage provide certainty regarding where uses may occur, the type of activities allowed</w:t>
            </w:r>
            <w:r w:rsidRPr="00E70A11">
              <w:rPr>
                <w:rFonts w:ascii="Arial Narrow" w:hAnsi="Arial Narrow"/>
                <w:sz w:val="18"/>
                <w:szCs w:val="18"/>
                <w:lang w:val="en-US"/>
              </w:rPr>
              <w:t xml:space="preserve"> or specifically disallowed</w:t>
            </w:r>
            <w:proofErr w:type="gramStart"/>
            <w:r w:rsidRPr="00E70A11">
              <w:rPr>
                <w:rFonts w:ascii="Arial Narrow" w:hAnsi="Arial Narrow"/>
                <w:sz w:val="18"/>
                <w:szCs w:val="18"/>
                <w:lang w:val="en-US"/>
              </w:rPr>
              <w:t>,</w:t>
            </w:r>
            <w:r w:rsidRPr="00E70A11">
              <w:rPr>
                <w:rFonts w:ascii="Arial Narrow" w:hAnsi="Arial Narrow"/>
                <w:sz w:val="18"/>
                <w:szCs w:val="18"/>
              </w:rPr>
              <w:t>,</w:t>
            </w:r>
            <w:proofErr w:type="gramEnd"/>
            <w:r w:rsidRPr="00E70A11">
              <w:rPr>
                <w:rFonts w:ascii="Arial Narrow" w:hAnsi="Arial Narrow"/>
                <w:sz w:val="18"/>
                <w:szCs w:val="18"/>
              </w:rPr>
              <w:t xml:space="preserve"> conditions under which activities may proceed and circumstances where impacts are likely to be acceptable.</w:t>
            </w:r>
          </w:p>
        </w:tc>
        <w:tc>
          <w:tcPr>
            <w:tcW w:w="643" w:type="dxa"/>
            <w:tcBorders>
              <w:top w:val="single" w:sz="4" w:space="0" w:color="auto"/>
              <w:left w:val="single" w:sz="4" w:space="0" w:color="auto"/>
              <w:bottom w:val="single" w:sz="4" w:space="0" w:color="auto"/>
              <w:right w:val="single" w:sz="4" w:space="0" w:color="auto"/>
            </w:tcBorders>
          </w:tcPr>
          <w:p w14:paraId="5761F8B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BC" w14:textId="77777777" w:rsidR="00A56EE9" w:rsidRPr="00E70A11" w:rsidRDefault="00A56EE9" w:rsidP="00A11869">
            <w:pPr>
              <w:pStyle w:val="ListParagraph"/>
              <w:numPr>
                <w:ilvl w:val="0"/>
                <w:numId w:val="24"/>
              </w:numPr>
              <w:spacing w:after="200" w:line="276" w:lineRule="auto"/>
              <w:rPr>
                <w:rFonts w:ascii="Arial Narrow" w:eastAsia="Calibri" w:hAnsi="Arial Narrow"/>
                <w:sz w:val="18"/>
                <w:szCs w:val="18"/>
              </w:rPr>
            </w:pPr>
            <w:r w:rsidRPr="00E70A11">
              <w:rPr>
                <w:rFonts w:ascii="Arial Narrow" w:eastAsia="Calibri" w:hAnsi="Arial Narrow"/>
                <w:sz w:val="18"/>
                <w:szCs w:val="18"/>
              </w:rPr>
              <w:t>Plans of Management in high use areas clearly articulate and manage conflicting uses which may affect indigenous heritage values in Cairns, Whitsundays and Hinchinbrook. Plans of Management however they do not explicitly identify actions to manage indigenous heritage.</w:t>
            </w:r>
          </w:p>
          <w:p w14:paraId="5761F8BD" w14:textId="77777777" w:rsidR="00A56EE9" w:rsidRPr="00E70A11" w:rsidRDefault="00A56EE9" w:rsidP="00A11869">
            <w:pPr>
              <w:pStyle w:val="ListParagraph"/>
              <w:numPr>
                <w:ilvl w:val="0"/>
                <w:numId w:val="24"/>
              </w:numPr>
              <w:spacing w:after="0" w:line="276" w:lineRule="auto"/>
              <w:ind w:left="357" w:hanging="357"/>
              <w:rPr>
                <w:rFonts w:ascii="Arial Narrow" w:eastAsia="Calibri" w:hAnsi="Arial Narrow"/>
                <w:sz w:val="18"/>
                <w:szCs w:val="18"/>
              </w:rPr>
            </w:pPr>
            <w:r w:rsidRPr="00E70A11">
              <w:rPr>
                <w:rFonts w:ascii="Arial Narrow" w:eastAsia="Calibri" w:hAnsi="Arial Narrow"/>
                <w:sz w:val="18"/>
                <w:szCs w:val="18"/>
              </w:rPr>
              <w:t>Woppaburra Guidelines developed with Woppaburra Traditional Owners map the important cultural values in the Keppel Islands region to help inform permit assessments by GBRMPA. Intention is to develop similar guidelines with other Traditional Owner groups within the GBR Region to better protect indigenous heritage.</w:t>
            </w:r>
          </w:p>
          <w:p w14:paraId="5761F8BE"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 xml:space="preserve">Traditional Owner Heritage Assessment guidelines provide important information for consideration when assessing the potential impacts from hazards derived from proposed activities. In consultation with Traditional Owners (particularly through targeted consultation with assessment approaches) appropriate avoidance and mitigation measures should be identified. </w:t>
            </w:r>
          </w:p>
          <w:p w14:paraId="5761F8B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permission system provides avenues for protecting Indigenous heritage values permitted activities only when the activity is location specific and when the activity is of higher risk. The Native Title Notification process which applies to all permission applications, does not currently assist in protecting Indigenous heritage values. </w:t>
            </w:r>
          </w:p>
          <w:p w14:paraId="5761F8C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For ‘lower risk activities’ (such as tourism activities and some research activities) the planning framework can protect Indigenous heritage values. </w:t>
            </w:r>
          </w:p>
        </w:tc>
        <w:tc>
          <w:tcPr>
            <w:tcW w:w="4926" w:type="dxa"/>
            <w:tcBorders>
              <w:top w:val="single" w:sz="4" w:space="0" w:color="auto"/>
              <w:left w:val="single" w:sz="4" w:space="0" w:color="auto"/>
              <w:bottom w:val="single" w:sz="4" w:space="0" w:color="auto"/>
              <w:right w:val="single" w:sz="4" w:space="0" w:color="auto"/>
            </w:tcBorders>
          </w:tcPr>
          <w:p w14:paraId="5761F8C1"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eastAsia="Calibri" w:hAnsi="Arial Narrow" w:cs="Times New Roman"/>
                <w:sz w:val="18"/>
                <w:szCs w:val="18"/>
              </w:rPr>
            </w:pPr>
            <w:hyperlink r:id="rId1073" w:history="1">
              <w:r w:rsidR="00A56EE9" w:rsidRPr="00E70A11">
                <w:rPr>
                  <w:rStyle w:val="Hyperlink"/>
                  <w:rFonts w:ascii="Arial Narrow" w:eastAsia="Calibri" w:hAnsi="Arial Narrow" w:cs="Times New Roman"/>
                  <w:sz w:val="18"/>
                  <w:szCs w:val="18"/>
                </w:rPr>
                <w:t xml:space="preserve"> Guidelines: Woppaburra Traditional Owner Heritage</w:t>
              </w:r>
            </w:hyperlink>
            <w:r w:rsidR="00A56EE9" w:rsidRPr="00E70A11">
              <w:rPr>
                <w:rStyle w:val="Hyperlink"/>
                <w:rFonts w:ascii="Arial Narrow" w:eastAsia="Calibri" w:hAnsi="Arial Narrow" w:cs="Times New Roman"/>
                <w:sz w:val="18"/>
                <w:szCs w:val="18"/>
              </w:rPr>
              <w:t xml:space="preserve"> Assessment</w:t>
            </w:r>
          </w:p>
          <w:p w14:paraId="5761F8C2"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1074" w:history="1">
              <w:r w:rsidR="00A56EE9" w:rsidRPr="00E70A11">
                <w:rPr>
                  <w:rStyle w:val="Hyperlink"/>
                  <w:rFonts w:ascii="Arial Narrow" w:eastAsia="Calibri" w:hAnsi="Arial Narrow"/>
                  <w:sz w:val="18"/>
                  <w:szCs w:val="18"/>
                  <w:lang w:eastAsia="en-AU"/>
                </w:rPr>
                <w:t>Traditional Owner Heritage Assessment Guidelines</w:t>
              </w:r>
            </w:hyperlink>
          </w:p>
          <w:p w14:paraId="5761F8C3" w14:textId="3F754953" w:rsidR="00A56EE9" w:rsidRPr="00E70A11" w:rsidRDefault="008B5998" w:rsidP="00A11869">
            <w:pPr>
              <w:numPr>
                <w:ilvl w:val="0"/>
                <w:numId w:val="24"/>
              </w:numPr>
              <w:spacing w:after="0" w:line="240" w:lineRule="auto"/>
              <w:ind w:left="357" w:hanging="357"/>
              <w:contextualSpacing/>
              <w:rPr>
                <w:rStyle w:val="Hyperlink"/>
                <w:rFonts w:ascii="Arial Narrow" w:eastAsia="Calibri" w:hAnsi="Arial Narrow"/>
                <w:sz w:val="18"/>
                <w:szCs w:val="18"/>
              </w:rPr>
            </w:pPr>
            <w:hyperlink w:history="1"/>
            <w:r w:rsidR="00A56EE9" w:rsidRPr="00E70A11">
              <w:rPr>
                <w:rStyle w:val="BookTitle"/>
                <w:rFonts w:ascii="Arial Narrow" w:hAnsi="Arial Narrow"/>
                <w:sz w:val="18"/>
                <w:szCs w:val="18"/>
              </w:rPr>
              <w:t xml:space="preserve">Media release: </w:t>
            </w:r>
            <w:hyperlink r:id="rId1075" w:tooltip="document link" w:history="1">
              <w:r w:rsidR="00A56EE9" w:rsidRPr="00E70A11">
                <w:rPr>
                  <w:rStyle w:val="Hyperlink"/>
                  <w:rFonts w:ascii="Arial Narrow" w:hAnsi="Arial Narrow"/>
                  <w:sz w:val="18"/>
                  <w:szCs w:val="18"/>
                </w:rPr>
                <w:t>http://www.gbrmpa.gov.au/media-room/latest-news/sea-country-partnerships/2017/woppaburra-traditional-owner-values-protected-under-new-guidelines</w:t>
              </w:r>
            </w:hyperlink>
          </w:p>
          <w:p w14:paraId="5761F8C4" w14:textId="77777777" w:rsidR="00A56EE9" w:rsidRPr="00E70A11" w:rsidRDefault="008B5998" w:rsidP="00A11869">
            <w:pPr>
              <w:pStyle w:val="ListParagraph"/>
              <w:numPr>
                <w:ilvl w:val="0"/>
                <w:numId w:val="24"/>
              </w:numPr>
              <w:spacing w:after="0" w:line="276" w:lineRule="auto"/>
              <w:ind w:left="357" w:hanging="357"/>
              <w:rPr>
                <w:rStyle w:val="Hyperlink"/>
                <w:rFonts w:ascii="Arial Narrow" w:eastAsia="Calibri" w:hAnsi="Arial Narrow" w:cs="Times New Roman"/>
                <w:sz w:val="18"/>
                <w:szCs w:val="18"/>
                <w:lang w:val="en-GB"/>
              </w:rPr>
            </w:pPr>
            <w:hyperlink r:id="rId1076" w:history="1">
              <w:r w:rsidR="00A56EE9" w:rsidRPr="00E70A11">
                <w:rPr>
                  <w:rStyle w:val="Hyperlink"/>
                  <w:rFonts w:ascii="Arial Narrow" w:eastAsia="Calibri" w:hAnsi="Arial Narrow" w:cs="Times New Roman"/>
                  <w:sz w:val="18"/>
                  <w:szCs w:val="18"/>
                </w:rPr>
                <w:t>Whitsunday Plan of Management</w:t>
              </w:r>
            </w:hyperlink>
          </w:p>
          <w:p w14:paraId="5761F8C5"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1077" w:history="1">
              <w:r w:rsidR="00A56EE9" w:rsidRPr="00E70A11">
                <w:rPr>
                  <w:rStyle w:val="Hyperlink"/>
                  <w:rFonts w:ascii="Arial Narrow" w:eastAsia="Calibri" w:hAnsi="Arial Narrow"/>
                  <w:sz w:val="18"/>
                  <w:szCs w:val="18"/>
                  <w:lang w:eastAsia="en-AU"/>
                </w:rPr>
                <w:t>Queensland protected area management plans</w:t>
              </w:r>
            </w:hyperlink>
          </w:p>
        </w:tc>
        <w:tc>
          <w:tcPr>
            <w:tcW w:w="980" w:type="dxa"/>
            <w:tcBorders>
              <w:top w:val="single" w:sz="4" w:space="0" w:color="auto"/>
              <w:left w:val="single" w:sz="4" w:space="0" w:color="auto"/>
              <w:bottom w:val="single" w:sz="4" w:space="0" w:color="auto"/>
              <w:right w:val="single" w:sz="4" w:space="0" w:color="auto"/>
            </w:tcBorders>
          </w:tcPr>
          <w:p w14:paraId="5761F8C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C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8CF"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shd w:val="clear" w:color="auto" w:fill="E7E6E6"/>
          </w:tcPr>
          <w:p w14:paraId="5761F8C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INPUTS</w:t>
            </w:r>
          </w:p>
        </w:tc>
        <w:tc>
          <w:tcPr>
            <w:tcW w:w="643" w:type="dxa"/>
            <w:tcBorders>
              <w:top w:val="single" w:sz="4" w:space="0" w:color="auto"/>
              <w:left w:val="single" w:sz="4" w:space="0" w:color="auto"/>
              <w:bottom w:val="single" w:sz="4" w:space="0" w:color="auto"/>
              <w:right w:val="single" w:sz="4" w:space="0" w:color="auto"/>
            </w:tcBorders>
            <w:shd w:val="clear" w:color="auto" w:fill="E7E6E6"/>
          </w:tcPr>
          <w:p w14:paraId="5761F8CA" w14:textId="77777777" w:rsidR="00A56EE9" w:rsidRPr="00E70A11" w:rsidRDefault="00A56EE9" w:rsidP="00BB6AD5">
            <w:pPr>
              <w:rPr>
                <w:rFonts w:ascii="Arial Narrow" w:hAnsi="Arial Narrow"/>
                <w:sz w:val="18"/>
                <w:szCs w:val="18"/>
              </w:rPr>
            </w:pPr>
          </w:p>
        </w:tc>
        <w:tc>
          <w:tcPr>
            <w:tcW w:w="4444" w:type="dxa"/>
            <w:tcBorders>
              <w:top w:val="single" w:sz="4" w:space="0" w:color="auto"/>
              <w:left w:val="single" w:sz="4" w:space="0" w:color="auto"/>
              <w:bottom w:val="single" w:sz="4" w:space="0" w:color="auto"/>
              <w:right w:val="single" w:sz="4" w:space="0" w:color="auto"/>
            </w:tcBorders>
            <w:shd w:val="clear" w:color="auto" w:fill="E7E6E6"/>
          </w:tcPr>
          <w:p w14:paraId="5761F8CB" w14:textId="77777777" w:rsidR="00A56EE9" w:rsidRPr="00E70A11" w:rsidRDefault="00A56EE9" w:rsidP="00BB6AD5">
            <w:pPr>
              <w:ind w:left="360"/>
              <w:contextualSpacing/>
              <w:rPr>
                <w:rFonts w:ascii="Arial Narrow" w:eastAsia="Calibri" w:hAnsi="Arial Narrow"/>
                <w:sz w:val="18"/>
                <w:szCs w:val="18"/>
              </w:rPr>
            </w:pPr>
          </w:p>
        </w:tc>
        <w:tc>
          <w:tcPr>
            <w:tcW w:w="4926" w:type="dxa"/>
            <w:tcBorders>
              <w:top w:val="single" w:sz="4" w:space="0" w:color="auto"/>
              <w:left w:val="single" w:sz="4" w:space="0" w:color="auto"/>
              <w:bottom w:val="single" w:sz="4" w:space="0" w:color="auto"/>
              <w:right w:val="single" w:sz="4" w:space="0" w:color="auto"/>
            </w:tcBorders>
            <w:shd w:val="clear" w:color="auto" w:fill="E7E6E6"/>
          </w:tcPr>
          <w:p w14:paraId="5761F8CC" w14:textId="77777777" w:rsidR="00A56EE9" w:rsidRPr="00E70A11" w:rsidRDefault="00A56EE9" w:rsidP="00BB6AD5">
            <w:pPr>
              <w:ind w:left="360"/>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shd w:val="clear" w:color="auto" w:fill="E7E6E6"/>
          </w:tcPr>
          <w:p w14:paraId="5761F8CD" w14:textId="77777777" w:rsidR="00A56EE9" w:rsidRPr="00E70A11" w:rsidRDefault="00A56EE9" w:rsidP="00BB6AD5">
            <w:pPr>
              <w:rPr>
                <w:rFonts w:ascii="Arial Narrow" w:hAnsi="Arial Narrow"/>
                <w:sz w:val="18"/>
                <w:szCs w:val="18"/>
              </w:rPr>
            </w:pPr>
          </w:p>
        </w:tc>
        <w:tc>
          <w:tcPr>
            <w:tcW w:w="865" w:type="dxa"/>
            <w:tcBorders>
              <w:top w:val="single" w:sz="4" w:space="0" w:color="auto"/>
              <w:left w:val="single" w:sz="4" w:space="0" w:color="auto"/>
              <w:bottom w:val="single" w:sz="4" w:space="0" w:color="auto"/>
              <w:right w:val="single" w:sz="4" w:space="0" w:color="auto"/>
            </w:tcBorders>
            <w:shd w:val="clear" w:color="auto" w:fill="E7E6E6"/>
          </w:tcPr>
          <w:p w14:paraId="5761F8CE" w14:textId="77777777" w:rsidR="00A56EE9" w:rsidRPr="00E70A11" w:rsidRDefault="00A56EE9" w:rsidP="00BB6AD5">
            <w:pPr>
              <w:rPr>
                <w:rFonts w:ascii="Arial Narrow" w:hAnsi="Arial Narrow"/>
                <w:sz w:val="18"/>
                <w:szCs w:val="18"/>
              </w:rPr>
            </w:pPr>
          </w:p>
        </w:tc>
      </w:tr>
      <w:tr w:rsidR="00A56EE9" w:rsidRPr="00E70A11" w14:paraId="5761F8DD"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D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IN1</w:t>
            </w:r>
            <w:r>
              <w:rPr>
                <w:rFonts w:ascii="Arial Narrow" w:hAnsi="Arial Narrow"/>
                <w:sz w:val="18"/>
                <w:szCs w:val="18"/>
              </w:rPr>
              <w:t xml:space="preserve"> </w:t>
            </w:r>
            <w:r w:rsidRPr="00E70A11">
              <w:rPr>
                <w:rFonts w:ascii="Arial Narrow" w:hAnsi="Arial Narrow"/>
                <w:sz w:val="18"/>
                <w:szCs w:val="18"/>
              </w:rPr>
              <w:t xml:space="preserve">Financial resources are adequate and prioritised to meet management objectives to address Indigenous heritage </w:t>
            </w:r>
          </w:p>
        </w:tc>
        <w:tc>
          <w:tcPr>
            <w:tcW w:w="643" w:type="dxa"/>
            <w:tcBorders>
              <w:top w:val="single" w:sz="4" w:space="0" w:color="auto"/>
              <w:left w:val="single" w:sz="4" w:space="0" w:color="auto"/>
              <w:bottom w:val="single" w:sz="4" w:space="0" w:color="auto"/>
              <w:right w:val="single" w:sz="4" w:space="0" w:color="auto"/>
            </w:tcBorders>
          </w:tcPr>
          <w:p w14:paraId="5761F8D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D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 The 2017 Queensland Budget provided a funding boost for Indigenous Land and Sea Rangers, to bring them to a total of 100 positions across Queensland over the next four years. This program funds 28 Indigenous Rangers in the Great Barrier Reef Catchment area.</w:t>
            </w:r>
          </w:p>
          <w:p w14:paraId="5761F8D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Land and Sea Country Partnerships Program allocates ~$2 million per year to facilitate the expansion of the TUMRA program, IRAC, and Indigenous Engagement led by GBRMPA. </w:t>
            </w:r>
            <w:r>
              <w:rPr>
                <w:rFonts w:ascii="Arial Narrow" w:eastAsia="Calibri" w:hAnsi="Arial Narrow"/>
                <w:sz w:val="18"/>
                <w:szCs w:val="18"/>
              </w:rPr>
              <w:t>This now forms part of GBRMPA’s stabilised budget.</w:t>
            </w:r>
          </w:p>
          <w:p w14:paraId="5761F8D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In 2016 the Working on Country Program (coordinated through Department of Prime Minister and Cabinet) funded 109 Indigenous Ranger Groups and 777 Rangers, 28 of these in the Great Barrier Reef Region). </w:t>
            </w:r>
          </w:p>
          <w:p w14:paraId="5761F8D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$2 million dollar injection into Indigenous Partnerships (under an MOU with Prime </w:t>
            </w:r>
            <w:proofErr w:type="gramStart"/>
            <w:r w:rsidRPr="00E70A11">
              <w:rPr>
                <w:rFonts w:ascii="Arial Narrow" w:eastAsia="Calibri" w:hAnsi="Arial Narrow"/>
                <w:sz w:val="18"/>
                <w:szCs w:val="18"/>
              </w:rPr>
              <w:t>Minister &amp;</w:t>
            </w:r>
            <w:proofErr w:type="gramEnd"/>
            <w:r w:rsidRPr="00E70A11">
              <w:rPr>
                <w:rFonts w:ascii="Arial Narrow" w:eastAsia="Calibri" w:hAnsi="Arial Narrow"/>
                <w:sz w:val="18"/>
                <w:szCs w:val="18"/>
              </w:rPr>
              <w:t xml:space="preserve"> Cabinet) to deliver a Specialised Indigenous Ranger Program from 2015-2017.</w:t>
            </w:r>
          </w:p>
          <w:p w14:paraId="5761F8D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$440,000 from RIMReP is enabling the development of the cultural protocol and data negotiation template, testing of these products, and storage of any information collected (DMS4).</w:t>
            </w:r>
          </w:p>
          <w:p w14:paraId="5761F8D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Lack of consistent</w:t>
            </w:r>
            <w:r>
              <w:rPr>
                <w:rFonts w:ascii="Arial Narrow" w:eastAsia="Calibri" w:hAnsi="Arial Narrow"/>
                <w:sz w:val="18"/>
                <w:szCs w:val="18"/>
              </w:rPr>
              <w:t xml:space="preserve"> and long-term</w:t>
            </w:r>
            <w:r w:rsidRPr="00E70A11">
              <w:rPr>
                <w:rFonts w:ascii="Arial Narrow" w:eastAsia="Calibri" w:hAnsi="Arial Narrow"/>
                <w:sz w:val="18"/>
                <w:szCs w:val="18"/>
              </w:rPr>
              <w:t xml:space="preserve"> funding limits Traditional Owner involvement in managing sea country in some parts of the Region.</w:t>
            </w:r>
          </w:p>
        </w:tc>
        <w:tc>
          <w:tcPr>
            <w:tcW w:w="4926" w:type="dxa"/>
            <w:tcBorders>
              <w:top w:val="single" w:sz="4" w:space="0" w:color="auto"/>
              <w:left w:val="single" w:sz="4" w:space="0" w:color="auto"/>
              <w:bottom w:val="single" w:sz="4" w:space="0" w:color="auto"/>
              <w:right w:val="single" w:sz="4" w:space="0" w:color="auto"/>
            </w:tcBorders>
          </w:tcPr>
          <w:p w14:paraId="5761F8D8" w14:textId="18267667" w:rsidR="00A56EE9" w:rsidRPr="00774D6C" w:rsidRDefault="00A56EE9" w:rsidP="00A11869">
            <w:pPr>
              <w:pStyle w:val="ListParagraph"/>
              <w:numPr>
                <w:ilvl w:val="0"/>
                <w:numId w:val="24"/>
              </w:numPr>
              <w:spacing w:after="200" w:line="240" w:lineRule="auto"/>
              <w:rPr>
                <w:rStyle w:val="Hyperlink"/>
                <w:rFonts w:ascii="Arial Narrow" w:hAnsi="Arial Narrow"/>
                <w:sz w:val="18"/>
                <w:szCs w:val="18"/>
              </w:rPr>
            </w:pPr>
            <w:r w:rsidRPr="00774D6C">
              <w:rPr>
                <w:rFonts w:ascii="Arial Narrow" w:hAnsi="Arial Narrow"/>
                <w:b/>
                <w:sz w:val="18"/>
                <w:szCs w:val="18"/>
              </w:rPr>
              <w:t xml:space="preserve">Working On Country </w:t>
            </w:r>
            <w:r w:rsidRPr="00774D6C">
              <w:rPr>
                <w:rFonts w:ascii="Arial Narrow" w:hAnsi="Arial Narrow"/>
                <w:sz w:val="18"/>
                <w:szCs w:val="18"/>
              </w:rPr>
              <w:t xml:space="preserve">– Indigenous Rangers – see link to interactive map of Ranger groups and their activities here: </w:t>
            </w:r>
            <w:hyperlink r:id="rId1078" w:tooltip="document link" w:history="1">
              <w:r w:rsidRPr="00774D6C">
                <w:rPr>
                  <w:rStyle w:val="Hyperlink"/>
                  <w:rFonts w:ascii="Arial Narrow" w:hAnsi="Arial Narrow"/>
                  <w:sz w:val="18"/>
                  <w:szCs w:val="18"/>
                </w:rPr>
                <w:t>https://www.pmc.gov.au/indigenous-affairs/environment/indigenous-land-and-sea-management-projects</w:t>
              </w:r>
            </w:hyperlink>
          </w:p>
          <w:p w14:paraId="5761F8D9" w14:textId="48D4A4FB" w:rsidR="00A56EE9" w:rsidRPr="00774D6C" w:rsidRDefault="00A56EE9" w:rsidP="00A11869">
            <w:pPr>
              <w:pStyle w:val="ListParagraph"/>
              <w:numPr>
                <w:ilvl w:val="0"/>
                <w:numId w:val="24"/>
              </w:numPr>
              <w:spacing w:after="200" w:line="240" w:lineRule="auto"/>
              <w:rPr>
                <w:rFonts w:ascii="Arial Narrow" w:hAnsi="Arial Narrow"/>
                <w:sz w:val="18"/>
                <w:szCs w:val="18"/>
              </w:rPr>
            </w:pPr>
            <w:r w:rsidRPr="00774D6C">
              <w:rPr>
                <w:rFonts w:ascii="Arial Narrow" w:hAnsi="Arial Narrow"/>
                <w:sz w:val="18"/>
                <w:szCs w:val="18"/>
              </w:rPr>
              <w:t xml:space="preserve">Indigenous Land and Sea Rangers: </w:t>
            </w:r>
            <w:hyperlink r:id="rId1079" w:tooltip="document link" w:history="1">
              <w:r w:rsidRPr="00774D6C">
                <w:rPr>
                  <w:rStyle w:val="Hyperlink"/>
                  <w:rFonts w:ascii="Arial Narrow" w:hAnsi="Arial Narrow"/>
                  <w:sz w:val="18"/>
                  <w:szCs w:val="18"/>
                </w:rPr>
                <w:t>https://environment.ehp.qld.gov.au/land-sea-rangers/</w:t>
              </w:r>
            </w:hyperlink>
          </w:p>
          <w:p w14:paraId="5761F8DA" w14:textId="77777777" w:rsidR="00A56EE9" w:rsidRPr="00774D6C" w:rsidRDefault="00A56EE9" w:rsidP="00BB6AD5">
            <w:pPr>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8D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D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E9"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D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IN2</w:t>
            </w:r>
            <w:r>
              <w:rPr>
                <w:rFonts w:ascii="Arial Narrow" w:hAnsi="Arial Narrow"/>
                <w:sz w:val="18"/>
                <w:szCs w:val="18"/>
              </w:rPr>
              <w:t xml:space="preserve"> </w:t>
            </w:r>
            <w:r w:rsidRPr="00E70A11">
              <w:rPr>
                <w:rFonts w:ascii="Arial Narrow" w:hAnsi="Arial Narrow"/>
                <w:sz w:val="18"/>
                <w:szCs w:val="18"/>
              </w:rPr>
              <w:t xml:space="preserve">Human resources within the managing organisations are adequate to meet specific management objectives to address Indigenous heritage </w:t>
            </w:r>
          </w:p>
        </w:tc>
        <w:tc>
          <w:tcPr>
            <w:tcW w:w="643" w:type="dxa"/>
            <w:tcBorders>
              <w:top w:val="single" w:sz="4" w:space="0" w:color="auto"/>
              <w:left w:val="single" w:sz="4" w:space="0" w:color="auto"/>
              <w:bottom w:val="single" w:sz="4" w:space="0" w:color="auto"/>
              <w:right w:val="single" w:sz="4" w:space="0" w:color="auto"/>
            </w:tcBorders>
          </w:tcPr>
          <w:p w14:paraId="5761F8D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E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While more capacity would assist in developing Indigenous Heritage guidelines across the Regions, GBRMPA has been well resourced to build relationships and support heritage protection, The Field Management Program and Indigenous Ranger Programs are also well resourced for this aspect of their work.</w:t>
            </w:r>
          </w:p>
          <w:p w14:paraId="5761F8E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Representation of Indigenous interests in senior staff fora in GBRMPA has declined.</w:t>
            </w:r>
          </w:p>
          <w:p w14:paraId="5761F8E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Advice from advisory committees and other Traditional Owner </w:t>
            </w:r>
            <w:r>
              <w:rPr>
                <w:rFonts w:ascii="Arial Narrow" w:eastAsia="Calibri" w:hAnsi="Arial Narrow"/>
                <w:sz w:val="18"/>
                <w:szCs w:val="18"/>
              </w:rPr>
              <w:t>forums</w:t>
            </w:r>
            <w:r w:rsidRPr="00E70A11">
              <w:rPr>
                <w:rFonts w:ascii="Arial Narrow" w:eastAsia="Calibri" w:hAnsi="Arial Narrow"/>
                <w:sz w:val="18"/>
                <w:szCs w:val="18"/>
              </w:rPr>
              <w:t xml:space="preserve"> are also critical human resources feeding into management agencies.</w:t>
            </w:r>
          </w:p>
          <w:p w14:paraId="5761F8E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ability to contract Traditional Owners groups for particular tasks and to ‘cross-deck’ with Traditional Owners on vessels has also increased capacity, though this capacity declined in 2016-17 due to other demands on field management staff, particularly from Cyclone Debbie response. 420 days of Traditional Owner presence on field management vessels was recorded in 2016-17, down from 574 days in 2015-16, but a sharp increase from 143 days in 2013-14.</w:t>
            </w:r>
          </w:p>
        </w:tc>
        <w:tc>
          <w:tcPr>
            <w:tcW w:w="4926" w:type="dxa"/>
            <w:tcBorders>
              <w:top w:val="single" w:sz="4" w:space="0" w:color="auto"/>
              <w:left w:val="single" w:sz="4" w:space="0" w:color="auto"/>
              <w:bottom w:val="single" w:sz="4" w:space="0" w:color="auto"/>
              <w:right w:val="single" w:sz="4" w:space="0" w:color="auto"/>
            </w:tcBorders>
          </w:tcPr>
          <w:p w14:paraId="5761F8E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FMP Business Plan and Annual Reports</w:t>
            </w:r>
          </w:p>
          <w:p w14:paraId="5761F8E5" w14:textId="77777777" w:rsidR="00A56EE9" w:rsidRPr="00E70A11" w:rsidRDefault="008B5998" w:rsidP="00A11869">
            <w:pPr>
              <w:pStyle w:val="ListParagraph"/>
              <w:numPr>
                <w:ilvl w:val="0"/>
                <w:numId w:val="24"/>
              </w:numPr>
              <w:spacing w:after="200" w:line="240" w:lineRule="auto"/>
              <w:rPr>
                <w:rFonts w:ascii="Arial Narrow" w:hAnsi="Arial Narrow"/>
                <w:sz w:val="18"/>
                <w:szCs w:val="18"/>
              </w:rPr>
            </w:pPr>
            <w:hyperlink r:id="rId1080" w:history="1">
              <w:r w:rsidR="00A56EE9" w:rsidRPr="00E70A11">
                <w:rPr>
                  <w:rStyle w:val="Hyperlink"/>
                  <w:rFonts w:ascii="Arial Narrow" w:hAnsi="Arial Narrow"/>
                  <w:sz w:val="18"/>
                  <w:szCs w:val="18"/>
                </w:rPr>
                <w:t>Operational Review final report</w:t>
              </w:r>
            </w:hyperlink>
          </w:p>
          <w:p w14:paraId="5761F8E6" w14:textId="77777777" w:rsidR="00A56EE9" w:rsidRPr="00E70A11" w:rsidRDefault="00A56EE9" w:rsidP="00BB6AD5">
            <w:pPr>
              <w:ind w:left="360"/>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8E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E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8FA"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E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IN3</w:t>
            </w:r>
            <w:r>
              <w:rPr>
                <w:rFonts w:ascii="Arial Narrow" w:hAnsi="Arial Narrow"/>
                <w:sz w:val="18"/>
                <w:szCs w:val="18"/>
              </w:rPr>
              <w:t xml:space="preserve"> </w:t>
            </w:r>
            <w:r w:rsidRPr="00E70A11">
              <w:rPr>
                <w:rFonts w:ascii="Arial Narrow" w:hAnsi="Arial Narrow"/>
                <w:sz w:val="18"/>
                <w:szCs w:val="18"/>
              </w:rPr>
              <w:t>The right skill sets and expertise are currently available to the managing organisations to address Indigenous heritage</w:t>
            </w:r>
          </w:p>
        </w:tc>
        <w:tc>
          <w:tcPr>
            <w:tcW w:w="643" w:type="dxa"/>
            <w:tcBorders>
              <w:top w:val="single" w:sz="4" w:space="0" w:color="auto"/>
              <w:left w:val="single" w:sz="4" w:space="0" w:color="auto"/>
              <w:bottom w:val="single" w:sz="4" w:space="0" w:color="auto"/>
              <w:right w:val="single" w:sz="4" w:space="0" w:color="auto"/>
            </w:tcBorders>
          </w:tcPr>
          <w:p w14:paraId="5761F8E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EC" w14:textId="77777777" w:rsidR="00A56EE9" w:rsidRPr="00E70A11" w:rsidRDefault="00A56EE9" w:rsidP="00A11869">
            <w:pPr>
              <w:numPr>
                <w:ilvl w:val="0"/>
                <w:numId w:val="24"/>
              </w:numPr>
              <w:spacing w:after="0" w:line="240" w:lineRule="auto"/>
              <w:contextualSpacing/>
              <w:rPr>
                <w:rFonts w:ascii="Arial Narrow" w:eastAsia="Calibri" w:hAnsi="Arial Narrow"/>
                <w:i/>
                <w:sz w:val="18"/>
                <w:szCs w:val="18"/>
              </w:rPr>
            </w:pPr>
            <w:r w:rsidRPr="00E70A11">
              <w:rPr>
                <w:rFonts w:ascii="Arial Narrow" w:eastAsia="Calibri" w:hAnsi="Arial Narrow"/>
                <w:i/>
                <w:sz w:val="18"/>
                <w:szCs w:val="18"/>
              </w:rPr>
              <w:t>Advisory services see IN2. Also see CO1</w:t>
            </w:r>
          </w:p>
          <w:p w14:paraId="5761F8E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Indigenous staff in GBRMPA, QPWS and other management agencies in the GBR Region provide a vital core of skill and expertise in Indigenous heritage knowledge and management.</w:t>
            </w:r>
          </w:p>
          <w:p w14:paraId="5761F8EE" w14:textId="5938E2BA"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is no overall skill set and consistent training of GBRMPA staff in addressing Indigenous Heritage</w:t>
            </w:r>
            <w:r>
              <w:rPr>
                <w:rFonts w:ascii="Arial Narrow" w:eastAsia="Calibri" w:hAnsi="Arial Narrow"/>
                <w:sz w:val="18"/>
                <w:szCs w:val="18"/>
              </w:rPr>
              <w:t xml:space="preserve"> and cultural awareness</w:t>
            </w:r>
            <w:r w:rsidRPr="00E70A11">
              <w:rPr>
                <w:rFonts w:ascii="Arial Narrow" w:eastAsia="Calibri" w:hAnsi="Arial Narrow"/>
                <w:sz w:val="18"/>
                <w:szCs w:val="18"/>
              </w:rPr>
              <w:t>. Staff from GBRMPA’s former Indigenous Partnerships Unit are now dispersed through the Agency and the effect of this organisation change on capacity is not yet known.</w:t>
            </w:r>
          </w:p>
          <w:p w14:paraId="5761F8E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 comprehensive Cultural Capability Framework is recognised as a gap within GBRMPA.</w:t>
            </w:r>
          </w:p>
          <w:p w14:paraId="5761F8F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Over 100 QPWS staff have been trained in cultural capacity as part of the Cultural Capability Framework</w:t>
            </w:r>
          </w:p>
          <w:p w14:paraId="5761F8F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Land and Sea Ranger Programs and Indigenous Ranger Program continue to employ and train Indigenous Rangers to work in the Region. There will be a continuing need to close the gaps in education and employment, especially in Indigenous people gaining higher level positions.</w:t>
            </w:r>
          </w:p>
          <w:p w14:paraId="5761F8F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 2015-2017 GBRMPA developed and delivered a contextualised Specialised Indigenous Ranger Program in partnership with Indigenous Ranger Groups and PM&amp;C (see IN1). This involved guiding over 20 Indigenous rangers (external to GBRMPA) to achieve a Certificate IV in Government (Statutory Compliance)</w:t>
            </w:r>
            <w:r>
              <w:rPr>
                <w:rFonts w:ascii="Arial Narrow" w:eastAsia="Calibri" w:hAnsi="Arial Narrow"/>
                <w:sz w:val="18"/>
                <w:szCs w:val="18"/>
              </w:rPr>
              <w:t>.</w:t>
            </w:r>
          </w:p>
        </w:tc>
        <w:tc>
          <w:tcPr>
            <w:tcW w:w="4926" w:type="dxa"/>
            <w:tcBorders>
              <w:top w:val="single" w:sz="4" w:space="0" w:color="auto"/>
              <w:left w:val="single" w:sz="4" w:space="0" w:color="auto"/>
              <w:bottom w:val="single" w:sz="4" w:space="0" w:color="auto"/>
              <w:right w:val="single" w:sz="4" w:space="0" w:color="auto"/>
            </w:tcBorders>
          </w:tcPr>
          <w:p w14:paraId="5761F8F3" w14:textId="77777777" w:rsidR="00A56EE9" w:rsidRPr="00E70A11" w:rsidRDefault="00A56EE9" w:rsidP="00A11869">
            <w:pPr>
              <w:pStyle w:val="ListParagraph"/>
              <w:numPr>
                <w:ilvl w:val="0"/>
                <w:numId w:val="24"/>
              </w:numPr>
              <w:spacing w:after="200" w:line="240" w:lineRule="auto"/>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See also CO1</w:t>
            </w:r>
          </w:p>
          <w:p w14:paraId="5761F8F4" w14:textId="77777777" w:rsidR="00A56EE9" w:rsidRPr="00E70A11" w:rsidRDefault="008B5998" w:rsidP="00A11869">
            <w:pPr>
              <w:pStyle w:val="ListParagraph"/>
              <w:numPr>
                <w:ilvl w:val="0"/>
                <w:numId w:val="24"/>
              </w:numPr>
              <w:spacing w:after="200" w:line="240" w:lineRule="auto"/>
              <w:rPr>
                <w:rFonts w:ascii="Arial Narrow" w:hAnsi="Arial Narrow"/>
                <w:sz w:val="18"/>
                <w:szCs w:val="18"/>
              </w:rPr>
            </w:pPr>
            <w:hyperlink r:id="rId1081" w:history="1">
              <w:r w:rsidR="00A56EE9" w:rsidRPr="00E70A11">
                <w:rPr>
                  <w:rStyle w:val="Hyperlink"/>
                  <w:rFonts w:ascii="Arial Narrow" w:hAnsi="Arial Narrow"/>
                  <w:sz w:val="18"/>
                  <w:szCs w:val="18"/>
                </w:rPr>
                <w:t>Operational Review final report</w:t>
              </w:r>
            </w:hyperlink>
          </w:p>
          <w:p w14:paraId="5761F8F5" w14:textId="77777777" w:rsidR="00A56EE9" w:rsidRPr="00E70A11" w:rsidRDefault="00A56EE9" w:rsidP="00A11869">
            <w:pPr>
              <w:pStyle w:val="ListParagraph"/>
              <w:numPr>
                <w:ilvl w:val="0"/>
                <w:numId w:val="24"/>
              </w:numPr>
              <w:spacing w:after="200" w:line="240" w:lineRule="auto"/>
              <w:rPr>
                <w:rFonts w:ascii="Arial Narrow" w:hAnsi="Arial Narrow"/>
                <w:sz w:val="18"/>
                <w:szCs w:val="18"/>
                <w:u w:val="single"/>
              </w:rPr>
            </w:pPr>
            <w:r w:rsidRPr="00E70A11">
              <w:rPr>
                <w:rFonts w:ascii="Arial Narrow" w:hAnsi="Arial Narrow"/>
                <w:sz w:val="18"/>
                <w:szCs w:val="18"/>
              </w:rPr>
              <w:t xml:space="preserve">Staff Survey Reconciliation Action Plan – identifies areas for skill and expertise improvement </w:t>
            </w:r>
          </w:p>
          <w:p w14:paraId="5761F8F6"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Information from workshops and discussions</w:t>
            </w:r>
          </w:p>
          <w:p w14:paraId="5761F8F7" w14:textId="77777777" w:rsidR="00A56EE9" w:rsidRPr="00E70A11" w:rsidRDefault="00A56EE9" w:rsidP="00BB6AD5">
            <w:pPr>
              <w:ind w:left="360"/>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8F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8F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04"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8F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IN4</w:t>
            </w:r>
            <w:r>
              <w:rPr>
                <w:rFonts w:ascii="Arial Narrow" w:hAnsi="Arial Narrow"/>
                <w:sz w:val="18"/>
                <w:szCs w:val="18"/>
              </w:rPr>
              <w:t xml:space="preserve"> </w:t>
            </w:r>
            <w:r w:rsidRPr="00E70A11">
              <w:rPr>
                <w:rFonts w:ascii="Arial Narrow" w:hAnsi="Arial Narrow"/>
                <w:sz w:val="18"/>
                <w:szCs w:val="18"/>
              </w:rPr>
              <w:t>The necessary biophysical information is currently available to address Indigenous heritage</w:t>
            </w:r>
          </w:p>
        </w:tc>
        <w:tc>
          <w:tcPr>
            <w:tcW w:w="643" w:type="dxa"/>
            <w:tcBorders>
              <w:top w:val="single" w:sz="4" w:space="0" w:color="auto"/>
              <w:left w:val="single" w:sz="4" w:space="0" w:color="auto"/>
              <w:bottom w:val="single" w:sz="4" w:space="0" w:color="auto"/>
              <w:right w:val="single" w:sz="4" w:space="0" w:color="auto"/>
            </w:tcBorders>
          </w:tcPr>
          <w:p w14:paraId="5761F8F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8F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Information about physical location of specific Indigenous Heritage values is improving but remains limited and some remains confidential.</w:t>
            </w:r>
            <w:r w:rsidRPr="00E70A11">
              <w:rPr>
                <w:rFonts w:ascii="Arial Narrow" w:hAnsi="Arial Narrow"/>
                <w:sz w:val="18"/>
                <w:szCs w:val="18"/>
                <w:lang w:eastAsia="en-AU"/>
              </w:rPr>
              <w:t xml:space="preserve"> </w:t>
            </w:r>
            <w:r w:rsidRPr="00E70A11">
              <w:rPr>
                <w:rFonts w:ascii="Arial Narrow" w:eastAsia="Calibri" w:hAnsi="Arial Narrow"/>
                <w:sz w:val="18"/>
                <w:szCs w:val="18"/>
              </w:rPr>
              <w:t xml:space="preserve">Indigenous heritage includes natural heritage values (such as biodiversity and ecosystem health). Therefore, any biophysical information relevant to species or habitats is important to Indigenous Heritage. </w:t>
            </w:r>
          </w:p>
          <w:p w14:paraId="5761F8F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Mapping of values of the Woppuburra people provides a useful model</w:t>
            </w:r>
          </w:p>
        </w:tc>
        <w:tc>
          <w:tcPr>
            <w:tcW w:w="4926" w:type="dxa"/>
            <w:tcBorders>
              <w:top w:val="single" w:sz="4" w:space="0" w:color="auto"/>
              <w:left w:val="single" w:sz="4" w:space="0" w:color="auto"/>
              <w:bottom w:val="single" w:sz="4" w:space="0" w:color="auto"/>
              <w:right w:val="single" w:sz="4" w:space="0" w:color="auto"/>
            </w:tcBorders>
          </w:tcPr>
          <w:p w14:paraId="5761F8FF"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See CO1</w:t>
            </w:r>
          </w:p>
          <w:p w14:paraId="5761F900"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hAnsi="Arial Narrow"/>
                <w:sz w:val="18"/>
                <w:szCs w:val="18"/>
              </w:rPr>
            </w:pPr>
            <w:hyperlink r:id="rId1082" w:history="1">
              <w:r w:rsidR="00A56EE9" w:rsidRPr="00E70A11">
                <w:rPr>
                  <w:rStyle w:val="Hyperlink"/>
                  <w:rFonts w:ascii="Arial Narrow" w:hAnsi="Arial Narrow"/>
                  <w:sz w:val="18"/>
                  <w:szCs w:val="18"/>
                </w:rPr>
                <w:t xml:space="preserve"> Guidelines: Woppaburra Traditional Owner Heritage</w:t>
              </w:r>
            </w:hyperlink>
            <w:r w:rsidR="00A56EE9" w:rsidRPr="00E70A11">
              <w:rPr>
                <w:rStyle w:val="Hyperlink"/>
                <w:rFonts w:ascii="Arial Narrow" w:hAnsi="Arial Narrow"/>
                <w:sz w:val="18"/>
                <w:szCs w:val="18"/>
              </w:rPr>
              <w:t xml:space="preserve"> Assessment</w:t>
            </w:r>
          </w:p>
          <w:p w14:paraId="5761F901" w14:textId="77777777" w:rsidR="00A56EE9" w:rsidRPr="00E70A11" w:rsidRDefault="00A56EE9" w:rsidP="00BB6AD5">
            <w:pPr>
              <w:rPr>
                <w:rStyle w:val="Hyperlink"/>
                <w:rFonts w:ascii="Arial Narrow" w:hAnsi="Arial Narrow"/>
                <w:sz w:val="18"/>
                <w:szCs w:val="18"/>
                <w:lang w:eastAsia="en-AU"/>
              </w:rPr>
            </w:pPr>
          </w:p>
        </w:tc>
        <w:tc>
          <w:tcPr>
            <w:tcW w:w="980" w:type="dxa"/>
            <w:tcBorders>
              <w:top w:val="single" w:sz="4" w:space="0" w:color="auto"/>
              <w:left w:val="single" w:sz="4" w:space="0" w:color="auto"/>
              <w:bottom w:val="single" w:sz="4" w:space="0" w:color="auto"/>
              <w:right w:val="single" w:sz="4" w:space="0" w:color="auto"/>
            </w:tcBorders>
          </w:tcPr>
          <w:p w14:paraId="5761F90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865" w:type="dxa"/>
            <w:tcBorders>
              <w:top w:val="single" w:sz="4" w:space="0" w:color="auto"/>
              <w:left w:val="single" w:sz="4" w:space="0" w:color="auto"/>
              <w:bottom w:val="single" w:sz="4" w:space="0" w:color="auto"/>
              <w:right w:val="single" w:sz="4" w:space="0" w:color="auto"/>
            </w:tcBorders>
          </w:tcPr>
          <w:p w14:paraId="5761F90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0C"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0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IN5</w:t>
            </w:r>
            <w:r>
              <w:rPr>
                <w:rFonts w:ascii="Arial Narrow" w:hAnsi="Arial Narrow"/>
                <w:sz w:val="18"/>
                <w:szCs w:val="18"/>
              </w:rPr>
              <w:t xml:space="preserve"> </w:t>
            </w:r>
            <w:r w:rsidRPr="00E70A11">
              <w:rPr>
                <w:rFonts w:ascii="Arial Narrow" w:hAnsi="Arial Narrow"/>
                <w:sz w:val="18"/>
                <w:szCs w:val="18"/>
              </w:rPr>
              <w:t>The necessary socio-economic information is currently available to address Indigenous heritage</w:t>
            </w:r>
          </w:p>
        </w:tc>
        <w:tc>
          <w:tcPr>
            <w:tcW w:w="643" w:type="dxa"/>
            <w:tcBorders>
              <w:top w:val="single" w:sz="4" w:space="0" w:color="auto"/>
              <w:left w:val="single" w:sz="4" w:space="0" w:color="auto"/>
              <w:bottom w:val="single" w:sz="4" w:space="0" w:color="auto"/>
              <w:right w:val="single" w:sz="4" w:space="0" w:color="auto"/>
            </w:tcBorders>
          </w:tcPr>
          <w:p w14:paraId="5761F90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4444" w:type="dxa"/>
            <w:tcBorders>
              <w:top w:val="single" w:sz="4" w:space="0" w:color="auto"/>
              <w:left w:val="single" w:sz="4" w:space="0" w:color="auto"/>
              <w:bottom w:val="single" w:sz="4" w:space="0" w:color="auto"/>
              <w:right w:val="single" w:sz="4" w:space="0" w:color="auto"/>
            </w:tcBorders>
          </w:tcPr>
          <w:p w14:paraId="5761F907" w14:textId="77777777" w:rsidR="00A56EE9" w:rsidRPr="00E70A11" w:rsidRDefault="00A56EE9" w:rsidP="00A11869">
            <w:pPr>
              <w:pStyle w:val="ListParagraph"/>
              <w:numPr>
                <w:ilvl w:val="0"/>
                <w:numId w:val="24"/>
              </w:numPr>
              <w:spacing w:after="0" w:line="276" w:lineRule="auto"/>
              <w:rPr>
                <w:rFonts w:ascii="Arial Narrow" w:eastAsia="Calibri" w:hAnsi="Arial Narrow"/>
                <w:sz w:val="18"/>
                <w:szCs w:val="18"/>
              </w:rPr>
            </w:pPr>
            <w:r w:rsidRPr="00E70A11">
              <w:rPr>
                <w:rFonts w:ascii="Arial Narrow" w:eastAsia="Calibri" w:hAnsi="Arial Narrow"/>
                <w:sz w:val="18"/>
                <w:szCs w:val="18"/>
              </w:rPr>
              <w:t>As part of RIMReP, the Authority has funded social and economic monitoring under SELTMP (CSIRO’s Social and Economic Long Term Monitoring Program). New questions were inserted in 2017 to improve our knowledge of the wider community’s perceptions and understanding of GBR heritage (including cultural heritage). Results from SELTMP 2017 are due to be reported in December, and will include an online dashboard for exploring the data.</w:t>
            </w:r>
          </w:p>
        </w:tc>
        <w:tc>
          <w:tcPr>
            <w:tcW w:w="4926" w:type="dxa"/>
            <w:tcBorders>
              <w:top w:val="single" w:sz="4" w:space="0" w:color="auto"/>
              <w:left w:val="single" w:sz="4" w:space="0" w:color="auto"/>
              <w:bottom w:val="single" w:sz="4" w:space="0" w:color="auto"/>
              <w:right w:val="single" w:sz="4" w:space="0" w:color="auto"/>
            </w:tcBorders>
          </w:tcPr>
          <w:p w14:paraId="5761F90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RIMREP: DMS4 – formalised culturally appropriate methodology to manage Indigenous heritage</w:t>
            </w:r>
          </w:p>
          <w:p w14:paraId="5761F90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RIMREP: Indigenous Heritage Expert Working Group (Indicators for Indigenous heritage)</w:t>
            </w:r>
          </w:p>
        </w:tc>
        <w:tc>
          <w:tcPr>
            <w:tcW w:w="980" w:type="dxa"/>
            <w:tcBorders>
              <w:top w:val="single" w:sz="4" w:space="0" w:color="auto"/>
              <w:left w:val="single" w:sz="4" w:space="0" w:color="auto"/>
              <w:bottom w:val="single" w:sz="4" w:space="0" w:color="auto"/>
              <w:right w:val="single" w:sz="4" w:space="0" w:color="auto"/>
            </w:tcBorders>
          </w:tcPr>
          <w:p w14:paraId="5761F90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90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17"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0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IN6</w:t>
            </w:r>
            <w:r>
              <w:rPr>
                <w:rFonts w:ascii="Arial Narrow" w:hAnsi="Arial Narrow"/>
                <w:sz w:val="18"/>
                <w:szCs w:val="18"/>
              </w:rPr>
              <w:t xml:space="preserve"> </w:t>
            </w:r>
            <w:r w:rsidRPr="00E70A11">
              <w:rPr>
                <w:rFonts w:ascii="Arial Narrow" w:hAnsi="Arial Narrow"/>
                <w:sz w:val="18"/>
                <w:szCs w:val="18"/>
              </w:rPr>
              <w:t>The necessary Indigenous heritage information is currently available to address Indigenous heritage</w:t>
            </w:r>
          </w:p>
        </w:tc>
        <w:tc>
          <w:tcPr>
            <w:tcW w:w="643" w:type="dxa"/>
            <w:tcBorders>
              <w:top w:val="single" w:sz="4" w:space="0" w:color="auto"/>
              <w:left w:val="single" w:sz="4" w:space="0" w:color="auto"/>
              <w:bottom w:val="single" w:sz="4" w:space="0" w:color="auto"/>
              <w:right w:val="single" w:sz="4" w:space="0" w:color="auto"/>
            </w:tcBorders>
          </w:tcPr>
          <w:p w14:paraId="5761F90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0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Co1</w:t>
            </w:r>
          </w:p>
          <w:p w14:paraId="5761F91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This has been improved since 2014, however much Indigenous Heritage information is retained and shared by Traditional Owners with their family group. Not all knowledge needs to be shared widely, GBRMPA now has a fully functioning Cultural Knowledge Management System, which will enable GBRMPA and Traditional Owners (with password access) to store culturally sensitive information relevant to different Traditional Owner groups (e.g. story lines, voice recordings, sensitive locations). </w:t>
            </w:r>
          </w:p>
          <w:p w14:paraId="5761F91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GBRMPA is developing a Cultural Protocol for use by staff and Data Sharing Agreement template to negotiate the sharing of Indigenous heritage values by Traditional Owner groups. </w:t>
            </w:r>
          </w:p>
          <w:p w14:paraId="5761F91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Woppaburra heritage assessment guidelines and case study provide location specific information about their heritage values. </w:t>
            </w:r>
          </w:p>
        </w:tc>
        <w:tc>
          <w:tcPr>
            <w:tcW w:w="4926" w:type="dxa"/>
            <w:tcBorders>
              <w:top w:val="single" w:sz="4" w:space="0" w:color="auto"/>
              <w:left w:val="single" w:sz="4" w:space="0" w:color="auto"/>
              <w:bottom w:val="single" w:sz="4" w:space="0" w:color="auto"/>
              <w:right w:val="single" w:sz="4" w:space="0" w:color="auto"/>
            </w:tcBorders>
          </w:tcPr>
          <w:p w14:paraId="5761F91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Woppaburra Guidelines: http://elibrary.gbrmpa.gov.au/jspui/handle/11017/3215</w:t>
            </w:r>
          </w:p>
          <w:p w14:paraId="5761F91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Cultural Knowledge Management System implementation and upgrade</w:t>
            </w:r>
          </w:p>
        </w:tc>
        <w:tc>
          <w:tcPr>
            <w:tcW w:w="980" w:type="dxa"/>
            <w:tcBorders>
              <w:top w:val="single" w:sz="4" w:space="0" w:color="auto"/>
              <w:left w:val="single" w:sz="4" w:space="0" w:color="auto"/>
              <w:bottom w:val="single" w:sz="4" w:space="0" w:color="auto"/>
              <w:right w:val="single" w:sz="4" w:space="0" w:color="auto"/>
            </w:tcBorders>
          </w:tcPr>
          <w:p w14:paraId="5761F91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865" w:type="dxa"/>
            <w:tcBorders>
              <w:top w:val="single" w:sz="4" w:space="0" w:color="auto"/>
              <w:left w:val="single" w:sz="4" w:space="0" w:color="auto"/>
              <w:bottom w:val="single" w:sz="4" w:space="0" w:color="auto"/>
              <w:right w:val="single" w:sz="4" w:space="0" w:color="auto"/>
            </w:tcBorders>
          </w:tcPr>
          <w:p w14:paraId="5761F91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1E"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1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IN7</w:t>
            </w:r>
            <w:r>
              <w:rPr>
                <w:rFonts w:ascii="Arial Narrow" w:hAnsi="Arial Narrow"/>
                <w:sz w:val="18"/>
                <w:szCs w:val="18"/>
              </w:rPr>
              <w:t xml:space="preserve"> </w:t>
            </w:r>
            <w:r w:rsidRPr="00E70A11">
              <w:rPr>
                <w:rFonts w:ascii="Arial Narrow" w:hAnsi="Arial Narrow"/>
                <w:sz w:val="18"/>
                <w:szCs w:val="18"/>
              </w:rPr>
              <w:t>The necessary historic heritage information is currently available to address Indigenous heritage</w:t>
            </w:r>
          </w:p>
        </w:tc>
        <w:tc>
          <w:tcPr>
            <w:tcW w:w="643" w:type="dxa"/>
            <w:tcBorders>
              <w:top w:val="single" w:sz="4" w:space="0" w:color="auto"/>
              <w:left w:val="single" w:sz="4" w:space="0" w:color="auto"/>
              <w:bottom w:val="single" w:sz="4" w:space="0" w:color="auto"/>
              <w:right w:val="single" w:sz="4" w:space="0" w:color="auto"/>
            </w:tcBorders>
          </w:tcPr>
          <w:p w14:paraId="5761F919" w14:textId="77777777" w:rsidR="00A56EE9" w:rsidRPr="00E70A11" w:rsidRDefault="00A56EE9" w:rsidP="00BB6AD5">
            <w:pPr>
              <w:rPr>
                <w:rFonts w:ascii="Arial Narrow" w:hAnsi="Arial Narrow"/>
                <w:sz w:val="18"/>
                <w:szCs w:val="18"/>
              </w:rPr>
            </w:pPr>
          </w:p>
        </w:tc>
        <w:tc>
          <w:tcPr>
            <w:tcW w:w="4444" w:type="dxa"/>
            <w:tcBorders>
              <w:top w:val="single" w:sz="4" w:space="0" w:color="auto"/>
              <w:left w:val="single" w:sz="4" w:space="0" w:color="auto"/>
              <w:bottom w:val="single" w:sz="4" w:space="0" w:color="auto"/>
              <w:right w:val="single" w:sz="4" w:space="0" w:color="auto"/>
            </w:tcBorders>
          </w:tcPr>
          <w:p w14:paraId="5761F91A" w14:textId="77777777" w:rsidR="00A56EE9" w:rsidRPr="00E70A11" w:rsidRDefault="00A56EE9" w:rsidP="00BB6AD5">
            <w:pPr>
              <w:contextualSpacing/>
              <w:rPr>
                <w:rFonts w:ascii="Arial Narrow" w:eastAsia="Calibri" w:hAnsi="Arial Narrow"/>
                <w:sz w:val="18"/>
                <w:szCs w:val="18"/>
              </w:rPr>
            </w:pPr>
            <w:r w:rsidRPr="00E70A11">
              <w:rPr>
                <w:rFonts w:ascii="Arial Narrow" w:eastAsia="Calibri" w:hAnsi="Arial Narrow"/>
                <w:sz w:val="18"/>
                <w:szCs w:val="18"/>
              </w:rPr>
              <w:t>n/a</w:t>
            </w:r>
          </w:p>
        </w:tc>
        <w:tc>
          <w:tcPr>
            <w:tcW w:w="4926" w:type="dxa"/>
            <w:tcBorders>
              <w:top w:val="single" w:sz="4" w:space="0" w:color="auto"/>
              <w:left w:val="single" w:sz="4" w:space="0" w:color="auto"/>
              <w:bottom w:val="single" w:sz="4" w:space="0" w:color="auto"/>
              <w:right w:val="single" w:sz="4" w:space="0" w:color="auto"/>
            </w:tcBorders>
          </w:tcPr>
          <w:p w14:paraId="5761F91B" w14:textId="77777777" w:rsidR="00A56EE9" w:rsidRPr="00E70A11" w:rsidRDefault="00A56EE9" w:rsidP="00BB6AD5">
            <w:pPr>
              <w:ind w:left="360"/>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91C" w14:textId="77777777" w:rsidR="00A56EE9" w:rsidRPr="00E70A11" w:rsidRDefault="00A56EE9" w:rsidP="00BB6AD5">
            <w:pPr>
              <w:rPr>
                <w:rFonts w:ascii="Arial Narrow" w:hAnsi="Arial Narrow"/>
                <w:sz w:val="18"/>
                <w:szCs w:val="18"/>
              </w:rPr>
            </w:pPr>
          </w:p>
        </w:tc>
        <w:tc>
          <w:tcPr>
            <w:tcW w:w="865" w:type="dxa"/>
            <w:tcBorders>
              <w:top w:val="single" w:sz="4" w:space="0" w:color="auto"/>
              <w:left w:val="single" w:sz="4" w:space="0" w:color="auto"/>
              <w:bottom w:val="single" w:sz="4" w:space="0" w:color="auto"/>
              <w:right w:val="single" w:sz="4" w:space="0" w:color="auto"/>
            </w:tcBorders>
          </w:tcPr>
          <w:p w14:paraId="5761F91D" w14:textId="77777777" w:rsidR="00A56EE9" w:rsidRPr="00E70A11" w:rsidRDefault="00A56EE9" w:rsidP="00BB6AD5">
            <w:pPr>
              <w:rPr>
                <w:rFonts w:ascii="Arial Narrow" w:hAnsi="Arial Narrow"/>
                <w:sz w:val="18"/>
                <w:szCs w:val="18"/>
              </w:rPr>
            </w:pPr>
          </w:p>
        </w:tc>
      </w:tr>
      <w:tr w:rsidR="00A56EE9" w:rsidRPr="00E70A11" w14:paraId="5761F928"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shd w:val="clear" w:color="auto" w:fill="auto"/>
          </w:tcPr>
          <w:p w14:paraId="5761F91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IN8</w:t>
            </w:r>
            <w:r>
              <w:rPr>
                <w:rFonts w:ascii="Arial Narrow" w:hAnsi="Arial Narrow"/>
                <w:sz w:val="18"/>
                <w:szCs w:val="18"/>
              </w:rPr>
              <w:t xml:space="preserve"> </w:t>
            </w:r>
            <w:r w:rsidRPr="00E70A11">
              <w:rPr>
                <w:rFonts w:ascii="Arial Narrow" w:hAnsi="Arial Narrow"/>
                <w:sz w:val="18"/>
                <w:szCs w:val="18"/>
              </w:rPr>
              <w:t>There are additional sources of non-government input (e.g. volunteers) contributing to address Indigenous heritage</w:t>
            </w:r>
          </w:p>
        </w:tc>
        <w:tc>
          <w:tcPr>
            <w:tcW w:w="643" w:type="dxa"/>
            <w:tcBorders>
              <w:top w:val="single" w:sz="4" w:space="0" w:color="auto"/>
              <w:left w:val="single" w:sz="4" w:space="0" w:color="auto"/>
              <w:bottom w:val="single" w:sz="4" w:space="0" w:color="auto"/>
              <w:right w:val="single" w:sz="4" w:space="0" w:color="auto"/>
            </w:tcBorders>
          </w:tcPr>
          <w:p w14:paraId="5761F92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2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Traditional Owners contribute many efforts to protect their sea country through their own organisations and also including participating in Eyes and Ears compliance network, beach clean-ups and restoration.</w:t>
            </w:r>
            <w:r w:rsidRPr="00E70A11">
              <w:rPr>
                <w:rFonts w:ascii="Arial Narrow" w:hAnsi="Arial Narrow"/>
                <w:sz w:val="18"/>
                <w:szCs w:val="18"/>
                <w:lang w:eastAsia="en-AU"/>
              </w:rPr>
              <w:t xml:space="preserve"> </w:t>
            </w:r>
          </w:p>
          <w:p w14:paraId="5761F92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 2015-16 and 16-17 GBRMPA partnered with Tangaroa Blue to deliver marine debris clean up training to several TUMRA groups and Indigenous Ranger groups.</w:t>
            </w:r>
          </w:p>
          <w:p w14:paraId="5761F92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Non-government organisations support some Indigenous rangers and other efforts towards people working on and caring for their country.</w:t>
            </w:r>
          </w:p>
        </w:tc>
        <w:tc>
          <w:tcPr>
            <w:tcW w:w="4926" w:type="dxa"/>
            <w:tcBorders>
              <w:top w:val="single" w:sz="4" w:space="0" w:color="auto"/>
              <w:left w:val="single" w:sz="4" w:space="0" w:color="auto"/>
              <w:bottom w:val="single" w:sz="4" w:space="0" w:color="auto"/>
              <w:right w:val="single" w:sz="4" w:space="0" w:color="auto"/>
            </w:tcBorders>
          </w:tcPr>
          <w:p w14:paraId="5761F924"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 xml:space="preserve">Land and sea Country Partnerships Annual Reports </w:t>
            </w:r>
          </w:p>
          <w:p w14:paraId="5761F925" w14:textId="77777777" w:rsidR="00A56EE9" w:rsidRPr="00E70A11" w:rsidRDefault="008B5998" w:rsidP="00A11869">
            <w:pPr>
              <w:pStyle w:val="ListParagraph"/>
              <w:numPr>
                <w:ilvl w:val="0"/>
                <w:numId w:val="24"/>
              </w:numPr>
              <w:spacing w:after="200" w:line="240" w:lineRule="auto"/>
              <w:rPr>
                <w:rFonts w:ascii="Arial Narrow" w:eastAsia="Calibri" w:hAnsi="Arial Narrow"/>
                <w:sz w:val="18"/>
                <w:szCs w:val="18"/>
              </w:rPr>
            </w:pPr>
            <w:hyperlink r:id="rId1083" w:history="1">
              <w:r w:rsidR="00A56EE9" w:rsidRPr="00E70A11">
                <w:rPr>
                  <w:rStyle w:val="Hyperlink"/>
                  <w:rFonts w:ascii="Arial Narrow" w:hAnsi="Arial Narrow"/>
                  <w:sz w:val="18"/>
                  <w:szCs w:val="18"/>
                </w:rPr>
                <w:t>Tangaroa Blue Report</w:t>
              </w:r>
            </w:hyperlink>
            <w:r w:rsidR="00A56EE9" w:rsidRPr="00E70A11">
              <w:rPr>
                <w:rFonts w:ascii="Arial Narrow" w:hAnsi="Arial Narrow"/>
                <w:sz w:val="18"/>
                <w:szCs w:val="18"/>
              </w:rPr>
              <w:t xml:space="preserve"> – Marine Debris Training</w:t>
            </w:r>
          </w:p>
        </w:tc>
        <w:tc>
          <w:tcPr>
            <w:tcW w:w="980" w:type="dxa"/>
            <w:tcBorders>
              <w:top w:val="single" w:sz="4" w:space="0" w:color="auto"/>
              <w:left w:val="single" w:sz="4" w:space="0" w:color="auto"/>
              <w:bottom w:val="single" w:sz="4" w:space="0" w:color="auto"/>
              <w:right w:val="single" w:sz="4" w:space="0" w:color="auto"/>
            </w:tcBorders>
          </w:tcPr>
          <w:p w14:paraId="5761F92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865" w:type="dxa"/>
            <w:tcBorders>
              <w:top w:val="single" w:sz="4" w:space="0" w:color="auto"/>
              <w:left w:val="single" w:sz="4" w:space="0" w:color="auto"/>
              <w:bottom w:val="single" w:sz="4" w:space="0" w:color="auto"/>
              <w:right w:val="single" w:sz="4" w:space="0" w:color="auto"/>
            </w:tcBorders>
          </w:tcPr>
          <w:p w14:paraId="5761F92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2F"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shd w:val="clear" w:color="auto" w:fill="E7E6E6"/>
          </w:tcPr>
          <w:p w14:paraId="5761F92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PROCESSES</w:t>
            </w:r>
          </w:p>
        </w:tc>
        <w:tc>
          <w:tcPr>
            <w:tcW w:w="643" w:type="dxa"/>
            <w:tcBorders>
              <w:top w:val="single" w:sz="4" w:space="0" w:color="auto"/>
              <w:left w:val="single" w:sz="4" w:space="0" w:color="auto"/>
              <w:bottom w:val="single" w:sz="4" w:space="0" w:color="auto"/>
              <w:right w:val="single" w:sz="4" w:space="0" w:color="auto"/>
            </w:tcBorders>
            <w:shd w:val="clear" w:color="auto" w:fill="E7E6E6"/>
          </w:tcPr>
          <w:p w14:paraId="5761F92A" w14:textId="77777777" w:rsidR="00A56EE9" w:rsidRPr="00E70A11" w:rsidRDefault="00A56EE9" w:rsidP="00BB6AD5">
            <w:pPr>
              <w:rPr>
                <w:rFonts w:ascii="Arial Narrow" w:hAnsi="Arial Narrow"/>
                <w:sz w:val="18"/>
                <w:szCs w:val="18"/>
              </w:rPr>
            </w:pPr>
          </w:p>
        </w:tc>
        <w:tc>
          <w:tcPr>
            <w:tcW w:w="4444" w:type="dxa"/>
            <w:tcBorders>
              <w:top w:val="single" w:sz="4" w:space="0" w:color="auto"/>
              <w:left w:val="single" w:sz="4" w:space="0" w:color="auto"/>
              <w:bottom w:val="single" w:sz="4" w:space="0" w:color="auto"/>
              <w:right w:val="single" w:sz="4" w:space="0" w:color="auto"/>
            </w:tcBorders>
            <w:shd w:val="clear" w:color="auto" w:fill="E7E6E6"/>
          </w:tcPr>
          <w:p w14:paraId="5761F92B" w14:textId="77777777" w:rsidR="00A56EE9" w:rsidRPr="00E70A11" w:rsidRDefault="00A56EE9" w:rsidP="00BB6AD5">
            <w:pPr>
              <w:ind w:left="360"/>
              <w:contextualSpacing/>
              <w:rPr>
                <w:rFonts w:ascii="Arial Narrow" w:eastAsia="Calibri" w:hAnsi="Arial Narrow"/>
                <w:sz w:val="18"/>
                <w:szCs w:val="18"/>
              </w:rPr>
            </w:pPr>
          </w:p>
        </w:tc>
        <w:tc>
          <w:tcPr>
            <w:tcW w:w="4926" w:type="dxa"/>
            <w:tcBorders>
              <w:top w:val="single" w:sz="4" w:space="0" w:color="auto"/>
              <w:left w:val="single" w:sz="4" w:space="0" w:color="auto"/>
              <w:bottom w:val="single" w:sz="4" w:space="0" w:color="auto"/>
              <w:right w:val="single" w:sz="4" w:space="0" w:color="auto"/>
            </w:tcBorders>
            <w:shd w:val="clear" w:color="auto" w:fill="E7E6E6"/>
          </w:tcPr>
          <w:p w14:paraId="5761F92C" w14:textId="77777777" w:rsidR="00A56EE9" w:rsidRPr="00E70A11" w:rsidRDefault="00A56EE9" w:rsidP="00BB6AD5">
            <w:pPr>
              <w:ind w:left="360"/>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shd w:val="clear" w:color="auto" w:fill="E7E6E6"/>
          </w:tcPr>
          <w:p w14:paraId="5761F92D" w14:textId="77777777" w:rsidR="00A56EE9" w:rsidRPr="00E70A11" w:rsidRDefault="00A56EE9" w:rsidP="00BB6AD5">
            <w:pPr>
              <w:rPr>
                <w:rFonts w:ascii="Arial Narrow" w:hAnsi="Arial Narrow"/>
                <w:sz w:val="18"/>
                <w:szCs w:val="18"/>
              </w:rPr>
            </w:pPr>
          </w:p>
        </w:tc>
        <w:tc>
          <w:tcPr>
            <w:tcW w:w="865" w:type="dxa"/>
            <w:tcBorders>
              <w:top w:val="single" w:sz="4" w:space="0" w:color="auto"/>
              <w:left w:val="single" w:sz="4" w:space="0" w:color="auto"/>
              <w:bottom w:val="single" w:sz="4" w:space="0" w:color="auto"/>
              <w:right w:val="single" w:sz="4" w:space="0" w:color="auto"/>
            </w:tcBorders>
            <w:shd w:val="clear" w:color="auto" w:fill="E7E6E6"/>
          </w:tcPr>
          <w:p w14:paraId="5761F92E" w14:textId="77777777" w:rsidR="00A56EE9" w:rsidRPr="00E70A11" w:rsidRDefault="00A56EE9" w:rsidP="00BB6AD5">
            <w:pPr>
              <w:rPr>
                <w:rFonts w:ascii="Arial Narrow" w:hAnsi="Arial Narrow"/>
                <w:sz w:val="18"/>
                <w:szCs w:val="18"/>
              </w:rPr>
            </w:pPr>
          </w:p>
        </w:tc>
      </w:tr>
      <w:tr w:rsidR="00A56EE9" w:rsidRPr="00E70A11" w14:paraId="5761F945"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3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w:t>
            </w:r>
            <w:r>
              <w:rPr>
                <w:rFonts w:ascii="Arial Narrow" w:hAnsi="Arial Narrow"/>
                <w:sz w:val="18"/>
                <w:szCs w:val="18"/>
              </w:rPr>
              <w:t xml:space="preserve"> </w:t>
            </w:r>
            <w:r w:rsidRPr="00E70A11">
              <w:rPr>
                <w:rFonts w:ascii="Arial Narrow" w:hAnsi="Arial Narrow"/>
                <w:sz w:val="18"/>
                <w:szCs w:val="18"/>
              </w:rPr>
              <w:t>The main stakeholders &amp;/or industry(ies) are effectively engaged in the ongoing management of Indigenous heritage</w:t>
            </w:r>
          </w:p>
        </w:tc>
        <w:tc>
          <w:tcPr>
            <w:tcW w:w="643" w:type="dxa"/>
            <w:tcBorders>
              <w:top w:val="single" w:sz="4" w:space="0" w:color="auto"/>
              <w:left w:val="single" w:sz="4" w:space="0" w:color="auto"/>
              <w:bottom w:val="single" w:sz="4" w:space="0" w:color="auto"/>
              <w:right w:val="single" w:sz="4" w:space="0" w:color="auto"/>
            </w:tcBorders>
          </w:tcPr>
          <w:p w14:paraId="5761F93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32" w14:textId="77777777" w:rsidR="00A56EE9" w:rsidRPr="00E70A11" w:rsidRDefault="00A56EE9" w:rsidP="00A11869">
            <w:pPr>
              <w:numPr>
                <w:ilvl w:val="0"/>
                <w:numId w:val="24"/>
              </w:numPr>
              <w:spacing w:after="0" w:line="240" w:lineRule="auto"/>
              <w:contextualSpacing/>
              <w:rPr>
                <w:rFonts w:ascii="Arial Narrow" w:eastAsia="Calibri" w:hAnsi="Arial Narrow"/>
                <w:i/>
                <w:sz w:val="18"/>
                <w:szCs w:val="18"/>
              </w:rPr>
            </w:pPr>
            <w:r w:rsidRPr="00E70A11">
              <w:rPr>
                <w:rFonts w:ascii="Arial Narrow" w:eastAsia="Calibri" w:hAnsi="Arial Narrow"/>
                <w:i/>
                <w:sz w:val="18"/>
                <w:szCs w:val="18"/>
              </w:rPr>
              <w:t>TUMRAs are dealt with in separate table</w:t>
            </w:r>
          </w:p>
          <w:p w14:paraId="5761F93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Most importantly, through their own organisations and in partnership with management agencies, Traditional Owners are working to look after sea country and wildlife as well as managing their own cultural heritage. </w:t>
            </w:r>
          </w:p>
          <w:p w14:paraId="5761F93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Filed management staff work with many Traditional Owner groups in the field: “cross-decking’ inclusion of Traditional Owners on Field Management Program vessels has been a useful initiative in helping more people get onto the sea country.</w:t>
            </w:r>
          </w:p>
          <w:p w14:paraId="5761F93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Indigenous Reef Advisory Council and other fora are opportunities for Traditional Owners to provide strategic guidance on partnership matters, on sea country planning and implementation, and on capacity building.</w:t>
            </w:r>
          </w:p>
          <w:p w14:paraId="5761F93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 15-16 the GBRMPA Indigenous Partnerships section engaged with 569 Traditional Owners, equivalent to a meeting every 3.5 days.</w:t>
            </w:r>
          </w:p>
          <w:p w14:paraId="5761F93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One issue is that with tight timelines and targets, there is not sufficient leeway for GBMRPA staff to work on less formal projects, so the foundational relationship-building activities are not being maintained.</w:t>
            </w:r>
          </w:p>
          <w:p w14:paraId="5761F93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Improvements to the permission system recommend that Marine Parks permission applicants to consult directly with the relevant Traditional Owners prior to submitting their application. It is not yet known if this system will be effective.</w:t>
            </w:r>
          </w:p>
          <w:p w14:paraId="5761F93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bookmarkStart w:id="210" w:name="_Hlk506542989"/>
            <w:r w:rsidRPr="00E70A11">
              <w:rPr>
                <w:rFonts w:ascii="Arial Narrow" w:eastAsia="Calibri" w:hAnsi="Arial Narrow"/>
                <w:sz w:val="18"/>
                <w:szCs w:val="18"/>
              </w:rPr>
              <w:t>In spite of this progress, one recent study concluded that “Despite these wins, and good engagement by Commonwealth and State governments on occasions, there has been no lasting, continuously improving GBR-wide approach to engaging TOs.</w:t>
            </w:r>
            <w:r>
              <w:rPr>
                <w:rFonts w:ascii="Arial Narrow" w:eastAsia="Calibri" w:hAnsi="Arial Narrow"/>
                <w:sz w:val="18"/>
                <w:szCs w:val="18"/>
              </w:rPr>
              <w:t xml:space="preserve"> </w:t>
            </w:r>
            <w:r w:rsidRPr="00E70A11">
              <w:rPr>
                <w:rFonts w:ascii="Arial Narrow" w:eastAsia="Calibri" w:hAnsi="Arial Narrow"/>
                <w:sz w:val="18"/>
                <w:szCs w:val="18"/>
              </w:rPr>
              <w:t>(Dale et l 2016, p. 1).</w:t>
            </w:r>
            <w:bookmarkEnd w:id="210"/>
          </w:p>
        </w:tc>
        <w:tc>
          <w:tcPr>
            <w:tcW w:w="4926" w:type="dxa"/>
            <w:tcBorders>
              <w:top w:val="single" w:sz="4" w:space="0" w:color="auto"/>
              <w:left w:val="single" w:sz="4" w:space="0" w:color="auto"/>
              <w:bottom w:val="single" w:sz="4" w:space="0" w:color="auto"/>
              <w:right w:val="single" w:sz="4" w:space="0" w:color="auto"/>
            </w:tcBorders>
          </w:tcPr>
          <w:p w14:paraId="5761F93A" w14:textId="77777777" w:rsidR="00A56EE9" w:rsidRPr="00E70A11" w:rsidRDefault="00A56EE9" w:rsidP="00A11869">
            <w:pPr>
              <w:pStyle w:val="EndNoteBibliography"/>
              <w:numPr>
                <w:ilvl w:val="0"/>
                <w:numId w:val="24"/>
              </w:numPr>
              <w:spacing w:after="0"/>
              <w:ind w:left="357" w:hanging="357"/>
              <w:rPr>
                <w:rFonts w:ascii="Arial Narrow" w:hAnsi="Arial Narrow"/>
                <w:sz w:val="18"/>
                <w:szCs w:val="18"/>
              </w:rPr>
            </w:pPr>
            <w:r w:rsidRPr="00E70A11">
              <w:rPr>
                <w:rFonts w:ascii="Arial Narrow" w:hAnsi="Arial Narrow" w:cs="Calibri"/>
                <w:sz w:val="18"/>
                <w:szCs w:val="18"/>
              </w:rPr>
              <w:fldChar w:fldCharType="begin"/>
            </w:r>
            <w:r w:rsidRPr="00E70A11">
              <w:rPr>
                <w:rFonts w:ascii="Arial Narrow" w:hAnsi="Arial Narrow"/>
                <w:sz w:val="18"/>
                <w:szCs w:val="18"/>
              </w:rPr>
              <w:instrText xml:space="preserve"> ADDIN EN.REFLIST </w:instrText>
            </w:r>
            <w:r w:rsidRPr="00E70A11">
              <w:rPr>
                <w:rFonts w:ascii="Arial Narrow" w:hAnsi="Arial Narrow" w:cs="Calibri"/>
                <w:sz w:val="18"/>
                <w:szCs w:val="18"/>
              </w:rPr>
              <w:fldChar w:fldCharType="separate"/>
            </w:r>
            <w:r w:rsidRPr="00E70A11">
              <w:rPr>
                <w:rFonts w:ascii="Arial Narrow" w:hAnsi="Arial Narrow"/>
                <w:sz w:val="18"/>
                <w:szCs w:val="18"/>
              </w:rPr>
              <w:t>D</w:t>
            </w:r>
            <w:r w:rsidRPr="00E70A11">
              <w:rPr>
                <w:rFonts w:ascii="Arial Narrow" w:eastAsia="Calibri" w:hAnsi="Arial Narrow"/>
                <w:noProof w:val="0"/>
                <w:sz w:val="18"/>
                <w:szCs w:val="18"/>
                <w:lang w:val="en-AU"/>
              </w:rPr>
              <w:t xml:space="preserve">ale, A., George, M., Hill, R. &amp; Fraser, D. (2016) Traditional </w:t>
            </w:r>
            <w:r w:rsidRPr="00E70A11">
              <w:rPr>
                <w:rFonts w:ascii="Arial Narrow" w:eastAsia="Calibri" w:hAnsi="Arial Narrow"/>
                <w:i/>
                <w:noProof w:val="0"/>
                <w:sz w:val="18"/>
                <w:szCs w:val="18"/>
                <w:lang w:val="en-AU"/>
              </w:rPr>
              <w:t>Owners and Sea Country in the Southern Great Barrier Reef – Which Way Forward?</w:t>
            </w:r>
            <w:r w:rsidRPr="00E70A11">
              <w:rPr>
                <w:rFonts w:ascii="Arial Narrow" w:eastAsia="Calibri" w:hAnsi="Arial Narrow"/>
                <w:noProof w:val="0"/>
                <w:sz w:val="18"/>
                <w:szCs w:val="18"/>
                <w:lang w:val="en-AU"/>
              </w:rPr>
              <w:t xml:space="preserve">, Report to the National Environmental Science Programme, Cairns </w:t>
            </w:r>
          </w:p>
          <w:p w14:paraId="5761F93B"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hAnsi="Arial Narrow"/>
                <w:sz w:val="18"/>
                <w:szCs w:val="18"/>
              </w:rPr>
              <w:fldChar w:fldCharType="end"/>
            </w:r>
            <w:r w:rsidRPr="00E70A11">
              <w:rPr>
                <w:rFonts w:ascii="Arial Narrow" w:eastAsia="Calibri" w:hAnsi="Arial Narrow"/>
                <w:sz w:val="18"/>
                <w:szCs w:val="18"/>
              </w:rPr>
              <w:t>FMP Annual reports</w:t>
            </w:r>
          </w:p>
          <w:p w14:paraId="5761F93C"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LSCP reports</w:t>
            </w:r>
          </w:p>
          <w:p w14:paraId="5761F93D" w14:textId="77777777" w:rsidR="00A56EE9" w:rsidRPr="00E70A11" w:rsidRDefault="008B5998" w:rsidP="00A11869">
            <w:pPr>
              <w:pStyle w:val="ListParagraph"/>
              <w:numPr>
                <w:ilvl w:val="0"/>
                <w:numId w:val="24"/>
              </w:numPr>
              <w:spacing w:after="0" w:line="276" w:lineRule="auto"/>
              <w:ind w:left="357" w:hanging="357"/>
              <w:rPr>
                <w:rStyle w:val="Hyperlink"/>
                <w:rFonts w:ascii="Arial Narrow" w:hAnsi="Arial Narrow"/>
                <w:sz w:val="18"/>
                <w:szCs w:val="18"/>
              </w:rPr>
            </w:pPr>
            <w:hyperlink r:id="rId1084" w:history="1">
              <w:r w:rsidR="00A56EE9" w:rsidRPr="00E70A11">
                <w:rPr>
                  <w:rStyle w:val="Hyperlink"/>
                  <w:rFonts w:ascii="Arial Narrow" w:hAnsi="Arial Narrow"/>
                  <w:sz w:val="18"/>
                  <w:szCs w:val="18"/>
                </w:rPr>
                <w:t>Indigenous Reef Advisory Committee</w:t>
              </w:r>
            </w:hyperlink>
          </w:p>
          <w:p w14:paraId="5761F93E" w14:textId="77777777" w:rsidR="00A56EE9" w:rsidRPr="00E70A11" w:rsidRDefault="00A56EE9" w:rsidP="00A11869">
            <w:pPr>
              <w:pStyle w:val="ListParagraph"/>
              <w:numPr>
                <w:ilvl w:val="0"/>
                <w:numId w:val="24"/>
              </w:numPr>
              <w:spacing w:before="40" w:after="0" w:line="240" w:lineRule="auto"/>
              <w:ind w:left="357" w:hanging="357"/>
              <w:rPr>
                <w:rFonts w:ascii="Arial Narrow" w:hAnsi="Arial Narrow"/>
                <w:sz w:val="18"/>
                <w:szCs w:val="18"/>
              </w:rPr>
            </w:pPr>
            <w:r w:rsidRPr="00E70A11">
              <w:rPr>
                <w:rFonts w:ascii="Arial Narrow" w:hAnsi="Arial Narrow"/>
                <w:sz w:val="18"/>
                <w:szCs w:val="18"/>
              </w:rPr>
              <w:t>IRAC paper - consultation on Indigenous Heritage Guidelines to guide permit assessments.</w:t>
            </w:r>
          </w:p>
          <w:p w14:paraId="5761F93F" w14:textId="77777777" w:rsidR="00A56EE9" w:rsidRPr="00E70A11" w:rsidRDefault="00A56EE9" w:rsidP="00A11869">
            <w:pPr>
              <w:pStyle w:val="ListParagraph"/>
              <w:numPr>
                <w:ilvl w:val="0"/>
                <w:numId w:val="24"/>
              </w:numPr>
              <w:spacing w:after="0" w:line="276" w:lineRule="auto"/>
              <w:ind w:left="357" w:hanging="357"/>
              <w:rPr>
                <w:rFonts w:ascii="Arial Narrow" w:eastAsia="Calibri" w:hAnsi="Arial Narrow"/>
                <w:sz w:val="18"/>
                <w:szCs w:val="18"/>
              </w:rPr>
            </w:pPr>
            <w:r w:rsidRPr="00E70A11">
              <w:rPr>
                <w:rStyle w:val="BookTitle"/>
                <w:rFonts w:ascii="Arial Narrow" w:hAnsi="Arial Narrow"/>
                <w:sz w:val="18"/>
                <w:szCs w:val="18"/>
              </w:rPr>
              <w:t xml:space="preserve">IRAC Paper on </w:t>
            </w:r>
            <w:r w:rsidRPr="00E70A11">
              <w:rPr>
                <w:rFonts w:ascii="Arial Narrow" w:hAnsi="Arial Narrow"/>
                <w:sz w:val="18"/>
                <w:szCs w:val="18"/>
              </w:rPr>
              <w:t>Aboriginal and Torres Strait Islander Heritage Strategy</w:t>
            </w:r>
          </w:p>
          <w:p w14:paraId="5761F940" w14:textId="77777777" w:rsidR="00A56EE9" w:rsidRPr="00E70A11" w:rsidRDefault="00A56EE9" w:rsidP="00A11869">
            <w:pPr>
              <w:pStyle w:val="ListParagraph"/>
              <w:numPr>
                <w:ilvl w:val="0"/>
                <w:numId w:val="24"/>
              </w:numPr>
              <w:spacing w:after="200" w:line="276" w:lineRule="auto"/>
              <w:rPr>
                <w:rFonts w:ascii="Arial Narrow" w:eastAsia="Calibri" w:hAnsi="Arial Narrow"/>
                <w:sz w:val="18"/>
                <w:szCs w:val="18"/>
              </w:rPr>
            </w:pPr>
            <w:r w:rsidRPr="00E70A11">
              <w:rPr>
                <w:rFonts w:ascii="Arial Narrow" w:eastAsia="Calibri" w:hAnsi="Arial Narrow"/>
                <w:sz w:val="18"/>
                <w:szCs w:val="18"/>
              </w:rPr>
              <w:t>Workshop discussions</w:t>
            </w:r>
          </w:p>
          <w:p w14:paraId="5761F941"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eastAsia="Calibri" w:hAnsi="Arial Narrow"/>
                <w:sz w:val="18"/>
                <w:szCs w:val="18"/>
              </w:rPr>
            </w:pPr>
            <w:hyperlink r:id="rId1085" w:history="1">
              <w:r w:rsidR="00A56EE9" w:rsidRPr="00E70A11">
                <w:rPr>
                  <w:rStyle w:val="Hyperlink"/>
                  <w:rFonts w:ascii="Arial Narrow" w:eastAsia="Calibri" w:hAnsi="Arial Narrow"/>
                  <w:sz w:val="18"/>
                  <w:szCs w:val="18"/>
                </w:rPr>
                <w:t>Yirrganydji Indigenous Land and Sea Rangers</w:t>
              </w:r>
            </w:hyperlink>
          </w:p>
          <w:p w14:paraId="5761F942" w14:textId="77777777" w:rsidR="00A56EE9" w:rsidRPr="00F758D5" w:rsidRDefault="00A56EE9" w:rsidP="00BB6AD5">
            <w:pPr>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94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94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59"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4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PR2</w:t>
            </w:r>
            <w:r>
              <w:rPr>
                <w:rFonts w:ascii="Arial Narrow" w:hAnsi="Arial Narrow"/>
                <w:sz w:val="18"/>
                <w:szCs w:val="18"/>
              </w:rPr>
              <w:t xml:space="preserve"> </w:t>
            </w:r>
            <w:r w:rsidRPr="00E70A11">
              <w:rPr>
                <w:rFonts w:ascii="Arial Narrow" w:hAnsi="Arial Narrow"/>
                <w:sz w:val="18"/>
                <w:szCs w:val="18"/>
              </w:rPr>
              <w:t>The local community is effectively engaged in the ongoing management of Indigenous heritage</w:t>
            </w:r>
          </w:p>
        </w:tc>
        <w:tc>
          <w:tcPr>
            <w:tcW w:w="643" w:type="dxa"/>
            <w:tcBorders>
              <w:top w:val="single" w:sz="4" w:space="0" w:color="auto"/>
              <w:left w:val="single" w:sz="4" w:space="0" w:color="auto"/>
              <w:bottom w:val="single" w:sz="4" w:space="0" w:color="auto"/>
              <w:right w:val="single" w:sz="4" w:space="0" w:color="auto"/>
            </w:tcBorders>
          </w:tcPr>
          <w:p w14:paraId="5761F94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4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See PR1 – the local community is predominantly the Traditional Owners in the local communities. </w:t>
            </w:r>
          </w:p>
          <w:p w14:paraId="5761F94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As discussed above, the IRAC is a primary vehicle for communication.</w:t>
            </w:r>
          </w:p>
          <w:p w14:paraId="5761F94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 2016-17 GBRMPA completed workshops to discuss Traditional Owner issues and aspirations with caring for Indigenous heritage with Woppaburra, IRAC and the Queensland Senior Ranger Forum (SEE CO5). Issues raised by Traditional Owners to date include:</w:t>
            </w:r>
          </w:p>
          <w:p w14:paraId="5761F94B" w14:textId="77777777" w:rsidR="00A56EE9" w:rsidRPr="00E70A11" w:rsidRDefault="00A56EE9" w:rsidP="00A11869">
            <w:pPr>
              <w:numPr>
                <w:ilvl w:val="0"/>
                <w:numId w:val="137"/>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Researchers and government agencies accessing Traditional Owner sea country without informing or engaging Traditional Owners</w:t>
            </w:r>
          </w:p>
          <w:p w14:paraId="5761F94C" w14:textId="77777777" w:rsidR="00A56EE9" w:rsidRPr="00E70A11" w:rsidRDefault="00A56EE9" w:rsidP="00A11869">
            <w:pPr>
              <w:numPr>
                <w:ilvl w:val="0"/>
                <w:numId w:val="137"/>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Damage to areas from tourism, development and incremental damage</w:t>
            </w:r>
          </w:p>
          <w:p w14:paraId="5761F94D" w14:textId="77777777" w:rsidR="00A56EE9" w:rsidRPr="00E70A11" w:rsidRDefault="00A56EE9" w:rsidP="00A11869">
            <w:pPr>
              <w:numPr>
                <w:ilvl w:val="0"/>
                <w:numId w:val="137"/>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Tourism infringing on native title rights (and thus cultural practices) without compensation</w:t>
            </w:r>
          </w:p>
          <w:p w14:paraId="5761F94E" w14:textId="77777777" w:rsidR="00A56EE9" w:rsidRPr="00E70A11" w:rsidRDefault="00A56EE9" w:rsidP="00A11869">
            <w:pPr>
              <w:numPr>
                <w:ilvl w:val="0"/>
                <w:numId w:val="137"/>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Lack of access, resources and funding to access and care for sites</w:t>
            </w:r>
          </w:p>
          <w:p w14:paraId="5761F94F" w14:textId="77777777" w:rsidR="00A56EE9" w:rsidRPr="00E70A11" w:rsidRDefault="00A56EE9" w:rsidP="00A11869">
            <w:pPr>
              <w:numPr>
                <w:ilvl w:val="0"/>
                <w:numId w:val="137"/>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Information management – passing on of knowledge, electronic storage of knowledge</w:t>
            </w:r>
          </w:p>
          <w:p w14:paraId="5761F950" w14:textId="77777777" w:rsidR="00A56EE9" w:rsidRPr="00E70A11" w:rsidRDefault="00A56EE9" w:rsidP="00A11869">
            <w:pPr>
              <w:numPr>
                <w:ilvl w:val="0"/>
                <w:numId w:val="137"/>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Lack of recognition of the interconnectedness of the environment, culture and people</w:t>
            </w:r>
          </w:p>
          <w:p w14:paraId="5761F951" w14:textId="77777777" w:rsidR="00A56EE9" w:rsidRPr="00E70A11" w:rsidRDefault="00A56EE9" w:rsidP="00A11869">
            <w:pPr>
              <w:numPr>
                <w:ilvl w:val="0"/>
                <w:numId w:val="137"/>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Difficulty in knowing how to report damage to authorities, especially with the different jurisdictions involved.</w:t>
            </w:r>
          </w:p>
          <w:p w14:paraId="5761F952" w14:textId="77777777" w:rsidR="00A56EE9" w:rsidRPr="00E70A11" w:rsidRDefault="00A56EE9" w:rsidP="00A11869">
            <w:pPr>
              <w:numPr>
                <w:ilvl w:val="0"/>
                <w:numId w:val="137"/>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Native title notification process inadequate to provide feedback into GBRMPA decision making</w:t>
            </w:r>
          </w:p>
          <w:p w14:paraId="5761F953" w14:textId="77777777" w:rsidR="00A56EE9" w:rsidRPr="00E70A11" w:rsidRDefault="00A56EE9" w:rsidP="00A11869">
            <w:pPr>
              <w:numPr>
                <w:ilvl w:val="0"/>
                <w:numId w:val="136"/>
              </w:numPr>
              <w:spacing w:after="0" w:line="240" w:lineRule="auto"/>
              <w:ind w:left="317" w:hanging="284"/>
              <w:contextualSpacing/>
              <w:rPr>
                <w:rFonts w:ascii="Arial Narrow" w:eastAsia="Calibri" w:hAnsi="Arial Narrow"/>
                <w:sz w:val="18"/>
                <w:szCs w:val="18"/>
              </w:rPr>
            </w:pPr>
            <w:r w:rsidRPr="00E70A11">
              <w:rPr>
                <w:rFonts w:ascii="Arial Narrow" w:eastAsia="Calibri" w:hAnsi="Arial Narrow"/>
                <w:sz w:val="18"/>
                <w:szCs w:val="18"/>
              </w:rPr>
              <w:t>In 2016-17 - GBRMPA has held six cross agency meetings and two cross agency workshops to discuss GBRMPA’s responsibilities, tools and projects for Indigenous heritage protection and Traditional use.</w:t>
            </w:r>
          </w:p>
          <w:p w14:paraId="5761F954" w14:textId="77777777" w:rsidR="00A56EE9" w:rsidRPr="00E70A11" w:rsidRDefault="00A56EE9" w:rsidP="00A11869">
            <w:pPr>
              <w:numPr>
                <w:ilvl w:val="0"/>
                <w:numId w:val="136"/>
              </w:numPr>
              <w:spacing w:after="0" w:line="240" w:lineRule="auto"/>
              <w:ind w:left="317" w:hanging="284"/>
              <w:contextualSpacing/>
              <w:rPr>
                <w:rFonts w:ascii="Arial Narrow" w:eastAsia="Calibri" w:hAnsi="Arial Narrow"/>
                <w:sz w:val="18"/>
                <w:szCs w:val="18"/>
              </w:rPr>
            </w:pPr>
            <w:r w:rsidRPr="00E70A11">
              <w:rPr>
                <w:rFonts w:ascii="Arial Narrow" w:eastAsia="Calibri" w:hAnsi="Arial Narrow"/>
                <w:sz w:val="18"/>
                <w:szCs w:val="18"/>
              </w:rPr>
              <w:t>12 Traditional Owners were supported by GBRMPA under the sponsorship program to attend the IUCN World Conservation Congress in Hawaii in September 2016 and several attended IMPAC 2017.</w:t>
            </w:r>
          </w:p>
          <w:p w14:paraId="5761F95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It will take time to determine if the improvements to the permission system by which recommend Marine Parks permission applicants to consult directly with the relevant Traditional Owners prior to submitting their application, is effective.</w:t>
            </w:r>
          </w:p>
        </w:tc>
        <w:tc>
          <w:tcPr>
            <w:tcW w:w="4926" w:type="dxa"/>
            <w:tcBorders>
              <w:top w:val="single" w:sz="4" w:space="0" w:color="auto"/>
              <w:left w:val="single" w:sz="4" w:space="0" w:color="auto"/>
              <w:bottom w:val="single" w:sz="4" w:space="0" w:color="auto"/>
              <w:right w:val="single" w:sz="4" w:space="0" w:color="auto"/>
            </w:tcBorders>
          </w:tcPr>
          <w:p w14:paraId="5761F956" w14:textId="77777777" w:rsidR="00A56EE9" w:rsidRPr="00774D6C"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As for PR1</w:t>
            </w:r>
          </w:p>
        </w:tc>
        <w:tc>
          <w:tcPr>
            <w:tcW w:w="980" w:type="dxa"/>
            <w:tcBorders>
              <w:top w:val="single" w:sz="4" w:space="0" w:color="auto"/>
              <w:left w:val="single" w:sz="4" w:space="0" w:color="auto"/>
              <w:bottom w:val="single" w:sz="4" w:space="0" w:color="auto"/>
              <w:right w:val="single" w:sz="4" w:space="0" w:color="auto"/>
            </w:tcBorders>
          </w:tcPr>
          <w:p w14:paraId="5761F95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95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967"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5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PR3</w:t>
            </w:r>
            <w:r>
              <w:rPr>
                <w:rFonts w:ascii="Arial Narrow" w:hAnsi="Arial Narrow"/>
                <w:sz w:val="18"/>
                <w:szCs w:val="18"/>
              </w:rPr>
              <w:t xml:space="preserve"> </w:t>
            </w:r>
            <w:r w:rsidRPr="00E70A11">
              <w:rPr>
                <w:rFonts w:ascii="Arial Narrow" w:hAnsi="Arial Narrow"/>
                <w:sz w:val="18"/>
                <w:szCs w:val="18"/>
              </w:rPr>
              <w:t>There is a sound governance system in place to address Indigenous heritage</w:t>
            </w:r>
          </w:p>
        </w:tc>
        <w:tc>
          <w:tcPr>
            <w:tcW w:w="643" w:type="dxa"/>
            <w:tcBorders>
              <w:top w:val="single" w:sz="4" w:space="0" w:color="auto"/>
              <w:left w:val="single" w:sz="4" w:space="0" w:color="auto"/>
              <w:bottom w:val="single" w:sz="4" w:space="0" w:color="auto"/>
              <w:right w:val="single" w:sz="4" w:space="0" w:color="auto"/>
            </w:tcBorders>
          </w:tcPr>
          <w:p w14:paraId="5761F95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5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are comments that there is no overarching system of governance in the Region in relation to Indigenous heritage, so people often find it difficult to know what is going on. Progress and relationships are often reliant on individuals and stalls if they move on.</w:t>
            </w:r>
          </w:p>
          <w:p w14:paraId="5761F95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governance and legislative system, like the planning system relating to indigenous Heritage in the Region, is highly complex, with distinction between State and Commonwealth jurisdiction of islands and waters quite confusing. Key organisations include GBRMPA, QPWS, Traditional Owner Organisations, local government, other government departments focusing on related issues such as fisheries, shipping, defence, education and Aboriginal and Torres Strait Islander Partnerships. In addition, joint management arrangements on Cape York Peninsula are different from arrangements in all other parts of the Region, and Indigenous Rangers are employed under a number of different schemes and systems.</w:t>
            </w:r>
          </w:p>
          <w:p w14:paraId="5761F95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Field Management Program, and GBRMPA staff working in Indigenous Partnerships, attempt to coordinate and cooperate to minimise stress and confusion for Traditional Owners working and living in sea country.</w:t>
            </w:r>
          </w:p>
          <w:p w14:paraId="5761F95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funding and support models for traditional Owners working on their country) </w:t>
            </w:r>
            <w:proofErr w:type="gramStart"/>
            <w:r w:rsidRPr="00E70A11">
              <w:rPr>
                <w:rFonts w:ascii="Arial Narrow" w:eastAsia="Calibri" w:hAnsi="Arial Narrow"/>
                <w:sz w:val="18"/>
                <w:szCs w:val="18"/>
              </w:rPr>
              <w:t>( e.g</w:t>
            </w:r>
            <w:proofErr w:type="gramEnd"/>
            <w:r w:rsidRPr="00E70A11">
              <w:rPr>
                <w:rFonts w:ascii="Arial Narrow" w:eastAsia="Calibri" w:hAnsi="Arial Narrow"/>
                <w:sz w:val="18"/>
                <w:szCs w:val="18"/>
              </w:rPr>
              <w:t xml:space="preserve">. through Land and Sea Ranger programs) have been </w:t>
            </w:r>
            <w:r>
              <w:rPr>
                <w:rFonts w:ascii="Arial Narrow" w:eastAsia="Calibri" w:hAnsi="Arial Narrow"/>
                <w:sz w:val="18"/>
                <w:szCs w:val="18"/>
              </w:rPr>
              <w:t>often</w:t>
            </w:r>
            <w:r w:rsidRPr="00E70A11">
              <w:rPr>
                <w:rFonts w:ascii="Arial Narrow" w:eastAsia="Calibri" w:hAnsi="Arial Narrow"/>
                <w:sz w:val="18"/>
                <w:szCs w:val="18"/>
              </w:rPr>
              <w:t xml:space="preserve"> short-term and unreliable, and this aspect of governance could be improved.</w:t>
            </w:r>
          </w:p>
          <w:p w14:paraId="5761F960" w14:textId="77777777" w:rsidR="00A56EE9" w:rsidRPr="00F96098"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 terms of governance of funding and administration of relevant programs within the Agencies, standards are high and both activity and financial reports are available.</w:t>
            </w:r>
          </w:p>
        </w:tc>
        <w:tc>
          <w:tcPr>
            <w:tcW w:w="4926" w:type="dxa"/>
            <w:tcBorders>
              <w:top w:val="single" w:sz="4" w:space="0" w:color="auto"/>
              <w:left w:val="single" w:sz="4" w:space="0" w:color="auto"/>
              <w:bottom w:val="single" w:sz="4" w:space="0" w:color="auto"/>
              <w:right w:val="single" w:sz="4" w:space="0" w:color="auto"/>
            </w:tcBorders>
          </w:tcPr>
          <w:p w14:paraId="5761F96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discussions</w:t>
            </w:r>
          </w:p>
          <w:p w14:paraId="5761F96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LSCP reports</w:t>
            </w:r>
          </w:p>
          <w:p w14:paraId="5761F963" w14:textId="77777777" w:rsidR="00A56EE9" w:rsidRPr="00E70A11" w:rsidRDefault="00A56EE9" w:rsidP="00A11869">
            <w:pPr>
              <w:pStyle w:val="EndNoteBibliography"/>
              <w:numPr>
                <w:ilvl w:val="0"/>
                <w:numId w:val="24"/>
              </w:numPr>
              <w:spacing w:after="0"/>
              <w:ind w:left="357" w:hanging="357"/>
              <w:rPr>
                <w:rFonts w:ascii="Arial Narrow" w:hAnsi="Arial Narrow"/>
                <w:sz w:val="18"/>
                <w:szCs w:val="18"/>
              </w:rPr>
            </w:pPr>
            <w:r w:rsidRPr="00E70A11">
              <w:rPr>
                <w:rFonts w:ascii="Arial Narrow" w:hAnsi="Arial Narrow"/>
                <w:sz w:val="18"/>
                <w:szCs w:val="18"/>
              </w:rPr>
              <w:t>D</w:t>
            </w:r>
            <w:r w:rsidRPr="00E70A11">
              <w:rPr>
                <w:rFonts w:ascii="Arial Narrow" w:eastAsia="Calibri" w:hAnsi="Arial Narrow"/>
                <w:noProof w:val="0"/>
                <w:sz w:val="18"/>
                <w:szCs w:val="18"/>
                <w:lang w:val="en-AU"/>
              </w:rPr>
              <w:t xml:space="preserve">ale, A., George, M., Hill, R. &amp; Fraser, D. (2016) Traditional </w:t>
            </w:r>
            <w:r w:rsidRPr="00E70A11">
              <w:rPr>
                <w:rFonts w:ascii="Arial Narrow" w:eastAsia="Calibri" w:hAnsi="Arial Narrow"/>
                <w:i/>
                <w:noProof w:val="0"/>
                <w:sz w:val="18"/>
                <w:szCs w:val="18"/>
                <w:lang w:val="en-AU"/>
              </w:rPr>
              <w:t>Owners and Sea Country in the Southern Great Barrier Reef – Which Way Forward?</w:t>
            </w:r>
            <w:r w:rsidRPr="00E70A11">
              <w:rPr>
                <w:rFonts w:ascii="Arial Narrow" w:eastAsia="Calibri" w:hAnsi="Arial Narrow"/>
                <w:noProof w:val="0"/>
                <w:sz w:val="18"/>
                <w:szCs w:val="18"/>
                <w:lang w:val="en-AU"/>
              </w:rPr>
              <w:t xml:space="preserve">, Report to the National Environmental Science Programme, Cairns </w:t>
            </w:r>
          </w:p>
          <w:p w14:paraId="5761F964"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96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96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973"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6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PR4</w:t>
            </w:r>
            <w:r>
              <w:rPr>
                <w:rFonts w:ascii="Arial Narrow" w:hAnsi="Arial Narrow"/>
                <w:sz w:val="18"/>
                <w:szCs w:val="18"/>
              </w:rPr>
              <w:t xml:space="preserve"> </w:t>
            </w:r>
            <w:r w:rsidRPr="00E70A11">
              <w:rPr>
                <w:rFonts w:ascii="Arial Narrow" w:hAnsi="Arial Narrow"/>
                <w:sz w:val="18"/>
                <w:szCs w:val="18"/>
              </w:rPr>
              <w:t>There is effective performance monitoring, including. regular assessment of appropriateness and effectiveness of tools, to gauge progress towards the objective(s) for Indigenous heritage</w:t>
            </w:r>
          </w:p>
        </w:tc>
        <w:tc>
          <w:tcPr>
            <w:tcW w:w="643" w:type="dxa"/>
            <w:tcBorders>
              <w:top w:val="single" w:sz="4" w:space="0" w:color="auto"/>
              <w:left w:val="single" w:sz="4" w:space="0" w:color="auto"/>
              <w:bottom w:val="single" w:sz="4" w:space="0" w:color="auto"/>
              <w:right w:val="single" w:sz="4" w:space="0" w:color="auto"/>
            </w:tcBorders>
          </w:tcPr>
          <w:p w14:paraId="5761F96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4444" w:type="dxa"/>
            <w:tcBorders>
              <w:top w:val="single" w:sz="4" w:space="0" w:color="auto"/>
              <w:left w:val="single" w:sz="4" w:space="0" w:color="auto"/>
              <w:bottom w:val="single" w:sz="4" w:space="0" w:color="auto"/>
              <w:right w:val="single" w:sz="4" w:space="0" w:color="auto"/>
            </w:tcBorders>
          </w:tcPr>
          <w:p w14:paraId="5761F96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Performance monitoring and reporting is given high priority in GBRMPA and the Field Management Program, and in all programs reliant on external or project funding. Duplication and onerous reporting could be an issue.</w:t>
            </w:r>
          </w:p>
          <w:p w14:paraId="5761F96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On a national level, studies have assessed the effectiveness of the Indigenous Ranger programs and Indigenous Protected Areas.</w:t>
            </w:r>
          </w:p>
        </w:tc>
        <w:tc>
          <w:tcPr>
            <w:tcW w:w="4926" w:type="dxa"/>
            <w:tcBorders>
              <w:top w:val="single" w:sz="4" w:space="0" w:color="auto"/>
              <w:left w:val="single" w:sz="4" w:space="0" w:color="auto"/>
              <w:bottom w:val="single" w:sz="4" w:space="0" w:color="auto"/>
              <w:right w:val="single" w:sz="4" w:space="0" w:color="auto"/>
            </w:tcBorders>
          </w:tcPr>
          <w:p w14:paraId="5761F96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Field Management Program Annual Reports</w:t>
            </w:r>
          </w:p>
          <w:p w14:paraId="5761F96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Land and Sea Partnership Program reports</w:t>
            </w:r>
          </w:p>
          <w:p w14:paraId="5761F96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Van Bueren, M., Worland, T., Svanberg, A. &amp; Lassen, J. (2015) Working for our country: a review of the economic and social benefits of Indigenous land and sea management, Pew Charitable Trusts, Synergies Economic Consulting,</w:t>
            </w:r>
          </w:p>
          <w:p w14:paraId="5761F96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Outlook Reports</w:t>
            </w:r>
          </w:p>
          <w:p w14:paraId="5761F97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Indigenous Heritage Strategy Program Logic diagram</w:t>
            </w:r>
          </w:p>
        </w:tc>
        <w:tc>
          <w:tcPr>
            <w:tcW w:w="980" w:type="dxa"/>
            <w:tcBorders>
              <w:top w:val="single" w:sz="4" w:space="0" w:color="auto"/>
              <w:left w:val="single" w:sz="4" w:space="0" w:color="auto"/>
              <w:bottom w:val="single" w:sz="4" w:space="0" w:color="auto"/>
              <w:right w:val="single" w:sz="4" w:space="0" w:color="auto"/>
            </w:tcBorders>
          </w:tcPr>
          <w:p w14:paraId="5761F97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97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7F"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7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PR5</w:t>
            </w:r>
            <w:r>
              <w:rPr>
                <w:rFonts w:ascii="Arial Narrow" w:hAnsi="Arial Narrow"/>
                <w:sz w:val="18"/>
                <w:szCs w:val="18"/>
              </w:rPr>
              <w:t xml:space="preserve"> </w:t>
            </w:r>
            <w:r w:rsidRPr="00E70A11">
              <w:rPr>
                <w:rFonts w:ascii="Arial Narrow" w:hAnsi="Arial Narrow"/>
                <w:sz w:val="18"/>
                <w:szCs w:val="18"/>
              </w:rPr>
              <w:t>Appropriate training is available to the managing agencies to address Indigenous heritage</w:t>
            </w:r>
          </w:p>
        </w:tc>
        <w:tc>
          <w:tcPr>
            <w:tcW w:w="643" w:type="dxa"/>
            <w:tcBorders>
              <w:top w:val="single" w:sz="4" w:space="0" w:color="auto"/>
              <w:left w:val="single" w:sz="4" w:space="0" w:color="auto"/>
              <w:bottom w:val="single" w:sz="4" w:space="0" w:color="auto"/>
              <w:right w:val="single" w:sz="4" w:space="0" w:color="auto"/>
            </w:tcBorders>
          </w:tcPr>
          <w:p w14:paraId="5761F97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7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also IN3 – skills and training closely related</w:t>
            </w:r>
          </w:p>
          <w:p w14:paraId="5761F97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 cultural competency training program is not currently available to management staff at GBRMPA. QPWS has a cultural capability framework and related training.</w:t>
            </w:r>
          </w:p>
          <w:p w14:paraId="5761F97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Joint Field Management Program has coordinated and run training for joint field management staff in basic aspects of the work program and cultural competency (which includes TUMR). A few GBRMPA staff have attended this training course. </w:t>
            </w:r>
          </w:p>
          <w:p w14:paraId="5761F97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 15-16 and 16-17 the Indigenous Compliance team at GBRMPA delivered a series of contextualised compliance education and training programs during the reporting term to Indigenous Ranger Groups, Traditional Owners, and other management staff. This resulted in 81 Aboriginal and Torres Strait Islander people receiving training across the program.</w:t>
            </w:r>
          </w:p>
          <w:p w14:paraId="5761F97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GBRMPA regularly hosts legislation training (held twice in 2017) for all staff.</w:t>
            </w:r>
          </w:p>
        </w:tc>
        <w:tc>
          <w:tcPr>
            <w:tcW w:w="4926" w:type="dxa"/>
            <w:tcBorders>
              <w:top w:val="single" w:sz="4" w:space="0" w:color="auto"/>
              <w:left w:val="single" w:sz="4" w:space="0" w:color="auto"/>
              <w:bottom w:val="single" w:sz="4" w:space="0" w:color="auto"/>
              <w:right w:val="single" w:sz="4" w:space="0" w:color="auto"/>
            </w:tcBorders>
          </w:tcPr>
          <w:p w14:paraId="5761F97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Land and Sea ranger websites and training materials</w:t>
            </w:r>
          </w:p>
          <w:p w14:paraId="5761F97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discussions</w:t>
            </w:r>
          </w:p>
        </w:tc>
        <w:tc>
          <w:tcPr>
            <w:tcW w:w="980" w:type="dxa"/>
            <w:tcBorders>
              <w:top w:val="single" w:sz="4" w:space="0" w:color="auto"/>
              <w:left w:val="single" w:sz="4" w:space="0" w:color="auto"/>
              <w:bottom w:val="single" w:sz="4" w:space="0" w:color="auto"/>
              <w:right w:val="single" w:sz="4" w:space="0" w:color="auto"/>
            </w:tcBorders>
          </w:tcPr>
          <w:p w14:paraId="5761F97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865" w:type="dxa"/>
            <w:tcBorders>
              <w:top w:val="single" w:sz="4" w:space="0" w:color="auto"/>
              <w:left w:val="single" w:sz="4" w:space="0" w:color="auto"/>
              <w:bottom w:val="single" w:sz="4" w:space="0" w:color="auto"/>
              <w:right w:val="single" w:sz="4" w:space="0" w:color="auto"/>
            </w:tcBorders>
          </w:tcPr>
          <w:p w14:paraId="5761F97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8B"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8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PR6</w:t>
            </w:r>
            <w:r>
              <w:rPr>
                <w:rFonts w:ascii="Arial Narrow" w:hAnsi="Arial Narrow"/>
                <w:sz w:val="18"/>
                <w:szCs w:val="18"/>
              </w:rPr>
              <w:t xml:space="preserve"> </w:t>
            </w:r>
            <w:r w:rsidRPr="00E70A11">
              <w:rPr>
                <w:rFonts w:ascii="Arial Narrow" w:hAnsi="Arial Narrow"/>
                <w:sz w:val="18"/>
                <w:szCs w:val="18"/>
              </w:rPr>
              <w:t>Management of Indigenous heritage is consistently implemented across the relevant jurisdictions</w:t>
            </w:r>
          </w:p>
        </w:tc>
        <w:tc>
          <w:tcPr>
            <w:tcW w:w="643" w:type="dxa"/>
            <w:tcBorders>
              <w:top w:val="single" w:sz="4" w:space="0" w:color="auto"/>
              <w:left w:val="single" w:sz="4" w:space="0" w:color="auto"/>
              <w:bottom w:val="single" w:sz="4" w:space="0" w:color="auto"/>
              <w:right w:val="single" w:sz="4" w:space="0" w:color="auto"/>
            </w:tcBorders>
          </w:tcPr>
          <w:p w14:paraId="5761F98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8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PR4– the governance arrangements are very complex.</w:t>
            </w:r>
          </w:p>
          <w:p w14:paraId="5761F98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Field Management Program involves Indigenous rangers employed through a number of different organisations and programs – all rangers work together to protect Indigenous heritage as well as other Reef values.</w:t>
            </w:r>
          </w:p>
          <w:p w14:paraId="5761F98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 joint working group now ensures that GBRMPA and the Field Management Program coordinate their work and approach in relation to Indigenous heritage.</w:t>
            </w:r>
          </w:p>
          <w:p w14:paraId="5761F98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Potential impacts to cultural heritage are consistently considered for joint Marine Park permits and under the Inter-governmental Agreement (IGA), but this only covers Marine Parks and not Queensland Islands.</w:t>
            </w:r>
            <w:r>
              <w:rPr>
                <w:rFonts w:ascii="Arial Narrow" w:eastAsia="Calibri" w:hAnsi="Arial Narrow"/>
                <w:sz w:val="18"/>
                <w:szCs w:val="18"/>
              </w:rPr>
              <w:t xml:space="preserve"> </w:t>
            </w:r>
          </w:p>
          <w:p w14:paraId="5761F98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Reef 2050 Plan details coordination of actions to better address indigenous heritage and Traditional Owner involvement in management and protection of the Reef. This is a first of its kind for the Great Barrier Reef.</w:t>
            </w:r>
          </w:p>
        </w:tc>
        <w:tc>
          <w:tcPr>
            <w:tcW w:w="4926" w:type="dxa"/>
            <w:tcBorders>
              <w:top w:val="single" w:sz="4" w:space="0" w:color="auto"/>
              <w:left w:val="single" w:sz="4" w:space="0" w:color="auto"/>
              <w:bottom w:val="single" w:sz="4" w:space="0" w:color="auto"/>
              <w:right w:val="single" w:sz="4" w:space="0" w:color="auto"/>
            </w:tcBorders>
          </w:tcPr>
          <w:p w14:paraId="5761F98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discussions</w:t>
            </w:r>
          </w:p>
          <w:p w14:paraId="5761F98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Meeting notes </w:t>
            </w:r>
          </w:p>
        </w:tc>
        <w:tc>
          <w:tcPr>
            <w:tcW w:w="980" w:type="dxa"/>
            <w:tcBorders>
              <w:top w:val="single" w:sz="4" w:space="0" w:color="auto"/>
              <w:left w:val="single" w:sz="4" w:space="0" w:color="auto"/>
              <w:bottom w:val="single" w:sz="4" w:space="0" w:color="auto"/>
              <w:right w:val="single" w:sz="4" w:space="0" w:color="auto"/>
            </w:tcBorders>
          </w:tcPr>
          <w:p w14:paraId="5761F98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98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97"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8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PR7</w:t>
            </w:r>
            <w:r>
              <w:rPr>
                <w:rFonts w:ascii="Arial Narrow" w:hAnsi="Arial Narrow"/>
                <w:sz w:val="18"/>
                <w:szCs w:val="18"/>
              </w:rPr>
              <w:t xml:space="preserve"> </w:t>
            </w:r>
            <w:r w:rsidRPr="00E70A11">
              <w:rPr>
                <w:rFonts w:ascii="Arial Narrow" w:hAnsi="Arial Narrow"/>
                <w:sz w:val="18"/>
                <w:szCs w:val="18"/>
              </w:rPr>
              <w:t>There are effective processes applied to resolve differing views/ conflicts regarding Indigenous heritage</w:t>
            </w:r>
          </w:p>
        </w:tc>
        <w:tc>
          <w:tcPr>
            <w:tcW w:w="643" w:type="dxa"/>
            <w:tcBorders>
              <w:top w:val="single" w:sz="4" w:space="0" w:color="auto"/>
              <w:left w:val="single" w:sz="4" w:space="0" w:color="auto"/>
              <w:bottom w:val="single" w:sz="4" w:space="0" w:color="auto"/>
              <w:right w:val="single" w:sz="4" w:space="0" w:color="auto"/>
            </w:tcBorders>
          </w:tcPr>
          <w:p w14:paraId="5761F98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4444" w:type="dxa"/>
            <w:tcBorders>
              <w:top w:val="single" w:sz="4" w:space="0" w:color="auto"/>
              <w:left w:val="single" w:sz="4" w:space="0" w:color="auto"/>
              <w:bottom w:val="single" w:sz="4" w:space="0" w:color="auto"/>
              <w:right w:val="single" w:sz="4" w:space="0" w:color="auto"/>
            </w:tcBorders>
          </w:tcPr>
          <w:p w14:paraId="5761F98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TUMRA/ILUA process – see TUMR table</w:t>
            </w:r>
          </w:p>
          <w:p w14:paraId="5761F98F" w14:textId="77777777" w:rsidR="00A56EE9" w:rsidRPr="00E70A11" w:rsidRDefault="00A56EE9" w:rsidP="00BB6AD5">
            <w:pPr>
              <w:ind w:left="360"/>
              <w:contextualSpacing/>
              <w:rPr>
                <w:rFonts w:ascii="Arial Narrow" w:eastAsia="Calibri" w:hAnsi="Arial Narrow"/>
                <w:sz w:val="18"/>
                <w:szCs w:val="18"/>
              </w:rPr>
            </w:pPr>
            <w:r w:rsidRPr="00E70A11">
              <w:rPr>
                <w:rFonts w:ascii="Arial Narrow" w:eastAsia="Calibri" w:hAnsi="Arial Narrow"/>
                <w:sz w:val="18"/>
                <w:szCs w:val="18"/>
              </w:rPr>
              <w:t xml:space="preserve">The introduction of a new suite of guidelines and regulation changes will improve GBRMPA/QPWS ability to better consider possible impacts on Indigenous Heritage. </w:t>
            </w:r>
          </w:p>
          <w:p w14:paraId="5761F99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However, given the lack of cultural heritage knowledge (location, type of heritage, who speaks for country in some areas of the Region) the ability to pre-emptively avoid conflicts of interest and protect Indigenous Heritage will remain limited. Not all Traditional Owner groups are able to coordinate their opinions; and differing views within and between groups are difficult for management agencies to resolve.</w:t>
            </w:r>
          </w:p>
          <w:p w14:paraId="5761F99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reports show a high level of dissatisfaction within Traditional Owner groups towards management in the GBR Region.</w:t>
            </w:r>
          </w:p>
        </w:tc>
        <w:tc>
          <w:tcPr>
            <w:tcW w:w="4926" w:type="dxa"/>
            <w:tcBorders>
              <w:top w:val="single" w:sz="4" w:space="0" w:color="auto"/>
              <w:left w:val="single" w:sz="4" w:space="0" w:color="auto"/>
              <w:bottom w:val="single" w:sz="4" w:space="0" w:color="auto"/>
              <w:right w:val="single" w:sz="4" w:space="0" w:color="auto"/>
            </w:tcBorders>
          </w:tcPr>
          <w:p w14:paraId="5761F992" w14:textId="77777777" w:rsidR="00A56EE9" w:rsidRPr="00E70A11" w:rsidRDefault="00A56EE9" w:rsidP="00A11869">
            <w:pPr>
              <w:numPr>
                <w:ilvl w:val="0"/>
                <w:numId w:val="24"/>
              </w:numPr>
              <w:spacing w:after="0" w:line="240" w:lineRule="auto"/>
              <w:ind w:left="357"/>
              <w:contextualSpacing/>
              <w:rPr>
                <w:rFonts w:ascii="Arial Narrow" w:eastAsia="Calibri" w:hAnsi="Arial Narrow"/>
                <w:sz w:val="18"/>
                <w:szCs w:val="18"/>
              </w:rPr>
            </w:pPr>
            <w:r w:rsidRPr="00E70A11">
              <w:rPr>
                <w:rFonts w:ascii="Arial Narrow" w:eastAsia="Calibri" w:hAnsi="Arial Narrow"/>
                <w:sz w:val="18"/>
                <w:szCs w:val="18"/>
              </w:rPr>
              <w:t xml:space="preserve">Dale, A., George, M., Hill, R. &amp; Fraser, D. (2016) Traditional </w:t>
            </w:r>
            <w:r w:rsidRPr="00E70A11">
              <w:rPr>
                <w:rFonts w:ascii="Arial Narrow" w:eastAsia="Calibri" w:hAnsi="Arial Narrow"/>
                <w:i/>
                <w:sz w:val="18"/>
                <w:szCs w:val="18"/>
              </w:rPr>
              <w:t>Owners and Sea Country in the Southern Great Barrier Reef – Which Way Forward?</w:t>
            </w:r>
            <w:r w:rsidRPr="00E70A11">
              <w:rPr>
                <w:rFonts w:ascii="Arial Narrow" w:eastAsia="Calibri" w:hAnsi="Arial Narrow"/>
                <w:sz w:val="18"/>
                <w:szCs w:val="18"/>
              </w:rPr>
              <w:t>, Report to the National Environmental Science Programme, Cairns,</w:t>
            </w:r>
          </w:p>
          <w:p w14:paraId="5761F993" w14:textId="77777777" w:rsidR="00A56EE9" w:rsidRPr="00E70A11" w:rsidRDefault="008B5998" w:rsidP="00A11869">
            <w:pPr>
              <w:pStyle w:val="ListParagraph"/>
              <w:numPr>
                <w:ilvl w:val="0"/>
                <w:numId w:val="24"/>
              </w:numPr>
              <w:spacing w:after="0" w:line="240" w:lineRule="auto"/>
              <w:ind w:left="357"/>
              <w:rPr>
                <w:rStyle w:val="Hyperlink"/>
                <w:rFonts w:ascii="Arial Narrow" w:hAnsi="Arial Narrow"/>
                <w:sz w:val="18"/>
                <w:szCs w:val="18"/>
              </w:rPr>
            </w:pPr>
            <w:hyperlink r:id="rId1086" w:history="1">
              <w:r w:rsidR="00A56EE9" w:rsidRPr="00E70A11">
                <w:rPr>
                  <w:rStyle w:val="Hyperlink"/>
                  <w:rFonts w:ascii="Arial Narrow" w:hAnsi="Arial Narrow"/>
                  <w:sz w:val="18"/>
                  <w:szCs w:val="18"/>
                </w:rPr>
                <w:t>Traditional Owner Heritage Assessment Guidelines</w:t>
              </w:r>
            </w:hyperlink>
          </w:p>
          <w:p w14:paraId="5761F994" w14:textId="77777777" w:rsidR="00A56EE9" w:rsidRPr="00E70A11" w:rsidRDefault="00A56EE9" w:rsidP="00BB6AD5">
            <w:pPr>
              <w:ind w:left="-3"/>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99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865" w:type="dxa"/>
            <w:tcBorders>
              <w:top w:val="single" w:sz="4" w:space="0" w:color="auto"/>
              <w:left w:val="single" w:sz="4" w:space="0" w:color="auto"/>
              <w:bottom w:val="single" w:sz="4" w:space="0" w:color="auto"/>
              <w:right w:val="single" w:sz="4" w:space="0" w:color="auto"/>
            </w:tcBorders>
          </w:tcPr>
          <w:p w14:paraId="5761F99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9A8"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9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PR8</w:t>
            </w:r>
            <w:r>
              <w:rPr>
                <w:rFonts w:ascii="Arial Narrow" w:hAnsi="Arial Narrow"/>
                <w:sz w:val="18"/>
                <w:szCs w:val="18"/>
              </w:rPr>
              <w:t xml:space="preserve"> </w:t>
            </w:r>
            <w:r w:rsidRPr="00E70A11">
              <w:rPr>
                <w:rFonts w:ascii="Arial Narrow" w:hAnsi="Arial Narrow"/>
                <w:sz w:val="18"/>
                <w:szCs w:val="18"/>
              </w:rPr>
              <w:t>Impacts (direct, indirect and cumulative) of activities associated with Indigenous heritage are appropriately considered.</w:t>
            </w:r>
          </w:p>
        </w:tc>
        <w:tc>
          <w:tcPr>
            <w:tcW w:w="643" w:type="dxa"/>
            <w:tcBorders>
              <w:top w:val="single" w:sz="4" w:space="0" w:color="auto"/>
              <w:left w:val="single" w:sz="4" w:space="0" w:color="auto"/>
              <w:bottom w:val="single" w:sz="4" w:space="0" w:color="auto"/>
              <w:right w:val="single" w:sz="4" w:space="0" w:color="auto"/>
            </w:tcBorders>
          </w:tcPr>
          <w:p w14:paraId="5761F99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9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bookmarkStart w:id="211" w:name="_Hlk506542776"/>
            <w:r w:rsidRPr="00E70A11">
              <w:rPr>
                <w:rFonts w:ascii="Arial Narrow" w:eastAsia="Calibri" w:hAnsi="Arial Narrow"/>
                <w:sz w:val="18"/>
                <w:szCs w:val="18"/>
              </w:rPr>
              <w:t>Traditional Owner heritage assessment guidelines provide a list of hazards and the potential impacts on Indigenous heritage values</w:t>
            </w:r>
            <w:bookmarkEnd w:id="211"/>
            <w:r w:rsidRPr="00E70A11">
              <w:rPr>
                <w:rFonts w:ascii="Arial Narrow" w:eastAsia="Calibri" w:hAnsi="Arial Narrow"/>
                <w:sz w:val="18"/>
                <w:szCs w:val="18"/>
              </w:rPr>
              <w:t>.</w:t>
            </w:r>
          </w:p>
          <w:p w14:paraId="5761F99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Impacts on Indigenous Heritage are considered before any permissions are granted, and applicants are encouraged to contact Traditional Owners directly.</w:t>
            </w:r>
          </w:p>
          <w:p w14:paraId="5761F99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All levels of policy and legislation contain requirements to consider both material and non-material aspects of Indigenous Heritage in the management of the Region.</w:t>
            </w:r>
          </w:p>
          <w:p w14:paraId="5761F99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Impacts of traditional harvesting of dugong and turtle are thoroughly considered in TUMRAs.</w:t>
            </w:r>
          </w:p>
          <w:p w14:paraId="5761F99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Woppaburra assessment guidelines provide a good model for how impacts could be better assessed.</w:t>
            </w:r>
          </w:p>
        </w:tc>
        <w:tc>
          <w:tcPr>
            <w:tcW w:w="4926" w:type="dxa"/>
            <w:tcBorders>
              <w:top w:val="single" w:sz="4" w:space="0" w:color="auto"/>
              <w:left w:val="single" w:sz="4" w:space="0" w:color="auto"/>
              <w:bottom w:val="single" w:sz="4" w:space="0" w:color="auto"/>
              <w:right w:val="single" w:sz="4" w:space="0" w:color="auto"/>
            </w:tcBorders>
          </w:tcPr>
          <w:p w14:paraId="5761F99F" w14:textId="77777777" w:rsidR="00A56EE9" w:rsidRPr="00E70A11" w:rsidRDefault="00A56EE9" w:rsidP="00A11869">
            <w:pPr>
              <w:pStyle w:val="ListParagraph"/>
              <w:numPr>
                <w:ilvl w:val="0"/>
                <w:numId w:val="24"/>
              </w:numPr>
              <w:spacing w:after="0" w:line="240" w:lineRule="auto"/>
              <w:ind w:left="357"/>
              <w:rPr>
                <w:rStyle w:val="Hyperlink"/>
                <w:rFonts w:ascii="Arial Narrow" w:hAnsi="Arial Narrow"/>
                <w:sz w:val="18"/>
                <w:szCs w:val="18"/>
                <w:lang w:val="en-GB"/>
              </w:rPr>
            </w:pPr>
            <w:r w:rsidRPr="00E70A11">
              <w:rPr>
                <w:rFonts w:ascii="Arial Narrow" w:hAnsi="Arial Narrow"/>
                <w:sz w:val="18"/>
                <w:szCs w:val="18"/>
              </w:rPr>
              <w:t xml:space="preserve">Guidelines: </w:t>
            </w:r>
            <w:hyperlink r:id="rId1087" w:history="1">
              <w:r w:rsidRPr="00E70A11">
                <w:rPr>
                  <w:rStyle w:val="Hyperlink"/>
                  <w:rFonts w:ascii="Arial Narrow" w:hAnsi="Arial Narrow"/>
                  <w:sz w:val="18"/>
                  <w:szCs w:val="18"/>
                </w:rPr>
                <w:t>Traditional Owner Heritage</w:t>
              </w:r>
              <w:r>
                <w:rPr>
                  <w:rStyle w:val="Hyperlink"/>
                  <w:rFonts w:ascii="Arial Narrow" w:hAnsi="Arial Narrow"/>
                  <w:sz w:val="18"/>
                  <w:szCs w:val="18"/>
                </w:rPr>
                <w:t xml:space="preserve"> </w:t>
              </w:r>
              <w:r w:rsidRPr="00E70A11">
                <w:rPr>
                  <w:rStyle w:val="Hyperlink"/>
                  <w:rFonts w:ascii="Arial Narrow" w:hAnsi="Arial Narrow"/>
                  <w:sz w:val="18"/>
                  <w:szCs w:val="18"/>
                </w:rPr>
                <w:t>Assessment</w:t>
              </w:r>
            </w:hyperlink>
          </w:p>
          <w:p w14:paraId="5761F9A0" w14:textId="77777777" w:rsidR="00A56EE9" w:rsidRPr="00E70A11" w:rsidRDefault="00A56EE9" w:rsidP="00A11869">
            <w:pPr>
              <w:pStyle w:val="ListParagraph"/>
              <w:numPr>
                <w:ilvl w:val="0"/>
                <w:numId w:val="24"/>
              </w:numPr>
              <w:spacing w:after="0" w:line="240" w:lineRule="auto"/>
              <w:ind w:left="357"/>
              <w:rPr>
                <w:rFonts w:ascii="Arial Narrow" w:hAnsi="Arial Narrow"/>
                <w:sz w:val="18"/>
                <w:szCs w:val="18"/>
                <w:u w:val="single"/>
              </w:rPr>
            </w:pPr>
            <w:r w:rsidRPr="00E70A11">
              <w:rPr>
                <w:rFonts w:ascii="Arial Narrow" w:hAnsi="Arial Narrow"/>
                <w:sz w:val="18"/>
                <w:szCs w:val="18"/>
              </w:rPr>
              <w:t>Draft Policy on Traditional use of Marine Resources – which summarises some impacts).</w:t>
            </w:r>
          </w:p>
          <w:p w14:paraId="5761F9A1" w14:textId="77777777" w:rsidR="00A56EE9" w:rsidRPr="00E70A11" w:rsidRDefault="008B5998" w:rsidP="00A11869">
            <w:pPr>
              <w:pStyle w:val="ListParagraph"/>
              <w:numPr>
                <w:ilvl w:val="0"/>
                <w:numId w:val="24"/>
              </w:numPr>
              <w:spacing w:after="0" w:line="276" w:lineRule="auto"/>
              <w:ind w:left="357"/>
              <w:rPr>
                <w:rStyle w:val="Hyperlink"/>
                <w:rFonts w:ascii="Arial Narrow" w:hAnsi="Arial Narrow"/>
                <w:sz w:val="18"/>
                <w:szCs w:val="18"/>
              </w:rPr>
            </w:pPr>
            <w:hyperlink r:id="rId1088" w:history="1">
              <w:r w:rsidR="00A56EE9" w:rsidRPr="00E70A11">
                <w:rPr>
                  <w:rStyle w:val="Hyperlink"/>
                  <w:rFonts w:ascii="Arial Narrow" w:hAnsi="Arial Narrow"/>
                  <w:sz w:val="18"/>
                  <w:szCs w:val="18"/>
                </w:rPr>
                <w:t>Cumulative impact policy</w:t>
              </w:r>
            </w:hyperlink>
          </w:p>
          <w:p w14:paraId="5761F9A2" w14:textId="77777777" w:rsidR="00A56EE9" w:rsidRPr="00E70A11" w:rsidRDefault="008B5998" w:rsidP="00A11869">
            <w:pPr>
              <w:pStyle w:val="ListParagraph"/>
              <w:numPr>
                <w:ilvl w:val="0"/>
                <w:numId w:val="24"/>
              </w:numPr>
              <w:spacing w:after="200" w:line="240" w:lineRule="auto"/>
              <w:rPr>
                <w:rStyle w:val="Hyperlink"/>
                <w:rFonts w:ascii="Arial Narrow" w:hAnsi="Arial Narrow"/>
                <w:sz w:val="18"/>
                <w:szCs w:val="18"/>
              </w:rPr>
            </w:pPr>
            <w:hyperlink r:id="rId1089" w:history="1">
              <w:r w:rsidR="00A56EE9" w:rsidRPr="00E70A11">
                <w:rPr>
                  <w:rStyle w:val="Hyperlink"/>
                  <w:rFonts w:ascii="Arial Narrow" w:hAnsi="Arial Narrow"/>
                  <w:sz w:val="18"/>
                  <w:szCs w:val="18"/>
                </w:rPr>
                <w:t xml:space="preserve"> Guidelines: Woppaburra Traditional Owner Heritage</w:t>
              </w:r>
            </w:hyperlink>
            <w:r w:rsidR="00A56EE9" w:rsidRPr="00E70A11">
              <w:rPr>
                <w:rStyle w:val="Hyperlink"/>
                <w:rFonts w:ascii="Arial Narrow" w:hAnsi="Arial Narrow"/>
                <w:sz w:val="18"/>
                <w:szCs w:val="18"/>
              </w:rPr>
              <w:t xml:space="preserve"> Assessment</w:t>
            </w:r>
          </w:p>
          <w:p w14:paraId="5761F9A3" w14:textId="77777777" w:rsidR="00A56EE9" w:rsidRPr="00E70A11" w:rsidRDefault="00A56EE9" w:rsidP="00BB6AD5">
            <w:pPr>
              <w:rPr>
                <w:rStyle w:val="Hyperlink"/>
                <w:rFonts w:ascii="Arial Narrow" w:hAnsi="Arial Narrow"/>
                <w:sz w:val="18"/>
                <w:szCs w:val="18"/>
                <w:lang w:eastAsia="en-AU"/>
              </w:rPr>
            </w:pPr>
          </w:p>
          <w:p w14:paraId="5761F9A4" w14:textId="77777777" w:rsidR="00A56EE9" w:rsidRPr="00E70A11" w:rsidRDefault="00A56EE9" w:rsidP="00BB6AD5">
            <w:pPr>
              <w:ind w:left="-3"/>
              <w:rPr>
                <w:rStyle w:val="Hyperlink"/>
                <w:rFonts w:ascii="Arial Narrow" w:hAnsi="Arial Narrow"/>
                <w:color w:val="000000" w:themeColor="text1"/>
                <w:sz w:val="18"/>
                <w:szCs w:val="18"/>
              </w:rPr>
            </w:pPr>
          </w:p>
          <w:p w14:paraId="5761F9A5" w14:textId="77777777" w:rsidR="00A56EE9" w:rsidRPr="00E70A11" w:rsidRDefault="00A56EE9" w:rsidP="00BB6AD5">
            <w:pPr>
              <w:ind w:left="357"/>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9A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9A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B4"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A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PR9</w:t>
            </w:r>
            <w:r>
              <w:rPr>
                <w:rFonts w:ascii="Arial Narrow" w:hAnsi="Arial Narrow"/>
                <w:sz w:val="18"/>
                <w:szCs w:val="18"/>
              </w:rPr>
              <w:t xml:space="preserve"> </w:t>
            </w:r>
            <w:r w:rsidRPr="00E70A11">
              <w:rPr>
                <w:rFonts w:ascii="Arial Narrow" w:hAnsi="Arial Narrow"/>
                <w:sz w:val="18"/>
                <w:szCs w:val="18"/>
              </w:rPr>
              <w:t>The best available biophysical research and/or monitoring information is applied appropriately to make relevant management decisions regarding Indigenous heritage</w:t>
            </w:r>
          </w:p>
        </w:tc>
        <w:tc>
          <w:tcPr>
            <w:tcW w:w="643" w:type="dxa"/>
            <w:tcBorders>
              <w:top w:val="single" w:sz="4" w:space="0" w:color="auto"/>
              <w:left w:val="single" w:sz="4" w:space="0" w:color="auto"/>
              <w:bottom w:val="single" w:sz="4" w:space="0" w:color="auto"/>
              <w:right w:val="single" w:sz="4" w:space="0" w:color="auto"/>
            </w:tcBorders>
          </w:tcPr>
          <w:p w14:paraId="5761F9A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A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i/>
                <w:sz w:val="18"/>
                <w:szCs w:val="18"/>
              </w:rPr>
              <w:t>See TUMR table for application of research to management of relevant marine resources</w:t>
            </w:r>
            <w:r w:rsidRPr="00E70A11">
              <w:rPr>
                <w:rFonts w:ascii="Arial Narrow" w:eastAsia="Calibri" w:hAnsi="Arial Narrow"/>
                <w:sz w:val="18"/>
                <w:szCs w:val="18"/>
              </w:rPr>
              <w:t>.</w:t>
            </w:r>
          </w:p>
          <w:p w14:paraId="5761F9A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All levels of planning also use the best available information including location of special places and landscapes. However, relevant information is frequently not available and this may lead to deterioration of places of species Indigenous heritage importance.</w:t>
            </w:r>
          </w:p>
          <w:p w14:paraId="5761F9A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Improvements to the permission system include the mandatory requirement to consider monitoring and managing relevant impacts. In some cases, biophysical research and monitoring will be required.</w:t>
            </w:r>
            <w:r>
              <w:rPr>
                <w:rFonts w:ascii="Arial Narrow" w:eastAsia="Calibri" w:hAnsi="Arial Narrow"/>
                <w:sz w:val="18"/>
                <w:szCs w:val="18"/>
              </w:rPr>
              <w:t xml:space="preserve"> </w:t>
            </w:r>
            <w:r w:rsidRPr="00E70A11">
              <w:rPr>
                <w:rFonts w:ascii="Arial Narrow" w:eastAsia="Calibri" w:hAnsi="Arial Narrow"/>
                <w:sz w:val="18"/>
                <w:szCs w:val="18"/>
              </w:rPr>
              <w:t>(</w:t>
            </w:r>
            <w:proofErr w:type="gramStart"/>
            <w:r w:rsidRPr="00E70A11">
              <w:rPr>
                <w:rFonts w:ascii="Arial Narrow" w:eastAsia="Calibri" w:hAnsi="Arial Narrow"/>
                <w:sz w:val="18"/>
                <w:szCs w:val="18"/>
              </w:rPr>
              <w:t>as</w:t>
            </w:r>
            <w:proofErr w:type="gramEnd"/>
            <w:r w:rsidRPr="00E70A11">
              <w:rPr>
                <w:rFonts w:ascii="Arial Narrow" w:eastAsia="Calibri" w:hAnsi="Arial Narrow"/>
                <w:sz w:val="18"/>
                <w:szCs w:val="18"/>
              </w:rPr>
              <w:t xml:space="preserve"> described in the </w:t>
            </w:r>
            <w:hyperlink r:id="rId1090" w:history="1">
              <w:r w:rsidRPr="00E70A11">
                <w:rPr>
                  <w:rStyle w:val="Hyperlink"/>
                  <w:rFonts w:ascii="Arial Narrow" w:eastAsia="Calibri" w:hAnsi="Arial Narrow"/>
                  <w:sz w:val="18"/>
                  <w:szCs w:val="18"/>
                </w:rPr>
                <w:t>Assessment Guidelines</w:t>
              </w:r>
            </w:hyperlink>
            <w:r w:rsidRPr="00E70A11">
              <w:rPr>
                <w:rFonts w:ascii="Arial Narrow" w:eastAsia="Calibri" w:hAnsi="Arial Narrow"/>
                <w:sz w:val="18"/>
                <w:szCs w:val="18"/>
              </w:rPr>
              <w:t xml:space="preserve">). </w:t>
            </w:r>
          </w:p>
        </w:tc>
        <w:tc>
          <w:tcPr>
            <w:tcW w:w="4926" w:type="dxa"/>
            <w:tcBorders>
              <w:top w:val="single" w:sz="4" w:space="0" w:color="auto"/>
              <w:left w:val="single" w:sz="4" w:space="0" w:color="auto"/>
              <w:bottom w:val="single" w:sz="4" w:space="0" w:color="auto"/>
              <w:right w:val="single" w:sz="4" w:space="0" w:color="auto"/>
            </w:tcBorders>
          </w:tcPr>
          <w:p w14:paraId="5761F9AE" w14:textId="77777777" w:rsidR="00A56EE9" w:rsidRPr="00E70A11" w:rsidRDefault="00A56EE9" w:rsidP="00A11869">
            <w:pPr>
              <w:pStyle w:val="ListParagraph"/>
              <w:numPr>
                <w:ilvl w:val="0"/>
                <w:numId w:val="24"/>
              </w:numPr>
              <w:spacing w:after="0" w:line="240" w:lineRule="auto"/>
              <w:ind w:left="357"/>
              <w:rPr>
                <w:rStyle w:val="Hyperlink"/>
                <w:rFonts w:ascii="Arial Narrow" w:hAnsi="Arial Narrow"/>
                <w:sz w:val="18"/>
                <w:szCs w:val="18"/>
              </w:rPr>
            </w:pPr>
            <w:r w:rsidRPr="00E70A11">
              <w:rPr>
                <w:rFonts w:ascii="Arial Narrow" w:hAnsi="Arial Narrow"/>
                <w:sz w:val="18"/>
                <w:szCs w:val="18"/>
              </w:rPr>
              <w:t xml:space="preserve">Guidelines: </w:t>
            </w:r>
            <w:hyperlink r:id="rId1091" w:history="1">
              <w:r w:rsidRPr="00E70A11">
                <w:rPr>
                  <w:rStyle w:val="Hyperlink"/>
                  <w:rFonts w:ascii="Arial Narrow" w:hAnsi="Arial Narrow"/>
                  <w:sz w:val="18"/>
                  <w:szCs w:val="18"/>
                </w:rPr>
                <w:t>Traditional Owner Heritage</w:t>
              </w:r>
              <w:r>
                <w:rPr>
                  <w:rStyle w:val="Hyperlink"/>
                  <w:rFonts w:ascii="Arial Narrow" w:hAnsi="Arial Narrow"/>
                  <w:sz w:val="18"/>
                  <w:szCs w:val="18"/>
                </w:rPr>
                <w:t xml:space="preserve"> </w:t>
              </w:r>
              <w:r w:rsidRPr="00E70A11">
                <w:rPr>
                  <w:rStyle w:val="Hyperlink"/>
                  <w:rFonts w:ascii="Arial Narrow" w:hAnsi="Arial Narrow"/>
                  <w:sz w:val="18"/>
                  <w:szCs w:val="18"/>
                </w:rPr>
                <w:t>Assessment</w:t>
              </w:r>
            </w:hyperlink>
          </w:p>
          <w:p w14:paraId="5761F9AF" w14:textId="77777777" w:rsidR="00A56EE9" w:rsidRPr="00E70A11" w:rsidRDefault="008B5998" w:rsidP="00A11869">
            <w:pPr>
              <w:pStyle w:val="ListParagraph"/>
              <w:numPr>
                <w:ilvl w:val="0"/>
                <w:numId w:val="24"/>
              </w:numPr>
              <w:spacing w:after="200" w:line="240" w:lineRule="auto"/>
              <w:rPr>
                <w:rStyle w:val="Hyperlink"/>
                <w:rFonts w:ascii="Arial Narrow" w:hAnsi="Arial Narrow"/>
                <w:sz w:val="18"/>
                <w:szCs w:val="18"/>
              </w:rPr>
            </w:pPr>
            <w:hyperlink r:id="rId1092" w:history="1">
              <w:r w:rsidR="00A56EE9" w:rsidRPr="00E70A11">
                <w:rPr>
                  <w:rStyle w:val="Hyperlink"/>
                  <w:rFonts w:ascii="Arial Narrow" w:hAnsi="Arial Narrow"/>
                  <w:sz w:val="18"/>
                  <w:szCs w:val="18"/>
                </w:rPr>
                <w:t xml:space="preserve"> Guidelines: Woppaburra Traditional Owner Heritage</w:t>
              </w:r>
            </w:hyperlink>
            <w:r w:rsidR="00A56EE9" w:rsidRPr="00E70A11">
              <w:rPr>
                <w:rStyle w:val="Hyperlink"/>
                <w:rFonts w:ascii="Arial Narrow" w:hAnsi="Arial Narrow"/>
                <w:sz w:val="18"/>
                <w:szCs w:val="18"/>
              </w:rPr>
              <w:t xml:space="preserve"> Assessment</w:t>
            </w:r>
          </w:p>
          <w:p w14:paraId="5761F9B0" w14:textId="77777777" w:rsidR="00A56EE9" w:rsidRPr="00E70A11" w:rsidRDefault="00A56EE9" w:rsidP="00BB6AD5">
            <w:pPr>
              <w:rPr>
                <w:rStyle w:val="Hyperlink"/>
                <w:rFonts w:ascii="Arial Narrow" w:hAnsi="Arial Narrow"/>
                <w:sz w:val="18"/>
                <w:szCs w:val="18"/>
                <w:lang w:eastAsia="en-AU"/>
              </w:rPr>
            </w:pPr>
          </w:p>
          <w:p w14:paraId="5761F9B1"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9B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9B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C1"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B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PR10</w:t>
            </w:r>
            <w:r>
              <w:rPr>
                <w:rFonts w:ascii="Arial Narrow" w:hAnsi="Arial Narrow"/>
                <w:sz w:val="18"/>
                <w:szCs w:val="18"/>
              </w:rPr>
              <w:t xml:space="preserve"> </w:t>
            </w:r>
            <w:r w:rsidRPr="00E70A11">
              <w:rPr>
                <w:rFonts w:ascii="Arial Narrow" w:hAnsi="Arial Narrow"/>
                <w:sz w:val="18"/>
                <w:szCs w:val="18"/>
              </w:rPr>
              <w:t>The best available socio-economic research and/or monitoring information is applied appropriately to make relevant management decisions regarding Indigenous heritage</w:t>
            </w:r>
          </w:p>
        </w:tc>
        <w:tc>
          <w:tcPr>
            <w:tcW w:w="643" w:type="dxa"/>
            <w:tcBorders>
              <w:top w:val="single" w:sz="4" w:space="0" w:color="auto"/>
              <w:left w:val="single" w:sz="4" w:space="0" w:color="auto"/>
              <w:bottom w:val="single" w:sz="4" w:space="0" w:color="auto"/>
              <w:right w:val="single" w:sz="4" w:space="0" w:color="auto"/>
            </w:tcBorders>
          </w:tcPr>
          <w:p w14:paraId="5761F9B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4444" w:type="dxa"/>
            <w:tcBorders>
              <w:top w:val="single" w:sz="4" w:space="0" w:color="auto"/>
              <w:left w:val="single" w:sz="4" w:space="0" w:color="auto"/>
              <w:bottom w:val="single" w:sz="4" w:space="0" w:color="auto"/>
              <w:right w:val="single" w:sz="4" w:space="0" w:color="auto"/>
            </w:tcBorders>
          </w:tcPr>
          <w:p w14:paraId="5761F9B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GBRMPA works closely with 70 Traditional Owner clan groups within the Great Barrier Reef - best information from these relationships is used.</w:t>
            </w:r>
          </w:p>
          <w:p w14:paraId="5761F9B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Cultural protocols and data sharing agreement templates are being developed. Until these are in place and being implemented this indicator will remain a gap.</w:t>
            </w:r>
          </w:p>
          <w:p w14:paraId="5761F9B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See PR1 – As part of the consultation process for the Aboriginal and Torres Strait Islander Heritage Strategy, workshops were held to discuss Traditional Owner issues and aspirations with caring for Indigenous heritage. </w:t>
            </w:r>
          </w:p>
          <w:p w14:paraId="5761F9B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Social value assessment guidelines have been developed to help ensure socio-economic implications of a proposed activity are understood. </w:t>
            </w:r>
          </w:p>
          <w:p w14:paraId="5761F9B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Improvements to the permission system- in some cases socio-economic research and monitoring will be required to understand the implications of the proposed activity.</w:t>
            </w:r>
          </w:p>
        </w:tc>
        <w:tc>
          <w:tcPr>
            <w:tcW w:w="4926" w:type="dxa"/>
            <w:tcBorders>
              <w:top w:val="single" w:sz="4" w:space="0" w:color="auto"/>
              <w:left w:val="single" w:sz="4" w:space="0" w:color="auto"/>
              <w:bottom w:val="single" w:sz="4" w:space="0" w:color="auto"/>
              <w:right w:val="single" w:sz="4" w:space="0" w:color="auto"/>
            </w:tcBorders>
          </w:tcPr>
          <w:p w14:paraId="5761F9BC" w14:textId="77777777" w:rsidR="00A56EE9" w:rsidRPr="00774D6C" w:rsidRDefault="00A56EE9" w:rsidP="00A11869">
            <w:pPr>
              <w:pStyle w:val="ListParagraph"/>
              <w:numPr>
                <w:ilvl w:val="0"/>
                <w:numId w:val="24"/>
              </w:numPr>
              <w:spacing w:after="0" w:line="276" w:lineRule="auto"/>
              <w:rPr>
                <w:rFonts w:ascii="Arial Narrow" w:eastAsia="Calibri" w:hAnsi="Arial Narrow"/>
                <w:sz w:val="18"/>
                <w:szCs w:val="18"/>
              </w:rPr>
            </w:pPr>
            <w:r w:rsidRPr="00774D6C">
              <w:rPr>
                <w:rFonts w:ascii="Arial Narrow" w:eastAsia="Calibri" w:hAnsi="Arial Narrow"/>
                <w:sz w:val="18"/>
                <w:szCs w:val="18"/>
              </w:rPr>
              <w:t>Cultural Knowledge Management System implementation and upgrade</w:t>
            </w:r>
          </w:p>
          <w:p w14:paraId="5761F9BD" w14:textId="77777777" w:rsidR="00A56EE9" w:rsidRPr="00E70A11" w:rsidRDefault="00A56EE9" w:rsidP="00A11869">
            <w:pPr>
              <w:pStyle w:val="ListParagraph"/>
              <w:numPr>
                <w:ilvl w:val="0"/>
                <w:numId w:val="24"/>
              </w:numPr>
              <w:spacing w:after="0" w:line="240" w:lineRule="auto"/>
              <w:ind w:left="357" w:hanging="357"/>
              <w:rPr>
                <w:rStyle w:val="Hyperlink"/>
                <w:rFonts w:ascii="Arial Narrow" w:hAnsi="Arial Narrow"/>
                <w:sz w:val="18"/>
                <w:szCs w:val="18"/>
                <w:lang w:val="en-GB"/>
              </w:rPr>
            </w:pPr>
            <w:r w:rsidRPr="00E70A11">
              <w:rPr>
                <w:rFonts w:ascii="Arial Narrow" w:hAnsi="Arial Narrow"/>
                <w:sz w:val="18"/>
                <w:szCs w:val="18"/>
              </w:rPr>
              <w:t xml:space="preserve">Guidelines: </w:t>
            </w:r>
            <w:hyperlink r:id="rId1093" w:history="1">
              <w:r w:rsidRPr="00E70A11">
                <w:rPr>
                  <w:rStyle w:val="Hyperlink"/>
                  <w:rFonts w:ascii="Arial Narrow" w:hAnsi="Arial Narrow"/>
                  <w:sz w:val="18"/>
                  <w:szCs w:val="18"/>
                </w:rPr>
                <w:t>Traditional Owner Heritage</w:t>
              </w:r>
              <w:r>
                <w:rPr>
                  <w:rStyle w:val="Hyperlink"/>
                  <w:rFonts w:ascii="Arial Narrow" w:hAnsi="Arial Narrow"/>
                  <w:sz w:val="18"/>
                  <w:szCs w:val="18"/>
                </w:rPr>
                <w:t xml:space="preserve"> </w:t>
              </w:r>
              <w:r w:rsidRPr="00E70A11">
                <w:rPr>
                  <w:rStyle w:val="Hyperlink"/>
                  <w:rFonts w:ascii="Arial Narrow" w:hAnsi="Arial Narrow"/>
                  <w:sz w:val="18"/>
                  <w:szCs w:val="18"/>
                </w:rPr>
                <w:t>Assessment</w:t>
              </w:r>
            </w:hyperlink>
          </w:p>
          <w:p w14:paraId="5761F9BE"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9B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865" w:type="dxa"/>
            <w:tcBorders>
              <w:top w:val="single" w:sz="4" w:space="0" w:color="auto"/>
              <w:left w:val="single" w:sz="4" w:space="0" w:color="auto"/>
              <w:bottom w:val="single" w:sz="4" w:space="0" w:color="auto"/>
              <w:right w:val="single" w:sz="4" w:space="0" w:color="auto"/>
            </w:tcBorders>
          </w:tcPr>
          <w:p w14:paraId="5761F9C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CC"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C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PR11</w:t>
            </w:r>
            <w:r>
              <w:rPr>
                <w:rFonts w:ascii="Arial Narrow" w:hAnsi="Arial Narrow"/>
                <w:sz w:val="18"/>
                <w:szCs w:val="18"/>
              </w:rPr>
              <w:t xml:space="preserve"> </w:t>
            </w:r>
            <w:r w:rsidRPr="00E70A11">
              <w:rPr>
                <w:rFonts w:ascii="Arial Narrow" w:hAnsi="Arial Narrow"/>
                <w:sz w:val="18"/>
                <w:szCs w:val="18"/>
              </w:rPr>
              <w:t>The best available Indigenous heritage information is applied appropriately to make relevant management decisions regarding Indigenous heritage</w:t>
            </w:r>
          </w:p>
        </w:tc>
        <w:tc>
          <w:tcPr>
            <w:tcW w:w="643" w:type="dxa"/>
            <w:tcBorders>
              <w:top w:val="single" w:sz="4" w:space="0" w:color="auto"/>
              <w:left w:val="single" w:sz="4" w:space="0" w:color="auto"/>
              <w:bottom w:val="single" w:sz="4" w:space="0" w:color="auto"/>
              <w:right w:val="single" w:sz="4" w:space="0" w:color="auto"/>
            </w:tcBorders>
          </w:tcPr>
          <w:p w14:paraId="5761F9C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C4"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Managers in GBRMPA and QPWS often struggle to make decisions relating to indigenous Heritage where there is an absence of available information to guide them (see CO1), and do not wish to cause offence or harm through their lack of understanding. This remains an issue, in spite of efforts to widely involve Traditional Owners in management.</w:t>
            </w:r>
          </w:p>
          <w:p w14:paraId="5761F9C5" w14:textId="77777777" w:rsidR="00A56EE9" w:rsidRPr="00E70A11" w:rsidRDefault="00A56EE9" w:rsidP="00A11869">
            <w:pPr>
              <w:pStyle w:val="ListParagraph"/>
              <w:numPr>
                <w:ilvl w:val="0"/>
                <w:numId w:val="24"/>
              </w:numPr>
              <w:spacing w:after="0" w:line="276" w:lineRule="auto"/>
              <w:ind w:left="357" w:hanging="357"/>
              <w:rPr>
                <w:rFonts w:ascii="Arial Narrow" w:eastAsia="Calibri" w:hAnsi="Arial Narrow"/>
                <w:sz w:val="18"/>
                <w:szCs w:val="18"/>
              </w:rPr>
            </w:pPr>
            <w:r w:rsidRPr="00E70A11">
              <w:rPr>
                <w:rFonts w:ascii="Arial Narrow" w:eastAsia="Calibri" w:hAnsi="Arial Narrow"/>
                <w:sz w:val="18"/>
                <w:szCs w:val="18"/>
              </w:rPr>
              <w:t>However, the application of knowledge has greatly improved over the last decade, especially through direct involvement of Traditional Owners in management of sea country.</w:t>
            </w:r>
          </w:p>
          <w:p w14:paraId="5761F9C6" w14:textId="77777777" w:rsidR="00A56EE9" w:rsidRPr="00E70A11" w:rsidRDefault="00A56EE9" w:rsidP="00A11869">
            <w:pPr>
              <w:pStyle w:val="ListParagraph"/>
              <w:numPr>
                <w:ilvl w:val="0"/>
                <w:numId w:val="24"/>
              </w:numPr>
              <w:spacing w:after="0" w:line="276" w:lineRule="auto"/>
              <w:rPr>
                <w:rFonts w:ascii="Arial Narrow" w:eastAsia="Calibri" w:hAnsi="Arial Narrow"/>
                <w:sz w:val="18"/>
                <w:szCs w:val="18"/>
              </w:rPr>
            </w:pPr>
            <w:r w:rsidRPr="00E70A11">
              <w:rPr>
                <w:rFonts w:ascii="Arial Narrow" w:eastAsia="Calibri" w:hAnsi="Arial Narrow"/>
                <w:sz w:val="18"/>
                <w:szCs w:val="18"/>
              </w:rPr>
              <w:t>Land and Sea Rangers work within cultural systems to discuss issues with their elders and use collaborative decision-making.</w:t>
            </w:r>
          </w:p>
          <w:p w14:paraId="5761F9C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lang w:val="en"/>
              </w:rPr>
              <w:t>A positive new development is the Woppaburra heritage assessment guidelines and case study, which provide location specific information about their heritage values. However, this will not replace the need to consult directly with Traditional Owners about matters and proposed activities in their land and sea country.</w:t>
            </w:r>
          </w:p>
        </w:tc>
        <w:tc>
          <w:tcPr>
            <w:tcW w:w="4926" w:type="dxa"/>
            <w:tcBorders>
              <w:top w:val="single" w:sz="4" w:space="0" w:color="auto"/>
              <w:left w:val="single" w:sz="4" w:space="0" w:color="auto"/>
              <w:bottom w:val="single" w:sz="4" w:space="0" w:color="auto"/>
              <w:right w:val="single" w:sz="4" w:space="0" w:color="auto"/>
            </w:tcBorders>
          </w:tcPr>
          <w:p w14:paraId="5761F9C8"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hAnsi="Arial Narrow"/>
                <w:sz w:val="18"/>
                <w:szCs w:val="18"/>
                <w:lang w:val="en-GB"/>
              </w:rPr>
            </w:pPr>
            <w:hyperlink r:id="rId1094" w:history="1">
              <w:r w:rsidR="00A56EE9" w:rsidRPr="00E70A11">
                <w:rPr>
                  <w:rStyle w:val="Hyperlink"/>
                  <w:rFonts w:ascii="Arial Narrow" w:hAnsi="Arial Narrow"/>
                  <w:sz w:val="18"/>
                  <w:szCs w:val="18"/>
                </w:rPr>
                <w:t xml:space="preserve"> Guidelines: Woppaburra Traditional Owner Heritage</w:t>
              </w:r>
            </w:hyperlink>
            <w:r w:rsidR="00A56EE9" w:rsidRPr="00E70A11">
              <w:rPr>
                <w:rStyle w:val="Hyperlink"/>
                <w:rFonts w:ascii="Arial Narrow" w:hAnsi="Arial Narrow"/>
                <w:sz w:val="18"/>
                <w:szCs w:val="18"/>
              </w:rPr>
              <w:t xml:space="preserve"> Assessment</w:t>
            </w:r>
          </w:p>
          <w:p w14:paraId="5761F9C9"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Workshop discussions</w:t>
            </w:r>
          </w:p>
        </w:tc>
        <w:tc>
          <w:tcPr>
            <w:tcW w:w="980" w:type="dxa"/>
            <w:tcBorders>
              <w:top w:val="single" w:sz="4" w:space="0" w:color="auto"/>
              <w:left w:val="single" w:sz="4" w:space="0" w:color="auto"/>
              <w:bottom w:val="single" w:sz="4" w:space="0" w:color="auto"/>
              <w:right w:val="single" w:sz="4" w:space="0" w:color="auto"/>
            </w:tcBorders>
          </w:tcPr>
          <w:p w14:paraId="5761F9C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865" w:type="dxa"/>
            <w:tcBorders>
              <w:top w:val="single" w:sz="4" w:space="0" w:color="auto"/>
              <w:left w:val="single" w:sz="4" w:space="0" w:color="auto"/>
              <w:bottom w:val="single" w:sz="4" w:space="0" w:color="auto"/>
              <w:right w:val="single" w:sz="4" w:space="0" w:color="auto"/>
            </w:tcBorders>
          </w:tcPr>
          <w:p w14:paraId="5761F9C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D3"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C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PR12</w:t>
            </w:r>
            <w:r>
              <w:rPr>
                <w:rFonts w:ascii="Arial Narrow" w:hAnsi="Arial Narrow"/>
                <w:sz w:val="18"/>
                <w:szCs w:val="18"/>
              </w:rPr>
              <w:t xml:space="preserve"> </w:t>
            </w:r>
            <w:r w:rsidRPr="00E70A11">
              <w:rPr>
                <w:rFonts w:ascii="Arial Narrow" w:hAnsi="Arial Narrow"/>
                <w:sz w:val="18"/>
                <w:szCs w:val="18"/>
              </w:rPr>
              <w:t>The best available historic heritage information is applied appropriately to make relevant management decisions regarding Indigenous heritage</w:t>
            </w:r>
          </w:p>
        </w:tc>
        <w:tc>
          <w:tcPr>
            <w:tcW w:w="643" w:type="dxa"/>
            <w:tcBorders>
              <w:top w:val="single" w:sz="4" w:space="0" w:color="auto"/>
              <w:left w:val="single" w:sz="4" w:space="0" w:color="auto"/>
              <w:bottom w:val="single" w:sz="4" w:space="0" w:color="auto"/>
              <w:right w:val="single" w:sz="4" w:space="0" w:color="auto"/>
            </w:tcBorders>
          </w:tcPr>
          <w:p w14:paraId="5761F9CE" w14:textId="77777777" w:rsidR="00A56EE9" w:rsidRPr="00E70A11" w:rsidRDefault="00A56EE9" w:rsidP="00BB6AD5">
            <w:pPr>
              <w:rPr>
                <w:rFonts w:ascii="Arial Narrow" w:hAnsi="Arial Narrow"/>
                <w:sz w:val="18"/>
                <w:szCs w:val="18"/>
              </w:rPr>
            </w:pPr>
            <w:r w:rsidRPr="00E70A11">
              <w:rPr>
                <w:rFonts w:ascii="Arial Narrow" w:eastAsia="Calibri" w:hAnsi="Arial Narrow"/>
                <w:sz w:val="18"/>
                <w:szCs w:val="18"/>
              </w:rPr>
              <w:t>n/a</w:t>
            </w:r>
          </w:p>
        </w:tc>
        <w:tc>
          <w:tcPr>
            <w:tcW w:w="4444" w:type="dxa"/>
            <w:tcBorders>
              <w:top w:val="single" w:sz="4" w:space="0" w:color="auto"/>
              <w:left w:val="single" w:sz="4" w:space="0" w:color="auto"/>
              <w:bottom w:val="single" w:sz="4" w:space="0" w:color="auto"/>
              <w:right w:val="single" w:sz="4" w:space="0" w:color="auto"/>
            </w:tcBorders>
          </w:tcPr>
          <w:p w14:paraId="5761F9CF" w14:textId="77777777" w:rsidR="00A56EE9" w:rsidRPr="00E70A11" w:rsidRDefault="00A56EE9" w:rsidP="00BB6AD5">
            <w:pPr>
              <w:ind w:left="360"/>
              <w:contextualSpacing/>
              <w:rPr>
                <w:rFonts w:ascii="Arial Narrow" w:eastAsia="Calibri" w:hAnsi="Arial Narrow"/>
                <w:sz w:val="18"/>
                <w:szCs w:val="18"/>
              </w:rPr>
            </w:pPr>
          </w:p>
        </w:tc>
        <w:tc>
          <w:tcPr>
            <w:tcW w:w="4926" w:type="dxa"/>
            <w:tcBorders>
              <w:top w:val="single" w:sz="4" w:space="0" w:color="auto"/>
              <w:left w:val="single" w:sz="4" w:space="0" w:color="auto"/>
              <w:bottom w:val="single" w:sz="4" w:space="0" w:color="auto"/>
              <w:right w:val="single" w:sz="4" w:space="0" w:color="auto"/>
            </w:tcBorders>
          </w:tcPr>
          <w:p w14:paraId="5761F9D0" w14:textId="77777777" w:rsidR="00A56EE9" w:rsidRPr="00E70A11" w:rsidRDefault="00A56EE9" w:rsidP="00BB6AD5">
            <w:pPr>
              <w:ind w:left="360"/>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9D1" w14:textId="77777777" w:rsidR="00A56EE9" w:rsidRPr="00E70A11" w:rsidRDefault="00A56EE9" w:rsidP="00BB6AD5">
            <w:pPr>
              <w:rPr>
                <w:rFonts w:ascii="Arial Narrow" w:hAnsi="Arial Narrow"/>
                <w:sz w:val="18"/>
                <w:szCs w:val="18"/>
              </w:rPr>
            </w:pPr>
          </w:p>
        </w:tc>
        <w:tc>
          <w:tcPr>
            <w:tcW w:w="865" w:type="dxa"/>
            <w:tcBorders>
              <w:top w:val="single" w:sz="4" w:space="0" w:color="auto"/>
              <w:left w:val="single" w:sz="4" w:space="0" w:color="auto"/>
              <w:bottom w:val="single" w:sz="4" w:space="0" w:color="auto"/>
              <w:right w:val="single" w:sz="4" w:space="0" w:color="auto"/>
            </w:tcBorders>
          </w:tcPr>
          <w:p w14:paraId="5761F9D2" w14:textId="77777777" w:rsidR="00A56EE9" w:rsidRPr="00E70A11" w:rsidRDefault="00A56EE9" w:rsidP="00BB6AD5">
            <w:pPr>
              <w:rPr>
                <w:rFonts w:ascii="Arial Narrow" w:hAnsi="Arial Narrow"/>
                <w:sz w:val="18"/>
                <w:szCs w:val="18"/>
              </w:rPr>
            </w:pPr>
          </w:p>
        </w:tc>
      </w:tr>
      <w:tr w:rsidR="00A56EE9" w:rsidRPr="00E70A11" w14:paraId="5761F9DE"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shd w:val="clear" w:color="auto" w:fill="auto"/>
          </w:tcPr>
          <w:p w14:paraId="5761F9D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PR13</w:t>
            </w:r>
            <w:r>
              <w:rPr>
                <w:rFonts w:ascii="Arial Narrow" w:hAnsi="Arial Narrow"/>
                <w:sz w:val="18"/>
                <w:szCs w:val="18"/>
              </w:rPr>
              <w:t xml:space="preserve"> </w:t>
            </w:r>
            <w:r w:rsidRPr="00E70A11">
              <w:rPr>
                <w:rFonts w:ascii="Arial Narrow" w:hAnsi="Arial Narrow"/>
                <w:sz w:val="18"/>
                <w:szCs w:val="18"/>
              </w:rPr>
              <w:t>Relevant standards are identified and being met regarding Indigenous heritage</w:t>
            </w:r>
          </w:p>
        </w:tc>
        <w:tc>
          <w:tcPr>
            <w:tcW w:w="643" w:type="dxa"/>
            <w:tcBorders>
              <w:top w:val="single" w:sz="4" w:space="0" w:color="auto"/>
              <w:left w:val="single" w:sz="4" w:space="0" w:color="auto"/>
              <w:bottom w:val="single" w:sz="4" w:space="0" w:color="auto"/>
              <w:right w:val="single" w:sz="4" w:space="0" w:color="auto"/>
            </w:tcBorders>
          </w:tcPr>
          <w:p w14:paraId="5761F9D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D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sets draft Indigenous Heritage Strategy out guidelines and standards for Indigenous heritage conservation, but this has not yet been implemented.</w:t>
            </w:r>
          </w:p>
          <w:p w14:paraId="5761F9D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Prior to 2016 the GBRMPA had no documented standards for the capture and handling of culturally sensitive material (exception with regard to photographs and permission to use these). Development of Cultural protocol and a data sharing agreement standard will be a major advance. RIMREP DMS4 and RIMREP Indigenous Heritage Expert Working Group are working to address this.</w:t>
            </w:r>
          </w:p>
          <w:p w14:paraId="5761F9D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Queensland Government has a Cultural Capability Framework, but the protocols for consultation on the website are 20 years old and may not be relevant. </w:t>
            </w:r>
          </w:p>
        </w:tc>
        <w:tc>
          <w:tcPr>
            <w:tcW w:w="4926" w:type="dxa"/>
            <w:tcBorders>
              <w:top w:val="single" w:sz="4" w:space="0" w:color="auto"/>
              <w:left w:val="single" w:sz="4" w:space="0" w:color="auto"/>
              <w:bottom w:val="single" w:sz="4" w:space="0" w:color="auto"/>
              <w:right w:val="single" w:sz="4" w:space="0" w:color="auto"/>
            </w:tcBorders>
          </w:tcPr>
          <w:p w14:paraId="5761F9D9"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1095" w:history="1">
              <w:r w:rsidR="00A56EE9" w:rsidRPr="00E70A11">
                <w:rPr>
                  <w:rStyle w:val="Hyperlink"/>
                  <w:rFonts w:ascii="Arial Narrow" w:hAnsi="Arial Narrow"/>
                  <w:sz w:val="18"/>
                  <w:szCs w:val="18"/>
                </w:rPr>
                <w:t>Draft Aboriginal and Islander Heritage Strategy</w:t>
              </w:r>
            </w:hyperlink>
          </w:p>
          <w:p w14:paraId="5761F9DA"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1096" w:history="1">
              <w:r w:rsidR="00A56EE9" w:rsidRPr="00E70A11">
                <w:rPr>
                  <w:rStyle w:val="Hyperlink"/>
                  <w:rFonts w:ascii="Arial Narrow" w:hAnsi="Arial Narrow"/>
                  <w:sz w:val="18"/>
                  <w:szCs w:val="18"/>
                </w:rPr>
                <w:t>Queensland Government Cultural Capability Framework</w:t>
              </w:r>
            </w:hyperlink>
          </w:p>
          <w:p w14:paraId="5761F9DB"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9D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9D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EB"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D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PR14</w:t>
            </w:r>
            <w:r>
              <w:rPr>
                <w:rFonts w:ascii="Arial Narrow" w:hAnsi="Arial Narrow"/>
                <w:sz w:val="18"/>
                <w:szCs w:val="18"/>
              </w:rPr>
              <w:t xml:space="preserve"> </w:t>
            </w:r>
            <w:r w:rsidRPr="00E70A11">
              <w:rPr>
                <w:rFonts w:ascii="Arial Narrow" w:hAnsi="Arial Narrow"/>
                <w:sz w:val="18"/>
                <w:szCs w:val="18"/>
              </w:rPr>
              <w:t>Targets have been established to benchmark management performance for Indigenous heritage</w:t>
            </w:r>
          </w:p>
        </w:tc>
        <w:tc>
          <w:tcPr>
            <w:tcW w:w="643" w:type="dxa"/>
            <w:tcBorders>
              <w:top w:val="single" w:sz="4" w:space="0" w:color="auto"/>
              <w:left w:val="single" w:sz="4" w:space="0" w:color="auto"/>
              <w:bottom w:val="single" w:sz="4" w:space="0" w:color="auto"/>
              <w:right w:val="single" w:sz="4" w:space="0" w:color="auto"/>
            </w:tcBorders>
          </w:tcPr>
          <w:p w14:paraId="5761F9E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E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Targets and actions are set in the Reef 2050 Plan (across all themes) – see appendix to the Indigenous Partnerships section plan which lists all ‘traditional owner’ actions in the Reef 2050 Plan.</w:t>
            </w:r>
          </w:p>
          <w:p w14:paraId="5761F9E2" w14:textId="77777777" w:rsidR="00A56EE9" w:rsidRPr="00E70A11" w:rsidRDefault="00A56EE9" w:rsidP="00A11869">
            <w:pPr>
              <w:numPr>
                <w:ilvl w:val="0"/>
                <w:numId w:val="24"/>
              </w:numPr>
              <w:spacing w:after="0" w:line="240" w:lineRule="auto"/>
              <w:ind w:left="720"/>
              <w:contextualSpacing/>
              <w:rPr>
                <w:rFonts w:ascii="Arial Narrow" w:eastAsia="Calibri" w:hAnsi="Arial Narrow"/>
                <w:sz w:val="18"/>
                <w:szCs w:val="18"/>
              </w:rPr>
            </w:pPr>
            <w:r w:rsidRPr="00E70A11">
              <w:rPr>
                <w:rFonts w:ascii="Arial Narrow" w:eastAsia="Calibri" w:hAnsi="Arial Narrow"/>
                <w:sz w:val="18"/>
                <w:szCs w:val="18"/>
              </w:rPr>
              <w:t xml:space="preserve">Internal process in GBRMPA and the joint Field management Program include Indigenous engagement with established targets to benchmark performance (e.g. set number of TUMRA meetings attended, target to increase the number of Traditional Owners on </w:t>
            </w:r>
            <w:proofErr w:type="gramStart"/>
            <w:r w:rsidRPr="00E70A11">
              <w:rPr>
                <w:rFonts w:ascii="Arial Narrow" w:eastAsia="Calibri" w:hAnsi="Arial Narrow"/>
                <w:sz w:val="18"/>
                <w:szCs w:val="18"/>
              </w:rPr>
              <w:t>Marine Parks</w:t>
            </w:r>
            <w:proofErr w:type="gramEnd"/>
            <w:r w:rsidRPr="00E70A11">
              <w:rPr>
                <w:rFonts w:ascii="Arial Narrow" w:eastAsia="Calibri" w:hAnsi="Arial Narrow"/>
                <w:sz w:val="18"/>
                <w:szCs w:val="18"/>
              </w:rPr>
              <w:t xml:space="preserve"> vessels over time).</w:t>
            </w:r>
          </w:p>
          <w:p w14:paraId="5761F9E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Targets are set in the draft Indigenous Heritage Strategy.</w:t>
            </w:r>
          </w:p>
        </w:tc>
        <w:tc>
          <w:tcPr>
            <w:tcW w:w="4926" w:type="dxa"/>
            <w:tcBorders>
              <w:top w:val="single" w:sz="4" w:space="0" w:color="auto"/>
              <w:left w:val="single" w:sz="4" w:space="0" w:color="auto"/>
              <w:bottom w:val="single" w:sz="4" w:space="0" w:color="auto"/>
              <w:right w:val="single" w:sz="4" w:space="0" w:color="auto"/>
            </w:tcBorders>
          </w:tcPr>
          <w:p w14:paraId="5761F9E4"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hAnsi="Arial Narrow"/>
                <w:sz w:val="18"/>
                <w:szCs w:val="18"/>
              </w:rPr>
            </w:pPr>
            <w:hyperlink r:id="rId1097" w:history="1">
              <w:r w:rsidR="00A56EE9" w:rsidRPr="00E70A11">
                <w:rPr>
                  <w:rStyle w:val="Hyperlink"/>
                  <w:rFonts w:ascii="Arial Narrow" w:hAnsi="Arial Narrow"/>
                  <w:sz w:val="18"/>
                  <w:szCs w:val="18"/>
                </w:rPr>
                <w:t>Draft Aboriginal and Islander Heritage Strategy</w:t>
              </w:r>
            </w:hyperlink>
          </w:p>
          <w:p w14:paraId="5761F9E5"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hAnsi="Arial Narrow"/>
                <w:sz w:val="18"/>
                <w:szCs w:val="18"/>
              </w:rPr>
            </w:pPr>
            <w:hyperlink r:id="rId1098" w:history="1">
              <w:r w:rsidR="00A56EE9" w:rsidRPr="00E70A11">
                <w:rPr>
                  <w:rStyle w:val="Hyperlink"/>
                  <w:rFonts w:ascii="Arial Narrow" w:hAnsi="Arial Narrow"/>
                  <w:sz w:val="18"/>
                  <w:szCs w:val="18"/>
                </w:rPr>
                <w:t>Reef 2050 Plan</w:t>
              </w:r>
            </w:hyperlink>
          </w:p>
          <w:p w14:paraId="5761F9E6"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Field Management Plan Business Strategies</w:t>
            </w:r>
          </w:p>
          <w:p w14:paraId="5761F9E7"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 xml:space="preserve">LSCP plans </w:t>
            </w:r>
          </w:p>
          <w:p w14:paraId="5761F9E8" w14:textId="77777777" w:rsidR="00A56EE9" w:rsidRPr="00E70A11" w:rsidRDefault="00A56EE9" w:rsidP="00BB6AD5">
            <w:pPr>
              <w:ind w:left="357"/>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9E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9E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9F2"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shd w:val="clear" w:color="auto" w:fill="E7E6E6"/>
          </w:tcPr>
          <w:p w14:paraId="5761F9E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OUTPUTS</w:t>
            </w:r>
          </w:p>
        </w:tc>
        <w:tc>
          <w:tcPr>
            <w:tcW w:w="643" w:type="dxa"/>
            <w:tcBorders>
              <w:top w:val="single" w:sz="4" w:space="0" w:color="auto"/>
              <w:left w:val="single" w:sz="4" w:space="0" w:color="auto"/>
              <w:bottom w:val="single" w:sz="4" w:space="0" w:color="auto"/>
              <w:right w:val="single" w:sz="4" w:space="0" w:color="auto"/>
            </w:tcBorders>
            <w:shd w:val="clear" w:color="auto" w:fill="E7E6E6"/>
          </w:tcPr>
          <w:p w14:paraId="5761F9ED" w14:textId="77777777" w:rsidR="00A56EE9" w:rsidRPr="00E70A11" w:rsidRDefault="00A56EE9" w:rsidP="00BB6AD5">
            <w:pPr>
              <w:rPr>
                <w:rFonts w:ascii="Arial Narrow" w:hAnsi="Arial Narrow"/>
                <w:sz w:val="18"/>
                <w:szCs w:val="18"/>
              </w:rPr>
            </w:pPr>
          </w:p>
        </w:tc>
        <w:tc>
          <w:tcPr>
            <w:tcW w:w="4444" w:type="dxa"/>
            <w:tcBorders>
              <w:top w:val="single" w:sz="4" w:space="0" w:color="auto"/>
              <w:left w:val="single" w:sz="4" w:space="0" w:color="auto"/>
              <w:bottom w:val="single" w:sz="4" w:space="0" w:color="auto"/>
              <w:right w:val="single" w:sz="4" w:space="0" w:color="auto"/>
            </w:tcBorders>
            <w:shd w:val="clear" w:color="auto" w:fill="E7E6E6"/>
          </w:tcPr>
          <w:p w14:paraId="5761F9EE" w14:textId="77777777" w:rsidR="00A56EE9" w:rsidRPr="00E70A11" w:rsidRDefault="00A56EE9" w:rsidP="00BB6AD5">
            <w:pPr>
              <w:ind w:left="360"/>
              <w:contextualSpacing/>
              <w:rPr>
                <w:rFonts w:ascii="Arial Narrow" w:eastAsia="Calibri" w:hAnsi="Arial Narrow"/>
                <w:sz w:val="18"/>
                <w:szCs w:val="18"/>
              </w:rPr>
            </w:pPr>
          </w:p>
        </w:tc>
        <w:tc>
          <w:tcPr>
            <w:tcW w:w="4926" w:type="dxa"/>
            <w:tcBorders>
              <w:top w:val="single" w:sz="4" w:space="0" w:color="auto"/>
              <w:left w:val="single" w:sz="4" w:space="0" w:color="auto"/>
              <w:bottom w:val="single" w:sz="4" w:space="0" w:color="auto"/>
              <w:right w:val="single" w:sz="4" w:space="0" w:color="auto"/>
            </w:tcBorders>
            <w:shd w:val="clear" w:color="auto" w:fill="E7E6E6"/>
          </w:tcPr>
          <w:p w14:paraId="5761F9EF" w14:textId="77777777" w:rsidR="00A56EE9" w:rsidRPr="00E70A11" w:rsidRDefault="00A56EE9" w:rsidP="00BB6AD5">
            <w:pPr>
              <w:ind w:left="360"/>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shd w:val="clear" w:color="auto" w:fill="E7E6E6"/>
          </w:tcPr>
          <w:p w14:paraId="5761F9F0" w14:textId="77777777" w:rsidR="00A56EE9" w:rsidRPr="00E70A11" w:rsidRDefault="00A56EE9" w:rsidP="00BB6AD5">
            <w:pPr>
              <w:rPr>
                <w:rFonts w:ascii="Arial Narrow" w:hAnsi="Arial Narrow"/>
                <w:sz w:val="18"/>
                <w:szCs w:val="18"/>
              </w:rPr>
            </w:pPr>
          </w:p>
        </w:tc>
        <w:tc>
          <w:tcPr>
            <w:tcW w:w="865" w:type="dxa"/>
            <w:tcBorders>
              <w:top w:val="single" w:sz="4" w:space="0" w:color="auto"/>
              <w:left w:val="single" w:sz="4" w:space="0" w:color="auto"/>
              <w:bottom w:val="single" w:sz="4" w:space="0" w:color="auto"/>
              <w:right w:val="single" w:sz="4" w:space="0" w:color="auto"/>
            </w:tcBorders>
            <w:shd w:val="clear" w:color="auto" w:fill="E7E6E6"/>
          </w:tcPr>
          <w:p w14:paraId="5761F9F1" w14:textId="77777777" w:rsidR="00A56EE9" w:rsidRPr="00E70A11" w:rsidRDefault="00A56EE9" w:rsidP="00BB6AD5">
            <w:pPr>
              <w:rPr>
                <w:rFonts w:ascii="Arial Narrow" w:hAnsi="Arial Narrow"/>
                <w:sz w:val="18"/>
                <w:szCs w:val="18"/>
              </w:rPr>
            </w:pPr>
          </w:p>
        </w:tc>
      </w:tr>
      <w:tr w:rsidR="00A56EE9" w:rsidRPr="00E70A11" w14:paraId="5761FA03"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9F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OP1</w:t>
            </w:r>
            <w:r>
              <w:rPr>
                <w:rFonts w:ascii="Arial Narrow" w:hAnsi="Arial Narrow"/>
                <w:sz w:val="18"/>
                <w:szCs w:val="18"/>
              </w:rPr>
              <w:t xml:space="preserve"> </w:t>
            </w:r>
            <w:r w:rsidRPr="00E70A11">
              <w:rPr>
                <w:rFonts w:ascii="Arial Narrow" w:hAnsi="Arial Narrow"/>
                <w:sz w:val="18"/>
                <w:szCs w:val="18"/>
              </w:rPr>
              <w:t xml:space="preserve">To date, the actual management program (or activities) have progressed in accordance with the planned work program for Indigenous heritage </w:t>
            </w:r>
          </w:p>
        </w:tc>
        <w:tc>
          <w:tcPr>
            <w:tcW w:w="643" w:type="dxa"/>
            <w:tcBorders>
              <w:top w:val="single" w:sz="4" w:space="0" w:color="auto"/>
              <w:left w:val="single" w:sz="4" w:space="0" w:color="auto"/>
              <w:bottom w:val="single" w:sz="4" w:space="0" w:color="auto"/>
              <w:right w:val="single" w:sz="4" w:space="0" w:color="auto"/>
            </w:tcBorders>
          </w:tcPr>
          <w:p w14:paraId="5761F9F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9F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GBRMPA is now in the fifth and final year of the second formal round of the Land and Sea Country Partnerships program implementation with 100 percent completion against all milestone requirements to date.</w:t>
            </w:r>
          </w:p>
          <w:p w14:paraId="5761F9F6"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Compliance Training has been delivered to over 500 Traditional Owners, which has exceeded the five year target of training 200 Traditional Owners by 250%.</w:t>
            </w:r>
          </w:p>
          <w:p w14:paraId="5761F9F7" w14:textId="77777777" w:rsidR="00A56EE9" w:rsidRPr="00E70A11" w:rsidRDefault="00A56EE9" w:rsidP="00A11869">
            <w:pPr>
              <w:pStyle w:val="ListParagraph"/>
              <w:numPr>
                <w:ilvl w:val="0"/>
                <w:numId w:val="161"/>
              </w:numPr>
              <w:spacing w:after="0" w:line="240" w:lineRule="auto"/>
              <w:ind w:left="357" w:hanging="357"/>
              <w:rPr>
                <w:rFonts w:ascii="Arial Narrow" w:eastAsia="Calibri" w:hAnsi="Arial Narrow"/>
                <w:sz w:val="18"/>
                <w:szCs w:val="18"/>
              </w:rPr>
            </w:pPr>
            <w:r w:rsidRPr="00E70A11">
              <w:rPr>
                <w:rFonts w:ascii="Arial Narrow" w:eastAsia="Calibri" w:hAnsi="Arial Narrow"/>
                <w:sz w:val="18"/>
                <w:szCs w:val="18"/>
              </w:rPr>
              <w:t>Reef 2050 activities have progressed satisfactorily e.g.</w:t>
            </w:r>
          </w:p>
          <w:p w14:paraId="5761F9F8" w14:textId="77777777" w:rsidR="00A56EE9" w:rsidRPr="00E70A11" w:rsidRDefault="00A56EE9" w:rsidP="00BB6AD5">
            <w:pPr>
              <w:pStyle w:val="ListParagraph"/>
              <w:spacing w:after="0"/>
              <w:ind w:left="357"/>
              <w:rPr>
                <w:rFonts w:ascii="Arial Narrow" w:eastAsia="Calibri" w:hAnsi="Arial Narrow"/>
                <w:sz w:val="18"/>
                <w:szCs w:val="18"/>
              </w:rPr>
            </w:pPr>
            <w:r w:rsidRPr="00E70A11">
              <w:rPr>
                <w:rFonts w:ascii="Arial Narrow" w:eastAsia="Calibri" w:hAnsi="Arial Narrow"/>
                <w:sz w:val="18"/>
                <w:szCs w:val="18"/>
              </w:rPr>
              <w:t>The Aboriginal and Torres Strait Islander Heritage Strategy has progressed in accordance with the work program and is now available for comment.</w:t>
            </w:r>
          </w:p>
          <w:p w14:paraId="5761F9F9" w14:textId="77777777" w:rsidR="00A56EE9" w:rsidRPr="00E70A11" w:rsidRDefault="00A56EE9" w:rsidP="00A11869">
            <w:pPr>
              <w:pStyle w:val="ListParagraph"/>
              <w:numPr>
                <w:ilvl w:val="0"/>
                <w:numId w:val="162"/>
              </w:numPr>
              <w:spacing w:after="0" w:line="276" w:lineRule="auto"/>
              <w:ind w:left="357"/>
              <w:rPr>
                <w:rFonts w:ascii="Arial Narrow" w:eastAsia="Calibri" w:hAnsi="Arial Narrow"/>
                <w:sz w:val="18"/>
                <w:szCs w:val="18"/>
              </w:rPr>
            </w:pPr>
            <w:r w:rsidRPr="00E70A11">
              <w:rPr>
                <w:rFonts w:ascii="Arial Narrow" w:eastAsia="Calibri" w:hAnsi="Arial Narrow"/>
                <w:sz w:val="18"/>
                <w:szCs w:val="18"/>
              </w:rPr>
              <w:t>Protocol for managing culturally sensitive information is in development.</w:t>
            </w:r>
          </w:p>
          <w:p w14:paraId="5761F9FA" w14:textId="77777777" w:rsidR="00A56EE9" w:rsidRPr="00E70A11" w:rsidRDefault="00A56EE9" w:rsidP="00A11869">
            <w:pPr>
              <w:numPr>
                <w:ilvl w:val="0"/>
                <w:numId w:val="161"/>
              </w:numPr>
              <w:spacing w:after="0" w:line="240" w:lineRule="auto"/>
              <w:ind w:left="357"/>
              <w:contextualSpacing/>
              <w:rPr>
                <w:rFonts w:ascii="Arial Narrow" w:eastAsia="Calibri" w:hAnsi="Arial Narrow"/>
                <w:sz w:val="18"/>
                <w:szCs w:val="18"/>
              </w:rPr>
            </w:pPr>
            <w:r w:rsidRPr="00E70A11">
              <w:rPr>
                <w:rFonts w:ascii="Arial Narrow" w:eastAsia="Calibri" w:hAnsi="Arial Narrow"/>
                <w:sz w:val="18"/>
                <w:szCs w:val="18"/>
              </w:rPr>
              <w:t>Cultural knowledge management system (database) to hold negotiated and agreed information has been developed.</w:t>
            </w:r>
          </w:p>
          <w:p w14:paraId="5761F9FB" w14:textId="77777777" w:rsidR="00A56EE9" w:rsidRDefault="00A56EE9" w:rsidP="00A11869">
            <w:pPr>
              <w:numPr>
                <w:ilvl w:val="0"/>
                <w:numId w:val="161"/>
              </w:numPr>
              <w:spacing w:after="0" w:line="240" w:lineRule="auto"/>
              <w:ind w:left="357"/>
              <w:contextualSpacing/>
              <w:rPr>
                <w:rFonts w:ascii="Arial Narrow" w:eastAsia="Calibri" w:hAnsi="Arial Narrow"/>
                <w:sz w:val="18"/>
                <w:szCs w:val="18"/>
              </w:rPr>
            </w:pPr>
            <w:r w:rsidRPr="00E70A11">
              <w:rPr>
                <w:rFonts w:ascii="Arial Narrow" w:eastAsia="Calibri" w:hAnsi="Arial Narrow"/>
                <w:sz w:val="18"/>
                <w:szCs w:val="18"/>
              </w:rPr>
              <w:t>Improvements to the permission system relevant to Indigenous heritage are in line with the Reef 2050 Plan</w:t>
            </w:r>
            <w:r>
              <w:rPr>
                <w:rFonts w:ascii="Arial Narrow" w:eastAsia="Calibri" w:hAnsi="Arial Narrow"/>
                <w:sz w:val="18"/>
                <w:szCs w:val="18"/>
              </w:rPr>
              <w:t>.</w:t>
            </w:r>
          </w:p>
          <w:p w14:paraId="5761F9FC" w14:textId="77777777" w:rsidR="00A56EE9" w:rsidRDefault="00A56EE9" w:rsidP="00A11869">
            <w:pPr>
              <w:numPr>
                <w:ilvl w:val="0"/>
                <w:numId w:val="161"/>
              </w:numPr>
              <w:spacing w:after="0" w:line="240" w:lineRule="auto"/>
              <w:ind w:left="357"/>
              <w:contextualSpacing/>
              <w:rPr>
                <w:rFonts w:ascii="Arial Narrow" w:eastAsia="Calibri" w:hAnsi="Arial Narrow"/>
                <w:sz w:val="18"/>
                <w:szCs w:val="18"/>
              </w:rPr>
            </w:pPr>
            <w:r>
              <w:rPr>
                <w:rFonts w:ascii="Arial Narrow" w:eastAsia="Calibri" w:hAnsi="Arial Narrow"/>
                <w:sz w:val="18"/>
                <w:szCs w:val="18"/>
              </w:rPr>
              <w:t>A stand alone Aboriginal and Torres Strait Islander Heritage Strategy has been endorsed by the MPA Board and went out for public consultation in 2018. It is still to be finalised.</w:t>
            </w:r>
            <w:r w:rsidRPr="00E70A11">
              <w:rPr>
                <w:rFonts w:ascii="Arial Narrow" w:eastAsia="Calibri" w:hAnsi="Arial Narrow"/>
                <w:sz w:val="18"/>
                <w:szCs w:val="18"/>
              </w:rPr>
              <w:t xml:space="preserve"> </w:t>
            </w:r>
          </w:p>
          <w:p w14:paraId="5761F9FD" w14:textId="77777777" w:rsidR="00A56EE9" w:rsidRPr="00E70A11" w:rsidRDefault="00A56EE9" w:rsidP="00A11869">
            <w:pPr>
              <w:numPr>
                <w:ilvl w:val="0"/>
                <w:numId w:val="161"/>
              </w:numPr>
              <w:spacing w:after="0" w:line="240" w:lineRule="auto"/>
              <w:ind w:left="357"/>
              <w:contextualSpacing/>
              <w:rPr>
                <w:rFonts w:ascii="Arial Narrow" w:eastAsia="Calibri" w:hAnsi="Arial Narrow"/>
                <w:sz w:val="18"/>
                <w:szCs w:val="18"/>
              </w:rPr>
            </w:pPr>
            <w:r>
              <w:rPr>
                <w:rFonts w:ascii="Arial Narrow" w:eastAsia="Calibri" w:hAnsi="Arial Narrow"/>
                <w:sz w:val="18"/>
                <w:szCs w:val="18"/>
              </w:rPr>
              <w:t>A program to clarify Traditional Owner Aspirations for Reef management has been funded beginning in 2018 but outputs from this have not yet been seen.</w:t>
            </w:r>
          </w:p>
        </w:tc>
        <w:tc>
          <w:tcPr>
            <w:tcW w:w="4926" w:type="dxa"/>
            <w:tcBorders>
              <w:top w:val="single" w:sz="4" w:space="0" w:color="auto"/>
              <w:left w:val="single" w:sz="4" w:space="0" w:color="auto"/>
              <w:bottom w:val="single" w:sz="4" w:space="0" w:color="auto"/>
              <w:right w:val="single" w:sz="4" w:space="0" w:color="auto"/>
            </w:tcBorders>
          </w:tcPr>
          <w:p w14:paraId="5761F9F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Annual reports for the Land and Sea Country Partnerships program</w:t>
            </w:r>
          </w:p>
          <w:p w14:paraId="5761F9FF"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1099" w:history="1">
              <w:r w:rsidR="00A56EE9" w:rsidRPr="00E70A11">
                <w:rPr>
                  <w:rStyle w:val="Hyperlink"/>
                  <w:rFonts w:ascii="Arial Narrow" w:hAnsi="Arial Narrow"/>
                  <w:sz w:val="18"/>
                  <w:szCs w:val="18"/>
                  <w:lang w:eastAsia="en-AU"/>
                </w:rPr>
                <w:t>Draft Aboriginal and Islander Heritage Strategy</w:t>
              </w:r>
            </w:hyperlink>
          </w:p>
          <w:p w14:paraId="5761FA0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Reef 2050 Plan Action reporting</w:t>
            </w:r>
          </w:p>
        </w:tc>
        <w:tc>
          <w:tcPr>
            <w:tcW w:w="980" w:type="dxa"/>
            <w:tcBorders>
              <w:top w:val="single" w:sz="4" w:space="0" w:color="auto"/>
              <w:left w:val="single" w:sz="4" w:space="0" w:color="auto"/>
              <w:bottom w:val="single" w:sz="4" w:space="0" w:color="auto"/>
              <w:right w:val="single" w:sz="4" w:space="0" w:color="auto"/>
            </w:tcBorders>
          </w:tcPr>
          <w:p w14:paraId="5761FA0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A0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A10"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A0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OP2</w:t>
            </w:r>
            <w:r>
              <w:rPr>
                <w:rFonts w:ascii="Arial Narrow" w:hAnsi="Arial Narrow"/>
                <w:sz w:val="18"/>
                <w:szCs w:val="18"/>
              </w:rPr>
              <w:t xml:space="preserve"> </w:t>
            </w:r>
            <w:r w:rsidRPr="00E70A11">
              <w:rPr>
                <w:rFonts w:ascii="Arial Narrow" w:hAnsi="Arial Narrow"/>
                <w:sz w:val="18"/>
                <w:szCs w:val="18"/>
              </w:rPr>
              <w:t>Implementation of management documents and/or programs relevant to Indigenous heritage have progressed in accordance with timeframes specified in those documents</w:t>
            </w:r>
          </w:p>
        </w:tc>
        <w:tc>
          <w:tcPr>
            <w:tcW w:w="643" w:type="dxa"/>
            <w:tcBorders>
              <w:top w:val="single" w:sz="4" w:space="0" w:color="auto"/>
              <w:left w:val="single" w:sz="4" w:space="0" w:color="auto"/>
              <w:bottom w:val="single" w:sz="4" w:space="0" w:color="auto"/>
              <w:right w:val="single" w:sz="4" w:space="0" w:color="auto"/>
            </w:tcBorders>
          </w:tcPr>
          <w:p w14:paraId="5761FA0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A06" w14:textId="77777777" w:rsidR="00A56EE9" w:rsidRPr="00E70A11" w:rsidRDefault="00A56EE9" w:rsidP="00A11869">
            <w:pPr>
              <w:pStyle w:val="ListParagraph"/>
              <w:numPr>
                <w:ilvl w:val="0"/>
                <w:numId w:val="161"/>
              </w:numPr>
              <w:spacing w:after="200" w:line="276" w:lineRule="auto"/>
              <w:rPr>
                <w:rFonts w:ascii="Arial Narrow" w:eastAsia="Calibri" w:hAnsi="Arial Narrow"/>
                <w:sz w:val="18"/>
                <w:szCs w:val="18"/>
              </w:rPr>
            </w:pPr>
            <w:r w:rsidRPr="00E70A11">
              <w:rPr>
                <w:rFonts w:ascii="Arial Narrow" w:eastAsia="Calibri" w:hAnsi="Arial Narrow"/>
                <w:sz w:val="18"/>
                <w:szCs w:val="18"/>
              </w:rPr>
              <w:t>Reef 20150 activities have progressed satisfactorily e.g.</w:t>
            </w:r>
          </w:p>
          <w:p w14:paraId="5761FA07" w14:textId="77777777" w:rsidR="00A56EE9" w:rsidRPr="00E70A11" w:rsidRDefault="00A56EE9" w:rsidP="00BB6AD5">
            <w:pPr>
              <w:pStyle w:val="ListParagraph"/>
              <w:spacing w:after="0"/>
              <w:ind w:left="357"/>
              <w:rPr>
                <w:rFonts w:ascii="Arial Narrow" w:eastAsia="Calibri" w:hAnsi="Arial Narrow"/>
                <w:sz w:val="18"/>
                <w:szCs w:val="18"/>
              </w:rPr>
            </w:pPr>
            <w:r w:rsidRPr="00E70A11">
              <w:rPr>
                <w:rFonts w:ascii="Arial Narrow" w:eastAsia="Calibri" w:hAnsi="Arial Narrow"/>
                <w:sz w:val="18"/>
                <w:szCs w:val="18"/>
              </w:rPr>
              <w:t>The Aboriginal and Torres Strait Islander Heritage Strategy has progressed in accordance with the work program and is now available for comment.</w:t>
            </w:r>
          </w:p>
          <w:p w14:paraId="5761FA08" w14:textId="77777777" w:rsidR="00A56EE9" w:rsidRPr="00E70A11" w:rsidRDefault="00A56EE9" w:rsidP="00A11869">
            <w:pPr>
              <w:pStyle w:val="ListParagraph"/>
              <w:numPr>
                <w:ilvl w:val="0"/>
                <w:numId w:val="162"/>
              </w:numPr>
              <w:spacing w:after="0" w:line="276" w:lineRule="auto"/>
              <w:ind w:left="357"/>
              <w:rPr>
                <w:rFonts w:ascii="Arial Narrow" w:eastAsia="Calibri" w:hAnsi="Arial Narrow"/>
                <w:sz w:val="18"/>
                <w:szCs w:val="18"/>
              </w:rPr>
            </w:pPr>
            <w:r w:rsidRPr="00E70A11">
              <w:rPr>
                <w:rFonts w:ascii="Arial Narrow" w:eastAsia="Calibri" w:hAnsi="Arial Narrow"/>
                <w:sz w:val="18"/>
                <w:szCs w:val="18"/>
              </w:rPr>
              <w:t>Protocol for managing culturally sensitive information is in development.</w:t>
            </w:r>
          </w:p>
          <w:p w14:paraId="5761FA09" w14:textId="77777777" w:rsidR="00A56EE9" w:rsidRPr="00E70A11" w:rsidRDefault="00A56EE9" w:rsidP="00A11869">
            <w:pPr>
              <w:numPr>
                <w:ilvl w:val="0"/>
                <w:numId w:val="161"/>
              </w:numPr>
              <w:spacing w:after="0" w:line="240" w:lineRule="auto"/>
              <w:ind w:left="357"/>
              <w:contextualSpacing/>
              <w:rPr>
                <w:rFonts w:ascii="Arial Narrow" w:eastAsia="Calibri" w:hAnsi="Arial Narrow"/>
                <w:sz w:val="18"/>
                <w:szCs w:val="18"/>
              </w:rPr>
            </w:pPr>
            <w:r w:rsidRPr="00E70A11">
              <w:rPr>
                <w:rFonts w:ascii="Arial Narrow" w:eastAsia="Calibri" w:hAnsi="Arial Narrow"/>
                <w:sz w:val="18"/>
                <w:szCs w:val="18"/>
              </w:rPr>
              <w:t>Cultural knowledge management system (database) to hold negotiated and agreed information has been developed.</w:t>
            </w:r>
          </w:p>
          <w:p w14:paraId="5761FA0A" w14:textId="77777777" w:rsidR="00A56EE9" w:rsidRPr="00E70A11" w:rsidRDefault="00A56EE9" w:rsidP="00A11869">
            <w:pPr>
              <w:numPr>
                <w:ilvl w:val="0"/>
                <w:numId w:val="161"/>
              </w:numPr>
              <w:spacing w:after="0" w:line="240" w:lineRule="auto"/>
              <w:ind w:left="357"/>
              <w:contextualSpacing/>
              <w:rPr>
                <w:rFonts w:ascii="Arial Narrow" w:eastAsia="Calibri" w:hAnsi="Arial Narrow"/>
                <w:sz w:val="18"/>
                <w:szCs w:val="18"/>
              </w:rPr>
            </w:pPr>
            <w:r w:rsidRPr="00E70A11">
              <w:rPr>
                <w:rFonts w:ascii="Arial Narrow" w:eastAsia="Calibri" w:hAnsi="Arial Narrow"/>
                <w:sz w:val="18"/>
                <w:szCs w:val="18"/>
              </w:rPr>
              <w:t xml:space="preserve">Improvements to the permission system relevant to Indigenous heritage are in line with the Reef 2050 Plan. </w:t>
            </w:r>
          </w:p>
        </w:tc>
        <w:tc>
          <w:tcPr>
            <w:tcW w:w="4926" w:type="dxa"/>
            <w:tcBorders>
              <w:top w:val="single" w:sz="4" w:space="0" w:color="auto"/>
              <w:left w:val="single" w:sz="4" w:space="0" w:color="auto"/>
              <w:bottom w:val="single" w:sz="4" w:space="0" w:color="auto"/>
              <w:right w:val="single" w:sz="4" w:space="0" w:color="auto"/>
            </w:tcBorders>
          </w:tcPr>
          <w:p w14:paraId="5761FA0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Annual reports for the Land and Sea Country Partnerships program</w:t>
            </w:r>
          </w:p>
          <w:p w14:paraId="5761FA0C"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1100" w:history="1">
              <w:r w:rsidR="00A56EE9" w:rsidRPr="00E70A11">
                <w:rPr>
                  <w:rStyle w:val="Hyperlink"/>
                  <w:rFonts w:ascii="Arial Narrow" w:hAnsi="Arial Narrow"/>
                  <w:sz w:val="18"/>
                  <w:szCs w:val="18"/>
                  <w:lang w:eastAsia="en-AU"/>
                </w:rPr>
                <w:t>Draft Aboriginal and Islander Heritage Strategy</w:t>
              </w:r>
            </w:hyperlink>
          </w:p>
          <w:p w14:paraId="5761FA0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Reef 2050 Plan Action reporting</w:t>
            </w:r>
          </w:p>
        </w:tc>
        <w:tc>
          <w:tcPr>
            <w:tcW w:w="980" w:type="dxa"/>
            <w:tcBorders>
              <w:top w:val="single" w:sz="4" w:space="0" w:color="auto"/>
              <w:left w:val="single" w:sz="4" w:space="0" w:color="auto"/>
              <w:bottom w:val="single" w:sz="4" w:space="0" w:color="auto"/>
              <w:right w:val="single" w:sz="4" w:space="0" w:color="auto"/>
            </w:tcBorders>
          </w:tcPr>
          <w:p w14:paraId="5761FA0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A0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A20"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A1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OP3</w:t>
            </w:r>
            <w:r>
              <w:rPr>
                <w:rFonts w:ascii="Arial Narrow" w:hAnsi="Arial Narrow"/>
                <w:sz w:val="18"/>
                <w:szCs w:val="18"/>
              </w:rPr>
              <w:t xml:space="preserve"> </w:t>
            </w:r>
            <w:r w:rsidRPr="00E70A11">
              <w:rPr>
                <w:rFonts w:ascii="Arial Narrow" w:hAnsi="Arial Narrow"/>
                <w:sz w:val="18"/>
                <w:szCs w:val="18"/>
              </w:rPr>
              <w:t>The results (in OP1 above) have achieved their stated management objectives for Indigenous heritage</w:t>
            </w:r>
          </w:p>
        </w:tc>
        <w:tc>
          <w:tcPr>
            <w:tcW w:w="643" w:type="dxa"/>
            <w:tcBorders>
              <w:top w:val="single" w:sz="4" w:space="0" w:color="auto"/>
              <w:left w:val="single" w:sz="4" w:space="0" w:color="auto"/>
              <w:bottom w:val="single" w:sz="4" w:space="0" w:color="auto"/>
              <w:right w:val="single" w:sz="4" w:space="0" w:color="auto"/>
            </w:tcBorders>
          </w:tcPr>
          <w:p w14:paraId="5761FA1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A13"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 xml:space="preserve">Results have been achieved for the Land and Sea Country Program. </w:t>
            </w:r>
          </w:p>
          <w:p w14:paraId="5761FA14" w14:textId="77777777" w:rsidR="00A56EE9" w:rsidRPr="00E70A11" w:rsidRDefault="00A56EE9" w:rsidP="00A11869">
            <w:pPr>
              <w:pStyle w:val="ListParagraph"/>
              <w:numPr>
                <w:ilvl w:val="0"/>
                <w:numId w:val="24"/>
              </w:numPr>
              <w:spacing w:after="0" w:line="240" w:lineRule="auto"/>
              <w:ind w:left="357" w:hanging="357"/>
              <w:rPr>
                <w:rFonts w:ascii="Arial Narrow" w:eastAsia="Calibri" w:hAnsi="Arial Narrow"/>
                <w:sz w:val="18"/>
                <w:szCs w:val="18"/>
              </w:rPr>
            </w:pPr>
            <w:r w:rsidRPr="00E70A11">
              <w:rPr>
                <w:rFonts w:ascii="Arial Narrow" w:eastAsia="Calibri" w:hAnsi="Arial Narrow"/>
                <w:sz w:val="18"/>
                <w:szCs w:val="18"/>
              </w:rPr>
              <w:t>420 days of Traditional Owner presence on field management vessels was recorded in 2016-17, down from 574 days in 2015-16, but a sharp increase from 143 days in 2013-14.</w:t>
            </w:r>
          </w:p>
          <w:p w14:paraId="5761FA1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Guidance material for the permission system</w:t>
            </w:r>
            <w:r>
              <w:rPr>
                <w:rFonts w:ascii="Arial Narrow" w:eastAsia="Calibri" w:hAnsi="Arial Narrow"/>
                <w:sz w:val="18"/>
                <w:szCs w:val="18"/>
              </w:rPr>
              <w:t xml:space="preserve"> </w:t>
            </w:r>
            <w:r w:rsidRPr="00E70A11">
              <w:rPr>
                <w:rFonts w:ascii="Arial Narrow" w:eastAsia="Calibri" w:hAnsi="Arial Narrow"/>
                <w:sz w:val="18"/>
                <w:szCs w:val="18"/>
              </w:rPr>
              <w:t xml:space="preserve">- Woppaburra are the only location specific guidelines currently developed so far but are a good pilot process. </w:t>
            </w:r>
          </w:p>
          <w:p w14:paraId="5761FA1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Broader Traditional Owner heritage assessment guidelines) have been developed.</w:t>
            </w:r>
          </w:p>
          <w:p w14:paraId="5761FA17" w14:textId="3879563F"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 spite of much activity, there are still gaps from the viewpoint of Traditional Owners, who feel progress towards a Reef-wide engagement process is still limited.</w:t>
            </w:r>
            <w:r w:rsidR="00F36D0B">
              <w:rPr>
                <w:rFonts w:ascii="Arial Narrow" w:eastAsia="Calibri" w:hAnsi="Arial Narrow"/>
                <w:sz w:val="18"/>
                <w:szCs w:val="18"/>
              </w:rPr>
              <w:t xml:space="preserve"> </w:t>
            </w:r>
            <w:r>
              <w:rPr>
                <w:rFonts w:ascii="Arial Narrow" w:eastAsia="Calibri" w:hAnsi="Arial Narrow"/>
                <w:sz w:val="18"/>
                <w:szCs w:val="18"/>
              </w:rPr>
              <w:t>This was confirmed at a 2018 meeting in regard to the Traditional Owner Aspirations project.</w:t>
            </w:r>
          </w:p>
        </w:tc>
        <w:tc>
          <w:tcPr>
            <w:tcW w:w="4926" w:type="dxa"/>
            <w:tcBorders>
              <w:top w:val="single" w:sz="4" w:space="0" w:color="auto"/>
              <w:left w:val="single" w:sz="4" w:space="0" w:color="auto"/>
              <w:bottom w:val="single" w:sz="4" w:space="0" w:color="auto"/>
              <w:right w:val="single" w:sz="4" w:space="0" w:color="auto"/>
            </w:tcBorders>
          </w:tcPr>
          <w:p w14:paraId="5761FA1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Annual report brochure, 2017 </w:t>
            </w:r>
          </w:p>
          <w:p w14:paraId="5761FA1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Independent review of the TUMRA program, </w:t>
            </w:r>
          </w:p>
          <w:p w14:paraId="5761FA1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Woppaburra Guidelines, </w:t>
            </w:r>
          </w:p>
          <w:p w14:paraId="5761FA1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Lama Lama Research Strategy</w:t>
            </w:r>
          </w:p>
          <w:p w14:paraId="5761FA1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 KPI in Annual reports of increase in Traditional Owner presence on </w:t>
            </w:r>
            <w:proofErr w:type="gramStart"/>
            <w:r w:rsidRPr="00E70A11">
              <w:rPr>
                <w:rFonts w:ascii="Arial Narrow" w:eastAsia="Calibri" w:hAnsi="Arial Narrow"/>
                <w:sz w:val="18"/>
                <w:szCs w:val="18"/>
              </w:rPr>
              <w:t>Marine Parks</w:t>
            </w:r>
            <w:proofErr w:type="gramEnd"/>
            <w:r w:rsidRPr="00E70A11">
              <w:rPr>
                <w:rFonts w:ascii="Arial Narrow" w:eastAsia="Calibri" w:hAnsi="Arial Narrow"/>
                <w:sz w:val="18"/>
                <w:szCs w:val="18"/>
              </w:rPr>
              <w:t xml:space="preserve"> vessels.</w:t>
            </w:r>
          </w:p>
          <w:p w14:paraId="5761FA1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Dale, A., George, M., Hill, R. &amp; Fraser, D. (2016) Traditional Owners and Sea Country in the Southern Great Barrier Reef – Which Way Forward?, Report to the National Environmental Science Programme, Cairns,</w:t>
            </w:r>
          </w:p>
        </w:tc>
        <w:tc>
          <w:tcPr>
            <w:tcW w:w="980" w:type="dxa"/>
            <w:tcBorders>
              <w:top w:val="single" w:sz="4" w:space="0" w:color="auto"/>
              <w:left w:val="single" w:sz="4" w:space="0" w:color="auto"/>
              <w:bottom w:val="single" w:sz="4" w:space="0" w:color="auto"/>
              <w:right w:val="single" w:sz="4" w:space="0" w:color="auto"/>
            </w:tcBorders>
          </w:tcPr>
          <w:p w14:paraId="5761FA1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A1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A2B"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A2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OP4</w:t>
            </w:r>
            <w:r>
              <w:rPr>
                <w:rFonts w:ascii="Arial Narrow" w:hAnsi="Arial Narrow"/>
                <w:sz w:val="18"/>
                <w:szCs w:val="18"/>
              </w:rPr>
              <w:t xml:space="preserve"> </w:t>
            </w:r>
            <w:r w:rsidRPr="00E70A11">
              <w:rPr>
                <w:rFonts w:ascii="Arial Narrow" w:hAnsi="Arial Narrow"/>
                <w:sz w:val="18"/>
                <w:szCs w:val="18"/>
              </w:rPr>
              <w:t>To date, products or services have been produced in accordance with the stated management objectives for Indigenous heritage</w:t>
            </w:r>
          </w:p>
        </w:tc>
        <w:tc>
          <w:tcPr>
            <w:tcW w:w="643" w:type="dxa"/>
            <w:tcBorders>
              <w:top w:val="single" w:sz="4" w:space="0" w:color="auto"/>
              <w:left w:val="single" w:sz="4" w:space="0" w:color="auto"/>
              <w:bottom w:val="single" w:sz="4" w:space="0" w:color="auto"/>
              <w:right w:val="single" w:sz="4" w:space="0" w:color="auto"/>
            </w:tcBorders>
          </w:tcPr>
          <w:p w14:paraId="5761FA2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A23" w14:textId="77777777" w:rsidR="00A56EE9" w:rsidRPr="00E70A11" w:rsidRDefault="00A56EE9" w:rsidP="00A11869">
            <w:pPr>
              <w:pStyle w:val="ListParagraph"/>
              <w:numPr>
                <w:ilvl w:val="0"/>
                <w:numId w:val="163"/>
              </w:numPr>
              <w:spacing w:after="0" w:line="276" w:lineRule="auto"/>
              <w:rPr>
                <w:rFonts w:ascii="Arial Narrow" w:eastAsia="Calibri" w:hAnsi="Arial Narrow"/>
                <w:sz w:val="18"/>
                <w:szCs w:val="18"/>
              </w:rPr>
            </w:pPr>
            <w:r w:rsidRPr="00E70A11">
              <w:rPr>
                <w:rFonts w:ascii="Arial Narrow" w:eastAsia="Calibri" w:hAnsi="Arial Narrow"/>
                <w:sz w:val="18"/>
                <w:szCs w:val="18"/>
              </w:rPr>
              <w:t>The Aboriginal and Torres Strait Islander Heritage Strategy has progressed in accordance with the work program and is now available for comment.</w:t>
            </w:r>
          </w:p>
          <w:p w14:paraId="5761FA24" w14:textId="77777777" w:rsidR="00A56EE9" w:rsidRPr="00E70A11" w:rsidRDefault="00A56EE9" w:rsidP="00A11869">
            <w:pPr>
              <w:pStyle w:val="ListParagraph"/>
              <w:numPr>
                <w:ilvl w:val="0"/>
                <w:numId w:val="162"/>
              </w:numPr>
              <w:spacing w:after="0" w:line="276" w:lineRule="auto"/>
              <w:ind w:left="357"/>
              <w:rPr>
                <w:rFonts w:ascii="Arial Narrow" w:eastAsia="Calibri" w:hAnsi="Arial Narrow"/>
                <w:sz w:val="18"/>
                <w:szCs w:val="18"/>
              </w:rPr>
            </w:pPr>
            <w:r w:rsidRPr="00E70A11">
              <w:rPr>
                <w:rFonts w:ascii="Arial Narrow" w:eastAsia="Calibri" w:hAnsi="Arial Narrow"/>
                <w:sz w:val="18"/>
                <w:szCs w:val="18"/>
              </w:rPr>
              <w:t>Protocol for managing culturally sensitive information is in development.</w:t>
            </w:r>
          </w:p>
          <w:p w14:paraId="5761FA25" w14:textId="77777777" w:rsidR="00A56EE9" w:rsidRPr="00E70A11" w:rsidRDefault="00A56EE9" w:rsidP="00A11869">
            <w:pPr>
              <w:numPr>
                <w:ilvl w:val="0"/>
                <w:numId w:val="161"/>
              </w:numPr>
              <w:spacing w:after="0" w:line="240" w:lineRule="auto"/>
              <w:ind w:left="357"/>
              <w:contextualSpacing/>
              <w:rPr>
                <w:rFonts w:ascii="Arial Narrow" w:eastAsia="Calibri" w:hAnsi="Arial Narrow"/>
                <w:sz w:val="18"/>
                <w:szCs w:val="18"/>
              </w:rPr>
            </w:pPr>
            <w:r w:rsidRPr="00E70A11">
              <w:rPr>
                <w:rFonts w:ascii="Arial Narrow" w:eastAsia="Calibri" w:hAnsi="Arial Narrow"/>
                <w:sz w:val="18"/>
                <w:szCs w:val="18"/>
              </w:rPr>
              <w:t>Cultural knowledge management system (database) to hold negotiated and agreed information has been developed.</w:t>
            </w:r>
          </w:p>
          <w:p w14:paraId="5761FA2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Improvements to the permission system relevant to Indigenous heritage are in line with the Reef 2050 Plan</w:t>
            </w:r>
          </w:p>
        </w:tc>
        <w:tc>
          <w:tcPr>
            <w:tcW w:w="4926" w:type="dxa"/>
            <w:tcBorders>
              <w:top w:val="single" w:sz="4" w:space="0" w:color="auto"/>
              <w:left w:val="single" w:sz="4" w:space="0" w:color="auto"/>
              <w:bottom w:val="single" w:sz="4" w:space="0" w:color="auto"/>
              <w:right w:val="single" w:sz="4" w:space="0" w:color="auto"/>
            </w:tcBorders>
          </w:tcPr>
          <w:p w14:paraId="5761FA2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Annual reports for the Land and Sea Country Partnerships program</w:t>
            </w:r>
          </w:p>
          <w:p w14:paraId="5761FA28"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1101" w:history="1">
              <w:r w:rsidR="00A56EE9" w:rsidRPr="00E70A11">
                <w:rPr>
                  <w:rStyle w:val="Hyperlink"/>
                  <w:rFonts w:ascii="Arial Narrow" w:hAnsi="Arial Narrow"/>
                  <w:sz w:val="18"/>
                  <w:szCs w:val="18"/>
                  <w:lang w:eastAsia="en-AU"/>
                </w:rPr>
                <w:t>Draft Aboriginal and Islander Heritage Strategy</w:t>
              </w:r>
            </w:hyperlink>
          </w:p>
        </w:tc>
        <w:tc>
          <w:tcPr>
            <w:tcW w:w="980" w:type="dxa"/>
            <w:tcBorders>
              <w:top w:val="single" w:sz="4" w:space="0" w:color="auto"/>
              <w:left w:val="single" w:sz="4" w:space="0" w:color="auto"/>
              <w:bottom w:val="single" w:sz="4" w:space="0" w:color="auto"/>
              <w:right w:val="single" w:sz="4" w:space="0" w:color="auto"/>
            </w:tcBorders>
          </w:tcPr>
          <w:p w14:paraId="5761FA2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A2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A34"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shd w:val="clear" w:color="auto" w:fill="auto"/>
          </w:tcPr>
          <w:p w14:paraId="5761FA2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OP5</w:t>
            </w:r>
            <w:r>
              <w:rPr>
                <w:rFonts w:ascii="Arial Narrow" w:hAnsi="Arial Narrow"/>
                <w:sz w:val="18"/>
                <w:szCs w:val="18"/>
              </w:rPr>
              <w:t xml:space="preserve"> </w:t>
            </w:r>
            <w:r w:rsidRPr="00E70A11">
              <w:rPr>
                <w:rFonts w:ascii="Arial Narrow" w:hAnsi="Arial Narrow"/>
                <w:sz w:val="18"/>
                <w:szCs w:val="18"/>
              </w:rPr>
              <w:t>Effective knowledge management systems regarding Indigenous heritage are in place within agencies</w:t>
            </w:r>
          </w:p>
        </w:tc>
        <w:tc>
          <w:tcPr>
            <w:tcW w:w="643" w:type="dxa"/>
            <w:tcBorders>
              <w:top w:val="single" w:sz="4" w:space="0" w:color="auto"/>
              <w:left w:val="single" w:sz="4" w:space="0" w:color="auto"/>
              <w:bottom w:val="single" w:sz="4" w:space="0" w:color="auto"/>
              <w:right w:val="single" w:sz="4" w:space="0" w:color="auto"/>
            </w:tcBorders>
          </w:tcPr>
          <w:p w14:paraId="5761FA2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A2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Cultural Knowledge Management System (CKMS)</w:t>
            </w:r>
            <w:r>
              <w:rPr>
                <w:rFonts w:ascii="Arial Narrow" w:eastAsia="Calibri" w:hAnsi="Arial Narrow"/>
                <w:sz w:val="18"/>
                <w:szCs w:val="18"/>
              </w:rPr>
              <w:t xml:space="preserve"> </w:t>
            </w:r>
            <w:r w:rsidRPr="00E70A11">
              <w:rPr>
                <w:rFonts w:ascii="Arial Narrow" w:eastAsia="Calibri" w:hAnsi="Arial Narrow"/>
                <w:sz w:val="18"/>
                <w:szCs w:val="18"/>
              </w:rPr>
              <w:t xml:space="preserve">has been designed and implemented. </w:t>
            </w:r>
          </w:p>
          <w:p w14:paraId="5761FA2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CKMS has a module which will enable GBRMPA to hold culturally sensitive information relevant to different Traditional Owner groups (e.g. story lines, voice recordings, sensitive locations). Guidance materials are publicly available through the GBRMPA e-library system, but this can be very hard to find. </w:t>
            </w:r>
          </w:p>
          <w:p w14:paraId="5761FA3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DMS4/ RIMREP Indigenous Expert working group.</w:t>
            </w:r>
          </w:p>
        </w:tc>
        <w:tc>
          <w:tcPr>
            <w:tcW w:w="4926" w:type="dxa"/>
            <w:tcBorders>
              <w:top w:val="single" w:sz="4" w:space="0" w:color="auto"/>
              <w:left w:val="single" w:sz="4" w:space="0" w:color="auto"/>
              <w:bottom w:val="single" w:sz="4" w:space="0" w:color="auto"/>
              <w:right w:val="single" w:sz="4" w:space="0" w:color="auto"/>
            </w:tcBorders>
          </w:tcPr>
          <w:p w14:paraId="5761FA3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Cultural Knowledge Management System</w:t>
            </w:r>
          </w:p>
        </w:tc>
        <w:tc>
          <w:tcPr>
            <w:tcW w:w="980" w:type="dxa"/>
            <w:tcBorders>
              <w:top w:val="single" w:sz="4" w:space="0" w:color="auto"/>
              <w:left w:val="single" w:sz="4" w:space="0" w:color="auto"/>
              <w:bottom w:val="single" w:sz="4" w:space="0" w:color="auto"/>
              <w:right w:val="single" w:sz="4" w:space="0" w:color="auto"/>
            </w:tcBorders>
          </w:tcPr>
          <w:p w14:paraId="5761FA3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A3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A44"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A3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OP6</w:t>
            </w:r>
            <w:r>
              <w:rPr>
                <w:rFonts w:ascii="Arial Narrow" w:hAnsi="Arial Narrow"/>
                <w:sz w:val="18"/>
                <w:szCs w:val="18"/>
              </w:rPr>
              <w:t xml:space="preserve"> </w:t>
            </w:r>
            <w:r w:rsidRPr="00E70A11">
              <w:rPr>
                <w:rFonts w:ascii="Arial Narrow" w:hAnsi="Arial Narrow"/>
                <w:sz w:val="18"/>
                <w:szCs w:val="18"/>
              </w:rPr>
              <w:t>Effective systems are in place to share knowledge on Indigenous heritage with the community</w:t>
            </w:r>
          </w:p>
        </w:tc>
        <w:tc>
          <w:tcPr>
            <w:tcW w:w="643" w:type="dxa"/>
            <w:tcBorders>
              <w:top w:val="single" w:sz="4" w:space="0" w:color="auto"/>
              <w:left w:val="single" w:sz="4" w:space="0" w:color="auto"/>
              <w:bottom w:val="single" w:sz="4" w:space="0" w:color="auto"/>
              <w:right w:val="single" w:sz="4" w:space="0" w:color="auto"/>
            </w:tcBorders>
          </w:tcPr>
          <w:p w14:paraId="5761FA3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4444" w:type="dxa"/>
            <w:tcBorders>
              <w:top w:val="single" w:sz="4" w:space="0" w:color="auto"/>
              <w:left w:val="single" w:sz="4" w:space="0" w:color="auto"/>
              <w:bottom w:val="single" w:sz="4" w:space="0" w:color="auto"/>
              <w:right w:val="single" w:sz="4" w:space="0" w:color="auto"/>
            </w:tcBorders>
          </w:tcPr>
          <w:p w14:paraId="5761FA3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Some Traditional Owner groups host community education programs, including junior ranger activities on country.</w:t>
            </w:r>
          </w:p>
          <w:p w14:paraId="5761FA3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Guidance materials are publicly available through the GBRMPA e-library system but are difficult to find.</w:t>
            </w:r>
          </w:p>
          <w:p w14:paraId="5761FA3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Story Place - Information on traditional connections to sea – is a reference database that shares information and knowledge about Traditional Owners and their relationship with land and sea country in the Great Barrier Reef.</w:t>
            </w:r>
          </w:p>
          <w:p w14:paraId="5761FA3A"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In 2016 GBRMPA hosted the 40 Year Anniversary of the Reef event – open to the public. A specific stall focused on partnerships with Traditional Owners.</w:t>
            </w:r>
          </w:p>
          <w:p w14:paraId="5761FA3B"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An information sheet on Traditional Owner connections to country and the GBRMPAs work with Traditional Owners was produced in 2016.</w:t>
            </w:r>
          </w:p>
          <w:p w14:paraId="5761FA3C" w14:textId="77777777" w:rsidR="00A56EE9" w:rsidRPr="00E70A11" w:rsidRDefault="00A56EE9" w:rsidP="00A11869">
            <w:pPr>
              <w:pStyle w:val="ListParagraph"/>
              <w:numPr>
                <w:ilvl w:val="0"/>
                <w:numId w:val="24"/>
              </w:numPr>
              <w:spacing w:after="0" w:line="276" w:lineRule="auto"/>
              <w:ind w:left="357" w:hanging="357"/>
              <w:rPr>
                <w:rFonts w:ascii="Arial Narrow" w:eastAsia="Calibri" w:hAnsi="Arial Narrow"/>
                <w:sz w:val="18"/>
                <w:szCs w:val="18"/>
              </w:rPr>
            </w:pPr>
            <w:r w:rsidRPr="00E70A11">
              <w:rPr>
                <w:rFonts w:ascii="Arial Narrow" w:eastAsia="Calibri" w:hAnsi="Arial Narrow"/>
                <w:sz w:val="18"/>
                <w:szCs w:val="18"/>
              </w:rPr>
              <w:t>Information Sheets produced by Traditional Owner groups (in partnership with QPWS) advise visitors and researchers on how to conduct their activities within their land and sea country.</w:t>
            </w:r>
          </w:p>
          <w:p w14:paraId="5761FA3D"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12 Traditional Owners attended the IUCN World Conservation Congress in Hawaii in September 2016. They presented on the TUMRA program and shared knowledge of traditional use with the international community.</w:t>
            </w:r>
          </w:p>
        </w:tc>
        <w:tc>
          <w:tcPr>
            <w:tcW w:w="4926" w:type="dxa"/>
            <w:tcBorders>
              <w:top w:val="single" w:sz="4" w:space="0" w:color="auto"/>
              <w:left w:val="single" w:sz="4" w:space="0" w:color="auto"/>
              <w:bottom w:val="single" w:sz="4" w:space="0" w:color="auto"/>
              <w:right w:val="single" w:sz="4" w:space="0" w:color="auto"/>
            </w:tcBorders>
          </w:tcPr>
          <w:p w14:paraId="5761FA3E" w14:textId="35528496" w:rsidR="00A56EE9" w:rsidRPr="00E70A11" w:rsidRDefault="008B5998" w:rsidP="00A11869">
            <w:pPr>
              <w:pStyle w:val="ListParagraph"/>
              <w:numPr>
                <w:ilvl w:val="0"/>
                <w:numId w:val="24"/>
              </w:numPr>
              <w:spacing w:before="40" w:after="40" w:line="240" w:lineRule="auto"/>
              <w:rPr>
                <w:rFonts w:ascii="Arial Narrow" w:hAnsi="Arial Narrow"/>
                <w:sz w:val="18"/>
                <w:szCs w:val="18"/>
              </w:rPr>
            </w:pPr>
            <w:hyperlink r:id="rId1102" w:tooltip="document link" w:history="1">
              <w:r w:rsidR="00A56EE9" w:rsidRPr="00E70A11">
                <w:rPr>
                  <w:rStyle w:val="Hyperlink"/>
                  <w:rFonts w:ascii="Arial Narrow" w:hAnsi="Arial Narrow"/>
                  <w:sz w:val="18"/>
                  <w:szCs w:val="18"/>
                </w:rPr>
                <w:t>http://www.gbrmpa.gov.au/our-partners/traditional-owners/story-place</w:t>
              </w:r>
            </w:hyperlink>
            <w:r w:rsidR="00A56EE9" w:rsidRPr="00E70A11">
              <w:rPr>
                <w:rFonts w:ascii="Arial Narrow" w:hAnsi="Arial Narrow"/>
                <w:sz w:val="18"/>
                <w:szCs w:val="18"/>
              </w:rPr>
              <w:t xml:space="preserve"> </w:t>
            </w:r>
          </w:p>
          <w:p w14:paraId="5761FA3F" w14:textId="77777777" w:rsidR="00A56EE9" w:rsidRPr="00E70A11" w:rsidRDefault="00A56EE9" w:rsidP="00A11869">
            <w:pPr>
              <w:pStyle w:val="ListParagraph"/>
              <w:numPr>
                <w:ilvl w:val="0"/>
                <w:numId w:val="24"/>
              </w:numPr>
              <w:spacing w:before="40" w:after="40" w:line="240" w:lineRule="auto"/>
              <w:rPr>
                <w:rFonts w:ascii="Arial Narrow" w:eastAsia="Calibri" w:hAnsi="Arial Narrow"/>
                <w:sz w:val="18"/>
                <w:szCs w:val="18"/>
              </w:rPr>
            </w:pPr>
            <w:r w:rsidRPr="00E70A11">
              <w:rPr>
                <w:rFonts w:ascii="Arial Narrow" w:eastAsia="Calibri" w:hAnsi="Arial Narrow"/>
                <w:sz w:val="18"/>
                <w:szCs w:val="18"/>
              </w:rPr>
              <w:t>Media and communications outputs in the 15-16 and 16-17 Land and Sea Country Partnerships reports.</w:t>
            </w:r>
          </w:p>
          <w:p w14:paraId="5761FA40"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eastAsia="Calibri" w:hAnsi="Arial Narrow"/>
                <w:sz w:val="18"/>
                <w:szCs w:val="18"/>
              </w:rPr>
            </w:pPr>
            <w:hyperlink r:id="rId1103" w:history="1">
              <w:r w:rsidR="00A56EE9" w:rsidRPr="00E70A11">
                <w:rPr>
                  <w:rStyle w:val="Hyperlink"/>
                  <w:rFonts w:ascii="Arial Narrow" w:eastAsia="Calibri" w:hAnsi="Arial Narrow"/>
                  <w:sz w:val="18"/>
                  <w:szCs w:val="18"/>
                </w:rPr>
                <w:t>Yirrganydji Indigenous Land and Sea Rangers</w:t>
              </w:r>
            </w:hyperlink>
          </w:p>
          <w:p w14:paraId="5761FA41"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A4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865" w:type="dxa"/>
            <w:tcBorders>
              <w:top w:val="single" w:sz="4" w:space="0" w:color="auto"/>
              <w:left w:val="single" w:sz="4" w:space="0" w:color="auto"/>
              <w:bottom w:val="single" w:sz="4" w:space="0" w:color="auto"/>
              <w:right w:val="single" w:sz="4" w:space="0" w:color="auto"/>
            </w:tcBorders>
          </w:tcPr>
          <w:p w14:paraId="5761FA4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A4B"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shd w:val="clear" w:color="auto" w:fill="E7E6E6"/>
          </w:tcPr>
          <w:p w14:paraId="5761FA4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OUTCOMES</w:t>
            </w:r>
          </w:p>
        </w:tc>
        <w:tc>
          <w:tcPr>
            <w:tcW w:w="643" w:type="dxa"/>
            <w:tcBorders>
              <w:top w:val="single" w:sz="4" w:space="0" w:color="auto"/>
              <w:left w:val="single" w:sz="4" w:space="0" w:color="auto"/>
              <w:bottom w:val="single" w:sz="4" w:space="0" w:color="auto"/>
              <w:right w:val="single" w:sz="4" w:space="0" w:color="auto"/>
            </w:tcBorders>
            <w:shd w:val="clear" w:color="auto" w:fill="E7E6E6"/>
          </w:tcPr>
          <w:p w14:paraId="5761FA46" w14:textId="77777777" w:rsidR="00A56EE9" w:rsidRPr="00E70A11" w:rsidRDefault="00A56EE9" w:rsidP="00BB6AD5">
            <w:pPr>
              <w:rPr>
                <w:rFonts w:ascii="Arial Narrow" w:hAnsi="Arial Narrow"/>
                <w:sz w:val="18"/>
                <w:szCs w:val="18"/>
              </w:rPr>
            </w:pPr>
          </w:p>
        </w:tc>
        <w:tc>
          <w:tcPr>
            <w:tcW w:w="4444" w:type="dxa"/>
            <w:tcBorders>
              <w:top w:val="single" w:sz="4" w:space="0" w:color="auto"/>
              <w:left w:val="single" w:sz="4" w:space="0" w:color="auto"/>
              <w:bottom w:val="single" w:sz="4" w:space="0" w:color="auto"/>
              <w:right w:val="single" w:sz="4" w:space="0" w:color="auto"/>
            </w:tcBorders>
            <w:shd w:val="clear" w:color="auto" w:fill="E7E6E6"/>
          </w:tcPr>
          <w:p w14:paraId="5761FA47" w14:textId="77777777" w:rsidR="00A56EE9" w:rsidRPr="00E70A11" w:rsidRDefault="00A56EE9" w:rsidP="00BB6AD5">
            <w:pPr>
              <w:ind w:left="360"/>
              <w:contextualSpacing/>
              <w:rPr>
                <w:rFonts w:ascii="Arial Narrow" w:eastAsia="Calibri" w:hAnsi="Arial Narrow"/>
                <w:sz w:val="18"/>
                <w:szCs w:val="18"/>
              </w:rPr>
            </w:pPr>
          </w:p>
        </w:tc>
        <w:tc>
          <w:tcPr>
            <w:tcW w:w="4926" w:type="dxa"/>
            <w:tcBorders>
              <w:top w:val="single" w:sz="4" w:space="0" w:color="auto"/>
              <w:left w:val="single" w:sz="4" w:space="0" w:color="auto"/>
              <w:bottom w:val="single" w:sz="4" w:space="0" w:color="auto"/>
              <w:right w:val="single" w:sz="4" w:space="0" w:color="auto"/>
            </w:tcBorders>
            <w:shd w:val="clear" w:color="auto" w:fill="E7E6E6"/>
          </w:tcPr>
          <w:p w14:paraId="5761FA48" w14:textId="77777777" w:rsidR="00A56EE9" w:rsidRPr="00E70A11" w:rsidRDefault="00A56EE9" w:rsidP="00BB6AD5">
            <w:pPr>
              <w:ind w:left="360"/>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shd w:val="clear" w:color="auto" w:fill="E7E6E6"/>
          </w:tcPr>
          <w:p w14:paraId="5761FA49" w14:textId="77777777" w:rsidR="00A56EE9" w:rsidRPr="00E70A11" w:rsidRDefault="00A56EE9" w:rsidP="00BB6AD5">
            <w:pPr>
              <w:rPr>
                <w:rFonts w:ascii="Arial Narrow" w:hAnsi="Arial Narrow"/>
                <w:sz w:val="18"/>
                <w:szCs w:val="18"/>
              </w:rPr>
            </w:pPr>
          </w:p>
        </w:tc>
        <w:tc>
          <w:tcPr>
            <w:tcW w:w="865" w:type="dxa"/>
            <w:tcBorders>
              <w:top w:val="single" w:sz="4" w:space="0" w:color="auto"/>
              <w:left w:val="single" w:sz="4" w:space="0" w:color="auto"/>
              <w:bottom w:val="single" w:sz="4" w:space="0" w:color="auto"/>
              <w:right w:val="single" w:sz="4" w:space="0" w:color="auto"/>
            </w:tcBorders>
            <w:shd w:val="clear" w:color="auto" w:fill="E7E6E6"/>
          </w:tcPr>
          <w:p w14:paraId="5761FA4A" w14:textId="77777777" w:rsidR="00A56EE9" w:rsidRPr="00E70A11" w:rsidRDefault="00A56EE9" w:rsidP="00BB6AD5">
            <w:pPr>
              <w:rPr>
                <w:rFonts w:ascii="Arial Narrow" w:hAnsi="Arial Narrow"/>
                <w:sz w:val="18"/>
                <w:szCs w:val="18"/>
              </w:rPr>
            </w:pPr>
          </w:p>
        </w:tc>
      </w:tr>
      <w:tr w:rsidR="00A56EE9" w:rsidRPr="00E70A11" w14:paraId="5761FA5E"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A4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OC1</w:t>
            </w:r>
            <w:r>
              <w:rPr>
                <w:rFonts w:ascii="Arial Narrow" w:hAnsi="Arial Narrow"/>
                <w:sz w:val="18"/>
                <w:szCs w:val="18"/>
              </w:rPr>
              <w:t xml:space="preserve"> </w:t>
            </w:r>
            <w:r w:rsidRPr="00E70A11">
              <w:rPr>
                <w:rFonts w:ascii="Arial Narrow" w:hAnsi="Arial Narrow"/>
                <w:sz w:val="18"/>
                <w:szCs w:val="18"/>
              </w:rPr>
              <w:t>The relevant managing agencies are to date effectively addressing Indigenous heritage and moving towards the attainment of the desired outcomes.</w:t>
            </w:r>
          </w:p>
        </w:tc>
        <w:tc>
          <w:tcPr>
            <w:tcW w:w="643" w:type="dxa"/>
            <w:tcBorders>
              <w:top w:val="single" w:sz="4" w:space="0" w:color="auto"/>
              <w:left w:val="single" w:sz="4" w:space="0" w:color="auto"/>
              <w:bottom w:val="single" w:sz="4" w:space="0" w:color="auto"/>
              <w:right w:val="single" w:sz="4" w:space="0" w:color="auto"/>
            </w:tcBorders>
          </w:tcPr>
          <w:p w14:paraId="5761FA4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A4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Many efforts are being made by Traditional Owner groups and other managers to effectively address Indigenous heritage. However, desired outcomes are not yet being met.</w:t>
            </w:r>
          </w:p>
          <w:p w14:paraId="5761FA4F" w14:textId="77777777" w:rsidR="00A56EE9" w:rsidRPr="00412784" w:rsidRDefault="00A56EE9" w:rsidP="00A11869">
            <w:pPr>
              <w:pStyle w:val="ListParagraph"/>
              <w:numPr>
                <w:ilvl w:val="0"/>
                <w:numId w:val="24"/>
              </w:numPr>
              <w:spacing w:after="200" w:line="276" w:lineRule="auto"/>
              <w:rPr>
                <w:rFonts w:ascii="Arial Narrow" w:eastAsia="Calibri" w:hAnsi="Arial Narrow"/>
                <w:sz w:val="18"/>
                <w:szCs w:val="18"/>
              </w:rPr>
            </w:pPr>
            <w:r w:rsidRPr="00412784">
              <w:rPr>
                <w:rFonts w:ascii="Arial Narrow" w:eastAsia="Calibri" w:hAnsi="Arial Narrow"/>
                <w:sz w:val="18"/>
                <w:szCs w:val="18"/>
              </w:rPr>
              <w:t>Issues raised by Traditional Owners in 2017 workshops include:</w:t>
            </w:r>
          </w:p>
          <w:p w14:paraId="5761FA50" w14:textId="77777777" w:rsidR="00A56EE9" w:rsidRPr="00E70A11" w:rsidRDefault="00A56EE9" w:rsidP="00A11869">
            <w:pPr>
              <w:numPr>
                <w:ilvl w:val="1"/>
                <w:numId w:val="24"/>
              </w:numPr>
              <w:spacing w:after="0" w:line="240" w:lineRule="auto"/>
              <w:ind w:left="701" w:hanging="283"/>
              <w:contextualSpacing/>
              <w:rPr>
                <w:rFonts w:ascii="Arial Narrow" w:eastAsia="Calibri" w:hAnsi="Arial Narrow"/>
                <w:sz w:val="18"/>
                <w:szCs w:val="18"/>
              </w:rPr>
            </w:pPr>
            <w:r w:rsidRPr="00E70A11">
              <w:rPr>
                <w:rFonts w:ascii="Arial Narrow" w:eastAsia="Calibri" w:hAnsi="Arial Narrow"/>
                <w:sz w:val="18"/>
                <w:szCs w:val="18"/>
              </w:rPr>
              <w:t>Researchers and government agencies accessing Traditional Owner sea country without informing or engaging Traditional Owners</w:t>
            </w:r>
          </w:p>
          <w:p w14:paraId="5761FA51" w14:textId="77777777" w:rsidR="00A56EE9" w:rsidRPr="00E70A11" w:rsidRDefault="00A56EE9" w:rsidP="00A11869">
            <w:pPr>
              <w:numPr>
                <w:ilvl w:val="1"/>
                <w:numId w:val="24"/>
              </w:numPr>
              <w:spacing w:after="0" w:line="240" w:lineRule="auto"/>
              <w:ind w:left="701" w:hanging="283"/>
              <w:contextualSpacing/>
              <w:rPr>
                <w:rFonts w:ascii="Arial Narrow" w:eastAsia="Calibri" w:hAnsi="Arial Narrow"/>
                <w:sz w:val="18"/>
                <w:szCs w:val="18"/>
              </w:rPr>
            </w:pPr>
            <w:r w:rsidRPr="00E70A11">
              <w:rPr>
                <w:rFonts w:ascii="Arial Narrow" w:eastAsia="Calibri" w:hAnsi="Arial Narrow"/>
                <w:sz w:val="18"/>
                <w:szCs w:val="18"/>
              </w:rPr>
              <w:t>Damage to areas from tourism, development and incremental damage</w:t>
            </w:r>
          </w:p>
          <w:p w14:paraId="5761FA52" w14:textId="77777777" w:rsidR="00A56EE9" w:rsidRPr="00E70A11" w:rsidRDefault="00A56EE9" w:rsidP="00A11869">
            <w:pPr>
              <w:numPr>
                <w:ilvl w:val="1"/>
                <w:numId w:val="24"/>
              </w:numPr>
              <w:spacing w:after="0" w:line="240" w:lineRule="auto"/>
              <w:ind w:left="701" w:hanging="283"/>
              <w:contextualSpacing/>
              <w:rPr>
                <w:rFonts w:ascii="Arial Narrow" w:eastAsia="Calibri" w:hAnsi="Arial Narrow"/>
                <w:sz w:val="18"/>
                <w:szCs w:val="18"/>
              </w:rPr>
            </w:pPr>
            <w:r w:rsidRPr="00E70A11">
              <w:rPr>
                <w:rFonts w:ascii="Arial Narrow" w:eastAsia="Calibri" w:hAnsi="Arial Narrow"/>
                <w:sz w:val="18"/>
                <w:szCs w:val="18"/>
              </w:rPr>
              <w:t>Tourism infringing on native title rights (and thus cultural practices) without compensation</w:t>
            </w:r>
          </w:p>
          <w:p w14:paraId="5761FA53" w14:textId="77777777" w:rsidR="00A56EE9" w:rsidRPr="00E70A11" w:rsidRDefault="00A56EE9" w:rsidP="00A11869">
            <w:pPr>
              <w:numPr>
                <w:ilvl w:val="1"/>
                <w:numId w:val="24"/>
              </w:numPr>
              <w:spacing w:after="0" w:line="240" w:lineRule="auto"/>
              <w:ind w:left="701" w:hanging="283"/>
              <w:contextualSpacing/>
              <w:rPr>
                <w:rFonts w:ascii="Arial Narrow" w:eastAsia="Calibri" w:hAnsi="Arial Narrow"/>
                <w:sz w:val="18"/>
                <w:szCs w:val="18"/>
              </w:rPr>
            </w:pPr>
            <w:r w:rsidRPr="00E70A11">
              <w:rPr>
                <w:rFonts w:ascii="Arial Narrow" w:eastAsia="Calibri" w:hAnsi="Arial Narrow"/>
                <w:sz w:val="18"/>
                <w:szCs w:val="18"/>
              </w:rPr>
              <w:t>Lack of access, resources and funding to access and care for sites</w:t>
            </w:r>
          </w:p>
          <w:p w14:paraId="5761FA54" w14:textId="77777777" w:rsidR="00A56EE9" w:rsidRPr="00E70A11" w:rsidRDefault="00A56EE9" w:rsidP="00A11869">
            <w:pPr>
              <w:numPr>
                <w:ilvl w:val="1"/>
                <w:numId w:val="24"/>
              </w:numPr>
              <w:spacing w:after="0" w:line="240" w:lineRule="auto"/>
              <w:ind w:left="701" w:hanging="283"/>
              <w:contextualSpacing/>
              <w:rPr>
                <w:rFonts w:ascii="Arial Narrow" w:eastAsia="Calibri" w:hAnsi="Arial Narrow"/>
                <w:sz w:val="18"/>
                <w:szCs w:val="18"/>
              </w:rPr>
            </w:pPr>
            <w:r w:rsidRPr="00E70A11">
              <w:rPr>
                <w:rFonts w:ascii="Arial Narrow" w:eastAsia="Calibri" w:hAnsi="Arial Narrow"/>
                <w:sz w:val="18"/>
                <w:szCs w:val="18"/>
              </w:rPr>
              <w:t>Information management – passing on of knowledge, electronic storage of knowledge</w:t>
            </w:r>
          </w:p>
          <w:p w14:paraId="5761FA55" w14:textId="77777777" w:rsidR="00A56EE9" w:rsidRPr="00E70A11" w:rsidRDefault="00A56EE9" w:rsidP="00A11869">
            <w:pPr>
              <w:numPr>
                <w:ilvl w:val="1"/>
                <w:numId w:val="24"/>
              </w:numPr>
              <w:spacing w:after="0" w:line="240" w:lineRule="auto"/>
              <w:ind w:left="701" w:hanging="283"/>
              <w:contextualSpacing/>
              <w:rPr>
                <w:rFonts w:ascii="Arial Narrow" w:eastAsia="Calibri" w:hAnsi="Arial Narrow"/>
                <w:sz w:val="18"/>
                <w:szCs w:val="18"/>
              </w:rPr>
            </w:pPr>
            <w:r w:rsidRPr="00E70A11">
              <w:rPr>
                <w:rFonts w:ascii="Arial Narrow" w:eastAsia="Calibri" w:hAnsi="Arial Narrow"/>
                <w:sz w:val="18"/>
                <w:szCs w:val="18"/>
              </w:rPr>
              <w:t>Lack of recognition of the interconnectedness of the environment, culture and people</w:t>
            </w:r>
          </w:p>
          <w:p w14:paraId="5761FA56" w14:textId="77777777" w:rsidR="00A56EE9" w:rsidRPr="00E70A11" w:rsidRDefault="00A56EE9" w:rsidP="00A11869">
            <w:pPr>
              <w:numPr>
                <w:ilvl w:val="1"/>
                <w:numId w:val="24"/>
              </w:numPr>
              <w:spacing w:after="0" w:line="240" w:lineRule="auto"/>
              <w:ind w:left="701" w:hanging="283"/>
              <w:contextualSpacing/>
              <w:rPr>
                <w:rFonts w:ascii="Arial Narrow" w:eastAsia="Calibri" w:hAnsi="Arial Narrow"/>
                <w:sz w:val="18"/>
                <w:szCs w:val="18"/>
              </w:rPr>
            </w:pPr>
            <w:r w:rsidRPr="00E70A11">
              <w:rPr>
                <w:rFonts w:ascii="Arial Narrow" w:eastAsia="Calibri" w:hAnsi="Arial Narrow"/>
                <w:sz w:val="18"/>
                <w:szCs w:val="18"/>
              </w:rPr>
              <w:t>Difficulty in knowing how to report damage to authorities, especially with the different jurisdictions involved.</w:t>
            </w:r>
          </w:p>
          <w:p w14:paraId="5761FA57" w14:textId="77777777" w:rsidR="00A56EE9" w:rsidRDefault="00A56EE9" w:rsidP="00A11869">
            <w:pPr>
              <w:numPr>
                <w:ilvl w:val="1"/>
                <w:numId w:val="24"/>
              </w:numPr>
              <w:spacing w:after="0" w:line="240" w:lineRule="auto"/>
              <w:ind w:left="701" w:hanging="283"/>
              <w:contextualSpacing/>
              <w:rPr>
                <w:rFonts w:ascii="Arial Narrow" w:eastAsia="Calibri" w:hAnsi="Arial Narrow"/>
                <w:sz w:val="18"/>
                <w:szCs w:val="18"/>
              </w:rPr>
            </w:pPr>
            <w:r w:rsidRPr="00E70A11">
              <w:rPr>
                <w:rFonts w:ascii="Arial Narrow" w:eastAsia="Calibri" w:hAnsi="Arial Narrow"/>
                <w:sz w:val="18"/>
                <w:szCs w:val="18"/>
              </w:rPr>
              <w:t>Native title notification process inadequate to provide feedback into GBRMPA decision making</w:t>
            </w:r>
          </w:p>
          <w:p w14:paraId="5761FA58" w14:textId="77777777" w:rsidR="00A56EE9" w:rsidRPr="00412784" w:rsidRDefault="00A56EE9" w:rsidP="00A11869">
            <w:pPr>
              <w:pStyle w:val="ListParagraph"/>
              <w:numPr>
                <w:ilvl w:val="0"/>
                <w:numId w:val="24"/>
              </w:numPr>
              <w:spacing w:after="200" w:line="276" w:lineRule="auto"/>
              <w:rPr>
                <w:rFonts w:ascii="Arial Narrow" w:eastAsia="Calibri" w:hAnsi="Arial Narrow"/>
                <w:sz w:val="18"/>
                <w:szCs w:val="18"/>
              </w:rPr>
            </w:pPr>
            <w:r w:rsidRPr="00412784">
              <w:rPr>
                <w:rFonts w:ascii="Arial Narrow" w:eastAsia="Calibri" w:hAnsi="Arial Narrow"/>
                <w:sz w:val="18"/>
                <w:szCs w:val="18"/>
              </w:rPr>
              <w:t>Traditional Owners were unhappy about the Australian Government’s decision to allocate major funding for the Reef in 2018 without involving them in discussions about this.</w:t>
            </w:r>
          </w:p>
        </w:tc>
        <w:tc>
          <w:tcPr>
            <w:tcW w:w="4926" w:type="dxa"/>
            <w:tcBorders>
              <w:top w:val="single" w:sz="4" w:space="0" w:color="auto"/>
              <w:left w:val="single" w:sz="4" w:space="0" w:color="auto"/>
              <w:bottom w:val="single" w:sz="4" w:space="0" w:color="auto"/>
              <w:right w:val="single" w:sz="4" w:space="0" w:color="auto"/>
            </w:tcBorders>
            <w:shd w:val="clear" w:color="auto" w:fill="FFFFFF" w:themeFill="background1"/>
          </w:tcPr>
          <w:p w14:paraId="5761FA5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outputs</w:t>
            </w:r>
            <w:r>
              <w:rPr>
                <w:rFonts w:ascii="Arial Narrow" w:eastAsia="Calibri" w:hAnsi="Arial Narrow"/>
                <w:sz w:val="18"/>
                <w:szCs w:val="18"/>
              </w:rPr>
              <w:t xml:space="preserve"> and discussions</w:t>
            </w:r>
          </w:p>
          <w:p w14:paraId="5761FA5A"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eastAsia="Calibri" w:hAnsi="Arial Narrow"/>
                <w:sz w:val="18"/>
                <w:szCs w:val="18"/>
              </w:rPr>
            </w:pPr>
            <w:hyperlink r:id="rId1104" w:history="1">
              <w:r w:rsidR="00A56EE9" w:rsidRPr="00E70A11">
                <w:rPr>
                  <w:rStyle w:val="Hyperlink"/>
                  <w:rFonts w:ascii="Arial Narrow" w:eastAsia="Calibri" w:hAnsi="Arial Narrow"/>
                  <w:sz w:val="18"/>
                  <w:szCs w:val="18"/>
                </w:rPr>
                <w:t>Yirrganydji Indigenous Land and Sea Rangers</w:t>
              </w:r>
            </w:hyperlink>
          </w:p>
          <w:p w14:paraId="5761FA5B"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A5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A5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1FA6A"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A5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OC2</w:t>
            </w:r>
            <w:r>
              <w:rPr>
                <w:rFonts w:ascii="Arial Narrow" w:hAnsi="Arial Narrow"/>
                <w:sz w:val="18"/>
                <w:szCs w:val="18"/>
              </w:rPr>
              <w:t xml:space="preserve"> </w:t>
            </w:r>
            <w:r w:rsidRPr="00E70A11">
              <w:rPr>
                <w:rFonts w:ascii="Arial Narrow" w:hAnsi="Arial Narrow"/>
                <w:sz w:val="18"/>
                <w:szCs w:val="18"/>
              </w:rPr>
              <w:t>The outputs relating to Indigenous heritage are on track to ensure the values of the Great Barrier Reef are protected (refer CO1)</w:t>
            </w:r>
          </w:p>
        </w:tc>
        <w:tc>
          <w:tcPr>
            <w:tcW w:w="643" w:type="dxa"/>
            <w:tcBorders>
              <w:top w:val="single" w:sz="4" w:space="0" w:color="auto"/>
              <w:left w:val="single" w:sz="4" w:space="0" w:color="auto"/>
              <w:bottom w:val="single" w:sz="4" w:space="0" w:color="auto"/>
              <w:right w:val="single" w:sz="4" w:space="0" w:color="auto"/>
            </w:tcBorders>
          </w:tcPr>
          <w:p w14:paraId="5761FA6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A6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 spite of efforts and outputs to maintain and protect indigenous Heritage values, these are still declining.</w:t>
            </w:r>
          </w:p>
          <w:p w14:paraId="5761FA6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This is due partly to the effects of climate change and the passing on of elders, but it offset by greater opportunities for people to re-connect with country.</w:t>
            </w:r>
          </w:p>
          <w:p w14:paraId="5761FA6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“Traditional Owners with connections to the Region maintain their cultural practices and customs. However, because Indigenous heritage values are closely tied to land and sea country, values have deteriorated with deterioration of the environment:” (Strategic Assessment 2014). It is unlikely that this situation has turned around in the last five years.</w:t>
            </w:r>
          </w:p>
          <w:p w14:paraId="5761FA6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There is some doubt that Reef 2050 targets in relation to Indigenous heritage will be met: </w:t>
            </w:r>
          </w:p>
        </w:tc>
        <w:tc>
          <w:tcPr>
            <w:tcW w:w="4926" w:type="dxa"/>
            <w:tcBorders>
              <w:top w:val="single" w:sz="4" w:space="0" w:color="auto"/>
              <w:left w:val="single" w:sz="4" w:space="0" w:color="auto"/>
              <w:bottom w:val="single" w:sz="4" w:space="0" w:color="auto"/>
              <w:right w:val="single" w:sz="4" w:space="0" w:color="auto"/>
            </w:tcBorders>
          </w:tcPr>
          <w:p w14:paraId="5761FA65" w14:textId="77777777" w:rsidR="00A56EE9" w:rsidRPr="00E70A11" w:rsidRDefault="00A56EE9" w:rsidP="00A11869">
            <w:pPr>
              <w:pStyle w:val="ListParagraph"/>
              <w:numPr>
                <w:ilvl w:val="0"/>
                <w:numId w:val="24"/>
              </w:numPr>
              <w:spacing w:after="200" w:line="240" w:lineRule="auto"/>
              <w:rPr>
                <w:rFonts w:ascii="Arial Narrow" w:hAnsi="Arial Narrow"/>
                <w:color w:val="0000FF"/>
                <w:sz w:val="18"/>
                <w:szCs w:val="18"/>
                <w:u w:val="single"/>
              </w:rPr>
            </w:pPr>
            <w:r w:rsidRPr="00E70A11">
              <w:rPr>
                <w:rFonts w:ascii="Arial Narrow" w:eastAsia="Calibri" w:hAnsi="Arial Narrow"/>
                <w:sz w:val="18"/>
                <w:szCs w:val="18"/>
              </w:rPr>
              <w:t>Workshops</w:t>
            </w:r>
          </w:p>
          <w:p w14:paraId="5761FA66" w14:textId="77777777" w:rsidR="00A56EE9" w:rsidRPr="00E70A11" w:rsidRDefault="008B5998" w:rsidP="00A11869">
            <w:pPr>
              <w:pStyle w:val="ListParagraph"/>
              <w:numPr>
                <w:ilvl w:val="0"/>
                <w:numId w:val="24"/>
              </w:numPr>
              <w:spacing w:after="200" w:line="240" w:lineRule="auto"/>
              <w:rPr>
                <w:rStyle w:val="Hyperlink"/>
                <w:rFonts w:ascii="Arial Narrow" w:hAnsi="Arial Narrow"/>
                <w:sz w:val="18"/>
                <w:szCs w:val="18"/>
              </w:rPr>
            </w:pPr>
            <w:hyperlink r:id="rId1105" w:history="1">
              <w:r w:rsidR="00A56EE9" w:rsidRPr="00E70A11">
                <w:rPr>
                  <w:rStyle w:val="Hyperlink"/>
                  <w:rFonts w:ascii="Arial Narrow" w:hAnsi="Arial Narrow"/>
                  <w:sz w:val="18"/>
                  <w:szCs w:val="18"/>
                </w:rPr>
                <w:t>Strategic Assessment Report</w:t>
              </w:r>
            </w:hyperlink>
          </w:p>
          <w:p w14:paraId="5761FA67" w14:textId="77777777" w:rsidR="00A56EE9" w:rsidRPr="00E70A11" w:rsidRDefault="00A56EE9" w:rsidP="00BB6AD5">
            <w:pPr>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A6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A6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Declining</w:t>
            </w:r>
          </w:p>
        </w:tc>
      </w:tr>
      <w:tr w:rsidR="00A56EE9" w:rsidRPr="00E70A11" w14:paraId="5761FA74"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A6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OC3</w:t>
            </w:r>
            <w:r>
              <w:rPr>
                <w:rFonts w:ascii="Arial Narrow" w:hAnsi="Arial Narrow"/>
                <w:sz w:val="18"/>
                <w:szCs w:val="18"/>
              </w:rPr>
              <w:t xml:space="preserve"> </w:t>
            </w:r>
            <w:r w:rsidRPr="00E70A11">
              <w:rPr>
                <w:rFonts w:ascii="Arial Narrow" w:hAnsi="Arial Narrow"/>
                <w:sz w:val="18"/>
                <w:szCs w:val="18"/>
              </w:rPr>
              <w:t>the outputs (refer OP1 and 3) for Indigenous heritage are reducing the major risks and the threats to the Great Barrier Reef</w:t>
            </w:r>
          </w:p>
        </w:tc>
        <w:tc>
          <w:tcPr>
            <w:tcW w:w="643" w:type="dxa"/>
            <w:tcBorders>
              <w:top w:val="single" w:sz="4" w:space="0" w:color="auto"/>
              <w:left w:val="single" w:sz="4" w:space="0" w:color="auto"/>
              <w:bottom w:val="single" w:sz="4" w:space="0" w:color="auto"/>
              <w:right w:val="single" w:sz="4" w:space="0" w:color="auto"/>
            </w:tcBorders>
          </w:tcPr>
          <w:p w14:paraId="5761FA6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A6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Outputs are reducing some of the risks, including risks from inappropriate developments and recreation; and are striving to support Traditional Owners to maintain their vibrant cultures in spite of many threats and socio-economic changes.</w:t>
            </w:r>
          </w:p>
          <w:p w14:paraId="5761FA6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However, threats originating from climate change and from widespread social change are not being reduced.</w:t>
            </w:r>
          </w:p>
        </w:tc>
        <w:tc>
          <w:tcPr>
            <w:tcW w:w="4926" w:type="dxa"/>
            <w:tcBorders>
              <w:top w:val="single" w:sz="4" w:space="0" w:color="auto"/>
              <w:left w:val="single" w:sz="4" w:space="0" w:color="auto"/>
              <w:bottom w:val="single" w:sz="4" w:space="0" w:color="auto"/>
              <w:right w:val="single" w:sz="4" w:space="0" w:color="auto"/>
            </w:tcBorders>
          </w:tcPr>
          <w:p w14:paraId="5761FA6F"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Workshops</w:t>
            </w:r>
          </w:p>
          <w:p w14:paraId="5761FA70"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hAnsi="Arial Narrow"/>
                <w:sz w:val="18"/>
                <w:szCs w:val="18"/>
                <w:lang w:val="en-GB"/>
              </w:rPr>
            </w:pPr>
            <w:hyperlink r:id="rId1106" w:history="1">
              <w:r w:rsidR="00A56EE9" w:rsidRPr="00E70A11">
                <w:rPr>
                  <w:rStyle w:val="Hyperlink"/>
                  <w:rFonts w:ascii="Arial Narrow" w:hAnsi="Arial Narrow"/>
                  <w:sz w:val="18"/>
                  <w:szCs w:val="18"/>
                </w:rPr>
                <w:t>Strategic Assessment Report</w:t>
              </w:r>
            </w:hyperlink>
          </w:p>
          <w:p w14:paraId="5761FA71"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A7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A7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Declining</w:t>
            </w:r>
          </w:p>
        </w:tc>
      </w:tr>
      <w:tr w:rsidR="00A56EE9" w:rsidRPr="00E70A11" w14:paraId="5761FA7D"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A7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OC4</w:t>
            </w:r>
            <w:r>
              <w:rPr>
                <w:rFonts w:ascii="Arial Narrow" w:hAnsi="Arial Narrow"/>
                <w:sz w:val="18"/>
                <w:szCs w:val="18"/>
              </w:rPr>
              <w:t xml:space="preserve"> </w:t>
            </w:r>
            <w:r w:rsidRPr="00E70A11">
              <w:rPr>
                <w:rFonts w:ascii="Arial Narrow" w:hAnsi="Arial Narrow"/>
                <w:sz w:val="18"/>
                <w:szCs w:val="18"/>
              </w:rPr>
              <w:t>Use of the Great Barrier Reef relating to Indigenous heritage is demonstrably environmentally sustainable</w:t>
            </w:r>
          </w:p>
        </w:tc>
        <w:tc>
          <w:tcPr>
            <w:tcW w:w="643" w:type="dxa"/>
            <w:tcBorders>
              <w:top w:val="single" w:sz="4" w:space="0" w:color="auto"/>
              <w:left w:val="single" w:sz="4" w:space="0" w:color="auto"/>
              <w:bottom w:val="single" w:sz="4" w:space="0" w:color="auto"/>
              <w:right w:val="single" w:sz="4" w:space="0" w:color="auto"/>
            </w:tcBorders>
          </w:tcPr>
          <w:p w14:paraId="5761FA7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A7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While for many cultural practices remain strong, other Indigenous heritage values have deteriorated with changes in the environment and condition of tangible heritage.</w:t>
            </w:r>
          </w:p>
          <w:p w14:paraId="5761FA7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health of Aboriginal and Torres Strait Islander heritage components is heavily dependent on the state of the environment, which is currently in good condition but declining. The recent Great Barrier Reef Summit found urgent action is needed to address the deterioration of the reef.</w:t>
            </w:r>
          </w:p>
          <w:p w14:paraId="5761FA7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More details about the values of marine resources are contained in the TUMRA section.</w:t>
            </w:r>
          </w:p>
        </w:tc>
        <w:tc>
          <w:tcPr>
            <w:tcW w:w="4926" w:type="dxa"/>
            <w:tcBorders>
              <w:top w:val="single" w:sz="4" w:space="0" w:color="auto"/>
              <w:left w:val="single" w:sz="4" w:space="0" w:color="auto"/>
              <w:bottom w:val="single" w:sz="4" w:space="0" w:color="auto"/>
              <w:right w:val="single" w:sz="4" w:space="0" w:color="auto"/>
            </w:tcBorders>
          </w:tcPr>
          <w:p w14:paraId="5761FA7A" w14:textId="77777777" w:rsidR="00A56EE9" w:rsidRPr="00E70A11" w:rsidRDefault="00A56EE9" w:rsidP="00A11869">
            <w:pPr>
              <w:pStyle w:val="ListParagraph"/>
              <w:numPr>
                <w:ilvl w:val="0"/>
                <w:numId w:val="24"/>
              </w:numPr>
              <w:spacing w:after="200" w:line="240" w:lineRule="auto"/>
              <w:rPr>
                <w:rFonts w:ascii="Arial Narrow" w:eastAsia="Calibri" w:hAnsi="Arial Narrow"/>
                <w:sz w:val="18"/>
                <w:szCs w:val="18"/>
              </w:rPr>
            </w:pPr>
            <w:r w:rsidRPr="00E70A11">
              <w:rPr>
                <w:rFonts w:ascii="Arial Narrow" w:eastAsia="Calibri" w:hAnsi="Arial Narrow"/>
                <w:sz w:val="18"/>
                <w:szCs w:val="18"/>
              </w:rPr>
              <w:t>Workshops</w:t>
            </w:r>
          </w:p>
        </w:tc>
        <w:tc>
          <w:tcPr>
            <w:tcW w:w="980" w:type="dxa"/>
            <w:tcBorders>
              <w:top w:val="single" w:sz="4" w:space="0" w:color="auto"/>
              <w:left w:val="single" w:sz="4" w:space="0" w:color="auto"/>
              <w:bottom w:val="single" w:sz="4" w:space="0" w:color="auto"/>
              <w:right w:val="single" w:sz="4" w:space="0" w:color="auto"/>
            </w:tcBorders>
          </w:tcPr>
          <w:p w14:paraId="5761FA7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A7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A87"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A7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OC5</w:t>
            </w:r>
            <w:r>
              <w:rPr>
                <w:rFonts w:ascii="Arial Narrow" w:hAnsi="Arial Narrow"/>
                <w:sz w:val="18"/>
                <w:szCs w:val="18"/>
              </w:rPr>
              <w:t xml:space="preserve"> </w:t>
            </w:r>
            <w:r w:rsidRPr="00E70A11">
              <w:rPr>
                <w:rFonts w:ascii="Arial Narrow" w:hAnsi="Arial Narrow"/>
                <w:sz w:val="18"/>
                <w:szCs w:val="18"/>
              </w:rPr>
              <w:t>Use of the Great Barrier Reef relating to Indigenous heritage is demonstrably economically sustainable</w:t>
            </w:r>
          </w:p>
        </w:tc>
        <w:tc>
          <w:tcPr>
            <w:tcW w:w="643" w:type="dxa"/>
            <w:tcBorders>
              <w:top w:val="single" w:sz="4" w:space="0" w:color="auto"/>
              <w:left w:val="single" w:sz="4" w:space="0" w:color="auto"/>
              <w:bottom w:val="single" w:sz="4" w:space="0" w:color="auto"/>
              <w:right w:val="single" w:sz="4" w:space="0" w:color="auto"/>
            </w:tcBorders>
          </w:tcPr>
          <w:p w14:paraId="5761FA7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4444" w:type="dxa"/>
            <w:tcBorders>
              <w:top w:val="single" w:sz="4" w:space="0" w:color="auto"/>
              <w:left w:val="single" w:sz="4" w:space="0" w:color="auto"/>
              <w:bottom w:val="single" w:sz="4" w:space="0" w:color="auto"/>
              <w:right w:val="single" w:sz="4" w:space="0" w:color="auto"/>
            </w:tcBorders>
          </w:tcPr>
          <w:p w14:paraId="5761FA8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While there is limited Indigenous tourism established within the Reef, several TUMRA groups are developing partnerships with tourism operators. </w:t>
            </w:r>
            <w:proofErr w:type="gramStart"/>
            <w:r w:rsidRPr="00E70A11">
              <w:rPr>
                <w:rFonts w:ascii="Arial Narrow" w:eastAsia="Calibri" w:hAnsi="Arial Narrow"/>
                <w:sz w:val="18"/>
                <w:szCs w:val="18"/>
              </w:rPr>
              <w:t>to</w:t>
            </w:r>
            <w:proofErr w:type="gramEnd"/>
            <w:r w:rsidRPr="00E70A11">
              <w:rPr>
                <w:rFonts w:ascii="Arial Narrow" w:eastAsia="Calibri" w:hAnsi="Arial Narrow"/>
                <w:sz w:val="18"/>
                <w:szCs w:val="18"/>
              </w:rPr>
              <w:t xml:space="preserve"> run on-country cultural activities (for example Junior Ranger field trips), develop Traditional Owner cultural interpretation materials and to develop career pathways for Traditional Owners on tourist vessels.</w:t>
            </w:r>
          </w:p>
          <w:p w14:paraId="5761FA8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Land and Sea Ranger and Indigenous Ranger Programs provided many social and economic benefits</w:t>
            </w:r>
          </w:p>
          <w:p w14:paraId="5761FA8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Yirriganydji have developed an educational video showcasing their Land and Sea Ranger program</w:t>
            </w:r>
          </w:p>
        </w:tc>
        <w:tc>
          <w:tcPr>
            <w:tcW w:w="4926" w:type="dxa"/>
            <w:tcBorders>
              <w:top w:val="single" w:sz="4" w:space="0" w:color="auto"/>
              <w:left w:val="single" w:sz="4" w:space="0" w:color="auto"/>
              <w:bottom w:val="single" w:sz="4" w:space="0" w:color="auto"/>
              <w:right w:val="single" w:sz="4" w:space="0" w:color="auto"/>
            </w:tcBorders>
          </w:tcPr>
          <w:p w14:paraId="5761FA83"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eastAsia="Calibri" w:hAnsi="Arial Narrow"/>
                <w:sz w:val="18"/>
                <w:szCs w:val="18"/>
              </w:rPr>
            </w:pPr>
            <w:hyperlink r:id="rId1107" w:history="1">
              <w:r w:rsidR="00A56EE9" w:rsidRPr="00E70A11">
                <w:rPr>
                  <w:rStyle w:val="Hyperlink"/>
                  <w:rFonts w:ascii="Arial Narrow" w:eastAsia="Calibri" w:hAnsi="Arial Narrow"/>
                  <w:sz w:val="18"/>
                  <w:szCs w:val="18"/>
                </w:rPr>
                <w:t>Yirrganydji Indigenous Land and Sea Rangers</w:t>
              </w:r>
            </w:hyperlink>
          </w:p>
          <w:p w14:paraId="5761FA84"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A8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A8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A92"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A8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OC6</w:t>
            </w:r>
            <w:r>
              <w:rPr>
                <w:rFonts w:ascii="Arial Narrow" w:hAnsi="Arial Narrow"/>
                <w:sz w:val="18"/>
                <w:szCs w:val="18"/>
              </w:rPr>
              <w:t xml:space="preserve"> </w:t>
            </w:r>
            <w:r w:rsidRPr="00E70A11">
              <w:rPr>
                <w:rFonts w:ascii="Arial Narrow" w:hAnsi="Arial Narrow"/>
                <w:sz w:val="18"/>
                <w:szCs w:val="18"/>
              </w:rPr>
              <w:t>Use of the Great Barrier Reef relating to Indigenous heritage is demonstrably socially sustainable, in terms of understanding and/or enjoyment</w:t>
            </w:r>
          </w:p>
        </w:tc>
        <w:tc>
          <w:tcPr>
            <w:tcW w:w="643" w:type="dxa"/>
            <w:tcBorders>
              <w:top w:val="single" w:sz="4" w:space="0" w:color="auto"/>
              <w:left w:val="single" w:sz="4" w:space="0" w:color="auto"/>
              <w:bottom w:val="single" w:sz="4" w:space="0" w:color="auto"/>
              <w:right w:val="single" w:sz="4" w:space="0" w:color="auto"/>
            </w:tcBorders>
          </w:tcPr>
          <w:p w14:paraId="5761FA8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4444" w:type="dxa"/>
            <w:tcBorders>
              <w:top w:val="single" w:sz="4" w:space="0" w:color="auto"/>
              <w:left w:val="single" w:sz="4" w:space="0" w:color="auto"/>
              <w:bottom w:val="single" w:sz="4" w:space="0" w:color="auto"/>
              <w:right w:val="single" w:sz="4" w:space="0" w:color="auto"/>
            </w:tcBorders>
          </w:tcPr>
          <w:p w14:paraId="5761FA8A" w14:textId="77777777" w:rsidR="00A56EE9" w:rsidRPr="00E70A11" w:rsidRDefault="00A56EE9" w:rsidP="00BB6AD5">
            <w:pPr>
              <w:contextualSpacing/>
              <w:rPr>
                <w:rFonts w:ascii="Arial Narrow" w:eastAsia="Calibri" w:hAnsi="Arial Narrow"/>
                <w:sz w:val="18"/>
                <w:szCs w:val="18"/>
              </w:rPr>
            </w:pPr>
            <w:r w:rsidRPr="00E70A11">
              <w:rPr>
                <w:rFonts w:ascii="Arial Narrow" w:eastAsia="Calibri" w:hAnsi="Arial Narrow"/>
                <w:sz w:val="18"/>
                <w:szCs w:val="18"/>
              </w:rPr>
              <w:t>Consultation for development of the Aboriginal and Torres Strait Islander Heritage Strategy identified the following issues:</w:t>
            </w:r>
          </w:p>
          <w:p w14:paraId="5761FA8B" w14:textId="77777777" w:rsidR="00A56EE9" w:rsidRPr="00E70A11" w:rsidRDefault="00A56EE9" w:rsidP="00A11869">
            <w:pPr>
              <w:pStyle w:val="ListParagraph"/>
              <w:numPr>
                <w:ilvl w:val="0"/>
                <w:numId w:val="158"/>
              </w:numPr>
              <w:spacing w:after="0" w:line="276" w:lineRule="auto"/>
              <w:rPr>
                <w:rFonts w:ascii="Arial Narrow" w:eastAsia="Calibri" w:hAnsi="Arial Narrow"/>
                <w:sz w:val="18"/>
                <w:szCs w:val="18"/>
              </w:rPr>
            </w:pPr>
            <w:r w:rsidRPr="00E70A11">
              <w:rPr>
                <w:rFonts w:ascii="Arial Narrow" w:eastAsia="Calibri" w:hAnsi="Arial Narrow"/>
                <w:sz w:val="18"/>
                <w:szCs w:val="18"/>
              </w:rPr>
              <w:t>Loss of Indigenous knowledge is a major risk to heritage in the Reef. The passing of elders loses knowledge irretrievably. Difficulty in exercising cultural rights and responsibilities, such as loss of access and lack of resources, since the disruption of the traditional lifestyle creates challenges in transferring knowledge to the younger generation. Without the systemic passing on of cultural knowledge that occurred prior to European disruption, heritage is at risk of not being passed on to the next generations, and thus lost forever.</w:t>
            </w:r>
          </w:p>
          <w:p w14:paraId="5761FA8C" w14:textId="77777777" w:rsidR="00A56EE9" w:rsidRPr="00E70A11" w:rsidRDefault="00A56EE9" w:rsidP="00A11869">
            <w:pPr>
              <w:pStyle w:val="ListParagraph"/>
              <w:numPr>
                <w:ilvl w:val="0"/>
                <w:numId w:val="158"/>
              </w:numPr>
              <w:spacing w:after="200" w:line="276" w:lineRule="auto"/>
              <w:rPr>
                <w:rFonts w:ascii="Arial Narrow" w:eastAsia="Calibri" w:hAnsi="Arial Narrow"/>
                <w:sz w:val="18"/>
                <w:szCs w:val="18"/>
              </w:rPr>
            </w:pPr>
            <w:r w:rsidRPr="00E70A11">
              <w:rPr>
                <w:rFonts w:ascii="Arial Narrow" w:eastAsia="Calibri" w:hAnsi="Arial Narrow"/>
                <w:sz w:val="18"/>
                <w:szCs w:val="18"/>
              </w:rPr>
              <w:t xml:space="preserve">A further risk to heritage is a lack of on-ground management capacity and opportunities for Traditional Owners. Limited access to marine areas due to not having suitable boats, and limited resources to conduct protection and rehabilitation activities prevent active management. On-ground management requires competent organisations with strong governance in place that have cultural authority to make decisions, and resources such as boats and rangers to implement management activities. Without on-ground management, cultural and legislative rules and responsibilities cannot be implemented or enforced. </w:t>
            </w:r>
          </w:p>
          <w:p w14:paraId="5761FA8D" w14:textId="77777777" w:rsidR="00A56EE9" w:rsidRPr="00E70A11" w:rsidRDefault="00A56EE9" w:rsidP="00A11869">
            <w:pPr>
              <w:pStyle w:val="ListParagraph"/>
              <w:numPr>
                <w:ilvl w:val="0"/>
                <w:numId w:val="158"/>
              </w:numPr>
              <w:spacing w:after="0" w:line="276" w:lineRule="auto"/>
              <w:rPr>
                <w:rFonts w:ascii="Arial Narrow" w:eastAsia="Calibri" w:hAnsi="Arial Narrow"/>
                <w:sz w:val="18"/>
                <w:szCs w:val="18"/>
              </w:rPr>
            </w:pPr>
            <w:r w:rsidRPr="00E70A11">
              <w:rPr>
                <w:rFonts w:ascii="Arial Narrow" w:eastAsia="Calibri" w:hAnsi="Arial Narrow"/>
                <w:sz w:val="18"/>
                <w:szCs w:val="18"/>
              </w:rPr>
              <w:t xml:space="preserve">The lack of knowledge of Indigenous heritage by other Reef managers and users, including GBRMPA, puts heritage at risk of being impacted unintentionally. </w:t>
            </w:r>
          </w:p>
        </w:tc>
        <w:tc>
          <w:tcPr>
            <w:tcW w:w="4926" w:type="dxa"/>
            <w:tcBorders>
              <w:top w:val="single" w:sz="4" w:space="0" w:color="auto"/>
              <w:left w:val="single" w:sz="4" w:space="0" w:color="auto"/>
              <w:bottom w:val="single" w:sz="4" w:space="0" w:color="auto"/>
              <w:right w:val="single" w:sz="4" w:space="0" w:color="auto"/>
            </w:tcBorders>
          </w:tcPr>
          <w:p w14:paraId="5761FA8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Consultation feedback</w:t>
            </w:r>
          </w:p>
          <w:p w14:paraId="5761FA8F"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A9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865" w:type="dxa"/>
            <w:tcBorders>
              <w:top w:val="single" w:sz="4" w:space="0" w:color="auto"/>
              <w:left w:val="single" w:sz="4" w:space="0" w:color="auto"/>
              <w:bottom w:val="single" w:sz="4" w:space="0" w:color="auto"/>
              <w:right w:val="single" w:sz="4" w:space="0" w:color="auto"/>
            </w:tcBorders>
          </w:tcPr>
          <w:p w14:paraId="5761FA9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1FAA8" w14:textId="77777777" w:rsidTr="00BB6AD5">
        <w:trPr>
          <w:trHeight w:val="170"/>
        </w:trPr>
        <w:tc>
          <w:tcPr>
            <w:tcW w:w="2090" w:type="dxa"/>
            <w:tcBorders>
              <w:top w:val="single" w:sz="4" w:space="0" w:color="auto"/>
              <w:left w:val="single" w:sz="4" w:space="0" w:color="auto"/>
              <w:bottom w:val="single" w:sz="4" w:space="0" w:color="auto"/>
              <w:right w:val="single" w:sz="4" w:space="0" w:color="auto"/>
            </w:tcBorders>
          </w:tcPr>
          <w:p w14:paraId="5761FA9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OC7</w:t>
            </w:r>
            <w:r>
              <w:rPr>
                <w:rFonts w:ascii="Arial Narrow" w:hAnsi="Arial Narrow"/>
                <w:sz w:val="18"/>
                <w:szCs w:val="18"/>
              </w:rPr>
              <w:t xml:space="preserve"> </w:t>
            </w:r>
            <w:r w:rsidRPr="00E70A11">
              <w:rPr>
                <w:rFonts w:ascii="Arial Narrow" w:hAnsi="Arial Narrow"/>
                <w:sz w:val="18"/>
                <w:szCs w:val="18"/>
              </w:rPr>
              <w:t xml:space="preserve">The relevant managing agencies have developed effective partnerships with local communities and/or stakeholders to address Indigenous heritage </w:t>
            </w:r>
          </w:p>
        </w:tc>
        <w:tc>
          <w:tcPr>
            <w:tcW w:w="643" w:type="dxa"/>
            <w:tcBorders>
              <w:top w:val="single" w:sz="4" w:space="0" w:color="auto"/>
              <w:left w:val="single" w:sz="4" w:space="0" w:color="auto"/>
              <w:bottom w:val="single" w:sz="4" w:space="0" w:color="auto"/>
              <w:right w:val="single" w:sz="4" w:space="0" w:color="auto"/>
            </w:tcBorders>
          </w:tcPr>
          <w:p w14:paraId="5761FA9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4444" w:type="dxa"/>
            <w:tcBorders>
              <w:top w:val="single" w:sz="4" w:space="0" w:color="auto"/>
              <w:left w:val="single" w:sz="4" w:space="0" w:color="auto"/>
              <w:bottom w:val="single" w:sz="4" w:space="0" w:color="auto"/>
              <w:right w:val="single" w:sz="4" w:space="0" w:color="auto"/>
            </w:tcBorders>
          </w:tcPr>
          <w:p w14:paraId="5761FA9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are many examples of positive and effective partnerships with Indigenous communities and Corporations, though further progress will depend of maintaining sufficient skilled staff with enough time to develop relationships and not just formal agreements.</w:t>
            </w:r>
          </w:p>
          <w:p w14:paraId="5761FA9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Woppaburra Guidelines have been a result of a close partnership between GBRMPA staff and the Woppaburra Traditional Use of Marine Resources Agreement (TUMRA) Steering Committee,The TUMRA program continues, and has established strong partnerships with over 17 Traditional Owner clan groups (via 10 TUMRAs).</w:t>
            </w:r>
          </w:p>
          <w:p w14:paraId="5761FA9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Girringun Ranger Fee for service arrangement – strong partnerships have now led to 12 month contracts with the FMP. Due to strong partnerships and extensive capacity on the ground in 2016 Girringun Rangers supported the Cape Upstart oil spill response with other government agencies. </w:t>
            </w:r>
          </w:p>
          <w:p w14:paraId="5761FA9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Raine Island Recovery Project has established effective partnerships with several Traditional Owner Groups.</w:t>
            </w:r>
          </w:p>
          <w:p w14:paraId="5761FA99"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‘Cross-decking’ and Indigenous Ranger Programs have increased presence of Traditional Owners and Indigenous rangers in the GBR.</w:t>
            </w:r>
          </w:p>
          <w:p w14:paraId="5761FA9A" w14:textId="77777777" w:rsidR="00A56EE9" w:rsidRDefault="00A56EE9" w:rsidP="00A11869">
            <w:pPr>
              <w:pStyle w:val="ListParagraph"/>
              <w:numPr>
                <w:ilvl w:val="0"/>
                <w:numId w:val="24"/>
              </w:numPr>
              <w:spacing w:after="0" w:line="240" w:lineRule="auto"/>
              <w:ind w:left="357" w:hanging="357"/>
              <w:rPr>
                <w:rFonts w:ascii="Arial Narrow" w:eastAsia="Calibri" w:hAnsi="Arial Narrow"/>
                <w:sz w:val="18"/>
                <w:szCs w:val="18"/>
              </w:rPr>
            </w:pPr>
            <w:r w:rsidRPr="00E70A11">
              <w:rPr>
                <w:rFonts w:ascii="Arial Narrow" w:eastAsia="Calibri" w:hAnsi="Arial Narrow"/>
                <w:sz w:val="18"/>
                <w:szCs w:val="18"/>
              </w:rPr>
              <w:t>Under the CYPAL, QPWS follows a ‘Permits to take, use, keep or interfere with Natural Resources Protocol’ (PTUKI) where researchers want to take things within a Traditional Owners land/sea country. This protocol implements a respectful governance arrangement where there is formal notification, involvement and data sharing between western science and Traditional owners. The Shelburne Bay agreement was put in place in 2016 with the Wuthathi Traditional Owners.</w:t>
            </w:r>
          </w:p>
          <w:p w14:paraId="5761FA9B" w14:textId="77777777" w:rsidR="00A56EE9" w:rsidRPr="00E70A11" w:rsidRDefault="00A56EE9" w:rsidP="00A11869">
            <w:pPr>
              <w:pStyle w:val="ListParagraph"/>
              <w:numPr>
                <w:ilvl w:val="0"/>
                <w:numId w:val="24"/>
              </w:numPr>
              <w:spacing w:after="0" w:line="240" w:lineRule="auto"/>
              <w:ind w:left="357" w:hanging="357"/>
              <w:rPr>
                <w:rFonts w:ascii="Arial Narrow" w:eastAsia="Calibri" w:hAnsi="Arial Narrow"/>
                <w:sz w:val="18"/>
                <w:szCs w:val="18"/>
              </w:rPr>
            </w:pPr>
            <w:r>
              <w:rPr>
                <w:rFonts w:ascii="Arial Narrow" w:eastAsia="Calibri" w:hAnsi="Arial Narrow"/>
                <w:sz w:val="18"/>
                <w:szCs w:val="18"/>
              </w:rPr>
              <w:t>There is to date limited progress in the full engagement of Traditonal Owners as partners in management across the whole Reef.</w:t>
            </w:r>
          </w:p>
        </w:tc>
        <w:bookmarkStart w:id="212" w:name="_Hlk519266426"/>
        <w:tc>
          <w:tcPr>
            <w:tcW w:w="4926" w:type="dxa"/>
            <w:tcBorders>
              <w:top w:val="single" w:sz="4" w:space="0" w:color="auto"/>
              <w:left w:val="single" w:sz="4" w:space="0" w:color="auto"/>
              <w:bottom w:val="single" w:sz="4" w:space="0" w:color="auto"/>
              <w:right w:val="single" w:sz="4" w:space="0" w:color="auto"/>
            </w:tcBorders>
          </w:tcPr>
          <w:p w14:paraId="5761FA9C" w14:textId="77777777" w:rsidR="00A56EE9" w:rsidRPr="00E70A11" w:rsidRDefault="00A56EE9" w:rsidP="00A11869">
            <w:pPr>
              <w:pStyle w:val="ListParagraph"/>
              <w:numPr>
                <w:ilvl w:val="0"/>
                <w:numId w:val="24"/>
              </w:numPr>
              <w:spacing w:after="0" w:line="276" w:lineRule="auto"/>
              <w:ind w:left="357" w:hanging="357"/>
              <w:rPr>
                <w:rStyle w:val="Hyperlink"/>
                <w:rFonts w:ascii="Arial Narrow" w:eastAsia="Calibri" w:hAnsi="Arial Narrow"/>
                <w:sz w:val="18"/>
                <w:szCs w:val="18"/>
              </w:rPr>
            </w:pPr>
            <w:r w:rsidRPr="00E70A11">
              <w:rPr>
                <w:rStyle w:val="Hyperlink"/>
                <w:rFonts w:ascii="Arial Narrow" w:eastAsia="Calibri" w:hAnsi="Arial Narrow"/>
                <w:sz w:val="18"/>
                <w:szCs w:val="18"/>
              </w:rPr>
              <w:fldChar w:fldCharType="begin"/>
            </w:r>
            <w:r w:rsidRPr="00E70A11">
              <w:rPr>
                <w:rStyle w:val="Hyperlink"/>
                <w:rFonts w:ascii="Arial Narrow" w:eastAsia="Calibri" w:hAnsi="Arial Narrow"/>
                <w:sz w:val="18"/>
                <w:szCs w:val="18"/>
              </w:rPr>
              <w:instrText xml:space="preserve"> HYPERLINK "http://girringun.com.au/programs" </w:instrText>
            </w:r>
            <w:r w:rsidRPr="00E70A11">
              <w:rPr>
                <w:rStyle w:val="Hyperlink"/>
                <w:rFonts w:ascii="Arial Narrow" w:eastAsia="Calibri" w:hAnsi="Arial Narrow"/>
                <w:sz w:val="18"/>
                <w:szCs w:val="18"/>
              </w:rPr>
              <w:fldChar w:fldCharType="separate"/>
            </w:r>
            <w:r w:rsidRPr="00E70A11">
              <w:rPr>
                <w:rStyle w:val="Hyperlink"/>
                <w:rFonts w:ascii="Arial Narrow" w:eastAsia="Calibri" w:hAnsi="Arial Narrow"/>
                <w:sz w:val="18"/>
                <w:szCs w:val="18"/>
              </w:rPr>
              <w:t>Girringun Corporation website</w:t>
            </w:r>
            <w:r w:rsidRPr="00E70A11">
              <w:rPr>
                <w:rStyle w:val="Hyperlink"/>
                <w:rFonts w:ascii="Arial Narrow" w:eastAsia="Calibri" w:hAnsi="Arial Narrow"/>
                <w:sz w:val="18"/>
                <w:szCs w:val="18"/>
              </w:rPr>
              <w:fldChar w:fldCharType="end"/>
            </w:r>
          </w:p>
          <w:p w14:paraId="5761FA9D"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eastAsia="Calibri" w:hAnsi="Arial Narrow"/>
                <w:sz w:val="18"/>
                <w:szCs w:val="18"/>
              </w:rPr>
            </w:pPr>
            <w:hyperlink r:id="rId1108" w:history="1">
              <w:r w:rsidR="00A56EE9" w:rsidRPr="00E70A11">
                <w:rPr>
                  <w:rStyle w:val="Hyperlink"/>
                  <w:rFonts w:ascii="Arial Narrow" w:hAnsi="Arial Narrow"/>
                  <w:sz w:val="18"/>
                  <w:szCs w:val="18"/>
                </w:rPr>
                <w:t>Video about TUMRA demonstrates Traditional</w:t>
              </w:r>
            </w:hyperlink>
            <w:r w:rsidR="00A56EE9" w:rsidRPr="00E70A11">
              <w:rPr>
                <w:rStyle w:val="Hyperlink"/>
                <w:rFonts w:ascii="Arial Narrow" w:hAnsi="Arial Narrow"/>
                <w:sz w:val="18"/>
                <w:szCs w:val="18"/>
              </w:rPr>
              <w:t xml:space="preserve"> Owners and other managers working together with positive outcomes</w:t>
            </w:r>
          </w:p>
          <w:p w14:paraId="5761FA9E"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eastAsia="Calibri" w:hAnsi="Arial Narrow"/>
                <w:sz w:val="18"/>
                <w:szCs w:val="18"/>
              </w:rPr>
            </w:pPr>
            <w:hyperlink r:id="rId1109" w:history="1">
              <w:r w:rsidR="00A56EE9" w:rsidRPr="00E70A11">
                <w:rPr>
                  <w:rStyle w:val="Hyperlink"/>
                  <w:rFonts w:ascii="Arial Narrow" w:eastAsia="Calibri" w:hAnsi="Arial Narrow"/>
                  <w:sz w:val="18"/>
                  <w:szCs w:val="18"/>
                </w:rPr>
                <w:t>Yirrganydji Indigenous Land and Sea Rangers</w:t>
              </w:r>
            </w:hyperlink>
          </w:p>
          <w:p w14:paraId="5761FA9F" w14:textId="77777777" w:rsidR="00A56EE9" w:rsidRPr="00E70A11" w:rsidRDefault="008B5998" w:rsidP="00A11869">
            <w:pPr>
              <w:pStyle w:val="ListParagraph"/>
              <w:numPr>
                <w:ilvl w:val="0"/>
                <w:numId w:val="24"/>
              </w:numPr>
              <w:spacing w:after="0" w:line="276" w:lineRule="auto"/>
              <w:ind w:left="357" w:hanging="357"/>
              <w:rPr>
                <w:rStyle w:val="Hyperlink"/>
                <w:rFonts w:ascii="Arial Narrow" w:eastAsia="Calibri" w:hAnsi="Arial Narrow"/>
                <w:sz w:val="18"/>
                <w:szCs w:val="18"/>
              </w:rPr>
            </w:pPr>
            <w:hyperlink r:id="rId1110" w:history="1">
              <w:r w:rsidR="00A56EE9" w:rsidRPr="00E70A11">
                <w:rPr>
                  <w:rStyle w:val="Hyperlink"/>
                  <w:rFonts w:ascii="Arial Narrow" w:eastAsia="Calibri" w:hAnsi="Arial Narrow"/>
                  <w:sz w:val="18"/>
                  <w:szCs w:val="18"/>
                </w:rPr>
                <w:t>Raine Island Project</w:t>
              </w:r>
            </w:hyperlink>
          </w:p>
          <w:p w14:paraId="5761FAA0" w14:textId="77777777" w:rsidR="00A56EE9" w:rsidRPr="00E70A11" w:rsidRDefault="008B5998" w:rsidP="00A11869">
            <w:pPr>
              <w:pStyle w:val="ListParagraph"/>
              <w:numPr>
                <w:ilvl w:val="0"/>
                <w:numId w:val="24"/>
              </w:numPr>
              <w:spacing w:after="0" w:line="276" w:lineRule="auto"/>
              <w:ind w:left="357" w:hanging="357"/>
              <w:rPr>
                <w:rStyle w:val="Hyperlink"/>
                <w:rFonts w:ascii="Arial Narrow" w:eastAsia="Calibri" w:hAnsi="Arial Narrow"/>
                <w:sz w:val="18"/>
                <w:szCs w:val="18"/>
              </w:rPr>
            </w:pPr>
            <w:hyperlink r:id="rId1111" w:history="1">
              <w:r w:rsidR="00A56EE9" w:rsidRPr="00E70A11">
                <w:rPr>
                  <w:rStyle w:val="Hyperlink"/>
                  <w:rFonts w:ascii="Arial Narrow" w:eastAsia="Calibri" w:hAnsi="Arial Narrow"/>
                  <w:sz w:val="18"/>
                  <w:szCs w:val="18"/>
                </w:rPr>
                <w:t xml:space="preserve"> Guidelines: Woppaburra Traditional Owner Heritage</w:t>
              </w:r>
            </w:hyperlink>
            <w:r w:rsidR="00A56EE9" w:rsidRPr="00E70A11">
              <w:rPr>
                <w:rStyle w:val="Hyperlink"/>
                <w:rFonts w:ascii="Arial Narrow" w:eastAsia="Calibri" w:hAnsi="Arial Narrow"/>
                <w:sz w:val="18"/>
                <w:szCs w:val="18"/>
              </w:rPr>
              <w:t xml:space="preserve"> Assessment</w:t>
            </w:r>
          </w:p>
          <w:p w14:paraId="5761FAA1" w14:textId="77777777" w:rsidR="00A56EE9" w:rsidRPr="00E70A11" w:rsidRDefault="008B5998" w:rsidP="00A11869">
            <w:pPr>
              <w:pStyle w:val="ListParagraph"/>
              <w:numPr>
                <w:ilvl w:val="0"/>
                <w:numId w:val="24"/>
              </w:numPr>
              <w:spacing w:after="0" w:line="276" w:lineRule="auto"/>
              <w:ind w:left="357" w:hanging="357"/>
              <w:rPr>
                <w:rStyle w:val="Hyperlink"/>
                <w:rFonts w:ascii="Arial Narrow" w:eastAsia="Calibri" w:hAnsi="Arial Narrow"/>
                <w:sz w:val="18"/>
                <w:szCs w:val="18"/>
              </w:rPr>
            </w:pPr>
            <w:hyperlink r:id="rId1112" w:history="1">
              <w:r w:rsidR="00A56EE9" w:rsidRPr="00E70A11">
                <w:rPr>
                  <w:rStyle w:val="Hyperlink"/>
                  <w:rFonts w:ascii="Arial Narrow" w:eastAsia="Calibri" w:hAnsi="Arial Narrow"/>
                  <w:sz w:val="18"/>
                  <w:szCs w:val="18"/>
                </w:rPr>
                <w:t>Working on Country Rangers (Aust Govt) program</w:t>
              </w:r>
            </w:hyperlink>
            <w:bookmarkEnd w:id="212"/>
          </w:p>
          <w:p w14:paraId="5761FAA2" w14:textId="77777777" w:rsidR="00A56EE9" w:rsidRPr="00E70A11" w:rsidRDefault="008B5998" w:rsidP="00A11869">
            <w:pPr>
              <w:pStyle w:val="ListParagraph"/>
              <w:numPr>
                <w:ilvl w:val="0"/>
                <w:numId w:val="24"/>
              </w:numPr>
              <w:spacing w:after="0" w:line="276" w:lineRule="auto"/>
              <w:ind w:left="357" w:hanging="357"/>
              <w:rPr>
                <w:rStyle w:val="Hyperlink"/>
                <w:rFonts w:ascii="Arial Narrow" w:eastAsia="Calibri" w:hAnsi="Arial Narrow"/>
                <w:sz w:val="18"/>
                <w:szCs w:val="18"/>
              </w:rPr>
            </w:pPr>
            <w:hyperlink r:id="rId1113" w:history="1">
              <w:r w:rsidR="00A56EE9" w:rsidRPr="00E70A11">
                <w:rPr>
                  <w:rStyle w:val="Hyperlink"/>
                  <w:rFonts w:ascii="Arial Narrow" w:eastAsia="Calibri" w:hAnsi="Arial Narrow"/>
                  <w:sz w:val="18"/>
                  <w:szCs w:val="18"/>
                </w:rPr>
                <w:t>Indigenous Reef Advisory Committee</w:t>
              </w:r>
            </w:hyperlink>
          </w:p>
          <w:p w14:paraId="5761FAA3" w14:textId="77777777" w:rsidR="00A56EE9" w:rsidRPr="00C5741F" w:rsidRDefault="008B5998" w:rsidP="00A11869">
            <w:pPr>
              <w:pStyle w:val="ListParagraph"/>
              <w:numPr>
                <w:ilvl w:val="0"/>
                <w:numId w:val="24"/>
              </w:numPr>
              <w:spacing w:after="0" w:line="276" w:lineRule="auto"/>
              <w:ind w:left="357" w:hanging="357"/>
              <w:rPr>
                <w:rStyle w:val="Hyperlink"/>
                <w:rFonts w:ascii="Arial Narrow" w:hAnsi="Arial Narrow"/>
                <w:sz w:val="18"/>
                <w:szCs w:val="18"/>
              </w:rPr>
            </w:pPr>
            <w:hyperlink r:id="rId1114" w:history="1">
              <w:r w:rsidR="00A56EE9" w:rsidRPr="00E70A11">
                <w:rPr>
                  <w:rStyle w:val="Hyperlink"/>
                  <w:rFonts w:ascii="Arial Narrow" w:eastAsia="Calibri" w:hAnsi="Arial Narrow"/>
                  <w:sz w:val="18"/>
                  <w:szCs w:val="18"/>
                </w:rPr>
                <w:t>Draft Aboriginal and Islander Heritage Strategy</w:t>
              </w:r>
            </w:hyperlink>
          </w:p>
          <w:p w14:paraId="5761FAA4" w14:textId="77777777" w:rsidR="00A56EE9" w:rsidRPr="00E70A11" w:rsidRDefault="00A56EE9" w:rsidP="00A11869">
            <w:pPr>
              <w:pStyle w:val="ListParagraph"/>
              <w:numPr>
                <w:ilvl w:val="0"/>
                <w:numId w:val="24"/>
              </w:numPr>
              <w:spacing w:after="0" w:line="276" w:lineRule="auto"/>
              <w:ind w:left="357" w:hanging="357"/>
              <w:rPr>
                <w:rFonts w:ascii="Arial Narrow" w:hAnsi="Arial Narrow"/>
                <w:sz w:val="18"/>
                <w:szCs w:val="18"/>
              </w:rPr>
            </w:pPr>
            <w:r>
              <w:rPr>
                <w:rFonts w:ascii="Arial Narrow" w:hAnsi="Arial Narrow"/>
                <w:sz w:val="18"/>
                <w:szCs w:val="18"/>
              </w:rPr>
              <w:t>Workshop outputs and discussions</w:t>
            </w:r>
          </w:p>
          <w:p w14:paraId="5761FAA5" w14:textId="77777777" w:rsidR="00A56EE9" w:rsidRPr="00E70A11" w:rsidRDefault="00A56EE9" w:rsidP="00BB6AD5">
            <w:pPr>
              <w:contextualSpacing/>
              <w:rPr>
                <w:rFonts w:ascii="Arial Narrow" w:eastAsia="Calibri" w:hAnsi="Arial Narrow"/>
                <w:sz w:val="18"/>
                <w:szCs w:val="18"/>
              </w:rPr>
            </w:pPr>
          </w:p>
        </w:tc>
        <w:tc>
          <w:tcPr>
            <w:tcW w:w="980" w:type="dxa"/>
            <w:tcBorders>
              <w:top w:val="single" w:sz="4" w:space="0" w:color="auto"/>
              <w:left w:val="single" w:sz="4" w:space="0" w:color="auto"/>
              <w:bottom w:val="single" w:sz="4" w:space="0" w:color="auto"/>
              <w:right w:val="single" w:sz="4" w:space="0" w:color="auto"/>
            </w:tcBorders>
          </w:tcPr>
          <w:p w14:paraId="5761FAA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865" w:type="dxa"/>
            <w:tcBorders>
              <w:top w:val="single" w:sz="4" w:space="0" w:color="auto"/>
              <w:left w:val="single" w:sz="4" w:space="0" w:color="auto"/>
              <w:bottom w:val="single" w:sz="4" w:space="0" w:color="auto"/>
              <w:right w:val="single" w:sz="4" w:space="0" w:color="auto"/>
            </w:tcBorders>
          </w:tcPr>
          <w:p w14:paraId="5761FAA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bl>
    <w:p w14:paraId="5761FAA9" w14:textId="77777777" w:rsidR="00A56EE9" w:rsidRPr="00E70A11" w:rsidRDefault="00A56EE9" w:rsidP="00BB6AD5">
      <w:pPr>
        <w:rPr>
          <w:rFonts w:ascii="Arial Narrow" w:eastAsia="Calibri" w:hAnsi="Arial Narrow"/>
          <w:sz w:val="18"/>
          <w:szCs w:val="18"/>
        </w:rPr>
      </w:pPr>
      <w:r w:rsidRPr="00E70A11">
        <w:rPr>
          <w:rFonts w:ascii="Arial Narrow" w:eastAsia="Calibri" w:hAnsi="Arial Narrow"/>
          <w:sz w:val="18"/>
          <w:szCs w:val="18"/>
        </w:rPr>
        <w:br w:type="page"/>
      </w:r>
    </w:p>
    <w:p w14:paraId="5761FAAA" w14:textId="7A84598E" w:rsidR="00A56EE9" w:rsidRPr="00E70A11" w:rsidRDefault="00A56EE9" w:rsidP="009C7D6F">
      <w:pPr>
        <w:pStyle w:val="Heading4"/>
      </w:pPr>
      <w:bookmarkStart w:id="213" w:name="_Toc369686752"/>
      <w:bookmarkStart w:id="214" w:name="_Toc522532009"/>
      <w:bookmarkStart w:id="215" w:name="_Toc525654476"/>
      <w:r>
        <w:t xml:space="preserve">Table </w:t>
      </w:r>
      <w:r>
        <w:rPr>
          <w:noProof/>
        </w:rPr>
        <w:fldChar w:fldCharType="begin"/>
      </w:r>
      <w:r>
        <w:rPr>
          <w:noProof/>
        </w:rPr>
        <w:instrText xml:space="preserve"> SEQ Table \* ARABIC </w:instrText>
      </w:r>
      <w:r>
        <w:rPr>
          <w:noProof/>
        </w:rPr>
        <w:fldChar w:fldCharType="separate"/>
      </w:r>
      <w:r w:rsidR="00A4170C">
        <w:rPr>
          <w:noProof/>
        </w:rPr>
        <w:t>31</w:t>
      </w:r>
      <w:r>
        <w:rPr>
          <w:noProof/>
        </w:rPr>
        <w:fldChar w:fldCharType="end"/>
      </w:r>
      <w:r>
        <w:t xml:space="preserve"> </w:t>
      </w:r>
      <w:r w:rsidRPr="00E70A11">
        <w:t>Calculation of grades for land-based run-off</w:t>
      </w:r>
      <w:bookmarkEnd w:id="213"/>
      <w:bookmarkEnd w:id="214"/>
      <w:bookmarkEnd w:id="215"/>
    </w:p>
    <w:tbl>
      <w:tblPr>
        <w:tblW w:w="13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1 Calculation of grades for land-based run-off"/>
        <w:tblDescription w:val="Table showing the ratings,  justificaiton and evidence for each of the components for the management effectiveness for land-based run-off.  Confidence in the assessment and trend since Outlook 2014 is also provided."/>
      </w:tblPr>
      <w:tblGrid>
        <w:gridCol w:w="1471"/>
        <w:gridCol w:w="643"/>
        <w:gridCol w:w="4957"/>
        <w:gridCol w:w="4597"/>
        <w:gridCol w:w="963"/>
        <w:gridCol w:w="1003"/>
      </w:tblGrid>
      <w:tr w:rsidR="00A56EE9" w:rsidRPr="00E70A11" w14:paraId="5761FAB1"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AAB" w14:textId="77777777" w:rsidR="00A56EE9" w:rsidRPr="00E70A11" w:rsidRDefault="00A56EE9" w:rsidP="00BB6AD5">
            <w:pPr>
              <w:pStyle w:val="Tablebulletlist"/>
              <w:rPr>
                <w:rStyle w:val="BookTitle"/>
              </w:rPr>
            </w:pPr>
            <w:r w:rsidRPr="00E70A11">
              <w:rPr>
                <w:rStyle w:val="BookTitle"/>
              </w:rPr>
              <w:t>Component of Management</w:t>
            </w:r>
          </w:p>
        </w:tc>
        <w:tc>
          <w:tcPr>
            <w:tcW w:w="643" w:type="dxa"/>
            <w:tcBorders>
              <w:top w:val="single" w:sz="4" w:space="0" w:color="auto"/>
              <w:left w:val="single" w:sz="4" w:space="0" w:color="auto"/>
              <w:bottom w:val="single" w:sz="4" w:space="0" w:color="auto"/>
              <w:right w:val="single" w:sz="4" w:space="0" w:color="auto"/>
            </w:tcBorders>
          </w:tcPr>
          <w:p w14:paraId="5761FAAC" w14:textId="77777777" w:rsidR="00A56EE9" w:rsidRPr="00E70A11" w:rsidRDefault="00A56EE9" w:rsidP="00BB6AD5">
            <w:pPr>
              <w:pStyle w:val="Tablebulletlist"/>
              <w:rPr>
                <w:rStyle w:val="BookTitle"/>
              </w:rPr>
            </w:pPr>
            <w:r w:rsidRPr="00E70A11">
              <w:rPr>
                <w:rStyle w:val="BookTitle"/>
              </w:rPr>
              <w:t>Rating</w:t>
            </w:r>
          </w:p>
        </w:tc>
        <w:tc>
          <w:tcPr>
            <w:tcW w:w="4957" w:type="dxa"/>
            <w:tcBorders>
              <w:top w:val="single" w:sz="4" w:space="0" w:color="auto"/>
              <w:left w:val="single" w:sz="4" w:space="0" w:color="auto"/>
              <w:bottom w:val="single" w:sz="4" w:space="0" w:color="auto"/>
              <w:right w:val="single" w:sz="4" w:space="0" w:color="auto"/>
            </w:tcBorders>
          </w:tcPr>
          <w:p w14:paraId="5761FAAD" w14:textId="77777777" w:rsidR="00A56EE9" w:rsidRPr="00E70A11" w:rsidRDefault="00A56EE9" w:rsidP="00BB6AD5">
            <w:pPr>
              <w:pStyle w:val="Tablebulletlist"/>
              <w:rPr>
                <w:rStyle w:val="BookTitle"/>
              </w:rPr>
            </w:pPr>
            <w:r w:rsidRPr="00E70A11">
              <w:rPr>
                <w:rStyle w:val="BookTitle"/>
              </w:rPr>
              <w:t>Justification</w:t>
            </w:r>
          </w:p>
        </w:tc>
        <w:tc>
          <w:tcPr>
            <w:tcW w:w="4597" w:type="dxa"/>
            <w:tcBorders>
              <w:top w:val="single" w:sz="4" w:space="0" w:color="auto"/>
              <w:left w:val="single" w:sz="4" w:space="0" w:color="auto"/>
              <w:bottom w:val="single" w:sz="4" w:space="0" w:color="auto"/>
              <w:right w:val="single" w:sz="4" w:space="0" w:color="auto"/>
            </w:tcBorders>
          </w:tcPr>
          <w:p w14:paraId="5761FAAE" w14:textId="77777777" w:rsidR="00A56EE9" w:rsidRPr="00E70A11" w:rsidRDefault="00A56EE9" w:rsidP="00BB6AD5">
            <w:pPr>
              <w:pStyle w:val="Tablebulletlist"/>
              <w:rPr>
                <w:rStyle w:val="BookTitle"/>
              </w:rPr>
            </w:pPr>
            <w:r w:rsidRPr="00E70A11">
              <w:rPr>
                <w:rStyle w:val="BookTitle"/>
              </w:rPr>
              <w:t>Evidence/sources</w:t>
            </w:r>
          </w:p>
        </w:tc>
        <w:tc>
          <w:tcPr>
            <w:tcW w:w="963" w:type="dxa"/>
            <w:tcBorders>
              <w:top w:val="single" w:sz="4" w:space="0" w:color="auto"/>
              <w:left w:val="single" w:sz="4" w:space="0" w:color="auto"/>
              <w:bottom w:val="single" w:sz="4" w:space="0" w:color="auto"/>
              <w:right w:val="single" w:sz="4" w:space="0" w:color="auto"/>
            </w:tcBorders>
          </w:tcPr>
          <w:p w14:paraId="5761FAAF" w14:textId="77777777" w:rsidR="00A56EE9" w:rsidRPr="00E70A11" w:rsidRDefault="00A56EE9" w:rsidP="00BB6AD5">
            <w:pPr>
              <w:pStyle w:val="Tablebulletlist"/>
              <w:rPr>
                <w:rStyle w:val="BookTitle"/>
              </w:rPr>
            </w:pPr>
            <w:r w:rsidRPr="00E70A11">
              <w:rPr>
                <w:rStyle w:val="BookTitle"/>
              </w:rPr>
              <w:t>Confidence</w:t>
            </w:r>
          </w:p>
        </w:tc>
        <w:tc>
          <w:tcPr>
            <w:tcW w:w="1003" w:type="dxa"/>
            <w:tcBorders>
              <w:top w:val="single" w:sz="4" w:space="0" w:color="auto"/>
              <w:left w:val="single" w:sz="4" w:space="0" w:color="auto"/>
              <w:bottom w:val="single" w:sz="4" w:space="0" w:color="auto"/>
              <w:right w:val="single" w:sz="4" w:space="0" w:color="auto"/>
            </w:tcBorders>
          </w:tcPr>
          <w:p w14:paraId="5761FAB0"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1FAB8"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shd w:val="clear" w:color="auto" w:fill="EEECE1"/>
          </w:tcPr>
          <w:p w14:paraId="5761FAB2" w14:textId="77777777" w:rsidR="00A56EE9" w:rsidRPr="00E70A11" w:rsidRDefault="00A56EE9" w:rsidP="00BB6AD5">
            <w:pPr>
              <w:pStyle w:val="Tablebulletlist"/>
              <w:rPr>
                <w:rStyle w:val="BookTitle"/>
              </w:rPr>
            </w:pPr>
            <w:r w:rsidRPr="00E70A11">
              <w:rPr>
                <w:rStyle w:val="BookTitle"/>
              </w:rPr>
              <w:t>CONTEXT</w:t>
            </w:r>
          </w:p>
        </w:tc>
        <w:tc>
          <w:tcPr>
            <w:tcW w:w="643" w:type="dxa"/>
            <w:tcBorders>
              <w:top w:val="single" w:sz="4" w:space="0" w:color="auto"/>
              <w:left w:val="single" w:sz="4" w:space="0" w:color="auto"/>
              <w:bottom w:val="single" w:sz="4" w:space="0" w:color="auto"/>
              <w:right w:val="single" w:sz="4" w:space="0" w:color="auto"/>
            </w:tcBorders>
            <w:shd w:val="clear" w:color="auto" w:fill="EEECE1"/>
          </w:tcPr>
          <w:p w14:paraId="5761FAB3" w14:textId="77777777" w:rsidR="00A56EE9" w:rsidRPr="00E70A11" w:rsidRDefault="00A56EE9" w:rsidP="00BB6AD5">
            <w:pPr>
              <w:pStyle w:val="Tablebulletlist"/>
              <w:rPr>
                <w:rStyle w:val="BookTitle"/>
              </w:rPr>
            </w:pPr>
          </w:p>
        </w:tc>
        <w:tc>
          <w:tcPr>
            <w:tcW w:w="4957" w:type="dxa"/>
            <w:tcBorders>
              <w:top w:val="single" w:sz="4" w:space="0" w:color="auto"/>
              <w:left w:val="single" w:sz="4" w:space="0" w:color="auto"/>
              <w:bottom w:val="single" w:sz="4" w:space="0" w:color="auto"/>
              <w:right w:val="single" w:sz="4" w:space="0" w:color="auto"/>
            </w:tcBorders>
            <w:shd w:val="clear" w:color="auto" w:fill="EEECE1"/>
          </w:tcPr>
          <w:p w14:paraId="5761FAB4" w14:textId="77777777" w:rsidR="00A56EE9" w:rsidRPr="00E70A11" w:rsidRDefault="00A56EE9" w:rsidP="00BB6AD5">
            <w:pPr>
              <w:pStyle w:val="Tablebulletlist"/>
              <w:rPr>
                <w:rStyle w:val="BookTitle"/>
              </w:rPr>
            </w:pPr>
          </w:p>
        </w:tc>
        <w:tc>
          <w:tcPr>
            <w:tcW w:w="4597" w:type="dxa"/>
            <w:tcBorders>
              <w:top w:val="single" w:sz="4" w:space="0" w:color="auto"/>
              <w:left w:val="single" w:sz="4" w:space="0" w:color="auto"/>
              <w:bottom w:val="single" w:sz="4" w:space="0" w:color="auto"/>
              <w:right w:val="single" w:sz="4" w:space="0" w:color="auto"/>
            </w:tcBorders>
            <w:shd w:val="clear" w:color="auto" w:fill="EEECE1"/>
          </w:tcPr>
          <w:p w14:paraId="5761FAB5" w14:textId="77777777" w:rsidR="00A56EE9" w:rsidRPr="00E70A11" w:rsidRDefault="00A56EE9" w:rsidP="00BB6AD5">
            <w:pPr>
              <w:pStyle w:val="Tablebulletlist"/>
              <w:rPr>
                <w:rStyle w:val="BookTitle"/>
              </w:rPr>
            </w:pPr>
          </w:p>
        </w:tc>
        <w:tc>
          <w:tcPr>
            <w:tcW w:w="963" w:type="dxa"/>
            <w:tcBorders>
              <w:top w:val="single" w:sz="4" w:space="0" w:color="auto"/>
              <w:left w:val="single" w:sz="4" w:space="0" w:color="auto"/>
              <w:bottom w:val="single" w:sz="4" w:space="0" w:color="auto"/>
              <w:right w:val="single" w:sz="4" w:space="0" w:color="auto"/>
            </w:tcBorders>
            <w:shd w:val="clear" w:color="auto" w:fill="EEECE1"/>
          </w:tcPr>
          <w:p w14:paraId="5761FAB6" w14:textId="77777777" w:rsidR="00A56EE9" w:rsidRPr="00E70A11" w:rsidRDefault="00A56EE9" w:rsidP="00BB6AD5">
            <w:pPr>
              <w:pStyle w:val="Tablebulletlist"/>
              <w:rPr>
                <w:rStyle w:val="BookTitle"/>
              </w:rPr>
            </w:pPr>
          </w:p>
        </w:tc>
        <w:tc>
          <w:tcPr>
            <w:tcW w:w="1003" w:type="dxa"/>
            <w:tcBorders>
              <w:top w:val="single" w:sz="4" w:space="0" w:color="auto"/>
              <w:left w:val="single" w:sz="4" w:space="0" w:color="auto"/>
              <w:bottom w:val="single" w:sz="4" w:space="0" w:color="auto"/>
              <w:right w:val="single" w:sz="4" w:space="0" w:color="auto"/>
            </w:tcBorders>
            <w:shd w:val="clear" w:color="auto" w:fill="EEECE1"/>
          </w:tcPr>
          <w:p w14:paraId="5761FAB7" w14:textId="77777777" w:rsidR="00A56EE9" w:rsidRPr="00E70A11" w:rsidRDefault="00A56EE9" w:rsidP="00BB6AD5">
            <w:pPr>
              <w:pStyle w:val="Tablebulletlist"/>
              <w:rPr>
                <w:rStyle w:val="BookTitle"/>
              </w:rPr>
            </w:pPr>
          </w:p>
        </w:tc>
      </w:tr>
      <w:tr w:rsidR="00A56EE9" w:rsidRPr="00E70A11" w14:paraId="5761FAC9"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AB9" w14:textId="77777777" w:rsidR="00A56EE9" w:rsidRPr="00E70A11" w:rsidRDefault="00A56EE9" w:rsidP="00BB6AD5">
            <w:pPr>
              <w:pStyle w:val="Tablebulletlist"/>
              <w:rPr>
                <w:rStyle w:val="BookTitle"/>
              </w:rPr>
            </w:pPr>
            <w:r w:rsidRPr="00E70A11">
              <w:rPr>
                <w:rStyle w:val="BookTitle"/>
              </w:rPr>
              <w:t>CO1</w:t>
            </w:r>
            <w:r>
              <w:rPr>
                <w:rStyle w:val="BookTitle"/>
              </w:rPr>
              <w:t xml:space="preserve"> </w:t>
            </w:r>
            <w:r w:rsidRPr="00E70A11">
              <w:rPr>
                <w:rStyle w:val="BookTitle"/>
              </w:rPr>
              <w:t>The values of the Great Barrier Reef relevant to land-based run-off are understood by managers</w:t>
            </w:r>
          </w:p>
        </w:tc>
        <w:tc>
          <w:tcPr>
            <w:tcW w:w="643" w:type="dxa"/>
            <w:tcBorders>
              <w:top w:val="single" w:sz="4" w:space="0" w:color="auto"/>
              <w:left w:val="single" w:sz="4" w:space="0" w:color="auto"/>
              <w:bottom w:val="single" w:sz="4" w:space="0" w:color="auto"/>
              <w:right w:val="single" w:sz="4" w:space="0" w:color="auto"/>
            </w:tcBorders>
          </w:tcPr>
          <w:p w14:paraId="5761FABA"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ABB"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values of the GBR relevant to land-based run-off continue to be well understood and documented.</w:t>
            </w:r>
          </w:p>
          <w:p w14:paraId="5761FABC" w14:textId="77777777" w:rsidR="00A56EE9" w:rsidRPr="00E70A11" w:rsidRDefault="00A56EE9" w:rsidP="00A11869">
            <w:pPr>
              <w:pStyle w:val="ListParagraph"/>
              <w:numPr>
                <w:ilvl w:val="0"/>
                <w:numId w:val="24"/>
              </w:numPr>
              <w:rPr>
                <w:rFonts w:ascii="Arial Narrow" w:hAnsi="Arial Narrow"/>
                <w:sz w:val="18"/>
                <w:szCs w:val="18"/>
                <w:u w:val="single"/>
              </w:rPr>
            </w:pPr>
            <w:r w:rsidRPr="00E70A11">
              <w:rPr>
                <w:rFonts w:ascii="Arial Narrow" w:hAnsi="Arial Narrow"/>
                <w:sz w:val="18"/>
                <w:szCs w:val="18"/>
              </w:rPr>
              <w:t xml:space="preserve">The </w:t>
            </w:r>
            <w:hyperlink r:id="rId1115" w:history="1">
              <w:r w:rsidRPr="00E70A11">
                <w:rPr>
                  <w:rStyle w:val="Hyperlink"/>
                  <w:rFonts w:ascii="Arial Narrow" w:hAnsi="Arial Narrow"/>
                  <w:sz w:val="18"/>
                  <w:szCs w:val="18"/>
                </w:rPr>
                <w:t>2017 Scientific Consensus Statement</w:t>
              </w:r>
            </w:hyperlink>
            <w:r w:rsidRPr="00E70A11">
              <w:rPr>
                <w:rFonts w:ascii="Arial Narrow" w:hAnsi="Arial Narrow"/>
                <w:sz w:val="18"/>
                <w:szCs w:val="18"/>
              </w:rPr>
              <w:t xml:space="preserve"> is a synthesis of current knowledge relevant to the land-based run-off in the Great Barrier Reef to inform a common understanding amongst managers of key ecosystems, associated values, condition, risks and status of efforts to protect values impacted by water quality.</w:t>
            </w:r>
          </w:p>
          <w:p w14:paraId="5761FABD"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 Reef 2050 Water Quality Improvement Plan 2018 (Reef WQIP) aligns with the Great Barrier Reef 2050 Long-Term Sustainability Plan (Reef 2050 Plan). It has expanded in scope and now includes all land-based sources of water pollution, including from urban, industrial and public lands as well as social, cultural and economic values. </w:t>
            </w:r>
          </w:p>
          <w:p w14:paraId="5761FABE" w14:textId="77777777" w:rsidR="00A56EE9" w:rsidRPr="00E70A11" w:rsidRDefault="008B5998" w:rsidP="00A11869">
            <w:pPr>
              <w:pStyle w:val="ListParagraph"/>
              <w:numPr>
                <w:ilvl w:val="0"/>
                <w:numId w:val="24"/>
              </w:numPr>
              <w:rPr>
                <w:rFonts w:ascii="Arial Narrow" w:hAnsi="Arial Narrow"/>
                <w:sz w:val="18"/>
                <w:szCs w:val="18"/>
              </w:rPr>
            </w:pPr>
            <w:hyperlink r:id="rId1116" w:history="1">
              <w:r w:rsidR="00A56EE9" w:rsidRPr="00E70A11">
                <w:rPr>
                  <w:rStyle w:val="Hyperlink"/>
                  <w:rFonts w:ascii="Arial Narrow" w:hAnsi="Arial Narrow"/>
                  <w:sz w:val="18"/>
                  <w:szCs w:val="18"/>
                </w:rPr>
                <w:t>Catchment profiles</w:t>
              </w:r>
            </w:hyperlink>
            <w:r w:rsidR="00A56EE9" w:rsidRPr="00E70A11">
              <w:rPr>
                <w:rFonts w:ascii="Arial Narrow" w:hAnsi="Arial Narrow"/>
                <w:sz w:val="18"/>
                <w:szCs w:val="18"/>
              </w:rPr>
              <w:t>’ were developed for each of the 35 catchments</w:t>
            </w:r>
            <w:r w:rsidR="00A56EE9">
              <w:rPr>
                <w:rFonts w:ascii="Arial Narrow" w:hAnsi="Arial Narrow"/>
                <w:sz w:val="18"/>
                <w:szCs w:val="18"/>
              </w:rPr>
              <w:t xml:space="preserve"> </w:t>
            </w:r>
            <w:r w:rsidR="00A56EE9" w:rsidRPr="00E70A11">
              <w:rPr>
                <w:rFonts w:ascii="Arial Narrow" w:hAnsi="Arial Narrow"/>
                <w:sz w:val="18"/>
                <w:szCs w:val="18"/>
              </w:rPr>
              <w:t>in the Region to</w:t>
            </w:r>
            <w:r w:rsidR="00A56EE9">
              <w:rPr>
                <w:rFonts w:ascii="Arial Narrow" w:hAnsi="Arial Narrow"/>
                <w:sz w:val="18"/>
                <w:szCs w:val="18"/>
              </w:rPr>
              <w:t xml:space="preserve"> </w:t>
            </w:r>
            <w:r w:rsidR="00A56EE9" w:rsidRPr="00E70A11">
              <w:rPr>
                <w:rFonts w:ascii="Arial Narrow" w:hAnsi="Arial Narrow"/>
                <w:sz w:val="18"/>
                <w:szCs w:val="18"/>
              </w:rPr>
              <w:t>provide information on the targets, land uses, pollutant sources and priorities for water quality improvement based on risks to coastal and marine ecosystems.</w:t>
            </w:r>
          </w:p>
          <w:p w14:paraId="5761FABF"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bCs/>
                <w:sz w:val="18"/>
                <w:szCs w:val="18"/>
              </w:rPr>
              <w:t>The Reef Water Quality Protection Plan</w:t>
            </w:r>
            <w:r>
              <w:rPr>
                <w:rFonts w:ascii="Arial Narrow" w:hAnsi="Arial Narrow"/>
                <w:bCs/>
                <w:sz w:val="18"/>
                <w:szCs w:val="18"/>
              </w:rPr>
              <w:t xml:space="preserve"> </w:t>
            </w:r>
            <w:r w:rsidRPr="00E70A11">
              <w:rPr>
                <w:rFonts w:ascii="Arial Narrow" w:hAnsi="Arial Narrow"/>
                <w:bCs/>
                <w:sz w:val="18"/>
                <w:szCs w:val="18"/>
              </w:rPr>
              <w:t>Report Cards document the management practices for major agricultural industries, with the Paddock to Reef modelling estimating mean annual pollutant load reductions based on these management systems</w:t>
            </w:r>
          </w:p>
          <w:p w14:paraId="5761FAC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bCs/>
                <w:sz w:val="18"/>
                <w:szCs w:val="18"/>
              </w:rPr>
              <w:t>The Paddock to Reef program also provides information on trails concerning changes to water quality from different land use management practices, reporting on ground cover, extent of wetlands and long term trends in water quality entering the reef lagoon from priority catchments.</w:t>
            </w:r>
          </w:p>
          <w:p w14:paraId="5761FAC1" w14:textId="77777777" w:rsidR="00A56EE9" w:rsidRPr="00E70A11" w:rsidRDefault="00A56EE9" w:rsidP="00A11869">
            <w:pPr>
              <w:pStyle w:val="ListParagraph"/>
              <w:numPr>
                <w:ilvl w:val="0"/>
                <w:numId w:val="24"/>
              </w:numPr>
              <w:rPr>
                <w:rFonts w:ascii="Arial Narrow" w:hAnsi="Arial Narrow"/>
                <w:bCs/>
                <w:sz w:val="18"/>
                <w:szCs w:val="18"/>
              </w:rPr>
            </w:pPr>
            <w:r w:rsidRPr="00E70A11">
              <w:rPr>
                <w:rFonts w:ascii="Arial Narrow" w:hAnsi="Arial Narrow"/>
                <w:bCs/>
                <w:sz w:val="18"/>
                <w:szCs w:val="18"/>
              </w:rPr>
              <w:t>Information from the Marine Monitoring Program which monitors water quality and the health of key marine ecosystems such as coral reefs and seagrass in the inshore Great Barrier Reef lagoon, is integrated into metrics that describe inshore marine water quality, seagrass and coral condition and trends in condition assessments are used to evaluate progress towards the Reef Plan 2020 goal for the marine environment as part of the Report Card.</w:t>
            </w:r>
          </w:p>
        </w:tc>
        <w:tc>
          <w:tcPr>
            <w:tcW w:w="4597" w:type="dxa"/>
            <w:tcBorders>
              <w:top w:val="single" w:sz="4" w:space="0" w:color="auto"/>
              <w:left w:val="single" w:sz="4" w:space="0" w:color="auto"/>
              <w:bottom w:val="single" w:sz="4" w:space="0" w:color="auto"/>
              <w:right w:val="single" w:sz="4" w:space="0" w:color="auto"/>
            </w:tcBorders>
          </w:tcPr>
          <w:p w14:paraId="5761FAC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lang w:val="en"/>
              </w:rPr>
              <w:t xml:space="preserve">Draft </w:t>
            </w:r>
            <w:hyperlink r:id="rId1117" w:history="1">
              <w:r w:rsidRPr="00E70A11">
                <w:rPr>
                  <w:rStyle w:val="Hyperlink"/>
                  <w:rFonts w:ascii="Arial Narrow" w:hAnsi="Arial Narrow"/>
                  <w:sz w:val="18"/>
                  <w:szCs w:val="18"/>
                  <w:lang w:val="en"/>
                </w:rPr>
                <w:t>Reef 2050 Water Quality Improvement Plan 2017-2022</w:t>
              </w:r>
            </w:hyperlink>
          </w:p>
          <w:p w14:paraId="5761FAC3"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1118" w:history="1">
              <w:r w:rsidR="00A56EE9" w:rsidRPr="00E70A11">
                <w:rPr>
                  <w:rStyle w:val="Hyperlink"/>
                  <w:rFonts w:ascii="Arial Narrow" w:hAnsi="Arial Narrow"/>
                  <w:sz w:val="18"/>
                  <w:szCs w:val="18"/>
                </w:rPr>
                <w:t>2017 Scientific Consensus Statement</w:t>
              </w:r>
            </w:hyperlink>
          </w:p>
          <w:p w14:paraId="5761FAC4" w14:textId="77777777" w:rsidR="00A56EE9" w:rsidRPr="00E70A11" w:rsidRDefault="008B5998" w:rsidP="00A11869">
            <w:pPr>
              <w:pStyle w:val="ListParagraph"/>
              <w:numPr>
                <w:ilvl w:val="0"/>
                <w:numId w:val="24"/>
              </w:numPr>
              <w:rPr>
                <w:rFonts w:ascii="Arial Narrow" w:hAnsi="Arial Narrow"/>
                <w:sz w:val="18"/>
                <w:szCs w:val="18"/>
                <w:u w:val="single"/>
              </w:rPr>
            </w:pPr>
            <w:hyperlink r:id="rId1119" w:history="1">
              <w:r w:rsidR="00A56EE9" w:rsidRPr="00E70A11">
                <w:rPr>
                  <w:rStyle w:val="Hyperlink"/>
                  <w:rFonts w:ascii="Arial Narrow" w:hAnsi="Arial Narrow"/>
                  <w:sz w:val="18"/>
                  <w:szCs w:val="18"/>
                </w:rPr>
                <w:t>Reef WQIP Report Cards</w:t>
              </w:r>
            </w:hyperlink>
          </w:p>
          <w:p w14:paraId="5761FAC5" w14:textId="77777777" w:rsidR="00A56EE9" w:rsidRPr="00E70A11" w:rsidRDefault="008B5998" w:rsidP="00A11869">
            <w:pPr>
              <w:pStyle w:val="ListParagraph"/>
              <w:numPr>
                <w:ilvl w:val="0"/>
                <w:numId w:val="24"/>
              </w:numPr>
              <w:rPr>
                <w:rFonts w:ascii="Arial Narrow" w:hAnsi="Arial Narrow"/>
                <w:sz w:val="18"/>
                <w:szCs w:val="18"/>
              </w:rPr>
            </w:pPr>
            <w:hyperlink r:id="rId1120" w:history="1">
              <w:r w:rsidR="00A56EE9" w:rsidRPr="00E70A11">
                <w:rPr>
                  <w:rStyle w:val="Hyperlink"/>
                  <w:rFonts w:ascii="Arial Narrow" w:hAnsi="Arial Narrow"/>
                  <w:sz w:val="18"/>
                  <w:szCs w:val="18"/>
                </w:rPr>
                <w:t>Paddock to Reef Integrated Monitoring, Modelling and Reporting Program</w:t>
              </w:r>
            </w:hyperlink>
          </w:p>
          <w:p w14:paraId="5761FAC6" w14:textId="77777777" w:rsidR="00A56EE9" w:rsidRPr="00E70A11" w:rsidRDefault="008B5998" w:rsidP="00A11869">
            <w:pPr>
              <w:pStyle w:val="ListParagraph"/>
              <w:numPr>
                <w:ilvl w:val="0"/>
                <w:numId w:val="24"/>
              </w:numPr>
              <w:rPr>
                <w:rFonts w:ascii="Arial Narrow" w:hAnsi="Arial Narrow"/>
                <w:sz w:val="18"/>
                <w:szCs w:val="18"/>
              </w:rPr>
            </w:pPr>
            <w:hyperlink r:id="rId1121" w:history="1">
              <w:r w:rsidR="00A56EE9" w:rsidRPr="00E70A11">
                <w:rPr>
                  <w:rStyle w:val="Hyperlink"/>
                  <w:rFonts w:ascii="Arial Narrow" w:hAnsi="Arial Narrow"/>
                  <w:sz w:val="18"/>
                  <w:szCs w:val="18"/>
                </w:rPr>
                <w:t>Marine Monitoring Program</w:t>
              </w:r>
            </w:hyperlink>
          </w:p>
        </w:tc>
        <w:tc>
          <w:tcPr>
            <w:tcW w:w="963" w:type="dxa"/>
            <w:tcBorders>
              <w:top w:val="single" w:sz="4" w:space="0" w:color="auto"/>
              <w:left w:val="single" w:sz="4" w:space="0" w:color="auto"/>
              <w:bottom w:val="single" w:sz="4" w:space="0" w:color="auto"/>
              <w:right w:val="single" w:sz="4" w:space="0" w:color="auto"/>
            </w:tcBorders>
          </w:tcPr>
          <w:p w14:paraId="5761FAC7"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AC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ADF"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ACA"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land-based run-off are known by managers</w:t>
            </w:r>
          </w:p>
        </w:tc>
        <w:tc>
          <w:tcPr>
            <w:tcW w:w="643" w:type="dxa"/>
            <w:tcBorders>
              <w:top w:val="single" w:sz="4" w:space="0" w:color="auto"/>
              <w:left w:val="single" w:sz="4" w:space="0" w:color="auto"/>
              <w:bottom w:val="single" w:sz="4" w:space="0" w:color="auto"/>
              <w:right w:val="single" w:sz="4" w:space="0" w:color="auto"/>
            </w:tcBorders>
          </w:tcPr>
          <w:p w14:paraId="5761FACB"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ACC"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Scientific Consensus Statement 2017 reviewed the scientific knowledge of water quality issues in the Great Barrier Reef from the 2013 statement. It outlines:</w:t>
            </w:r>
          </w:p>
          <w:p w14:paraId="5761FACD" w14:textId="77777777" w:rsidR="00A56EE9" w:rsidRPr="00E70A11" w:rsidRDefault="00A56EE9" w:rsidP="00A11869">
            <w:pPr>
              <w:pStyle w:val="ListParagraph"/>
              <w:numPr>
                <w:ilvl w:val="1"/>
                <w:numId w:val="24"/>
              </w:numPr>
              <w:rPr>
                <w:rFonts w:ascii="Arial Narrow" w:hAnsi="Arial Narrow"/>
                <w:sz w:val="18"/>
                <w:szCs w:val="18"/>
              </w:rPr>
            </w:pPr>
            <w:proofErr w:type="gramStart"/>
            <w:r w:rsidRPr="00E70A11">
              <w:rPr>
                <w:rFonts w:ascii="Arial Narrow" w:hAnsi="Arial Narrow"/>
                <w:sz w:val="18"/>
                <w:szCs w:val="18"/>
              </w:rPr>
              <w:t>the</w:t>
            </w:r>
            <w:proofErr w:type="gramEnd"/>
            <w:r w:rsidRPr="00E70A11">
              <w:rPr>
                <w:rFonts w:ascii="Arial Narrow" w:hAnsi="Arial Narrow"/>
                <w:sz w:val="18"/>
                <w:szCs w:val="18"/>
              </w:rPr>
              <w:t xml:space="preserve"> GBR marine and coastal aquatic ecosystem status and condition, identifies the primary drivers, pressures and threats to these systems and the known effects of land-based pollutants based on the understanding derived through monitoring and modelling.</w:t>
            </w:r>
          </w:p>
          <w:p w14:paraId="5761FACE" w14:textId="77777777" w:rsidR="00A56EE9" w:rsidRPr="00E70A11" w:rsidRDefault="00A56EE9" w:rsidP="00A11869">
            <w:pPr>
              <w:pStyle w:val="ListParagraph"/>
              <w:numPr>
                <w:ilvl w:val="1"/>
                <w:numId w:val="24"/>
              </w:numPr>
              <w:rPr>
                <w:rFonts w:ascii="Arial Narrow" w:hAnsi="Arial Narrow"/>
                <w:sz w:val="18"/>
                <w:szCs w:val="18"/>
              </w:rPr>
            </w:pPr>
            <w:r w:rsidRPr="00E70A11">
              <w:rPr>
                <w:rFonts w:ascii="Arial Narrow" w:hAnsi="Arial Narrow"/>
                <w:sz w:val="18"/>
                <w:szCs w:val="18"/>
              </w:rPr>
              <w:t>The sources of land-based pollutants considered hazards to the GBR ecosystems (including fine sediment, nutrients and pesticides).</w:t>
            </w:r>
          </w:p>
          <w:p w14:paraId="5761FACF" w14:textId="77777777" w:rsidR="00A56EE9" w:rsidRPr="00E70A11" w:rsidRDefault="00A56EE9" w:rsidP="00A11869">
            <w:pPr>
              <w:pStyle w:val="ListParagraph"/>
              <w:numPr>
                <w:ilvl w:val="1"/>
                <w:numId w:val="24"/>
              </w:numPr>
              <w:rPr>
                <w:rFonts w:ascii="Arial Narrow" w:hAnsi="Arial Narrow"/>
                <w:sz w:val="18"/>
                <w:szCs w:val="18"/>
              </w:rPr>
            </w:pPr>
            <w:r w:rsidRPr="00E70A11">
              <w:rPr>
                <w:rFonts w:ascii="Arial Narrow" w:hAnsi="Arial Narrow"/>
                <w:sz w:val="18"/>
                <w:szCs w:val="18"/>
              </w:rPr>
              <w:t>The risk assessment (likelihood, consequences and quantified risk) to the GBR coastal aquatic and marine ecosystems, particular from different nutrient species, suspended sediment (including different size fractions) and pesticides.</w:t>
            </w:r>
          </w:p>
          <w:p w14:paraId="5761FAD0" w14:textId="77777777" w:rsidR="00A56EE9" w:rsidRPr="00E70A11" w:rsidRDefault="00A56EE9" w:rsidP="00A11869">
            <w:pPr>
              <w:pStyle w:val="ListParagraph"/>
              <w:numPr>
                <w:ilvl w:val="1"/>
                <w:numId w:val="24"/>
              </w:numPr>
              <w:rPr>
                <w:rFonts w:ascii="Arial Narrow" w:hAnsi="Arial Narrow"/>
                <w:sz w:val="18"/>
                <w:szCs w:val="18"/>
              </w:rPr>
            </w:pPr>
            <w:r w:rsidRPr="00E70A11">
              <w:rPr>
                <w:rFonts w:ascii="Arial Narrow" w:hAnsi="Arial Narrow"/>
                <w:sz w:val="18"/>
                <w:szCs w:val="18"/>
              </w:rPr>
              <w:t>The management of the risks.</w:t>
            </w:r>
          </w:p>
          <w:p w14:paraId="5761FAD1" w14:textId="77777777" w:rsidR="00A56EE9" w:rsidRPr="00E70A11" w:rsidRDefault="00A56EE9" w:rsidP="00A11869">
            <w:pPr>
              <w:pStyle w:val="ListParagraph"/>
              <w:numPr>
                <w:ilvl w:val="1"/>
                <w:numId w:val="24"/>
              </w:numPr>
              <w:rPr>
                <w:rFonts w:ascii="Arial Narrow" w:hAnsi="Arial Narrow"/>
                <w:sz w:val="18"/>
                <w:szCs w:val="18"/>
              </w:rPr>
            </w:pPr>
            <w:r w:rsidRPr="00E70A11">
              <w:rPr>
                <w:rFonts w:ascii="Arial Narrow" w:hAnsi="Arial Narrow"/>
                <w:sz w:val="18"/>
                <w:szCs w:val="18"/>
              </w:rPr>
              <w:t xml:space="preserve">Overall synthesis and knowledge gaps. </w:t>
            </w:r>
          </w:p>
          <w:p w14:paraId="5761FAD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Paddock to Reef Integrated Monitoring, Modelling and Reporting Program (</w:t>
            </w:r>
            <w:hyperlink r:id="rId1122" w:history="1">
              <w:r w:rsidRPr="00E70A11">
                <w:rPr>
                  <w:rStyle w:val="Hyperlink"/>
                  <w:rFonts w:ascii="Arial Narrow" w:hAnsi="Arial Narrow"/>
                  <w:sz w:val="18"/>
                  <w:szCs w:val="18"/>
                </w:rPr>
                <w:t>Paddock to Reef program</w:t>
              </w:r>
            </w:hyperlink>
            <w:r w:rsidRPr="00E70A11">
              <w:rPr>
                <w:rFonts w:ascii="Arial Narrow" w:hAnsi="Arial Narrow"/>
                <w:sz w:val="18"/>
                <w:szCs w:val="18"/>
              </w:rPr>
              <w:t xml:space="preserve">) assesses the progress towards the land management, catchment indicators (groundcover, riparian extent and wetland condition), catchment water quality targets and marine ecosystem condition and trend of the Reef 2050 Water Quality Improvement Plan 2018 (formerly the Reef Water Quality Protection Plan). This is reported through the </w:t>
            </w:r>
            <w:hyperlink r:id="rId1123" w:history="1">
              <w:r w:rsidRPr="00E70A11">
                <w:rPr>
                  <w:rStyle w:val="Hyperlink"/>
                  <w:rFonts w:ascii="Arial Narrow" w:hAnsi="Arial Narrow"/>
                  <w:sz w:val="18"/>
                  <w:szCs w:val="18"/>
                </w:rPr>
                <w:t>Great Barrier Reef Report Card</w:t>
              </w:r>
            </w:hyperlink>
            <w:r w:rsidRPr="00E70A11">
              <w:rPr>
                <w:rFonts w:ascii="Arial Narrow" w:hAnsi="Arial Narrow"/>
                <w:sz w:val="18"/>
                <w:szCs w:val="18"/>
              </w:rPr>
              <w:t xml:space="preserve"> and includes assessments of reductions in sediment, nutrients and pesticides entering the GBR as a result of improve</w:t>
            </w:r>
            <w:r>
              <w:rPr>
                <w:rFonts w:ascii="Arial Narrow" w:hAnsi="Arial Narrow"/>
                <w:sz w:val="18"/>
                <w:szCs w:val="18"/>
              </w:rPr>
              <w:t>d</w:t>
            </w:r>
            <w:r w:rsidRPr="00E70A11">
              <w:rPr>
                <w:rFonts w:ascii="Arial Narrow" w:hAnsi="Arial Narrow"/>
                <w:sz w:val="18"/>
                <w:szCs w:val="18"/>
              </w:rPr>
              <w:t xml:space="preserve"> land management efforts.</w:t>
            </w:r>
          </w:p>
          <w:p w14:paraId="5761FAD3"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Marine component of the Program is delivered by the Marine Monitoring Program reports on the condition and trend of inshore water quality, seagrass and coral reefs and any changes in their condition. The program is one of the 10 components of the Paddock to Reef Integrated Monitoring, Modelling and Reporting Program, linking the health of the Reef with information on agricultural management practices, groundcover, catchment run-off and pollution loads.</w:t>
            </w:r>
          </w:p>
        </w:tc>
        <w:tc>
          <w:tcPr>
            <w:tcW w:w="4597" w:type="dxa"/>
            <w:tcBorders>
              <w:top w:val="single" w:sz="4" w:space="0" w:color="auto"/>
              <w:left w:val="single" w:sz="4" w:space="0" w:color="auto"/>
              <w:bottom w:val="single" w:sz="4" w:space="0" w:color="auto"/>
              <w:right w:val="single" w:sz="4" w:space="0" w:color="auto"/>
            </w:tcBorders>
          </w:tcPr>
          <w:p w14:paraId="5761FAD4"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lang w:val="en"/>
              </w:rPr>
              <w:t xml:space="preserve">Draft </w:t>
            </w:r>
            <w:hyperlink r:id="rId1124" w:history="1">
              <w:r w:rsidRPr="00E70A11">
                <w:rPr>
                  <w:rStyle w:val="Hyperlink"/>
                  <w:rFonts w:ascii="Arial Narrow" w:hAnsi="Arial Narrow"/>
                  <w:sz w:val="18"/>
                  <w:szCs w:val="18"/>
                  <w:lang w:val="en"/>
                </w:rPr>
                <w:t>Reef 2050 Water Quality Improvement Plan 2017-2022</w:t>
              </w:r>
            </w:hyperlink>
          </w:p>
          <w:p w14:paraId="5761FAD5" w14:textId="77777777" w:rsidR="00A56EE9" w:rsidRPr="00E70A11" w:rsidRDefault="008B5998" w:rsidP="00A11869">
            <w:pPr>
              <w:pStyle w:val="ListParagraph"/>
              <w:numPr>
                <w:ilvl w:val="0"/>
                <w:numId w:val="24"/>
              </w:numPr>
              <w:rPr>
                <w:rFonts w:ascii="Arial Narrow" w:hAnsi="Arial Narrow"/>
                <w:sz w:val="18"/>
                <w:szCs w:val="18"/>
                <w:u w:val="single"/>
              </w:rPr>
            </w:pPr>
            <w:hyperlink r:id="rId1125" w:history="1">
              <w:r w:rsidR="00A56EE9" w:rsidRPr="00E70A11">
                <w:rPr>
                  <w:rStyle w:val="Hyperlink"/>
                  <w:rFonts w:ascii="Arial Narrow" w:hAnsi="Arial Narrow"/>
                  <w:sz w:val="18"/>
                  <w:szCs w:val="18"/>
                </w:rPr>
                <w:t>2017 Scientific Consensus Statement</w:t>
              </w:r>
            </w:hyperlink>
          </w:p>
          <w:p w14:paraId="5761FAD6" w14:textId="77777777" w:rsidR="00A56EE9" w:rsidRPr="00E70A11" w:rsidRDefault="008B5998" w:rsidP="00A11869">
            <w:pPr>
              <w:pStyle w:val="ListParagraph"/>
              <w:numPr>
                <w:ilvl w:val="0"/>
                <w:numId w:val="24"/>
              </w:numPr>
              <w:rPr>
                <w:rFonts w:ascii="Arial Narrow" w:hAnsi="Arial Narrow"/>
                <w:sz w:val="18"/>
                <w:szCs w:val="18"/>
                <w:u w:val="single"/>
              </w:rPr>
            </w:pPr>
            <w:hyperlink r:id="rId1126" w:history="1">
              <w:r w:rsidR="00A56EE9" w:rsidRPr="00E70A11">
                <w:rPr>
                  <w:rStyle w:val="Hyperlink"/>
                  <w:rFonts w:ascii="Arial Narrow" w:hAnsi="Arial Narrow"/>
                  <w:sz w:val="18"/>
                  <w:szCs w:val="18"/>
                </w:rPr>
                <w:t>Reef WQIP Report Cards</w:t>
              </w:r>
            </w:hyperlink>
          </w:p>
          <w:p w14:paraId="5761FAD7" w14:textId="77777777" w:rsidR="00A56EE9" w:rsidRPr="00E70A11" w:rsidRDefault="008B5998" w:rsidP="00A11869">
            <w:pPr>
              <w:pStyle w:val="ListParagraph"/>
              <w:numPr>
                <w:ilvl w:val="0"/>
                <w:numId w:val="24"/>
              </w:numPr>
              <w:rPr>
                <w:rFonts w:ascii="Arial Narrow" w:hAnsi="Arial Narrow"/>
                <w:sz w:val="18"/>
                <w:szCs w:val="18"/>
              </w:rPr>
            </w:pPr>
            <w:hyperlink r:id="rId1127" w:history="1">
              <w:r w:rsidR="00A56EE9" w:rsidRPr="00E70A11">
                <w:rPr>
                  <w:rStyle w:val="Hyperlink"/>
                  <w:rFonts w:ascii="Arial Narrow" w:hAnsi="Arial Narrow"/>
                  <w:sz w:val="18"/>
                  <w:szCs w:val="18"/>
                </w:rPr>
                <w:t>Paddock to Reef Integrated Monitoring, Modelling and Reporting Program</w:t>
              </w:r>
            </w:hyperlink>
          </w:p>
          <w:p w14:paraId="5761FAD8" w14:textId="77777777" w:rsidR="00A56EE9" w:rsidRPr="00E70A11" w:rsidRDefault="008B5998" w:rsidP="00A11869">
            <w:pPr>
              <w:pStyle w:val="ListParagraph"/>
              <w:numPr>
                <w:ilvl w:val="0"/>
                <w:numId w:val="24"/>
              </w:numPr>
              <w:rPr>
                <w:rFonts w:ascii="Arial Narrow" w:hAnsi="Arial Narrow"/>
                <w:sz w:val="18"/>
                <w:szCs w:val="18"/>
              </w:rPr>
            </w:pPr>
            <w:hyperlink r:id="rId1128" w:history="1">
              <w:r w:rsidR="00A56EE9" w:rsidRPr="00E70A11">
                <w:rPr>
                  <w:rStyle w:val="Hyperlink"/>
                  <w:rFonts w:ascii="Arial Narrow" w:hAnsi="Arial Narrow"/>
                  <w:sz w:val="18"/>
                  <w:szCs w:val="18"/>
                </w:rPr>
                <w:t>Reef Globe</w:t>
              </w:r>
            </w:hyperlink>
          </w:p>
          <w:p w14:paraId="5761FAD9" w14:textId="77777777" w:rsidR="00A56EE9" w:rsidRPr="00E70A11" w:rsidRDefault="008B5998" w:rsidP="00A11869">
            <w:pPr>
              <w:pStyle w:val="ListParagraph"/>
              <w:numPr>
                <w:ilvl w:val="0"/>
                <w:numId w:val="24"/>
              </w:numPr>
              <w:rPr>
                <w:rFonts w:ascii="Arial Narrow" w:hAnsi="Arial Narrow"/>
                <w:sz w:val="18"/>
                <w:szCs w:val="18"/>
              </w:rPr>
            </w:pPr>
            <w:hyperlink r:id="rId1129" w:history="1">
              <w:r w:rsidR="00A56EE9" w:rsidRPr="00E70A11">
                <w:rPr>
                  <w:rStyle w:val="Hyperlink"/>
                  <w:rFonts w:ascii="Arial Narrow" w:hAnsi="Arial Narrow"/>
                  <w:sz w:val="18"/>
                  <w:szCs w:val="18"/>
                </w:rPr>
                <w:t>Marine Monitoring Program</w:t>
              </w:r>
            </w:hyperlink>
          </w:p>
          <w:p w14:paraId="5761FADA" w14:textId="77777777" w:rsidR="00A56EE9" w:rsidRPr="00E70A11" w:rsidRDefault="008B5998" w:rsidP="00A11869">
            <w:pPr>
              <w:pStyle w:val="ListParagraph"/>
              <w:numPr>
                <w:ilvl w:val="0"/>
                <w:numId w:val="24"/>
              </w:numPr>
              <w:rPr>
                <w:rFonts w:ascii="Arial Narrow" w:hAnsi="Arial Narrow"/>
                <w:sz w:val="18"/>
                <w:szCs w:val="18"/>
                <w:u w:val="single"/>
              </w:rPr>
            </w:pPr>
            <w:hyperlink r:id="rId1130" w:history="1">
              <w:r w:rsidR="00A56EE9" w:rsidRPr="00E70A11">
                <w:rPr>
                  <w:rStyle w:val="Hyperlink"/>
                  <w:rFonts w:ascii="Arial Narrow" w:hAnsi="Arial Narrow"/>
                  <w:sz w:val="18"/>
                  <w:szCs w:val="18"/>
                </w:rPr>
                <w:t>MMP Tier 3 technical reports, summary reports and synthesis reports</w:t>
              </w:r>
            </w:hyperlink>
          </w:p>
          <w:p w14:paraId="5761FADB" w14:textId="77777777" w:rsidR="00A56EE9" w:rsidRPr="00E70A11" w:rsidRDefault="008B5998" w:rsidP="00A11869">
            <w:pPr>
              <w:pStyle w:val="ListParagraph"/>
              <w:numPr>
                <w:ilvl w:val="0"/>
                <w:numId w:val="24"/>
              </w:numPr>
              <w:rPr>
                <w:rFonts w:ascii="Arial Narrow" w:hAnsi="Arial Narrow"/>
                <w:sz w:val="18"/>
                <w:szCs w:val="18"/>
              </w:rPr>
            </w:pPr>
            <w:hyperlink r:id="rId1131" w:history="1">
              <w:r w:rsidR="00A56EE9" w:rsidRPr="00E70A11">
                <w:rPr>
                  <w:rStyle w:val="Hyperlink"/>
                  <w:rFonts w:ascii="Arial Narrow" w:hAnsi="Arial Narrow"/>
                  <w:sz w:val="18"/>
                  <w:szCs w:val="18"/>
                </w:rPr>
                <w:t>eReefs</w:t>
              </w:r>
            </w:hyperlink>
          </w:p>
          <w:p w14:paraId="5761FADC" w14:textId="77777777" w:rsidR="00A56EE9" w:rsidRPr="00E70A11" w:rsidRDefault="008B5998" w:rsidP="00A11869">
            <w:pPr>
              <w:pStyle w:val="ListParagraph"/>
              <w:numPr>
                <w:ilvl w:val="0"/>
                <w:numId w:val="24"/>
              </w:numPr>
              <w:rPr>
                <w:rFonts w:ascii="Arial Narrow" w:hAnsi="Arial Narrow"/>
                <w:sz w:val="18"/>
                <w:szCs w:val="18"/>
              </w:rPr>
            </w:pPr>
            <w:hyperlink r:id="rId1132" w:history="1">
              <w:r w:rsidR="00A56EE9" w:rsidRPr="00E70A11">
                <w:rPr>
                  <w:rStyle w:val="Hyperlink"/>
                  <w:rFonts w:ascii="Arial Narrow" w:hAnsi="Arial Narrow"/>
                  <w:sz w:val="18"/>
                  <w:szCs w:val="18"/>
                </w:rPr>
                <w:t>AIMS LTMP website</w:t>
              </w:r>
            </w:hyperlink>
          </w:p>
        </w:tc>
        <w:tc>
          <w:tcPr>
            <w:tcW w:w="963" w:type="dxa"/>
            <w:tcBorders>
              <w:top w:val="single" w:sz="4" w:space="0" w:color="auto"/>
              <w:left w:val="single" w:sz="4" w:space="0" w:color="auto"/>
              <w:bottom w:val="single" w:sz="4" w:space="0" w:color="auto"/>
              <w:right w:val="single" w:sz="4" w:space="0" w:color="auto"/>
            </w:tcBorders>
          </w:tcPr>
          <w:p w14:paraId="5761FADD"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AD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AEE"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AE0"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Impacts (direct, indirect and cumulative) associated with land-based run-off are understood by managers.</w:t>
            </w:r>
          </w:p>
        </w:tc>
        <w:tc>
          <w:tcPr>
            <w:tcW w:w="643" w:type="dxa"/>
            <w:tcBorders>
              <w:top w:val="single" w:sz="4" w:space="0" w:color="auto"/>
              <w:left w:val="single" w:sz="4" w:space="0" w:color="auto"/>
              <w:bottom w:val="single" w:sz="4" w:space="0" w:color="auto"/>
              <w:right w:val="single" w:sz="4" w:space="0" w:color="auto"/>
            </w:tcBorders>
          </w:tcPr>
          <w:p w14:paraId="5761FAE1"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AE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 direct impacts of land-based run-off on the GBR are well understood, and are summarised in the Strategic Assessment, Outlook reports, Scientific Consensus Statement, Report cards and Reef 2050 WQIP. </w:t>
            </w:r>
          </w:p>
          <w:p w14:paraId="5761FAE3"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Scientific Consensus Statement (2017) describes the status and condition of the GBR and the drivers, pressures and threats (DPSIR) and the known effects of land-based pollutants. Chapter 3 describes the risk to the GBR coastal aquatic and marine ecosystems, including nutrient species, suspended sediment and pesticides.</w:t>
            </w:r>
          </w:p>
          <w:p w14:paraId="5761FAE4"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Paddock to Reef Program integrates information on management practices, catchment indicators, catchment water quality and the ecological health of the GBR.</w:t>
            </w:r>
          </w:p>
        </w:tc>
        <w:tc>
          <w:tcPr>
            <w:tcW w:w="4597" w:type="dxa"/>
            <w:tcBorders>
              <w:top w:val="single" w:sz="4" w:space="0" w:color="auto"/>
              <w:left w:val="single" w:sz="4" w:space="0" w:color="auto"/>
              <w:bottom w:val="single" w:sz="4" w:space="0" w:color="auto"/>
              <w:right w:val="single" w:sz="4" w:space="0" w:color="auto"/>
            </w:tcBorders>
          </w:tcPr>
          <w:p w14:paraId="5761FAE5" w14:textId="77777777" w:rsidR="00A56EE9" w:rsidRPr="00E70A11" w:rsidRDefault="008B5998" w:rsidP="00A11869">
            <w:pPr>
              <w:pStyle w:val="ListParagraph"/>
              <w:numPr>
                <w:ilvl w:val="0"/>
                <w:numId w:val="24"/>
              </w:numPr>
              <w:rPr>
                <w:rFonts w:ascii="Arial Narrow" w:hAnsi="Arial Narrow"/>
                <w:sz w:val="18"/>
                <w:szCs w:val="18"/>
              </w:rPr>
            </w:pPr>
            <w:hyperlink r:id="rId1133" w:history="1">
              <w:r w:rsidR="00A56EE9" w:rsidRPr="00E70A11">
                <w:rPr>
                  <w:rStyle w:val="Hyperlink"/>
                  <w:rFonts w:ascii="Arial Narrow" w:hAnsi="Arial Narrow"/>
                  <w:sz w:val="18"/>
                  <w:szCs w:val="18"/>
                </w:rPr>
                <w:t>Great Barrier Reef Strategic Assessment Report</w:t>
              </w:r>
            </w:hyperlink>
            <w:r w:rsidR="00A56EE9" w:rsidRPr="00E70A11">
              <w:rPr>
                <w:rFonts w:ascii="Arial Narrow" w:hAnsi="Arial Narrow"/>
                <w:sz w:val="18"/>
                <w:szCs w:val="18"/>
              </w:rPr>
              <w:t xml:space="preserve">, </w:t>
            </w:r>
          </w:p>
          <w:p w14:paraId="5761FAE6" w14:textId="77777777" w:rsidR="00A56EE9" w:rsidRPr="00E70A11" w:rsidRDefault="008B5998" w:rsidP="00A11869">
            <w:pPr>
              <w:pStyle w:val="ListParagraph"/>
              <w:numPr>
                <w:ilvl w:val="0"/>
                <w:numId w:val="24"/>
              </w:numPr>
              <w:rPr>
                <w:rFonts w:ascii="Arial Narrow" w:hAnsi="Arial Narrow"/>
                <w:sz w:val="18"/>
                <w:szCs w:val="18"/>
              </w:rPr>
            </w:pPr>
            <w:hyperlink r:id="rId1134" w:history="1">
              <w:r w:rsidR="00A56EE9" w:rsidRPr="00E70A11">
                <w:rPr>
                  <w:rStyle w:val="Hyperlink"/>
                  <w:rFonts w:ascii="Arial Narrow" w:hAnsi="Arial Narrow"/>
                  <w:sz w:val="18"/>
                  <w:szCs w:val="18"/>
                </w:rPr>
                <w:t>Great Barrier Reef Coastal Zone Strategic Assessment</w:t>
              </w:r>
            </w:hyperlink>
            <w:r w:rsidR="00A56EE9" w:rsidRPr="00E70A11">
              <w:rPr>
                <w:rFonts w:ascii="Arial Narrow" w:hAnsi="Arial Narrow"/>
                <w:sz w:val="18"/>
                <w:szCs w:val="18"/>
              </w:rPr>
              <w:t xml:space="preserve"> 2014</w:t>
            </w:r>
          </w:p>
          <w:p w14:paraId="5761FAE7"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lang w:val="en"/>
              </w:rPr>
              <w:t xml:space="preserve">Draft </w:t>
            </w:r>
            <w:hyperlink r:id="rId1135" w:history="1">
              <w:r w:rsidRPr="00E70A11">
                <w:rPr>
                  <w:rStyle w:val="Hyperlink"/>
                  <w:rFonts w:ascii="Arial Narrow" w:hAnsi="Arial Narrow"/>
                  <w:sz w:val="18"/>
                  <w:szCs w:val="18"/>
                  <w:lang w:val="en"/>
                </w:rPr>
                <w:t>Reef 2050 Water Quality Improvement Plan 2017-2022</w:t>
              </w:r>
            </w:hyperlink>
          </w:p>
          <w:p w14:paraId="5761FAE8"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1136" w:history="1">
              <w:r w:rsidR="00A56EE9" w:rsidRPr="00E70A11">
                <w:rPr>
                  <w:rStyle w:val="Hyperlink"/>
                  <w:rFonts w:ascii="Arial Narrow" w:hAnsi="Arial Narrow"/>
                  <w:sz w:val="18"/>
                  <w:szCs w:val="18"/>
                </w:rPr>
                <w:t>2017 Scientific Consensus Statement</w:t>
              </w:r>
            </w:hyperlink>
          </w:p>
          <w:p w14:paraId="5761FAE9" w14:textId="77777777" w:rsidR="00A56EE9" w:rsidRPr="00E70A11" w:rsidRDefault="008B5998" w:rsidP="00A11869">
            <w:pPr>
              <w:pStyle w:val="ListParagraph"/>
              <w:numPr>
                <w:ilvl w:val="0"/>
                <w:numId w:val="24"/>
              </w:numPr>
              <w:rPr>
                <w:rFonts w:ascii="Arial Narrow" w:hAnsi="Arial Narrow"/>
                <w:sz w:val="18"/>
                <w:szCs w:val="18"/>
                <w:u w:val="single"/>
              </w:rPr>
            </w:pPr>
            <w:hyperlink r:id="rId1137" w:history="1">
              <w:r w:rsidR="00A56EE9" w:rsidRPr="00E70A11">
                <w:rPr>
                  <w:rStyle w:val="Hyperlink"/>
                  <w:rFonts w:ascii="Arial Narrow" w:hAnsi="Arial Narrow"/>
                  <w:sz w:val="18"/>
                  <w:szCs w:val="18"/>
                </w:rPr>
                <w:t>Reef WQIP Report Cards</w:t>
              </w:r>
            </w:hyperlink>
          </w:p>
          <w:p w14:paraId="5761FAEA" w14:textId="77777777" w:rsidR="00A56EE9" w:rsidRPr="00E70A11" w:rsidRDefault="008B5998" w:rsidP="00A11869">
            <w:pPr>
              <w:pStyle w:val="ListParagraph"/>
              <w:numPr>
                <w:ilvl w:val="0"/>
                <w:numId w:val="24"/>
              </w:numPr>
              <w:rPr>
                <w:rFonts w:ascii="Arial Narrow" w:hAnsi="Arial Narrow"/>
                <w:sz w:val="18"/>
                <w:szCs w:val="18"/>
              </w:rPr>
            </w:pPr>
            <w:hyperlink r:id="rId1138" w:history="1">
              <w:r w:rsidR="00A56EE9" w:rsidRPr="00E70A11">
                <w:rPr>
                  <w:rStyle w:val="Hyperlink"/>
                  <w:rFonts w:ascii="Arial Narrow" w:hAnsi="Arial Narrow"/>
                  <w:sz w:val="18"/>
                  <w:szCs w:val="18"/>
                </w:rPr>
                <w:t>Paddock to Reef Integrated Monitoring, Modelling and Reporting Program</w:t>
              </w:r>
            </w:hyperlink>
          </w:p>
          <w:p w14:paraId="5761FAEB" w14:textId="77777777" w:rsidR="00A56EE9" w:rsidRPr="00774D6C" w:rsidRDefault="00A56EE9" w:rsidP="00BB6AD5">
            <w:pPr>
              <w:rPr>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tcPr>
          <w:p w14:paraId="5761FAEC"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AE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AF8"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AEF"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land-based run-off are understood by managers.</w:t>
            </w:r>
          </w:p>
        </w:tc>
        <w:tc>
          <w:tcPr>
            <w:tcW w:w="643" w:type="dxa"/>
            <w:tcBorders>
              <w:top w:val="single" w:sz="4" w:space="0" w:color="auto"/>
              <w:left w:val="single" w:sz="4" w:space="0" w:color="auto"/>
              <w:bottom w:val="single" w:sz="4" w:space="0" w:color="auto"/>
              <w:right w:val="single" w:sz="4" w:space="0" w:color="auto"/>
            </w:tcBorders>
          </w:tcPr>
          <w:p w14:paraId="5761FAF0"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AF1"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Strategic Assessment Process and UNESCO World Heritage Committee and Advisory Body processes relating to the GBR have focussed attention on the elaboration of attributes underpinning the Outstanding Universal Value of the GBR and MNES, and consider (among other things) the impact of land-based run-off on the OUV.</w:t>
            </w:r>
          </w:p>
          <w:p w14:paraId="5761FAF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State Party report to World Heritage Committee</w:t>
            </w:r>
            <w:r>
              <w:rPr>
                <w:rFonts w:ascii="Arial Narrow" w:hAnsi="Arial Narrow"/>
                <w:sz w:val="18"/>
                <w:szCs w:val="18"/>
              </w:rPr>
              <w:t xml:space="preserve"> </w:t>
            </w:r>
            <w:r w:rsidRPr="00E70A11">
              <w:rPr>
                <w:rFonts w:ascii="Arial Narrow" w:hAnsi="Arial Narrow"/>
                <w:sz w:val="18"/>
                <w:szCs w:val="18"/>
              </w:rPr>
              <w:t>(2015) reflects thorough understanding of national and international influences</w:t>
            </w:r>
          </w:p>
        </w:tc>
        <w:tc>
          <w:tcPr>
            <w:tcW w:w="4597" w:type="dxa"/>
            <w:tcBorders>
              <w:top w:val="single" w:sz="4" w:space="0" w:color="auto"/>
              <w:left w:val="single" w:sz="4" w:space="0" w:color="auto"/>
              <w:bottom w:val="single" w:sz="4" w:space="0" w:color="auto"/>
              <w:right w:val="single" w:sz="4" w:space="0" w:color="auto"/>
            </w:tcBorders>
          </w:tcPr>
          <w:p w14:paraId="5761FAF3" w14:textId="77777777" w:rsidR="00A56EE9" w:rsidRPr="00E70A11" w:rsidRDefault="008B5998" w:rsidP="00A11869">
            <w:pPr>
              <w:pStyle w:val="ListParagraph"/>
              <w:numPr>
                <w:ilvl w:val="0"/>
                <w:numId w:val="24"/>
              </w:numPr>
              <w:rPr>
                <w:rFonts w:ascii="Arial Narrow" w:hAnsi="Arial Narrow"/>
                <w:sz w:val="18"/>
                <w:szCs w:val="18"/>
              </w:rPr>
            </w:pPr>
            <w:hyperlink r:id="rId1139" w:history="1">
              <w:r w:rsidR="00A56EE9" w:rsidRPr="00E70A11">
                <w:rPr>
                  <w:rStyle w:val="Hyperlink"/>
                  <w:rFonts w:ascii="Arial Narrow" w:hAnsi="Arial Narrow"/>
                  <w:sz w:val="18"/>
                  <w:szCs w:val="18"/>
                </w:rPr>
                <w:t>Great Barrier Reef Strategic Assessment Report</w:t>
              </w:r>
            </w:hyperlink>
            <w:r w:rsidR="00A56EE9" w:rsidRPr="00E70A11">
              <w:rPr>
                <w:rFonts w:ascii="Arial Narrow" w:hAnsi="Arial Narrow"/>
                <w:sz w:val="18"/>
                <w:szCs w:val="18"/>
              </w:rPr>
              <w:t xml:space="preserve">, </w:t>
            </w:r>
          </w:p>
          <w:p w14:paraId="5761FAF4" w14:textId="77777777" w:rsidR="00A56EE9" w:rsidRPr="00E70A11" w:rsidRDefault="008B5998" w:rsidP="00A11869">
            <w:pPr>
              <w:pStyle w:val="ListParagraph"/>
              <w:numPr>
                <w:ilvl w:val="0"/>
                <w:numId w:val="24"/>
              </w:numPr>
              <w:rPr>
                <w:rFonts w:ascii="Arial Narrow" w:hAnsi="Arial Narrow"/>
                <w:sz w:val="18"/>
                <w:szCs w:val="18"/>
              </w:rPr>
            </w:pPr>
            <w:hyperlink r:id="rId1140" w:history="1">
              <w:r w:rsidR="00A56EE9" w:rsidRPr="00E70A11">
                <w:rPr>
                  <w:rStyle w:val="Hyperlink"/>
                  <w:rFonts w:ascii="Arial Narrow" w:hAnsi="Arial Narrow"/>
                  <w:sz w:val="18"/>
                  <w:szCs w:val="18"/>
                </w:rPr>
                <w:t>Great Barrier Reef Coastal Zone Strategic Assessment</w:t>
              </w:r>
            </w:hyperlink>
            <w:r w:rsidR="00A56EE9" w:rsidRPr="00E70A11">
              <w:rPr>
                <w:rFonts w:ascii="Arial Narrow" w:hAnsi="Arial Narrow"/>
                <w:sz w:val="18"/>
                <w:szCs w:val="18"/>
              </w:rPr>
              <w:t xml:space="preserve"> 2014</w:t>
            </w:r>
          </w:p>
          <w:p w14:paraId="5761FAF5" w14:textId="77777777" w:rsidR="00A56EE9" w:rsidRPr="00E70A11" w:rsidRDefault="008B5998" w:rsidP="00A11869">
            <w:pPr>
              <w:pStyle w:val="ListParagraph"/>
              <w:numPr>
                <w:ilvl w:val="0"/>
                <w:numId w:val="24"/>
              </w:numPr>
              <w:rPr>
                <w:rFonts w:ascii="Arial Narrow" w:hAnsi="Arial Narrow"/>
                <w:sz w:val="18"/>
                <w:szCs w:val="18"/>
              </w:rPr>
            </w:pPr>
            <w:hyperlink r:id="rId1141" w:history="1">
              <w:r w:rsidR="00A56EE9" w:rsidRPr="00E70A11">
                <w:rPr>
                  <w:rStyle w:val="Hyperlink"/>
                  <w:rFonts w:ascii="Arial Narrow" w:hAnsi="Arial Narrow"/>
                  <w:sz w:val="18"/>
                  <w:szCs w:val="18"/>
                  <w:lang w:val="en"/>
                </w:rPr>
                <w:t>State Party Report on the state of conservation of the Great Barrier Reef World Heritage Area (Australia) 2015</w:t>
              </w:r>
            </w:hyperlink>
          </w:p>
        </w:tc>
        <w:tc>
          <w:tcPr>
            <w:tcW w:w="963" w:type="dxa"/>
            <w:tcBorders>
              <w:top w:val="single" w:sz="4" w:space="0" w:color="auto"/>
              <w:left w:val="single" w:sz="4" w:space="0" w:color="auto"/>
              <w:bottom w:val="single" w:sz="4" w:space="0" w:color="auto"/>
              <w:right w:val="single" w:sz="4" w:space="0" w:color="auto"/>
            </w:tcBorders>
          </w:tcPr>
          <w:p w14:paraId="5761FAF6"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AF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07"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AF9"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land-based run-off are well known by managers.</w:t>
            </w:r>
          </w:p>
        </w:tc>
        <w:tc>
          <w:tcPr>
            <w:tcW w:w="643" w:type="dxa"/>
            <w:tcBorders>
              <w:top w:val="single" w:sz="4" w:space="0" w:color="auto"/>
              <w:left w:val="single" w:sz="4" w:space="0" w:color="auto"/>
              <w:bottom w:val="single" w:sz="4" w:space="0" w:color="auto"/>
              <w:right w:val="single" w:sz="4" w:space="0" w:color="auto"/>
            </w:tcBorders>
          </w:tcPr>
          <w:p w14:paraId="5761FAFA"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AFB"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 </w:t>
            </w:r>
            <w:hyperlink r:id="rId1142" w:history="1">
              <w:r w:rsidRPr="00E70A11">
                <w:rPr>
                  <w:rStyle w:val="Hyperlink"/>
                  <w:rFonts w:ascii="Arial Narrow" w:hAnsi="Arial Narrow"/>
                  <w:sz w:val="18"/>
                  <w:szCs w:val="18"/>
                </w:rPr>
                <w:t>GBR Intergovernmental Agreement</w:t>
              </w:r>
            </w:hyperlink>
            <w:r w:rsidRPr="00E70A11">
              <w:rPr>
                <w:rFonts w:ascii="Arial Narrow" w:hAnsi="Arial Narrow"/>
                <w:sz w:val="18"/>
                <w:szCs w:val="18"/>
                <w:lang w:val="en"/>
              </w:rPr>
              <w:t xml:space="preserve"> provides a framework for the Australian and Queensland governments to work together to protect the Great Barrier Reef.</w:t>
            </w:r>
          </w:p>
          <w:p w14:paraId="5761FAFC"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Achieving the goals and targets of the Reef 2050 Water Quality Improvement Plan (formerly the Reef Water Quality Protection Plan) relies on partnerships across all levels of government, industry, community groups, research organisations and land managers. </w:t>
            </w:r>
          </w:p>
          <w:p w14:paraId="5761FAFD"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 </w:t>
            </w:r>
            <w:hyperlink r:id="rId1143" w:history="1">
              <w:r w:rsidRPr="00E70A11">
                <w:rPr>
                  <w:rStyle w:val="Hyperlink"/>
                  <w:rFonts w:ascii="Arial Narrow" w:hAnsi="Arial Narrow"/>
                  <w:sz w:val="18"/>
                  <w:szCs w:val="18"/>
                </w:rPr>
                <w:t>Partnership Committee</w:t>
              </w:r>
            </w:hyperlink>
            <w:r w:rsidRPr="00E70A11">
              <w:rPr>
                <w:rFonts w:ascii="Arial Narrow" w:hAnsi="Arial Narrow"/>
                <w:sz w:val="18"/>
                <w:szCs w:val="18"/>
              </w:rPr>
              <w:t xml:space="preserve"> Reef 2050 Plan Partnership Committee consists of stakeholders, including industry groups, conservation organisations, regional NRM bodies and government officials, and has with an independent chair. </w:t>
            </w:r>
          </w:p>
          <w:p w14:paraId="5761FAFE"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Reef 2050 Reef Advisory Committee</w:t>
            </w:r>
          </w:p>
          <w:p w14:paraId="5761FAFF"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Paddock to Reef program (see contributors), funded jointly by the Australian and Queensland Governments, is a collaboration involving industry, regional natural resource management organisations, research organisations and government. The Paddock to Reef Program integrates information on management practices, catchment indicators, catchment water quality and the ecological health of the GBR.</w:t>
            </w:r>
          </w:p>
          <w:p w14:paraId="5761FB0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There is also a Reef WQIP Independent Science Panel, Executive Steering Committee and a number of smaller advisory groups that support specific parts of the Paddock to Reef Integrated Monitoring, Modelling and Reporting Program. </w:t>
            </w:r>
          </w:p>
          <w:p w14:paraId="5761FB01"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Paddock to Reef Integrated Monitoring, Modelling and Reporting Program also conducts road shows to communicate results</w:t>
            </w:r>
          </w:p>
        </w:tc>
        <w:tc>
          <w:tcPr>
            <w:tcW w:w="4597" w:type="dxa"/>
            <w:tcBorders>
              <w:top w:val="single" w:sz="4" w:space="0" w:color="auto"/>
              <w:left w:val="single" w:sz="4" w:space="0" w:color="auto"/>
              <w:bottom w:val="single" w:sz="4" w:space="0" w:color="auto"/>
              <w:right w:val="single" w:sz="4" w:space="0" w:color="auto"/>
            </w:tcBorders>
          </w:tcPr>
          <w:p w14:paraId="5761FB0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144" w:history="1">
              <w:r w:rsidR="00A56EE9" w:rsidRPr="00E70A11">
                <w:rPr>
                  <w:rFonts w:ascii="Arial Narrow" w:hAnsi="Arial Narrow"/>
                  <w:sz w:val="18"/>
                  <w:szCs w:val="18"/>
                </w:rPr>
                <w:t>Reef 2050 Reef Advisory Committee</w:t>
              </w:r>
            </w:hyperlink>
          </w:p>
          <w:p w14:paraId="5761FB0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Plan</w:t>
            </w:r>
          </w:p>
          <w:p w14:paraId="5761FB0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Paddock to reef program</w:t>
            </w:r>
          </w:p>
        </w:tc>
        <w:tc>
          <w:tcPr>
            <w:tcW w:w="963" w:type="dxa"/>
            <w:tcBorders>
              <w:top w:val="single" w:sz="4" w:space="0" w:color="auto"/>
              <w:left w:val="single" w:sz="4" w:space="0" w:color="auto"/>
              <w:bottom w:val="single" w:sz="4" w:space="0" w:color="auto"/>
              <w:right w:val="single" w:sz="4" w:space="0" w:color="auto"/>
            </w:tcBorders>
          </w:tcPr>
          <w:p w14:paraId="5761FB05"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06"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0E"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08" w14:textId="77777777" w:rsidR="00A56EE9" w:rsidRPr="00E70A11" w:rsidRDefault="00A56EE9" w:rsidP="00BB6AD5">
            <w:pPr>
              <w:pStyle w:val="Tablebulletlist"/>
              <w:rPr>
                <w:rStyle w:val="BookTitle"/>
              </w:rPr>
            </w:pPr>
            <w:r w:rsidRPr="00E70A11">
              <w:rPr>
                <w:rStyle w:val="BookTitle"/>
              </w:rPr>
              <w:t>PLANNING</w:t>
            </w:r>
          </w:p>
        </w:tc>
        <w:tc>
          <w:tcPr>
            <w:tcW w:w="64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09" w14:textId="77777777" w:rsidR="00A56EE9" w:rsidRPr="00E70A11" w:rsidRDefault="00A56EE9" w:rsidP="00BB6AD5">
            <w:pPr>
              <w:pStyle w:val="Tablebulletlist"/>
              <w:rPr>
                <w:rStyle w:val="BookTitle"/>
              </w:rPr>
            </w:pPr>
          </w:p>
        </w:tc>
        <w:tc>
          <w:tcPr>
            <w:tcW w:w="495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0A" w14:textId="77777777" w:rsidR="00A56EE9" w:rsidRPr="00E70A11" w:rsidRDefault="00A56EE9" w:rsidP="00BB6AD5">
            <w:pPr>
              <w:pStyle w:val="ListParagraph"/>
              <w:ind w:left="360"/>
              <w:rPr>
                <w:rStyle w:val="BookTitle"/>
                <w:rFonts w:ascii="Arial Narrow" w:hAnsi="Arial Narrow"/>
                <w:sz w:val="18"/>
                <w:szCs w:val="18"/>
              </w:rPr>
            </w:pPr>
          </w:p>
        </w:tc>
        <w:tc>
          <w:tcPr>
            <w:tcW w:w="459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0B" w14:textId="77777777" w:rsidR="00A56EE9" w:rsidRPr="00E70A11" w:rsidRDefault="00A56EE9" w:rsidP="00BB6AD5">
            <w:pPr>
              <w:pStyle w:val="ListParagraph"/>
              <w:ind w:left="360"/>
              <w:rPr>
                <w:rStyle w:val="BookTitle"/>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0C" w14:textId="77777777" w:rsidR="00A56EE9" w:rsidRPr="00E70A11" w:rsidRDefault="00A56EE9" w:rsidP="00BB6AD5">
            <w:pPr>
              <w:pStyle w:val="Tablebulletlist"/>
              <w:rPr>
                <w:rStyle w:val="BookTitle"/>
              </w:rPr>
            </w:pPr>
          </w:p>
        </w:tc>
        <w:tc>
          <w:tcPr>
            <w:tcW w:w="100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0D" w14:textId="77777777" w:rsidR="00A56EE9" w:rsidRPr="00E70A11" w:rsidRDefault="00A56EE9" w:rsidP="00BB6AD5">
            <w:pPr>
              <w:pStyle w:val="Tablebulletlist"/>
              <w:rPr>
                <w:rStyle w:val="BookTitle"/>
              </w:rPr>
            </w:pPr>
          </w:p>
        </w:tc>
      </w:tr>
      <w:tr w:rsidR="00A56EE9" w:rsidRPr="00E70A11" w14:paraId="5761FB1A"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0F"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land-based run-off </w:t>
            </w:r>
          </w:p>
        </w:tc>
        <w:tc>
          <w:tcPr>
            <w:tcW w:w="643" w:type="dxa"/>
            <w:tcBorders>
              <w:top w:val="single" w:sz="4" w:space="0" w:color="auto"/>
              <w:left w:val="single" w:sz="4" w:space="0" w:color="auto"/>
              <w:bottom w:val="single" w:sz="4" w:space="0" w:color="auto"/>
              <w:right w:val="single" w:sz="4" w:space="0" w:color="auto"/>
            </w:tcBorders>
          </w:tcPr>
          <w:p w14:paraId="5761FB10"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11"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Reef 2050 Water Quality Improvement Plan (Reef 2050 WQIP) 2017 is a collaborative program of coordinated projects and partnerships designed to improve the quality of water in the Great Barrier Reef though improved land management in reef catchments:</w:t>
            </w:r>
          </w:p>
          <w:p w14:paraId="5761FB12" w14:textId="77777777" w:rsidR="00A56EE9" w:rsidRPr="00E70A11" w:rsidRDefault="00A56EE9" w:rsidP="00A11869">
            <w:pPr>
              <w:pStyle w:val="ListParagraph"/>
              <w:numPr>
                <w:ilvl w:val="1"/>
                <w:numId w:val="24"/>
              </w:numPr>
              <w:spacing w:after="200"/>
              <w:rPr>
                <w:rFonts w:ascii="Arial Narrow" w:hAnsi="Arial Narrow"/>
                <w:sz w:val="18"/>
                <w:szCs w:val="18"/>
              </w:rPr>
            </w:pPr>
            <w:r w:rsidRPr="00E70A11">
              <w:rPr>
                <w:rFonts w:ascii="Arial Narrow" w:hAnsi="Arial Narrow"/>
                <w:sz w:val="18"/>
                <w:szCs w:val="18"/>
              </w:rPr>
              <w:t xml:space="preserve">Joint Australian and Queensland Government initiative that specifically focuses on non-point-source pollution. </w:t>
            </w:r>
          </w:p>
          <w:p w14:paraId="5761FB13"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 xml:space="preserve">Sets targets for water quality and land management improvement, and identifies actions to improve the quality of water entering the reef. </w:t>
            </w:r>
          </w:p>
          <w:p w14:paraId="5761FB14" w14:textId="77777777" w:rsidR="00A56EE9" w:rsidRPr="00A43CF4" w:rsidRDefault="00A56EE9" w:rsidP="00A11869">
            <w:pPr>
              <w:pStyle w:val="ListParagraph"/>
              <w:numPr>
                <w:ilvl w:val="1"/>
                <w:numId w:val="24"/>
              </w:numPr>
              <w:rPr>
                <w:rFonts w:ascii="Arial Narrow" w:hAnsi="Arial Narrow"/>
                <w:sz w:val="18"/>
                <w:szCs w:val="18"/>
              </w:rPr>
            </w:pPr>
            <w:proofErr w:type="gramStart"/>
            <w:r w:rsidRPr="00E70A11">
              <w:rPr>
                <w:rFonts w:ascii="Arial Narrow" w:hAnsi="Arial Narrow"/>
                <w:sz w:val="18"/>
                <w:szCs w:val="18"/>
              </w:rPr>
              <w:t>was</w:t>
            </w:r>
            <w:proofErr w:type="gramEnd"/>
            <w:r w:rsidRPr="00E70A11">
              <w:rPr>
                <w:rFonts w:ascii="Arial Narrow" w:hAnsi="Arial Narrow"/>
                <w:sz w:val="18"/>
                <w:szCs w:val="18"/>
              </w:rPr>
              <w:t xml:space="preserve"> updated in 2017 and details specific actions and deliverables to be completed by 2022.</w:t>
            </w:r>
          </w:p>
          <w:p w14:paraId="5761FB15"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Reef 2050 Plan – presents actions to protect the values, health and resilience, while allowing ecological sustainable use.</w:t>
            </w:r>
          </w:p>
        </w:tc>
        <w:tc>
          <w:tcPr>
            <w:tcW w:w="4597" w:type="dxa"/>
            <w:tcBorders>
              <w:top w:val="single" w:sz="4" w:space="0" w:color="auto"/>
              <w:left w:val="single" w:sz="4" w:space="0" w:color="auto"/>
              <w:bottom w:val="single" w:sz="4" w:space="0" w:color="auto"/>
              <w:right w:val="single" w:sz="4" w:space="0" w:color="auto"/>
            </w:tcBorders>
          </w:tcPr>
          <w:p w14:paraId="5761FB1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Reef 2050 Water Quality Improvement Plan (Reef WQIP) 2017</w:t>
            </w:r>
          </w:p>
          <w:p w14:paraId="5761FB1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Reef 2050 Plan</w:t>
            </w:r>
          </w:p>
        </w:tc>
        <w:tc>
          <w:tcPr>
            <w:tcW w:w="963" w:type="dxa"/>
            <w:tcBorders>
              <w:top w:val="single" w:sz="4" w:space="0" w:color="auto"/>
              <w:left w:val="single" w:sz="4" w:space="0" w:color="auto"/>
              <w:bottom w:val="single" w:sz="4" w:space="0" w:color="auto"/>
              <w:right w:val="single" w:sz="4" w:space="0" w:color="auto"/>
            </w:tcBorders>
          </w:tcPr>
          <w:p w14:paraId="5761FB18"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1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22"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1B"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land-based run-off addresses the major factors influencing the Great Barrier Reef Region’s values.</w:t>
            </w:r>
          </w:p>
        </w:tc>
        <w:tc>
          <w:tcPr>
            <w:tcW w:w="643" w:type="dxa"/>
            <w:tcBorders>
              <w:top w:val="single" w:sz="4" w:space="0" w:color="auto"/>
              <w:left w:val="single" w:sz="4" w:space="0" w:color="auto"/>
              <w:bottom w:val="single" w:sz="4" w:space="0" w:color="auto"/>
              <w:right w:val="single" w:sz="4" w:space="0" w:color="auto"/>
            </w:tcBorders>
          </w:tcPr>
          <w:p w14:paraId="5761FB1C"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1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Reef 2050 Water Quality Improvement Plan 2018 (Reef WQIP) now directly aligns with the Great Barrier Reef 2050 Long-Term Sustainability Plan. It has expanded in scope and now includes all land-based sources of water pollution, including from urban, industrial and public lands as well as social, cultural and economic values. As part of this Plan, individual targets have been set for reducing water pollution from the catchments, enabling better prioritising where the most management action is needed. This is a new level of specificity from previous targets and utilised sophisticated modelling and other scientific information to ensure these targets are based on what the Reef needs to be healthy</w:t>
            </w:r>
          </w:p>
        </w:tc>
        <w:tc>
          <w:tcPr>
            <w:tcW w:w="4597" w:type="dxa"/>
            <w:tcBorders>
              <w:top w:val="single" w:sz="4" w:space="0" w:color="auto"/>
              <w:left w:val="single" w:sz="4" w:space="0" w:color="auto"/>
              <w:bottom w:val="single" w:sz="4" w:space="0" w:color="auto"/>
              <w:right w:val="single" w:sz="4" w:space="0" w:color="auto"/>
            </w:tcBorders>
          </w:tcPr>
          <w:p w14:paraId="5761FB1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1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w:t>
            </w:r>
          </w:p>
        </w:tc>
        <w:tc>
          <w:tcPr>
            <w:tcW w:w="963" w:type="dxa"/>
            <w:tcBorders>
              <w:top w:val="single" w:sz="4" w:space="0" w:color="auto"/>
              <w:left w:val="single" w:sz="4" w:space="0" w:color="auto"/>
              <w:bottom w:val="single" w:sz="4" w:space="0" w:color="auto"/>
              <w:right w:val="single" w:sz="4" w:space="0" w:color="auto"/>
            </w:tcBorders>
          </w:tcPr>
          <w:p w14:paraId="5761FB20"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2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2D"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23"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land-based run-off are clearly identified within the plan </w:t>
            </w:r>
          </w:p>
        </w:tc>
        <w:tc>
          <w:tcPr>
            <w:tcW w:w="643" w:type="dxa"/>
            <w:tcBorders>
              <w:top w:val="single" w:sz="4" w:space="0" w:color="auto"/>
              <w:left w:val="single" w:sz="4" w:space="0" w:color="auto"/>
              <w:bottom w:val="single" w:sz="4" w:space="0" w:color="auto"/>
              <w:right w:val="single" w:sz="4" w:space="0" w:color="auto"/>
            </w:tcBorders>
          </w:tcPr>
          <w:p w14:paraId="5761FB24"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25"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Reef 2050 Plan clearly articulates actions for implementation of the plan and presents actions to protect the values, health and resilience, while allowing ecological sustainable use.</w:t>
            </w:r>
          </w:p>
          <w:p w14:paraId="5761FB26"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Healthy Water Management Plans are a legislative tool that implements water quality actions. </w:t>
            </w:r>
            <w:r w:rsidRPr="00E70A11">
              <w:rPr>
                <w:rFonts w:ascii="Arial Narrow" w:hAnsi="Arial Narrow"/>
                <w:sz w:val="18"/>
                <w:szCs w:val="18"/>
                <w:lang w:val="en"/>
              </w:rPr>
              <w:t xml:space="preserve">Environmental Values and Water Quality Objectives have been developed. </w:t>
            </w:r>
            <w:r w:rsidRPr="00E70A11">
              <w:rPr>
                <w:rFonts w:ascii="Arial Narrow" w:hAnsi="Arial Narrow"/>
                <w:sz w:val="18"/>
                <w:szCs w:val="18"/>
              </w:rPr>
              <w:t xml:space="preserve">Regional NRM Water quality improvement plans outline actions and priorities for investment and will assist in the prioritisation of on-ground funding within the regions in the future. </w:t>
            </w:r>
          </w:p>
          <w:p w14:paraId="5761FB27"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 xml:space="preserve">Reef WQIP describes clear objectives, targets and actions </w:t>
            </w:r>
          </w:p>
        </w:tc>
        <w:tc>
          <w:tcPr>
            <w:tcW w:w="4597" w:type="dxa"/>
            <w:tcBorders>
              <w:top w:val="single" w:sz="4" w:space="0" w:color="auto"/>
              <w:left w:val="single" w:sz="4" w:space="0" w:color="auto"/>
              <w:bottom w:val="single" w:sz="4" w:space="0" w:color="auto"/>
              <w:right w:val="single" w:sz="4" w:space="0" w:color="auto"/>
            </w:tcBorders>
          </w:tcPr>
          <w:p w14:paraId="5761FB2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2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 </w:t>
            </w:r>
            <w:hyperlink r:id="rId1145" w:history="1">
              <w:r w:rsidRPr="00E70A11">
                <w:rPr>
                  <w:rStyle w:val="BookTitle"/>
                  <w:rFonts w:ascii="Arial Narrow" w:hAnsi="Arial Narrow"/>
                  <w:sz w:val="18"/>
                  <w:szCs w:val="18"/>
                </w:rPr>
                <w:t>Water quality Improvement Plans (WQIPs) and Healthy Waters Management Plans (HWMPs</w:t>
              </w:r>
            </w:hyperlink>
            <w:r w:rsidRPr="00E70A11">
              <w:rPr>
                <w:rStyle w:val="BookTitle"/>
                <w:rFonts w:ascii="Arial Narrow" w:hAnsi="Arial Narrow"/>
                <w:sz w:val="18"/>
                <w:szCs w:val="18"/>
              </w:rPr>
              <w:t>)</w:t>
            </w:r>
          </w:p>
          <w:p w14:paraId="5761FB2A" w14:textId="77777777" w:rsidR="00A56EE9" w:rsidRPr="00E70A11" w:rsidRDefault="00A56EE9" w:rsidP="00BB6AD5">
            <w:pPr>
              <w:pStyle w:val="ListParagraph"/>
              <w:ind w:left="360"/>
              <w:rPr>
                <w:rStyle w:val="BookTitle"/>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tcPr>
          <w:p w14:paraId="5761FB2B"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2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35"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2E"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land-based run-off have been documented</w:t>
            </w:r>
          </w:p>
        </w:tc>
        <w:tc>
          <w:tcPr>
            <w:tcW w:w="643" w:type="dxa"/>
            <w:tcBorders>
              <w:top w:val="single" w:sz="4" w:space="0" w:color="auto"/>
              <w:left w:val="single" w:sz="4" w:space="0" w:color="auto"/>
              <w:bottom w:val="single" w:sz="4" w:space="0" w:color="auto"/>
              <w:right w:val="single" w:sz="4" w:space="0" w:color="auto"/>
            </w:tcBorders>
          </w:tcPr>
          <w:p w14:paraId="5761FB2F"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3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Objectives for land-based runoff are outlined in the Reef 2050 Plan </w:t>
            </w:r>
          </w:p>
        </w:tc>
        <w:tc>
          <w:tcPr>
            <w:tcW w:w="4597" w:type="dxa"/>
            <w:tcBorders>
              <w:top w:val="single" w:sz="4" w:space="0" w:color="auto"/>
              <w:left w:val="single" w:sz="4" w:space="0" w:color="auto"/>
              <w:bottom w:val="single" w:sz="4" w:space="0" w:color="auto"/>
              <w:right w:val="single" w:sz="4" w:space="0" w:color="auto"/>
            </w:tcBorders>
          </w:tcPr>
          <w:p w14:paraId="5761FB3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3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 </w:t>
            </w:r>
            <w:hyperlink r:id="rId1146" w:history="1">
              <w:r w:rsidRPr="00E70A11">
                <w:rPr>
                  <w:rStyle w:val="BookTitle"/>
                  <w:rFonts w:ascii="Arial Narrow" w:hAnsi="Arial Narrow"/>
                  <w:sz w:val="18"/>
                  <w:szCs w:val="18"/>
                </w:rPr>
                <w:t xml:space="preserve">Water quality Improvement Plans (WQIPs) </w:t>
              </w:r>
            </w:hyperlink>
          </w:p>
        </w:tc>
        <w:tc>
          <w:tcPr>
            <w:tcW w:w="963" w:type="dxa"/>
            <w:tcBorders>
              <w:top w:val="single" w:sz="4" w:space="0" w:color="auto"/>
              <w:left w:val="single" w:sz="4" w:space="0" w:color="auto"/>
              <w:bottom w:val="single" w:sz="4" w:space="0" w:color="auto"/>
              <w:right w:val="single" w:sz="4" w:space="0" w:color="auto"/>
            </w:tcBorders>
          </w:tcPr>
          <w:p w14:paraId="5761FB33"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3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43"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36"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land-based run-off</w:t>
            </w:r>
          </w:p>
        </w:tc>
        <w:tc>
          <w:tcPr>
            <w:tcW w:w="643" w:type="dxa"/>
            <w:tcBorders>
              <w:top w:val="single" w:sz="4" w:space="0" w:color="auto"/>
              <w:left w:val="single" w:sz="4" w:space="0" w:color="auto"/>
              <w:bottom w:val="single" w:sz="4" w:space="0" w:color="auto"/>
              <w:right w:val="single" w:sz="4" w:space="0" w:color="auto"/>
            </w:tcBorders>
          </w:tcPr>
          <w:p w14:paraId="5761FB37"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38"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Progress towards the Plan’s targets is evaluated through the Paddock to Reef Integrated Monitoring, Modelling and Reporting Program (Paddock to Reef program) and reported through the Reef Report Card. There are 10 components of the Paddock to Reef Porgram</w:t>
            </w:r>
          </w:p>
          <w:p w14:paraId="5761FB39"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A revised water quality metric was developed in 2015-16 as an initial step towards integrating multiple streams of data to measure and report water quality conditions. The previous metric relied exclusively on satellite data. The new metric is underpinned by the eReefs biogeochemical model integrated with satellite images for improved accuracy in what is commonly referred to as a data assimilation process.</w:t>
            </w:r>
          </w:p>
          <w:p w14:paraId="5761FB3A"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 Marine Monitoring Program has a MERI plan that ensures activities are appropriate and adequate. Information from the Marine Monitoring Program is integrated into metrics that describe inshore marine water quality, seagrass and coral condition and trends in condition assessments are used to evaluate progress </w:t>
            </w:r>
          </w:p>
          <w:p w14:paraId="5761FB3B"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As part of this Reef WQIP, individual targets have been set for reducing water pollution from the catchments, enabling better prioritising where the most management action is needed. This is a new level of specificity from previous targets and utilised sophisticated modelling and other scientific information to ensure these targets are based on what the Reef needs to be healthy. Evaluated through Paddock to Reef program and reported through the Reef Report Card.</w:t>
            </w:r>
          </w:p>
          <w:p w14:paraId="5761FB3C"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lang w:val="en"/>
              </w:rPr>
              <w:t>The</w:t>
            </w:r>
            <w:r w:rsidRPr="00E70A11">
              <w:rPr>
                <w:rFonts w:ascii="Arial Narrow" w:hAnsi="Arial Narrow"/>
                <w:sz w:val="18"/>
                <w:szCs w:val="18"/>
                <w:u w:val="single"/>
              </w:rPr>
              <w:t xml:space="preserve"> </w:t>
            </w:r>
            <w:hyperlink r:id="rId1147" w:history="1">
              <w:r w:rsidRPr="00E70A11">
                <w:rPr>
                  <w:rStyle w:val="Hyperlink"/>
                  <w:rFonts w:ascii="Arial Narrow" w:hAnsi="Arial Narrow"/>
                  <w:sz w:val="18"/>
                  <w:szCs w:val="18"/>
                </w:rPr>
                <w:t>Reef 2050 Integrated Monitoring and Reporting Program</w:t>
              </w:r>
            </w:hyperlink>
            <w:r w:rsidRPr="00E70A11">
              <w:rPr>
                <w:rFonts w:ascii="Arial Narrow" w:hAnsi="Arial Narrow"/>
                <w:sz w:val="18"/>
                <w:szCs w:val="18"/>
                <w:lang w:val="en"/>
              </w:rPr>
              <w:t xml:space="preserve"> (RIMREP</w:t>
            </w:r>
            <w:r w:rsidRPr="00E70A11">
              <w:rPr>
                <w:rFonts w:ascii="Arial Narrow" w:hAnsi="Arial Narrow"/>
                <w:sz w:val="18"/>
                <w:szCs w:val="18"/>
              </w:rPr>
              <w:t>), including the Paddock to Reef program</w:t>
            </w:r>
            <w:r w:rsidRPr="00E70A11">
              <w:rPr>
                <w:rFonts w:ascii="Arial Narrow" w:hAnsi="Arial Narrow"/>
                <w:sz w:val="18"/>
                <w:szCs w:val="18"/>
                <w:lang w:val="en"/>
              </w:rPr>
              <w:t xml:space="preserve"> </w:t>
            </w:r>
            <w:r w:rsidRPr="00E70A11">
              <w:rPr>
                <w:rFonts w:ascii="Arial Narrow" w:hAnsi="Arial Narrow"/>
                <w:sz w:val="18"/>
                <w:szCs w:val="18"/>
              </w:rPr>
              <w:t xml:space="preserve">will </w:t>
            </w:r>
            <w:r w:rsidRPr="00E70A11">
              <w:rPr>
                <w:rFonts w:ascii="Arial Narrow" w:hAnsi="Arial Narrow"/>
                <w:sz w:val="18"/>
                <w:szCs w:val="18"/>
                <w:lang w:val="en"/>
              </w:rPr>
              <w:t xml:space="preserve">used to track the progress of </w:t>
            </w:r>
            <w:r w:rsidRPr="00E70A11">
              <w:rPr>
                <w:rFonts w:ascii="Arial Narrow" w:hAnsi="Arial Narrow"/>
                <w:sz w:val="18"/>
                <w:szCs w:val="18"/>
              </w:rPr>
              <w:t>targets specified</w:t>
            </w:r>
            <w:r w:rsidRPr="00E70A11">
              <w:rPr>
                <w:rFonts w:ascii="Arial Narrow" w:hAnsi="Arial Narrow"/>
                <w:sz w:val="18"/>
                <w:szCs w:val="18"/>
                <w:lang w:val="en"/>
              </w:rPr>
              <w:t xml:space="preserve"> in the </w:t>
            </w:r>
            <w:hyperlink r:id="rId1148" w:history="1">
              <w:r w:rsidRPr="00E70A11">
                <w:rPr>
                  <w:rStyle w:val="Hyperlink"/>
                  <w:rFonts w:ascii="Arial Narrow" w:hAnsi="Arial Narrow"/>
                  <w:sz w:val="18"/>
                  <w:szCs w:val="18"/>
                </w:rPr>
                <w:t>Reef 2050 Plan</w:t>
              </w:r>
            </w:hyperlink>
            <w:r w:rsidRPr="00E70A11">
              <w:rPr>
                <w:rFonts w:ascii="Arial Narrow" w:hAnsi="Arial Narrow"/>
                <w:sz w:val="18"/>
                <w:szCs w:val="18"/>
              </w:rPr>
              <w:t xml:space="preserve">. This is </w:t>
            </w:r>
            <w:r w:rsidRPr="00E70A11">
              <w:rPr>
                <w:rFonts w:ascii="Arial Narrow" w:hAnsi="Arial Narrow"/>
                <w:sz w:val="18"/>
                <w:szCs w:val="18"/>
                <w:lang w:val="en"/>
              </w:rPr>
              <w:t>s</w:t>
            </w:r>
            <w:r w:rsidRPr="00E70A11">
              <w:rPr>
                <w:rFonts w:ascii="Arial Narrow" w:hAnsi="Arial Narrow"/>
                <w:sz w:val="18"/>
                <w:szCs w:val="18"/>
              </w:rPr>
              <w:t>till in development phase.</w:t>
            </w:r>
          </w:p>
        </w:tc>
        <w:tc>
          <w:tcPr>
            <w:tcW w:w="4597" w:type="dxa"/>
            <w:tcBorders>
              <w:top w:val="single" w:sz="4" w:space="0" w:color="auto"/>
              <w:left w:val="single" w:sz="4" w:space="0" w:color="auto"/>
              <w:bottom w:val="single" w:sz="4" w:space="0" w:color="auto"/>
              <w:right w:val="single" w:sz="4" w:space="0" w:color="auto"/>
            </w:tcBorders>
          </w:tcPr>
          <w:p w14:paraId="5761FB3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3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 </w:t>
            </w:r>
            <w:hyperlink r:id="rId1149" w:history="1">
              <w:r w:rsidRPr="00E70A11">
                <w:rPr>
                  <w:rStyle w:val="BookTitle"/>
                  <w:rFonts w:ascii="Arial Narrow" w:hAnsi="Arial Narrow"/>
                  <w:sz w:val="18"/>
                  <w:szCs w:val="18"/>
                </w:rPr>
                <w:t xml:space="preserve">Water quality Improvement Plans (WQIPs) </w:t>
              </w:r>
            </w:hyperlink>
          </w:p>
          <w:p w14:paraId="5761FB3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Paddock to Reef Integrated Monitoring, Modelling and Reporting Program</w:t>
            </w:r>
            <w:r>
              <w:rPr>
                <w:rStyle w:val="BookTitle"/>
                <w:rFonts w:ascii="Arial Narrow" w:hAnsi="Arial Narrow"/>
                <w:sz w:val="18"/>
                <w:szCs w:val="18"/>
              </w:rPr>
              <w:t xml:space="preserve"> </w:t>
            </w:r>
          </w:p>
          <w:p w14:paraId="5761FB4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w:t>
            </w:r>
          </w:p>
        </w:tc>
        <w:tc>
          <w:tcPr>
            <w:tcW w:w="963" w:type="dxa"/>
            <w:tcBorders>
              <w:top w:val="single" w:sz="4" w:space="0" w:color="auto"/>
              <w:left w:val="single" w:sz="4" w:space="0" w:color="auto"/>
              <w:bottom w:val="single" w:sz="4" w:space="0" w:color="auto"/>
              <w:right w:val="single" w:sz="4" w:space="0" w:color="auto"/>
            </w:tcBorders>
          </w:tcPr>
          <w:p w14:paraId="5761FB41"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4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52"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44"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land-based run-off</w:t>
            </w:r>
          </w:p>
        </w:tc>
        <w:tc>
          <w:tcPr>
            <w:tcW w:w="643" w:type="dxa"/>
            <w:tcBorders>
              <w:top w:val="single" w:sz="4" w:space="0" w:color="auto"/>
              <w:left w:val="single" w:sz="4" w:space="0" w:color="auto"/>
              <w:bottom w:val="single" w:sz="4" w:space="0" w:color="auto"/>
              <w:right w:val="single" w:sz="4" w:space="0" w:color="auto"/>
            </w:tcBorders>
          </w:tcPr>
          <w:p w14:paraId="5761FB45"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4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Stakeholders are engaged in a number of forums including:</w:t>
            </w:r>
          </w:p>
          <w:p w14:paraId="5761FB47" w14:textId="77777777" w:rsidR="00A56EE9" w:rsidRPr="00E70A11" w:rsidRDefault="00A56EE9" w:rsidP="00A11869">
            <w:pPr>
              <w:pStyle w:val="ListParagraph"/>
              <w:numPr>
                <w:ilvl w:val="1"/>
                <w:numId w:val="24"/>
              </w:numPr>
              <w:ind w:left="670" w:hanging="284"/>
              <w:rPr>
                <w:rFonts w:ascii="Arial Narrow" w:hAnsi="Arial Narrow"/>
                <w:sz w:val="18"/>
                <w:szCs w:val="18"/>
              </w:rPr>
            </w:pPr>
            <w:r w:rsidRPr="00E70A11">
              <w:rPr>
                <w:rFonts w:ascii="Arial Narrow" w:hAnsi="Arial Narrow"/>
                <w:sz w:val="18"/>
                <w:szCs w:val="18"/>
              </w:rPr>
              <w:t>Reef WQIP partnership committee, WQ Reef Advisory Committee</w:t>
            </w:r>
          </w:p>
          <w:p w14:paraId="5761FB48" w14:textId="77777777" w:rsidR="00A56EE9" w:rsidRPr="00E70A11" w:rsidRDefault="00A56EE9" w:rsidP="00A11869">
            <w:pPr>
              <w:pStyle w:val="ListParagraph"/>
              <w:numPr>
                <w:ilvl w:val="1"/>
                <w:numId w:val="24"/>
              </w:numPr>
              <w:spacing w:after="200"/>
              <w:ind w:left="670" w:hanging="284"/>
              <w:rPr>
                <w:rFonts w:ascii="Arial Narrow" w:hAnsi="Arial Narrow"/>
                <w:sz w:val="18"/>
                <w:szCs w:val="18"/>
              </w:rPr>
            </w:pPr>
            <w:r w:rsidRPr="00E70A11">
              <w:rPr>
                <w:rFonts w:ascii="Arial Narrow" w:hAnsi="Arial Narrow"/>
                <w:sz w:val="18"/>
                <w:szCs w:val="18"/>
              </w:rPr>
              <w:t>developing the Reef WQIP (Reef Plan) &amp; regional WQIPs, which involved extensive public consultation</w:t>
            </w:r>
          </w:p>
          <w:p w14:paraId="5761FB49" w14:textId="77777777" w:rsidR="00A56EE9" w:rsidRPr="00E70A11" w:rsidRDefault="00A56EE9" w:rsidP="00A11869">
            <w:pPr>
              <w:pStyle w:val="ListParagraph"/>
              <w:numPr>
                <w:ilvl w:val="1"/>
                <w:numId w:val="24"/>
              </w:numPr>
              <w:spacing w:after="200"/>
              <w:ind w:left="670" w:hanging="284"/>
              <w:rPr>
                <w:rFonts w:ascii="Arial Narrow" w:hAnsi="Arial Narrow"/>
                <w:sz w:val="18"/>
                <w:szCs w:val="18"/>
              </w:rPr>
            </w:pPr>
            <w:r w:rsidRPr="00E70A11">
              <w:rPr>
                <w:rFonts w:ascii="Arial Narrow" w:hAnsi="Arial Narrow"/>
                <w:sz w:val="18"/>
                <w:szCs w:val="18"/>
              </w:rPr>
              <w:t xml:space="preserve">MIPS, Project Uplift (MSF Sugar) are projects designed from the ground up. </w:t>
            </w:r>
          </w:p>
          <w:p w14:paraId="5761FB4A" w14:textId="77777777" w:rsidR="00A56EE9" w:rsidRPr="00E70A11" w:rsidRDefault="00A56EE9" w:rsidP="00A11869">
            <w:pPr>
              <w:pStyle w:val="ListParagraph"/>
              <w:numPr>
                <w:ilvl w:val="1"/>
                <w:numId w:val="24"/>
              </w:numPr>
              <w:spacing w:after="200"/>
              <w:ind w:left="670" w:hanging="284"/>
              <w:rPr>
                <w:rFonts w:ascii="Arial Narrow" w:hAnsi="Arial Narrow"/>
                <w:sz w:val="18"/>
                <w:szCs w:val="18"/>
              </w:rPr>
            </w:pPr>
            <w:r w:rsidRPr="00E70A11">
              <w:rPr>
                <w:rFonts w:ascii="Arial Narrow" w:hAnsi="Arial Narrow"/>
                <w:sz w:val="18"/>
                <w:szCs w:val="18"/>
              </w:rPr>
              <w:t>OGBR annual science synthesis forums instigated as recommendation</w:t>
            </w:r>
            <w:r>
              <w:rPr>
                <w:rFonts w:ascii="Arial Narrow" w:hAnsi="Arial Narrow"/>
                <w:sz w:val="18"/>
                <w:szCs w:val="18"/>
              </w:rPr>
              <w:t xml:space="preserve"> </w:t>
            </w:r>
            <w:r w:rsidRPr="00E70A11">
              <w:rPr>
                <w:rFonts w:ascii="Arial Narrow" w:hAnsi="Arial Narrow"/>
                <w:sz w:val="18"/>
                <w:szCs w:val="18"/>
              </w:rPr>
              <w:t>from Queensland Government</w:t>
            </w:r>
            <w:r>
              <w:rPr>
                <w:rFonts w:ascii="Arial Narrow" w:hAnsi="Arial Narrow"/>
                <w:sz w:val="18"/>
                <w:szCs w:val="18"/>
              </w:rPr>
              <w:t xml:space="preserve"> </w:t>
            </w:r>
            <w:r w:rsidRPr="00E70A11">
              <w:rPr>
                <w:rFonts w:ascii="Arial Narrow" w:hAnsi="Arial Narrow"/>
                <w:sz w:val="18"/>
                <w:szCs w:val="18"/>
              </w:rPr>
              <w:t>Water Quality Taskforce</w:t>
            </w:r>
          </w:p>
          <w:p w14:paraId="5761FB4B" w14:textId="77777777" w:rsidR="00A56EE9" w:rsidRPr="00E70A11" w:rsidRDefault="00A56EE9" w:rsidP="00A11869">
            <w:pPr>
              <w:pStyle w:val="ListParagraph"/>
              <w:numPr>
                <w:ilvl w:val="1"/>
                <w:numId w:val="24"/>
              </w:numPr>
              <w:spacing w:after="200"/>
              <w:ind w:left="670" w:hanging="284"/>
              <w:rPr>
                <w:rFonts w:ascii="Arial Narrow" w:hAnsi="Arial Narrow"/>
                <w:sz w:val="18"/>
                <w:szCs w:val="18"/>
              </w:rPr>
            </w:pPr>
            <w:r w:rsidRPr="00E70A11">
              <w:rPr>
                <w:rFonts w:ascii="Arial Narrow" w:hAnsi="Arial Narrow"/>
                <w:sz w:val="18"/>
                <w:szCs w:val="18"/>
              </w:rPr>
              <w:t>Reef Trust public consultation and stakeholder engagement</w:t>
            </w:r>
          </w:p>
          <w:p w14:paraId="5761FB4C" w14:textId="77777777" w:rsidR="00A56EE9" w:rsidRPr="00E70A11" w:rsidRDefault="00A56EE9" w:rsidP="00A11869">
            <w:pPr>
              <w:pStyle w:val="ListParagraph"/>
              <w:numPr>
                <w:ilvl w:val="1"/>
                <w:numId w:val="24"/>
              </w:numPr>
              <w:spacing w:after="200" w:line="276" w:lineRule="auto"/>
              <w:ind w:left="670" w:hanging="284"/>
              <w:rPr>
                <w:rStyle w:val="BookTitle"/>
                <w:rFonts w:ascii="Arial Narrow" w:hAnsi="Arial Narrow"/>
                <w:sz w:val="18"/>
                <w:szCs w:val="18"/>
              </w:rPr>
            </w:pPr>
            <w:r w:rsidRPr="00E70A11">
              <w:rPr>
                <w:rFonts w:ascii="Arial Narrow" w:hAnsi="Arial Narrow"/>
                <w:sz w:val="18"/>
                <w:szCs w:val="18"/>
              </w:rPr>
              <w:t xml:space="preserve">Participation in the industry BMP programs (Smartcane, Grazing, </w:t>
            </w:r>
            <w:proofErr w:type="gramStart"/>
            <w:r w:rsidRPr="00E70A11">
              <w:rPr>
                <w:rFonts w:ascii="Arial Narrow" w:hAnsi="Arial Narrow"/>
                <w:sz w:val="18"/>
                <w:szCs w:val="18"/>
              </w:rPr>
              <w:t>Banana</w:t>
            </w:r>
            <w:proofErr w:type="gramEnd"/>
            <w:r w:rsidRPr="00E70A11">
              <w:rPr>
                <w:rFonts w:ascii="Arial Narrow" w:hAnsi="Arial Narrow"/>
                <w:sz w:val="18"/>
                <w:szCs w:val="18"/>
              </w:rPr>
              <w:t>) is effectively engaging increasing numbers of farmers in planning (and managing) to address land-based run-off.</w:t>
            </w:r>
          </w:p>
        </w:tc>
        <w:tc>
          <w:tcPr>
            <w:tcW w:w="4597" w:type="dxa"/>
            <w:tcBorders>
              <w:top w:val="single" w:sz="4" w:space="0" w:color="auto"/>
              <w:left w:val="single" w:sz="4" w:space="0" w:color="auto"/>
              <w:bottom w:val="single" w:sz="4" w:space="0" w:color="auto"/>
              <w:right w:val="single" w:sz="4" w:space="0" w:color="auto"/>
            </w:tcBorders>
          </w:tcPr>
          <w:p w14:paraId="5761FB4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WQIP</w:t>
            </w:r>
          </w:p>
          <w:p w14:paraId="5761FB4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4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Qld water quality taskforce</w:t>
            </w:r>
          </w:p>
        </w:tc>
        <w:tc>
          <w:tcPr>
            <w:tcW w:w="963" w:type="dxa"/>
            <w:tcBorders>
              <w:top w:val="single" w:sz="4" w:space="0" w:color="auto"/>
              <w:left w:val="single" w:sz="4" w:space="0" w:color="auto"/>
              <w:bottom w:val="single" w:sz="4" w:space="0" w:color="auto"/>
              <w:right w:val="single" w:sz="4" w:space="0" w:color="auto"/>
            </w:tcBorders>
          </w:tcPr>
          <w:p w14:paraId="5761FB50"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5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60"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53"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land-based run-off</w:t>
            </w:r>
          </w:p>
        </w:tc>
        <w:tc>
          <w:tcPr>
            <w:tcW w:w="643" w:type="dxa"/>
            <w:tcBorders>
              <w:top w:val="single" w:sz="4" w:space="0" w:color="auto"/>
              <w:left w:val="single" w:sz="4" w:space="0" w:color="auto"/>
              <w:bottom w:val="single" w:sz="4" w:space="0" w:color="auto"/>
              <w:right w:val="single" w:sz="4" w:space="0" w:color="auto"/>
            </w:tcBorders>
          </w:tcPr>
          <w:p w14:paraId="5761FB54"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55" w14:textId="77777777" w:rsidR="00A56EE9" w:rsidRPr="00E70A11" w:rsidRDefault="00A56EE9" w:rsidP="00A11869">
            <w:pPr>
              <w:pStyle w:val="ListParagraph"/>
              <w:numPr>
                <w:ilvl w:val="0"/>
                <w:numId w:val="24"/>
              </w:numPr>
              <w:ind w:left="720"/>
              <w:rPr>
                <w:rFonts w:ascii="Arial Narrow" w:hAnsi="Arial Narrow"/>
                <w:sz w:val="18"/>
                <w:szCs w:val="18"/>
              </w:rPr>
            </w:pPr>
            <w:r w:rsidRPr="00E70A11">
              <w:rPr>
                <w:rFonts w:ascii="Arial Narrow" w:hAnsi="Arial Narrow"/>
                <w:sz w:val="18"/>
                <w:szCs w:val="18"/>
              </w:rPr>
              <w:t xml:space="preserve">Sewage treatment is regulated in Queensland under the Environmental Protection Regulation 2008 as an Environmentally Relevant Activity (ERA 63 - </w:t>
            </w:r>
            <w:r w:rsidRPr="00E70A11">
              <w:rPr>
                <w:rFonts w:ascii="Arial Narrow" w:hAnsi="Arial Narrow"/>
                <w:bCs/>
                <w:sz w:val="18"/>
                <w:szCs w:val="18"/>
              </w:rPr>
              <w:t>Sewage treatment</w:t>
            </w:r>
            <w:r w:rsidRPr="00E70A11">
              <w:rPr>
                <w:rFonts w:ascii="Arial Narrow" w:hAnsi="Arial Narrow"/>
                <w:sz w:val="18"/>
                <w:szCs w:val="18"/>
              </w:rPr>
              <w:t xml:space="preserve">) </w:t>
            </w:r>
            <w:hyperlink r:id="rId1150" w:anchor="sch.2" w:history="1">
              <w:r w:rsidRPr="00E70A11">
                <w:rPr>
                  <w:rStyle w:val="Hyperlink"/>
                  <w:rFonts w:ascii="Arial Narrow" w:hAnsi="Arial Narrow"/>
                  <w:sz w:val="18"/>
                  <w:szCs w:val="18"/>
                </w:rPr>
                <w:t>https://www.legislation.qld.gov.au/view/html/inforce/current/sl-2008-0370#sch.2</w:t>
              </w:r>
            </w:hyperlink>
            <w:r w:rsidRPr="00E70A11">
              <w:rPr>
                <w:rFonts w:ascii="Arial Narrow" w:hAnsi="Arial Narrow"/>
                <w:sz w:val="18"/>
                <w:szCs w:val="18"/>
              </w:rPr>
              <w:t xml:space="preserve"> Reef water quality guidelines</w:t>
            </w:r>
          </w:p>
          <w:p w14:paraId="5761FB56" w14:textId="77777777" w:rsidR="00A56EE9" w:rsidRPr="00E70A11" w:rsidRDefault="00A56EE9" w:rsidP="00A11869">
            <w:pPr>
              <w:pStyle w:val="ListParagraph"/>
              <w:numPr>
                <w:ilvl w:val="0"/>
                <w:numId w:val="24"/>
              </w:numPr>
              <w:ind w:left="720"/>
              <w:rPr>
                <w:rFonts w:ascii="Arial Narrow" w:hAnsi="Arial Narrow"/>
                <w:sz w:val="18"/>
                <w:szCs w:val="18"/>
              </w:rPr>
            </w:pPr>
            <w:r w:rsidRPr="00E70A11">
              <w:rPr>
                <w:rFonts w:ascii="Arial Narrow" w:hAnsi="Arial Narrow"/>
                <w:sz w:val="18"/>
                <w:szCs w:val="18"/>
              </w:rPr>
              <w:t>Reef WQIP</w:t>
            </w:r>
          </w:p>
          <w:p w14:paraId="5761FB57" w14:textId="77777777" w:rsidR="00A56EE9" w:rsidRPr="00E70A11" w:rsidRDefault="00A56EE9" w:rsidP="00A11869">
            <w:pPr>
              <w:pStyle w:val="ListParagraph"/>
              <w:numPr>
                <w:ilvl w:val="0"/>
                <w:numId w:val="24"/>
              </w:numPr>
              <w:ind w:left="720"/>
              <w:rPr>
                <w:rFonts w:ascii="Arial Narrow" w:hAnsi="Arial Narrow"/>
                <w:sz w:val="18"/>
                <w:szCs w:val="18"/>
              </w:rPr>
            </w:pPr>
            <w:r w:rsidRPr="00E70A11">
              <w:rPr>
                <w:rFonts w:ascii="Arial Narrow" w:hAnsi="Arial Narrow"/>
                <w:sz w:val="18"/>
                <w:szCs w:val="18"/>
              </w:rPr>
              <w:t>Position Statement on Aquaculture within the Great Barrier Reef Marine Park (which includes water quality aspects)</w:t>
            </w:r>
          </w:p>
          <w:p w14:paraId="5761FB58" w14:textId="77777777" w:rsidR="00A56EE9" w:rsidRPr="00E70A11" w:rsidRDefault="00A56EE9" w:rsidP="00A11869">
            <w:pPr>
              <w:pStyle w:val="ListParagraph"/>
              <w:numPr>
                <w:ilvl w:val="0"/>
                <w:numId w:val="24"/>
              </w:numPr>
              <w:ind w:left="720"/>
              <w:rPr>
                <w:rFonts w:ascii="Arial Narrow" w:hAnsi="Arial Narrow"/>
                <w:sz w:val="18"/>
                <w:szCs w:val="18"/>
              </w:rPr>
            </w:pPr>
            <w:r w:rsidRPr="00E70A11">
              <w:rPr>
                <w:rFonts w:ascii="Arial Narrow" w:hAnsi="Arial Narrow"/>
                <w:sz w:val="18"/>
                <w:szCs w:val="18"/>
              </w:rPr>
              <w:t xml:space="preserve">Qld draft environmental values and water quality objectives under the Environmental Protection (Water) Policy (EPP Water). </w:t>
            </w:r>
            <w:hyperlink r:id="rId1151" w:anchor="fitzroy-groundwater" w:history="1">
              <w:r w:rsidRPr="00E70A11">
                <w:rPr>
                  <w:rStyle w:val="Hyperlink"/>
                  <w:rFonts w:ascii="Arial Narrow" w:hAnsi="Arial Narrow"/>
                  <w:sz w:val="18"/>
                  <w:szCs w:val="18"/>
                </w:rPr>
                <w:t>Draft consultation materials</w:t>
              </w:r>
            </w:hyperlink>
            <w:r w:rsidRPr="00E70A11">
              <w:rPr>
                <w:rFonts w:ascii="Arial Narrow" w:hAnsi="Arial Narrow"/>
                <w:sz w:val="18"/>
                <w:szCs w:val="18"/>
              </w:rPr>
              <w:t xml:space="preserve"> (reports, </w:t>
            </w:r>
            <w:hyperlink r:id="rId1152" w:history="1">
              <w:r w:rsidRPr="00E70A11">
                <w:rPr>
                  <w:rStyle w:val="Hyperlink"/>
                  <w:rFonts w:ascii="Arial Narrow" w:hAnsi="Arial Narrow"/>
                  <w:sz w:val="18"/>
                  <w:szCs w:val="18"/>
                </w:rPr>
                <w:t>mapping</w:t>
              </w:r>
            </w:hyperlink>
            <w:r w:rsidRPr="00E70A11">
              <w:rPr>
                <w:rFonts w:ascii="Arial Narrow" w:hAnsi="Arial Narrow"/>
                <w:sz w:val="18"/>
                <w:szCs w:val="18"/>
              </w:rPr>
              <w:t xml:space="preserve">) - Burdekin-Don Haughton; Cape York, </w:t>
            </w:r>
            <w:r w:rsidRPr="00E70A11">
              <w:rPr>
                <w:rFonts w:ascii="Arial Narrow" w:hAnsi="Arial Narrow"/>
                <w:bCs/>
                <w:sz w:val="18"/>
                <w:szCs w:val="18"/>
              </w:rPr>
              <w:t>Fitzroy Capricorn Curtis</w:t>
            </w:r>
            <w:r w:rsidRPr="00E70A11">
              <w:rPr>
                <w:rFonts w:ascii="Arial Narrow" w:hAnsi="Arial Narrow"/>
                <w:sz w:val="18"/>
                <w:szCs w:val="18"/>
              </w:rPr>
              <w:t xml:space="preserve"> coast; </w:t>
            </w:r>
            <w:r w:rsidRPr="00E70A11">
              <w:rPr>
                <w:rFonts w:ascii="Arial Narrow" w:hAnsi="Arial Narrow"/>
                <w:bCs/>
                <w:sz w:val="18"/>
                <w:szCs w:val="18"/>
              </w:rPr>
              <w:t>Fitzroy Basin, Keppel Bay and coastal waters; Wet Tropics coastal and marine waters</w:t>
            </w:r>
            <w:r w:rsidRPr="00E70A11">
              <w:rPr>
                <w:rFonts w:ascii="Arial Narrow" w:hAnsi="Arial Narrow"/>
                <w:sz w:val="18"/>
                <w:szCs w:val="18"/>
              </w:rPr>
              <w:t xml:space="preserve"> - Waters of the Capricorn and Curtis Coast and Wet Tropics were added to other scheduled basins. </w:t>
            </w:r>
          </w:p>
          <w:p w14:paraId="5761FB59" w14:textId="77777777" w:rsidR="00A56EE9" w:rsidRPr="00E70A11" w:rsidRDefault="008B5998" w:rsidP="00A11869">
            <w:pPr>
              <w:pStyle w:val="ListParagraph"/>
              <w:numPr>
                <w:ilvl w:val="0"/>
                <w:numId w:val="24"/>
              </w:numPr>
              <w:ind w:left="720"/>
              <w:rPr>
                <w:rFonts w:ascii="Arial Narrow" w:hAnsi="Arial Narrow"/>
                <w:sz w:val="18"/>
                <w:szCs w:val="18"/>
              </w:rPr>
            </w:pPr>
            <w:hyperlink r:id="rId1153" w:history="1">
              <w:r w:rsidR="00A56EE9" w:rsidRPr="00E70A11">
                <w:rPr>
                  <w:rStyle w:val="Hyperlink"/>
                  <w:rFonts w:ascii="Arial Narrow" w:hAnsi="Arial Narrow"/>
                  <w:sz w:val="18"/>
                  <w:szCs w:val="18"/>
                </w:rPr>
                <w:t>Australia’s Biodiversity Conservation Strategy 2010–2030</w:t>
              </w:r>
            </w:hyperlink>
          </w:p>
          <w:p w14:paraId="5761FB5A" w14:textId="77777777" w:rsidR="00A56EE9" w:rsidRPr="00E70A11" w:rsidRDefault="00A56EE9" w:rsidP="00A11869">
            <w:pPr>
              <w:pStyle w:val="ListParagraph"/>
              <w:numPr>
                <w:ilvl w:val="0"/>
                <w:numId w:val="24"/>
              </w:numPr>
              <w:ind w:left="720"/>
              <w:rPr>
                <w:rStyle w:val="BookTitle"/>
                <w:rFonts w:ascii="Arial Narrow" w:hAnsi="Arial Narrow"/>
                <w:sz w:val="18"/>
                <w:szCs w:val="18"/>
              </w:rPr>
            </w:pPr>
            <w:r w:rsidRPr="00E70A11">
              <w:rPr>
                <w:rFonts w:ascii="Arial Narrow" w:hAnsi="Arial Narrow"/>
                <w:sz w:val="18"/>
                <w:szCs w:val="18"/>
              </w:rPr>
              <w:t>The Queensland Wetlands program established by the Australian and Queensland governments, aims to better protect and manage wetlands throughout the state.</w:t>
            </w:r>
          </w:p>
        </w:tc>
        <w:tc>
          <w:tcPr>
            <w:tcW w:w="4597" w:type="dxa"/>
            <w:tcBorders>
              <w:top w:val="single" w:sz="4" w:space="0" w:color="auto"/>
              <w:left w:val="single" w:sz="4" w:space="0" w:color="auto"/>
              <w:bottom w:val="single" w:sz="4" w:space="0" w:color="auto"/>
              <w:right w:val="single" w:sz="4" w:space="0" w:color="auto"/>
            </w:tcBorders>
          </w:tcPr>
          <w:p w14:paraId="5761FB5B"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154" w:anchor="sch.2" w:history="1">
              <w:r w:rsidR="00A56EE9" w:rsidRPr="00E70A11">
                <w:rPr>
                  <w:rFonts w:ascii="Arial Narrow" w:hAnsi="Arial Narrow"/>
                  <w:sz w:val="18"/>
                  <w:szCs w:val="18"/>
                </w:rPr>
                <w:t>https://www.legislation.qld.gov.au/view/html/inforce/current/sl-2008-0370#sch.2</w:t>
              </w:r>
            </w:hyperlink>
          </w:p>
          <w:p w14:paraId="5761FB5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WQIP</w:t>
            </w:r>
          </w:p>
          <w:p w14:paraId="5761FB5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EPP Water</w:t>
            </w:r>
            <w:r w:rsidRPr="00E70A11">
              <w:rPr>
                <w:rStyle w:val="Hyperlink"/>
                <w:rFonts w:ascii="Arial Narrow" w:hAnsi="Arial Narrow"/>
                <w:sz w:val="18"/>
                <w:szCs w:val="18"/>
              </w:rPr>
              <w:t xml:space="preserve"> </w:t>
            </w:r>
          </w:p>
        </w:tc>
        <w:tc>
          <w:tcPr>
            <w:tcW w:w="963" w:type="dxa"/>
            <w:tcBorders>
              <w:top w:val="single" w:sz="4" w:space="0" w:color="auto"/>
              <w:left w:val="single" w:sz="4" w:space="0" w:color="auto"/>
              <w:bottom w:val="single" w:sz="4" w:space="0" w:color="auto"/>
              <w:right w:val="single" w:sz="4" w:space="0" w:color="auto"/>
            </w:tcBorders>
          </w:tcPr>
          <w:p w14:paraId="5761FB5E"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5F"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69"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shd w:val="clear" w:color="auto" w:fill="FFFFFF"/>
          </w:tcPr>
          <w:p w14:paraId="5761FB61" w14:textId="77777777" w:rsidR="00A56EE9" w:rsidRPr="00E70A11" w:rsidRDefault="00A56EE9" w:rsidP="00BB6AD5">
            <w:pPr>
              <w:pStyle w:val="Tablebulletlist"/>
              <w:rPr>
                <w:rStyle w:val="BookTitle"/>
              </w:rPr>
            </w:pPr>
            <w:r w:rsidRPr="00E70A11">
              <w:rPr>
                <w:rStyle w:val="BookTitle"/>
              </w:rPr>
              <w:t>PL8 There is consistency across jurisdictions when planning for land-based run-off</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761FB62"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shd w:val="clear" w:color="auto" w:fill="FFFFFF"/>
          </w:tcPr>
          <w:p w14:paraId="5761FB6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Reef 2050 Plan was released by the Australian and Queensland governments in March 2015 and is the overarching framework for protecting and managing the Reef until 2050.</w:t>
            </w:r>
          </w:p>
          <w:p w14:paraId="5761FB6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Reef WQIP is implemented by both Queensland and Commonwealth governments</w:t>
            </w:r>
          </w:p>
        </w:tc>
        <w:tc>
          <w:tcPr>
            <w:tcW w:w="4597" w:type="dxa"/>
            <w:tcBorders>
              <w:top w:val="single" w:sz="4" w:space="0" w:color="auto"/>
              <w:left w:val="single" w:sz="4" w:space="0" w:color="auto"/>
              <w:bottom w:val="single" w:sz="4" w:space="0" w:color="auto"/>
              <w:right w:val="single" w:sz="4" w:space="0" w:color="auto"/>
            </w:tcBorders>
            <w:shd w:val="clear" w:color="auto" w:fill="FFFFFF"/>
          </w:tcPr>
          <w:p w14:paraId="5761FB6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6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WQIP </w:t>
            </w:r>
          </w:p>
        </w:tc>
        <w:tc>
          <w:tcPr>
            <w:tcW w:w="963" w:type="dxa"/>
            <w:tcBorders>
              <w:top w:val="single" w:sz="4" w:space="0" w:color="auto"/>
              <w:left w:val="single" w:sz="4" w:space="0" w:color="auto"/>
              <w:bottom w:val="single" w:sz="4" w:space="0" w:color="auto"/>
              <w:right w:val="single" w:sz="4" w:space="0" w:color="auto"/>
            </w:tcBorders>
            <w:shd w:val="clear" w:color="auto" w:fill="FFFFFF"/>
          </w:tcPr>
          <w:p w14:paraId="5761FB67"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761FB6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72"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shd w:val="clear" w:color="auto" w:fill="auto"/>
          </w:tcPr>
          <w:p w14:paraId="5761FB6A"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land-based run-off provide certainty regarding where uses may occur, the type of activities allowed</w:t>
            </w:r>
            <w:r w:rsidRPr="00E70A11">
              <w:rPr>
                <w:lang w:val="en-US"/>
              </w:rPr>
              <w:t xml:space="preserve"> or specifically disallowed</w:t>
            </w:r>
            <w:proofErr w:type="gramStart"/>
            <w:r w:rsidRPr="00E70A11">
              <w:rPr>
                <w:lang w:val="en-US"/>
              </w:rPr>
              <w:t>,</w:t>
            </w:r>
            <w:r w:rsidRPr="00E70A11">
              <w:rPr>
                <w:rStyle w:val="BookTitle"/>
              </w:rPr>
              <w:t>,</w:t>
            </w:r>
            <w:proofErr w:type="gramEnd"/>
            <w:r w:rsidRPr="00E70A11">
              <w:rPr>
                <w:rStyle w:val="BookTitle"/>
              </w:rPr>
              <w:t xml:space="preserve"> conditions under which activities may proceed and circumstances where impacts are likely to be acceptable.</w:t>
            </w:r>
          </w:p>
        </w:tc>
        <w:tc>
          <w:tcPr>
            <w:tcW w:w="643" w:type="dxa"/>
            <w:tcBorders>
              <w:top w:val="single" w:sz="4" w:space="0" w:color="auto"/>
              <w:left w:val="single" w:sz="4" w:space="0" w:color="auto"/>
              <w:bottom w:val="single" w:sz="4" w:space="0" w:color="auto"/>
              <w:right w:val="single" w:sz="4" w:space="0" w:color="auto"/>
            </w:tcBorders>
          </w:tcPr>
          <w:p w14:paraId="5761FB6B" w14:textId="77777777" w:rsidR="00A56EE9" w:rsidRPr="00E70A11" w:rsidRDefault="00A56EE9" w:rsidP="00BB6AD5">
            <w:pPr>
              <w:pStyle w:val="Tablebulletlist"/>
              <w:rPr>
                <w:rStyle w:val="BookTitle"/>
              </w:rPr>
            </w:pPr>
            <w:r w:rsidRPr="00E70A11">
              <w:rPr>
                <w:rStyle w:val="BookTitle"/>
              </w:rPr>
              <w:t>3</w:t>
            </w:r>
          </w:p>
        </w:tc>
        <w:tc>
          <w:tcPr>
            <w:tcW w:w="4957" w:type="dxa"/>
            <w:tcBorders>
              <w:top w:val="single" w:sz="4" w:space="0" w:color="auto"/>
              <w:left w:val="single" w:sz="4" w:space="0" w:color="auto"/>
              <w:bottom w:val="single" w:sz="4" w:space="0" w:color="auto"/>
              <w:right w:val="single" w:sz="4" w:space="0" w:color="auto"/>
            </w:tcBorders>
          </w:tcPr>
          <w:p w14:paraId="5761FB6C" w14:textId="77777777" w:rsidR="00A56EE9" w:rsidRPr="00E70A11" w:rsidRDefault="00A56EE9" w:rsidP="00A11869">
            <w:pPr>
              <w:pStyle w:val="ListParagraph"/>
              <w:numPr>
                <w:ilvl w:val="0"/>
                <w:numId w:val="164"/>
              </w:numPr>
              <w:spacing w:after="0" w:line="240" w:lineRule="auto"/>
              <w:ind w:left="360"/>
              <w:rPr>
                <w:rFonts w:ascii="Arial Narrow" w:hAnsi="Arial Narrow"/>
                <w:sz w:val="18"/>
                <w:szCs w:val="18"/>
              </w:rPr>
            </w:pPr>
            <w:r w:rsidRPr="00E70A11">
              <w:rPr>
                <w:rFonts w:ascii="Arial Narrow" w:hAnsi="Arial Narrow"/>
                <w:sz w:val="18"/>
                <w:szCs w:val="18"/>
              </w:rPr>
              <w:t xml:space="preserve">There is no integrated policy/strategy to provide certainty about what uses may occur along the GBR coast. </w:t>
            </w:r>
          </w:p>
          <w:p w14:paraId="5761FB6D" w14:textId="77777777" w:rsidR="00A56EE9" w:rsidRPr="00E70A11" w:rsidRDefault="00A56EE9" w:rsidP="00A11869">
            <w:pPr>
              <w:pStyle w:val="ListParagraph"/>
              <w:numPr>
                <w:ilvl w:val="0"/>
                <w:numId w:val="164"/>
              </w:numPr>
              <w:spacing w:after="0" w:line="240" w:lineRule="auto"/>
              <w:ind w:left="360"/>
              <w:rPr>
                <w:rFonts w:ascii="Arial Narrow" w:hAnsi="Arial Narrow"/>
                <w:sz w:val="18"/>
                <w:szCs w:val="18"/>
              </w:rPr>
            </w:pPr>
            <w:r w:rsidRPr="00E70A11">
              <w:rPr>
                <w:rFonts w:ascii="Arial Narrow" w:hAnsi="Arial Narrow"/>
                <w:sz w:val="18"/>
                <w:szCs w:val="18"/>
              </w:rPr>
              <w:t>Within the GBRR the Zoning Plan provides some guidance on what activities can occur where – some of these activities have associated water quality aspects to them e.g. structures with an allowance for the discharge of waste with a permit. This is allowed in all zones except Preservation Zones (which are a very small part of the Marine Park).</w:t>
            </w:r>
          </w:p>
          <w:p w14:paraId="5761FB6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Situations where cumulative impacts are likely to be unacceptable are not well managed. For example individual outfalls may be required to report on their discharge quality, but cumulative water quality impacts are not measured. Any overall decrease in water quality (from a number of stressors) is not measured and therefore not incorporated into reactive management where systems and conditions are evaluated and adapted to achieve the best environmental outcomes. However, a Reef Cumulative Impact Management Policy has been drafted and is undergoing public consultation and revision.</w:t>
            </w:r>
            <w:r>
              <w:rPr>
                <w:rFonts w:ascii="Arial Narrow" w:hAnsi="Arial Narrow"/>
                <w:sz w:val="18"/>
                <w:szCs w:val="18"/>
              </w:rPr>
              <w:t xml:space="preserve"> </w:t>
            </w:r>
          </w:p>
        </w:tc>
        <w:tc>
          <w:tcPr>
            <w:tcW w:w="4597" w:type="dxa"/>
            <w:tcBorders>
              <w:top w:val="single" w:sz="4" w:space="0" w:color="auto"/>
              <w:left w:val="single" w:sz="4" w:space="0" w:color="auto"/>
              <w:bottom w:val="single" w:sz="4" w:space="0" w:color="auto"/>
              <w:right w:val="single" w:sz="4" w:space="0" w:color="auto"/>
            </w:tcBorders>
          </w:tcPr>
          <w:p w14:paraId="5761FB6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Zoning Plan</w:t>
            </w:r>
          </w:p>
        </w:tc>
        <w:tc>
          <w:tcPr>
            <w:tcW w:w="963" w:type="dxa"/>
            <w:tcBorders>
              <w:top w:val="single" w:sz="4" w:space="0" w:color="auto"/>
              <w:left w:val="single" w:sz="4" w:space="0" w:color="auto"/>
              <w:bottom w:val="single" w:sz="4" w:space="0" w:color="auto"/>
              <w:right w:val="single" w:sz="4" w:space="0" w:color="auto"/>
            </w:tcBorders>
          </w:tcPr>
          <w:p w14:paraId="5761FB70"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7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79"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73" w14:textId="77777777" w:rsidR="00A56EE9" w:rsidRPr="00E70A11" w:rsidRDefault="00A56EE9" w:rsidP="00BB6AD5">
            <w:pPr>
              <w:pStyle w:val="Tablebulletlist"/>
              <w:rPr>
                <w:rStyle w:val="BookTitle"/>
              </w:rPr>
            </w:pPr>
            <w:r w:rsidRPr="00E70A11">
              <w:rPr>
                <w:rStyle w:val="BookTitle"/>
              </w:rPr>
              <w:t>INPUTS</w:t>
            </w:r>
          </w:p>
        </w:tc>
        <w:tc>
          <w:tcPr>
            <w:tcW w:w="64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74" w14:textId="77777777" w:rsidR="00A56EE9" w:rsidRPr="00E70A11" w:rsidRDefault="00A56EE9" w:rsidP="00BB6AD5">
            <w:pPr>
              <w:pStyle w:val="Tablebulletlist"/>
              <w:rPr>
                <w:rStyle w:val="BookTitle"/>
              </w:rPr>
            </w:pPr>
          </w:p>
        </w:tc>
        <w:tc>
          <w:tcPr>
            <w:tcW w:w="495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75" w14:textId="77777777" w:rsidR="00A56EE9" w:rsidRPr="00E70A11" w:rsidRDefault="00A56EE9" w:rsidP="00BB6AD5">
            <w:pPr>
              <w:rPr>
                <w:rStyle w:val="BookTitle"/>
                <w:rFonts w:ascii="Arial Narrow" w:hAnsi="Arial Narrow"/>
                <w:sz w:val="18"/>
                <w:szCs w:val="18"/>
              </w:rPr>
            </w:pPr>
          </w:p>
        </w:tc>
        <w:tc>
          <w:tcPr>
            <w:tcW w:w="459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76" w14:textId="77777777" w:rsidR="00A56EE9" w:rsidRPr="00E70A11" w:rsidRDefault="00A56EE9" w:rsidP="00BB6AD5">
            <w:pPr>
              <w:rPr>
                <w:rStyle w:val="BookTitle"/>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77" w14:textId="77777777" w:rsidR="00A56EE9" w:rsidRPr="00E70A11" w:rsidRDefault="00A56EE9" w:rsidP="00BB6AD5">
            <w:pPr>
              <w:pStyle w:val="Tablebulletlist"/>
              <w:rPr>
                <w:rStyle w:val="BookTitle"/>
              </w:rPr>
            </w:pPr>
          </w:p>
        </w:tc>
        <w:tc>
          <w:tcPr>
            <w:tcW w:w="100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78" w14:textId="77777777" w:rsidR="00A56EE9" w:rsidRPr="00E70A11" w:rsidRDefault="00A56EE9" w:rsidP="00BB6AD5">
            <w:pPr>
              <w:pStyle w:val="Tablebulletlist"/>
              <w:rPr>
                <w:rStyle w:val="BookTitle"/>
              </w:rPr>
            </w:pPr>
          </w:p>
        </w:tc>
      </w:tr>
      <w:tr w:rsidR="00A56EE9" w:rsidRPr="00E70A11" w14:paraId="5761FB82"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7A"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land-based run-off </w:t>
            </w:r>
          </w:p>
        </w:tc>
        <w:tc>
          <w:tcPr>
            <w:tcW w:w="643" w:type="dxa"/>
            <w:tcBorders>
              <w:top w:val="single" w:sz="4" w:space="0" w:color="auto"/>
              <w:left w:val="single" w:sz="4" w:space="0" w:color="auto"/>
              <w:bottom w:val="single" w:sz="4" w:space="0" w:color="auto"/>
              <w:right w:val="single" w:sz="4" w:space="0" w:color="auto"/>
            </w:tcBorders>
          </w:tcPr>
          <w:p w14:paraId="5761FB7B"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7C"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 development of the Reef 2050 Plan Investment framework was developed to encourage investment to be spent on priorities, and to provide a baseline of funding commitments from 2015. </w:t>
            </w:r>
          </w:p>
          <w:p w14:paraId="5761FB7D" w14:textId="53CC9FC6" w:rsidR="00A56EE9" w:rsidRPr="00B268CD"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There is an identified funding shortfall to deliver the Reef 2050 Plan</w:t>
            </w:r>
            <w:r>
              <w:rPr>
                <w:rFonts w:ascii="Arial Narrow" w:hAnsi="Arial Narrow"/>
                <w:sz w:val="18"/>
                <w:szCs w:val="18"/>
              </w:rPr>
              <w:t>.</w:t>
            </w:r>
            <w:r w:rsidR="00242993">
              <w:rPr>
                <w:rFonts w:ascii="Arial Narrow" w:hAnsi="Arial Narrow"/>
                <w:sz w:val="18"/>
                <w:szCs w:val="18"/>
              </w:rPr>
              <w:t xml:space="preserve"> </w:t>
            </w:r>
            <w:r>
              <w:rPr>
                <w:rFonts w:ascii="Arial Narrow" w:hAnsi="Arial Narrow"/>
                <w:sz w:val="18"/>
                <w:szCs w:val="18"/>
              </w:rPr>
              <w:t xml:space="preserve">However, </w:t>
            </w:r>
            <w:r w:rsidR="00F36D0B">
              <w:rPr>
                <w:rFonts w:ascii="Arial Narrow" w:hAnsi="Arial Narrow"/>
                <w:sz w:val="18"/>
                <w:szCs w:val="18"/>
              </w:rPr>
              <w:t>significant</w:t>
            </w:r>
            <w:r>
              <w:rPr>
                <w:rFonts w:ascii="Arial Narrow" w:hAnsi="Arial Narrow"/>
                <w:sz w:val="18"/>
                <w:szCs w:val="18"/>
              </w:rPr>
              <w:t xml:space="preserve"> investment from both the Australian and Queensland Governments has been provided in p</w:t>
            </w:r>
            <w:r w:rsidR="00F36D0B">
              <w:rPr>
                <w:rFonts w:ascii="Arial Narrow" w:hAnsi="Arial Narrow"/>
                <w:sz w:val="18"/>
                <w:szCs w:val="18"/>
              </w:rPr>
              <w:t>a</w:t>
            </w:r>
            <w:r>
              <w:rPr>
                <w:rFonts w:ascii="Arial Narrow" w:hAnsi="Arial Narrow"/>
                <w:sz w:val="18"/>
                <w:szCs w:val="18"/>
              </w:rPr>
              <w:t>st 12 months.</w:t>
            </w:r>
          </w:p>
        </w:tc>
        <w:tc>
          <w:tcPr>
            <w:tcW w:w="4597" w:type="dxa"/>
            <w:tcBorders>
              <w:top w:val="single" w:sz="4" w:space="0" w:color="auto"/>
              <w:left w:val="single" w:sz="4" w:space="0" w:color="auto"/>
              <w:bottom w:val="single" w:sz="4" w:space="0" w:color="auto"/>
              <w:right w:val="single" w:sz="4" w:space="0" w:color="auto"/>
            </w:tcBorders>
          </w:tcPr>
          <w:p w14:paraId="5761FB7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7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Investment strategy</w:t>
            </w:r>
          </w:p>
        </w:tc>
        <w:tc>
          <w:tcPr>
            <w:tcW w:w="963" w:type="dxa"/>
            <w:tcBorders>
              <w:top w:val="single" w:sz="4" w:space="0" w:color="auto"/>
              <w:left w:val="single" w:sz="4" w:space="0" w:color="auto"/>
              <w:bottom w:val="single" w:sz="4" w:space="0" w:color="auto"/>
              <w:right w:val="single" w:sz="4" w:space="0" w:color="auto"/>
            </w:tcBorders>
          </w:tcPr>
          <w:p w14:paraId="5761FB80"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8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8A"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83"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land-based run-off </w:t>
            </w:r>
          </w:p>
        </w:tc>
        <w:tc>
          <w:tcPr>
            <w:tcW w:w="643" w:type="dxa"/>
            <w:tcBorders>
              <w:top w:val="single" w:sz="4" w:space="0" w:color="auto"/>
              <w:left w:val="single" w:sz="4" w:space="0" w:color="auto"/>
              <w:bottom w:val="single" w:sz="4" w:space="0" w:color="auto"/>
              <w:right w:val="single" w:sz="4" w:space="0" w:color="auto"/>
            </w:tcBorders>
          </w:tcPr>
          <w:p w14:paraId="5761FB84"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85"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Human resources have increased across Government supporting Reef WQIP and the Reef 2050 Plan through the Secretariat at Office of the Great Barrier Reef, Great Barrier Reef Marine Park Authority and Department of Energy and Environment.</w:t>
            </w:r>
          </w:p>
        </w:tc>
        <w:tc>
          <w:tcPr>
            <w:tcW w:w="4597" w:type="dxa"/>
            <w:tcBorders>
              <w:top w:val="single" w:sz="4" w:space="0" w:color="auto"/>
              <w:left w:val="single" w:sz="4" w:space="0" w:color="auto"/>
              <w:bottom w:val="single" w:sz="4" w:space="0" w:color="auto"/>
              <w:right w:val="single" w:sz="4" w:space="0" w:color="auto"/>
            </w:tcBorders>
          </w:tcPr>
          <w:p w14:paraId="5761FB8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8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Investment strategy</w:t>
            </w:r>
          </w:p>
        </w:tc>
        <w:tc>
          <w:tcPr>
            <w:tcW w:w="963" w:type="dxa"/>
            <w:tcBorders>
              <w:top w:val="single" w:sz="4" w:space="0" w:color="auto"/>
              <w:left w:val="single" w:sz="4" w:space="0" w:color="auto"/>
              <w:bottom w:val="single" w:sz="4" w:space="0" w:color="auto"/>
              <w:right w:val="single" w:sz="4" w:space="0" w:color="auto"/>
            </w:tcBorders>
          </w:tcPr>
          <w:p w14:paraId="5761FB88"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8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94"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8B"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land-based run-off</w:t>
            </w:r>
          </w:p>
        </w:tc>
        <w:tc>
          <w:tcPr>
            <w:tcW w:w="643" w:type="dxa"/>
            <w:tcBorders>
              <w:top w:val="single" w:sz="4" w:space="0" w:color="auto"/>
              <w:left w:val="single" w:sz="4" w:space="0" w:color="auto"/>
              <w:bottom w:val="single" w:sz="4" w:space="0" w:color="auto"/>
              <w:right w:val="single" w:sz="4" w:space="0" w:color="auto"/>
            </w:tcBorders>
          </w:tcPr>
          <w:p w14:paraId="5761FB8C"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8D"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Across the Reef WQIP program and Reef 2050 Plan there are high levels of in-house skills in land-based run-off, with low staff turnover. </w:t>
            </w:r>
          </w:p>
          <w:p w14:paraId="5761FB8E"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Relevant expertise and skills is also outsourced through consultation with Industry and/or other Government and research agencies.</w:t>
            </w:r>
          </w:p>
          <w:p w14:paraId="5761FB8F" w14:textId="77777777" w:rsidR="00A56EE9" w:rsidRPr="00E70A11" w:rsidRDefault="00A56EE9" w:rsidP="00A11869">
            <w:pPr>
              <w:pStyle w:val="ListParagraph"/>
              <w:numPr>
                <w:ilvl w:val="0"/>
                <w:numId w:val="24"/>
              </w:numPr>
              <w:rPr>
                <w:rStyle w:val="BookTitle"/>
                <w:rFonts w:ascii="Arial Narrow" w:hAnsi="Arial Narrow"/>
                <w:sz w:val="18"/>
                <w:szCs w:val="18"/>
                <w:lang w:val="en-GB"/>
              </w:rPr>
            </w:pPr>
            <w:r w:rsidRPr="00E70A11">
              <w:rPr>
                <w:rFonts w:ascii="Arial Narrow" w:hAnsi="Arial Narrow"/>
                <w:sz w:val="18"/>
                <w:szCs w:val="18"/>
              </w:rPr>
              <w:t>Advice on water quality management</w:t>
            </w:r>
            <w:r>
              <w:rPr>
                <w:rFonts w:ascii="Arial Narrow" w:hAnsi="Arial Narrow"/>
                <w:sz w:val="18"/>
                <w:szCs w:val="18"/>
              </w:rPr>
              <w:t xml:space="preserve"> </w:t>
            </w:r>
            <w:r w:rsidRPr="00E70A11">
              <w:rPr>
                <w:rFonts w:ascii="Arial Narrow" w:hAnsi="Arial Narrow"/>
                <w:sz w:val="18"/>
                <w:szCs w:val="18"/>
              </w:rPr>
              <w:t>is also sought from</w:t>
            </w:r>
            <w:r>
              <w:rPr>
                <w:rFonts w:ascii="Arial Narrow" w:hAnsi="Arial Narrow"/>
                <w:sz w:val="18"/>
                <w:szCs w:val="18"/>
              </w:rPr>
              <w:t xml:space="preserve"> </w:t>
            </w:r>
            <w:r w:rsidRPr="00E70A11">
              <w:rPr>
                <w:rFonts w:ascii="Arial Narrow" w:hAnsi="Arial Narrow"/>
                <w:sz w:val="18"/>
                <w:szCs w:val="18"/>
              </w:rPr>
              <w:t xml:space="preserve">advisory groups to government, including IEP, Reef WQIP ISP, sediment working group, NUE working group, pesticide working group, human dimensions working group, </w:t>
            </w:r>
            <w:r w:rsidRPr="00E70A11">
              <w:rPr>
                <w:rFonts w:ascii="Arial Narrow" w:hAnsi="Arial Narrow"/>
                <w:sz w:val="18"/>
                <w:szCs w:val="18"/>
                <w:lang w:val="en-GB"/>
              </w:rPr>
              <w:t>Paddock to Reef Coordination &amp; Advisory Group, Regional Technical Working Group</w:t>
            </w:r>
          </w:p>
        </w:tc>
        <w:tc>
          <w:tcPr>
            <w:tcW w:w="4597" w:type="dxa"/>
            <w:tcBorders>
              <w:top w:val="single" w:sz="4" w:space="0" w:color="auto"/>
              <w:left w:val="single" w:sz="4" w:space="0" w:color="auto"/>
              <w:bottom w:val="single" w:sz="4" w:space="0" w:color="auto"/>
              <w:right w:val="single" w:sz="4" w:space="0" w:color="auto"/>
            </w:tcBorders>
          </w:tcPr>
          <w:p w14:paraId="5761FB90"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Evidence from GBRMPA and Office of the GBR</w:t>
            </w:r>
          </w:p>
          <w:p w14:paraId="5761FB9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Pr>
                <w:rStyle w:val="BookTitle"/>
                <w:rFonts w:ascii="Arial Narrow" w:hAnsi="Arial Narrow"/>
                <w:sz w:val="18"/>
                <w:szCs w:val="18"/>
              </w:rPr>
              <w:t>Governance program</w:t>
            </w:r>
          </w:p>
        </w:tc>
        <w:tc>
          <w:tcPr>
            <w:tcW w:w="963" w:type="dxa"/>
            <w:tcBorders>
              <w:top w:val="single" w:sz="4" w:space="0" w:color="auto"/>
              <w:left w:val="single" w:sz="4" w:space="0" w:color="auto"/>
              <w:bottom w:val="single" w:sz="4" w:space="0" w:color="auto"/>
              <w:right w:val="single" w:sz="4" w:space="0" w:color="auto"/>
            </w:tcBorders>
          </w:tcPr>
          <w:p w14:paraId="5761FB92" w14:textId="77777777" w:rsidR="00A56EE9" w:rsidRPr="00E70A11" w:rsidRDefault="00A56EE9" w:rsidP="00BB6AD5">
            <w:pPr>
              <w:pStyle w:val="Tablebulletlist"/>
              <w:rPr>
                <w:rStyle w:val="BookTitle"/>
              </w:rPr>
            </w:pPr>
            <w:r w:rsidRPr="00E70A11">
              <w:rPr>
                <w:rStyle w:val="BookTitle"/>
              </w:rPr>
              <w:t>Limited</w:t>
            </w:r>
          </w:p>
        </w:tc>
        <w:tc>
          <w:tcPr>
            <w:tcW w:w="1003" w:type="dxa"/>
            <w:tcBorders>
              <w:top w:val="single" w:sz="4" w:space="0" w:color="auto"/>
              <w:left w:val="single" w:sz="4" w:space="0" w:color="auto"/>
              <w:bottom w:val="single" w:sz="4" w:space="0" w:color="auto"/>
              <w:right w:val="single" w:sz="4" w:space="0" w:color="auto"/>
            </w:tcBorders>
          </w:tcPr>
          <w:p w14:paraId="5761FB9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B9F"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95"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land-based run-off</w:t>
            </w:r>
          </w:p>
        </w:tc>
        <w:tc>
          <w:tcPr>
            <w:tcW w:w="643" w:type="dxa"/>
            <w:tcBorders>
              <w:top w:val="single" w:sz="4" w:space="0" w:color="auto"/>
              <w:left w:val="single" w:sz="4" w:space="0" w:color="auto"/>
              <w:bottom w:val="single" w:sz="4" w:space="0" w:color="auto"/>
              <w:right w:val="single" w:sz="4" w:space="0" w:color="auto"/>
            </w:tcBorders>
          </w:tcPr>
          <w:p w14:paraId="5761FB96"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97"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Scientific Consensus Statement for the GBR provides a review of significant advances in scientific knowledge of water quality issues in the GBR. They also describe a number of improvements and recommendations to further our understanding e.g. there is still appreciable uncertainty in our knowledge of the responses of coastal and marine ecosystems to the cumulative impacts of multiple pressures.</w:t>
            </w:r>
          </w:p>
          <w:p w14:paraId="5761FB98"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Through Paddock to Reef Integrated Monitoring, Modelling and Reporting Program scenarios of management practice improvement impacts on pollutant loads can be made and these load reductions can be modelled for marine WQ and ecosystem health impacts through eReefs/WQ guidelines.</w:t>
            </w:r>
          </w:p>
        </w:tc>
        <w:tc>
          <w:tcPr>
            <w:tcW w:w="4597" w:type="dxa"/>
            <w:tcBorders>
              <w:top w:val="single" w:sz="4" w:space="0" w:color="auto"/>
              <w:left w:val="single" w:sz="4" w:space="0" w:color="auto"/>
              <w:bottom w:val="single" w:sz="4" w:space="0" w:color="auto"/>
              <w:right w:val="single" w:sz="4" w:space="0" w:color="auto"/>
            </w:tcBorders>
          </w:tcPr>
          <w:p w14:paraId="5761FB9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Scientific Consensus Statement</w:t>
            </w:r>
          </w:p>
          <w:p w14:paraId="5761FB9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Paddock to Reef Integrated Monitoring, Modelling and Reporting Program </w:t>
            </w:r>
          </w:p>
          <w:p w14:paraId="5761FB9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9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WQIP</w:t>
            </w:r>
          </w:p>
        </w:tc>
        <w:tc>
          <w:tcPr>
            <w:tcW w:w="963" w:type="dxa"/>
            <w:tcBorders>
              <w:top w:val="single" w:sz="4" w:space="0" w:color="auto"/>
              <w:left w:val="single" w:sz="4" w:space="0" w:color="auto"/>
              <w:bottom w:val="single" w:sz="4" w:space="0" w:color="auto"/>
              <w:right w:val="single" w:sz="4" w:space="0" w:color="auto"/>
            </w:tcBorders>
          </w:tcPr>
          <w:p w14:paraId="5761FB9D"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9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B4"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A0"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land-based run-off</w:t>
            </w:r>
          </w:p>
        </w:tc>
        <w:tc>
          <w:tcPr>
            <w:tcW w:w="643" w:type="dxa"/>
            <w:tcBorders>
              <w:top w:val="single" w:sz="4" w:space="0" w:color="auto"/>
              <w:left w:val="single" w:sz="4" w:space="0" w:color="auto"/>
              <w:bottom w:val="single" w:sz="4" w:space="0" w:color="auto"/>
              <w:right w:val="single" w:sz="4" w:space="0" w:color="auto"/>
            </w:tcBorders>
          </w:tcPr>
          <w:p w14:paraId="5761FBA1" w14:textId="77777777" w:rsidR="00A56EE9" w:rsidRPr="00E70A11" w:rsidRDefault="00A56EE9" w:rsidP="00BB6AD5">
            <w:pPr>
              <w:pStyle w:val="Tablebulletlist"/>
              <w:rPr>
                <w:rStyle w:val="BookTitle"/>
              </w:rPr>
            </w:pPr>
            <w:r w:rsidRPr="00E70A11">
              <w:rPr>
                <w:rStyle w:val="BookTitle"/>
              </w:rPr>
              <w:t>3</w:t>
            </w:r>
          </w:p>
        </w:tc>
        <w:tc>
          <w:tcPr>
            <w:tcW w:w="4957" w:type="dxa"/>
            <w:tcBorders>
              <w:top w:val="single" w:sz="4" w:space="0" w:color="auto"/>
              <w:left w:val="single" w:sz="4" w:space="0" w:color="auto"/>
              <w:bottom w:val="single" w:sz="4" w:space="0" w:color="auto"/>
              <w:right w:val="single" w:sz="4" w:space="0" w:color="auto"/>
            </w:tcBorders>
          </w:tcPr>
          <w:p w14:paraId="5761FBA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Available social and economic information is available through Scientific Consensus Statement 2017</w:t>
            </w:r>
          </w:p>
          <w:p w14:paraId="5761FBA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Socio and economic research is being brought into the RIMREP Human Dimensions expert working group to inform the RIMREP Program design.</w:t>
            </w:r>
          </w:p>
          <w:p w14:paraId="5761FBA4"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155" w:history="1">
              <w:r w:rsidR="00A56EE9" w:rsidRPr="00E70A11">
                <w:rPr>
                  <w:rStyle w:val="Hyperlink"/>
                  <w:rFonts w:ascii="Arial Narrow" w:hAnsi="Arial Narrow"/>
                  <w:sz w:val="18"/>
                  <w:szCs w:val="18"/>
                </w:rPr>
                <w:t>The economic and social impacts of protecting the environmental values of the waters of the Capricorn and Curtis Coasts</w:t>
              </w:r>
            </w:hyperlink>
            <w:r w:rsidR="00A56EE9" w:rsidRPr="00E70A11">
              <w:rPr>
                <w:rFonts w:ascii="Arial Narrow" w:hAnsi="Arial Narrow"/>
                <w:sz w:val="18"/>
                <w:szCs w:val="18"/>
              </w:rPr>
              <w:t xml:space="preserve"> (Oct 2014) DEHP, Qld. </w:t>
            </w:r>
          </w:p>
          <w:p w14:paraId="5761FBA5"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NESP funds socioeconomic and behavioural change research</w:t>
            </w:r>
          </w:p>
          <w:p w14:paraId="5761FBA6"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Socioeconomic expertise</w:t>
            </w:r>
            <w:r>
              <w:rPr>
                <w:rFonts w:ascii="Arial Narrow" w:hAnsi="Arial Narrow"/>
                <w:sz w:val="18"/>
                <w:szCs w:val="18"/>
              </w:rPr>
              <w:t xml:space="preserve"> </w:t>
            </w:r>
            <w:r w:rsidRPr="00E70A11">
              <w:rPr>
                <w:rFonts w:ascii="Arial Narrow" w:hAnsi="Arial Narrow"/>
                <w:sz w:val="18"/>
                <w:szCs w:val="18"/>
              </w:rPr>
              <w:t>is on</w:t>
            </w:r>
            <w:r>
              <w:rPr>
                <w:rFonts w:ascii="Arial Narrow" w:hAnsi="Arial Narrow"/>
                <w:sz w:val="18"/>
                <w:szCs w:val="18"/>
              </w:rPr>
              <w:t xml:space="preserve"> </w:t>
            </w:r>
            <w:r w:rsidRPr="00E70A11">
              <w:rPr>
                <w:rFonts w:ascii="Arial Narrow" w:hAnsi="Arial Narrow"/>
                <w:sz w:val="18"/>
                <w:szCs w:val="18"/>
              </w:rPr>
              <w:t>the Independent Expert Panel</w:t>
            </w:r>
          </w:p>
          <w:p w14:paraId="5761FBA7"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 xml:space="preserve">SELTMP 2018 survey includes new questions of community perceptions of water quality and inshore environments. </w:t>
            </w:r>
          </w:p>
          <w:p w14:paraId="5761FBA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Land-based stewardship monitoring and reporting is occurring under the Paddock to Reef Integrated Monitoring, Modelling and Reporting Program</w:t>
            </w:r>
            <w:r>
              <w:rPr>
                <w:rFonts w:ascii="Arial Narrow" w:hAnsi="Arial Narrow"/>
                <w:sz w:val="18"/>
                <w:szCs w:val="18"/>
              </w:rPr>
              <w:t xml:space="preserve"> and Regional Partnerships for Regional Report Cards</w:t>
            </w:r>
          </w:p>
          <w:p w14:paraId="5761FBA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Reef WQIP now incorporates</w:t>
            </w:r>
            <w:r>
              <w:rPr>
                <w:rFonts w:ascii="Arial Narrow" w:hAnsi="Arial Narrow"/>
                <w:sz w:val="18"/>
                <w:szCs w:val="18"/>
              </w:rPr>
              <w:t xml:space="preserve"> human dimensions target,</w:t>
            </w:r>
            <w:r w:rsidRPr="00E70A11">
              <w:rPr>
                <w:rFonts w:ascii="Arial Narrow" w:hAnsi="Arial Narrow"/>
                <w:sz w:val="18"/>
                <w:szCs w:val="18"/>
              </w:rPr>
              <w:t xml:space="preserve"> social cultural and economic values.</w:t>
            </w:r>
          </w:p>
        </w:tc>
        <w:tc>
          <w:tcPr>
            <w:tcW w:w="4597" w:type="dxa"/>
            <w:tcBorders>
              <w:top w:val="single" w:sz="4" w:space="0" w:color="auto"/>
              <w:left w:val="single" w:sz="4" w:space="0" w:color="auto"/>
              <w:bottom w:val="single" w:sz="4" w:space="0" w:color="auto"/>
              <w:right w:val="single" w:sz="4" w:space="0" w:color="auto"/>
            </w:tcBorders>
          </w:tcPr>
          <w:p w14:paraId="5761FBAA" w14:textId="77777777" w:rsidR="00A56EE9" w:rsidRPr="00E70A11" w:rsidRDefault="008B5998" w:rsidP="00A11869">
            <w:pPr>
              <w:pStyle w:val="ListParagraph"/>
              <w:numPr>
                <w:ilvl w:val="0"/>
                <w:numId w:val="24"/>
              </w:numPr>
              <w:rPr>
                <w:rFonts w:ascii="Arial Narrow" w:hAnsi="Arial Narrow"/>
                <w:sz w:val="18"/>
                <w:szCs w:val="18"/>
                <w:lang w:val="en"/>
              </w:rPr>
            </w:pPr>
            <w:hyperlink r:id="rId1156" w:history="1">
              <w:r w:rsidR="00A56EE9" w:rsidRPr="00E70A11">
                <w:rPr>
                  <w:rStyle w:val="Hyperlink"/>
                  <w:rFonts w:ascii="Arial Narrow" w:hAnsi="Arial Narrow"/>
                  <w:sz w:val="18"/>
                  <w:szCs w:val="18"/>
                  <w:lang w:val="en"/>
                </w:rPr>
                <w:t>Deloitte Access Economics Report</w:t>
              </w:r>
            </w:hyperlink>
            <w:r w:rsidR="00A56EE9" w:rsidRPr="00E70A11">
              <w:rPr>
                <w:rFonts w:ascii="Arial Narrow" w:hAnsi="Arial Narrow"/>
                <w:sz w:val="18"/>
                <w:szCs w:val="18"/>
                <w:lang w:val="en"/>
              </w:rPr>
              <w:t xml:space="preserve"> 2017 – At what price? The economic, social and icon value of the Great Barrier Reef</w:t>
            </w:r>
          </w:p>
          <w:p w14:paraId="5761FBAB" w14:textId="77777777" w:rsidR="00A56EE9" w:rsidRPr="00E70A11" w:rsidRDefault="00A56EE9" w:rsidP="00A11869">
            <w:pPr>
              <w:pStyle w:val="ListParagraph"/>
              <w:numPr>
                <w:ilvl w:val="0"/>
                <w:numId w:val="24"/>
              </w:numPr>
              <w:rPr>
                <w:rFonts w:ascii="Arial Narrow" w:hAnsi="Arial Narrow"/>
                <w:sz w:val="18"/>
                <w:szCs w:val="18"/>
                <w:lang w:val="en"/>
              </w:rPr>
            </w:pPr>
            <w:r w:rsidRPr="00E70A11">
              <w:rPr>
                <w:rFonts w:ascii="Arial Narrow" w:hAnsi="Arial Narrow"/>
                <w:sz w:val="18"/>
                <w:szCs w:val="18"/>
                <w:lang w:val="en"/>
              </w:rPr>
              <w:t xml:space="preserve">Deloitte Access Economics Report </w:t>
            </w:r>
            <w:hyperlink r:id="rId1157" w:tooltip="Economic contribution of the Great Barrier Reef March 2013" w:history="1">
              <w:r w:rsidRPr="00E70A11">
                <w:rPr>
                  <w:rStyle w:val="Hyperlink"/>
                  <w:rFonts w:ascii="Arial Narrow" w:hAnsi="Arial Narrow"/>
                  <w:sz w:val="18"/>
                  <w:szCs w:val="18"/>
                  <w:lang w:val="en"/>
                </w:rPr>
                <w:t>Economic contribution of the Great Barrier Reef</w:t>
              </w:r>
            </w:hyperlink>
          </w:p>
          <w:p w14:paraId="5761FBAC" w14:textId="77777777" w:rsidR="00A56EE9" w:rsidRPr="00E70A11" w:rsidRDefault="008B5998" w:rsidP="00A11869">
            <w:pPr>
              <w:pStyle w:val="ListParagraph"/>
              <w:numPr>
                <w:ilvl w:val="0"/>
                <w:numId w:val="24"/>
              </w:numPr>
              <w:rPr>
                <w:rFonts w:ascii="Arial Narrow" w:hAnsi="Arial Narrow"/>
                <w:sz w:val="18"/>
                <w:szCs w:val="18"/>
              </w:rPr>
            </w:pPr>
            <w:hyperlink r:id="rId1158" w:history="1">
              <w:r w:rsidR="00A56EE9" w:rsidRPr="00E70A11">
                <w:rPr>
                  <w:rStyle w:val="Hyperlink"/>
                  <w:rFonts w:ascii="Arial Narrow" w:hAnsi="Arial Narrow"/>
                  <w:sz w:val="18"/>
                  <w:szCs w:val="18"/>
                </w:rPr>
                <w:t>Experimental Environmental-Economic Accounts for the Great Barrier Reef, 2017</w:t>
              </w:r>
            </w:hyperlink>
          </w:p>
          <w:p w14:paraId="5761FBAD" w14:textId="77777777" w:rsidR="00A56EE9" w:rsidRPr="00E70A11" w:rsidRDefault="008B5998" w:rsidP="00A11869">
            <w:pPr>
              <w:pStyle w:val="ListParagraph"/>
              <w:numPr>
                <w:ilvl w:val="0"/>
                <w:numId w:val="24"/>
              </w:numPr>
              <w:rPr>
                <w:rFonts w:ascii="Arial Narrow" w:hAnsi="Arial Narrow"/>
                <w:sz w:val="18"/>
                <w:szCs w:val="18"/>
                <w:u w:val="single"/>
              </w:rPr>
            </w:pPr>
            <w:hyperlink r:id="rId1159" w:history="1">
              <w:r w:rsidR="00A56EE9" w:rsidRPr="00E70A11">
                <w:rPr>
                  <w:rStyle w:val="Hyperlink"/>
                  <w:rFonts w:ascii="Arial Narrow" w:hAnsi="Arial Narrow"/>
                  <w:sz w:val="18"/>
                  <w:szCs w:val="18"/>
                </w:rPr>
                <w:t>Reef 2050 Integrated Monitoring and Reporting Program</w:t>
              </w:r>
            </w:hyperlink>
          </w:p>
          <w:p w14:paraId="5761FBAE"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Marsden Jacob Associates 2014</w:t>
            </w:r>
            <w:hyperlink r:id="rId1160" w:history="1">
              <w:r w:rsidRPr="00E70A11">
                <w:rPr>
                  <w:rStyle w:val="Hyperlink"/>
                  <w:rFonts w:ascii="Arial Narrow" w:hAnsi="Arial Narrow"/>
                  <w:sz w:val="18"/>
                  <w:szCs w:val="18"/>
                </w:rPr>
                <w:t xml:space="preserve"> The economic and social impacts of protecting the environmental values of the water of the Capricorn and Curtis Coasts.</w:t>
              </w:r>
            </w:hyperlink>
          </w:p>
          <w:p w14:paraId="5761FBAF"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Reef Scientific Consensus Statement</w:t>
            </w:r>
          </w:p>
          <w:p w14:paraId="5761FBB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Regional Water Quality Improvement Plans</w:t>
            </w:r>
          </w:p>
          <w:p w14:paraId="5761FBB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 xml:space="preserve">Human Dimensions Working Group </w:t>
            </w:r>
          </w:p>
        </w:tc>
        <w:tc>
          <w:tcPr>
            <w:tcW w:w="963" w:type="dxa"/>
            <w:tcBorders>
              <w:top w:val="single" w:sz="4" w:space="0" w:color="auto"/>
              <w:left w:val="single" w:sz="4" w:space="0" w:color="auto"/>
              <w:bottom w:val="single" w:sz="4" w:space="0" w:color="auto"/>
              <w:right w:val="single" w:sz="4" w:space="0" w:color="auto"/>
            </w:tcBorders>
          </w:tcPr>
          <w:p w14:paraId="5761FBB2"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B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BD"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B5"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land-based run-off</w:t>
            </w:r>
          </w:p>
        </w:tc>
        <w:tc>
          <w:tcPr>
            <w:tcW w:w="643" w:type="dxa"/>
            <w:tcBorders>
              <w:top w:val="single" w:sz="4" w:space="0" w:color="auto"/>
              <w:left w:val="single" w:sz="4" w:space="0" w:color="auto"/>
              <w:bottom w:val="single" w:sz="4" w:space="0" w:color="auto"/>
              <w:right w:val="single" w:sz="4" w:space="0" w:color="auto"/>
            </w:tcBorders>
          </w:tcPr>
          <w:p w14:paraId="5761FBB6" w14:textId="77777777" w:rsidR="00A56EE9" w:rsidRPr="00E70A11" w:rsidRDefault="00A56EE9" w:rsidP="00BB6AD5">
            <w:pPr>
              <w:pStyle w:val="Tablebulletlist"/>
              <w:rPr>
                <w:rStyle w:val="BookTitle"/>
              </w:rPr>
            </w:pPr>
            <w:r w:rsidRPr="00E70A11">
              <w:rPr>
                <w:rStyle w:val="BookTitle"/>
              </w:rPr>
              <w:t>3</w:t>
            </w:r>
          </w:p>
        </w:tc>
        <w:tc>
          <w:tcPr>
            <w:tcW w:w="4957" w:type="dxa"/>
            <w:tcBorders>
              <w:top w:val="single" w:sz="4" w:space="0" w:color="auto"/>
              <w:left w:val="single" w:sz="4" w:space="0" w:color="auto"/>
              <w:bottom w:val="single" w:sz="4" w:space="0" w:color="auto"/>
              <w:right w:val="single" w:sz="4" w:space="0" w:color="auto"/>
            </w:tcBorders>
          </w:tcPr>
          <w:p w14:paraId="5761FBB7" w14:textId="77777777" w:rsidR="00A56EE9" w:rsidRPr="00E70A11" w:rsidRDefault="00A56EE9" w:rsidP="00A11869">
            <w:pPr>
              <w:pStyle w:val="ListParagraph"/>
              <w:numPr>
                <w:ilvl w:val="0"/>
                <w:numId w:val="24"/>
              </w:numPr>
              <w:rPr>
                <w:rFonts w:ascii="Arial Narrow" w:hAnsi="Arial Narrow"/>
                <w:sz w:val="18"/>
                <w:szCs w:val="18"/>
                <w:u w:val="single"/>
              </w:rPr>
            </w:pPr>
            <w:r w:rsidRPr="00E70A11">
              <w:rPr>
                <w:rFonts w:ascii="Arial Narrow" w:hAnsi="Arial Narrow"/>
                <w:sz w:val="18"/>
                <w:szCs w:val="18"/>
              </w:rPr>
              <w:t>Woppaburra has been working with the Environmental Assessment and Permitting (EAP) Section of GBRMPA to develop ways of increasing Traditional Owner input into permitting decisions, and to prevent impacts to traditional use and heritage values (Before applications are accepted and assessed).</w:t>
            </w:r>
          </w:p>
          <w:p w14:paraId="5761FBB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Following an approach to market in 2016, GBRMPA has engaged consultants to develop a Cultural Protocol and Data Sharing Agreement templates to develop best practice protocols for managing cultural information and legally binding Data Sharing Agreements for use with Traditional Owner groups to share information as necessary. This is scheduled to be completed May 2018 and is part of the Reef 2050 Plan. Outputs from this project will allow managers to work with Traditional Owners in a culturally appropriate way to address IN6.</w:t>
            </w:r>
          </w:p>
        </w:tc>
        <w:tc>
          <w:tcPr>
            <w:tcW w:w="4597" w:type="dxa"/>
            <w:tcBorders>
              <w:top w:val="single" w:sz="4" w:space="0" w:color="auto"/>
              <w:left w:val="single" w:sz="4" w:space="0" w:color="auto"/>
              <w:bottom w:val="single" w:sz="4" w:space="0" w:color="auto"/>
              <w:right w:val="single" w:sz="4" w:space="0" w:color="auto"/>
            </w:tcBorders>
          </w:tcPr>
          <w:p w14:paraId="5761FBB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BA" w14:textId="77777777" w:rsidR="00A56EE9" w:rsidRPr="00E70A11" w:rsidRDefault="00A56EE9" w:rsidP="00BB6AD5">
            <w:pPr>
              <w:pStyle w:val="ListParagraph"/>
              <w:ind w:left="360"/>
              <w:rPr>
                <w:rStyle w:val="BookTitle"/>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tcPr>
          <w:p w14:paraId="5761FBBB" w14:textId="77777777" w:rsidR="00A56EE9" w:rsidRPr="00E70A11" w:rsidRDefault="00A56EE9" w:rsidP="00BB6AD5">
            <w:pPr>
              <w:pStyle w:val="Tablebulletlist"/>
              <w:rPr>
                <w:rStyle w:val="BookTitle"/>
              </w:rPr>
            </w:pPr>
            <w:r w:rsidRPr="00E70A11">
              <w:rPr>
                <w:rStyle w:val="BookTitle"/>
              </w:rPr>
              <w:t>Limited</w:t>
            </w:r>
          </w:p>
        </w:tc>
        <w:tc>
          <w:tcPr>
            <w:tcW w:w="1003" w:type="dxa"/>
            <w:tcBorders>
              <w:top w:val="single" w:sz="4" w:space="0" w:color="auto"/>
              <w:left w:val="single" w:sz="4" w:space="0" w:color="auto"/>
              <w:bottom w:val="single" w:sz="4" w:space="0" w:color="auto"/>
              <w:right w:val="single" w:sz="4" w:space="0" w:color="auto"/>
            </w:tcBorders>
          </w:tcPr>
          <w:p w14:paraId="5761FBB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C4"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BE"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land-based run-off</w:t>
            </w:r>
          </w:p>
        </w:tc>
        <w:tc>
          <w:tcPr>
            <w:tcW w:w="643" w:type="dxa"/>
            <w:tcBorders>
              <w:top w:val="single" w:sz="4" w:space="0" w:color="auto"/>
              <w:left w:val="single" w:sz="4" w:space="0" w:color="auto"/>
              <w:bottom w:val="single" w:sz="4" w:space="0" w:color="auto"/>
              <w:right w:val="single" w:sz="4" w:space="0" w:color="auto"/>
            </w:tcBorders>
          </w:tcPr>
          <w:p w14:paraId="5761FBBF" w14:textId="77777777" w:rsidR="00A56EE9" w:rsidRPr="00E70A11" w:rsidRDefault="00A56EE9" w:rsidP="00BB6AD5">
            <w:pPr>
              <w:pStyle w:val="Tablebulletlist"/>
              <w:rPr>
                <w:rStyle w:val="BookTitle"/>
              </w:rPr>
            </w:pPr>
            <w:r w:rsidRPr="00E70A11">
              <w:rPr>
                <w:rStyle w:val="BookTitle"/>
              </w:rPr>
              <w:t>NA</w:t>
            </w:r>
          </w:p>
        </w:tc>
        <w:tc>
          <w:tcPr>
            <w:tcW w:w="4957" w:type="dxa"/>
            <w:tcBorders>
              <w:top w:val="single" w:sz="4" w:space="0" w:color="auto"/>
              <w:left w:val="single" w:sz="4" w:space="0" w:color="auto"/>
              <w:bottom w:val="single" w:sz="4" w:space="0" w:color="auto"/>
              <w:right w:val="single" w:sz="4" w:space="0" w:color="auto"/>
            </w:tcBorders>
          </w:tcPr>
          <w:p w14:paraId="5761FBC0" w14:textId="77777777" w:rsidR="00A56EE9" w:rsidRPr="00E70A11" w:rsidRDefault="00A56EE9" w:rsidP="00BB6AD5">
            <w:pPr>
              <w:pStyle w:val="ListParagraph"/>
              <w:ind w:left="360"/>
              <w:rPr>
                <w:rStyle w:val="BookTitle"/>
                <w:rFonts w:ascii="Arial Narrow" w:hAnsi="Arial Narrow"/>
                <w:sz w:val="18"/>
                <w:szCs w:val="18"/>
              </w:rPr>
            </w:pPr>
          </w:p>
        </w:tc>
        <w:tc>
          <w:tcPr>
            <w:tcW w:w="4597" w:type="dxa"/>
            <w:tcBorders>
              <w:top w:val="single" w:sz="4" w:space="0" w:color="auto"/>
              <w:left w:val="single" w:sz="4" w:space="0" w:color="auto"/>
              <w:bottom w:val="single" w:sz="4" w:space="0" w:color="auto"/>
              <w:right w:val="single" w:sz="4" w:space="0" w:color="auto"/>
            </w:tcBorders>
          </w:tcPr>
          <w:p w14:paraId="5761FBC1" w14:textId="77777777" w:rsidR="00A56EE9" w:rsidRPr="00E70A11" w:rsidRDefault="00A56EE9" w:rsidP="00BB6AD5">
            <w:pPr>
              <w:pStyle w:val="ListParagraph"/>
              <w:ind w:left="360"/>
              <w:rPr>
                <w:rStyle w:val="BookTitle"/>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tcPr>
          <w:p w14:paraId="5761FBC2" w14:textId="77777777" w:rsidR="00A56EE9" w:rsidRPr="00E70A11" w:rsidRDefault="00A56EE9" w:rsidP="00BB6AD5">
            <w:pPr>
              <w:pStyle w:val="Tablebulletlist"/>
              <w:rPr>
                <w:rStyle w:val="BookTitle"/>
              </w:rPr>
            </w:pPr>
          </w:p>
        </w:tc>
        <w:tc>
          <w:tcPr>
            <w:tcW w:w="1003" w:type="dxa"/>
            <w:tcBorders>
              <w:top w:val="single" w:sz="4" w:space="0" w:color="auto"/>
              <w:left w:val="single" w:sz="4" w:space="0" w:color="auto"/>
              <w:bottom w:val="single" w:sz="4" w:space="0" w:color="auto"/>
              <w:right w:val="single" w:sz="4" w:space="0" w:color="auto"/>
            </w:tcBorders>
          </w:tcPr>
          <w:p w14:paraId="5761FBC3" w14:textId="77777777" w:rsidR="00A56EE9" w:rsidRPr="00E70A11" w:rsidRDefault="00A56EE9" w:rsidP="00BB6AD5">
            <w:pPr>
              <w:pStyle w:val="Tablebulletlist"/>
              <w:rPr>
                <w:rStyle w:val="BookTitle"/>
              </w:rPr>
            </w:pPr>
          </w:p>
        </w:tc>
      </w:tr>
      <w:tr w:rsidR="00A56EE9" w:rsidRPr="00E70A11" w14:paraId="5761FBD5"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shd w:val="clear" w:color="auto" w:fill="auto"/>
          </w:tcPr>
          <w:p w14:paraId="5761FBC5"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land-based run-off</w:t>
            </w:r>
          </w:p>
        </w:tc>
        <w:tc>
          <w:tcPr>
            <w:tcW w:w="643" w:type="dxa"/>
            <w:tcBorders>
              <w:top w:val="single" w:sz="4" w:space="0" w:color="auto"/>
              <w:left w:val="single" w:sz="4" w:space="0" w:color="auto"/>
              <w:bottom w:val="single" w:sz="4" w:space="0" w:color="auto"/>
              <w:right w:val="single" w:sz="4" w:space="0" w:color="auto"/>
            </w:tcBorders>
          </w:tcPr>
          <w:p w14:paraId="5761FBC6"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C7" w14:textId="77777777" w:rsidR="00A56EE9" w:rsidRPr="00E70A11" w:rsidRDefault="00A56EE9" w:rsidP="00A11869">
            <w:pPr>
              <w:pStyle w:val="ListParagraph"/>
              <w:numPr>
                <w:ilvl w:val="0"/>
                <w:numId w:val="24"/>
              </w:numPr>
              <w:rPr>
                <w:rFonts w:ascii="Arial Narrow" w:hAnsi="Arial Narrow"/>
                <w:b/>
                <w:sz w:val="18"/>
                <w:szCs w:val="18"/>
              </w:rPr>
            </w:pPr>
            <w:r w:rsidRPr="00E70A11">
              <w:rPr>
                <w:rFonts w:ascii="Arial Narrow" w:hAnsi="Arial Narrow"/>
                <w:sz w:val="18"/>
                <w:szCs w:val="18"/>
              </w:rPr>
              <w:t>Under Reef Programme, land managers contribute approx. $1.50 per $1 of Australian Government funding received (as cash and in-kind) for project implementation.</w:t>
            </w:r>
          </w:p>
          <w:p w14:paraId="5761FBC8" w14:textId="77777777" w:rsidR="00A56EE9" w:rsidRPr="00E70A11" w:rsidRDefault="00A56EE9" w:rsidP="00A11869">
            <w:pPr>
              <w:pStyle w:val="ListParagraph"/>
              <w:numPr>
                <w:ilvl w:val="0"/>
                <w:numId w:val="24"/>
              </w:numPr>
              <w:rPr>
                <w:rFonts w:ascii="Arial Narrow" w:hAnsi="Arial Narrow"/>
                <w:b/>
                <w:sz w:val="18"/>
                <w:szCs w:val="18"/>
              </w:rPr>
            </w:pPr>
            <w:r w:rsidRPr="00E70A11">
              <w:rPr>
                <w:rFonts w:ascii="Arial Narrow" w:hAnsi="Arial Narrow"/>
                <w:sz w:val="18"/>
                <w:szCs w:val="18"/>
              </w:rPr>
              <w:t>Land manager co-investment also required for Reef Trust projects, but not for gully and streambank remediation where private benefits are low.</w:t>
            </w:r>
          </w:p>
          <w:p w14:paraId="5761FBC9" w14:textId="77777777" w:rsidR="00A56EE9" w:rsidRPr="00E70A11" w:rsidRDefault="00A56EE9" w:rsidP="00A11869">
            <w:pPr>
              <w:pStyle w:val="ListParagraph"/>
              <w:numPr>
                <w:ilvl w:val="0"/>
                <w:numId w:val="24"/>
              </w:numPr>
              <w:rPr>
                <w:rFonts w:ascii="Arial Narrow" w:hAnsi="Arial Narrow"/>
                <w:b/>
                <w:sz w:val="18"/>
                <w:szCs w:val="18"/>
              </w:rPr>
            </w:pPr>
            <w:r w:rsidRPr="00E70A11">
              <w:rPr>
                <w:rFonts w:ascii="Arial Narrow" w:hAnsi="Arial Narrow"/>
                <w:sz w:val="18"/>
                <w:szCs w:val="18"/>
              </w:rPr>
              <w:t>The Marine Monitoring Program is a collaborative effort across government and 4 partner organisations. The Marine Monitoring Program relies on local community members to conduct pesticide sampling. In addition, the monitoring provider organisations contribute a significant proportion of in-kind funds to the Program.</w:t>
            </w:r>
            <w:r w:rsidRPr="00E70A11">
              <w:rPr>
                <w:rFonts w:ascii="Arial Narrow" w:hAnsi="Arial Narrow"/>
                <w:b/>
                <w:sz w:val="18"/>
                <w:szCs w:val="18"/>
              </w:rPr>
              <w:t xml:space="preserve"> </w:t>
            </w:r>
          </w:p>
          <w:p w14:paraId="5761FBCA"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Reef Guardian program strives to engage the community in stewardship of the Reef – addressing land-based run-off is part of this.</w:t>
            </w:r>
            <w:r>
              <w:rPr>
                <w:rFonts w:ascii="Arial Narrow" w:hAnsi="Arial Narrow"/>
                <w:sz w:val="18"/>
                <w:szCs w:val="18"/>
              </w:rPr>
              <w:t xml:space="preserve"> </w:t>
            </w:r>
            <w:r w:rsidRPr="00E70A11">
              <w:rPr>
                <w:rFonts w:ascii="Arial Narrow" w:hAnsi="Arial Narrow"/>
                <w:sz w:val="18"/>
                <w:szCs w:val="18"/>
              </w:rPr>
              <w:t xml:space="preserve">Many of the program activities facilitate and/or promote voluntary action by individuals, businesses and community groups to address land-based run-off </w:t>
            </w:r>
          </w:p>
          <w:p w14:paraId="5761FBCB"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Local Marine Advisory Groups sometimes provide input towards addressing land-based run-off.</w:t>
            </w:r>
            <w:r>
              <w:rPr>
                <w:rFonts w:ascii="Arial Narrow" w:hAnsi="Arial Narrow"/>
                <w:sz w:val="18"/>
                <w:szCs w:val="18"/>
              </w:rPr>
              <w:t xml:space="preserve"> </w:t>
            </w:r>
            <w:r w:rsidRPr="00E70A11">
              <w:rPr>
                <w:rFonts w:ascii="Arial Narrow" w:hAnsi="Arial Narrow"/>
                <w:sz w:val="18"/>
                <w:szCs w:val="18"/>
              </w:rPr>
              <w:t>For example the Douglas LMAC has been involved in monitoring water quality.</w:t>
            </w:r>
          </w:p>
          <w:p w14:paraId="5761FBCC"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Individual landholders must contribute at least the same amount as the grant they receive to support practice change. </w:t>
            </w:r>
          </w:p>
          <w:p w14:paraId="5761FBCD"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The GBR Gully and streambank joint program includes Australian and Queensland governments, in partnership with the private sector, conservation groups, research institutions, regional natural resource management bodies and industry groups</w:t>
            </w:r>
          </w:p>
        </w:tc>
        <w:tc>
          <w:tcPr>
            <w:tcW w:w="4597" w:type="dxa"/>
            <w:tcBorders>
              <w:top w:val="single" w:sz="4" w:space="0" w:color="auto"/>
              <w:left w:val="single" w:sz="4" w:space="0" w:color="auto"/>
              <w:bottom w:val="single" w:sz="4" w:space="0" w:color="auto"/>
              <w:right w:val="single" w:sz="4" w:space="0" w:color="auto"/>
            </w:tcBorders>
          </w:tcPr>
          <w:p w14:paraId="5761FBCE" w14:textId="77777777" w:rsidR="00A56EE9" w:rsidRPr="00E70A11" w:rsidRDefault="008B5998" w:rsidP="00A11869">
            <w:pPr>
              <w:pStyle w:val="ListParagraph"/>
              <w:numPr>
                <w:ilvl w:val="0"/>
                <w:numId w:val="24"/>
              </w:numPr>
              <w:rPr>
                <w:rFonts w:ascii="Arial Narrow" w:hAnsi="Arial Narrow"/>
                <w:b/>
                <w:sz w:val="18"/>
                <w:szCs w:val="18"/>
              </w:rPr>
            </w:pPr>
            <w:hyperlink r:id="rId1161" w:history="1">
              <w:r w:rsidR="00A56EE9" w:rsidRPr="00E70A11">
                <w:rPr>
                  <w:rStyle w:val="Hyperlink"/>
                  <w:rFonts w:ascii="Arial Narrow" w:hAnsi="Arial Narrow"/>
                  <w:sz w:val="18"/>
                  <w:szCs w:val="18"/>
                </w:rPr>
                <w:t>Reef Guardian Programs</w:t>
              </w:r>
            </w:hyperlink>
            <w:r w:rsidR="00A56EE9" w:rsidRPr="00E70A11">
              <w:rPr>
                <w:rFonts w:ascii="Arial Narrow" w:hAnsi="Arial Narrow"/>
                <w:sz w:val="18"/>
                <w:szCs w:val="18"/>
              </w:rPr>
              <w:t xml:space="preserve">. </w:t>
            </w:r>
          </w:p>
          <w:p w14:paraId="5761FBCF" w14:textId="77777777" w:rsidR="00A56EE9" w:rsidRPr="00E70A11" w:rsidRDefault="008B5998" w:rsidP="00A11869">
            <w:pPr>
              <w:pStyle w:val="ListParagraph"/>
              <w:numPr>
                <w:ilvl w:val="0"/>
                <w:numId w:val="24"/>
              </w:numPr>
              <w:rPr>
                <w:rFonts w:ascii="Arial Narrow" w:hAnsi="Arial Narrow"/>
                <w:b/>
                <w:sz w:val="18"/>
                <w:szCs w:val="18"/>
              </w:rPr>
            </w:pPr>
            <w:hyperlink r:id="rId1162" w:history="1">
              <w:r w:rsidR="00A56EE9" w:rsidRPr="00E70A11">
                <w:rPr>
                  <w:rStyle w:val="Hyperlink"/>
                  <w:rFonts w:ascii="Arial Narrow" w:hAnsi="Arial Narrow"/>
                  <w:sz w:val="18"/>
                  <w:szCs w:val="18"/>
                </w:rPr>
                <w:t>Great Barrier Reef Gully and Streambank Joint Program</w:t>
              </w:r>
            </w:hyperlink>
          </w:p>
          <w:p w14:paraId="5761FBD0" w14:textId="77777777" w:rsidR="00A56EE9" w:rsidRPr="00E70A11" w:rsidRDefault="008B5998" w:rsidP="00A11869">
            <w:pPr>
              <w:pStyle w:val="ListParagraph"/>
              <w:numPr>
                <w:ilvl w:val="0"/>
                <w:numId w:val="24"/>
              </w:numPr>
              <w:rPr>
                <w:rFonts w:ascii="Arial Narrow" w:hAnsi="Arial Narrow"/>
                <w:sz w:val="18"/>
                <w:szCs w:val="18"/>
              </w:rPr>
            </w:pPr>
            <w:hyperlink r:id="rId1163" w:history="1">
              <w:r w:rsidR="00A56EE9" w:rsidRPr="00E70A11">
                <w:rPr>
                  <w:rStyle w:val="Hyperlink"/>
                  <w:rFonts w:ascii="Arial Narrow" w:hAnsi="Arial Narrow"/>
                  <w:sz w:val="18"/>
                  <w:szCs w:val="18"/>
                </w:rPr>
                <w:t>Local Marine Advisory Committees</w:t>
              </w:r>
            </w:hyperlink>
          </w:p>
          <w:p w14:paraId="5761FBD1"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Pr>
                <w:rStyle w:val="BookTitle"/>
                <w:rFonts w:ascii="Arial Narrow" w:hAnsi="Arial Narrow"/>
                <w:sz w:val="18"/>
                <w:szCs w:val="18"/>
              </w:rPr>
              <w:t>GBR Citizen Science Alliance:</w:t>
            </w:r>
          </w:p>
          <w:p w14:paraId="5761FBD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27551C">
              <w:rPr>
                <w:rStyle w:val="BookTitle"/>
                <w:rFonts w:ascii="Arial Narrow" w:hAnsi="Arial Narrow"/>
                <w:sz w:val="18"/>
                <w:szCs w:val="18"/>
              </w:rPr>
              <w:t>http://greatbarrierreefcitizenscience.org.au/</w:t>
            </w:r>
          </w:p>
        </w:tc>
        <w:tc>
          <w:tcPr>
            <w:tcW w:w="963" w:type="dxa"/>
            <w:tcBorders>
              <w:top w:val="single" w:sz="4" w:space="0" w:color="auto"/>
              <w:left w:val="single" w:sz="4" w:space="0" w:color="auto"/>
              <w:bottom w:val="single" w:sz="4" w:space="0" w:color="auto"/>
              <w:right w:val="single" w:sz="4" w:space="0" w:color="auto"/>
            </w:tcBorders>
          </w:tcPr>
          <w:p w14:paraId="5761FBD3"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D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BDC"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D6" w14:textId="77777777" w:rsidR="00A56EE9" w:rsidRPr="00E70A11" w:rsidRDefault="00A56EE9" w:rsidP="00BB6AD5">
            <w:pPr>
              <w:pStyle w:val="Tablebulletlist"/>
              <w:rPr>
                <w:rStyle w:val="BookTitle"/>
              </w:rPr>
            </w:pPr>
            <w:r w:rsidRPr="00E70A11">
              <w:rPr>
                <w:rStyle w:val="BookTitle"/>
              </w:rPr>
              <w:t>PROCESSES</w:t>
            </w:r>
          </w:p>
        </w:tc>
        <w:tc>
          <w:tcPr>
            <w:tcW w:w="64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D7" w14:textId="77777777" w:rsidR="00A56EE9" w:rsidRPr="00E70A11" w:rsidRDefault="00A56EE9" w:rsidP="00BB6AD5">
            <w:pPr>
              <w:pStyle w:val="Tablebulletlist"/>
              <w:rPr>
                <w:rStyle w:val="BookTitle"/>
              </w:rPr>
            </w:pPr>
          </w:p>
        </w:tc>
        <w:tc>
          <w:tcPr>
            <w:tcW w:w="495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D8" w14:textId="77777777" w:rsidR="00A56EE9" w:rsidRPr="00E70A11" w:rsidRDefault="00A56EE9" w:rsidP="00BB6AD5">
            <w:pPr>
              <w:rPr>
                <w:rStyle w:val="BookTitle"/>
                <w:rFonts w:ascii="Arial Narrow" w:hAnsi="Arial Narrow"/>
                <w:sz w:val="18"/>
                <w:szCs w:val="18"/>
              </w:rPr>
            </w:pPr>
          </w:p>
        </w:tc>
        <w:tc>
          <w:tcPr>
            <w:tcW w:w="459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D9" w14:textId="77777777" w:rsidR="00A56EE9" w:rsidRPr="00E70A11" w:rsidRDefault="00A56EE9" w:rsidP="00BB6AD5">
            <w:pPr>
              <w:pStyle w:val="ListParagraph"/>
              <w:ind w:left="360"/>
              <w:rPr>
                <w:rStyle w:val="BookTitle"/>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DA" w14:textId="77777777" w:rsidR="00A56EE9" w:rsidRPr="00E70A11" w:rsidRDefault="00A56EE9" w:rsidP="00BB6AD5">
            <w:pPr>
              <w:pStyle w:val="Tablebulletlist"/>
              <w:rPr>
                <w:rStyle w:val="BookTitle"/>
              </w:rPr>
            </w:pPr>
          </w:p>
        </w:tc>
        <w:tc>
          <w:tcPr>
            <w:tcW w:w="100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BDB" w14:textId="77777777" w:rsidR="00A56EE9" w:rsidRPr="00E70A11" w:rsidRDefault="00A56EE9" w:rsidP="00BB6AD5">
            <w:pPr>
              <w:pStyle w:val="Tablebulletlist"/>
              <w:rPr>
                <w:rStyle w:val="BookTitle"/>
              </w:rPr>
            </w:pPr>
          </w:p>
        </w:tc>
      </w:tr>
      <w:tr w:rsidR="00A56EE9" w:rsidRPr="00E70A11" w14:paraId="5761FBE6"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DD"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land-based run-off</w:t>
            </w:r>
          </w:p>
        </w:tc>
        <w:tc>
          <w:tcPr>
            <w:tcW w:w="643" w:type="dxa"/>
            <w:tcBorders>
              <w:top w:val="single" w:sz="4" w:space="0" w:color="auto"/>
              <w:left w:val="single" w:sz="4" w:space="0" w:color="auto"/>
              <w:bottom w:val="single" w:sz="4" w:space="0" w:color="auto"/>
              <w:right w:val="single" w:sz="4" w:space="0" w:color="auto"/>
            </w:tcBorders>
          </w:tcPr>
          <w:p w14:paraId="5761FBDE"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DF"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NRMs and industry organisations play major role in program delivery for both Governments.</w:t>
            </w:r>
          </w:p>
          <w:p w14:paraId="5761FBE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NRMs, industry and NGO represented through Reef 2050 Partnership Committee.</w:t>
            </w:r>
          </w:p>
          <w:p w14:paraId="5761FBE1"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Stakeholder engagement is fundamental to project scoping and development under Reef Trust and MIPs</w:t>
            </w:r>
          </w:p>
        </w:tc>
        <w:tc>
          <w:tcPr>
            <w:tcW w:w="4597" w:type="dxa"/>
            <w:tcBorders>
              <w:top w:val="single" w:sz="4" w:space="0" w:color="auto"/>
              <w:left w:val="single" w:sz="4" w:space="0" w:color="auto"/>
              <w:bottom w:val="single" w:sz="4" w:space="0" w:color="auto"/>
              <w:right w:val="single" w:sz="4" w:space="0" w:color="auto"/>
            </w:tcBorders>
          </w:tcPr>
          <w:p w14:paraId="5761FBE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Reef 2050 Reef Advisory Committees </w:t>
            </w:r>
          </w:p>
          <w:p w14:paraId="5761FBE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Reef 2050 Communication Network</w:t>
            </w:r>
          </w:p>
        </w:tc>
        <w:tc>
          <w:tcPr>
            <w:tcW w:w="963" w:type="dxa"/>
            <w:tcBorders>
              <w:top w:val="single" w:sz="4" w:space="0" w:color="auto"/>
              <w:left w:val="single" w:sz="4" w:space="0" w:color="auto"/>
              <w:bottom w:val="single" w:sz="4" w:space="0" w:color="auto"/>
              <w:right w:val="single" w:sz="4" w:space="0" w:color="auto"/>
            </w:tcBorders>
          </w:tcPr>
          <w:p w14:paraId="5761FBE4"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E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BF1"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E7"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land-based run-off</w:t>
            </w:r>
          </w:p>
        </w:tc>
        <w:tc>
          <w:tcPr>
            <w:tcW w:w="643" w:type="dxa"/>
            <w:tcBorders>
              <w:top w:val="single" w:sz="4" w:space="0" w:color="auto"/>
              <w:left w:val="single" w:sz="4" w:space="0" w:color="auto"/>
              <w:bottom w:val="single" w:sz="4" w:space="0" w:color="auto"/>
              <w:right w:val="single" w:sz="4" w:space="0" w:color="auto"/>
            </w:tcBorders>
          </w:tcPr>
          <w:p w14:paraId="5761FBE8"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E9"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MIPS effectively/extensively engaged local community in their development.</w:t>
            </w:r>
          </w:p>
          <w:p w14:paraId="5761FBEA"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Marine Monitoring Program relies on local community members to conduct pesticide sampling. The Marine Monitoring Program providers are engaged in promoting the implications of the monitoring results for management efforts and the local community.</w:t>
            </w:r>
            <w:r>
              <w:rPr>
                <w:rFonts w:ascii="Arial Narrow" w:hAnsi="Arial Narrow"/>
                <w:sz w:val="18"/>
                <w:szCs w:val="18"/>
              </w:rPr>
              <w:t xml:space="preserve"> </w:t>
            </w:r>
          </w:p>
          <w:p w14:paraId="5761FBEB"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 xml:space="preserve">There are several WQIPs in place and local NRM regions and/or Council (in the Townsville urban example) have ongoing programs reporting to community and holding various forums. </w:t>
            </w:r>
          </w:p>
        </w:tc>
        <w:tc>
          <w:tcPr>
            <w:tcW w:w="4597" w:type="dxa"/>
            <w:tcBorders>
              <w:top w:val="single" w:sz="4" w:space="0" w:color="auto"/>
              <w:left w:val="single" w:sz="4" w:space="0" w:color="auto"/>
              <w:bottom w:val="single" w:sz="4" w:space="0" w:color="auto"/>
              <w:right w:val="single" w:sz="4" w:space="0" w:color="auto"/>
            </w:tcBorders>
          </w:tcPr>
          <w:p w14:paraId="5761FBE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E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WQIP</w:t>
            </w:r>
          </w:p>
          <w:p w14:paraId="5761FBE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Marine Monitoring Program</w:t>
            </w:r>
          </w:p>
        </w:tc>
        <w:tc>
          <w:tcPr>
            <w:tcW w:w="963" w:type="dxa"/>
            <w:tcBorders>
              <w:top w:val="single" w:sz="4" w:space="0" w:color="auto"/>
              <w:left w:val="single" w:sz="4" w:space="0" w:color="auto"/>
              <w:bottom w:val="single" w:sz="4" w:space="0" w:color="auto"/>
              <w:right w:val="single" w:sz="4" w:space="0" w:color="auto"/>
            </w:tcBorders>
          </w:tcPr>
          <w:p w14:paraId="5761FBEF"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F0"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BFF"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BF2"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There is a sound governance system in place to address land-based run-off</w:t>
            </w:r>
          </w:p>
        </w:tc>
        <w:tc>
          <w:tcPr>
            <w:tcW w:w="643" w:type="dxa"/>
            <w:tcBorders>
              <w:top w:val="single" w:sz="4" w:space="0" w:color="auto"/>
              <w:left w:val="single" w:sz="4" w:space="0" w:color="auto"/>
              <w:bottom w:val="single" w:sz="4" w:space="0" w:color="auto"/>
              <w:right w:val="single" w:sz="4" w:space="0" w:color="auto"/>
            </w:tcBorders>
          </w:tcPr>
          <w:p w14:paraId="5761FBF3"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BF4"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Reef WQIP provides an integrated approach to water quality improvement and has developed efficient institutional arrangements that will ensure actions are implemented in a timely and coordinated manner across agencies and programs</w:t>
            </w:r>
          </w:p>
          <w:p w14:paraId="5761FBF5"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Paddock to Reef Integrated Monitoring, Modelling and Reporting Program is a collaborative program involving approximately 20 organisations. Sound governance and coordination arrangements are critical to the success of such a complex and interdisciplinary program.</w:t>
            </w:r>
            <w:r>
              <w:rPr>
                <w:rFonts w:ascii="Arial Narrow" w:hAnsi="Arial Narrow"/>
                <w:sz w:val="18"/>
                <w:szCs w:val="18"/>
              </w:rPr>
              <w:t xml:space="preserve"> </w:t>
            </w:r>
          </w:p>
          <w:p w14:paraId="5761FBF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 2017 S</w:t>
            </w:r>
            <w:r>
              <w:rPr>
                <w:rFonts w:ascii="Arial Narrow" w:hAnsi="Arial Narrow"/>
                <w:sz w:val="18"/>
                <w:szCs w:val="18"/>
              </w:rPr>
              <w:t xml:space="preserve">cientific </w:t>
            </w:r>
            <w:r w:rsidRPr="00E70A11">
              <w:rPr>
                <w:rFonts w:ascii="Arial Narrow" w:hAnsi="Arial Narrow"/>
                <w:sz w:val="18"/>
                <w:szCs w:val="18"/>
              </w:rPr>
              <w:t>C</w:t>
            </w:r>
            <w:r>
              <w:rPr>
                <w:rFonts w:ascii="Arial Narrow" w:hAnsi="Arial Narrow"/>
                <w:sz w:val="18"/>
                <w:szCs w:val="18"/>
              </w:rPr>
              <w:t xml:space="preserve">onsensus </w:t>
            </w:r>
            <w:r w:rsidRPr="00E70A11">
              <w:rPr>
                <w:rFonts w:ascii="Arial Narrow" w:hAnsi="Arial Narrow"/>
                <w:sz w:val="18"/>
                <w:szCs w:val="18"/>
              </w:rPr>
              <w:t>S</w:t>
            </w:r>
            <w:r>
              <w:rPr>
                <w:rFonts w:ascii="Arial Narrow" w:hAnsi="Arial Narrow"/>
                <w:sz w:val="18"/>
                <w:szCs w:val="18"/>
              </w:rPr>
              <w:t>tatement</w:t>
            </w:r>
            <w:r w:rsidRPr="00E70A11">
              <w:rPr>
                <w:rFonts w:ascii="Arial Narrow" w:hAnsi="Arial Narrow"/>
                <w:sz w:val="18"/>
                <w:szCs w:val="18"/>
              </w:rPr>
              <w:t xml:space="preserve"> finds that intergovernmental coordination and policy alignment must be improved as they affect all aspects of program design and delivery.</w:t>
            </w:r>
          </w:p>
          <w:p w14:paraId="5761FBF7"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 xml:space="preserve">A number of </w:t>
            </w:r>
            <w:hyperlink r:id="rId1164" w:history="1">
              <w:r w:rsidRPr="00E70A11">
                <w:rPr>
                  <w:rStyle w:val="Hyperlink"/>
                  <w:rFonts w:ascii="Arial Narrow" w:hAnsi="Arial Narrow"/>
                  <w:sz w:val="18"/>
                  <w:szCs w:val="18"/>
                </w:rPr>
                <w:t>committees</w:t>
              </w:r>
            </w:hyperlink>
            <w:r w:rsidRPr="00E70A11">
              <w:rPr>
                <w:rFonts w:ascii="Arial Narrow" w:hAnsi="Arial Narrow"/>
                <w:sz w:val="18"/>
                <w:szCs w:val="18"/>
              </w:rPr>
              <w:t xml:space="preserve"> have been established to help ensure a coordinated and cohesive approach to implementation, and appropriate commitment of resources to actions. Governance structure is available on portal.</w:t>
            </w:r>
          </w:p>
        </w:tc>
        <w:tc>
          <w:tcPr>
            <w:tcW w:w="4597" w:type="dxa"/>
            <w:tcBorders>
              <w:top w:val="single" w:sz="4" w:space="0" w:color="auto"/>
              <w:left w:val="single" w:sz="4" w:space="0" w:color="auto"/>
              <w:bottom w:val="single" w:sz="4" w:space="0" w:color="auto"/>
              <w:right w:val="single" w:sz="4" w:space="0" w:color="auto"/>
            </w:tcBorders>
          </w:tcPr>
          <w:p w14:paraId="5761FBF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WQIP </w:t>
            </w:r>
          </w:p>
          <w:p w14:paraId="5761FBF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BFA"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Paddock to Reef Integrated Monitoring, Modelling and Reporting Program </w:t>
            </w:r>
            <w:hyperlink r:id="rId1165" w:history="1">
              <w:r w:rsidRPr="00E70A11">
                <w:rPr>
                  <w:rStyle w:val="Hyperlink"/>
                  <w:rFonts w:ascii="Arial Narrow" w:hAnsi="Arial Narrow"/>
                  <w:sz w:val="18"/>
                  <w:szCs w:val="18"/>
                </w:rPr>
                <w:t>Independent review of the Institutional and Legal Mechanisms that provide Coordinated Planning, Protection and Management of the Great Barrier Reef World Heritage Area</w:t>
              </w:r>
            </w:hyperlink>
          </w:p>
          <w:p w14:paraId="5761FBFB"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RIMREP </w:t>
            </w:r>
            <w:hyperlink r:id="rId1166" w:history="1">
              <w:r w:rsidRPr="00E70A11">
                <w:rPr>
                  <w:rStyle w:val="Hyperlink"/>
                  <w:rFonts w:ascii="Arial Narrow" w:hAnsi="Arial Narrow"/>
                  <w:sz w:val="18"/>
                  <w:szCs w:val="18"/>
                </w:rPr>
                <w:t>program governance</w:t>
              </w:r>
            </w:hyperlink>
          </w:p>
          <w:p w14:paraId="5761FBFC" w14:textId="77777777" w:rsidR="00A56EE9" w:rsidRPr="00E70A11" w:rsidRDefault="00A56EE9" w:rsidP="00BB6AD5">
            <w:pPr>
              <w:pStyle w:val="ListParagraph"/>
              <w:ind w:left="360"/>
              <w:rPr>
                <w:rStyle w:val="BookTitle"/>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tcPr>
          <w:p w14:paraId="5761FBFD"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BF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10"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00"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land-based run-off</w:t>
            </w:r>
          </w:p>
        </w:tc>
        <w:tc>
          <w:tcPr>
            <w:tcW w:w="643" w:type="dxa"/>
            <w:tcBorders>
              <w:top w:val="single" w:sz="4" w:space="0" w:color="auto"/>
              <w:left w:val="single" w:sz="4" w:space="0" w:color="auto"/>
              <w:bottom w:val="single" w:sz="4" w:space="0" w:color="auto"/>
              <w:right w:val="single" w:sz="4" w:space="0" w:color="auto"/>
            </w:tcBorders>
          </w:tcPr>
          <w:p w14:paraId="5761FC01"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C0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There is a dedicated team to post permit compliance and enforcement. A sewage audit was completed in 2015. </w:t>
            </w:r>
          </w:p>
          <w:p w14:paraId="5761FC03" w14:textId="77777777" w:rsidR="00A56EE9"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Reef WQIP has clear water quality targets, and catchment and land management targets. Lead organisations are responsible for coordinating implementation and reporting progress to ensure actions are completed and milestones met. </w:t>
            </w:r>
          </w:p>
          <w:p w14:paraId="5761FC04" w14:textId="77777777" w:rsidR="00A56EE9" w:rsidRPr="00086A3B" w:rsidRDefault="00A56EE9" w:rsidP="00A11869">
            <w:pPr>
              <w:pStyle w:val="ListParagraph"/>
              <w:numPr>
                <w:ilvl w:val="0"/>
                <w:numId w:val="24"/>
              </w:numPr>
              <w:rPr>
                <w:rFonts w:ascii="Arial Narrow" w:hAnsi="Arial Narrow"/>
                <w:sz w:val="18"/>
                <w:szCs w:val="18"/>
              </w:rPr>
            </w:pPr>
            <w:r w:rsidRPr="00086A3B">
              <w:rPr>
                <w:rFonts w:ascii="Arial Narrow" w:hAnsi="Arial Narrow"/>
                <w:sz w:val="18"/>
                <w:szCs w:val="18"/>
              </w:rPr>
              <w:t>Formal annual evaluation workshops are funded e.g. Qld government pays regional bodies to organise annual evaluation workshops with the Management Practice Adoption Team and modellers where relevant to review their annual programs for water quality and effectiveness of investments. Likewise evaluation feedback meetings are held with DOEE &amp; Qld Government.</w:t>
            </w:r>
            <w:r>
              <w:rPr>
                <w:rFonts w:ascii="Arial Narrow" w:hAnsi="Arial Narrow"/>
                <w:sz w:val="18"/>
                <w:szCs w:val="18"/>
              </w:rPr>
              <w:t xml:space="preserve"> </w:t>
            </w:r>
          </w:p>
          <w:p w14:paraId="5761FC05"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As part of this Reef 2050 WQIP, individual targets have been set for reducing water pollution from the 35 major river basins draining into the Reef, enabling better prioritising where the most management action is needed. This is a new level of specificity from previous targets and utilised sophisticated modelling and other scientific information to ensure these targets are based on what the Reef needs to be healthy</w:t>
            </w:r>
          </w:p>
          <w:p w14:paraId="5761FC06"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Progress towards the Plan’s targets is evaluated through the Paddock to Reef Integrated Monitoring, Modelling and Reporting Program (</w:t>
            </w:r>
            <w:hyperlink r:id="rId1167" w:history="1">
              <w:r w:rsidRPr="00E70A11">
                <w:rPr>
                  <w:rStyle w:val="Hyperlink"/>
                  <w:rFonts w:ascii="Arial Narrow" w:hAnsi="Arial Narrow"/>
                  <w:sz w:val="18"/>
                  <w:szCs w:val="18"/>
                </w:rPr>
                <w:t>Paddock to Reef program</w:t>
              </w:r>
            </w:hyperlink>
            <w:r w:rsidRPr="00E70A11">
              <w:rPr>
                <w:rFonts w:ascii="Arial Narrow" w:hAnsi="Arial Narrow"/>
                <w:sz w:val="18"/>
                <w:szCs w:val="18"/>
              </w:rPr>
              <w:t>) and reported through the Reef Report Card</w:t>
            </w:r>
            <w:r>
              <w:rPr>
                <w:rFonts w:ascii="Arial Narrow" w:hAnsi="Arial Narrow"/>
                <w:sz w:val="18"/>
                <w:szCs w:val="18"/>
              </w:rPr>
              <w:t xml:space="preserve"> and is formally linked to the Queensland Reef Water Quality Program Evaluation Framework</w:t>
            </w:r>
            <w:r w:rsidRPr="00E70A11">
              <w:rPr>
                <w:rFonts w:ascii="Arial Narrow" w:hAnsi="Arial Narrow"/>
                <w:sz w:val="18"/>
                <w:szCs w:val="18"/>
              </w:rPr>
              <w:t>. Capacity to information adaptive management is limited by current inability to attribute improvements to specific programs.</w:t>
            </w:r>
          </w:p>
          <w:p w14:paraId="5761FC07"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Office of the Great Barrier Reef are responsible for coordinating regular performance monitoring and assessment, including the recent Reef WQIP review process for 2017. </w:t>
            </w:r>
            <w:r w:rsidRPr="00086A3B">
              <w:rPr>
                <w:rFonts w:ascii="Arial Narrow" w:hAnsi="Arial Narrow"/>
                <w:sz w:val="18"/>
                <w:szCs w:val="18"/>
              </w:rPr>
              <w:t>Annual evaluation feedback workshops held with each Regional NRM body regarding effectiveness of their investments (led by DAF Management Practice leader under P2R). Similar feedback also provided to Queensland and Australian governments</w:t>
            </w:r>
          </w:p>
          <w:p w14:paraId="5761FC08"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For Reef 2050 Plan,</w:t>
            </w:r>
            <w:r>
              <w:rPr>
                <w:rFonts w:ascii="Arial Narrow" w:hAnsi="Arial Narrow"/>
                <w:sz w:val="18"/>
                <w:szCs w:val="18"/>
              </w:rPr>
              <w:t xml:space="preserve"> </w:t>
            </w:r>
            <w:r w:rsidRPr="00E70A11">
              <w:rPr>
                <w:rFonts w:ascii="Arial Narrow" w:hAnsi="Arial Narrow"/>
                <w:sz w:val="18"/>
                <w:szCs w:val="18"/>
              </w:rPr>
              <w:t>RIMReP is the evaluation program</w:t>
            </w:r>
            <w:r w:rsidRPr="001A6CD3">
              <w:rPr>
                <w:rFonts w:ascii="Arial Narrow" w:hAnsi="Arial Narrow"/>
                <w:sz w:val="18"/>
                <w:szCs w:val="18"/>
              </w:rPr>
              <w:t xml:space="preserve"> &amp; reported through the Great Barrier Reef Report Card</w:t>
            </w:r>
          </w:p>
        </w:tc>
        <w:tc>
          <w:tcPr>
            <w:tcW w:w="4597" w:type="dxa"/>
            <w:tcBorders>
              <w:top w:val="single" w:sz="4" w:space="0" w:color="auto"/>
              <w:left w:val="single" w:sz="4" w:space="0" w:color="auto"/>
              <w:bottom w:val="single" w:sz="4" w:space="0" w:color="auto"/>
              <w:right w:val="single" w:sz="4" w:space="0" w:color="auto"/>
            </w:tcBorders>
          </w:tcPr>
          <w:p w14:paraId="5761FC0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C0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w:t>
            </w:r>
          </w:p>
          <w:p w14:paraId="5761FC0B"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Paddock to Reef Integrated Monitoring, Modelling and Reporting Program (</w:t>
            </w:r>
            <w:hyperlink r:id="rId1168" w:history="1">
              <w:r w:rsidRPr="00E70A11">
                <w:rPr>
                  <w:rStyle w:val="Hyperlink"/>
                  <w:rFonts w:ascii="Arial Narrow" w:hAnsi="Arial Narrow"/>
                  <w:sz w:val="18"/>
                  <w:szCs w:val="18"/>
                </w:rPr>
                <w:t>Paddock to Reef program</w:t>
              </w:r>
            </w:hyperlink>
            <w:r w:rsidRPr="00E70A11">
              <w:rPr>
                <w:rFonts w:ascii="Arial Narrow" w:hAnsi="Arial Narrow"/>
                <w:sz w:val="18"/>
                <w:szCs w:val="18"/>
              </w:rPr>
              <w:t>)</w:t>
            </w:r>
          </w:p>
          <w:p w14:paraId="5761FC0C" w14:textId="77777777" w:rsidR="00A56EE9" w:rsidRPr="001A6CD3" w:rsidRDefault="00A56EE9" w:rsidP="00A11869">
            <w:pPr>
              <w:pStyle w:val="ListParagraph"/>
              <w:numPr>
                <w:ilvl w:val="0"/>
                <w:numId w:val="24"/>
              </w:numPr>
              <w:spacing w:after="200" w:line="276" w:lineRule="auto"/>
              <w:rPr>
                <w:rStyle w:val="BookTitle"/>
                <w:rFonts w:ascii="Arial Narrow" w:hAnsi="Arial Narrow"/>
                <w:sz w:val="18"/>
                <w:szCs w:val="18"/>
              </w:rPr>
            </w:pPr>
            <w:r>
              <w:rPr>
                <w:rStyle w:val="BookTitle"/>
                <w:rFonts w:ascii="Arial Narrow" w:hAnsi="Arial Narrow"/>
                <w:sz w:val="18"/>
                <w:szCs w:val="18"/>
              </w:rPr>
              <w:t>Reef 2050 WQIP</w:t>
            </w:r>
          </w:p>
          <w:p w14:paraId="5761FC0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Pr>
                <w:rStyle w:val="BookTitle"/>
                <w:rFonts w:ascii="Arial Narrow" w:hAnsi="Arial Narrow"/>
                <w:sz w:val="18"/>
                <w:szCs w:val="18"/>
              </w:rPr>
              <w:t>Qld Reef Water Quality Evaluation Framework (draft) &amp; assessments funded over next few years.</w:t>
            </w:r>
          </w:p>
        </w:tc>
        <w:tc>
          <w:tcPr>
            <w:tcW w:w="963" w:type="dxa"/>
            <w:tcBorders>
              <w:top w:val="single" w:sz="4" w:space="0" w:color="auto"/>
              <w:left w:val="single" w:sz="4" w:space="0" w:color="auto"/>
              <w:bottom w:val="single" w:sz="4" w:space="0" w:color="auto"/>
              <w:right w:val="single" w:sz="4" w:space="0" w:color="auto"/>
            </w:tcBorders>
          </w:tcPr>
          <w:p w14:paraId="5761FC0E"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0F"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20"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11"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land-based run-off</w:t>
            </w:r>
          </w:p>
        </w:tc>
        <w:tc>
          <w:tcPr>
            <w:tcW w:w="643" w:type="dxa"/>
            <w:tcBorders>
              <w:top w:val="single" w:sz="4" w:space="0" w:color="auto"/>
              <w:left w:val="single" w:sz="4" w:space="0" w:color="auto"/>
              <w:bottom w:val="single" w:sz="4" w:space="0" w:color="auto"/>
              <w:right w:val="single" w:sz="4" w:space="0" w:color="auto"/>
            </w:tcBorders>
          </w:tcPr>
          <w:p w14:paraId="5761FC12"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C13"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Workshops, seminars and conferences related to land-based run-off in the GBR are run at GBRMPA</w:t>
            </w:r>
          </w:p>
          <w:p w14:paraId="5761FC14"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GBRMPA seminar series completed a MMP medley involving talks from AIMS and JCU on water quality, coral, seagrass and the recently released Scientific Consensus Statement</w:t>
            </w:r>
          </w:p>
          <w:p w14:paraId="5761FC15"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Managing agencies coordinate field visits/checks for staff to visit projects and learn from delivery partners.</w:t>
            </w:r>
          </w:p>
          <w:p w14:paraId="5761FC1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Government annual science synthesis workshops, other ad-hoc workshops, conferences and working groups for on-the-job training.</w:t>
            </w:r>
          </w:p>
          <w:p w14:paraId="5761FC1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Authors from the Scientific Consensus Statement presented findings to staff</w:t>
            </w:r>
            <w:r>
              <w:rPr>
                <w:rFonts w:ascii="Arial Narrow" w:hAnsi="Arial Narrow"/>
                <w:sz w:val="18"/>
                <w:szCs w:val="18"/>
              </w:rPr>
              <w:t>,</w:t>
            </w:r>
            <w:r w:rsidRPr="00E70A11">
              <w:rPr>
                <w:rFonts w:ascii="Arial Narrow" w:hAnsi="Arial Narrow"/>
                <w:sz w:val="18"/>
                <w:szCs w:val="18"/>
              </w:rPr>
              <w:t>Reef Water Quality Partnership Committee had</w:t>
            </w:r>
            <w:r>
              <w:rPr>
                <w:rFonts w:ascii="Arial Narrow" w:hAnsi="Arial Narrow"/>
                <w:sz w:val="18"/>
                <w:szCs w:val="18"/>
              </w:rPr>
              <w:t xml:space="preserve"> </w:t>
            </w:r>
            <w:r w:rsidRPr="00E70A11">
              <w:rPr>
                <w:rFonts w:ascii="Arial Narrow" w:hAnsi="Arial Narrow"/>
                <w:sz w:val="18"/>
                <w:szCs w:val="18"/>
              </w:rPr>
              <w:t>briefings from lead author</w:t>
            </w:r>
            <w:r>
              <w:rPr>
                <w:rFonts w:ascii="Arial Narrow" w:hAnsi="Arial Narrow"/>
                <w:sz w:val="18"/>
                <w:szCs w:val="18"/>
              </w:rPr>
              <w:t>, Annual Synthesis workshop held in Townsville (110 people including policy, onground managers, science, stakeholders, industry).</w:t>
            </w:r>
          </w:p>
          <w:p w14:paraId="5761FC1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New staff are provided with the Paddock to Reef videos and explanations</w:t>
            </w:r>
          </w:p>
          <w:p w14:paraId="5761FC1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Regional bodies are provided with new starter briefings</w:t>
            </w:r>
          </w:p>
          <w:p w14:paraId="5761FC1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Formal Performance Development Plans (PDPs)</w:t>
            </w:r>
            <w:r>
              <w:rPr>
                <w:rFonts w:ascii="Arial Narrow" w:hAnsi="Arial Narrow"/>
                <w:sz w:val="18"/>
                <w:szCs w:val="18"/>
              </w:rPr>
              <w:t xml:space="preserve"> </w:t>
            </w:r>
            <w:r w:rsidRPr="00E70A11">
              <w:rPr>
                <w:rFonts w:ascii="Arial Narrow" w:hAnsi="Arial Narrow"/>
                <w:sz w:val="18"/>
                <w:szCs w:val="18"/>
              </w:rPr>
              <w:t>for State Government stuff identify training needs with funding available annual for training (e.g. many different types of training provided e.g. Grazing land management training, for BMP staff).</w:t>
            </w:r>
          </w:p>
          <w:p w14:paraId="5761FC1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OGBR webinar series </w:t>
            </w:r>
          </w:p>
          <w:p w14:paraId="5761FC1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There is coordinated training for </w:t>
            </w:r>
            <w:r>
              <w:rPr>
                <w:rFonts w:ascii="Arial Narrow" w:hAnsi="Arial Narrow"/>
                <w:sz w:val="18"/>
                <w:szCs w:val="18"/>
              </w:rPr>
              <w:t xml:space="preserve">Queensland government </w:t>
            </w:r>
            <w:r w:rsidRPr="00E70A11">
              <w:rPr>
                <w:rFonts w:ascii="Arial Narrow" w:hAnsi="Arial Narrow"/>
                <w:sz w:val="18"/>
                <w:szCs w:val="18"/>
              </w:rPr>
              <w:t>Compliance staff</w:t>
            </w:r>
            <w:r>
              <w:rPr>
                <w:rFonts w:ascii="Arial Narrow" w:hAnsi="Arial Narrow"/>
                <w:sz w:val="18"/>
                <w:szCs w:val="18"/>
              </w:rPr>
              <w:t xml:space="preserve">. </w:t>
            </w:r>
            <w:r w:rsidRPr="00E70A11">
              <w:rPr>
                <w:rFonts w:ascii="Arial Narrow" w:hAnsi="Arial Narrow"/>
                <w:sz w:val="18"/>
                <w:szCs w:val="18"/>
              </w:rPr>
              <w:t>There is a training program for new Qld Reef Water Quality Evaluation Framework</w:t>
            </w:r>
          </w:p>
        </w:tc>
        <w:tc>
          <w:tcPr>
            <w:tcW w:w="4597" w:type="dxa"/>
            <w:tcBorders>
              <w:top w:val="single" w:sz="4" w:space="0" w:color="auto"/>
              <w:left w:val="single" w:sz="4" w:space="0" w:color="auto"/>
              <w:bottom w:val="single" w:sz="4" w:space="0" w:color="auto"/>
              <w:right w:val="single" w:sz="4" w:space="0" w:color="auto"/>
            </w:tcBorders>
          </w:tcPr>
          <w:p w14:paraId="5761FC1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GBRMAP and Qld Government information</w:t>
            </w:r>
          </w:p>
        </w:tc>
        <w:tc>
          <w:tcPr>
            <w:tcW w:w="963" w:type="dxa"/>
            <w:tcBorders>
              <w:top w:val="single" w:sz="4" w:space="0" w:color="auto"/>
              <w:left w:val="single" w:sz="4" w:space="0" w:color="auto"/>
              <w:bottom w:val="single" w:sz="4" w:space="0" w:color="auto"/>
              <w:right w:val="single" w:sz="4" w:space="0" w:color="auto"/>
            </w:tcBorders>
          </w:tcPr>
          <w:p w14:paraId="5761FC1E" w14:textId="77777777" w:rsidR="00A56EE9" w:rsidRPr="00E70A11" w:rsidRDefault="00A56EE9" w:rsidP="00BB6AD5">
            <w:pPr>
              <w:pStyle w:val="Tablebulletlist"/>
              <w:rPr>
                <w:rStyle w:val="BookTitle"/>
              </w:rPr>
            </w:pPr>
            <w:r w:rsidRPr="00E70A11">
              <w:rPr>
                <w:rStyle w:val="BookTitle"/>
              </w:rPr>
              <w:t>Limited</w:t>
            </w:r>
          </w:p>
        </w:tc>
        <w:tc>
          <w:tcPr>
            <w:tcW w:w="1003" w:type="dxa"/>
            <w:tcBorders>
              <w:top w:val="single" w:sz="4" w:space="0" w:color="auto"/>
              <w:left w:val="single" w:sz="4" w:space="0" w:color="auto"/>
              <w:bottom w:val="single" w:sz="4" w:space="0" w:color="auto"/>
              <w:right w:val="single" w:sz="4" w:space="0" w:color="auto"/>
            </w:tcBorders>
          </w:tcPr>
          <w:p w14:paraId="5761FC1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C2A"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21"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land-based run-off is consistently implemented across the relevant jurisdictions</w:t>
            </w:r>
          </w:p>
        </w:tc>
        <w:tc>
          <w:tcPr>
            <w:tcW w:w="643" w:type="dxa"/>
            <w:tcBorders>
              <w:top w:val="single" w:sz="4" w:space="0" w:color="auto"/>
              <w:left w:val="single" w:sz="4" w:space="0" w:color="auto"/>
              <w:bottom w:val="single" w:sz="4" w:space="0" w:color="auto"/>
              <w:right w:val="single" w:sz="4" w:space="0" w:color="auto"/>
            </w:tcBorders>
          </w:tcPr>
          <w:p w14:paraId="5761FC22"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C23"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GBR intergovernmental agreement provides a framework for the Australian and Queensland governments to work together to protect the GBR.</w:t>
            </w:r>
          </w:p>
          <w:p w14:paraId="5761FC24"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 Reef 2050 Plan was released by the Australian and Queensland governments in March 2015 and is the overarching framework for protecting and managing the Reef until 2050. The Plan sets clear actions, targets, objectives and outcomes to drive and guide the short, medium and long-term management of the Reef. The Plan firmly responds to the pressures facing the Reef and will address cumulative impacts and increase the Reef’s resilience to longer term threats such as climate change. </w:t>
            </w:r>
          </w:p>
          <w:p w14:paraId="5761FC25"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ESC, SCO and MinFo are forums to enable co-ordination of investments across jurisdictions under Reef 2050 plan.</w:t>
            </w:r>
          </w:p>
        </w:tc>
        <w:tc>
          <w:tcPr>
            <w:tcW w:w="4597" w:type="dxa"/>
            <w:tcBorders>
              <w:top w:val="single" w:sz="4" w:space="0" w:color="auto"/>
              <w:left w:val="single" w:sz="4" w:space="0" w:color="auto"/>
              <w:bottom w:val="single" w:sz="4" w:space="0" w:color="auto"/>
              <w:right w:val="single" w:sz="4" w:space="0" w:color="auto"/>
            </w:tcBorders>
          </w:tcPr>
          <w:p w14:paraId="5761FC2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 Intergovernmental Agreement</w:t>
            </w:r>
          </w:p>
          <w:p w14:paraId="5761FC2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tc>
        <w:tc>
          <w:tcPr>
            <w:tcW w:w="963" w:type="dxa"/>
            <w:tcBorders>
              <w:top w:val="single" w:sz="4" w:space="0" w:color="auto"/>
              <w:left w:val="single" w:sz="4" w:space="0" w:color="auto"/>
              <w:bottom w:val="single" w:sz="4" w:space="0" w:color="auto"/>
              <w:right w:val="single" w:sz="4" w:space="0" w:color="auto"/>
            </w:tcBorders>
          </w:tcPr>
          <w:p w14:paraId="5761FC28"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2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39"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2B"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land-based run-off</w:t>
            </w:r>
          </w:p>
        </w:tc>
        <w:tc>
          <w:tcPr>
            <w:tcW w:w="643" w:type="dxa"/>
            <w:tcBorders>
              <w:top w:val="single" w:sz="4" w:space="0" w:color="auto"/>
              <w:left w:val="single" w:sz="4" w:space="0" w:color="auto"/>
              <w:bottom w:val="single" w:sz="4" w:space="0" w:color="auto"/>
              <w:right w:val="single" w:sz="4" w:space="0" w:color="auto"/>
            </w:tcBorders>
          </w:tcPr>
          <w:p w14:paraId="5761FC2C"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C2D" w14:textId="77777777" w:rsidR="00A56EE9" w:rsidRPr="00E70A11" w:rsidRDefault="00A56EE9" w:rsidP="00A11869">
            <w:pPr>
              <w:pStyle w:val="ListParagraph"/>
              <w:numPr>
                <w:ilvl w:val="0"/>
                <w:numId w:val="24"/>
              </w:numPr>
              <w:rPr>
                <w:rStyle w:val="Hyperlink"/>
                <w:rFonts w:ascii="Arial Narrow" w:hAnsi="Arial Narrow"/>
                <w:sz w:val="18"/>
                <w:szCs w:val="18"/>
              </w:rPr>
            </w:pPr>
            <w:r w:rsidRPr="00E70A11">
              <w:rPr>
                <w:rFonts w:ascii="Arial Narrow" w:hAnsi="Arial Narrow"/>
                <w:sz w:val="18"/>
                <w:szCs w:val="18"/>
              </w:rPr>
              <w:t>Public consultation for guidelines and</w:t>
            </w:r>
            <w:r w:rsidRPr="00E70A11">
              <w:rPr>
                <w:rFonts w:ascii="Arial Narrow" w:hAnsi="Arial Narrow"/>
                <w:sz w:val="18"/>
                <w:szCs w:val="18"/>
                <w:lang w:val="en"/>
              </w:rPr>
              <w:t xml:space="preserve"> Draft </w:t>
            </w:r>
            <w:hyperlink r:id="rId1169" w:history="1">
              <w:r w:rsidRPr="00E70A11">
                <w:rPr>
                  <w:rStyle w:val="Hyperlink"/>
                  <w:rFonts w:ascii="Arial Narrow" w:hAnsi="Arial Narrow"/>
                  <w:sz w:val="18"/>
                  <w:szCs w:val="18"/>
                  <w:lang w:val="en"/>
                </w:rPr>
                <w:t>Reef 2050 Water Quality Improvement Plan 2017-2022</w:t>
              </w:r>
            </w:hyperlink>
          </w:p>
          <w:p w14:paraId="5761FC2E"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Public consultation of the new Qld Reef Regulations</w:t>
            </w:r>
          </w:p>
          <w:p w14:paraId="5761FC2F"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Scientific Consensus Statement development</w:t>
            </w:r>
          </w:p>
          <w:p w14:paraId="5761FC30"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Science synthesis forums (annual, QG funded)</w:t>
            </w:r>
          </w:p>
          <w:p w14:paraId="5761FC31"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Partnership Committee under Reef 2050, WQIP + RAC for Reef 2050 Plan</w:t>
            </w:r>
          </w:p>
          <w:p w14:paraId="5761FC32" w14:textId="77777777" w:rsidR="00A56EE9" w:rsidRPr="00E70A11" w:rsidRDefault="00A56EE9" w:rsidP="00A11869">
            <w:pPr>
              <w:pStyle w:val="ListParagraph"/>
              <w:numPr>
                <w:ilvl w:val="0"/>
                <w:numId w:val="24"/>
              </w:numPr>
              <w:spacing w:after="200"/>
              <w:rPr>
                <w:rStyle w:val="BookTitle"/>
                <w:rFonts w:ascii="Arial Narrow" w:eastAsiaTheme="minorEastAsia" w:hAnsi="Arial Narrow"/>
                <w:sz w:val="18"/>
                <w:szCs w:val="18"/>
                <w:lang w:val="en-GB"/>
              </w:rPr>
            </w:pPr>
            <w:r w:rsidRPr="00E70A11">
              <w:rPr>
                <w:rFonts w:ascii="Arial Narrow" w:hAnsi="Arial Narrow"/>
                <w:sz w:val="18"/>
                <w:szCs w:val="18"/>
              </w:rPr>
              <w:t xml:space="preserve">Review rights exist for all permit applications, and there are public comment periods for applications and policy. </w:t>
            </w:r>
          </w:p>
        </w:tc>
        <w:tc>
          <w:tcPr>
            <w:tcW w:w="4597" w:type="dxa"/>
            <w:tcBorders>
              <w:top w:val="single" w:sz="4" w:space="0" w:color="auto"/>
              <w:left w:val="single" w:sz="4" w:space="0" w:color="auto"/>
              <w:bottom w:val="single" w:sz="4" w:space="0" w:color="auto"/>
              <w:right w:val="single" w:sz="4" w:space="0" w:color="auto"/>
            </w:tcBorders>
          </w:tcPr>
          <w:p w14:paraId="5761FC3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Committees</w:t>
            </w:r>
          </w:p>
          <w:p w14:paraId="5761FC3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Scientific consensus statement </w:t>
            </w:r>
          </w:p>
          <w:p w14:paraId="5761FC3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 committees</w:t>
            </w:r>
          </w:p>
          <w:p w14:paraId="5761FC3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Public consultation on plans and new regulations</w:t>
            </w:r>
          </w:p>
        </w:tc>
        <w:tc>
          <w:tcPr>
            <w:tcW w:w="963" w:type="dxa"/>
            <w:tcBorders>
              <w:top w:val="single" w:sz="4" w:space="0" w:color="auto"/>
              <w:left w:val="single" w:sz="4" w:space="0" w:color="auto"/>
              <w:bottom w:val="single" w:sz="4" w:space="0" w:color="auto"/>
              <w:right w:val="single" w:sz="4" w:space="0" w:color="auto"/>
            </w:tcBorders>
          </w:tcPr>
          <w:p w14:paraId="5761FC37"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3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C4A"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3A"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land-based run-off are appropriately considered.</w:t>
            </w:r>
          </w:p>
        </w:tc>
        <w:tc>
          <w:tcPr>
            <w:tcW w:w="643" w:type="dxa"/>
            <w:tcBorders>
              <w:top w:val="single" w:sz="4" w:space="0" w:color="auto"/>
              <w:left w:val="single" w:sz="4" w:space="0" w:color="auto"/>
              <w:bottom w:val="single" w:sz="4" w:space="0" w:color="auto"/>
              <w:right w:val="single" w:sz="4" w:space="0" w:color="auto"/>
            </w:tcBorders>
          </w:tcPr>
          <w:p w14:paraId="5761FC3B" w14:textId="77777777" w:rsidR="00A56EE9" w:rsidRPr="00E70A11" w:rsidRDefault="00A56EE9" w:rsidP="00BB6AD5">
            <w:pPr>
              <w:pStyle w:val="Tablebulletlist"/>
              <w:rPr>
                <w:rStyle w:val="BookTitle"/>
              </w:rPr>
            </w:pPr>
            <w:r w:rsidRPr="00E70A11">
              <w:rPr>
                <w:rStyle w:val="BookTitle"/>
              </w:rPr>
              <w:t>3</w:t>
            </w:r>
          </w:p>
        </w:tc>
        <w:tc>
          <w:tcPr>
            <w:tcW w:w="4957" w:type="dxa"/>
            <w:tcBorders>
              <w:top w:val="single" w:sz="4" w:space="0" w:color="auto"/>
              <w:left w:val="single" w:sz="4" w:space="0" w:color="auto"/>
              <w:bottom w:val="single" w:sz="4" w:space="0" w:color="auto"/>
              <w:right w:val="single" w:sz="4" w:space="0" w:color="auto"/>
            </w:tcBorders>
          </w:tcPr>
          <w:p w14:paraId="5761FC3C"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The Paddock to Reef Program integrates information on management practices, catchment indicators, catchment water quality and the ecological health of the GBR. Condition and trend of values such as annual average sediment load, particulate nitrogen and phosphorus load, dissolved inorganic nitrogen and pesticide loads to land-based runoff are measured through the</w:t>
            </w:r>
            <w:r>
              <w:rPr>
                <w:rFonts w:ascii="Arial Narrow" w:hAnsi="Arial Narrow"/>
                <w:sz w:val="18"/>
                <w:szCs w:val="18"/>
              </w:rPr>
              <w:t xml:space="preserve"> </w:t>
            </w:r>
            <w:r w:rsidRPr="00E70A11">
              <w:rPr>
                <w:rFonts w:ascii="Arial Narrow" w:hAnsi="Arial Narrow"/>
                <w:sz w:val="18"/>
                <w:szCs w:val="18"/>
              </w:rPr>
              <w:t>Paddock to Reef Monitoring, Modelling and Reporting program, which includes the Marine Monitoring Program and measuring the actions of land managers aimed at reducing land-based runoff</w:t>
            </w:r>
          </w:p>
          <w:p w14:paraId="5761FC3D"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Marine Monitoring Program monitors and reports on water quality and the health of key marine ecosystems such as coral reefs and seagrass in the inshore Great Barrier Reef lagoon. The Marine Monitoring Program has a Monitoring, Evaluation, Reporting and Improvement Plan that ensures activities are appropriate and adequate. Information from the Marine Monitoring Program is integrated into metrics that describe inshore marine water quality, seagrass and coral condition and trends in condition assessments are used to evaluate progress towards the Reef WQIP goal for the marine environment as part of the Report Card.</w:t>
            </w:r>
          </w:p>
          <w:p w14:paraId="5761FC3E"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Cumulative impacts Management Policy (public consultation) provides a systematic and consistent approach to managing and reducing cumulative impacts on the GBR</w:t>
            </w:r>
          </w:p>
          <w:p w14:paraId="5761FC3F" w14:textId="77777777" w:rsidR="00A56EE9" w:rsidRPr="00E70A11" w:rsidRDefault="00A56EE9" w:rsidP="00A11869">
            <w:pPr>
              <w:pStyle w:val="ListParagraph"/>
              <w:numPr>
                <w:ilvl w:val="0"/>
                <w:numId w:val="24"/>
              </w:numPr>
              <w:rPr>
                <w:rFonts w:ascii="Arial Narrow" w:hAnsi="Arial Narrow"/>
                <w:sz w:val="18"/>
                <w:szCs w:val="18"/>
                <w:u w:val="single"/>
              </w:rPr>
            </w:pPr>
            <w:r w:rsidRPr="00E70A11">
              <w:rPr>
                <w:rFonts w:ascii="Arial Narrow" w:hAnsi="Arial Narrow"/>
                <w:sz w:val="18"/>
                <w:szCs w:val="18"/>
              </w:rPr>
              <w:t xml:space="preserve">Scientific Consensus Statement has been utilised to make management decisions. </w:t>
            </w:r>
          </w:p>
          <w:p w14:paraId="5761FC4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Outcomes from NESP projects delivering information on cumulative and interactive effects are incorporated into policy and reports where relevant</w:t>
            </w:r>
          </w:p>
          <w:p w14:paraId="5761FC4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eReefs to model WQ and ecosystem health impacts</w:t>
            </w:r>
          </w:p>
        </w:tc>
        <w:tc>
          <w:tcPr>
            <w:tcW w:w="4597" w:type="dxa"/>
            <w:tcBorders>
              <w:top w:val="single" w:sz="4" w:space="0" w:color="auto"/>
              <w:left w:val="single" w:sz="4" w:space="0" w:color="auto"/>
              <w:bottom w:val="single" w:sz="4" w:space="0" w:color="auto"/>
              <w:right w:val="single" w:sz="4" w:space="0" w:color="auto"/>
            </w:tcBorders>
          </w:tcPr>
          <w:p w14:paraId="5761FC42" w14:textId="77777777" w:rsidR="00A56EE9" w:rsidRPr="00E70A11" w:rsidRDefault="008B5998" w:rsidP="00A11869">
            <w:pPr>
              <w:pStyle w:val="ListParagraph"/>
              <w:numPr>
                <w:ilvl w:val="0"/>
                <w:numId w:val="24"/>
              </w:numPr>
              <w:rPr>
                <w:rFonts w:ascii="Arial Narrow" w:hAnsi="Arial Narrow"/>
                <w:sz w:val="18"/>
                <w:szCs w:val="18"/>
              </w:rPr>
            </w:pPr>
            <w:hyperlink r:id="rId1170" w:history="1">
              <w:r w:rsidR="00A56EE9" w:rsidRPr="00E70A11">
                <w:rPr>
                  <w:rStyle w:val="Hyperlink"/>
                  <w:rFonts w:ascii="Arial Narrow" w:hAnsi="Arial Narrow"/>
                  <w:sz w:val="18"/>
                  <w:szCs w:val="18"/>
                </w:rPr>
                <w:t>Cumulative impact management Policy</w:t>
              </w:r>
            </w:hyperlink>
          </w:p>
          <w:p w14:paraId="5761FC43" w14:textId="77777777" w:rsidR="00A56EE9" w:rsidRPr="00E70A11" w:rsidRDefault="008B5998" w:rsidP="00A11869">
            <w:pPr>
              <w:pStyle w:val="ListParagraph"/>
              <w:numPr>
                <w:ilvl w:val="0"/>
                <w:numId w:val="24"/>
              </w:numPr>
              <w:rPr>
                <w:rFonts w:ascii="Arial Narrow" w:hAnsi="Arial Narrow"/>
                <w:sz w:val="18"/>
                <w:szCs w:val="18"/>
                <w:u w:val="single"/>
              </w:rPr>
            </w:pPr>
            <w:hyperlink r:id="rId1171" w:history="1">
              <w:r w:rsidR="00A56EE9" w:rsidRPr="00E70A11">
                <w:rPr>
                  <w:rStyle w:val="Hyperlink"/>
                  <w:rFonts w:ascii="Arial Narrow" w:hAnsi="Arial Narrow"/>
                  <w:sz w:val="18"/>
                  <w:szCs w:val="18"/>
                </w:rPr>
                <w:t>2017 Scientific Consensus Statement</w:t>
              </w:r>
            </w:hyperlink>
          </w:p>
          <w:p w14:paraId="5761FC44" w14:textId="77777777" w:rsidR="00A56EE9" w:rsidRPr="00E70A11" w:rsidRDefault="008B5998" w:rsidP="00A11869">
            <w:pPr>
              <w:pStyle w:val="ListParagraph"/>
              <w:numPr>
                <w:ilvl w:val="0"/>
                <w:numId w:val="24"/>
              </w:numPr>
              <w:rPr>
                <w:rFonts w:ascii="Arial Narrow" w:hAnsi="Arial Narrow"/>
                <w:sz w:val="18"/>
                <w:szCs w:val="18"/>
              </w:rPr>
            </w:pPr>
            <w:hyperlink r:id="rId1172" w:history="1">
              <w:r w:rsidR="00A56EE9" w:rsidRPr="00E70A11">
                <w:rPr>
                  <w:rStyle w:val="Hyperlink"/>
                  <w:rFonts w:ascii="Arial Narrow" w:hAnsi="Arial Narrow"/>
                  <w:sz w:val="18"/>
                  <w:szCs w:val="18"/>
                </w:rPr>
                <w:t>Reef 2050 Long-Term Sustainability Plan</w:t>
              </w:r>
            </w:hyperlink>
          </w:p>
          <w:p w14:paraId="5761FC4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Paddock to Reef Integrated Monitoring, Modelling and Reporting Program</w:t>
            </w:r>
          </w:p>
          <w:p w14:paraId="5761FC4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Water Quality Improvement Plan</w:t>
            </w:r>
          </w:p>
          <w:p w14:paraId="5761FC47" w14:textId="77777777" w:rsidR="00A56EE9" w:rsidRPr="00E70A11" w:rsidRDefault="00A56EE9" w:rsidP="00BB6AD5">
            <w:pPr>
              <w:pStyle w:val="ListParagraph"/>
              <w:ind w:left="360"/>
              <w:rPr>
                <w:rStyle w:val="BookTitle"/>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tcPr>
          <w:p w14:paraId="5761FC48"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4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58"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4B"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land-based run-off</w:t>
            </w:r>
          </w:p>
        </w:tc>
        <w:tc>
          <w:tcPr>
            <w:tcW w:w="643" w:type="dxa"/>
            <w:tcBorders>
              <w:top w:val="single" w:sz="4" w:space="0" w:color="auto"/>
              <w:left w:val="single" w:sz="4" w:space="0" w:color="auto"/>
              <w:bottom w:val="single" w:sz="4" w:space="0" w:color="auto"/>
              <w:right w:val="single" w:sz="4" w:space="0" w:color="auto"/>
            </w:tcBorders>
          </w:tcPr>
          <w:p w14:paraId="5761FC4C"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C4D"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Scientific Consensus Statement 2017 is the synthesis of all available information on biophysical research and monitoring information and provided information for the review of Reef WQIP.</w:t>
            </w:r>
          </w:p>
          <w:p w14:paraId="5761FC4E" w14:textId="77777777" w:rsidR="00A56EE9" w:rsidRPr="00E70A11" w:rsidRDefault="00A56EE9" w:rsidP="00A11869">
            <w:pPr>
              <w:pStyle w:val="ListParagraph"/>
              <w:numPr>
                <w:ilvl w:val="0"/>
                <w:numId w:val="24"/>
              </w:numPr>
              <w:rPr>
                <w:rFonts w:ascii="Arial Narrow" w:hAnsi="Arial Narrow"/>
                <w:b/>
                <w:sz w:val="18"/>
                <w:szCs w:val="18"/>
              </w:rPr>
            </w:pPr>
            <w:r w:rsidRPr="00E70A11">
              <w:rPr>
                <w:rFonts w:ascii="Arial Narrow" w:hAnsi="Arial Narrow"/>
                <w:sz w:val="18"/>
                <w:szCs w:val="18"/>
              </w:rPr>
              <w:t>Reef WQIP, Paddock to Reef Integrated Monitoring, Modelling And Reporting Program</w:t>
            </w:r>
            <w:r>
              <w:rPr>
                <w:rFonts w:ascii="Arial Narrow" w:hAnsi="Arial Narrow"/>
                <w:sz w:val="18"/>
                <w:szCs w:val="18"/>
              </w:rPr>
              <w:t xml:space="preserve"> </w:t>
            </w:r>
            <w:r w:rsidRPr="00E70A11">
              <w:rPr>
                <w:rFonts w:ascii="Arial Narrow" w:hAnsi="Arial Narrow"/>
                <w:sz w:val="18"/>
                <w:szCs w:val="18"/>
              </w:rPr>
              <w:t>and the Marine Monitoring Program are reviewed as part of the adaptive management</w:t>
            </w:r>
            <w:r w:rsidRPr="00E70A11">
              <w:rPr>
                <w:rFonts w:ascii="Arial Narrow" w:hAnsi="Arial Narrow"/>
                <w:b/>
                <w:sz w:val="18"/>
                <w:szCs w:val="18"/>
              </w:rPr>
              <w:t xml:space="preserve"> </w:t>
            </w:r>
            <w:r w:rsidRPr="00E70A11">
              <w:rPr>
                <w:rFonts w:ascii="Arial Narrow" w:hAnsi="Arial Narrow"/>
                <w:sz w:val="18"/>
                <w:szCs w:val="18"/>
              </w:rPr>
              <w:t>cycle to ensure the best available information is generated and applied appropriately to make management decisions.</w:t>
            </w:r>
            <w:r w:rsidRPr="00E70A11">
              <w:rPr>
                <w:rFonts w:ascii="Arial Narrow" w:hAnsi="Arial Narrow"/>
                <w:b/>
                <w:sz w:val="18"/>
                <w:szCs w:val="18"/>
              </w:rPr>
              <w:t xml:space="preserve"> </w:t>
            </w:r>
          </w:p>
          <w:p w14:paraId="5761FC4F"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Management scenario modelling under Paddock to Reef Integrated Monitoring, Modelling and Reporting Program, eReefs</w:t>
            </w:r>
          </w:p>
          <w:p w14:paraId="5761FC5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Outcomes from NESP projects delivering information on cumulative and interactive effects are incorporated into policy and reports where appropriate.</w:t>
            </w:r>
          </w:p>
          <w:p w14:paraId="5761FC5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There are currently over 90 monitoring programs operating in the Great Barrier Reef World Heritage Area and adjacent catchment. Development of RIMREP will include an analysis of existing monitoring against Reef 2050 Plan deliverables. This will inform decisions on where there may be duplication or gaps in current monitoring, as well as areas where data management, analysis, synthesis and reporting may be improved. This is still in development phase.</w:t>
            </w:r>
          </w:p>
        </w:tc>
        <w:tc>
          <w:tcPr>
            <w:tcW w:w="4597" w:type="dxa"/>
            <w:tcBorders>
              <w:top w:val="single" w:sz="4" w:space="0" w:color="auto"/>
              <w:left w:val="single" w:sz="4" w:space="0" w:color="auto"/>
              <w:bottom w:val="single" w:sz="4" w:space="0" w:color="auto"/>
              <w:right w:val="single" w:sz="4" w:space="0" w:color="auto"/>
            </w:tcBorders>
          </w:tcPr>
          <w:p w14:paraId="5761FC5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Scientific Consensus Statement</w:t>
            </w:r>
          </w:p>
          <w:p w14:paraId="5761FC5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Paddock to Reef Integrated Monitoring, Modelling and Reporting Program </w:t>
            </w:r>
          </w:p>
          <w:p w14:paraId="5761FC5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C5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w:t>
            </w:r>
          </w:p>
        </w:tc>
        <w:tc>
          <w:tcPr>
            <w:tcW w:w="963" w:type="dxa"/>
            <w:tcBorders>
              <w:top w:val="single" w:sz="4" w:space="0" w:color="auto"/>
              <w:left w:val="single" w:sz="4" w:space="0" w:color="auto"/>
              <w:bottom w:val="single" w:sz="4" w:space="0" w:color="auto"/>
              <w:right w:val="single" w:sz="4" w:space="0" w:color="auto"/>
            </w:tcBorders>
          </w:tcPr>
          <w:p w14:paraId="5761FC56"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5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6A"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59"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land-based run-off</w:t>
            </w:r>
          </w:p>
        </w:tc>
        <w:tc>
          <w:tcPr>
            <w:tcW w:w="643" w:type="dxa"/>
            <w:tcBorders>
              <w:top w:val="single" w:sz="4" w:space="0" w:color="auto"/>
              <w:left w:val="single" w:sz="4" w:space="0" w:color="auto"/>
              <w:bottom w:val="single" w:sz="4" w:space="0" w:color="auto"/>
              <w:right w:val="single" w:sz="4" w:space="0" w:color="auto"/>
            </w:tcBorders>
          </w:tcPr>
          <w:p w14:paraId="5761FC5A" w14:textId="77777777" w:rsidR="00A56EE9" w:rsidRPr="00E70A11" w:rsidRDefault="00A56EE9" w:rsidP="00BB6AD5">
            <w:pPr>
              <w:pStyle w:val="Tablebulletlist"/>
              <w:rPr>
                <w:rStyle w:val="BookTitle"/>
              </w:rPr>
            </w:pPr>
            <w:r w:rsidRPr="00E70A11">
              <w:rPr>
                <w:rStyle w:val="BookTitle"/>
              </w:rPr>
              <w:t>3</w:t>
            </w:r>
          </w:p>
        </w:tc>
        <w:tc>
          <w:tcPr>
            <w:tcW w:w="4957" w:type="dxa"/>
            <w:tcBorders>
              <w:top w:val="single" w:sz="4" w:space="0" w:color="auto"/>
              <w:left w:val="single" w:sz="4" w:space="0" w:color="auto"/>
              <w:bottom w:val="single" w:sz="4" w:space="0" w:color="auto"/>
              <w:right w:val="single" w:sz="4" w:space="0" w:color="auto"/>
            </w:tcBorders>
          </w:tcPr>
          <w:p w14:paraId="5761FC5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Regional WQIPs looking at socio-economic drivers</w:t>
            </w:r>
          </w:p>
          <w:p w14:paraId="5761FC5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Water Quality Improvement will be incorporating human dimensions including our social, cultural and economic values and how they drive our adoption of actions to improve water quality</w:t>
            </w:r>
          </w:p>
          <w:p w14:paraId="5761FC5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GBR blueprint for resilience is working with </w:t>
            </w:r>
            <w:r w:rsidRPr="00E70A11">
              <w:rPr>
                <w:rFonts w:ascii="Arial Narrow" w:hAnsi="Arial Narrow"/>
                <w:iCs/>
                <w:sz w:val="18"/>
                <w:szCs w:val="18"/>
              </w:rPr>
              <w:t>Individuals, industries and communities to ensure they are aware of the challenges facing the Reef, are actively engaged in efforts to protect it, and are inspiring intergenerational change</w:t>
            </w:r>
          </w:p>
          <w:p w14:paraId="5761FC5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Human Dimensions expert working group to inform the RIMREP Program design.</w:t>
            </w:r>
          </w:p>
          <w:p w14:paraId="5761FC5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SELTMP 2014 report on coastal communities in the GBR depicts the current state of coastal community characteristics and relationships with the GBR, and drivers of change.</w:t>
            </w:r>
          </w:p>
          <w:p w14:paraId="5761FC6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Scientific Consensus Statement 2017 Chapter 5 covers the synthesis of socio-economic information</w:t>
            </w:r>
          </w:p>
        </w:tc>
        <w:tc>
          <w:tcPr>
            <w:tcW w:w="4597" w:type="dxa"/>
            <w:tcBorders>
              <w:top w:val="single" w:sz="4" w:space="0" w:color="auto"/>
              <w:left w:val="single" w:sz="4" w:space="0" w:color="auto"/>
              <w:bottom w:val="single" w:sz="4" w:space="0" w:color="auto"/>
              <w:right w:val="single" w:sz="4" w:space="0" w:color="auto"/>
            </w:tcBorders>
          </w:tcPr>
          <w:p w14:paraId="5761FC6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RIMReP</w:t>
            </w:r>
          </w:p>
          <w:p w14:paraId="5761FC6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SELTMP 2014, 2018</w:t>
            </w:r>
          </w:p>
          <w:p w14:paraId="5761FC6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WQIP inc human dimensions target, actions, deliverables – establishing Human Dimensions baseline</w:t>
            </w:r>
          </w:p>
          <w:p w14:paraId="5761FC64" w14:textId="77777777" w:rsidR="00A56EE9" w:rsidRPr="00E70A11" w:rsidRDefault="008B5998" w:rsidP="00A11869">
            <w:pPr>
              <w:pStyle w:val="ListParagraph"/>
              <w:numPr>
                <w:ilvl w:val="0"/>
                <w:numId w:val="24"/>
              </w:numPr>
              <w:rPr>
                <w:rFonts w:ascii="Arial Narrow" w:hAnsi="Arial Narrow"/>
                <w:sz w:val="18"/>
                <w:szCs w:val="18"/>
              </w:rPr>
            </w:pPr>
            <w:hyperlink r:id="rId1173" w:history="1">
              <w:r w:rsidR="00A56EE9" w:rsidRPr="00E70A11">
                <w:rPr>
                  <w:rFonts w:ascii="Arial Narrow" w:hAnsi="Arial Narrow"/>
                  <w:sz w:val="18"/>
                  <w:szCs w:val="18"/>
                </w:rPr>
                <w:t>Deloitte Access Economics Report</w:t>
              </w:r>
            </w:hyperlink>
            <w:r w:rsidR="00A56EE9" w:rsidRPr="00E70A11">
              <w:rPr>
                <w:rFonts w:ascii="Arial Narrow" w:hAnsi="Arial Narrow"/>
                <w:sz w:val="18"/>
                <w:szCs w:val="18"/>
              </w:rPr>
              <w:t xml:space="preserve"> 2017 – At what price? The economic, social and icon value of the Great Barrier Reef</w:t>
            </w:r>
          </w:p>
          <w:p w14:paraId="5761FC65"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Gooch et al. 2017 Assessment and Promotion of the Great Barrier Reef’s Human Dimensions through Collaboration. Coastal Management, </w:t>
            </w:r>
          </w:p>
          <w:p w14:paraId="5761FC66" w14:textId="77777777" w:rsidR="00A56EE9" w:rsidRPr="00E70A11" w:rsidRDefault="00A56EE9" w:rsidP="00A11869">
            <w:pPr>
              <w:pStyle w:val="ListParagraph"/>
              <w:numPr>
                <w:ilvl w:val="0"/>
                <w:numId w:val="24"/>
              </w:numPr>
              <w:rPr>
                <w:rFonts w:ascii="Arial Narrow" w:hAnsi="Arial Narrow"/>
                <w:sz w:val="18"/>
                <w:szCs w:val="18"/>
              </w:rPr>
            </w:pPr>
            <w:r w:rsidRPr="00E70A11">
              <w:rPr>
                <w:rStyle w:val="BookTitle"/>
                <w:rFonts w:ascii="Arial Narrow" w:hAnsi="Arial Narrow"/>
                <w:sz w:val="18"/>
                <w:szCs w:val="18"/>
              </w:rPr>
              <w:t>Regional Water Quality Improvement Plans</w:t>
            </w:r>
          </w:p>
          <w:p w14:paraId="5761FC67" w14:textId="77777777" w:rsidR="00A56EE9" w:rsidRPr="00E70A11" w:rsidRDefault="00A56EE9" w:rsidP="00BB6AD5">
            <w:pPr>
              <w:pStyle w:val="ListParagraph"/>
              <w:ind w:left="360"/>
              <w:rPr>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tcPr>
          <w:p w14:paraId="5761FC68"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6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71"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6B"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land-based run-off</w:t>
            </w:r>
          </w:p>
        </w:tc>
        <w:tc>
          <w:tcPr>
            <w:tcW w:w="643" w:type="dxa"/>
            <w:tcBorders>
              <w:top w:val="single" w:sz="4" w:space="0" w:color="auto"/>
              <w:left w:val="single" w:sz="4" w:space="0" w:color="auto"/>
              <w:bottom w:val="single" w:sz="4" w:space="0" w:color="auto"/>
              <w:right w:val="single" w:sz="4" w:space="0" w:color="auto"/>
            </w:tcBorders>
          </w:tcPr>
          <w:p w14:paraId="5761FC6C" w14:textId="77777777" w:rsidR="00A56EE9" w:rsidRPr="00E70A11" w:rsidRDefault="00A56EE9" w:rsidP="00BB6AD5">
            <w:pPr>
              <w:pStyle w:val="Tablebulletlist"/>
              <w:rPr>
                <w:rStyle w:val="BookTitle"/>
              </w:rPr>
            </w:pPr>
            <w:r w:rsidRPr="00E70A11">
              <w:rPr>
                <w:rStyle w:val="BookTitle"/>
              </w:rPr>
              <w:t>3</w:t>
            </w:r>
          </w:p>
        </w:tc>
        <w:tc>
          <w:tcPr>
            <w:tcW w:w="4957" w:type="dxa"/>
            <w:tcBorders>
              <w:top w:val="single" w:sz="4" w:space="0" w:color="auto"/>
              <w:left w:val="single" w:sz="4" w:space="0" w:color="auto"/>
              <w:bottom w:val="single" w:sz="4" w:space="0" w:color="auto"/>
              <w:right w:val="single" w:sz="4" w:space="0" w:color="auto"/>
            </w:tcBorders>
          </w:tcPr>
          <w:p w14:paraId="5761FC6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 Reef Water Quality Protection Plan (reviewed in 2017) has increased involvement and recognition of Indigenous ranger programs to improve the quality of water entering the Reef </w:t>
            </w:r>
            <w:r>
              <w:rPr>
                <w:rFonts w:ascii="Arial Narrow" w:hAnsi="Arial Narrow"/>
                <w:sz w:val="18"/>
                <w:szCs w:val="18"/>
              </w:rPr>
              <w:t>- now Reef 2050 WQIP</w:t>
            </w:r>
          </w:p>
        </w:tc>
        <w:tc>
          <w:tcPr>
            <w:tcW w:w="4597" w:type="dxa"/>
            <w:tcBorders>
              <w:top w:val="single" w:sz="4" w:space="0" w:color="auto"/>
              <w:left w:val="single" w:sz="4" w:space="0" w:color="auto"/>
              <w:bottom w:val="single" w:sz="4" w:space="0" w:color="auto"/>
              <w:right w:val="single" w:sz="4" w:space="0" w:color="auto"/>
            </w:tcBorders>
          </w:tcPr>
          <w:p w14:paraId="5761FC6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IRAC papers</w:t>
            </w:r>
          </w:p>
        </w:tc>
        <w:tc>
          <w:tcPr>
            <w:tcW w:w="963" w:type="dxa"/>
            <w:tcBorders>
              <w:top w:val="single" w:sz="4" w:space="0" w:color="auto"/>
              <w:left w:val="single" w:sz="4" w:space="0" w:color="auto"/>
              <w:bottom w:val="single" w:sz="4" w:space="0" w:color="auto"/>
              <w:right w:val="single" w:sz="4" w:space="0" w:color="auto"/>
            </w:tcBorders>
          </w:tcPr>
          <w:p w14:paraId="5761FC6F" w14:textId="77777777" w:rsidR="00A56EE9" w:rsidRPr="00E70A11" w:rsidRDefault="00A56EE9" w:rsidP="00BB6AD5">
            <w:pPr>
              <w:pStyle w:val="Tablebulletlist"/>
              <w:rPr>
                <w:rStyle w:val="BookTitle"/>
              </w:rPr>
            </w:pPr>
            <w:r w:rsidRPr="00E70A11">
              <w:rPr>
                <w:rStyle w:val="BookTitle"/>
              </w:rPr>
              <w:t>Limited</w:t>
            </w:r>
          </w:p>
        </w:tc>
        <w:tc>
          <w:tcPr>
            <w:tcW w:w="1003" w:type="dxa"/>
            <w:tcBorders>
              <w:top w:val="single" w:sz="4" w:space="0" w:color="auto"/>
              <w:left w:val="single" w:sz="4" w:space="0" w:color="auto"/>
              <w:bottom w:val="single" w:sz="4" w:space="0" w:color="auto"/>
              <w:right w:val="single" w:sz="4" w:space="0" w:color="auto"/>
            </w:tcBorders>
          </w:tcPr>
          <w:p w14:paraId="5761FC70"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78"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72"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land-based run-off</w:t>
            </w:r>
          </w:p>
        </w:tc>
        <w:tc>
          <w:tcPr>
            <w:tcW w:w="643" w:type="dxa"/>
            <w:tcBorders>
              <w:top w:val="single" w:sz="4" w:space="0" w:color="auto"/>
              <w:left w:val="single" w:sz="4" w:space="0" w:color="auto"/>
              <w:bottom w:val="single" w:sz="4" w:space="0" w:color="auto"/>
              <w:right w:val="single" w:sz="4" w:space="0" w:color="auto"/>
            </w:tcBorders>
          </w:tcPr>
          <w:p w14:paraId="5761FC73" w14:textId="77777777" w:rsidR="00A56EE9" w:rsidRPr="00E70A11" w:rsidRDefault="00A56EE9" w:rsidP="00BB6AD5">
            <w:pPr>
              <w:pStyle w:val="Tablebulletlist"/>
              <w:rPr>
                <w:rStyle w:val="BookTitle"/>
              </w:rPr>
            </w:pPr>
            <w:r w:rsidRPr="00E70A11">
              <w:rPr>
                <w:rStyle w:val="BookTitle"/>
              </w:rPr>
              <w:t>NA</w:t>
            </w:r>
          </w:p>
        </w:tc>
        <w:tc>
          <w:tcPr>
            <w:tcW w:w="4957" w:type="dxa"/>
            <w:tcBorders>
              <w:top w:val="single" w:sz="4" w:space="0" w:color="auto"/>
              <w:left w:val="single" w:sz="4" w:space="0" w:color="auto"/>
              <w:bottom w:val="single" w:sz="4" w:space="0" w:color="auto"/>
              <w:right w:val="single" w:sz="4" w:space="0" w:color="auto"/>
            </w:tcBorders>
          </w:tcPr>
          <w:p w14:paraId="5761FC74" w14:textId="77777777" w:rsidR="00A56EE9" w:rsidRPr="00E70A11" w:rsidRDefault="00A56EE9" w:rsidP="00BB6AD5">
            <w:pPr>
              <w:rPr>
                <w:rStyle w:val="BookTitle"/>
                <w:rFonts w:ascii="Arial Narrow" w:hAnsi="Arial Narrow"/>
                <w:sz w:val="18"/>
                <w:szCs w:val="18"/>
              </w:rPr>
            </w:pPr>
          </w:p>
        </w:tc>
        <w:tc>
          <w:tcPr>
            <w:tcW w:w="4597" w:type="dxa"/>
            <w:tcBorders>
              <w:top w:val="single" w:sz="4" w:space="0" w:color="auto"/>
              <w:left w:val="single" w:sz="4" w:space="0" w:color="auto"/>
              <w:bottom w:val="single" w:sz="4" w:space="0" w:color="auto"/>
              <w:right w:val="single" w:sz="4" w:space="0" w:color="auto"/>
            </w:tcBorders>
          </w:tcPr>
          <w:p w14:paraId="5761FC75" w14:textId="77777777" w:rsidR="00A56EE9" w:rsidRPr="00E70A11" w:rsidRDefault="00A56EE9" w:rsidP="00BB6AD5">
            <w:pPr>
              <w:rPr>
                <w:rStyle w:val="BookTitle"/>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tcPr>
          <w:p w14:paraId="5761FC76" w14:textId="77777777" w:rsidR="00A56EE9" w:rsidRPr="00E70A11" w:rsidRDefault="00A56EE9" w:rsidP="00BB6AD5">
            <w:pPr>
              <w:pStyle w:val="Tablebulletlist"/>
              <w:rPr>
                <w:rStyle w:val="BookTitle"/>
              </w:rPr>
            </w:pPr>
          </w:p>
        </w:tc>
        <w:tc>
          <w:tcPr>
            <w:tcW w:w="1003" w:type="dxa"/>
            <w:tcBorders>
              <w:top w:val="single" w:sz="4" w:space="0" w:color="auto"/>
              <w:left w:val="single" w:sz="4" w:space="0" w:color="auto"/>
              <w:bottom w:val="single" w:sz="4" w:space="0" w:color="auto"/>
              <w:right w:val="single" w:sz="4" w:space="0" w:color="auto"/>
            </w:tcBorders>
          </w:tcPr>
          <w:p w14:paraId="5761FC77" w14:textId="77777777" w:rsidR="00A56EE9" w:rsidRPr="00E70A11" w:rsidRDefault="00A56EE9" w:rsidP="00BB6AD5">
            <w:pPr>
              <w:pStyle w:val="Tablebulletlist"/>
              <w:rPr>
                <w:rStyle w:val="BookTitle"/>
              </w:rPr>
            </w:pPr>
          </w:p>
        </w:tc>
      </w:tr>
      <w:tr w:rsidR="00A56EE9" w:rsidRPr="00E70A11" w14:paraId="5761FC8D"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shd w:val="clear" w:color="auto" w:fill="auto"/>
          </w:tcPr>
          <w:p w14:paraId="5761FC79"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land-based run-off</w:t>
            </w:r>
          </w:p>
        </w:tc>
        <w:tc>
          <w:tcPr>
            <w:tcW w:w="643" w:type="dxa"/>
            <w:tcBorders>
              <w:top w:val="single" w:sz="4" w:space="0" w:color="auto"/>
              <w:left w:val="single" w:sz="4" w:space="0" w:color="auto"/>
              <w:bottom w:val="single" w:sz="4" w:space="0" w:color="auto"/>
              <w:right w:val="single" w:sz="4" w:space="0" w:color="auto"/>
            </w:tcBorders>
          </w:tcPr>
          <w:p w14:paraId="5761FC7A"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C7B"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Reef WQIP has clear water quality targets, and catchment and land management targets. </w:t>
            </w:r>
          </w:p>
          <w:p w14:paraId="5761FC7C"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Great Barrier Reef Water Science Taskforce Report and the 2015 Report Card assessment clearly show, progress with water quality load targets is not ‘on-track’ and it is highly likely that most 2018 targets will not be met.</w:t>
            </w:r>
          </w:p>
          <w:p w14:paraId="5761FC7D" w14:textId="77777777" w:rsidR="00A56EE9" w:rsidRPr="00E70A11" w:rsidRDefault="008B5998" w:rsidP="00A11869">
            <w:pPr>
              <w:pStyle w:val="ListParagraph"/>
              <w:numPr>
                <w:ilvl w:val="0"/>
                <w:numId w:val="24"/>
              </w:numPr>
              <w:rPr>
                <w:rFonts w:ascii="Arial Narrow" w:hAnsi="Arial Narrow"/>
                <w:sz w:val="18"/>
                <w:szCs w:val="18"/>
              </w:rPr>
            </w:pPr>
            <w:hyperlink r:id="rId1174" w:history="1">
              <w:r w:rsidR="00A56EE9" w:rsidRPr="00E70A11">
                <w:rPr>
                  <w:rStyle w:val="Hyperlink"/>
                  <w:rFonts w:ascii="Arial Narrow" w:hAnsi="Arial Narrow"/>
                  <w:sz w:val="18"/>
                  <w:szCs w:val="18"/>
                </w:rPr>
                <w:t>2016 Report Card results</w:t>
              </w:r>
            </w:hyperlink>
            <w:r w:rsidR="00A56EE9" w:rsidRPr="00E70A11">
              <w:rPr>
                <w:rFonts w:ascii="Arial Narrow" w:hAnsi="Arial Narrow"/>
                <w:sz w:val="18"/>
                <w:szCs w:val="18"/>
              </w:rPr>
              <w:t xml:space="preserve"> show progress in some areas; however, faster uptake of improved land management practices is required to meet the water quality targets.</w:t>
            </w:r>
          </w:p>
          <w:p w14:paraId="5761FC7E"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In 2017 Reef </w:t>
            </w:r>
            <w:r>
              <w:rPr>
                <w:rFonts w:ascii="Arial Narrow" w:hAnsi="Arial Narrow"/>
                <w:sz w:val="18"/>
                <w:szCs w:val="18"/>
              </w:rPr>
              <w:t>Plan</w:t>
            </w:r>
            <w:r w:rsidRPr="00E70A11">
              <w:rPr>
                <w:rFonts w:ascii="Arial Narrow" w:hAnsi="Arial Narrow"/>
                <w:sz w:val="18"/>
                <w:szCs w:val="18"/>
              </w:rPr>
              <w:t xml:space="preserve"> went under review</w:t>
            </w:r>
            <w:r>
              <w:rPr>
                <w:rFonts w:ascii="Arial Narrow" w:hAnsi="Arial Narrow"/>
                <w:sz w:val="18"/>
                <w:szCs w:val="18"/>
              </w:rPr>
              <w:t>.</w:t>
            </w:r>
            <w:r w:rsidRPr="00E70A11">
              <w:rPr>
                <w:rFonts w:ascii="Arial Narrow" w:hAnsi="Arial Narrow"/>
                <w:sz w:val="18"/>
                <w:szCs w:val="18"/>
              </w:rPr>
              <w:t xml:space="preserve"> </w:t>
            </w:r>
            <w:r>
              <w:rPr>
                <w:rFonts w:ascii="Arial Narrow" w:hAnsi="Arial Narrow"/>
                <w:sz w:val="18"/>
                <w:szCs w:val="18"/>
              </w:rPr>
              <w:t>T</w:t>
            </w:r>
            <w:r w:rsidRPr="00E70A11">
              <w:rPr>
                <w:rFonts w:ascii="Arial Narrow" w:hAnsi="Arial Narrow"/>
                <w:sz w:val="18"/>
                <w:szCs w:val="18"/>
              </w:rPr>
              <w:t>he plan has an expanded scope and addresses all land-based sources of water pollution including run-off from urban, industrial and public lands; while recognising the majority of pollution comes from agricultural activities. It includes social, cultural and economic values for the first time.</w:t>
            </w:r>
          </w:p>
          <w:p w14:paraId="5761FC7F"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Water quality targets have been set for the catchments adjacent to the Great Barrier Reef, based on modelling and other scientific information. The targets define the reduction in nutrients and fine sediment required by 2025. This provides a new level of specificity from the Reef 2050 targets that commit to achieving reductions of up to 80% in dissolved inorganic nitrogen and up to 50% in sediment in priority areas.</w:t>
            </w:r>
          </w:p>
          <w:p w14:paraId="5761FC8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Marine Monitoring Program monitors and reports on water quality and the health of key marine ecosystems such as coral reefs and seagrass in the inshore Great Barrier Reef lagoon. The Marine Monitoring Program results are assessed against the Water Quality Guidelines for the Great Barrier Reef Marine Park. Information from the Marine Monitoring Program is integrated into metrics that describe inshore marine water quality, seagrass and coral condition and trends in condition assessments are used to evaluate progress towards the Reef WQIP goal for the marine environment as part of the Report Card.</w:t>
            </w:r>
          </w:p>
          <w:p w14:paraId="5761FC81"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GBRMPA water quality guidelines and their role in reporting on progress towards Reef WQIP’s goal and targets and links to additional WQIP.</w:t>
            </w:r>
            <w:r>
              <w:rPr>
                <w:rFonts w:ascii="Arial Narrow" w:hAnsi="Arial Narrow"/>
                <w:sz w:val="18"/>
                <w:szCs w:val="18"/>
              </w:rPr>
              <w:t xml:space="preserve"> </w:t>
            </w:r>
            <w:r w:rsidRPr="00E70A11">
              <w:rPr>
                <w:rFonts w:ascii="Arial Narrow" w:hAnsi="Arial Narrow"/>
                <w:sz w:val="18"/>
                <w:szCs w:val="18"/>
              </w:rPr>
              <w:t>There has also been substantial work with DEHP in scheduling these as Water Quality Objectives and Environmental Values in a number of Regions since 2009 under the EP Water Policy. These EVs and WQOs must be met in further decision making processes including the development of Stormwater Management Plan. Sewage Management Plans etc.</w:t>
            </w:r>
          </w:p>
          <w:p w14:paraId="5761FC8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guidelines focus on sediments, nutrients and pesticides – the main catchment run-off pollutants that affect water quality reaching the Great Barrier Reef. The current condition of the Great Barrier Reef waters show that it meets the guidelines most of the time in most areas.</w:t>
            </w:r>
          </w:p>
          <w:p w14:paraId="5761FC83"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Regional WQIP have regionally based water quality targets. These targets currently pre-date the new Reef WQIP target and the regional bodies will be updating the regional planes with the new targets.</w:t>
            </w:r>
          </w:p>
        </w:tc>
        <w:tc>
          <w:tcPr>
            <w:tcW w:w="4597" w:type="dxa"/>
            <w:tcBorders>
              <w:top w:val="single" w:sz="4" w:space="0" w:color="auto"/>
              <w:left w:val="single" w:sz="4" w:space="0" w:color="auto"/>
              <w:bottom w:val="single" w:sz="4" w:space="0" w:color="auto"/>
              <w:right w:val="single" w:sz="4" w:space="0" w:color="auto"/>
            </w:tcBorders>
          </w:tcPr>
          <w:p w14:paraId="5761FC84" w14:textId="77777777" w:rsidR="00A56EE9" w:rsidRPr="00E70A11" w:rsidRDefault="008B5998" w:rsidP="00A11869">
            <w:pPr>
              <w:pStyle w:val="ListParagraph"/>
              <w:numPr>
                <w:ilvl w:val="0"/>
                <w:numId w:val="24"/>
              </w:numPr>
              <w:rPr>
                <w:rFonts w:ascii="Arial Narrow" w:hAnsi="Arial Narrow"/>
                <w:sz w:val="18"/>
                <w:szCs w:val="18"/>
              </w:rPr>
            </w:pPr>
            <w:hyperlink r:id="rId1175" w:history="1">
              <w:r w:rsidR="00A56EE9" w:rsidRPr="00E70A11">
                <w:rPr>
                  <w:rStyle w:val="Hyperlink"/>
                  <w:rFonts w:ascii="Arial Narrow" w:hAnsi="Arial Narrow"/>
                  <w:sz w:val="18"/>
                  <w:szCs w:val="18"/>
                </w:rPr>
                <w:t>Water quality guidelines for the Great Barrier Reef</w:t>
              </w:r>
            </w:hyperlink>
            <w:r w:rsidR="00A56EE9" w:rsidRPr="00E70A11">
              <w:rPr>
                <w:rFonts w:ascii="Arial Narrow" w:hAnsi="Arial Narrow"/>
                <w:sz w:val="18"/>
                <w:szCs w:val="18"/>
              </w:rPr>
              <w:t xml:space="preserve"> </w:t>
            </w:r>
          </w:p>
          <w:p w14:paraId="5761FC85" w14:textId="77777777" w:rsidR="00A56EE9" w:rsidRPr="00E70A11" w:rsidRDefault="008B5998" w:rsidP="00A11869">
            <w:pPr>
              <w:pStyle w:val="ListParagraph"/>
              <w:numPr>
                <w:ilvl w:val="0"/>
                <w:numId w:val="24"/>
              </w:numPr>
              <w:rPr>
                <w:rFonts w:ascii="Arial Narrow" w:hAnsi="Arial Narrow"/>
                <w:sz w:val="18"/>
                <w:szCs w:val="18"/>
              </w:rPr>
            </w:pPr>
            <w:hyperlink r:id="rId1176" w:history="1">
              <w:r w:rsidR="00A56EE9" w:rsidRPr="00E70A11">
                <w:rPr>
                  <w:rStyle w:val="Hyperlink"/>
                  <w:rFonts w:ascii="Arial Narrow" w:hAnsi="Arial Narrow"/>
                  <w:sz w:val="18"/>
                  <w:szCs w:val="18"/>
                </w:rPr>
                <w:t>Chapter 4</w:t>
              </w:r>
            </w:hyperlink>
            <w:r w:rsidR="00A56EE9" w:rsidRPr="00E70A11">
              <w:rPr>
                <w:rFonts w:ascii="Arial Narrow" w:hAnsi="Arial Narrow"/>
                <w:sz w:val="18"/>
                <w:szCs w:val="18"/>
              </w:rPr>
              <w:t xml:space="preserve"> – Scientific Consensus Statement 2017</w:t>
            </w:r>
          </w:p>
          <w:p w14:paraId="5761FC86" w14:textId="77777777" w:rsidR="00A56EE9" w:rsidRPr="00E70A11" w:rsidRDefault="008B5998" w:rsidP="00A11869">
            <w:pPr>
              <w:pStyle w:val="ListParagraph"/>
              <w:numPr>
                <w:ilvl w:val="0"/>
                <w:numId w:val="24"/>
              </w:numPr>
              <w:rPr>
                <w:rFonts w:ascii="Arial Narrow" w:hAnsi="Arial Narrow"/>
                <w:b/>
                <w:bCs/>
                <w:sz w:val="18"/>
                <w:szCs w:val="18"/>
              </w:rPr>
            </w:pPr>
            <w:hyperlink r:id="rId1177" w:history="1">
              <w:r w:rsidR="00A56EE9" w:rsidRPr="00E70A11">
                <w:rPr>
                  <w:rStyle w:val="Hyperlink"/>
                  <w:rFonts w:ascii="Arial Narrow" w:hAnsi="Arial Narrow"/>
                  <w:sz w:val="18"/>
                  <w:szCs w:val="18"/>
                </w:rPr>
                <w:t>Queensland Government response Great Barrier Reef Water Science Taskforce – Final Report</w:t>
              </w:r>
            </w:hyperlink>
            <w:r w:rsidR="00A56EE9" w:rsidRPr="00E70A11">
              <w:rPr>
                <w:rFonts w:ascii="Arial Narrow" w:hAnsi="Arial Narrow"/>
                <w:sz w:val="18"/>
                <w:szCs w:val="18"/>
              </w:rPr>
              <w:t>, August 2016</w:t>
            </w:r>
          </w:p>
          <w:p w14:paraId="5761FC87" w14:textId="77777777" w:rsidR="00A56EE9" w:rsidRPr="00E70A11" w:rsidRDefault="008B5998" w:rsidP="00A11869">
            <w:pPr>
              <w:pStyle w:val="ListParagraph"/>
              <w:numPr>
                <w:ilvl w:val="0"/>
                <w:numId w:val="24"/>
              </w:numPr>
              <w:rPr>
                <w:rFonts w:ascii="Arial Narrow" w:hAnsi="Arial Narrow"/>
                <w:sz w:val="18"/>
                <w:szCs w:val="18"/>
              </w:rPr>
            </w:pPr>
            <w:hyperlink r:id="rId1178" w:history="1">
              <w:r w:rsidR="00A56EE9" w:rsidRPr="00E70A11">
                <w:rPr>
                  <w:rStyle w:val="Hyperlink"/>
                  <w:rFonts w:ascii="Arial Narrow" w:hAnsi="Arial Narrow"/>
                  <w:sz w:val="18"/>
                  <w:szCs w:val="18"/>
                </w:rPr>
                <w:t>Great Barrier Reef Water Science Taskforce May 2016</w:t>
              </w:r>
            </w:hyperlink>
            <w:r w:rsidR="00A56EE9" w:rsidRPr="00E70A11">
              <w:rPr>
                <w:rFonts w:ascii="Arial Narrow" w:hAnsi="Arial Narrow"/>
                <w:sz w:val="18"/>
                <w:szCs w:val="18"/>
              </w:rPr>
              <w:t xml:space="preserve"> – Final Report</w:t>
            </w:r>
          </w:p>
          <w:p w14:paraId="5761FC88" w14:textId="77777777" w:rsidR="00A56EE9" w:rsidRPr="00E70A11" w:rsidRDefault="00A56EE9" w:rsidP="00A11869">
            <w:pPr>
              <w:pStyle w:val="ListParagraph"/>
              <w:numPr>
                <w:ilvl w:val="0"/>
                <w:numId w:val="24"/>
              </w:numPr>
              <w:rPr>
                <w:rFonts w:ascii="Arial Narrow" w:hAnsi="Arial Narrow"/>
                <w:sz w:val="18"/>
                <w:szCs w:val="18"/>
                <w:u w:val="single"/>
              </w:rPr>
            </w:pPr>
            <w:r w:rsidRPr="00E70A11">
              <w:rPr>
                <w:rFonts w:ascii="Arial Narrow" w:hAnsi="Arial Narrow"/>
                <w:sz w:val="18"/>
                <w:szCs w:val="18"/>
                <w:u w:val="single"/>
              </w:rPr>
              <w:t xml:space="preserve">Reef </w:t>
            </w:r>
            <w:hyperlink r:id="rId1179" w:history="1">
              <w:r w:rsidRPr="00E70A11">
                <w:rPr>
                  <w:rStyle w:val="Hyperlink"/>
                  <w:rFonts w:ascii="Arial Narrow" w:hAnsi="Arial Narrow"/>
                  <w:sz w:val="18"/>
                  <w:szCs w:val="18"/>
                </w:rPr>
                <w:t>WQIP</w:t>
              </w:r>
            </w:hyperlink>
          </w:p>
          <w:p w14:paraId="5761FC89" w14:textId="77777777" w:rsidR="00A56EE9" w:rsidRPr="00E70A11" w:rsidRDefault="00A56EE9" w:rsidP="00A11869">
            <w:pPr>
              <w:pStyle w:val="ListParagraph"/>
              <w:numPr>
                <w:ilvl w:val="0"/>
                <w:numId w:val="24"/>
              </w:numPr>
              <w:rPr>
                <w:rFonts w:ascii="Arial Narrow" w:hAnsi="Arial Narrow"/>
                <w:sz w:val="18"/>
                <w:szCs w:val="18"/>
                <w:u w:val="single"/>
              </w:rPr>
            </w:pPr>
            <w:r w:rsidRPr="00E70A11">
              <w:rPr>
                <w:rFonts w:ascii="Arial Narrow" w:hAnsi="Arial Narrow"/>
                <w:sz w:val="18"/>
                <w:szCs w:val="18"/>
              </w:rPr>
              <w:t xml:space="preserve"> </w:t>
            </w:r>
            <w:hyperlink r:id="rId1180" w:history="1">
              <w:r w:rsidRPr="00E70A11">
                <w:rPr>
                  <w:rStyle w:val="Hyperlink"/>
                  <w:rFonts w:ascii="Arial Narrow" w:hAnsi="Arial Narrow"/>
                  <w:sz w:val="18"/>
                  <w:szCs w:val="18"/>
                </w:rPr>
                <w:t>Draft Reef 2050 Water Quality Improvement Plan</w:t>
              </w:r>
            </w:hyperlink>
          </w:p>
          <w:p w14:paraId="5761FC8A" w14:textId="77777777" w:rsidR="00A56EE9" w:rsidRPr="00E70A11" w:rsidRDefault="008B5998" w:rsidP="00A11869">
            <w:pPr>
              <w:pStyle w:val="ListParagraph"/>
              <w:numPr>
                <w:ilvl w:val="0"/>
                <w:numId w:val="24"/>
              </w:numPr>
              <w:rPr>
                <w:rStyle w:val="BookTitle"/>
                <w:rFonts w:ascii="Arial Narrow" w:hAnsi="Arial Narrow"/>
                <w:sz w:val="18"/>
                <w:szCs w:val="18"/>
                <w:u w:val="single"/>
              </w:rPr>
            </w:pPr>
            <w:hyperlink r:id="rId1181" w:history="1">
              <w:r w:rsidR="00A56EE9" w:rsidRPr="00E70A11">
                <w:rPr>
                  <w:rStyle w:val="Hyperlink"/>
                  <w:rFonts w:ascii="Arial Narrow" w:hAnsi="Arial Narrow"/>
                  <w:sz w:val="18"/>
                  <w:szCs w:val="18"/>
                </w:rPr>
                <w:t>Reef WQIP Report Cards</w:t>
              </w:r>
            </w:hyperlink>
          </w:p>
        </w:tc>
        <w:tc>
          <w:tcPr>
            <w:tcW w:w="963" w:type="dxa"/>
            <w:tcBorders>
              <w:top w:val="single" w:sz="4" w:space="0" w:color="auto"/>
              <w:left w:val="single" w:sz="4" w:space="0" w:color="auto"/>
              <w:bottom w:val="single" w:sz="4" w:space="0" w:color="auto"/>
              <w:right w:val="single" w:sz="4" w:space="0" w:color="auto"/>
            </w:tcBorders>
          </w:tcPr>
          <w:p w14:paraId="5761FC8B"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8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94"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8E"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Targets have been established to benchmark management performance for land-based run-off</w:t>
            </w:r>
          </w:p>
        </w:tc>
        <w:tc>
          <w:tcPr>
            <w:tcW w:w="643" w:type="dxa"/>
            <w:tcBorders>
              <w:top w:val="single" w:sz="4" w:space="0" w:color="auto"/>
              <w:left w:val="single" w:sz="4" w:space="0" w:color="auto"/>
              <w:bottom w:val="single" w:sz="4" w:space="0" w:color="auto"/>
              <w:right w:val="single" w:sz="4" w:space="0" w:color="auto"/>
            </w:tcBorders>
          </w:tcPr>
          <w:p w14:paraId="5761FC8F"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C9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
              </w:rPr>
              <w:t>Targets have been established under the Reef 2050 Plan and Reef WQIP.</w:t>
            </w:r>
            <w:r>
              <w:rPr>
                <w:rFonts w:ascii="Arial Narrow" w:hAnsi="Arial Narrow"/>
                <w:sz w:val="18"/>
                <w:szCs w:val="18"/>
                <w:lang w:val="en"/>
              </w:rPr>
              <w:t xml:space="preserve"> </w:t>
            </w:r>
          </w:p>
        </w:tc>
        <w:tc>
          <w:tcPr>
            <w:tcW w:w="4597" w:type="dxa"/>
            <w:tcBorders>
              <w:top w:val="single" w:sz="4" w:space="0" w:color="auto"/>
              <w:left w:val="single" w:sz="4" w:space="0" w:color="auto"/>
              <w:bottom w:val="single" w:sz="4" w:space="0" w:color="auto"/>
              <w:right w:val="single" w:sz="4" w:space="0" w:color="auto"/>
            </w:tcBorders>
          </w:tcPr>
          <w:p w14:paraId="5761FC9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tc>
        <w:tc>
          <w:tcPr>
            <w:tcW w:w="963" w:type="dxa"/>
            <w:tcBorders>
              <w:top w:val="single" w:sz="4" w:space="0" w:color="auto"/>
              <w:left w:val="single" w:sz="4" w:space="0" w:color="auto"/>
              <w:bottom w:val="single" w:sz="4" w:space="0" w:color="auto"/>
              <w:right w:val="single" w:sz="4" w:space="0" w:color="auto"/>
            </w:tcBorders>
          </w:tcPr>
          <w:p w14:paraId="5761FC92"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9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9B"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95" w14:textId="77777777" w:rsidR="00A56EE9" w:rsidRPr="00E70A11" w:rsidRDefault="00A56EE9" w:rsidP="00BB6AD5">
            <w:pPr>
              <w:pStyle w:val="Tablebulletlist"/>
              <w:rPr>
                <w:rStyle w:val="BookTitle"/>
              </w:rPr>
            </w:pPr>
            <w:r w:rsidRPr="00E70A11">
              <w:rPr>
                <w:rStyle w:val="BookTitle"/>
              </w:rPr>
              <w:t>OUTPUTS</w:t>
            </w:r>
          </w:p>
        </w:tc>
        <w:tc>
          <w:tcPr>
            <w:tcW w:w="64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96" w14:textId="77777777" w:rsidR="00A56EE9" w:rsidRPr="00E70A11" w:rsidRDefault="00A56EE9" w:rsidP="00BB6AD5">
            <w:pPr>
              <w:pStyle w:val="Tablebulletlist"/>
              <w:rPr>
                <w:rStyle w:val="BookTitle"/>
              </w:rPr>
            </w:pPr>
          </w:p>
        </w:tc>
        <w:tc>
          <w:tcPr>
            <w:tcW w:w="495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97" w14:textId="77777777" w:rsidR="00A56EE9" w:rsidRPr="00E70A11" w:rsidRDefault="00A56EE9" w:rsidP="00BB6AD5">
            <w:pPr>
              <w:pStyle w:val="ListParagraph"/>
              <w:ind w:left="360"/>
              <w:rPr>
                <w:rStyle w:val="BookTitle"/>
                <w:rFonts w:ascii="Arial Narrow" w:hAnsi="Arial Narrow"/>
                <w:sz w:val="18"/>
                <w:szCs w:val="18"/>
              </w:rPr>
            </w:pPr>
          </w:p>
        </w:tc>
        <w:tc>
          <w:tcPr>
            <w:tcW w:w="459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98" w14:textId="77777777" w:rsidR="00A56EE9" w:rsidRPr="00E70A11" w:rsidRDefault="00A56EE9" w:rsidP="00BB6AD5">
            <w:pPr>
              <w:pStyle w:val="ListParagraph"/>
              <w:ind w:left="360"/>
              <w:rPr>
                <w:rStyle w:val="BookTitle"/>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99" w14:textId="77777777" w:rsidR="00A56EE9" w:rsidRPr="00E70A11" w:rsidRDefault="00A56EE9" w:rsidP="00BB6AD5">
            <w:pPr>
              <w:pStyle w:val="Tablebulletlist"/>
              <w:rPr>
                <w:rStyle w:val="BookTitle"/>
              </w:rPr>
            </w:pPr>
          </w:p>
        </w:tc>
        <w:tc>
          <w:tcPr>
            <w:tcW w:w="100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9A" w14:textId="77777777" w:rsidR="00A56EE9" w:rsidRPr="00E70A11" w:rsidRDefault="00A56EE9" w:rsidP="00BB6AD5">
            <w:pPr>
              <w:pStyle w:val="Tablebulletlist"/>
              <w:rPr>
                <w:rStyle w:val="BookTitle"/>
              </w:rPr>
            </w:pPr>
          </w:p>
        </w:tc>
      </w:tr>
      <w:tr w:rsidR="00A56EE9" w:rsidRPr="00E70A11" w14:paraId="5761FCA4"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9C"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land-based run-off </w:t>
            </w:r>
          </w:p>
        </w:tc>
        <w:tc>
          <w:tcPr>
            <w:tcW w:w="643" w:type="dxa"/>
            <w:tcBorders>
              <w:top w:val="single" w:sz="4" w:space="0" w:color="auto"/>
              <w:left w:val="single" w:sz="4" w:space="0" w:color="auto"/>
              <w:bottom w:val="single" w:sz="4" w:space="0" w:color="auto"/>
              <w:right w:val="single" w:sz="4" w:space="0" w:color="auto"/>
            </w:tcBorders>
          </w:tcPr>
          <w:p w14:paraId="5761FC9D"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C9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has been progress made towards implementing the 151 actions under the Reef 2050 Plan. The first annual report shows that 19 per cent of the actions are completed or in place and over 65 per cent are underway.</w:t>
            </w:r>
          </w:p>
          <w:p w14:paraId="5761FC9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Reef 2050 WQIP are on track</w:t>
            </w:r>
          </w:p>
        </w:tc>
        <w:tc>
          <w:tcPr>
            <w:tcW w:w="4597" w:type="dxa"/>
            <w:tcBorders>
              <w:top w:val="single" w:sz="4" w:space="0" w:color="auto"/>
              <w:left w:val="single" w:sz="4" w:space="0" w:color="auto"/>
              <w:bottom w:val="single" w:sz="4" w:space="0" w:color="auto"/>
              <w:right w:val="single" w:sz="4" w:space="0" w:color="auto"/>
            </w:tcBorders>
          </w:tcPr>
          <w:p w14:paraId="5761FCA0"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1FCA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Pr>
                <w:rStyle w:val="BookTitle"/>
                <w:rFonts w:ascii="Arial Narrow" w:hAnsi="Arial Narrow"/>
                <w:sz w:val="18"/>
                <w:szCs w:val="18"/>
              </w:rPr>
              <w:t>Paddock to Reef Annual Reports</w:t>
            </w:r>
          </w:p>
        </w:tc>
        <w:tc>
          <w:tcPr>
            <w:tcW w:w="963" w:type="dxa"/>
            <w:tcBorders>
              <w:top w:val="single" w:sz="4" w:space="0" w:color="auto"/>
              <w:left w:val="single" w:sz="4" w:space="0" w:color="auto"/>
              <w:bottom w:val="single" w:sz="4" w:space="0" w:color="auto"/>
              <w:right w:val="single" w:sz="4" w:space="0" w:color="auto"/>
            </w:tcBorders>
          </w:tcPr>
          <w:p w14:paraId="5761FCA2" w14:textId="77777777" w:rsidR="00A56EE9" w:rsidRPr="00E70A11" w:rsidRDefault="00A56EE9" w:rsidP="00BB6AD5">
            <w:pPr>
              <w:pStyle w:val="Tablebulletlist"/>
              <w:rPr>
                <w:rStyle w:val="BookTitle"/>
              </w:rPr>
            </w:pPr>
            <w:r w:rsidRPr="00E70A11">
              <w:rPr>
                <w:rStyle w:val="BookTitle"/>
              </w:rPr>
              <w:t xml:space="preserve">Adequate </w:t>
            </w:r>
          </w:p>
        </w:tc>
        <w:tc>
          <w:tcPr>
            <w:tcW w:w="1003" w:type="dxa"/>
            <w:tcBorders>
              <w:top w:val="single" w:sz="4" w:space="0" w:color="auto"/>
              <w:left w:val="single" w:sz="4" w:space="0" w:color="auto"/>
              <w:bottom w:val="single" w:sz="4" w:space="0" w:color="auto"/>
              <w:right w:val="single" w:sz="4" w:space="0" w:color="auto"/>
            </w:tcBorders>
          </w:tcPr>
          <w:p w14:paraId="5761FCA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CAC"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A5"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land-based run-off have progressed in accordance with timeframes specified in those documents</w:t>
            </w:r>
          </w:p>
        </w:tc>
        <w:tc>
          <w:tcPr>
            <w:tcW w:w="643" w:type="dxa"/>
            <w:tcBorders>
              <w:top w:val="single" w:sz="4" w:space="0" w:color="auto"/>
              <w:left w:val="single" w:sz="4" w:space="0" w:color="auto"/>
              <w:bottom w:val="single" w:sz="4" w:space="0" w:color="auto"/>
              <w:right w:val="single" w:sz="4" w:space="0" w:color="auto"/>
            </w:tcBorders>
          </w:tcPr>
          <w:p w14:paraId="5761FCA6" w14:textId="77777777" w:rsidR="00A56EE9" w:rsidRPr="00E70A11" w:rsidRDefault="00A56EE9" w:rsidP="00BB6AD5">
            <w:pPr>
              <w:pStyle w:val="Tablebulletlist"/>
              <w:rPr>
                <w:rStyle w:val="BookTitle"/>
              </w:rPr>
            </w:pPr>
            <w:r w:rsidRPr="00E70A11">
              <w:rPr>
                <w:rStyle w:val="BookTitle"/>
              </w:rPr>
              <w:t>3</w:t>
            </w:r>
          </w:p>
        </w:tc>
        <w:tc>
          <w:tcPr>
            <w:tcW w:w="4957" w:type="dxa"/>
            <w:tcBorders>
              <w:top w:val="single" w:sz="4" w:space="0" w:color="auto"/>
              <w:left w:val="single" w:sz="4" w:space="0" w:color="auto"/>
              <w:bottom w:val="single" w:sz="4" w:space="0" w:color="auto"/>
              <w:right w:val="single" w:sz="4" w:space="0" w:color="auto"/>
            </w:tcBorders>
          </w:tcPr>
          <w:p w14:paraId="5761FCA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Great Barrier Reef Water Science Taskforce Report and the 2015 Report Card assessment clearly show, progress with water quality load targets is not ‘on-track’ and it is highly likely that most 2018 targets will not be met. </w:t>
            </w:r>
          </w:p>
          <w:p w14:paraId="5761FCA8" w14:textId="77777777" w:rsidR="00A56EE9" w:rsidRPr="00E70A11" w:rsidRDefault="008B5998" w:rsidP="00A11869">
            <w:pPr>
              <w:pStyle w:val="ListParagraph"/>
              <w:numPr>
                <w:ilvl w:val="0"/>
                <w:numId w:val="24"/>
              </w:numPr>
              <w:spacing w:after="200"/>
              <w:rPr>
                <w:rStyle w:val="BookTitle"/>
                <w:rFonts w:ascii="Arial Narrow" w:hAnsi="Arial Narrow"/>
                <w:sz w:val="18"/>
                <w:szCs w:val="18"/>
              </w:rPr>
            </w:pPr>
            <w:hyperlink r:id="rId1182" w:history="1">
              <w:r w:rsidR="00A56EE9" w:rsidRPr="00E70A11">
                <w:rPr>
                  <w:rStyle w:val="Hyperlink"/>
                  <w:rFonts w:ascii="Arial Narrow" w:hAnsi="Arial Narrow"/>
                  <w:sz w:val="18"/>
                  <w:szCs w:val="18"/>
                </w:rPr>
                <w:t>2016 Report Card results</w:t>
              </w:r>
            </w:hyperlink>
            <w:r w:rsidR="00A56EE9" w:rsidRPr="00E70A11">
              <w:rPr>
                <w:rFonts w:ascii="Arial Narrow" w:hAnsi="Arial Narrow"/>
                <w:sz w:val="18"/>
                <w:szCs w:val="18"/>
              </w:rPr>
              <w:t xml:space="preserve"> shows progress in some areas; however, faster uptake of improved land management practices is required to meet the water quality targets.</w:t>
            </w:r>
          </w:p>
        </w:tc>
        <w:tc>
          <w:tcPr>
            <w:tcW w:w="4597" w:type="dxa"/>
            <w:tcBorders>
              <w:top w:val="single" w:sz="4" w:space="0" w:color="auto"/>
              <w:left w:val="single" w:sz="4" w:space="0" w:color="auto"/>
              <w:bottom w:val="single" w:sz="4" w:space="0" w:color="auto"/>
              <w:right w:val="single" w:sz="4" w:space="0" w:color="auto"/>
            </w:tcBorders>
          </w:tcPr>
          <w:p w14:paraId="5761FCA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Great Barrier Reef Water Science Taskforce Report and the 2016 Report Card</w:t>
            </w:r>
          </w:p>
        </w:tc>
        <w:tc>
          <w:tcPr>
            <w:tcW w:w="963" w:type="dxa"/>
            <w:tcBorders>
              <w:top w:val="single" w:sz="4" w:space="0" w:color="auto"/>
              <w:left w:val="single" w:sz="4" w:space="0" w:color="auto"/>
              <w:bottom w:val="single" w:sz="4" w:space="0" w:color="auto"/>
              <w:right w:val="single" w:sz="4" w:space="0" w:color="auto"/>
            </w:tcBorders>
          </w:tcPr>
          <w:p w14:paraId="5761FCAA"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AB"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B5"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AD"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land-based run-off</w:t>
            </w:r>
          </w:p>
        </w:tc>
        <w:tc>
          <w:tcPr>
            <w:tcW w:w="643" w:type="dxa"/>
            <w:tcBorders>
              <w:top w:val="single" w:sz="4" w:space="0" w:color="auto"/>
              <w:left w:val="single" w:sz="4" w:space="0" w:color="auto"/>
              <w:bottom w:val="single" w:sz="4" w:space="0" w:color="auto"/>
              <w:right w:val="single" w:sz="4" w:space="0" w:color="auto"/>
            </w:tcBorders>
          </w:tcPr>
          <w:p w14:paraId="5761FCAE" w14:textId="77777777" w:rsidR="00A56EE9" w:rsidRPr="00E70A11" w:rsidRDefault="00A56EE9" w:rsidP="00BB6AD5">
            <w:pPr>
              <w:pStyle w:val="Tablebulletlist"/>
              <w:rPr>
                <w:rStyle w:val="BookTitle"/>
              </w:rPr>
            </w:pPr>
            <w:r w:rsidRPr="00E70A11">
              <w:rPr>
                <w:rStyle w:val="BookTitle"/>
              </w:rPr>
              <w:t>3</w:t>
            </w:r>
          </w:p>
        </w:tc>
        <w:tc>
          <w:tcPr>
            <w:tcW w:w="4957" w:type="dxa"/>
            <w:tcBorders>
              <w:top w:val="single" w:sz="4" w:space="0" w:color="auto"/>
              <w:left w:val="single" w:sz="4" w:space="0" w:color="auto"/>
              <w:bottom w:val="single" w:sz="4" w:space="0" w:color="auto"/>
              <w:right w:val="single" w:sz="4" w:space="0" w:color="auto"/>
            </w:tcBorders>
          </w:tcPr>
          <w:p w14:paraId="5761FCA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Great Barrier Reef Water Science Taskforce Report and the 2015 Report Card assessment clearly show, progress with water quality load targets is not ‘on-track’ and it is highly likely that most 2018 targets will not be met. </w:t>
            </w:r>
          </w:p>
          <w:p w14:paraId="5761FCB0" w14:textId="77777777" w:rsidR="00A56EE9" w:rsidRPr="00E70A11" w:rsidRDefault="008B5998" w:rsidP="00A11869">
            <w:pPr>
              <w:pStyle w:val="ListParagraph"/>
              <w:numPr>
                <w:ilvl w:val="0"/>
                <w:numId w:val="24"/>
              </w:numPr>
              <w:rPr>
                <w:rFonts w:ascii="Arial Narrow" w:hAnsi="Arial Narrow"/>
                <w:sz w:val="18"/>
                <w:szCs w:val="18"/>
              </w:rPr>
            </w:pPr>
            <w:hyperlink r:id="rId1183" w:history="1">
              <w:r w:rsidR="00A56EE9" w:rsidRPr="00E70A11">
                <w:rPr>
                  <w:rStyle w:val="Hyperlink"/>
                  <w:rFonts w:ascii="Arial Narrow" w:hAnsi="Arial Narrow"/>
                  <w:sz w:val="18"/>
                  <w:szCs w:val="18"/>
                </w:rPr>
                <w:t>2016 Report Card results</w:t>
              </w:r>
            </w:hyperlink>
            <w:r w:rsidR="00A56EE9" w:rsidRPr="00E70A11">
              <w:rPr>
                <w:rFonts w:ascii="Arial Narrow" w:hAnsi="Arial Narrow"/>
                <w:sz w:val="18"/>
                <w:szCs w:val="18"/>
              </w:rPr>
              <w:t xml:space="preserve"> show progress in some areas; however, faster uptake of improved land management practices is required to meet the water quality targets.</w:t>
            </w:r>
          </w:p>
          <w:p w14:paraId="5761FCB1"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 xml:space="preserve">Improvements are being made to the quality of water entering the Reef, however there are significant time lags between land management practice change and seeing improved condition of the Reef. </w:t>
            </w:r>
          </w:p>
        </w:tc>
        <w:tc>
          <w:tcPr>
            <w:tcW w:w="4597" w:type="dxa"/>
            <w:tcBorders>
              <w:top w:val="single" w:sz="4" w:space="0" w:color="auto"/>
              <w:left w:val="single" w:sz="4" w:space="0" w:color="auto"/>
              <w:bottom w:val="single" w:sz="4" w:space="0" w:color="auto"/>
              <w:right w:val="single" w:sz="4" w:space="0" w:color="auto"/>
            </w:tcBorders>
          </w:tcPr>
          <w:p w14:paraId="5761FCB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Great Barrier Reef Water Science Taskforce Report and the 2016 Report Card</w:t>
            </w:r>
          </w:p>
        </w:tc>
        <w:tc>
          <w:tcPr>
            <w:tcW w:w="963" w:type="dxa"/>
            <w:tcBorders>
              <w:top w:val="single" w:sz="4" w:space="0" w:color="auto"/>
              <w:left w:val="single" w:sz="4" w:space="0" w:color="auto"/>
              <w:bottom w:val="single" w:sz="4" w:space="0" w:color="auto"/>
              <w:right w:val="single" w:sz="4" w:space="0" w:color="auto"/>
            </w:tcBorders>
          </w:tcPr>
          <w:p w14:paraId="5761FCB3"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B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C7"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B6"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land-based run-off</w:t>
            </w:r>
          </w:p>
        </w:tc>
        <w:tc>
          <w:tcPr>
            <w:tcW w:w="643" w:type="dxa"/>
            <w:tcBorders>
              <w:top w:val="single" w:sz="4" w:space="0" w:color="auto"/>
              <w:left w:val="single" w:sz="4" w:space="0" w:color="auto"/>
              <w:bottom w:val="single" w:sz="4" w:space="0" w:color="auto"/>
              <w:right w:val="single" w:sz="4" w:space="0" w:color="auto"/>
            </w:tcBorders>
          </w:tcPr>
          <w:p w14:paraId="5761FCB7"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CB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Annual Reef WQIP report cards, the Scientific Consensus statement, the annual Marine Monitoring Program Science Reports and Synthesis Reports have all been produced.</w:t>
            </w:r>
          </w:p>
          <w:p w14:paraId="5761FCB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Other products and services have been produced in accordance with Reef WQIP objectives</w:t>
            </w:r>
          </w:p>
          <w:p w14:paraId="5761FCB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Regional report cards and water quality improvement plans have been developed</w:t>
            </w:r>
          </w:p>
          <w:p w14:paraId="5761FCBB" w14:textId="77777777" w:rsidR="00A56EE9" w:rsidRPr="00E70A11" w:rsidRDefault="00A56EE9" w:rsidP="00BB6AD5">
            <w:pPr>
              <w:pStyle w:val="ListParagraph"/>
              <w:ind w:left="360"/>
              <w:rPr>
                <w:rStyle w:val="BookTitle"/>
                <w:rFonts w:ascii="Arial Narrow" w:hAnsi="Arial Narrow"/>
                <w:sz w:val="18"/>
                <w:szCs w:val="18"/>
              </w:rPr>
            </w:pPr>
          </w:p>
        </w:tc>
        <w:tc>
          <w:tcPr>
            <w:tcW w:w="4597" w:type="dxa"/>
            <w:tcBorders>
              <w:top w:val="single" w:sz="4" w:space="0" w:color="auto"/>
              <w:left w:val="single" w:sz="4" w:space="0" w:color="auto"/>
              <w:bottom w:val="single" w:sz="4" w:space="0" w:color="auto"/>
              <w:right w:val="single" w:sz="4" w:space="0" w:color="auto"/>
            </w:tcBorders>
          </w:tcPr>
          <w:p w14:paraId="5761FCBC"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Reef 2050 WQIP</w:t>
            </w:r>
          </w:p>
          <w:p w14:paraId="5761FCBD"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Regional WQIPs</w:t>
            </w:r>
          </w:p>
          <w:p w14:paraId="5761FCBE" w14:textId="4D41E38F"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Scientific Consensus statement and supporting technical reports </w:t>
            </w:r>
            <w:hyperlink r:id="rId1184" w:tooltip="document link" w:history="1">
              <w:r w:rsidRPr="00E70A11">
                <w:rPr>
                  <w:rStyle w:val="Hyperlink"/>
                  <w:rFonts w:ascii="Arial Narrow" w:hAnsi="Arial Narrow"/>
                  <w:sz w:val="18"/>
                  <w:szCs w:val="18"/>
                </w:rPr>
                <w:t>https://www.reefplan.qld.gov.au/about/reef-science/scientific-consensus-statement/</w:t>
              </w:r>
            </w:hyperlink>
            <w:r w:rsidRPr="00E70A11">
              <w:rPr>
                <w:rFonts w:ascii="Arial Narrow" w:hAnsi="Arial Narrow"/>
                <w:sz w:val="18"/>
                <w:szCs w:val="18"/>
              </w:rPr>
              <w:t xml:space="preserve"> </w:t>
            </w:r>
          </w:p>
          <w:p w14:paraId="5761FCBF" w14:textId="3B619F1A"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Catchment Profiles for each of the 35 basins (identify targets, key sources of pollutants and management priorities) </w:t>
            </w:r>
            <w:hyperlink r:id="rId1185" w:tooltip="document link" w:history="1">
              <w:r w:rsidRPr="00E70A11">
                <w:rPr>
                  <w:rStyle w:val="Hyperlink"/>
                  <w:rFonts w:ascii="Arial Narrow" w:hAnsi="Arial Narrow"/>
                  <w:sz w:val="18"/>
                  <w:szCs w:val="18"/>
                </w:rPr>
                <w:t>https://www.reefplan.qld.gov.au/about/catchment-targets/</w:t>
              </w:r>
            </w:hyperlink>
            <w:r w:rsidRPr="00E70A11">
              <w:rPr>
                <w:rFonts w:ascii="Arial Narrow" w:hAnsi="Arial Narrow"/>
                <w:sz w:val="18"/>
                <w:szCs w:val="18"/>
              </w:rPr>
              <w:t xml:space="preserve"> </w:t>
            </w:r>
          </w:p>
          <w:p w14:paraId="5761FCC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Annual Great Barrier Reef report cards https://www.reefplan.qld.gov.au/measuring-success/report-cards/</w:t>
            </w:r>
          </w:p>
          <w:p w14:paraId="5761FCC1"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Regional Report Cards</w:t>
            </w:r>
          </w:p>
          <w:p w14:paraId="5761FCC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Newsletters – RWQPP + many others</w:t>
            </w:r>
          </w:p>
          <w:p w14:paraId="5761FCC3"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Case studies</w:t>
            </w:r>
            <w:r>
              <w:rPr>
                <w:rFonts w:ascii="Arial Narrow" w:hAnsi="Arial Narrow"/>
                <w:sz w:val="18"/>
                <w:szCs w:val="18"/>
              </w:rPr>
              <w:t xml:space="preserve"> </w:t>
            </w:r>
          </w:p>
          <w:p w14:paraId="5761FCC4"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lang w:val="en-GB"/>
              </w:rPr>
              <w:t>Conceptual models/sediment story</w:t>
            </w:r>
          </w:p>
        </w:tc>
        <w:tc>
          <w:tcPr>
            <w:tcW w:w="963" w:type="dxa"/>
            <w:tcBorders>
              <w:top w:val="single" w:sz="4" w:space="0" w:color="auto"/>
              <w:left w:val="single" w:sz="4" w:space="0" w:color="auto"/>
              <w:bottom w:val="single" w:sz="4" w:space="0" w:color="auto"/>
              <w:right w:val="single" w:sz="4" w:space="0" w:color="auto"/>
            </w:tcBorders>
          </w:tcPr>
          <w:p w14:paraId="5761FCC5"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C6"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D6"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shd w:val="clear" w:color="auto" w:fill="auto"/>
          </w:tcPr>
          <w:p w14:paraId="5761FCC8"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land-based run-off are in place within agencies</w:t>
            </w:r>
          </w:p>
        </w:tc>
        <w:tc>
          <w:tcPr>
            <w:tcW w:w="643" w:type="dxa"/>
            <w:tcBorders>
              <w:top w:val="single" w:sz="4" w:space="0" w:color="auto"/>
              <w:left w:val="single" w:sz="4" w:space="0" w:color="auto"/>
              <w:bottom w:val="single" w:sz="4" w:space="0" w:color="auto"/>
              <w:right w:val="single" w:sz="4" w:space="0" w:color="auto"/>
            </w:tcBorders>
          </w:tcPr>
          <w:p w14:paraId="5761FCC9"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CCA"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All Reef WQIP data is saved on SSIMR database (</w:t>
            </w:r>
            <w:hyperlink r:id="rId1186" w:history="1">
              <w:r w:rsidRPr="00E70A11">
                <w:rPr>
                  <w:rStyle w:val="Hyperlink"/>
                  <w:rFonts w:ascii="Arial Narrow" w:hAnsi="Arial Narrow"/>
                  <w:sz w:val="18"/>
                  <w:szCs w:val="18"/>
                  <w:lang w:val="en"/>
                </w:rPr>
                <w:t>DARTS</w:t>
              </w:r>
            </w:hyperlink>
            <w:r w:rsidRPr="00E70A11">
              <w:rPr>
                <w:rFonts w:ascii="Arial Narrow" w:hAnsi="Arial Narrow"/>
                <w:sz w:val="18"/>
                <w:szCs w:val="18"/>
                <w:lang w:val="en"/>
              </w:rPr>
              <w:t>/SKIP)</w:t>
            </w:r>
          </w:p>
          <w:p w14:paraId="5761FCCB"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Scientific Consensus statement</w:t>
            </w:r>
          </w:p>
          <w:p w14:paraId="5761FCCC"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 xml:space="preserve">eReefs, eAtlas provide data </w:t>
            </w:r>
          </w:p>
          <w:p w14:paraId="5761FCC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lang w:val="en"/>
              </w:rPr>
            </w:pPr>
            <w:r w:rsidRPr="00E70A11">
              <w:rPr>
                <w:rFonts w:ascii="Arial Narrow" w:hAnsi="Arial Narrow"/>
                <w:sz w:val="18"/>
                <w:szCs w:val="18"/>
                <w:lang w:val="en"/>
              </w:rPr>
              <w:t>Synthesis workshops are held regularly</w:t>
            </w:r>
          </w:p>
        </w:tc>
        <w:tc>
          <w:tcPr>
            <w:tcW w:w="4597" w:type="dxa"/>
            <w:tcBorders>
              <w:top w:val="single" w:sz="4" w:space="0" w:color="auto"/>
              <w:left w:val="single" w:sz="4" w:space="0" w:color="auto"/>
              <w:bottom w:val="single" w:sz="4" w:space="0" w:color="auto"/>
              <w:right w:val="single" w:sz="4" w:space="0" w:color="auto"/>
            </w:tcBorders>
          </w:tcPr>
          <w:p w14:paraId="5761FCCE"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187" w:history="1">
              <w:r w:rsidR="00A56EE9" w:rsidRPr="00E70A11">
                <w:rPr>
                  <w:rStyle w:val="Hyperlink"/>
                  <w:rFonts w:ascii="Arial Narrow" w:hAnsi="Arial Narrow"/>
                  <w:sz w:val="18"/>
                  <w:szCs w:val="18"/>
                </w:rPr>
                <w:t>AIMS water quality chlorophyll and turbidity time series data</w:t>
              </w:r>
            </w:hyperlink>
          </w:p>
          <w:p w14:paraId="5761FCCF"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188" w:history="1">
              <w:r w:rsidR="00A56EE9" w:rsidRPr="00E70A11">
                <w:rPr>
                  <w:rStyle w:val="Hyperlink"/>
                  <w:rFonts w:ascii="Arial Narrow" w:hAnsi="Arial Narrow"/>
                  <w:sz w:val="18"/>
                  <w:szCs w:val="18"/>
                </w:rPr>
                <w:t>AIMS eAtlas</w:t>
              </w:r>
            </w:hyperlink>
          </w:p>
          <w:p w14:paraId="5761FCD0" w14:textId="77777777" w:rsidR="00A56EE9" w:rsidRPr="00E70A11" w:rsidRDefault="008B5998" w:rsidP="00A11869">
            <w:pPr>
              <w:pStyle w:val="ListParagraph"/>
              <w:numPr>
                <w:ilvl w:val="0"/>
                <w:numId w:val="24"/>
              </w:numPr>
              <w:spacing w:after="200"/>
              <w:rPr>
                <w:rFonts w:ascii="Arial Narrow" w:hAnsi="Arial Narrow"/>
                <w:sz w:val="18"/>
                <w:szCs w:val="18"/>
                <w:u w:val="single"/>
              </w:rPr>
            </w:pPr>
            <w:hyperlink r:id="rId1189" w:history="1">
              <w:r w:rsidR="00A56EE9" w:rsidRPr="00E70A11">
                <w:rPr>
                  <w:rStyle w:val="Hyperlink"/>
                  <w:rFonts w:ascii="Arial Narrow" w:hAnsi="Arial Narrow"/>
                  <w:sz w:val="18"/>
                  <w:szCs w:val="18"/>
                </w:rPr>
                <w:t>Reef 2050 Integrated Monitoring and Reporting Program</w:t>
              </w:r>
            </w:hyperlink>
          </w:p>
          <w:p w14:paraId="5761FCD1"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u w:val="single"/>
              </w:rPr>
              <w:t xml:space="preserve">Reef Globe </w:t>
            </w:r>
            <w:r w:rsidRPr="00806DFE">
              <w:rPr>
                <w:rFonts w:ascii="Arial Narrow" w:hAnsi="Arial Narrow"/>
                <w:sz w:val="18"/>
                <w:szCs w:val="18"/>
                <w:u w:val="single"/>
              </w:rPr>
              <w:t xml:space="preserve">https://www.reefplan.qld.gov.au/resources/reef-globe/ </w:t>
            </w:r>
            <w:hyperlink r:id="rId1190" w:history="1"/>
          </w:p>
          <w:p w14:paraId="5761FCD2" w14:textId="77777777" w:rsidR="00A56EE9" w:rsidRPr="00E609B5" w:rsidRDefault="008B5998" w:rsidP="00A11869">
            <w:pPr>
              <w:pStyle w:val="ListParagraph"/>
              <w:numPr>
                <w:ilvl w:val="0"/>
                <w:numId w:val="24"/>
              </w:numPr>
              <w:spacing w:after="200"/>
              <w:rPr>
                <w:rStyle w:val="Hyperlink"/>
                <w:rFonts w:ascii="Arial Narrow" w:hAnsi="Arial Narrow"/>
                <w:sz w:val="18"/>
                <w:szCs w:val="18"/>
              </w:rPr>
            </w:pPr>
            <w:hyperlink r:id="rId1191" w:history="1">
              <w:r w:rsidR="00A56EE9" w:rsidRPr="00E70A11">
                <w:rPr>
                  <w:rStyle w:val="Hyperlink"/>
                  <w:rFonts w:ascii="Arial Narrow" w:hAnsi="Arial Narrow"/>
                  <w:sz w:val="18"/>
                  <w:szCs w:val="18"/>
                </w:rPr>
                <w:t>eReefs</w:t>
              </w:r>
            </w:hyperlink>
          </w:p>
          <w:p w14:paraId="5761FCD3" w14:textId="77777777" w:rsidR="00A56EE9" w:rsidRPr="00E70A11" w:rsidRDefault="00A56EE9" w:rsidP="00A11869">
            <w:pPr>
              <w:pStyle w:val="ListParagraph"/>
              <w:numPr>
                <w:ilvl w:val="0"/>
                <w:numId w:val="24"/>
              </w:numPr>
              <w:spacing w:after="0"/>
              <w:rPr>
                <w:rStyle w:val="BookTitle"/>
                <w:rFonts w:ascii="Arial Narrow" w:hAnsi="Arial Narrow"/>
                <w:sz w:val="18"/>
                <w:szCs w:val="18"/>
              </w:rPr>
            </w:pPr>
            <w:r>
              <w:rPr>
                <w:rStyle w:val="Hyperlink"/>
                <w:rFonts w:ascii="Arial Narrow" w:hAnsi="Arial Narrow"/>
                <w:sz w:val="18"/>
                <w:szCs w:val="18"/>
              </w:rPr>
              <w:t>SSIMR annual snapshots of MMP data</w:t>
            </w:r>
          </w:p>
        </w:tc>
        <w:tc>
          <w:tcPr>
            <w:tcW w:w="963" w:type="dxa"/>
            <w:tcBorders>
              <w:top w:val="single" w:sz="4" w:space="0" w:color="auto"/>
              <w:left w:val="single" w:sz="4" w:space="0" w:color="auto"/>
              <w:bottom w:val="single" w:sz="4" w:space="0" w:color="auto"/>
              <w:right w:val="single" w:sz="4" w:space="0" w:color="auto"/>
            </w:tcBorders>
          </w:tcPr>
          <w:p w14:paraId="5761FCD4"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D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E4"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D7"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land-based run-off with the community</w:t>
            </w:r>
          </w:p>
        </w:tc>
        <w:tc>
          <w:tcPr>
            <w:tcW w:w="643" w:type="dxa"/>
            <w:tcBorders>
              <w:top w:val="single" w:sz="4" w:space="0" w:color="auto"/>
              <w:left w:val="single" w:sz="4" w:space="0" w:color="auto"/>
              <w:bottom w:val="single" w:sz="4" w:space="0" w:color="auto"/>
              <w:right w:val="single" w:sz="4" w:space="0" w:color="auto"/>
            </w:tcBorders>
          </w:tcPr>
          <w:p w14:paraId="5761FCD8"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CD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 number of website have monitoring data available to the general public</w:t>
            </w:r>
          </w:p>
        </w:tc>
        <w:tc>
          <w:tcPr>
            <w:tcW w:w="4597" w:type="dxa"/>
            <w:tcBorders>
              <w:top w:val="single" w:sz="4" w:space="0" w:color="auto"/>
              <w:left w:val="single" w:sz="4" w:space="0" w:color="auto"/>
              <w:bottom w:val="single" w:sz="4" w:space="0" w:color="auto"/>
              <w:right w:val="single" w:sz="4" w:space="0" w:color="auto"/>
            </w:tcBorders>
          </w:tcPr>
          <w:p w14:paraId="5761FCDA"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lang w:val="en"/>
              </w:rPr>
            </w:pPr>
            <w:hyperlink r:id="rId1192" w:history="1">
              <w:r w:rsidR="00A56EE9" w:rsidRPr="00E70A11">
                <w:rPr>
                  <w:rStyle w:val="Hyperlink"/>
                  <w:rFonts w:ascii="Arial Narrow" w:hAnsi="Arial Narrow"/>
                  <w:sz w:val="18"/>
                  <w:szCs w:val="18"/>
                  <w:lang w:val="en"/>
                </w:rPr>
                <w:t>Reef 2050 Integrated Monitoring and Reporting Program</w:t>
              </w:r>
            </w:hyperlink>
          </w:p>
          <w:p w14:paraId="5761FCDB"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lang w:val="en"/>
              </w:rPr>
            </w:pPr>
            <w:r w:rsidRPr="00E70A11">
              <w:rPr>
                <w:rFonts w:ascii="Arial Narrow" w:hAnsi="Arial Narrow"/>
                <w:sz w:val="18"/>
                <w:szCs w:val="18"/>
                <w:u w:val="single"/>
                <w:lang w:val="en"/>
              </w:rPr>
              <w:t xml:space="preserve">Reef Globe </w:t>
            </w:r>
            <w:r w:rsidRPr="00806DFE">
              <w:rPr>
                <w:rFonts w:ascii="Arial Narrow" w:hAnsi="Arial Narrow"/>
                <w:sz w:val="18"/>
                <w:szCs w:val="18"/>
                <w:u w:val="single"/>
                <w:lang w:val="en"/>
              </w:rPr>
              <w:t xml:space="preserve">https://www.reefplan.qld.gov.au/resources/reef-globe/ </w:t>
            </w:r>
            <w:hyperlink r:id="rId1193" w:history="1"/>
          </w:p>
          <w:p w14:paraId="5761FCDC"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lang w:val="en"/>
              </w:rPr>
            </w:pPr>
            <w:hyperlink r:id="rId1194" w:history="1">
              <w:r w:rsidR="00A56EE9" w:rsidRPr="00E70A11">
                <w:rPr>
                  <w:rStyle w:val="Hyperlink"/>
                  <w:rFonts w:ascii="Arial Narrow" w:hAnsi="Arial Narrow"/>
                  <w:sz w:val="18"/>
                  <w:szCs w:val="18"/>
                  <w:lang w:val="en"/>
                </w:rPr>
                <w:t>eReefs</w:t>
              </w:r>
            </w:hyperlink>
          </w:p>
          <w:p w14:paraId="5761FCDD"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lang w:val="en"/>
              </w:rPr>
            </w:pPr>
            <w:hyperlink r:id="rId1195" w:history="1">
              <w:r w:rsidR="00A56EE9" w:rsidRPr="00E70A11">
                <w:rPr>
                  <w:rStyle w:val="Hyperlink"/>
                  <w:rFonts w:ascii="Arial Narrow" w:hAnsi="Arial Narrow"/>
                  <w:sz w:val="18"/>
                  <w:szCs w:val="18"/>
                  <w:lang w:val="en"/>
                </w:rPr>
                <w:t>AIMS LTMP website</w:t>
              </w:r>
            </w:hyperlink>
          </w:p>
          <w:p w14:paraId="5761FCDE"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lang w:val="en"/>
              </w:rPr>
            </w:pPr>
            <w:hyperlink r:id="rId1196" w:history="1">
              <w:r w:rsidR="00A56EE9" w:rsidRPr="00E70A11">
                <w:rPr>
                  <w:rStyle w:val="Hyperlink"/>
                  <w:rFonts w:ascii="Arial Narrow" w:hAnsi="Arial Narrow"/>
                  <w:sz w:val="18"/>
                  <w:szCs w:val="18"/>
                  <w:lang w:val="en"/>
                </w:rPr>
                <w:t>Marine Monitoring Program</w:t>
              </w:r>
            </w:hyperlink>
          </w:p>
          <w:p w14:paraId="5761FCDF"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lang w:val="en"/>
              </w:rPr>
            </w:pPr>
            <w:hyperlink r:id="rId1197" w:history="1">
              <w:r w:rsidR="00A56EE9" w:rsidRPr="00E70A11">
                <w:rPr>
                  <w:rStyle w:val="Hyperlink"/>
                  <w:rFonts w:ascii="Arial Narrow" w:hAnsi="Arial Narrow"/>
                  <w:sz w:val="18"/>
                  <w:szCs w:val="18"/>
                  <w:lang w:val="en"/>
                </w:rPr>
                <w:t>Office of the Great Barrier Reef</w:t>
              </w:r>
            </w:hyperlink>
          </w:p>
          <w:p w14:paraId="5761FCE1" w14:textId="47B96AE8" w:rsidR="00A56EE9" w:rsidRPr="00F36D0B" w:rsidRDefault="008B5998" w:rsidP="00F36D0B">
            <w:pPr>
              <w:pStyle w:val="ListParagraph"/>
              <w:numPr>
                <w:ilvl w:val="0"/>
                <w:numId w:val="24"/>
              </w:numPr>
              <w:spacing w:after="200" w:line="276" w:lineRule="auto"/>
              <w:rPr>
                <w:rStyle w:val="BookTitle"/>
                <w:rFonts w:ascii="Arial Narrow" w:hAnsi="Arial Narrow" w:cstheme="minorBidi"/>
                <w:sz w:val="18"/>
                <w:szCs w:val="18"/>
                <w:u w:val="single"/>
                <w:lang w:val="en"/>
              </w:rPr>
            </w:pPr>
            <w:hyperlink r:id="rId1198" w:history="1">
              <w:r w:rsidR="00A56EE9" w:rsidRPr="00E70A11">
                <w:rPr>
                  <w:rStyle w:val="Hyperlink"/>
                  <w:rFonts w:ascii="Arial Narrow" w:hAnsi="Arial Narrow"/>
                  <w:sz w:val="18"/>
                  <w:szCs w:val="18"/>
                  <w:lang w:val="en"/>
                </w:rPr>
                <w:t>Department of Environment and Energy</w:t>
              </w:r>
            </w:hyperlink>
          </w:p>
        </w:tc>
        <w:tc>
          <w:tcPr>
            <w:tcW w:w="963" w:type="dxa"/>
            <w:tcBorders>
              <w:top w:val="single" w:sz="4" w:space="0" w:color="auto"/>
              <w:left w:val="single" w:sz="4" w:space="0" w:color="auto"/>
              <w:bottom w:val="single" w:sz="4" w:space="0" w:color="auto"/>
              <w:right w:val="single" w:sz="4" w:space="0" w:color="auto"/>
            </w:tcBorders>
          </w:tcPr>
          <w:p w14:paraId="5761FCE2"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E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CEB"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E5" w14:textId="77777777" w:rsidR="00A56EE9" w:rsidRPr="00E70A11" w:rsidRDefault="00A56EE9" w:rsidP="00BB6AD5">
            <w:pPr>
              <w:pStyle w:val="Tablebulletlist"/>
              <w:rPr>
                <w:rStyle w:val="BookTitle"/>
              </w:rPr>
            </w:pPr>
            <w:r w:rsidRPr="00E70A11">
              <w:rPr>
                <w:rStyle w:val="BookTitle"/>
              </w:rPr>
              <w:t>OUTCOMES</w:t>
            </w:r>
          </w:p>
        </w:tc>
        <w:tc>
          <w:tcPr>
            <w:tcW w:w="64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E6" w14:textId="77777777" w:rsidR="00A56EE9" w:rsidRPr="00E70A11" w:rsidRDefault="00A56EE9" w:rsidP="00BB6AD5">
            <w:pPr>
              <w:pStyle w:val="Tablebulletlist"/>
              <w:rPr>
                <w:rStyle w:val="BookTitle"/>
              </w:rPr>
            </w:pPr>
          </w:p>
        </w:tc>
        <w:tc>
          <w:tcPr>
            <w:tcW w:w="495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E7" w14:textId="77777777" w:rsidR="00A56EE9" w:rsidRPr="00E70A11" w:rsidRDefault="00A56EE9" w:rsidP="00BB6AD5">
            <w:pPr>
              <w:rPr>
                <w:rStyle w:val="BookTitle"/>
                <w:rFonts w:ascii="Arial Narrow" w:hAnsi="Arial Narrow"/>
                <w:sz w:val="18"/>
                <w:szCs w:val="18"/>
              </w:rPr>
            </w:pPr>
          </w:p>
        </w:tc>
        <w:tc>
          <w:tcPr>
            <w:tcW w:w="459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E8" w14:textId="77777777" w:rsidR="00A56EE9" w:rsidRPr="00E70A11" w:rsidRDefault="00A56EE9" w:rsidP="00BB6AD5">
            <w:pPr>
              <w:rPr>
                <w:rStyle w:val="BookTitle"/>
                <w:rFonts w:ascii="Arial Narrow" w:hAnsi="Arial Narrow"/>
                <w:sz w:val="18"/>
                <w:szCs w:val="18"/>
              </w:rPr>
            </w:pPr>
          </w:p>
        </w:tc>
        <w:tc>
          <w:tcPr>
            <w:tcW w:w="96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E9" w14:textId="77777777" w:rsidR="00A56EE9" w:rsidRPr="00E70A11" w:rsidRDefault="00A56EE9" w:rsidP="00BB6AD5">
            <w:pPr>
              <w:pStyle w:val="Tablebulletlist"/>
              <w:rPr>
                <w:rStyle w:val="BookTitle"/>
              </w:rPr>
            </w:pPr>
          </w:p>
        </w:tc>
        <w:tc>
          <w:tcPr>
            <w:tcW w:w="1003"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CEA" w14:textId="77777777" w:rsidR="00A56EE9" w:rsidRPr="00E70A11" w:rsidRDefault="00A56EE9" w:rsidP="00BB6AD5">
            <w:pPr>
              <w:pStyle w:val="Tablebulletlist"/>
              <w:rPr>
                <w:rStyle w:val="BookTitle"/>
              </w:rPr>
            </w:pPr>
          </w:p>
        </w:tc>
      </w:tr>
      <w:tr w:rsidR="00A56EE9" w:rsidRPr="00E70A11" w14:paraId="5761FCF7"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EC"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land-based run-off and moving towards the attainment of the desired outcomes.</w:t>
            </w:r>
          </w:p>
        </w:tc>
        <w:tc>
          <w:tcPr>
            <w:tcW w:w="643" w:type="dxa"/>
            <w:tcBorders>
              <w:top w:val="single" w:sz="4" w:space="0" w:color="auto"/>
              <w:left w:val="single" w:sz="4" w:space="0" w:color="auto"/>
              <w:bottom w:val="single" w:sz="4" w:space="0" w:color="auto"/>
              <w:right w:val="single" w:sz="4" w:space="0" w:color="auto"/>
            </w:tcBorders>
          </w:tcPr>
          <w:p w14:paraId="5761FCED" w14:textId="77777777" w:rsidR="00A56EE9" w:rsidRPr="00E70A11" w:rsidRDefault="00A56EE9" w:rsidP="00BB6AD5">
            <w:pPr>
              <w:pStyle w:val="Tablebulletlist"/>
              <w:rPr>
                <w:rStyle w:val="BookTitle"/>
              </w:rPr>
            </w:pPr>
            <w:r w:rsidRPr="00E70A11">
              <w:rPr>
                <w:rStyle w:val="BookTitle"/>
              </w:rPr>
              <w:t>3</w:t>
            </w:r>
          </w:p>
        </w:tc>
        <w:tc>
          <w:tcPr>
            <w:tcW w:w="4957" w:type="dxa"/>
            <w:tcBorders>
              <w:top w:val="single" w:sz="4" w:space="0" w:color="auto"/>
              <w:left w:val="single" w:sz="4" w:space="0" w:color="auto"/>
              <w:bottom w:val="single" w:sz="4" w:space="0" w:color="auto"/>
              <w:right w:val="single" w:sz="4" w:space="0" w:color="auto"/>
            </w:tcBorders>
          </w:tcPr>
          <w:p w14:paraId="5761FCEE"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Great Barrier Reef Water Science Taskforce Report and the 2015 Report Card assessment clearly show, progress with water quality load targets is not ‘on-track’ and it is highly likely that most 2018 targets will not be met. </w:t>
            </w:r>
          </w:p>
          <w:p w14:paraId="5761FCEF" w14:textId="77777777" w:rsidR="00A56EE9" w:rsidRPr="00E70A11" w:rsidRDefault="008B5998" w:rsidP="00A11869">
            <w:pPr>
              <w:pStyle w:val="ListParagraph"/>
              <w:numPr>
                <w:ilvl w:val="0"/>
                <w:numId w:val="24"/>
              </w:numPr>
              <w:rPr>
                <w:rStyle w:val="BookTitle"/>
                <w:rFonts w:ascii="Arial Narrow" w:hAnsi="Arial Narrow"/>
                <w:sz w:val="18"/>
                <w:szCs w:val="18"/>
              </w:rPr>
            </w:pPr>
            <w:hyperlink r:id="rId1199" w:history="1">
              <w:r w:rsidR="00A56EE9" w:rsidRPr="00E70A11">
                <w:rPr>
                  <w:rFonts w:ascii="Arial Narrow" w:hAnsi="Arial Narrow"/>
                  <w:sz w:val="18"/>
                  <w:szCs w:val="18"/>
                </w:rPr>
                <w:t>Water quality targets</w:t>
              </w:r>
            </w:hyperlink>
            <w:r w:rsidR="00A56EE9" w:rsidRPr="00E70A11">
              <w:rPr>
                <w:rFonts w:ascii="Arial Narrow" w:hAnsi="Arial Narrow"/>
                <w:sz w:val="18"/>
                <w:szCs w:val="18"/>
              </w:rPr>
              <w:t> have now been set for the catchments adjacent to the Great Barrier Reef, based on modelling and other scientific information. The targets define the reduction in nutrients and fine sediment required by 2025. This provides a new level of specificity from the Reef 2050 targets. </w:t>
            </w:r>
          </w:p>
        </w:tc>
        <w:tc>
          <w:tcPr>
            <w:tcW w:w="4597" w:type="dxa"/>
            <w:tcBorders>
              <w:top w:val="single" w:sz="4" w:space="0" w:color="auto"/>
              <w:left w:val="single" w:sz="4" w:space="0" w:color="auto"/>
              <w:bottom w:val="single" w:sz="4" w:space="0" w:color="auto"/>
              <w:right w:val="single" w:sz="4" w:space="0" w:color="auto"/>
            </w:tcBorders>
          </w:tcPr>
          <w:p w14:paraId="5761FCF0" w14:textId="77777777" w:rsidR="00A56EE9" w:rsidRPr="00E70A11" w:rsidRDefault="008B5998" w:rsidP="00A11869">
            <w:pPr>
              <w:pStyle w:val="ListParagraph"/>
              <w:numPr>
                <w:ilvl w:val="0"/>
                <w:numId w:val="24"/>
              </w:numPr>
              <w:rPr>
                <w:rFonts w:ascii="Arial Narrow" w:hAnsi="Arial Narrow"/>
                <w:sz w:val="18"/>
                <w:szCs w:val="18"/>
              </w:rPr>
            </w:pPr>
            <w:hyperlink r:id="rId1200" w:history="1">
              <w:r w:rsidR="00A56EE9" w:rsidRPr="00E70A11">
                <w:rPr>
                  <w:rStyle w:val="Hyperlink"/>
                  <w:rFonts w:ascii="Arial Narrow" w:hAnsi="Arial Narrow"/>
                  <w:sz w:val="18"/>
                  <w:szCs w:val="18"/>
                </w:rPr>
                <w:t>Chapter 4</w:t>
              </w:r>
            </w:hyperlink>
            <w:r w:rsidR="00A56EE9" w:rsidRPr="00E70A11">
              <w:rPr>
                <w:rFonts w:ascii="Arial Narrow" w:hAnsi="Arial Narrow"/>
                <w:sz w:val="18"/>
                <w:szCs w:val="18"/>
              </w:rPr>
              <w:t xml:space="preserve"> – Scientific Consensus Statement 2017</w:t>
            </w:r>
          </w:p>
          <w:p w14:paraId="5761FCF1" w14:textId="77777777" w:rsidR="00A56EE9" w:rsidRPr="00E70A11" w:rsidRDefault="008B5998" w:rsidP="00A11869">
            <w:pPr>
              <w:pStyle w:val="ListParagraph"/>
              <w:numPr>
                <w:ilvl w:val="0"/>
                <w:numId w:val="24"/>
              </w:numPr>
              <w:rPr>
                <w:rFonts w:ascii="Arial Narrow" w:hAnsi="Arial Narrow"/>
                <w:sz w:val="18"/>
                <w:szCs w:val="18"/>
                <w:u w:val="single"/>
              </w:rPr>
            </w:pPr>
            <w:hyperlink r:id="rId1201" w:history="1">
              <w:r w:rsidR="00A56EE9" w:rsidRPr="00E70A11">
                <w:rPr>
                  <w:rStyle w:val="Hyperlink"/>
                  <w:rFonts w:ascii="Arial Narrow" w:hAnsi="Arial Narrow"/>
                  <w:sz w:val="18"/>
                  <w:szCs w:val="18"/>
                </w:rPr>
                <w:t>Great Barrier Reef Water Science Taskforce Report</w:t>
              </w:r>
            </w:hyperlink>
          </w:p>
          <w:p w14:paraId="5761FCF2" w14:textId="77777777" w:rsidR="00A56EE9" w:rsidRPr="00E70A11" w:rsidRDefault="00A56EE9" w:rsidP="00A11869">
            <w:pPr>
              <w:pStyle w:val="ListParagraph"/>
              <w:numPr>
                <w:ilvl w:val="0"/>
                <w:numId w:val="24"/>
              </w:numPr>
              <w:rPr>
                <w:rFonts w:ascii="Arial Narrow" w:hAnsi="Arial Narrow"/>
                <w:sz w:val="18"/>
                <w:szCs w:val="18"/>
                <w:u w:val="single"/>
              </w:rPr>
            </w:pPr>
            <w:r w:rsidRPr="00E70A11">
              <w:rPr>
                <w:rFonts w:ascii="Arial Narrow" w:hAnsi="Arial Narrow"/>
                <w:sz w:val="18"/>
                <w:szCs w:val="18"/>
                <w:u w:val="single"/>
              </w:rPr>
              <w:t xml:space="preserve">Reef </w:t>
            </w:r>
            <w:hyperlink r:id="rId1202" w:history="1">
              <w:r w:rsidRPr="00E70A11">
                <w:rPr>
                  <w:rStyle w:val="Hyperlink"/>
                  <w:rFonts w:ascii="Arial Narrow" w:hAnsi="Arial Narrow"/>
                  <w:sz w:val="18"/>
                  <w:szCs w:val="18"/>
                </w:rPr>
                <w:t>WQIP</w:t>
              </w:r>
            </w:hyperlink>
          </w:p>
          <w:p w14:paraId="5761FCF3" w14:textId="77777777" w:rsidR="00A56EE9" w:rsidRPr="00186D42" w:rsidRDefault="00A56EE9" w:rsidP="00A11869">
            <w:pPr>
              <w:pStyle w:val="ListParagraph"/>
              <w:numPr>
                <w:ilvl w:val="0"/>
                <w:numId w:val="24"/>
              </w:numPr>
              <w:rPr>
                <w:rStyle w:val="Hyperlink"/>
                <w:rFonts w:ascii="Arial Narrow" w:hAnsi="Arial Narrow"/>
                <w:sz w:val="18"/>
                <w:szCs w:val="18"/>
              </w:rPr>
            </w:pPr>
            <w:r w:rsidRPr="00E70A11">
              <w:rPr>
                <w:rFonts w:ascii="Arial Narrow" w:hAnsi="Arial Narrow"/>
                <w:sz w:val="18"/>
                <w:szCs w:val="18"/>
              </w:rPr>
              <w:t xml:space="preserve"> </w:t>
            </w:r>
            <w:hyperlink r:id="rId1203" w:history="1">
              <w:r w:rsidRPr="00E70A11">
                <w:rPr>
                  <w:rStyle w:val="Hyperlink"/>
                  <w:rFonts w:ascii="Arial Narrow" w:hAnsi="Arial Narrow"/>
                  <w:sz w:val="18"/>
                  <w:szCs w:val="18"/>
                </w:rPr>
                <w:t>Reef 2050 Plan Annual Report and Implementation Strategy</w:t>
              </w:r>
            </w:hyperlink>
          </w:p>
          <w:p w14:paraId="5761FCF4" w14:textId="77777777" w:rsidR="00A56EE9" w:rsidRPr="00E70A11" w:rsidRDefault="00A56EE9" w:rsidP="00A11869">
            <w:pPr>
              <w:pStyle w:val="ListParagraph"/>
              <w:numPr>
                <w:ilvl w:val="0"/>
                <w:numId w:val="24"/>
              </w:numPr>
              <w:rPr>
                <w:rStyle w:val="BookTitle"/>
                <w:rFonts w:ascii="Arial Narrow" w:hAnsi="Arial Narrow"/>
                <w:sz w:val="18"/>
                <w:szCs w:val="18"/>
              </w:rPr>
            </w:pPr>
            <w:r>
              <w:rPr>
                <w:rStyle w:val="BookTitle"/>
                <w:rFonts w:ascii="Arial Narrow" w:hAnsi="Arial Narrow"/>
                <w:sz w:val="18"/>
                <w:szCs w:val="18"/>
              </w:rPr>
              <w:t>New Qld Reef Regulations</w:t>
            </w:r>
            <w:r w:rsidRPr="00E70A11">
              <w:rPr>
                <w:rFonts w:ascii="Arial Narrow" w:hAnsi="Arial Narrow"/>
                <w:sz w:val="18"/>
                <w:szCs w:val="18"/>
              </w:rPr>
              <w:t xml:space="preserve"> </w:t>
            </w:r>
          </w:p>
        </w:tc>
        <w:tc>
          <w:tcPr>
            <w:tcW w:w="963" w:type="dxa"/>
            <w:tcBorders>
              <w:top w:val="single" w:sz="4" w:space="0" w:color="auto"/>
              <w:left w:val="single" w:sz="4" w:space="0" w:color="auto"/>
              <w:bottom w:val="single" w:sz="4" w:space="0" w:color="auto"/>
              <w:right w:val="single" w:sz="4" w:space="0" w:color="auto"/>
            </w:tcBorders>
          </w:tcPr>
          <w:p w14:paraId="5761FCF5"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CF6"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D02"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CF8"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land-based run-off are on track to ensure the values of the Great Barrier Reef are protected (refer CO1)</w:t>
            </w:r>
          </w:p>
        </w:tc>
        <w:tc>
          <w:tcPr>
            <w:tcW w:w="643" w:type="dxa"/>
            <w:tcBorders>
              <w:top w:val="single" w:sz="4" w:space="0" w:color="auto"/>
              <w:left w:val="single" w:sz="4" w:space="0" w:color="auto"/>
              <w:bottom w:val="single" w:sz="4" w:space="0" w:color="auto"/>
              <w:right w:val="single" w:sz="4" w:space="0" w:color="auto"/>
            </w:tcBorders>
          </w:tcPr>
          <w:p w14:paraId="5761FCF9" w14:textId="77777777" w:rsidR="00A56EE9" w:rsidRPr="00E70A11" w:rsidRDefault="00A56EE9" w:rsidP="00BB6AD5">
            <w:pPr>
              <w:pStyle w:val="Tablebulletlist"/>
              <w:rPr>
                <w:rStyle w:val="BookTitle"/>
              </w:rPr>
            </w:pPr>
            <w:r w:rsidRPr="00E70A11">
              <w:rPr>
                <w:rStyle w:val="BookTitle"/>
              </w:rPr>
              <w:t>2</w:t>
            </w:r>
          </w:p>
        </w:tc>
        <w:tc>
          <w:tcPr>
            <w:tcW w:w="4957" w:type="dxa"/>
            <w:tcBorders>
              <w:top w:val="single" w:sz="4" w:space="0" w:color="auto"/>
              <w:left w:val="single" w:sz="4" w:space="0" w:color="auto"/>
              <w:bottom w:val="single" w:sz="4" w:space="0" w:color="auto"/>
              <w:right w:val="single" w:sz="4" w:space="0" w:color="auto"/>
            </w:tcBorders>
          </w:tcPr>
          <w:p w14:paraId="5761FCFA"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Great Barrier Reef Water Science Taskforce Report and the 2015 Report Card assessment clearly show, progress with water quality load targets is not ‘on-track’ and it is highly likely that most 2018 targets will not be met.</w:t>
            </w:r>
          </w:p>
          <w:p w14:paraId="5761FCFB" w14:textId="77777777" w:rsidR="00A56EE9" w:rsidRPr="00E70A11" w:rsidRDefault="008B5998" w:rsidP="00A11869">
            <w:pPr>
              <w:pStyle w:val="ListParagraph"/>
              <w:numPr>
                <w:ilvl w:val="0"/>
                <w:numId w:val="24"/>
              </w:numPr>
              <w:rPr>
                <w:rStyle w:val="BookTitle"/>
                <w:rFonts w:ascii="Arial Narrow" w:hAnsi="Arial Narrow"/>
                <w:sz w:val="18"/>
                <w:szCs w:val="18"/>
              </w:rPr>
            </w:pPr>
            <w:hyperlink r:id="rId1204" w:history="1">
              <w:r w:rsidR="00A56EE9" w:rsidRPr="00E70A11">
                <w:rPr>
                  <w:rFonts w:ascii="Arial Narrow" w:hAnsi="Arial Narrow"/>
                  <w:sz w:val="18"/>
                  <w:szCs w:val="18"/>
                </w:rPr>
                <w:t>Water quality targets</w:t>
              </w:r>
            </w:hyperlink>
            <w:r w:rsidR="00A56EE9" w:rsidRPr="00E70A11">
              <w:rPr>
                <w:rFonts w:ascii="Arial Narrow" w:hAnsi="Arial Narrow"/>
                <w:sz w:val="18"/>
                <w:szCs w:val="18"/>
              </w:rPr>
              <w:t> have now been set for the catchments adjacent to the Great Barrier Reef, based on modelling and other scientific information. The targets define the reduction in nutrients and fine sediment required by 2025. This provides a new level of specificity from the Reef 2050 targets. </w:t>
            </w:r>
          </w:p>
        </w:tc>
        <w:tc>
          <w:tcPr>
            <w:tcW w:w="4597" w:type="dxa"/>
            <w:tcBorders>
              <w:top w:val="single" w:sz="4" w:space="0" w:color="auto"/>
              <w:left w:val="single" w:sz="4" w:space="0" w:color="auto"/>
              <w:bottom w:val="single" w:sz="4" w:space="0" w:color="auto"/>
              <w:right w:val="single" w:sz="4" w:space="0" w:color="auto"/>
            </w:tcBorders>
          </w:tcPr>
          <w:p w14:paraId="5761FCF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205" w:history="1">
              <w:r w:rsidR="00A56EE9" w:rsidRPr="00E70A11">
                <w:rPr>
                  <w:rStyle w:val="Hyperlink"/>
                  <w:rFonts w:ascii="Arial Narrow" w:hAnsi="Arial Narrow"/>
                  <w:sz w:val="18"/>
                  <w:szCs w:val="18"/>
                </w:rPr>
                <w:t>Chapter 4</w:t>
              </w:r>
            </w:hyperlink>
            <w:r w:rsidR="00A56EE9" w:rsidRPr="00E70A11">
              <w:rPr>
                <w:rFonts w:ascii="Arial Narrow" w:hAnsi="Arial Narrow"/>
                <w:sz w:val="18"/>
                <w:szCs w:val="18"/>
              </w:rPr>
              <w:t xml:space="preserve"> – Scientific Consensus Statement 2017</w:t>
            </w:r>
          </w:p>
          <w:p w14:paraId="5761FCFD"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1206" w:history="1">
              <w:r w:rsidR="00A56EE9" w:rsidRPr="00E70A11">
                <w:rPr>
                  <w:rStyle w:val="Hyperlink"/>
                  <w:rFonts w:ascii="Arial Narrow" w:hAnsi="Arial Narrow"/>
                  <w:sz w:val="18"/>
                  <w:szCs w:val="18"/>
                </w:rPr>
                <w:t>Great Barrier Reef Water Science Taskforce Report</w:t>
              </w:r>
            </w:hyperlink>
          </w:p>
          <w:p w14:paraId="5761FCFE"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u w:val="single"/>
              </w:rPr>
              <w:t xml:space="preserve">Reef </w:t>
            </w:r>
            <w:hyperlink r:id="rId1207" w:history="1">
              <w:r w:rsidRPr="00E70A11">
                <w:rPr>
                  <w:rStyle w:val="Hyperlink"/>
                  <w:rFonts w:ascii="Arial Narrow" w:hAnsi="Arial Narrow"/>
                  <w:sz w:val="18"/>
                  <w:szCs w:val="18"/>
                </w:rPr>
                <w:t>WQIP</w:t>
              </w:r>
            </w:hyperlink>
          </w:p>
          <w:p w14:paraId="5761FCF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 </w:t>
            </w:r>
            <w:hyperlink r:id="rId1208" w:history="1">
              <w:r w:rsidRPr="00E70A11">
                <w:rPr>
                  <w:rStyle w:val="Hyperlink"/>
                  <w:rFonts w:ascii="Arial Narrow" w:hAnsi="Arial Narrow"/>
                  <w:sz w:val="18"/>
                  <w:szCs w:val="18"/>
                </w:rPr>
                <w:t>Reef 2050 Plan Annual Report and Implementation Strategy</w:t>
              </w:r>
            </w:hyperlink>
            <w:r w:rsidRPr="00E70A11">
              <w:rPr>
                <w:rFonts w:ascii="Arial Narrow" w:hAnsi="Arial Narrow"/>
                <w:sz w:val="18"/>
                <w:szCs w:val="18"/>
              </w:rPr>
              <w:t xml:space="preserve"> </w:t>
            </w:r>
          </w:p>
        </w:tc>
        <w:tc>
          <w:tcPr>
            <w:tcW w:w="963" w:type="dxa"/>
            <w:tcBorders>
              <w:top w:val="single" w:sz="4" w:space="0" w:color="auto"/>
              <w:left w:val="single" w:sz="4" w:space="0" w:color="auto"/>
              <w:bottom w:val="single" w:sz="4" w:space="0" w:color="auto"/>
              <w:right w:val="single" w:sz="4" w:space="0" w:color="auto"/>
            </w:tcBorders>
          </w:tcPr>
          <w:p w14:paraId="5761FD00"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D0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D0D"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D03"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land-based run-off are reducing the major risks and the threats to the Great Barrier Reef</w:t>
            </w:r>
          </w:p>
        </w:tc>
        <w:tc>
          <w:tcPr>
            <w:tcW w:w="643" w:type="dxa"/>
            <w:tcBorders>
              <w:top w:val="single" w:sz="4" w:space="0" w:color="auto"/>
              <w:left w:val="single" w:sz="4" w:space="0" w:color="auto"/>
              <w:bottom w:val="single" w:sz="4" w:space="0" w:color="auto"/>
              <w:right w:val="single" w:sz="4" w:space="0" w:color="auto"/>
            </w:tcBorders>
          </w:tcPr>
          <w:p w14:paraId="5761FD04" w14:textId="77777777" w:rsidR="00A56EE9" w:rsidRPr="00E70A11" w:rsidRDefault="00A56EE9" w:rsidP="00BB6AD5">
            <w:pPr>
              <w:pStyle w:val="Tablebulletlist"/>
              <w:rPr>
                <w:rStyle w:val="BookTitle"/>
              </w:rPr>
            </w:pPr>
            <w:r w:rsidRPr="00E70A11">
              <w:rPr>
                <w:rStyle w:val="BookTitle"/>
              </w:rPr>
              <w:t>3</w:t>
            </w:r>
          </w:p>
        </w:tc>
        <w:tc>
          <w:tcPr>
            <w:tcW w:w="4957" w:type="dxa"/>
            <w:tcBorders>
              <w:top w:val="single" w:sz="4" w:space="0" w:color="auto"/>
              <w:left w:val="single" w:sz="4" w:space="0" w:color="auto"/>
              <w:bottom w:val="single" w:sz="4" w:space="0" w:color="auto"/>
              <w:right w:val="single" w:sz="4" w:space="0" w:color="auto"/>
            </w:tcBorders>
          </w:tcPr>
          <w:p w14:paraId="5761FD0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Key Great Barrier Reef ecosystems continue to be in poor condition. This is largely due to the collective impact of land run-off associated with past and ongoing catchment development, coastal development activities, extreme weather events and climate change impacts such as the 2016 and 2017 coral bleaching events. </w:t>
            </w:r>
          </w:p>
          <w:p w14:paraId="5761FD06"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Current initiatives will not meet the water quality targets. To accelerate the change in on-ground management, improvements to governance, program design, delivery and evaluation systems are urgently needed. This will require greater incorporation of social and economic factors, better targeting and prioritisation, exploration of alternative management options and increased support and resources.</w:t>
            </w:r>
          </w:p>
        </w:tc>
        <w:tc>
          <w:tcPr>
            <w:tcW w:w="4597" w:type="dxa"/>
            <w:tcBorders>
              <w:top w:val="single" w:sz="4" w:space="0" w:color="auto"/>
              <w:left w:val="single" w:sz="4" w:space="0" w:color="auto"/>
              <w:bottom w:val="single" w:sz="4" w:space="0" w:color="auto"/>
              <w:right w:val="single" w:sz="4" w:space="0" w:color="auto"/>
            </w:tcBorders>
          </w:tcPr>
          <w:p w14:paraId="5761FD0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209" w:history="1">
              <w:r w:rsidR="00A56EE9" w:rsidRPr="00E70A11">
                <w:rPr>
                  <w:rStyle w:val="Hyperlink"/>
                  <w:rFonts w:ascii="Arial Narrow" w:hAnsi="Arial Narrow"/>
                  <w:sz w:val="18"/>
                  <w:szCs w:val="18"/>
                </w:rPr>
                <w:t>Chapter 4</w:t>
              </w:r>
            </w:hyperlink>
            <w:r w:rsidR="00A56EE9" w:rsidRPr="00E70A11">
              <w:rPr>
                <w:rFonts w:ascii="Arial Narrow" w:hAnsi="Arial Narrow"/>
                <w:sz w:val="18"/>
                <w:szCs w:val="18"/>
              </w:rPr>
              <w:t xml:space="preserve"> – Scientific Consensus Statement 2017</w:t>
            </w:r>
          </w:p>
          <w:p w14:paraId="5761FD08"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1210" w:history="1">
              <w:r w:rsidR="00A56EE9" w:rsidRPr="00E70A11">
                <w:rPr>
                  <w:rStyle w:val="Hyperlink"/>
                  <w:rFonts w:ascii="Arial Narrow" w:hAnsi="Arial Narrow"/>
                  <w:sz w:val="18"/>
                  <w:szCs w:val="18"/>
                </w:rPr>
                <w:t>Great Barrier Reef Water Science Taskforce Report</w:t>
              </w:r>
            </w:hyperlink>
          </w:p>
          <w:p w14:paraId="5761FD09" w14:textId="77777777" w:rsidR="00A56EE9" w:rsidRPr="00E70A11" w:rsidRDefault="00A56EE9" w:rsidP="00A11869">
            <w:pPr>
              <w:pStyle w:val="ListParagraph"/>
              <w:numPr>
                <w:ilvl w:val="0"/>
                <w:numId w:val="24"/>
              </w:numPr>
              <w:spacing w:after="200" w:line="276" w:lineRule="auto"/>
              <w:rPr>
                <w:rFonts w:ascii="Arial Narrow" w:hAnsi="Arial Narrow"/>
                <w:sz w:val="18"/>
                <w:szCs w:val="18"/>
                <w:u w:val="single"/>
              </w:rPr>
            </w:pPr>
            <w:r w:rsidRPr="00E70A11">
              <w:rPr>
                <w:rFonts w:ascii="Arial Narrow" w:hAnsi="Arial Narrow"/>
                <w:sz w:val="18"/>
                <w:szCs w:val="18"/>
                <w:u w:val="single"/>
              </w:rPr>
              <w:t xml:space="preserve">Reef </w:t>
            </w:r>
            <w:hyperlink r:id="rId1211" w:history="1">
              <w:r w:rsidRPr="00E70A11">
                <w:rPr>
                  <w:rStyle w:val="Hyperlink"/>
                  <w:rFonts w:ascii="Arial Narrow" w:hAnsi="Arial Narrow"/>
                  <w:sz w:val="18"/>
                  <w:szCs w:val="18"/>
                </w:rPr>
                <w:t>WQIP</w:t>
              </w:r>
            </w:hyperlink>
          </w:p>
          <w:p w14:paraId="5761FD0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 </w:t>
            </w:r>
            <w:hyperlink r:id="rId1212" w:history="1">
              <w:r w:rsidRPr="00E70A11">
                <w:rPr>
                  <w:rStyle w:val="Hyperlink"/>
                  <w:rFonts w:ascii="Arial Narrow" w:hAnsi="Arial Narrow"/>
                  <w:sz w:val="18"/>
                  <w:szCs w:val="18"/>
                </w:rPr>
                <w:t>Reef 2050 Plan Annual Report and Implementation Strategy</w:t>
              </w:r>
            </w:hyperlink>
            <w:r w:rsidRPr="00E70A11">
              <w:rPr>
                <w:rFonts w:ascii="Arial Narrow" w:hAnsi="Arial Narrow"/>
                <w:sz w:val="18"/>
                <w:szCs w:val="18"/>
              </w:rPr>
              <w:t xml:space="preserve"> </w:t>
            </w:r>
          </w:p>
        </w:tc>
        <w:tc>
          <w:tcPr>
            <w:tcW w:w="963" w:type="dxa"/>
            <w:tcBorders>
              <w:top w:val="single" w:sz="4" w:space="0" w:color="auto"/>
              <w:left w:val="single" w:sz="4" w:space="0" w:color="auto"/>
              <w:bottom w:val="single" w:sz="4" w:space="0" w:color="auto"/>
              <w:right w:val="single" w:sz="4" w:space="0" w:color="auto"/>
            </w:tcBorders>
          </w:tcPr>
          <w:p w14:paraId="5761FD0B"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D0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D1A"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D0E"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land-based run-off is demonstrably environmentally sustainable</w:t>
            </w:r>
          </w:p>
        </w:tc>
        <w:tc>
          <w:tcPr>
            <w:tcW w:w="643" w:type="dxa"/>
            <w:tcBorders>
              <w:top w:val="single" w:sz="4" w:space="0" w:color="auto"/>
              <w:left w:val="single" w:sz="4" w:space="0" w:color="auto"/>
              <w:bottom w:val="single" w:sz="4" w:space="0" w:color="auto"/>
              <w:right w:val="single" w:sz="4" w:space="0" w:color="auto"/>
            </w:tcBorders>
          </w:tcPr>
          <w:p w14:paraId="5761FD0F" w14:textId="77777777" w:rsidR="00A56EE9" w:rsidRPr="00E70A11" w:rsidRDefault="00A56EE9" w:rsidP="00BB6AD5">
            <w:pPr>
              <w:pStyle w:val="Tablebulletlist"/>
              <w:rPr>
                <w:rStyle w:val="BookTitle"/>
              </w:rPr>
            </w:pPr>
            <w:r w:rsidRPr="00E70A11">
              <w:rPr>
                <w:rStyle w:val="BookTitle"/>
              </w:rPr>
              <w:t>2</w:t>
            </w:r>
          </w:p>
        </w:tc>
        <w:tc>
          <w:tcPr>
            <w:tcW w:w="4957" w:type="dxa"/>
            <w:tcBorders>
              <w:top w:val="single" w:sz="4" w:space="0" w:color="auto"/>
              <w:left w:val="single" w:sz="4" w:space="0" w:color="auto"/>
              <w:bottom w:val="single" w:sz="4" w:space="0" w:color="auto"/>
              <w:right w:val="single" w:sz="4" w:space="0" w:color="auto"/>
            </w:tcBorders>
          </w:tcPr>
          <w:p w14:paraId="5761FD10"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Key Great Barrier Reef ecosystems continue to be in poor condition. This is largely due to the collective impact of land run-off associated with past and ongoing catchment development, coastal development activities, extreme weather events and climate change impacts such as the 2016 and 2017 coral bleaching events.</w:t>
            </w:r>
          </w:p>
          <w:p w14:paraId="5761FD11"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Current initiatives will not meet the water quality targets. To accelerate the change in on-ground management, improvements to governance, program design, delivery and evaluation systems are urgently needed. This will require greater incorporation of social and economic factors, better targeting and prioritisation, exploration of alternative management options and increased support and resources.</w:t>
            </w:r>
          </w:p>
          <w:p w14:paraId="5761FD12"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Land clearing in Qld has accelerated in recent years, although the Qld Government has re-introduced tougher clearing legislation</w:t>
            </w:r>
          </w:p>
          <w:p w14:paraId="5761FD13"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Conflicting policies around increased agricultural development/production</w:t>
            </w:r>
          </w:p>
          <w:p w14:paraId="5761FD1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Some loss of wetlands and riparian areas continues</w:t>
            </w:r>
          </w:p>
        </w:tc>
        <w:tc>
          <w:tcPr>
            <w:tcW w:w="4597" w:type="dxa"/>
            <w:tcBorders>
              <w:top w:val="single" w:sz="4" w:space="0" w:color="auto"/>
              <w:left w:val="single" w:sz="4" w:space="0" w:color="auto"/>
              <w:bottom w:val="single" w:sz="4" w:space="0" w:color="auto"/>
              <w:right w:val="single" w:sz="4" w:space="0" w:color="auto"/>
            </w:tcBorders>
          </w:tcPr>
          <w:p w14:paraId="5761FD15" w14:textId="77777777" w:rsidR="00A56EE9" w:rsidRPr="00E70A11" w:rsidRDefault="008B5998" w:rsidP="00A11869">
            <w:pPr>
              <w:pStyle w:val="ListParagraph"/>
              <w:numPr>
                <w:ilvl w:val="0"/>
                <w:numId w:val="24"/>
              </w:numPr>
              <w:rPr>
                <w:rFonts w:ascii="Arial Narrow" w:hAnsi="Arial Narrow"/>
                <w:sz w:val="18"/>
                <w:szCs w:val="18"/>
                <w:lang w:val="en"/>
              </w:rPr>
            </w:pPr>
            <w:hyperlink r:id="rId1213" w:history="1">
              <w:r w:rsidR="00A56EE9" w:rsidRPr="00E70A11">
                <w:rPr>
                  <w:rStyle w:val="Hyperlink"/>
                  <w:rFonts w:ascii="Arial Narrow" w:hAnsi="Arial Narrow"/>
                  <w:sz w:val="18"/>
                  <w:szCs w:val="18"/>
                  <w:lang w:val="en"/>
                </w:rPr>
                <w:t>State Party Report on the state of conservation of the Great Barrier Reef World Heritage Area (Australia) 2015</w:t>
              </w:r>
            </w:hyperlink>
          </w:p>
          <w:p w14:paraId="5761FD16" w14:textId="77777777" w:rsidR="00A56EE9" w:rsidRPr="00E70A11" w:rsidRDefault="008B5998" w:rsidP="00A11869">
            <w:pPr>
              <w:pStyle w:val="ListParagraph"/>
              <w:numPr>
                <w:ilvl w:val="0"/>
                <w:numId w:val="24"/>
              </w:numPr>
              <w:rPr>
                <w:rFonts w:ascii="Arial Narrow" w:hAnsi="Arial Narrow"/>
                <w:sz w:val="18"/>
                <w:szCs w:val="18"/>
                <w:u w:val="single"/>
              </w:rPr>
            </w:pPr>
            <w:hyperlink r:id="rId1214" w:history="1">
              <w:r w:rsidR="00A56EE9" w:rsidRPr="00E70A11">
                <w:rPr>
                  <w:rStyle w:val="Hyperlink"/>
                  <w:rFonts w:ascii="Arial Narrow" w:hAnsi="Arial Narrow"/>
                  <w:sz w:val="18"/>
                  <w:szCs w:val="18"/>
                </w:rPr>
                <w:t>2017 Scientific Consensus Statement</w:t>
              </w:r>
            </w:hyperlink>
          </w:p>
          <w:p w14:paraId="5761FD17"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 xml:space="preserve">Brodie, Grech, McCook, 2017, </w:t>
            </w:r>
            <w:hyperlink r:id="rId1215" w:history="1">
              <w:r w:rsidRPr="00E70A11">
                <w:rPr>
                  <w:rStyle w:val="Hyperlink"/>
                  <w:rFonts w:ascii="Arial Narrow" w:hAnsi="Arial Narrow"/>
                  <w:sz w:val="18"/>
                  <w:szCs w:val="18"/>
                </w:rPr>
                <w:t>The new Great Barrier Reef pollution plan is better, but still not good enough</w:t>
              </w:r>
            </w:hyperlink>
            <w:r w:rsidRPr="00E70A11">
              <w:rPr>
                <w:rFonts w:ascii="Arial Narrow" w:hAnsi="Arial Narrow"/>
                <w:sz w:val="18"/>
                <w:szCs w:val="18"/>
              </w:rPr>
              <w:t>, The Conversation</w:t>
            </w:r>
          </w:p>
        </w:tc>
        <w:tc>
          <w:tcPr>
            <w:tcW w:w="963" w:type="dxa"/>
            <w:tcBorders>
              <w:top w:val="single" w:sz="4" w:space="0" w:color="auto"/>
              <w:left w:val="single" w:sz="4" w:space="0" w:color="auto"/>
              <w:bottom w:val="single" w:sz="4" w:space="0" w:color="auto"/>
              <w:right w:val="single" w:sz="4" w:space="0" w:color="auto"/>
            </w:tcBorders>
          </w:tcPr>
          <w:p w14:paraId="5761FD18" w14:textId="77777777" w:rsidR="00A56EE9" w:rsidRPr="00E70A11" w:rsidRDefault="00A56EE9" w:rsidP="00BB6AD5">
            <w:pPr>
              <w:pStyle w:val="Tablebulletlist"/>
              <w:rPr>
                <w:rStyle w:val="BookTitle"/>
              </w:rPr>
            </w:pPr>
            <w:r w:rsidRPr="00E70A11">
              <w:rPr>
                <w:rStyle w:val="BookTitle"/>
              </w:rPr>
              <w:t>Limited</w:t>
            </w:r>
          </w:p>
        </w:tc>
        <w:tc>
          <w:tcPr>
            <w:tcW w:w="1003" w:type="dxa"/>
            <w:tcBorders>
              <w:top w:val="single" w:sz="4" w:space="0" w:color="auto"/>
              <w:left w:val="single" w:sz="4" w:space="0" w:color="auto"/>
              <w:bottom w:val="single" w:sz="4" w:space="0" w:color="auto"/>
              <w:right w:val="single" w:sz="4" w:space="0" w:color="auto"/>
            </w:tcBorders>
          </w:tcPr>
          <w:p w14:paraId="5761FD1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D27"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D1B"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land-based run-off is demonstrably economically sustainable</w:t>
            </w:r>
          </w:p>
        </w:tc>
        <w:tc>
          <w:tcPr>
            <w:tcW w:w="643" w:type="dxa"/>
            <w:tcBorders>
              <w:top w:val="single" w:sz="4" w:space="0" w:color="auto"/>
              <w:left w:val="single" w:sz="4" w:space="0" w:color="auto"/>
              <w:bottom w:val="single" w:sz="4" w:space="0" w:color="auto"/>
              <w:right w:val="single" w:sz="4" w:space="0" w:color="auto"/>
            </w:tcBorders>
          </w:tcPr>
          <w:p w14:paraId="5761FD1C" w14:textId="77777777" w:rsidR="00A56EE9" w:rsidRPr="00E70A11" w:rsidRDefault="00A56EE9" w:rsidP="00BB6AD5">
            <w:pPr>
              <w:pStyle w:val="Tablebulletlist"/>
              <w:rPr>
                <w:rStyle w:val="BookTitle"/>
              </w:rPr>
            </w:pPr>
            <w:r w:rsidRPr="00E70A11">
              <w:rPr>
                <w:rStyle w:val="BookTitle"/>
              </w:rPr>
              <w:t>2</w:t>
            </w:r>
          </w:p>
        </w:tc>
        <w:tc>
          <w:tcPr>
            <w:tcW w:w="4957" w:type="dxa"/>
            <w:tcBorders>
              <w:top w:val="single" w:sz="4" w:space="0" w:color="auto"/>
              <w:left w:val="single" w:sz="4" w:space="0" w:color="auto"/>
              <w:bottom w:val="single" w:sz="4" w:space="0" w:color="auto"/>
              <w:right w:val="single" w:sz="4" w:space="0" w:color="auto"/>
            </w:tcBorders>
          </w:tcPr>
          <w:p w14:paraId="5761FD1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Reef contributes $6.4 billion to the Australian economy and supports significant regional employment through tourism, fishing and other industries.</w:t>
            </w:r>
          </w:p>
          <w:p w14:paraId="5761FD1E"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Values are jeopardised by poor water quality</w:t>
            </w:r>
          </w:p>
          <w:p w14:paraId="5761FD1F"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Rising water tables threaten production in some areas (e.g. lower Burdekin)</w:t>
            </w:r>
          </w:p>
          <w:p w14:paraId="5761FD2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Poor management practices threaten sustainability of grazing and cane industries in marginal lands</w:t>
            </w:r>
          </w:p>
          <w:p w14:paraId="5761FD2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Yield decline in copping due to poor soil health</w:t>
            </w:r>
          </w:p>
        </w:tc>
        <w:tc>
          <w:tcPr>
            <w:tcW w:w="4597" w:type="dxa"/>
            <w:tcBorders>
              <w:top w:val="single" w:sz="4" w:space="0" w:color="auto"/>
              <w:left w:val="single" w:sz="4" w:space="0" w:color="auto"/>
              <w:bottom w:val="single" w:sz="4" w:space="0" w:color="auto"/>
              <w:right w:val="single" w:sz="4" w:space="0" w:color="auto"/>
            </w:tcBorders>
          </w:tcPr>
          <w:p w14:paraId="5761FD22" w14:textId="77777777" w:rsidR="00A56EE9" w:rsidRPr="00E70A11" w:rsidRDefault="008B5998" w:rsidP="00A11869">
            <w:pPr>
              <w:pStyle w:val="ListParagraph"/>
              <w:numPr>
                <w:ilvl w:val="0"/>
                <w:numId w:val="24"/>
              </w:numPr>
              <w:rPr>
                <w:rFonts w:ascii="Arial Narrow" w:hAnsi="Arial Narrow"/>
                <w:sz w:val="18"/>
                <w:szCs w:val="18"/>
                <w:lang w:val="en"/>
              </w:rPr>
            </w:pPr>
            <w:hyperlink r:id="rId1216" w:history="1">
              <w:r w:rsidR="00A56EE9" w:rsidRPr="00E70A11">
                <w:rPr>
                  <w:rStyle w:val="Hyperlink"/>
                  <w:rFonts w:ascii="Arial Narrow" w:hAnsi="Arial Narrow"/>
                  <w:sz w:val="18"/>
                  <w:szCs w:val="18"/>
                  <w:lang w:val="en"/>
                </w:rPr>
                <w:t>Deloitte Access Economics Report</w:t>
              </w:r>
            </w:hyperlink>
            <w:r w:rsidR="00A56EE9" w:rsidRPr="00E70A11">
              <w:rPr>
                <w:rFonts w:ascii="Arial Narrow" w:hAnsi="Arial Narrow"/>
                <w:sz w:val="18"/>
                <w:szCs w:val="18"/>
                <w:lang w:val="en"/>
              </w:rPr>
              <w:t xml:space="preserve"> 2017 – At what price? The economic, social and icon value of the Great Barrier Reef</w:t>
            </w:r>
          </w:p>
          <w:p w14:paraId="5761FD23" w14:textId="77777777" w:rsidR="00A56EE9" w:rsidRPr="00E70A11" w:rsidRDefault="008B5998" w:rsidP="00A11869">
            <w:pPr>
              <w:pStyle w:val="ListParagraph"/>
              <w:numPr>
                <w:ilvl w:val="0"/>
                <w:numId w:val="24"/>
              </w:numPr>
              <w:rPr>
                <w:rFonts w:ascii="Arial Narrow" w:hAnsi="Arial Narrow"/>
                <w:sz w:val="18"/>
                <w:szCs w:val="18"/>
              </w:rPr>
            </w:pPr>
            <w:hyperlink r:id="rId1217" w:history="1">
              <w:r w:rsidR="00A56EE9" w:rsidRPr="00E70A11">
                <w:rPr>
                  <w:rStyle w:val="Hyperlink"/>
                  <w:rFonts w:ascii="Arial Narrow" w:hAnsi="Arial Narrow"/>
                  <w:sz w:val="18"/>
                  <w:szCs w:val="18"/>
                  <w:lang w:val="en"/>
                </w:rPr>
                <w:t>State Party Report on the state of conservation of the Great Barrier Reef World Heritage Area (Australia) 2015</w:t>
              </w:r>
            </w:hyperlink>
          </w:p>
          <w:p w14:paraId="5761FD24"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lang w:val="en"/>
              </w:rPr>
              <w:t xml:space="preserve">Draft </w:t>
            </w:r>
            <w:hyperlink r:id="rId1218" w:history="1">
              <w:r w:rsidRPr="00E70A11">
                <w:rPr>
                  <w:rStyle w:val="Hyperlink"/>
                  <w:rFonts w:ascii="Arial Narrow" w:hAnsi="Arial Narrow"/>
                  <w:sz w:val="18"/>
                  <w:szCs w:val="18"/>
                  <w:lang w:val="en"/>
                </w:rPr>
                <w:t>Reef 2050 Water Quality Improvement Plan 2017-2022</w:t>
              </w:r>
            </w:hyperlink>
          </w:p>
        </w:tc>
        <w:tc>
          <w:tcPr>
            <w:tcW w:w="963" w:type="dxa"/>
            <w:tcBorders>
              <w:top w:val="single" w:sz="4" w:space="0" w:color="auto"/>
              <w:left w:val="single" w:sz="4" w:space="0" w:color="auto"/>
              <w:bottom w:val="single" w:sz="4" w:space="0" w:color="auto"/>
              <w:right w:val="single" w:sz="4" w:space="0" w:color="auto"/>
            </w:tcBorders>
          </w:tcPr>
          <w:p w14:paraId="5761FD25"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D26"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D31"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D28"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land-based run-off is demonstrably socially sustainable</w:t>
            </w:r>
            <w:r w:rsidRPr="00E70A11">
              <w:t>, in terms of</w:t>
            </w:r>
            <w:r w:rsidRPr="00E70A11">
              <w:rPr>
                <w:rStyle w:val="BookTitle"/>
              </w:rPr>
              <w:t xml:space="preserve"> understanding and/or enjoyment</w:t>
            </w:r>
          </w:p>
        </w:tc>
        <w:tc>
          <w:tcPr>
            <w:tcW w:w="643" w:type="dxa"/>
            <w:tcBorders>
              <w:top w:val="single" w:sz="4" w:space="0" w:color="auto"/>
              <w:left w:val="single" w:sz="4" w:space="0" w:color="auto"/>
              <w:bottom w:val="single" w:sz="4" w:space="0" w:color="auto"/>
              <w:right w:val="single" w:sz="4" w:space="0" w:color="auto"/>
            </w:tcBorders>
          </w:tcPr>
          <w:p w14:paraId="5761FD29" w14:textId="77777777" w:rsidR="00A56EE9" w:rsidRPr="00E70A11" w:rsidRDefault="00A56EE9" w:rsidP="00BB6AD5">
            <w:pPr>
              <w:pStyle w:val="Tablebulletlist"/>
              <w:rPr>
                <w:rStyle w:val="BookTitle"/>
              </w:rPr>
            </w:pPr>
            <w:r w:rsidRPr="00E70A11">
              <w:rPr>
                <w:rStyle w:val="BookTitle"/>
              </w:rPr>
              <w:t>2</w:t>
            </w:r>
          </w:p>
        </w:tc>
        <w:tc>
          <w:tcPr>
            <w:tcW w:w="4957" w:type="dxa"/>
            <w:tcBorders>
              <w:top w:val="single" w:sz="4" w:space="0" w:color="auto"/>
              <w:left w:val="single" w:sz="4" w:space="0" w:color="auto"/>
              <w:bottom w:val="single" w:sz="4" w:space="0" w:color="auto"/>
              <w:right w:val="single" w:sz="4" w:space="0" w:color="auto"/>
            </w:tcBorders>
          </w:tcPr>
          <w:p w14:paraId="5761FD2A"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High level of volunteer activity and community understanding of monitoring and education activities through Reef Guardian programs and GBRMPA education and communication products</w:t>
            </w:r>
          </w:p>
          <w:p w14:paraId="5761FD2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Community enjoyment may have decreased due to decline in water quality</w:t>
            </w:r>
          </w:p>
        </w:tc>
        <w:tc>
          <w:tcPr>
            <w:tcW w:w="4597" w:type="dxa"/>
            <w:tcBorders>
              <w:top w:val="single" w:sz="4" w:space="0" w:color="auto"/>
              <w:left w:val="single" w:sz="4" w:space="0" w:color="auto"/>
              <w:bottom w:val="single" w:sz="4" w:space="0" w:color="auto"/>
              <w:right w:val="single" w:sz="4" w:space="0" w:color="auto"/>
            </w:tcBorders>
          </w:tcPr>
          <w:p w14:paraId="5761FD2C" w14:textId="77777777" w:rsidR="00A56EE9" w:rsidRPr="00E70A11" w:rsidRDefault="008B5998" w:rsidP="00A11869">
            <w:pPr>
              <w:pStyle w:val="ListParagraph"/>
              <w:numPr>
                <w:ilvl w:val="0"/>
                <w:numId w:val="24"/>
              </w:numPr>
              <w:rPr>
                <w:rFonts w:ascii="Arial Narrow" w:hAnsi="Arial Narrow"/>
                <w:sz w:val="18"/>
                <w:szCs w:val="18"/>
                <w:lang w:val="en"/>
              </w:rPr>
            </w:pPr>
            <w:hyperlink r:id="rId1219" w:history="1">
              <w:r w:rsidR="00A56EE9" w:rsidRPr="00E70A11">
                <w:rPr>
                  <w:rStyle w:val="Hyperlink"/>
                  <w:rFonts w:ascii="Arial Narrow" w:hAnsi="Arial Narrow"/>
                  <w:sz w:val="18"/>
                  <w:szCs w:val="18"/>
                  <w:lang w:val="en"/>
                </w:rPr>
                <w:t>Deloitte Access Economics Report</w:t>
              </w:r>
            </w:hyperlink>
            <w:r w:rsidR="00A56EE9" w:rsidRPr="00E70A11">
              <w:rPr>
                <w:rFonts w:ascii="Arial Narrow" w:hAnsi="Arial Narrow"/>
                <w:sz w:val="18"/>
                <w:szCs w:val="18"/>
                <w:lang w:val="en"/>
              </w:rPr>
              <w:t xml:space="preserve"> 2017 – At what price? The economic, social and icon value of the Great Barrier Reef</w:t>
            </w:r>
          </w:p>
          <w:p w14:paraId="5761FD2D" w14:textId="77777777" w:rsidR="00A56EE9" w:rsidRPr="00E70A11" w:rsidRDefault="008B5998" w:rsidP="00A11869">
            <w:pPr>
              <w:pStyle w:val="ListParagraph"/>
              <w:numPr>
                <w:ilvl w:val="0"/>
                <w:numId w:val="24"/>
              </w:numPr>
              <w:rPr>
                <w:rFonts w:ascii="Arial Narrow" w:hAnsi="Arial Narrow"/>
                <w:sz w:val="18"/>
                <w:szCs w:val="18"/>
              </w:rPr>
            </w:pPr>
            <w:hyperlink r:id="rId1220" w:history="1">
              <w:r w:rsidR="00A56EE9" w:rsidRPr="00E70A11">
                <w:rPr>
                  <w:rStyle w:val="Hyperlink"/>
                  <w:rFonts w:ascii="Arial Narrow" w:hAnsi="Arial Narrow"/>
                  <w:sz w:val="18"/>
                  <w:szCs w:val="18"/>
                  <w:lang w:val="en"/>
                </w:rPr>
                <w:t>State Party Report on the state of conservation of the Great Barrier Reef World Heritage Area (Australia) 2015</w:t>
              </w:r>
            </w:hyperlink>
          </w:p>
          <w:p w14:paraId="5761FD2E" w14:textId="77777777" w:rsidR="00A56EE9" w:rsidRPr="00E70A11" w:rsidRDefault="008B5998" w:rsidP="00A11869">
            <w:pPr>
              <w:pStyle w:val="ListParagraph"/>
              <w:numPr>
                <w:ilvl w:val="0"/>
                <w:numId w:val="24"/>
              </w:numPr>
              <w:rPr>
                <w:rStyle w:val="BookTitle"/>
                <w:rFonts w:ascii="Arial Narrow" w:hAnsi="Arial Narrow"/>
                <w:sz w:val="18"/>
                <w:szCs w:val="18"/>
              </w:rPr>
            </w:pPr>
            <w:hyperlink r:id="rId1221" w:history="1">
              <w:r w:rsidR="00A56EE9" w:rsidRPr="00E70A11">
                <w:rPr>
                  <w:rStyle w:val="Hyperlink"/>
                  <w:rFonts w:ascii="Arial Narrow" w:hAnsi="Arial Narrow"/>
                  <w:sz w:val="18"/>
                  <w:szCs w:val="18"/>
                </w:rPr>
                <w:t>Reef 2050 WQIP</w:t>
              </w:r>
            </w:hyperlink>
          </w:p>
        </w:tc>
        <w:tc>
          <w:tcPr>
            <w:tcW w:w="963" w:type="dxa"/>
            <w:tcBorders>
              <w:top w:val="single" w:sz="4" w:space="0" w:color="auto"/>
              <w:left w:val="single" w:sz="4" w:space="0" w:color="auto"/>
              <w:bottom w:val="single" w:sz="4" w:space="0" w:color="auto"/>
              <w:right w:val="single" w:sz="4" w:space="0" w:color="auto"/>
            </w:tcBorders>
          </w:tcPr>
          <w:p w14:paraId="5761FD2F"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D30"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D3D" w14:textId="77777777" w:rsidTr="00BB6AD5">
        <w:trPr>
          <w:trHeight w:val="170"/>
        </w:trPr>
        <w:tc>
          <w:tcPr>
            <w:tcW w:w="1471" w:type="dxa"/>
            <w:tcBorders>
              <w:top w:val="single" w:sz="4" w:space="0" w:color="auto"/>
              <w:left w:val="single" w:sz="4" w:space="0" w:color="auto"/>
              <w:bottom w:val="single" w:sz="4" w:space="0" w:color="auto"/>
              <w:right w:val="single" w:sz="4" w:space="0" w:color="auto"/>
            </w:tcBorders>
          </w:tcPr>
          <w:p w14:paraId="5761FD32"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land-based run-off </w:t>
            </w:r>
          </w:p>
        </w:tc>
        <w:tc>
          <w:tcPr>
            <w:tcW w:w="643" w:type="dxa"/>
            <w:tcBorders>
              <w:top w:val="single" w:sz="4" w:space="0" w:color="auto"/>
              <w:left w:val="single" w:sz="4" w:space="0" w:color="auto"/>
              <w:bottom w:val="single" w:sz="4" w:space="0" w:color="auto"/>
              <w:right w:val="single" w:sz="4" w:space="0" w:color="auto"/>
            </w:tcBorders>
          </w:tcPr>
          <w:p w14:paraId="5761FD33" w14:textId="77777777" w:rsidR="00A56EE9" w:rsidRPr="00E70A11" w:rsidRDefault="00A56EE9" w:rsidP="00BB6AD5">
            <w:pPr>
              <w:pStyle w:val="Tablebulletlist"/>
              <w:rPr>
                <w:rStyle w:val="BookTitle"/>
              </w:rPr>
            </w:pPr>
            <w:r w:rsidRPr="00E70A11">
              <w:rPr>
                <w:rStyle w:val="BookTitle"/>
              </w:rPr>
              <w:t>4</w:t>
            </w:r>
          </w:p>
        </w:tc>
        <w:tc>
          <w:tcPr>
            <w:tcW w:w="4957" w:type="dxa"/>
            <w:tcBorders>
              <w:top w:val="single" w:sz="4" w:space="0" w:color="auto"/>
              <w:left w:val="single" w:sz="4" w:space="0" w:color="auto"/>
              <w:bottom w:val="single" w:sz="4" w:space="0" w:color="auto"/>
              <w:right w:val="single" w:sz="4" w:space="0" w:color="auto"/>
            </w:tcBorders>
          </w:tcPr>
          <w:p w14:paraId="5761FD34"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GBRMPA, Australian and Queensland Government have strong relationships with stakeholders involved in managing land-based run off, developed through the Reef 2050 Plan </w:t>
            </w:r>
          </w:p>
          <w:p w14:paraId="5761FD35"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These partnerships are effective and ensure that all are focused on the best possible outcomes for the reef. There has been significant progress in the past 15 years and this will continue to be built upon going forward. </w:t>
            </w:r>
          </w:p>
          <w:p w14:paraId="5761FD3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Paddock to Reef program, an integral component of Reef WQIP, is a collaboration involving industry, regional natural resource management organisations, research organisations and government. The Paddock to Reef Program integrates information on management practices, catchment indicators, catchment water quality and the ecological health of the GBR</w:t>
            </w:r>
          </w:p>
        </w:tc>
        <w:tc>
          <w:tcPr>
            <w:tcW w:w="4597" w:type="dxa"/>
            <w:tcBorders>
              <w:top w:val="single" w:sz="4" w:space="0" w:color="auto"/>
              <w:left w:val="single" w:sz="4" w:space="0" w:color="auto"/>
              <w:bottom w:val="single" w:sz="4" w:space="0" w:color="auto"/>
              <w:right w:val="single" w:sz="4" w:space="0" w:color="auto"/>
            </w:tcBorders>
          </w:tcPr>
          <w:p w14:paraId="5761FD3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w:t>
            </w:r>
            <w:r>
              <w:rPr>
                <w:rStyle w:val="BookTitle"/>
                <w:rFonts w:ascii="Arial Narrow" w:hAnsi="Arial Narrow"/>
                <w:sz w:val="18"/>
                <w:szCs w:val="18"/>
              </w:rPr>
              <w:t>5</w:t>
            </w:r>
            <w:r w:rsidRPr="00E70A11">
              <w:rPr>
                <w:rStyle w:val="BookTitle"/>
                <w:rFonts w:ascii="Arial Narrow" w:hAnsi="Arial Narrow"/>
                <w:sz w:val="18"/>
                <w:szCs w:val="18"/>
              </w:rPr>
              <w:t>0 Plan and committees</w:t>
            </w:r>
          </w:p>
          <w:p w14:paraId="5761FD38"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WQIP and committees</w:t>
            </w:r>
          </w:p>
          <w:p w14:paraId="5761FD39"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Pr>
                <w:rStyle w:val="BookTitle"/>
                <w:rFonts w:ascii="Arial Narrow" w:hAnsi="Arial Narrow"/>
                <w:sz w:val="18"/>
                <w:szCs w:val="18"/>
              </w:rPr>
              <w:t>RAC</w:t>
            </w:r>
          </w:p>
          <w:p w14:paraId="5761FD3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Pr>
                <w:rStyle w:val="BookTitle"/>
                <w:rFonts w:ascii="Arial Narrow" w:hAnsi="Arial Narrow"/>
                <w:sz w:val="18"/>
                <w:szCs w:val="18"/>
              </w:rPr>
              <w:t>Partnership committee</w:t>
            </w:r>
          </w:p>
        </w:tc>
        <w:tc>
          <w:tcPr>
            <w:tcW w:w="963" w:type="dxa"/>
            <w:tcBorders>
              <w:top w:val="single" w:sz="4" w:space="0" w:color="auto"/>
              <w:left w:val="single" w:sz="4" w:space="0" w:color="auto"/>
              <w:bottom w:val="single" w:sz="4" w:space="0" w:color="auto"/>
              <w:right w:val="single" w:sz="4" w:space="0" w:color="auto"/>
            </w:tcBorders>
          </w:tcPr>
          <w:p w14:paraId="5761FD3B" w14:textId="77777777" w:rsidR="00A56EE9" w:rsidRPr="00E70A11" w:rsidRDefault="00A56EE9" w:rsidP="00BB6AD5">
            <w:pPr>
              <w:pStyle w:val="Tablebulletlist"/>
              <w:rPr>
                <w:rStyle w:val="BookTitle"/>
              </w:rPr>
            </w:pPr>
            <w:r w:rsidRPr="00E70A11">
              <w:rPr>
                <w:rStyle w:val="BookTitle"/>
              </w:rPr>
              <w:t>Adequate</w:t>
            </w:r>
          </w:p>
        </w:tc>
        <w:tc>
          <w:tcPr>
            <w:tcW w:w="1003" w:type="dxa"/>
            <w:tcBorders>
              <w:top w:val="single" w:sz="4" w:space="0" w:color="auto"/>
              <w:left w:val="single" w:sz="4" w:space="0" w:color="auto"/>
              <w:bottom w:val="single" w:sz="4" w:space="0" w:color="auto"/>
              <w:right w:val="single" w:sz="4" w:space="0" w:color="auto"/>
            </w:tcBorders>
          </w:tcPr>
          <w:p w14:paraId="5761FD3C" w14:textId="77777777" w:rsidR="00A56EE9" w:rsidRPr="00E70A11" w:rsidRDefault="00A56EE9" w:rsidP="00BB6AD5">
            <w:pPr>
              <w:pStyle w:val="Tablebulletlist"/>
              <w:rPr>
                <w:rStyle w:val="BookTitle"/>
              </w:rPr>
            </w:pPr>
            <w:r w:rsidRPr="00E70A11">
              <w:rPr>
                <w:rStyle w:val="BookTitle"/>
              </w:rPr>
              <w:t>Improving</w:t>
            </w:r>
          </w:p>
        </w:tc>
      </w:tr>
    </w:tbl>
    <w:p w14:paraId="5761FD3E" w14:textId="77777777" w:rsidR="00A56EE9" w:rsidRPr="00E70A11" w:rsidRDefault="00A56EE9" w:rsidP="00BB6AD5">
      <w:pPr>
        <w:rPr>
          <w:rFonts w:ascii="Arial Narrow" w:hAnsi="Arial Narrow"/>
          <w:b/>
          <w:sz w:val="18"/>
          <w:szCs w:val="18"/>
        </w:rPr>
      </w:pPr>
      <w:r w:rsidRPr="00E70A11">
        <w:rPr>
          <w:rFonts w:ascii="Arial Narrow" w:hAnsi="Arial Narrow"/>
          <w:sz w:val="18"/>
          <w:szCs w:val="18"/>
        </w:rPr>
        <w:br w:type="page"/>
      </w:r>
    </w:p>
    <w:p w14:paraId="5761FD3F" w14:textId="66C2D8B6" w:rsidR="00A56EE9" w:rsidRPr="00E70A11" w:rsidRDefault="00A56EE9" w:rsidP="009C7D6F">
      <w:pPr>
        <w:pStyle w:val="Heading4"/>
      </w:pPr>
      <w:bookmarkStart w:id="216" w:name="_Toc520127179"/>
      <w:bookmarkStart w:id="217" w:name="_Toc522531121"/>
      <w:bookmarkStart w:id="218" w:name="_Toc522532010"/>
      <w:bookmarkStart w:id="219" w:name="_Toc525654477"/>
      <w:r w:rsidRPr="00E70A11">
        <w:t xml:space="preserve">Table </w:t>
      </w:r>
      <w:r>
        <w:rPr>
          <w:noProof/>
        </w:rPr>
        <w:fldChar w:fldCharType="begin"/>
      </w:r>
      <w:r>
        <w:rPr>
          <w:noProof/>
        </w:rPr>
        <w:instrText xml:space="preserve"> SEQ Table \* ARABIC </w:instrText>
      </w:r>
      <w:r>
        <w:rPr>
          <w:noProof/>
        </w:rPr>
        <w:fldChar w:fldCharType="separate"/>
      </w:r>
      <w:r w:rsidR="00A4170C">
        <w:rPr>
          <w:noProof/>
        </w:rPr>
        <w:t>32</w:t>
      </w:r>
      <w:r>
        <w:rPr>
          <w:noProof/>
        </w:rPr>
        <w:fldChar w:fldCharType="end"/>
      </w:r>
      <w:r w:rsidRPr="00E70A11">
        <w:t xml:space="preserve"> Calculation of grades for ports</w:t>
      </w:r>
      <w:bookmarkEnd w:id="216"/>
      <w:bookmarkEnd w:id="217"/>
      <w:bookmarkEnd w:id="218"/>
      <w:bookmarkEnd w:id="219"/>
    </w:p>
    <w:tbl>
      <w:tblPr>
        <w:tblW w:w="14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2 Calculation of grades for ports"/>
        <w:tblDescription w:val="Table showing the ratings,  justificaiton and evidence for each of the components for the management effectiveness for ports.   Confidence in the assessment and trend since Outlook 2014 is also provided."/>
      </w:tblPr>
      <w:tblGrid>
        <w:gridCol w:w="2728"/>
        <w:gridCol w:w="778"/>
        <w:gridCol w:w="4046"/>
        <w:gridCol w:w="5344"/>
        <w:gridCol w:w="982"/>
        <w:gridCol w:w="910"/>
      </w:tblGrid>
      <w:tr w:rsidR="00A56EE9" w:rsidRPr="00E70A11" w14:paraId="5761FD46" w14:textId="77777777" w:rsidTr="00BB6AD5">
        <w:trPr>
          <w:trHeight w:val="170"/>
          <w:tblHeader/>
        </w:trPr>
        <w:tc>
          <w:tcPr>
            <w:tcW w:w="2857" w:type="dxa"/>
            <w:tcBorders>
              <w:top w:val="single" w:sz="4" w:space="0" w:color="auto"/>
              <w:left w:val="single" w:sz="4" w:space="0" w:color="auto"/>
              <w:bottom w:val="single" w:sz="4" w:space="0" w:color="auto"/>
              <w:right w:val="single" w:sz="4" w:space="0" w:color="auto"/>
            </w:tcBorders>
          </w:tcPr>
          <w:p w14:paraId="5761FD40" w14:textId="77777777" w:rsidR="00A56EE9" w:rsidRPr="00E70A11" w:rsidRDefault="00A56EE9" w:rsidP="00BB6AD5">
            <w:pPr>
              <w:pStyle w:val="Tablebulletlist"/>
              <w:rPr>
                <w:rStyle w:val="BookTitle"/>
              </w:rPr>
            </w:pPr>
            <w:r w:rsidRPr="00E70A11">
              <w:rPr>
                <w:rStyle w:val="BookTitle"/>
              </w:rPr>
              <w:t>Component of Management</w:t>
            </w:r>
          </w:p>
        </w:tc>
        <w:tc>
          <w:tcPr>
            <w:tcW w:w="790" w:type="dxa"/>
            <w:tcBorders>
              <w:top w:val="single" w:sz="4" w:space="0" w:color="auto"/>
              <w:left w:val="single" w:sz="4" w:space="0" w:color="auto"/>
              <w:bottom w:val="single" w:sz="4" w:space="0" w:color="auto"/>
              <w:right w:val="single" w:sz="4" w:space="0" w:color="auto"/>
            </w:tcBorders>
          </w:tcPr>
          <w:p w14:paraId="5761FD41" w14:textId="77777777" w:rsidR="00A56EE9" w:rsidRPr="00E70A11" w:rsidRDefault="00A56EE9" w:rsidP="00BB6AD5">
            <w:pPr>
              <w:pStyle w:val="Tablebulletlist"/>
              <w:rPr>
                <w:rStyle w:val="BookTitle"/>
              </w:rPr>
            </w:pPr>
            <w:r w:rsidRPr="00E70A11">
              <w:rPr>
                <w:rStyle w:val="BookTitle"/>
              </w:rPr>
              <w:t>Rating</w:t>
            </w:r>
          </w:p>
        </w:tc>
        <w:tc>
          <w:tcPr>
            <w:tcW w:w="4177" w:type="dxa"/>
            <w:tcBorders>
              <w:top w:val="single" w:sz="4" w:space="0" w:color="auto"/>
              <w:left w:val="single" w:sz="4" w:space="0" w:color="auto"/>
              <w:bottom w:val="single" w:sz="4" w:space="0" w:color="auto"/>
              <w:right w:val="single" w:sz="4" w:space="0" w:color="auto"/>
            </w:tcBorders>
          </w:tcPr>
          <w:p w14:paraId="5761FD42" w14:textId="77777777" w:rsidR="00A56EE9" w:rsidRPr="00E70A11" w:rsidRDefault="00A56EE9" w:rsidP="00BB6AD5">
            <w:pPr>
              <w:pStyle w:val="Tablebulletlist"/>
              <w:rPr>
                <w:rStyle w:val="BookTitle"/>
              </w:rPr>
            </w:pPr>
            <w:r w:rsidRPr="00E70A11">
              <w:rPr>
                <w:rStyle w:val="BookTitle"/>
              </w:rPr>
              <w:t>Justification</w:t>
            </w:r>
          </w:p>
        </w:tc>
        <w:tc>
          <w:tcPr>
            <w:tcW w:w="5066" w:type="dxa"/>
            <w:tcBorders>
              <w:top w:val="single" w:sz="4" w:space="0" w:color="auto"/>
              <w:left w:val="single" w:sz="4" w:space="0" w:color="auto"/>
              <w:bottom w:val="single" w:sz="4" w:space="0" w:color="auto"/>
              <w:right w:val="single" w:sz="4" w:space="0" w:color="auto"/>
            </w:tcBorders>
          </w:tcPr>
          <w:p w14:paraId="5761FD43" w14:textId="77777777" w:rsidR="00A56EE9" w:rsidRPr="00E70A11" w:rsidRDefault="00A56EE9" w:rsidP="00BB6AD5">
            <w:pPr>
              <w:pStyle w:val="Tablebulletlist"/>
              <w:rPr>
                <w:rStyle w:val="BookTitle"/>
              </w:rPr>
            </w:pPr>
            <w:r w:rsidRPr="00E70A11">
              <w:rPr>
                <w:rStyle w:val="BookTitle"/>
              </w:rPr>
              <w:t>Evidence/sources</w:t>
            </w:r>
          </w:p>
        </w:tc>
        <w:tc>
          <w:tcPr>
            <w:tcW w:w="984" w:type="dxa"/>
            <w:tcBorders>
              <w:top w:val="single" w:sz="4" w:space="0" w:color="auto"/>
              <w:left w:val="single" w:sz="4" w:space="0" w:color="auto"/>
              <w:bottom w:val="single" w:sz="4" w:space="0" w:color="auto"/>
              <w:right w:val="single" w:sz="4" w:space="0" w:color="auto"/>
            </w:tcBorders>
          </w:tcPr>
          <w:p w14:paraId="5761FD44" w14:textId="77777777" w:rsidR="00A56EE9" w:rsidRPr="00E70A11" w:rsidRDefault="00A56EE9" w:rsidP="00BB6AD5">
            <w:pPr>
              <w:pStyle w:val="Tablebulletlist"/>
              <w:rPr>
                <w:rStyle w:val="BookTitle"/>
              </w:rPr>
            </w:pPr>
            <w:r w:rsidRPr="00E70A11">
              <w:rPr>
                <w:rStyle w:val="BookTitle"/>
              </w:rPr>
              <w:t>Confidence</w:t>
            </w:r>
          </w:p>
        </w:tc>
        <w:tc>
          <w:tcPr>
            <w:tcW w:w="914" w:type="dxa"/>
            <w:tcBorders>
              <w:top w:val="single" w:sz="4" w:space="0" w:color="auto"/>
              <w:left w:val="single" w:sz="4" w:space="0" w:color="auto"/>
              <w:bottom w:val="single" w:sz="4" w:space="0" w:color="auto"/>
              <w:right w:val="single" w:sz="4" w:space="0" w:color="auto"/>
            </w:tcBorders>
          </w:tcPr>
          <w:p w14:paraId="5761FD45"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1FD4D"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shd w:val="clear" w:color="auto" w:fill="EEECE1"/>
          </w:tcPr>
          <w:p w14:paraId="5761FD47" w14:textId="77777777" w:rsidR="00A56EE9" w:rsidRPr="00E70A11" w:rsidRDefault="00A56EE9" w:rsidP="00BB6AD5">
            <w:pPr>
              <w:pStyle w:val="Tablebulletlist"/>
              <w:rPr>
                <w:rStyle w:val="BookTitle"/>
              </w:rPr>
            </w:pPr>
            <w:r w:rsidRPr="00E70A11">
              <w:rPr>
                <w:rStyle w:val="BookTitle"/>
              </w:rPr>
              <w:t>CONTEXT</w:t>
            </w:r>
          </w:p>
        </w:tc>
        <w:tc>
          <w:tcPr>
            <w:tcW w:w="790" w:type="dxa"/>
            <w:tcBorders>
              <w:top w:val="single" w:sz="4" w:space="0" w:color="auto"/>
              <w:left w:val="single" w:sz="4" w:space="0" w:color="auto"/>
              <w:bottom w:val="single" w:sz="4" w:space="0" w:color="auto"/>
              <w:right w:val="single" w:sz="4" w:space="0" w:color="auto"/>
            </w:tcBorders>
            <w:shd w:val="clear" w:color="auto" w:fill="EEECE1"/>
          </w:tcPr>
          <w:p w14:paraId="5761FD48" w14:textId="77777777" w:rsidR="00A56EE9" w:rsidRPr="00E70A11" w:rsidRDefault="00A56EE9" w:rsidP="00BB6AD5">
            <w:pPr>
              <w:pStyle w:val="Tablebulletlist"/>
              <w:rPr>
                <w:rStyle w:val="BookTitle"/>
              </w:rPr>
            </w:pPr>
          </w:p>
        </w:tc>
        <w:tc>
          <w:tcPr>
            <w:tcW w:w="4177" w:type="dxa"/>
            <w:tcBorders>
              <w:top w:val="single" w:sz="4" w:space="0" w:color="auto"/>
              <w:left w:val="single" w:sz="4" w:space="0" w:color="auto"/>
              <w:bottom w:val="single" w:sz="4" w:space="0" w:color="auto"/>
              <w:right w:val="single" w:sz="4" w:space="0" w:color="auto"/>
            </w:tcBorders>
            <w:shd w:val="clear" w:color="auto" w:fill="EEECE1"/>
          </w:tcPr>
          <w:p w14:paraId="5761FD49" w14:textId="77777777" w:rsidR="00A56EE9" w:rsidRPr="00E70A11" w:rsidRDefault="00A56EE9" w:rsidP="00BB6AD5">
            <w:pPr>
              <w:pStyle w:val="Tablebulletlist"/>
              <w:rPr>
                <w:rStyle w:val="BookTitle"/>
              </w:rPr>
            </w:pPr>
          </w:p>
        </w:tc>
        <w:tc>
          <w:tcPr>
            <w:tcW w:w="5066" w:type="dxa"/>
            <w:tcBorders>
              <w:top w:val="single" w:sz="4" w:space="0" w:color="auto"/>
              <w:left w:val="single" w:sz="4" w:space="0" w:color="auto"/>
              <w:bottom w:val="single" w:sz="4" w:space="0" w:color="auto"/>
              <w:right w:val="single" w:sz="4" w:space="0" w:color="auto"/>
            </w:tcBorders>
            <w:shd w:val="clear" w:color="auto" w:fill="EEECE1"/>
          </w:tcPr>
          <w:p w14:paraId="5761FD4A" w14:textId="77777777" w:rsidR="00A56EE9" w:rsidRPr="00E70A11" w:rsidRDefault="00A56EE9" w:rsidP="00BB6AD5">
            <w:pPr>
              <w:pStyle w:val="Tablebulletlist"/>
              <w:rPr>
                <w:rStyle w:val="BookTitle"/>
              </w:rPr>
            </w:pPr>
          </w:p>
        </w:tc>
        <w:tc>
          <w:tcPr>
            <w:tcW w:w="984" w:type="dxa"/>
            <w:tcBorders>
              <w:top w:val="single" w:sz="4" w:space="0" w:color="auto"/>
              <w:left w:val="single" w:sz="4" w:space="0" w:color="auto"/>
              <w:bottom w:val="single" w:sz="4" w:space="0" w:color="auto"/>
              <w:right w:val="single" w:sz="4" w:space="0" w:color="auto"/>
            </w:tcBorders>
            <w:shd w:val="clear" w:color="auto" w:fill="EEECE1"/>
          </w:tcPr>
          <w:p w14:paraId="5761FD4B" w14:textId="77777777" w:rsidR="00A56EE9" w:rsidRPr="00E70A11" w:rsidRDefault="00A56EE9" w:rsidP="00BB6AD5">
            <w:pPr>
              <w:pStyle w:val="Tablebulletlist"/>
              <w:rPr>
                <w:rStyle w:val="BookTitle"/>
              </w:rPr>
            </w:pPr>
          </w:p>
        </w:tc>
        <w:tc>
          <w:tcPr>
            <w:tcW w:w="914" w:type="dxa"/>
            <w:tcBorders>
              <w:top w:val="single" w:sz="4" w:space="0" w:color="auto"/>
              <w:left w:val="single" w:sz="4" w:space="0" w:color="auto"/>
              <w:bottom w:val="single" w:sz="4" w:space="0" w:color="auto"/>
              <w:right w:val="single" w:sz="4" w:space="0" w:color="auto"/>
            </w:tcBorders>
            <w:shd w:val="clear" w:color="auto" w:fill="EEECE1"/>
          </w:tcPr>
          <w:p w14:paraId="5761FD4C" w14:textId="77777777" w:rsidR="00A56EE9" w:rsidRPr="00E70A11" w:rsidRDefault="00A56EE9" w:rsidP="00BB6AD5">
            <w:pPr>
              <w:pStyle w:val="Tablebulletlist"/>
              <w:rPr>
                <w:rStyle w:val="BookTitle"/>
              </w:rPr>
            </w:pPr>
          </w:p>
        </w:tc>
      </w:tr>
      <w:tr w:rsidR="00A56EE9" w:rsidRPr="00E70A11" w14:paraId="5761FD7B"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D4E" w14:textId="77777777" w:rsidR="00A56EE9" w:rsidRPr="00FF373B" w:rsidRDefault="00A56EE9" w:rsidP="00BB6AD5">
            <w:pPr>
              <w:pStyle w:val="Tablebulletlist"/>
              <w:rPr>
                <w:rStyle w:val="BookTitle"/>
              </w:rPr>
            </w:pPr>
            <w:r w:rsidRPr="00FF373B">
              <w:rPr>
                <w:rStyle w:val="BookTitle"/>
              </w:rPr>
              <w:t>CO1 The values of the Great Barrier Reef relevant to ports are understood by managers</w:t>
            </w:r>
          </w:p>
        </w:tc>
        <w:tc>
          <w:tcPr>
            <w:tcW w:w="790" w:type="dxa"/>
            <w:tcBorders>
              <w:top w:val="single" w:sz="4" w:space="0" w:color="auto"/>
              <w:left w:val="single" w:sz="4" w:space="0" w:color="auto"/>
              <w:bottom w:val="single" w:sz="4" w:space="0" w:color="auto"/>
              <w:right w:val="single" w:sz="4" w:space="0" w:color="auto"/>
            </w:tcBorders>
          </w:tcPr>
          <w:p w14:paraId="5761FD4F" w14:textId="77777777" w:rsidR="00A56EE9" w:rsidRPr="00FF373B" w:rsidRDefault="00A56EE9" w:rsidP="00BB6AD5">
            <w:pPr>
              <w:pStyle w:val="Tablebulletlist"/>
              <w:rPr>
                <w:rStyle w:val="BookTitle"/>
              </w:rPr>
            </w:pPr>
            <w:r w:rsidRPr="00FF373B">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D50" w14:textId="77777777" w:rsidR="00A56EE9" w:rsidRPr="00FF373B" w:rsidRDefault="00A56EE9" w:rsidP="00A11869">
            <w:pPr>
              <w:pStyle w:val="ListBullet"/>
              <w:numPr>
                <w:ilvl w:val="0"/>
                <w:numId w:val="94"/>
              </w:numPr>
              <w:autoSpaceDE w:val="0"/>
              <w:autoSpaceDN w:val="0"/>
              <w:adjustRightInd w:val="0"/>
              <w:spacing w:line="240" w:lineRule="auto"/>
            </w:pPr>
            <w:r w:rsidRPr="00FF373B">
              <w:t>There are 12 trading ports in the World Heritage Area, managed by four port authorities — all Queensland Government-owned corporations:</w:t>
            </w:r>
          </w:p>
          <w:p w14:paraId="5761FD51"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Port of Quintell Beach</w:t>
            </w:r>
          </w:p>
          <w:p w14:paraId="5761FD52"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Port of Cape Flattery</w:t>
            </w:r>
          </w:p>
          <w:p w14:paraId="5761FD53"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Port of Cooktown</w:t>
            </w:r>
          </w:p>
          <w:p w14:paraId="5761FD54"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 xml:space="preserve">Port of Cairns </w:t>
            </w:r>
          </w:p>
          <w:p w14:paraId="5761FD55"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Port of Mourilyan</w:t>
            </w:r>
          </w:p>
          <w:p w14:paraId="5761FD56"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Port of Lucinda</w:t>
            </w:r>
          </w:p>
          <w:p w14:paraId="5761FD57"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Port of Townsville</w:t>
            </w:r>
          </w:p>
          <w:p w14:paraId="5761FD58"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Port of Abbot Point</w:t>
            </w:r>
          </w:p>
          <w:p w14:paraId="5761FD59"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Port of Mackay</w:t>
            </w:r>
          </w:p>
          <w:p w14:paraId="5761FD5A"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Port of Hay Point</w:t>
            </w:r>
          </w:p>
          <w:p w14:paraId="5761FD5B"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Port of Rockhampton</w:t>
            </w:r>
          </w:p>
          <w:p w14:paraId="5761FD5C" w14:textId="77777777" w:rsidR="00A56EE9" w:rsidRPr="00FF373B" w:rsidRDefault="00A56EE9" w:rsidP="00A11869">
            <w:pPr>
              <w:pStyle w:val="Tablebulletlist"/>
              <w:numPr>
                <w:ilvl w:val="1"/>
                <w:numId w:val="94"/>
              </w:numPr>
              <w:jc w:val="both"/>
              <w:rPr>
                <w:rStyle w:val="BookTitle"/>
                <w:color w:val="000000" w:themeColor="text1"/>
              </w:rPr>
            </w:pPr>
            <w:r w:rsidRPr="00FF373B">
              <w:rPr>
                <w:rStyle w:val="BookTitle"/>
                <w:color w:val="000000" w:themeColor="text1"/>
              </w:rPr>
              <w:t>Port of Gladstone</w:t>
            </w:r>
          </w:p>
          <w:p w14:paraId="5761FD5E" w14:textId="77777777" w:rsidR="00A56EE9" w:rsidRPr="00E70A11" w:rsidRDefault="00A56EE9" w:rsidP="00A11869">
            <w:pPr>
              <w:pStyle w:val="ListBullet"/>
              <w:numPr>
                <w:ilvl w:val="0"/>
                <w:numId w:val="94"/>
              </w:numPr>
              <w:autoSpaceDE w:val="0"/>
              <w:autoSpaceDN w:val="0"/>
              <w:adjustRightInd w:val="0"/>
              <w:spacing w:line="240" w:lineRule="auto"/>
            </w:pPr>
            <w:r>
              <w:t>O</w:t>
            </w:r>
            <w:r w:rsidRPr="00E70A11">
              <w:t>nly the minor ports of Cooktown and Quintell Beach in Cape York are located within the Marine Park.</w:t>
            </w:r>
          </w:p>
          <w:p w14:paraId="5761FD5F" w14:textId="77777777" w:rsidR="00A56EE9" w:rsidRPr="00FF373B" w:rsidRDefault="00A56EE9" w:rsidP="00A11869">
            <w:pPr>
              <w:pStyle w:val="Tablebulletlist"/>
              <w:numPr>
                <w:ilvl w:val="0"/>
                <w:numId w:val="94"/>
              </w:numPr>
              <w:jc w:val="both"/>
              <w:rPr>
                <w:rStyle w:val="BookTitle"/>
                <w:color w:val="000000" w:themeColor="text1"/>
              </w:rPr>
            </w:pPr>
            <w:r w:rsidRPr="00FF373B">
              <w:rPr>
                <w:rStyle w:val="BookTitle"/>
                <w:color w:val="000000" w:themeColor="text1"/>
              </w:rPr>
              <w:t>Queensland port limits are defined in the Transport Infrastructure (Ports) Regulation 2016.</w:t>
            </w:r>
          </w:p>
          <w:p w14:paraId="5761FD60" w14:textId="77777777" w:rsidR="00A56EE9" w:rsidRPr="00F36D0B" w:rsidRDefault="00A56EE9" w:rsidP="00A11869">
            <w:pPr>
              <w:pStyle w:val="ListBullet"/>
              <w:numPr>
                <w:ilvl w:val="0"/>
                <w:numId w:val="94"/>
              </w:numPr>
              <w:autoSpaceDE w:val="0"/>
              <w:autoSpaceDN w:val="0"/>
              <w:adjustRightInd w:val="0"/>
              <w:spacing w:line="240" w:lineRule="auto"/>
            </w:pPr>
            <w:r w:rsidRPr="00FF373B">
              <w:rPr>
                <w:color w:val="000000" w:themeColor="text1"/>
              </w:rPr>
              <w:t>There are also a number of smaller non-</w:t>
            </w:r>
            <w:r w:rsidRPr="00F36D0B">
              <w:rPr>
                <w:color w:val="000000" w:themeColor="text1"/>
              </w:rPr>
              <w:t xml:space="preserve">commercial ‘ports / </w:t>
            </w:r>
            <w:proofErr w:type="gramStart"/>
            <w:r w:rsidRPr="00F36D0B">
              <w:rPr>
                <w:color w:val="000000" w:themeColor="text1"/>
              </w:rPr>
              <w:t>marinas ’</w:t>
            </w:r>
            <w:proofErr w:type="gramEnd"/>
            <w:r w:rsidRPr="00F36D0B">
              <w:rPr>
                <w:color w:val="000000" w:themeColor="text1"/>
              </w:rPr>
              <w:t xml:space="preserve"> such as Port Douglas north of Cairns, Airlie Beach and Shute Harbour on the Whitsunday’s coast, Nelly Bay on Magnetic Island and Rosslyn Bay near Yeppoon, which do not have declared Port Limits nor designated Port Authorities under the </w:t>
            </w:r>
            <w:r w:rsidRPr="00F36D0B">
              <w:rPr>
                <w:rFonts w:cs="Helvetica"/>
                <w:i/>
                <w:color w:val="000000" w:themeColor="text1"/>
              </w:rPr>
              <w:t>Transport Infrastructure (Ports) Regulation 2016</w:t>
            </w:r>
            <w:r w:rsidRPr="00F36D0B">
              <w:rPr>
                <w:rFonts w:cs="Helvetica"/>
                <w:color w:val="000000" w:themeColor="text1"/>
              </w:rPr>
              <w:t xml:space="preserve"> (Qld)</w:t>
            </w:r>
            <w:r w:rsidRPr="00F36D0B">
              <w:t>The Queensland Ports Association has a Memorandum of Understanding (MoU) with GBRMPA concerning the management of GBR ports.</w:t>
            </w:r>
          </w:p>
          <w:p w14:paraId="5761FD61" w14:textId="77777777" w:rsidR="00A56EE9" w:rsidRPr="00F36D0B" w:rsidRDefault="00A56EE9" w:rsidP="00A11869">
            <w:pPr>
              <w:pStyle w:val="ListBullet"/>
              <w:numPr>
                <w:ilvl w:val="0"/>
                <w:numId w:val="94"/>
              </w:numPr>
              <w:autoSpaceDE w:val="0"/>
              <w:autoSpaceDN w:val="0"/>
              <w:adjustRightInd w:val="0"/>
              <w:spacing w:line="240" w:lineRule="auto"/>
              <w:rPr>
                <w:rFonts w:cs="Arial"/>
                <w:color w:val="000000" w:themeColor="text1"/>
              </w:rPr>
            </w:pPr>
            <w:r w:rsidRPr="00F36D0B">
              <w:rPr>
                <w:rFonts w:cs="Arial"/>
                <w:color w:val="000000" w:themeColor="text1"/>
              </w:rPr>
              <w:t xml:space="preserve">The partnerships established in Mackay-Whitsunday, Townsville, Cairns and Gladstone involve monitoring of water and sediment quality, seagrass habitats, coral habitats, fish (bream recruitment), social, culture and economic components, indigenous culture, and connectivity. </w:t>
            </w:r>
          </w:p>
          <w:p w14:paraId="5761FD62" w14:textId="77777777" w:rsidR="00A56EE9" w:rsidRPr="00F36D0B" w:rsidRDefault="00A56EE9" w:rsidP="00A11869">
            <w:pPr>
              <w:pStyle w:val="ListBullet"/>
              <w:numPr>
                <w:ilvl w:val="0"/>
                <w:numId w:val="94"/>
              </w:numPr>
              <w:autoSpaceDE w:val="0"/>
              <w:autoSpaceDN w:val="0"/>
              <w:adjustRightInd w:val="0"/>
              <w:spacing w:line="240" w:lineRule="auto"/>
              <w:rPr>
                <w:rFonts w:cs="Arial"/>
                <w:color w:val="000000" w:themeColor="text1"/>
              </w:rPr>
            </w:pPr>
            <w:r w:rsidRPr="00F36D0B">
              <w:rPr>
                <w:rFonts w:cs="Arial"/>
                <w:color w:val="000000" w:themeColor="text1"/>
              </w:rPr>
              <w:t xml:space="preserve">Port Authorities have been an active participant in the Reef 2050 Long Term Sustainability Plan </w:t>
            </w:r>
          </w:p>
          <w:p w14:paraId="5761FD65" w14:textId="60469569" w:rsidR="00A56EE9" w:rsidRPr="00F36D0B" w:rsidRDefault="00A56EE9" w:rsidP="00F36D0B">
            <w:pPr>
              <w:pStyle w:val="ListParagraph"/>
              <w:numPr>
                <w:ilvl w:val="0"/>
                <w:numId w:val="94"/>
              </w:numPr>
              <w:spacing w:after="0" w:line="240" w:lineRule="auto"/>
              <w:jc w:val="both"/>
              <w:rPr>
                <w:rFonts w:ascii="Arial Narrow" w:hAnsi="Arial Narrow"/>
                <w:color w:val="000000" w:themeColor="text1"/>
                <w:sz w:val="18"/>
                <w:szCs w:val="18"/>
              </w:rPr>
            </w:pPr>
            <w:r w:rsidRPr="00F36D0B">
              <w:rPr>
                <w:rFonts w:ascii="Arial Narrow" w:hAnsi="Arial Narrow"/>
                <w:color w:val="000000" w:themeColor="text1"/>
                <w:sz w:val="18"/>
                <w:szCs w:val="18"/>
              </w:rPr>
              <w:t>Port related actions are clearly identified in Reef 2050.</w:t>
            </w:r>
          </w:p>
        </w:tc>
        <w:tc>
          <w:tcPr>
            <w:tcW w:w="5066" w:type="dxa"/>
            <w:tcBorders>
              <w:top w:val="single" w:sz="4" w:space="0" w:color="auto"/>
              <w:left w:val="single" w:sz="4" w:space="0" w:color="auto"/>
              <w:bottom w:val="single" w:sz="4" w:space="0" w:color="auto"/>
              <w:right w:val="single" w:sz="4" w:space="0" w:color="auto"/>
            </w:tcBorders>
          </w:tcPr>
          <w:p w14:paraId="5761FD66" w14:textId="77777777" w:rsidR="00A56EE9" w:rsidRPr="00FF373B" w:rsidRDefault="008B5998" w:rsidP="00A11869">
            <w:pPr>
              <w:pStyle w:val="ListParagraph"/>
              <w:numPr>
                <w:ilvl w:val="0"/>
                <w:numId w:val="24"/>
              </w:numPr>
              <w:spacing w:after="200" w:line="276" w:lineRule="auto"/>
              <w:rPr>
                <w:rFonts w:ascii="Arial Narrow" w:hAnsi="Arial Narrow"/>
                <w:sz w:val="18"/>
                <w:szCs w:val="18"/>
              </w:rPr>
            </w:pPr>
            <w:hyperlink r:id="rId1222" w:history="1">
              <w:r w:rsidR="00A56EE9" w:rsidRPr="00FF373B">
                <w:rPr>
                  <w:rStyle w:val="Hyperlink"/>
                  <w:rFonts w:ascii="Arial Narrow" w:hAnsi="Arial Narrow"/>
                  <w:sz w:val="18"/>
                  <w:szCs w:val="18"/>
                </w:rPr>
                <w:t>Great Barrier Reef Strategic Assessment Report</w:t>
              </w:r>
            </w:hyperlink>
            <w:r w:rsidR="00A56EE9" w:rsidRPr="00FF373B">
              <w:rPr>
                <w:rStyle w:val="BookTitle"/>
                <w:rFonts w:ascii="Arial Narrow" w:hAnsi="Arial Narrow"/>
                <w:sz w:val="18"/>
                <w:szCs w:val="18"/>
              </w:rPr>
              <w:t>, 2014</w:t>
            </w:r>
          </w:p>
          <w:p w14:paraId="5761FD67" w14:textId="77777777" w:rsidR="00A56EE9" w:rsidRPr="00FF373B" w:rsidRDefault="008B5998" w:rsidP="00A11869">
            <w:pPr>
              <w:pStyle w:val="ListParagraph"/>
              <w:numPr>
                <w:ilvl w:val="0"/>
                <w:numId w:val="24"/>
              </w:numPr>
              <w:spacing w:after="200" w:line="276" w:lineRule="auto"/>
              <w:rPr>
                <w:rFonts w:ascii="Arial Narrow" w:hAnsi="Arial Narrow"/>
                <w:sz w:val="18"/>
                <w:szCs w:val="18"/>
              </w:rPr>
            </w:pPr>
            <w:hyperlink r:id="rId1223" w:history="1">
              <w:r w:rsidR="00A56EE9" w:rsidRPr="00FF373B">
                <w:rPr>
                  <w:rStyle w:val="Hyperlink"/>
                  <w:rFonts w:ascii="Arial Narrow" w:hAnsi="Arial Narrow"/>
                  <w:sz w:val="18"/>
                  <w:szCs w:val="18"/>
                </w:rPr>
                <w:t>Great Barrier Reef Coastal Zone Strategic Assessment</w:t>
              </w:r>
            </w:hyperlink>
            <w:r w:rsidR="00A56EE9" w:rsidRPr="00FF373B">
              <w:rPr>
                <w:rFonts w:ascii="Arial Narrow" w:hAnsi="Arial Narrow"/>
                <w:sz w:val="18"/>
                <w:szCs w:val="18"/>
              </w:rPr>
              <w:t xml:space="preserve"> 2014</w:t>
            </w:r>
          </w:p>
          <w:p w14:paraId="5761FD68" w14:textId="77777777" w:rsidR="00A56EE9" w:rsidRPr="00FF373B" w:rsidRDefault="008B5998" w:rsidP="00A11869">
            <w:pPr>
              <w:pStyle w:val="ListParagraph"/>
              <w:numPr>
                <w:ilvl w:val="0"/>
                <w:numId w:val="24"/>
              </w:numPr>
              <w:spacing w:after="200" w:line="276" w:lineRule="auto"/>
              <w:rPr>
                <w:rFonts w:ascii="Arial Narrow" w:hAnsi="Arial Narrow"/>
                <w:sz w:val="18"/>
                <w:szCs w:val="18"/>
              </w:rPr>
            </w:pPr>
            <w:hyperlink r:id="rId1224" w:history="1">
              <w:r w:rsidR="00A56EE9" w:rsidRPr="00FF373B">
                <w:rPr>
                  <w:rStyle w:val="Hyperlink"/>
                  <w:rFonts w:ascii="Arial Narrow" w:hAnsi="Arial Narrow"/>
                  <w:sz w:val="18"/>
                  <w:szCs w:val="18"/>
                </w:rPr>
                <w:t>Sustainable Ports Development Act 2015</w:t>
              </w:r>
            </w:hyperlink>
          </w:p>
          <w:p w14:paraId="5761FD69" w14:textId="77777777" w:rsidR="00A56EE9" w:rsidRPr="00FF373B" w:rsidRDefault="008B5998" w:rsidP="00A11869">
            <w:pPr>
              <w:pStyle w:val="ListParagraph"/>
              <w:numPr>
                <w:ilvl w:val="0"/>
                <w:numId w:val="24"/>
              </w:numPr>
              <w:spacing w:after="200" w:line="276" w:lineRule="auto"/>
              <w:rPr>
                <w:rFonts w:ascii="Arial Narrow" w:hAnsi="Arial Narrow"/>
                <w:sz w:val="18"/>
                <w:szCs w:val="18"/>
              </w:rPr>
            </w:pPr>
            <w:hyperlink r:id="rId1225" w:history="1">
              <w:r w:rsidR="00A56EE9" w:rsidRPr="00FF373B">
                <w:rPr>
                  <w:rStyle w:val="Hyperlink"/>
                  <w:rFonts w:ascii="Arial Narrow" w:hAnsi="Arial Narrow"/>
                  <w:sz w:val="18"/>
                  <w:szCs w:val="18"/>
                </w:rPr>
                <w:t>Queensland Ports Seagrass Monitoring</w:t>
              </w:r>
            </w:hyperlink>
          </w:p>
          <w:p w14:paraId="5761FD6A" w14:textId="77777777" w:rsidR="00A56EE9" w:rsidRPr="00FF373B" w:rsidRDefault="00A56EE9" w:rsidP="00A11869">
            <w:pPr>
              <w:pStyle w:val="ListParagraph"/>
              <w:numPr>
                <w:ilvl w:val="0"/>
                <w:numId w:val="24"/>
              </w:numPr>
              <w:spacing w:after="200" w:line="276" w:lineRule="auto"/>
              <w:rPr>
                <w:rFonts w:ascii="Arial Narrow" w:hAnsi="Arial Narrow"/>
                <w:sz w:val="18"/>
                <w:szCs w:val="18"/>
                <w:lang w:val="en"/>
              </w:rPr>
            </w:pPr>
            <w:r w:rsidRPr="00FF373B">
              <w:rPr>
                <w:rFonts w:ascii="Arial Narrow" w:hAnsi="Arial Narrow"/>
                <w:sz w:val="18"/>
                <w:szCs w:val="18"/>
                <w:lang w:val="en"/>
              </w:rPr>
              <w:t>Reef 2050 Long Term Sustainability Plan</w:t>
            </w:r>
          </w:p>
          <w:p w14:paraId="5761FD6B"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'30-Year Vision And Action Plan' (2014) DNRM</w:t>
            </w:r>
          </w:p>
          <w:p w14:paraId="5761FD6C"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 xml:space="preserve">'Synthesis Report on Effects of Dredging on the Great Barrier Reef by Independent Expert Panel' (2015) GBRMPA, </w:t>
            </w:r>
          </w:p>
          <w:p w14:paraId="5761FD6D"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Abbot Point Cumulative Impact Assessment</w:t>
            </w:r>
          </w:p>
          <w:p w14:paraId="5761FD6E" w14:textId="77777777" w:rsidR="00A56EE9" w:rsidRPr="00FF373B" w:rsidRDefault="00A56EE9" w:rsidP="00A11869">
            <w:pPr>
              <w:pStyle w:val="ListParagraph"/>
              <w:numPr>
                <w:ilvl w:val="0"/>
                <w:numId w:val="24"/>
              </w:numPr>
              <w:spacing w:after="200" w:line="276" w:lineRule="auto"/>
              <w:rPr>
                <w:rFonts w:ascii="Arial Narrow" w:hAnsi="Arial Narrow"/>
                <w:sz w:val="18"/>
                <w:szCs w:val="18"/>
                <w:lang w:val="en"/>
              </w:rPr>
            </w:pPr>
            <w:r w:rsidRPr="00FF373B">
              <w:rPr>
                <w:rFonts w:ascii="Arial Narrow" w:hAnsi="Arial Narrow"/>
                <w:sz w:val="18"/>
                <w:szCs w:val="18"/>
              </w:rPr>
              <w:t>AIMS Factsheet, 'Dredging - what is the impact on the Great Barrier Reef?</w:t>
            </w:r>
          </w:p>
          <w:p w14:paraId="5761FD6F" w14:textId="77777777" w:rsidR="00A56EE9" w:rsidRPr="00FF373B" w:rsidRDefault="008B5998" w:rsidP="00A11869">
            <w:pPr>
              <w:pStyle w:val="ListParagraph"/>
              <w:numPr>
                <w:ilvl w:val="0"/>
                <w:numId w:val="24"/>
              </w:numPr>
              <w:spacing w:after="200" w:line="276" w:lineRule="auto"/>
              <w:rPr>
                <w:rFonts w:ascii="Arial Narrow" w:hAnsi="Arial Narrow"/>
                <w:sz w:val="18"/>
                <w:szCs w:val="18"/>
                <w:lang w:val="en"/>
              </w:rPr>
            </w:pPr>
            <w:hyperlink r:id="rId1226" w:history="1">
              <w:r w:rsidR="00A56EE9" w:rsidRPr="00FF373B">
                <w:rPr>
                  <w:rStyle w:val="Hyperlink"/>
                  <w:rFonts w:ascii="Arial Narrow" w:hAnsi="Arial Narrow"/>
                  <w:sz w:val="18"/>
                  <w:szCs w:val="18"/>
                  <w:lang w:val="en"/>
                </w:rPr>
                <w:t>Bulk Ports Corporation</w:t>
              </w:r>
            </w:hyperlink>
            <w:r w:rsidR="00A56EE9" w:rsidRPr="00FF373B">
              <w:rPr>
                <w:rFonts w:ascii="Arial Narrow" w:hAnsi="Arial Narrow"/>
                <w:sz w:val="18"/>
                <w:szCs w:val="18"/>
                <w:lang w:val="en"/>
              </w:rPr>
              <w:t xml:space="preserve"> monitoring reports</w:t>
            </w:r>
          </w:p>
          <w:p w14:paraId="5761FD70"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Guidelines for the development of Port Master Plans</w:t>
            </w:r>
          </w:p>
          <w:p w14:paraId="5761FD71"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Queensland Maintenance Dredging Strategy 2016</w:t>
            </w:r>
          </w:p>
          <w:p w14:paraId="5761FD72" w14:textId="77777777" w:rsidR="00A56EE9" w:rsidRPr="00FF373B" w:rsidRDefault="00A56EE9" w:rsidP="00A11869">
            <w:pPr>
              <w:pStyle w:val="ListParagraph"/>
              <w:numPr>
                <w:ilvl w:val="0"/>
                <w:numId w:val="24"/>
              </w:numPr>
              <w:spacing w:after="200" w:line="276" w:lineRule="auto"/>
              <w:rPr>
                <w:rFonts w:ascii="Arial Narrow" w:hAnsi="Arial Narrow" w:cstheme="minorHAnsi"/>
                <w:sz w:val="18"/>
                <w:szCs w:val="18"/>
              </w:rPr>
            </w:pPr>
            <w:r w:rsidRPr="00FF373B">
              <w:rPr>
                <w:rFonts w:ascii="Arial Narrow" w:hAnsi="Arial Narrow"/>
                <w:sz w:val="18"/>
                <w:szCs w:val="18"/>
              </w:rPr>
              <w:t xml:space="preserve">The </w:t>
            </w:r>
            <w:hyperlink r:id="rId1227" w:history="1">
              <w:r w:rsidRPr="00FF373B">
                <w:rPr>
                  <w:rStyle w:val="Hyperlink"/>
                  <w:rFonts w:ascii="Arial Narrow" w:hAnsi="Arial Narrow"/>
                  <w:sz w:val="18"/>
                  <w:szCs w:val="18"/>
                </w:rPr>
                <w:t>Gladstone Healthy Harbour Partnership Technical Report</w:t>
              </w:r>
            </w:hyperlink>
            <w:r w:rsidRPr="00FF373B">
              <w:rPr>
                <w:rFonts w:ascii="Arial Narrow" w:hAnsi="Arial Narrow"/>
                <w:sz w:val="18"/>
                <w:szCs w:val="18"/>
              </w:rPr>
              <w:t xml:space="preserve"> monitors water and sediment quality, seagrass habitats, turtle coral habitats, fish (bream </w:t>
            </w:r>
            <w:r w:rsidRPr="00FF373B">
              <w:rPr>
                <w:rFonts w:ascii="Arial Narrow" w:hAnsi="Arial Narrow" w:cstheme="minorHAnsi"/>
                <w:sz w:val="18"/>
                <w:szCs w:val="18"/>
              </w:rPr>
              <w:t>recruitment), social, culture and economic components, indigenous culture, and connectivity</w:t>
            </w:r>
          </w:p>
          <w:p w14:paraId="5761FD73" w14:textId="77777777" w:rsidR="00A56EE9" w:rsidRPr="00FF373B" w:rsidRDefault="008B5998" w:rsidP="00A11869">
            <w:pPr>
              <w:pStyle w:val="ListParagraph"/>
              <w:numPr>
                <w:ilvl w:val="0"/>
                <w:numId w:val="24"/>
              </w:numPr>
              <w:spacing w:after="200" w:line="276" w:lineRule="auto"/>
              <w:rPr>
                <w:rFonts w:ascii="Arial Narrow" w:hAnsi="Arial Narrow" w:cstheme="minorHAnsi"/>
                <w:sz w:val="18"/>
                <w:szCs w:val="18"/>
              </w:rPr>
            </w:pPr>
            <w:hyperlink r:id="rId1228" w:anchor="search=indigenous" w:history="1">
              <w:r w:rsidR="00A56EE9" w:rsidRPr="00FF373B">
                <w:rPr>
                  <w:rStyle w:val="Hyperlink"/>
                  <w:rFonts w:ascii="Arial Narrow" w:hAnsi="Arial Narrow" w:cstheme="minorHAnsi"/>
                  <w:sz w:val="18"/>
                  <w:szCs w:val="18"/>
                </w:rPr>
                <w:t>Gladstone Annual Report 2015-2016</w:t>
              </w:r>
            </w:hyperlink>
          </w:p>
          <w:p w14:paraId="5761FD74"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 xml:space="preserve">Australian Government </w:t>
            </w:r>
            <w:r w:rsidRPr="00FF373B">
              <w:rPr>
                <w:rFonts w:ascii="Arial Narrow" w:hAnsi="Arial Narrow"/>
                <w:i/>
                <w:sz w:val="18"/>
                <w:szCs w:val="18"/>
              </w:rPr>
              <w:t>State Party Report on the State of Conservation of the Great Barrier Reef World Heritage Area (Australia) (</w:t>
            </w:r>
            <w:r w:rsidRPr="00FF373B">
              <w:rPr>
                <w:rFonts w:ascii="Arial Narrow" w:hAnsi="Arial Narrow" w:cstheme="minorHAnsi"/>
                <w:i/>
                <w:sz w:val="18"/>
                <w:szCs w:val="18"/>
              </w:rPr>
              <w:t>Property ID N154</w:t>
            </w:r>
            <w:r w:rsidRPr="00FF373B">
              <w:rPr>
                <w:rFonts w:ascii="Arial Narrow" w:hAnsi="Arial Narrow"/>
                <w:i/>
                <w:sz w:val="18"/>
                <w:szCs w:val="18"/>
              </w:rPr>
              <w:t>), for submission by 31 January 2014</w:t>
            </w:r>
            <w:r w:rsidRPr="00FF373B">
              <w:rPr>
                <w:rFonts w:ascii="Arial Narrow" w:hAnsi="Arial Narrow"/>
                <w:sz w:val="18"/>
                <w:szCs w:val="18"/>
              </w:rPr>
              <w:t>.</w:t>
            </w:r>
          </w:p>
          <w:p w14:paraId="5761FD75" w14:textId="77777777" w:rsidR="00A56EE9" w:rsidRPr="00FF373B" w:rsidRDefault="00A56EE9" w:rsidP="00A11869">
            <w:pPr>
              <w:pStyle w:val="ListParagraph"/>
              <w:numPr>
                <w:ilvl w:val="0"/>
                <w:numId w:val="24"/>
              </w:numPr>
              <w:spacing w:after="200" w:line="276" w:lineRule="auto"/>
              <w:rPr>
                <w:rFonts w:ascii="Arial Narrow" w:hAnsi="Arial Narrow"/>
                <w:sz w:val="18"/>
                <w:szCs w:val="18"/>
              </w:rPr>
            </w:pPr>
            <w:r w:rsidRPr="00FF373B">
              <w:rPr>
                <w:rFonts w:ascii="Arial Narrow" w:hAnsi="Arial Narrow"/>
                <w:sz w:val="18"/>
                <w:szCs w:val="18"/>
              </w:rPr>
              <w:t xml:space="preserve">Australian Government </w:t>
            </w:r>
            <w:r w:rsidRPr="00FF373B">
              <w:rPr>
                <w:rFonts w:ascii="Arial Narrow" w:hAnsi="Arial Narrow"/>
                <w:i/>
                <w:sz w:val="18"/>
                <w:szCs w:val="18"/>
              </w:rPr>
              <w:t>State Party Report on the State of Conservation of the Great Barrier Reef World Heritage Area (Australia) (</w:t>
            </w:r>
            <w:r w:rsidRPr="00FF373B">
              <w:rPr>
                <w:rFonts w:ascii="Arial Narrow" w:hAnsi="Arial Narrow" w:cstheme="minorHAnsi"/>
                <w:i/>
                <w:sz w:val="18"/>
                <w:szCs w:val="18"/>
              </w:rPr>
              <w:t>Property ID N154</w:t>
            </w:r>
            <w:r w:rsidRPr="00FF373B">
              <w:rPr>
                <w:rFonts w:ascii="Arial Narrow" w:hAnsi="Arial Narrow"/>
                <w:i/>
                <w:sz w:val="18"/>
                <w:szCs w:val="18"/>
              </w:rPr>
              <w:t>), for submission by 30 January 2015</w:t>
            </w:r>
            <w:r w:rsidRPr="00FF373B">
              <w:rPr>
                <w:rFonts w:ascii="Arial Narrow" w:hAnsi="Arial Narrow"/>
                <w:sz w:val="18"/>
                <w:szCs w:val="18"/>
              </w:rPr>
              <w:t>.</w:t>
            </w:r>
          </w:p>
          <w:p w14:paraId="5761FD76" w14:textId="77777777" w:rsidR="00A56EE9" w:rsidRPr="00FF373B" w:rsidRDefault="008B5998" w:rsidP="00A11869">
            <w:pPr>
              <w:pStyle w:val="ListParagraph"/>
              <w:numPr>
                <w:ilvl w:val="0"/>
                <w:numId w:val="24"/>
              </w:numPr>
              <w:spacing w:after="200" w:line="276" w:lineRule="auto"/>
              <w:rPr>
                <w:rStyle w:val="Hyperlink"/>
                <w:rFonts w:ascii="Arial Narrow" w:hAnsi="Arial Narrow"/>
                <w:sz w:val="18"/>
                <w:szCs w:val="18"/>
              </w:rPr>
            </w:pPr>
            <w:hyperlink r:id="rId1229" w:history="1">
              <w:r w:rsidR="00A56EE9" w:rsidRPr="00FF373B">
                <w:rPr>
                  <w:rStyle w:val="Hyperlink"/>
                  <w:rFonts w:ascii="Arial Narrow" w:hAnsi="Arial Narrow"/>
                  <w:sz w:val="18"/>
                  <w:szCs w:val="18"/>
                </w:rPr>
                <w:t>National Strategy for Mitigating Vessel Strike of Marine Megafauna</w:t>
              </w:r>
            </w:hyperlink>
          </w:p>
          <w:p w14:paraId="5761FD77" w14:textId="77777777" w:rsidR="00A56EE9" w:rsidRPr="00FF373B" w:rsidRDefault="008B5998" w:rsidP="00A11869">
            <w:pPr>
              <w:pStyle w:val="ListParagraph"/>
              <w:numPr>
                <w:ilvl w:val="0"/>
                <w:numId w:val="24"/>
              </w:numPr>
              <w:spacing w:after="200" w:line="276" w:lineRule="auto"/>
              <w:rPr>
                <w:rFonts w:ascii="Arial Narrow" w:hAnsi="Arial Narrow"/>
                <w:sz w:val="18"/>
                <w:szCs w:val="18"/>
              </w:rPr>
            </w:pPr>
            <w:hyperlink r:id="rId1230" w:history="1">
              <w:r w:rsidR="00A56EE9" w:rsidRPr="00FF373B">
                <w:rPr>
                  <w:rStyle w:val="Hyperlink"/>
                  <w:rFonts w:ascii="Arial Narrow" w:hAnsi="Arial Narrow"/>
                  <w:sz w:val="18"/>
                  <w:szCs w:val="18"/>
                </w:rPr>
                <w:t>Reef Trust Offsets Calculator</w:t>
              </w:r>
            </w:hyperlink>
            <w:r w:rsidR="00A56EE9" w:rsidRPr="00FF373B">
              <w:rPr>
                <w:rFonts w:ascii="Arial Narrow" w:hAnsi="Arial Narrow"/>
                <w:sz w:val="18"/>
                <w:szCs w:val="18"/>
              </w:rPr>
              <w:t xml:space="preserve"> developed (public launch 2/11/17)</w:t>
            </w:r>
          </w:p>
          <w:p w14:paraId="5761FD78" w14:textId="77777777" w:rsidR="00A56EE9" w:rsidRPr="00FF373B" w:rsidRDefault="00A56EE9" w:rsidP="00BB6AD5">
            <w:pPr>
              <w:rPr>
                <w:rFonts w:ascii="Arial Narrow" w:hAnsi="Arial Narrow"/>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D79" w14:textId="77777777" w:rsidR="00A56EE9" w:rsidRPr="00FF373B" w:rsidRDefault="00A56EE9" w:rsidP="00BB6AD5">
            <w:pPr>
              <w:pStyle w:val="Tablebulletlist"/>
              <w:rPr>
                <w:rStyle w:val="BookTitle"/>
              </w:rPr>
            </w:pPr>
            <w:r w:rsidRPr="00FF373B">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D7A" w14:textId="77777777" w:rsidR="00A56EE9" w:rsidRPr="00E70A11" w:rsidRDefault="00A56EE9" w:rsidP="00BB6AD5">
            <w:pPr>
              <w:pStyle w:val="Tablebulletlist"/>
              <w:rPr>
                <w:rStyle w:val="BookTitle"/>
              </w:rPr>
            </w:pPr>
            <w:r w:rsidRPr="00FF373B">
              <w:rPr>
                <w:rStyle w:val="BookTitle"/>
              </w:rPr>
              <w:t>Improving</w:t>
            </w:r>
          </w:p>
        </w:tc>
      </w:tr>
      <w:tr w:rsidR="00A56EE9" w:rsidRPr="00E70A11" w14:paraId="5761FD9D"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D7C"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to ports are known by managers</w:t>
            </w:r>
          </w:p>
        </w:tc>
        <w:tc>
          <w:tcPr>
            <w:tcW w:w="790" w:type="dxa"/>
            <w:tcBorders>
              <w:top w:val="single" w:sz="4" w:space="0" w:color="auto"/>
              <w:left w:val="single" w:sz="4" w:space="0" w:color="auto"/>
              <w:bottom w:val="single" w:sz="4" w:space="0" w:color="auto"/>
              <w:right w:val="single" w:sz="4" w:space="0" w:color="auto"/>
            </w:tcBorders>
          </w:tcPr>
          <w:p w14:paraId="5761FD7D"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D7E" w14:textId="77777777" w:rsidR="00A56EE9" w:rsidRPr="00E70A11" w:rsidRDefault="00A56EE9" w:rsidP="00A11869">
            <w:pPr>
              <w:pStyle w:val="ListBullet"/>
              <w:numPr>
                <w:ilvl w:val="0"/>
                <w:numId w:val="93"/>
              </w:numPr>
              <w:autoSpaceDE w:val="0"/>
              <w:autoSpaceDN w:val="0"/>
              <w:adjustRightInd w:val="0"/>
              <w:spacing w:line="240" w:lineRule="auto"/>
            </w:pPr>
            <w:r>
              <w:t xml:space="preserve">Great Barrier Reef ports </w:t>
            </w:r>
            <w:r w:rsidRPr="00E70A11">
              <w:t>present as being well managed in terms of minimising potential adverse influences upon the Marine Park and WHA.</w:t>
            </w:r>
          </w:p>
          <w:p w14:paraId="5761FD7F" w14:textId="77777777" w:rsidR="00A56EE9" w:rsidRPr="00E70A11" w:rsidRDefault="00A56EE9" w:rsidP="00A11869">
            <w:pPr>
              <w:pStyle w:val="ListBullet"/>
              <w:numPr>
                <w:ilvl w:val="0"/>
                <w:numId w:val="93"/>
              </w:numPr>
              <w:autoSpaceDE w:val="0"/>
              <w:autoSpaceDN w:val="0"/>
              <w:adjustRightInd w:val="0"/>
              <w:spacing w:line="240" w:lineRule="auto"/>
            </w:pPr>
            <w:r w:rsidRPr="00E70A11">
              <w:t>Ports used their knowledge and familiarity with the values of the GBR to contribute to the development of the Great Barrier Reef Strategic Assessment Report (2014), Great Barrier Reef Coastal Zone Strategic Assessment (2014), Reef 2050 Plan, Sustainable Ports Act, GBR Maintenance dredging Strategy, Port Master Planning, GBR polices (including reef Trust, Offset Policy and similar).</w:t>
            </w:r>
          </w:p>
          <w:p w14:paraId="5761FD80" w14:textId="77777777" w:rsidR="00A56EE9" w:rsidRPr="00E70A11" w:rsidRDefault="00A56EE9" w:rsidP="00A11869">
            <w:pPr>
              <w:pStyle w:val="ListBullet"/>
              <w:numPr>
                <w:ilvl w:val="0"/>
                <w:numId w:val="93"/>
              </w:numPr>
              <w:autoSpaceDE w:val="0"/>
              <w:autoSpaceDN w:val="0"/>
              <w:adjustRightInd w:val="0"/>
              <w:spacing w:line="240" w:lineRule="auto"/>
            </w:pPr>
            <w:r w:rsidRPr="00E70A11">
              <w:t xml:space="preserve">Ports contribute as partners in the Reef 2050 Long Term Sustainability Plan working with GBR managers. </w:t>
            </w:r>
            <w:r w:rsidRPr="001D203E">
              <w:t xml:space="preserve">Ports have input into the development and implementation of most GBR related policies that have </w:t>
            </w:r>
            <w:r w:rsidRPr="00E70A11">
              <w:t>been developed under Reef 2050 to ensure that the environmental values within ports and the interaction of ports with the GBR are appropriately understood and described.</w:t>
            </w:r>
          </w:p>
          <w:p w14:paraId="5761FD81" w14:textId="77777777" w:rsidR="00A56EE9" w:rsidRPr="00E70A11" w:rsidRDefault="00A56EE9" w:rsidP="00A11869">
            <w:pPr>
              <w:pStyle w:val="ListBullet"/>
              <w:numPr>
                <w:ilvl w:val="0"/>
                <w:numId w:val="93"/>
              </w:numPr>
              <w:autoSpaceDE w:val="0"/>
              <w:autoSpaceDN w:val="0"/>
              <w:adjustRightInd w:val="0"/>
              <w:spacing w:line="240" w:lineRule="auto"/>
            </w:pPr>
            <w:r w:rsidRPr="00E70A11">
              <w:t xml:space="preserve">All ports have long term ambient environmental monitoring programs dating back several decades. These monitoring programs examine key environmental values including seagrass, coral, benthic sediment and water quality. In most cases these monitoring programs are not a ‘statutory’ requirement and are in place irrespective of whether there is development occurring. These long-term programs are used by ports to determine condition and trend of environmental values within ports. </w:t>
            </w:r>
          </w:p>
          <w:p w14:paraId="5761FD82" w14:textId="77777777" w:rsidR="00A56EE9" w:rsidRPr="00E70A11" w:rsidRDefault="00A56EE9" w:rsidP="00A11869">
            <w:pPr>
              <w:pStyle w:val="ListBullet"/>
              <w:numPr>
                <w:ilvl w:val="0"/>
                <w:numId w:val="93"/>
              </w:numPr>
              <w:autoSpaceDE w:val="0"/>
              <w:autoSpaceDN w:val="0"/>
              <w:adjustRightInd w:val="0"/>
              <w:spacing w:line="240" w:lineRule="auto"/>
            </w:pPr>
            <w:r>
              <w:t>A</w:t>
            </w:r>
            <w:r w:rsidRPr="00E70A11">
              <w:t xml:space="preserve">vailable monitoring data are strongly embedded within the </w:t>
            </w:r>
            <w:r>
              <w:t xml:space="preserve">development of the </w:t>
            </w:r>
            <w:r w:rsidRPr="00E70A11">
              <w:t xml:space="preserve">Reef Integrated Monitoring, Modelling and Reporting Program (RIMReP) and ports have multiple representatives involved in the technical working groups responsible for designing reef-wide monitoring programs. Ports are key partners in several regional monitoring programs at Gladstone, Mackay-Whitsunday, Townsville (under development) and Cairns that provide information for managers on the condition and trend of values. </w:t>
            </w:r>
          </w:p>
          <w:p w14:paraId="5761FD83" w14:textId="77777777" w:rsidR="00A56EE9" w:rsidRPr="00E70A11" w:rsidRDefault="00A56EE9" w:rsidP="00A11869">
            <w:pPr>
              <w:pStyle w:val="ListBullet"/>
              <w:numPr>
                <w:ilvl w:val="0"/>
                <w:numId w:val="93"/>
              </w:numPr>
              <w:autoSpaceDE w:val="0"/>
              <w:autoSpaceDN w:val="0"/>
              <w:adjustRightInd w:val="0"/>
              <w:spacing w:line="240" w:lineRule="auto"/>
            </w:pPr>
            <w:r w:rsidRPr="00E70A11">
              <w:t>Access to any relevant port monitoring data is considered to be important for other GBR management agencies, and data sharing arrangements are currently being negotiated through the RIMReP data management and systems working group, noting that implementation of RIMReP is primarily the responsibility of GBRMPA.</w:t>
            </w:r>
          </w:p>
          <w:p w14:paraId="5761FD84" w14:textId="77777777" w:rsidR="00A56EE9" w:rsidRPr="00E70A11" w:rsidRDefault="00A56EE9" w:rsidP="00A11869">
            <w:pPr>
              <w:pStyle w:val="ListBullet"/>
              <w:numPr>
                <w:ilvl w:val="0"/>
                <w:numId w:val="93"/>
              </w:numPr>
              <w:autoSpaceDE w:val="0"/>
              <w:autoSpaceDN w:val="0"/>
              <w:adjustRightInd w:val="0"/>
              <w:spacing w:line="240" w:lineRule="auto"/>
            </w:pPr>
            <w:r w:rsidRPr="00E70A11">
              <w:t>Port master plans are intended to be informed by a baseline evidence report of the social, economic and biological environment within and adjacent to the master plan area including potential temporal variation issues at each port. Port authorities provide substantial input into these evidence reports.</w:t>
            </w:r>
          </w:p>
        </w:tc>
        <w:tc>
          <w:tcPr>
            <w:tcW w:w="5066" w:type="dxa"/>
            <w:tcBorders>
              <w:top w:val="single" w:sz="4" w:space="0" w:color="auto"/>
              <w:left w:val="single" w:sz="4" w:space="0" w:color="auto"/>
              <w:bottom w:val="single" w:sz="4" w:space="0" w:color="auto"/>
              <w:right w:val="single" w:sz="4" w:space="0" w:color="auto"/>
            </w:tcBorders>
          </w:tcPr>
          <w:p w14:paraId="5761FD86"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231" w:history="1">
              <w:r w:rsidR="00A56EE9" w:rsidRPr="00E70A11">
                <w:rPr>
                  <w:rStyle w:val="Hyperlink"/>
                  <w:rFonts w:ascii="Arial Narrow" w:hAnsi="Arial Narrow" w:cs="Times New Roman"/>
                  <w:sz w:val="18"/>
                  <w:szCs w:val="18"/>
                  <w:lang w:val="en"/>
                </w:rPr>
                <w:t>‘Synthesis Report on Effects of Dredging on the Great Barrier Reef by Independent Expert Panel’</w:t>
              </w:r>
            </w:hyperlink>
            <w:r w:rsidR="00A56EE9" w:rsidRPr="00E70A11">
              <w:rPr>
                <w:rFonts w:ascii="Arial Narrow" w:hAnsi="Arial Narrow" w:cs="Segoe UI"/>
                <w:sz w:val="18"/>
                <w:szCs w:val="18"/>
              </w:rPr>
              <w:t xml:space="preserve"> (2015) GBRMPA</w:t>
            </w:r>
          </w:p>
          <w:p w14:paraId="5761FD8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232" w:history="1">
              <w:r w:rsidR="00A56EE9" w:rsidRPr="00E70A11">
                <w:rPr>
                  <w:rStyle w:val="Hyperlink"/>
                  <w:rFonts w:ascii="Arial Narrow" w:hAnsi="Arial Narrow" w:cs="Times New Roman"/>
                  <w:sz w:val="18"/>
                  <w:szCs w:val="18"/>
                  <w:lang w:val="en"/>
                </w:rPr>
                <w:t xml:space="preserve">‘30-Year Vision </w:t>
              </w:r>
              <w:proofErr w:type="gramStart"/>
              <w:r w:rsidR="00A56EE9" w:rsidRPr="00E70A11">
                <w:rPr>
                  <w:rStyle w:val="Hyperlink"/>
                  <w:rFonts w:ascii="Arial Narrow" w:hAnsi="Arial Narrow" w:cs="Times New Roman"/>
                  <w:sz w:val="18"/>
                  <w:szCs w:val="18"/>
                  <w:lang w:val="en"/>
                </w:rPr>
                <w:t>And</w:t>
              </w:r>
              <w:proofErr w:type="gramEnd"/>
              <w:r w:rsidR="00A56EE9" w:rsidRPr="00E70A11">
                <w:rPr>
                  <w:rStyle w:val="Hyperlink"/>
                  <w:rFonts w:ascii="Arial Narrow" w:hAnsi="Arial Narrow" w:cs="Times New Roman"/>
                  <w:sz w:val="18"/>
                  <w:szCs w:val="18"/>
                  <w:lang w:val="en"/>
                </w:rPr>
                <w:t xml:space="preserve"> Action Plan’</w:t>
              </w:r>
            </w:hyperlink>
            <w:r w:rsidR="00A56EE9" w:rsidRPr="00E70A11">
              <w:rPr>
                <w:rFonts w:ascii="Arial Narrow" w:hAnsi="Arial Narrow" w:cs="Meta Bold LF"/>
                <w:bCs/>
                <w:sz w:val="18"/>
                <w:szCs w:val="18"/>
              </w:rPr>
              <w:t xml:space="preserve"> (2014) DNRM.</w:t>
            </w:r>
          </w:p>
          <w:p w14:paraId="5761FD88"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
              </w:rPr>
            </w:pPr>
            <w:hyperlink r:id="rId1233" w:history="1">
              <w:r w:rsidR="00A56EE9" w:rsidRPr="00E70A11">
                <w:rPr>
                  <w:rStyle w:val="Hyperlink"/>
                  <w:rFonts w:ascii="Arial Narrow" w:hAnsi="Arial Narrow"/>
                  <w:sz w:val="18"/>
                  <w:szCs w:val="18"/>
                  <w:lang w:val="en"/>
                </w:rPr>
                <w:t>Bulk Ports Corporation</w:t>
              </w:r>
            </w:hyperlink>
            <w:r w:rsidR="00A56EE9" w:rsidRPr="00E70A11">
              <w:rPr>
                <w:rFonts w:ascii="Arial Narrow" w:hAnsi="Arial Narrow"/>
                <w:sz w:val="18"/>
                <w:szCs w:val="18"/>
                <w:lang w:val="en"/>
              </w:rPr>
              <w:t xml:space="preserve"> monitoring reports</w:t>
            </w:r>
          </w:p>
          <w:p w14:paraId="5761FD89" w14:textId="77777777" w:rsidR="00A56EE9" w:rsidRPr="00E70A11" w:rsidRDefault="00A56EE9" w:rsidP="00A11869">
            <w:pPr>
              <w:pStyle w:val="ListParagraph"/>
              <w:numPr>
                <w:ilvl w:val="0"/>
                <w:numId w:val="24"/>
              </w:numPr>
              <w:spacing w:after="200" w:line="276" w:lineRule="auto"/>
              <w:rPr>
                <w:rStyle w:val="Hyperlink"/>
                <w:rFonts w:ascii="Arial Narrow" w:hAnsi="Arial Narrow"/>
                <w:sz w:val="18"/>
                <w:szCs w:val="18"/>
                <w:lang w:val="en"/>
              </w:rPr>
            </w:pPr>
            <w:r w:rsidRPr="00E70A11">
              <w:rPr>
                <w:rFonts w:ascii="Arial Narrow" w:hAnsi="Arial Narrow"/>
                <w:sz w:val="18"/>
                <w:szCs w:val="18"/>
                <w:lang w:val="en"/>
              </w:rPr>
              <w:t xml:space="preserve">Deloitte Access Economics Report </w:t>
            </w:r>
            <w:hyperlink r:id="rId1234" w:tooltip="Economic contribution of the Great Barrier Reef March 2013" w:history="1">
              <w:r w:rsidRPr="00E70A11">
                <w:rPr>
                  <w:rStyle w:val="Hyperlink"/>
                  <w:rFonts w:ascii="Arial Narrow" w:hAnsi="Arial Narrow"/>
                  <w:sz w:val="18"/>
                  <w:szCs w:val="18"/>
                  <w:lang w:val="en"/>
                </w:rPr>
                <w:t>Economic contribution of the Great Barrier Reef</w:t>
              </w:r>
            </w:hyperlink>
          </w:p>
          <w:p w14:paraId="5761FD8A"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1235" w:history="1">
              <w:r w:rsidR="00A56EE9" w:rsidRPr="00E70A11">
                <w:rPr>
                  <w:rStyle w:val="Hyperlink"/>
                  <w:rFonts w:ascii="Arial Narrow" w:hAnsi="Arial Narrow"/>
                  <w:sz w:val="18"/>
                  <w:szCs w:val="18"/>
                  <w:lang w:val="en"/>
                </w:rPr>
                <w:t>GBR Region Strategic Assessment Report</w:t>
              </w:r>
            </w:hyperlink>
            <w:r w:rsidR="00A56EE9" w:rsidRPr="00E70A11">
              <w:rPr>
                <w:rStyle w:val="Hyperlink"/>
                <w:rFonts w:ascii="Arial Narrow" w:hAnsi="Arial Narrow"/>
                <w:sz w:val="18"/>
                <w:szCs w:val="18"/>
                <w:lang w:val="en"/>
              </w:rPr>
              <w:t xml:space="preserve"> (</w:t>
            </w:r>
            <w:r w:rsidR="00A56EE9" w:rsidRPr="00E70A11">
              <w:rPr>
                <w:rStyle w:val="Hyperlink"/>
                <w:rFonts w:ascii="Arial Narrow" w:hAnsi="Arial Narrow"/>
                <w:sz w:val="18"/>
                <w:szCs w:val="18"/>
              </w:rPr>
              <w:t>2014).</w:t>
            </w:r>
          </w:p>
          <w:p w14:paraId="5761FD8B" w14:textId="77777777" w:rsidR="00A56EE9" w:rsidRPr="00E70A11" w:rsidDel="005E6EC3" w:rsidRDefault="00A56EE9" w:rsidP="00A11869">
            <w:pPr>
              <w:pStyle w:val="ListParagraph"/>
              <w:numPr>
                <w:ilvl w:val="0"/>
                <w:numId w:val="24"/>
              </w:numPr>
              <w:spacing w:after="200" w:line="276" w:lineRule="auto"/>
              <w:rPr>
                <w:rFonts w:ascii="Arial Narrow" w:hAnsi="Arial Narrow"/>
                <w:sz w:val="18"/>
                <w:szCs w:val="18"/>
              </w:rPr>
            </w:pPr>
            <w:r w:rsidRPr="00E70A11" w:rsidDel="005E6EC3">
              <w:rPr>
                <w:rFonts w:ascii="Arial Narrow" w:hAnsi="Arial Narrow"/>
                <w:sz w:val="18"/>
                <w:szCs w:val="18"/>
              </w:rPr>
              <w:t>McKenna, S, Jarvis, J, Sankey, T, Reason, C, Coles, R, &amp; Rasheed, M 2015, 'Declines of seagrasses in a tropical harbour, North Queensland, Australia, are not the result of a single event', Journal Of Biosciences, 40, 2, pp. 389-398, Academic Search Index, EBSCO host, viewed 17 October 2017.</w:t>
            </w:r>
            <w:bookmarkStart w:id="220" w:name="citation"/>
          </w:p>
          <w:bookmarkEnd w:id="220"/>
          <w:p w14:paraId="5761FD8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Sustainable Sediment management (WQA16). Port authorities are leading Reef2050 action to understand port sediment characteristics at the four major ports and how sediment interacts and contributes to broader catchment contributions within the WHA.</w:t>
            </w:r>
          </w:p>
          <w:p w14:paraId="5761FD8D"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236" w:history="1">
              <w:r w:rsidR="00A56EE9" w:rsidRPr="00E70A11">
                <w:rPr>
                  <w:rStyle w:val="Hyperlink"/>
                  <w:rFonts w:ascii="Arial Narrow" w:hAnsi="Arial Narrow"/>
                  <w:sz w:val="18"/>
                  <w:szCs w:val="18"/>
                </w:rPr>
                <w:t>Queensland Ports Seagrass Monitoring</w:t>
              </w:r>
            </w:hyperlink>
          </w:p>
          <w:p w14:paraId="5761FD8E"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1237" w:history="1">
              <w:r w:rsidR="00A56EE9" w:rsidRPr="00E70A11">
                <w:rPr>
                  <w:rStyle w:val="Hyperlink"/>
                  <w:rFonts w:ascii="Arial Narrow" w:hAnsi="Arial Narrow"/>
                  <w:sz w:val="18"/>
                  <w:szCs w:val="18"/>
                </w:rPr>
                <w:t>Reef 2050 Integrated Monitoring and Reporting Program</w:t>
              </w:r>
            </w:hyperlink>
            <w:r w:rsidR="00A56EE9" w:rsidRPr="00E70A11">
              <w:rPr>
                <w:rStyle w:val="Hyperlink"/>
                <w:rFonts w:ascii="Arial Narrow" w:hAnsi="Arial Narrow"/>
                <w:sz w:val="18"/>
                <w:szCs w:val="18"/>
              </w:rPr>
              <w:t xml:space="preserve"> </w:t>
            </w:r>
          </w:p>
          <w:p w14:paraId="5761FD8F"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1238" w:history="1">
              <w:r w:rsidR="00A56EE9" w:rsidRPr="00E70A11">
                <w:rPr>
                  <w:rStyle w:val="Hyperlink"/>
                  <w:rFonts w:ascii="Arial Narrow" w:hAnsi="Arial Narrow"/>
                  <w:sz w:val="18"/>
                  <w:szCs w:val="18"/>
                </w:rPr>
                <w:t>Master Plans</w:t>
              </w:r>
            </w:hyperlink>
          </w:p>
          <w:p w14:paraId="5761FD9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Gladstone Annual Report 2015-2016</w:t>
            </w:r>
          </w:p>
          <w:p w14:paraId="5761FD9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Gladstone Healthy Harbour Partnership</w:t>
            </w:r>
          </w:p>
          <w:p w14:paraId="5761FD9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Mackay-Whitsunday Healthy Rivers to Reef Partnership</w:t>
            </w:r>
          </w:p>
          <w:p w14:paraId="5761FD9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Healthy Rivers to Reef Partnership </w:t>
            </w:r>
            <w:hyperlink r:id="rId1239" w:history="1">
              <w:r w:rsidRPr="00E70A11">
                <w:rPr>
                  <w:rStyle w:val="Hyperlink"/>
                  <w:rFonts w:ascii="Arial Narrow" w:hAnsi="Arial Narrow"/>
                  <w:sz w:val="18"/>
                  <w:szCs w:val="18"/>
                </w:rPr>
                <w:t>Mackay Whitsunday Report Card</w:t>
              </w:r>
            </w:hyperlink>
          </w:p>
          <w:p w14:paraId="5761FD9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Regional partnerships in Cairns and Townsville.</w:t>
            </w:r>
          </w:p>
          <w:p w14:paraId="5761FD9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Regional Report cards:</w:t>
            </w:r>
          </w:p>
          <w:p w14:paraId="5761FD9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Fitzroy Basin </w:t>
            </w:r>
            <w:hyperlink r:id="rId1240" w:history="1">
              <w:r w:rsidRPr="00E70A11">
                <w:rPr>
                  <w:rStyle w:val="Hyperlink"/>
                  <w:rFonts w:ascii="Arial Narrow" w:hAnsi="Arial Narrow"/>
                  <w:sz w:val="18"/>
                  <w:szCs w:val="18"/>
                </w:rPr>
                <w:t>Report Card</w:t>
              </w:r>
            </w:hyperlink>
          </w:p>
          <w:p w14:paraId="5761FD9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241" w:history="1">
              <w:r w:rsidR="00A56EE9" w:rsidRPr="00E70A11">
                <w:rPr>
                  <w:rStyle w:val="Hyperlink"/>
                  <w:rFonts w:ascii="Arial Narrow" w:hAnsi="Arial Narrow"/>
                  <w:sz w:val="18"/>
                  <w:szCs w:val="18"/>
                </w:rPr>
                <w:t>Gladstone Harbour Report Card</w:t>
              </w:r>
            </w:hyperlink>
          </w:p>
          <w:p w14:paraId="5761FD9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Wet Tropics </w:t>
            </w:r>
            <w:hyperlink r:id="rId1242" w:history="1">
              <w:r w:rsidRPr="00E70A11">
                <w:rPr>
                  <w:rStyle w:val="Hyperlink"/>
                  <w:rFonts w:ascii="Arial Narrow" w:hAnsi="Arial Narrow"/>
                  <w:sz w:val="18"/>
                  <w:szCs w:val="18"/>
                </w:rPr>
                <w:t>Report Card</w:t>
              </w:r>
            </w:hyperlink>
          </w:p>
          <w:p w14:paraId="5761FD99"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243" w:history="1">
              <w:r w:rsidR="00A56EE9" w:rsidRPr="00E70A11">
                <w:rPr>
                  <w:rStyle w:val="Hyperlink"/>
                  <w:rFonts w:ascii="Arial Narrow" w:hAnsi="Arial Narrow"/>
                  <w:sz w:val="18"/>
                  <w:szCs w:val="18"/>
                </w:rPr>
                <w:t>Water Quality Improvement Plans (WQIPs) and Healthy Waters Management Plans (HWMPs</w:t>
              </w:r>
            </w:hyperlink>
            <w:r w:rsidR="00A56EE9" w:rsidRPr="00E70A11">
              <w:rPr>
                <w:rFonts w:ascii="Arial Narrow" w:hAnsi="Arial Narrow"/>
                <w:sz w:val="18"/>
                <w:szCs w:val="18"/>
              </w:rPr>
              <w:t>)</w:t>
            </w:r>
          </w:p>
          <w:p w14:paraId="5761FD9A" w14:textId="77777777" w:rsidR="00A56EE9" w:rsidRPr="00E70A11" w:rsidRDefault="00A56EE9" w:rsidP="00BB6AD5">
            <w:pPr>
              <w:rPr>
                <w:rFonts w:ascii="Arial Narrow" w:hAnsi="Arial Narrow"/>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D9B" w14:textId="77777777" w:rsidR="00A56EE9" w:rsidRPr="00E70A11" w:rsidRDefault="00A56EE9" w:rsidP="00BB6AD5">
            <w:pPr>
              <w:pStyle w:val="Tablebulletlist"/>
              <w:rPr>
                <w:rStyle w:val="BookTitle"/>
              </w:rPr>
            </w:pPr>
            <w:r w:rsidRPr="00E70A11">
              <w:rPr>
                <w:rStyle w:val="BookTitle"/>
              </w:rPr>
              <w:t>Limited</w:t>
            </w:r>
          </w:p>
        </w:tc>
        <w:tc>
          <w:tcPr>
            <w:tcW w:w="914" w:type="dxa"/>
            <w:tcBorders>
              <w:top w:val="single" w:sz="4" w:space="0" w:color="auto"/>
              <w:left w:val="single" w:sz="4" w:space="0" w:color="auto"/>
              <w:bottom w:val="single" w:sz="4" w:space="0" w:color="auto"/>
              <w:right w:val="single" w:sz="4" w:space="0" w:color="auto"/>
            </w:tcBorders>
          </w:tcPr>
          <w:p w14:paraId="5761FD9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DCA"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D9E"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Impacts (direct, indirect and cumulative) associated with ports are understood by managers.</w:t>
            </w:r>
          </w:p>
        </w:tc>
        <w:tc>
          <w:tcPr>
            <w:tcW w:w="790" w:type="dxa"/>
            <w:tcBorders>
              <w:top w:val="single" w:sz="4" w:space="0" w:color="auto"/>
              <w:left w:val="single" w:sz="4" w:space="0" w:color="auto"/>
              <w:bottom w:val="single" w:sz="4" w:space="0" w:color="auto"/>
              <w:right w:val="single" w:sz="4" w:space="0" w:color="auto"/>
            </w:tcBorders>
          </w:tcPr>
          <w:p w14:paraId="5761FD9F"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DA0" w14:textId="77777777" w:rsidR="00A56EE9" w:rsidRPr="00E70A11" w:rsidRDefault="00A56EE9" w:rsidP="00A11869">
            <w:pPr>
              <w:pStyle w:val="ListParagraph"/>
              <w:numPr>
                <w:ilvl w:val="0"/>
                <w:numId w:val="129"/>
              </w:numPr>
              <w:spacing w:after="0" w:line="240" w:lineRule="auto"/>
              <w:ind w:left="322" w:hanging="283"/>
              <w:jc w:val="both"/>
              <w:rPr>
                <w:rFonts w:ascii="Arial Narrow" w:hAnsi="Arial Narrow"/>
                <w:color w:val="000000" w:themeColor="text1"/>
                <w:sz w:val="18"/>
                <w:szCs w:val="18"/>
              </w:rPr>
            </w:pPr>
            <w:r w:rsidRPr="00E70A11">
              <w:rPr>
                <w:rFonts w:ascii="Arial Narrow" w:hAnsi="Arial Narrow"/>
                <w:color w:val="000000" w:themeColor="text1"/>
                <w:sz w:val="18"/>
                <w:szCs w:val="18"/>
              </w:rPr>
              <w:t xml:space="preserve">The land and ocean-based activities associated with ports include, </w:t>
            </w:r>
            <w:r w:rsidRPr="00E70A11">
              <w:rPr>
                <w:rFonts w:ascii="Arial Narrow" w:hAnsi="Arial Narrow"/>
                <w:i/>
                <w:color w:val="000000" w:themeColor="text1"/>
                <w:sz w:val="18"/>
                <w:szCs w:val="18"/>
              </w:rPr>
              <w:t>inter alia</w:t>
            </w:r>
            <w:r w:rsidRPr="00E70A11">
              <w:rPr>
                <w:rFonts w:ascii="Arial Narrow" w:hAnsi="Arial Narrow"/>
                <w:color w:val="000000" w:themeColor="text1"/>
                <w:sz w:val="18"/>
                <w:szCs w:val="18"/>
              </w:rPr>
              <w:t xml:space="preserve">: </w:t>
            </w:r>
          </w:p>
          <w:p w14:paraId="5761FDA1" w14:textId="77777777" w:rsidR="00A56EE9" w:rsidRPr="00E70A11" w:rsidRDefault="00A56EE9" w:rsidP="00A11869">
            <w:pPr>
              <w:pStyle w:val="ListBullet"/>
              <w:numPr>
                <w:ilvl w:val="0"/>
                <w:numId w:val="130"/>
              </w:numPr>
              <w:autoSpaceDE w:val="0"/>
              <w:autoSpaceDN w:val="0"/>
              <w:adjustRightInd w:val="0"/>
              <w:spacing w:line="240" w:lineRule="auto"/>
              <w:jc w:val="both"/>
              <w:rPr>
                <w:color w:val="000000" w:themeColor="text1"/>
              </w:rPr>
            </w:pPr>
            <w:r w:rsidRPr="00E70A11">
              <w:rPr>
                <w:color w:val="000000" w:themeColor="text1"/>
              </w:rPr>
              <w:t>terminals, loading and unloading facilities</w:t>
            </w:r>
          </w:p>
          <w:p w14:paraId="5761FDA2" w14:textId="77777777" w:rsidR="00A56EE9" w:rsidRPr="00E70A11" w:rsidRDefault="00A56EE9" w:rsidP="00A11869">
            <w:pPr>
              <w:pStyle w:val="ListBullet"/>
              <w:numPr>
                <w:ilvl w:val="0"/>
                <w:numId w:val="130"/>
              </w:numPr>
              <w:autoSpaceDE w:val="0"/>
              <w:autoSpaceDN w:val="0"/>
              <w:adjustRightInd w:val="0"/>
              <w:spacing w:line="240" w:lineRule="auto"/>
              <w:jc w:val="both"/>
              <w:rPr>
                <w:color w:val="000000" w:themeColor="text1"/>
              </w:rPr>
            </w:pPr>
            <w:r w:rsidRPr="00E70A11">
              <w:rPr>
                <w:color w:val="000000" w:themeColor="text1"/>
              </w:rPr>
              <w:t xml:space="preserve">land reclamation </w:t>
            </w:r>
          </w:p>
          <w:p w14:paraId="5761FDA3" w14:textId="77777777" w:rsidR="00A56EE9" w:rsidRPr="00E70A11" w:rsidRDefault="00A56EE9" w:rsidP="00A11869">
            <w:pPr>
              <w:pStyle w:val="ListBullet"/>
              <w:numPr>
                <w:ilvl w:val="0"/>
                <w:numId w:val="130"/>
              </w:numPr>
              <w:autoSpaceDE w:val="0"/>
              <w:autoSpaceDN w:val="0"/>
              <w:adjustRightInd w:val="0"/>
              <w:spacing w:line="240" w:lineRule="auto"/>
              <w:jc w:val="both"/>
              <w:rPr>
                <w:color w:val="000000" w:themeColor="text1"/>
              </w:rPr>
            </w:pPr>
            <w:r w:rsidRPr="00E70A11">
              <w:rPr>
                <w:color w:val="000000" w:themeColor="text1"/>
              </w:rPr>
              <w:t>trestle structures</w:t>
            </w:r>
          </w:p>
          <w:p w14:paraId="5761FDA4" w14:textId="77777777" w:rsidR="00A56EE9" w:rsidRPr="00E70A11" w:rsidRDefault="00A56EE9" w:rsidP="00A11869">
            <w:pPr>
              <w:pStyle w:val="ListBullet"/>
              <w:numPr>
                <w:ilvl w:val="0"/>
                <w:numId w:val="130"/>
              </w:numPr>
              <w:autoSpaceDE w:val="0"/>
              <w:autoSpaceDN w:val="0"/>
              <w:adjustRightInd w:val="0"/>
              <w:spacing w:line="240" w:lineRule="auto"/>
              <w:jc w:val="both"/>
              <w:rPr>
                <w:color w:val="000000" w:themeColor="text1"/>
              </w:rPr>
            </w:pPr>
            <w:r w:rsidRPr="00E70A11">
              <w:rPr>
                <w:color w:val="000000" w:themeColor="text1"/>
              </w:rPr>
              <w:t>dredging and sea dumping of dredge material</w:t>
            </w:r>
          </w:p>
          <w:p w14:paraId="5761FDA5" w14:textId="77777777" w:rsidR="00A56EE9" w:rsidRPr="00E70A11" w:rsidRDefault="00A56EE9" w:rsidP="00A11869">
            <w:pPr>
              <w:pStyle w:val="ListBullet"/>
              <w:numPr>
                <w:ilvl w:val="0"/>
                <w:numId w:val="130"/>
              </w:numPr>
              <w:autoSpaceDE w:val="0"/>
              <w:autoSpaceDN w:val="0"/>
              <w:adjustRightInd w:val="0"/>
              <w:spacing w:line="240" w:lineRule="auto"/>
              <w:jc w:val="both"/>
              <w:rPr>
                <w:color w:val="000000" w:themeColor="text1"/>
              </w:rPr>
            </w:pPr>
            <w:r w:rsidRPr="00E70A11">
              <w:rPr>
                <w:color w:val="000000" w:themeColor="text1"/>
              </w:rPr>
              <w:t>storage and waste facilities, cargo holding facilities, stockpiles</w:t>
            </w:r>
          </w:p>
          <w:p w14:paraId="5761FDA6" w14:textId="77777777" w:rsidR="00A56EE9" w:rsidRPr="00E70A11" w:rsidRDefault="00A56EE9" w:rsidP="00A11869">
            <w:pPr>
              <w:pStyle w:val="ListBullet"/>
              <w:numPr>
                <w:ilvl w:val="0"/>
                <w:numId w:val="130"/>
              </w:numPr>
              <w:autoSpaceDE w:val="0"/>
              <w:autoSpaceDN w:val="0"/>
              <w:adjustRightInd w:val="0"/>
              <w:spacing w:line="240" w:lineRule="auto"/>
              <w:jc w:val="both"/>
              <w:rPr>
                <w:color w:val="000000" w:themeColor="text1"/>
              </w:rPr>
            </w:pPr>
            <w:r w:rsidRPr="00E70A11">
              <w:rPr>
                <w:color w:val="000000" w:themeColor="text1"/>
              </w:rPr>
              <w:t xml:space="preserve">safety and navigational aids and lighting </w:t>
            </w:r>
          </w:p>
          <w:p w14:paraId="5761FDA7" w14:textId="77777777" w:rsidR="00A56EE9" w:rsidRPr="00E70A11" w:rsidRDefault="00A56EE9" w:rsidP="00A11869">
            <w:pPr>
              <w:pStyle w:val="ListBullet"/>
              <w:numPr>
                <w:ilvl w:val="0"/>
                <w:numId w:val="130"/>
              </w:numPr>
              <w:autoSpaceDE w:val="0"/>
              <w:autoSpaceDN w:val="0"/>
              <w:adjustRightInd w:val="0"/>
              <w:spacing w:line="240" w:lineRule="auto"/>
              <w:jc w:val="both"/>
              <w:rPr>
                <w:color w:val="000000" w:themeColor="text1"/>
              </w:rPr>
            </w:pPr>
            <w:r w:rsidRPr="00E70A11">
              <w:rPr>
                <w:color w:val="000000" w:themeColor="text1"/>
              </w:rPr>
              <w:t>monitoring buoys</w:t>
            </w:r>
          </w:p>
          <w:p w14:paraId="5761FDA8" w14:textId="77777777" w:rsidR="00A56EE9" w:rsidRPr="00E70A11" w:rsidRDefault="00A56EE9" w:rsidP="00A11869">
            <w:pPr>
              <w:pStyle w:val="ListBullet"/>
              <w:numPr>
                <w:ilvl w:val="0"/>
                <w:numId w:val="130"/>
              </w:numPr>
              <w:autoSpaceDE w:val="0"/>
              <w:autoSpaceDN w:val="0"/>
              <w:adjustRightInd w:val="0"/>
              <w:spacing w:line="240" w:lineRule="auto"/>
              <w:jc w:val="both"/>
              <w:rPr>
                <w:color w:val="000000" w:themeColor="text1"/>
              </w:rPr>
            </w:pPr>
            <w:r w:rsidRPr="00E70A11">
              <w:rPr>
                <w:color w:val="000000" w:themeColor="text1"/>
              </w:rPr>
              <w:t xml:space="preserve">port services vessels and ship berths </w:t>
            </w:r>
          </w:p>
          <w:p w14:paraId="5761FDA9" w14:textId="77777777" w:rsidR="00A56EE9" w:rsidRPr="00E70A11" w:rsidRDefault="00A56EE9" w:rsidP="00A11869">
            <w:pPr>
              <w:pStyle w:val="ListBullet"/>
              <w:numPr>
                <w:ilvl w:val="0"/>
                <w:numId w:val="130"/>
              </w:numPr>
              <w:autoSpaceDE w:val="0"/>
              <w:autoSpaceDN w:val="0"/>
              <w:adjustRightInd w:val="0"/>
              <w:spacing w:line="240" w:lineRule="auto"/>
              <w:jc w:val="both"/>
              <w:rPr>
                <w:color w:val="000000" w:themeColor="text1"/>
              </w:rPr>
            </w:pPr>
            <w:proofErr w:type="gramStart"/>
            <w:r w:rsidRPr="00E70A11">
              <w:rPr>
                <w:color w:val="000000" w:themeColor="text1"/>
              </w:rPr>
              <w:t>ship</w:t>
            </w:r>
            <w:proofErr w:type="gramEnd"/>
            <w:r w:rsidRPr="00E70A11">
              <w:rPr>
                <w:color w:val="000000" w:themeColor="text1"/>
              </w:rPr>
              <w:t xml:space="preserve"> departure channels and anchorages.</w:t>
            </w:r>
          </w:p>
          <w:p w14:paraId="5761FDAA" w14:textId="77777777" w:rsidR="00A56EE9" w:rsidRPr="00E931E7" w:rsidRDefault="00A56EE9" w:rsidP="00A11869">
            <w:pPr>
              <w:pStyle w:val="ListBullet"/>
              <w:numPr>
                <w:ilvl w:val="0"/>
                <w:numId w:val="129"/>
              </w:numPr>
              <w:autoSpaceDE w:val="0"/>
              <w:autoSpaceDN w:val="0"/>
              <w:adjustRightInd w:val="0"/>
              <w:spacing w:line="240" w:lineRule="auto"/>
              <w:ind w:left="322" w:hanging="283"/>
              <w:rPr>
                <w:rFonts w:eastAsia="Arial-BoldMT"/>
                <w:sz w:val="20"/>
              </w:rPr>
            </w:pPr>
            <w:r w:rsidRPr="00E931E7">
              <w:rPr>
                <w:rFonts w:eastAsia="Arial-BoldMT" w:cs="Arial"/>
                <w:szCs w:val="16"/>
              </w:rPr>
              <w:t xml:space="preserve">Port activities and port developments are amongst the most tightly regulated activities, especially in the GBR region. </w:t>
            </w:r>
          </w:p>
          <w:p w14:paraId="5761FDAB" w14:textId="77777777" w:rsidR="00A56EE9" w:rsidRPr="00E70A11" w:rsidRDefault="00A56EE9" w:rsidP="00A11869">
            <w:pPr>
              <w:pStyle w:val="ListBullet"/>
              <w:numPr>
                <w:ilvl w:val="0"/>
                <w:numId w:val="129"/>
              </w:numPr>
              <w:autoSpaceDE w:val="0"/>
              <w:autoSpaceDN w:val="0"/>
              <w:adjustRightInd w:val="0"/>
              <w:spacing w:line="240" w:lineRule="auto"/>
              <w:ind w:left="322" w:hanging="283"/>
              <w:rPr>
                <w:rFonts w:eastAsia="Arial-BoldMT"/>
              </w:rPr>
            </w:pPr>
            <w:r w:rsidRPr="00E70A11">
              <w:rPr>
                <w:rFonts w:eastAsia="Arial-BoldMT"/>
              </w:rPr>
              <w:t>Port developers, assessment/approval regulators and operating authorities have an effective understanding of the impacts (direct, indirect and cumulative) associated with ports.</w:t>
            </w:r>
          </w:p>
          <w:p w14:paraId="5761FDAC" w14:textId="77777777" w:rsidR="00A56EE9" w:rsidRPr="00E70A11" w:rsidRDefault="00A56EE9" w:rsidP="00A11869">
            <w:pPr>
              <w:pStyle w:val="ListBullet"/>
              <w:numPr>
                <w:ilvl w:val="0"/>
                <w:numId w:val="129"/>
              </w:numPr>
              <w:autoSpaceDE w:val="0"/>
              <w:autoSpaceDN w:val="0"/>
              <w:adjustRightInd w:val="0"/>
              <w:spacing w:line="240" w:lineRule="auto"/>
              <w:ind w:left="322" w:hanging="283"/>
              <w:rPr>
                <w:rFonts w:eastAsia="Arial-BoldMT"/>
              </w:rPr>
            </w:pPr>
            <w:r w:rsidRPr="00E70A11">
              <w:rPr>
                <w:rFonts w:eastAsia="Arial-BoldMT"/>
              </w:rPr>
              <w:t>It is reasonable to consider, however, that GBRMPA has not articulated a succinct, clear understanding of the environmental implications of the development and operation of ports, or how these may affect processes and values of the Marine Park and World Heritage Area. Consequently, GBRMPA efforts to contribute to the management of these effects themselves, or influence their management by others, is compromised and arguably results in inefficient allocation of available resources. For example, some key issues related to port development and operations not readily apparent in GBRMPA deliberations are related to issues such as status and habitat requirements of inshore dolphins, management of actual (as opposed to perceived) risks from underwater noise, and the possible effects of altered light regimes, although some work to improve understanding of these and similar matters has been implemented since 2013.</w:t>
            </w:r>
          </w:p>
          <w:p w14:paraId="5761FDAD" w14:textId="77777777" w:rsidR="00A56EE9" w:rsidRPr="00E70A11" w:rsidRDefault="00A56EE9" w:rsidP="00A11869">
            <w:pPr>
              <w:pStyle w:val="ListBullet"/>
              <w:numPr>
                <w:ilvl w:val="0"/>
                <w:numId w:val="129"/>
              </w:numPr>
              <w:autoSpaceDE w:val="0"/>
              <w:autoSpaceDN w:val="0"/>
              <w:adjustRightInd w:val="0"/>
              <w:spacing w:line="240" w:lineRule="auto"/>
              <w:ind w:left="322" w:hanging="283"/>
              <w:rPr>
                <w:rFonts w:eastAsia="Arial-BoldMT"/>
              </w:rPr>
            </w:pPr>
            <w:r w:rsidRPr="00E70A11">
              <w:rPr>
                <w:rFonts w:eastAsia="Arial-BoldMT"/>
              </w:rPr>
              <w:t>There remains a key focus within GBRMPA upon dredging. Given the development and implementation of new regulations and policies for dredging and spoil disposal within the GBR since 2013, it may be anticipated that GBRMPA will have latitude to gain a broader appreciation of port activities and implications for management of the WHA.</w:t>
            </w:r>
          </w:p>
          <w:p w14:paraId="5761FDAE" w14:textId="77777777" w:rsidR="00A56EE9" w:rsidRPr="00E70A11" w:rsidRDefault="00A56EE9" w:rsidP="00A11869">
            <w:pPr>
              <w:pStyle w:val="ListBullet"/>
              <w:numPr>
                <w:ilvl w:val="0"/>
                <w:numId w:val="129"/>
              </w:numPr>
              <w:autoSpaceDE w:val="0"/>
              <w:autoSpaceDN w:val="0"/>
              <w:adjustRightInd w:val="0"/>
              <w:spacing w:line="240" w:lineRule="auto"/>
              <w:ind w:left="322" w:hanging="283"/>
              <w:rPr>
                <w:rFonts w:eastAsia="Arial-BoldMT"/>
              </w:rPr>
            </w:pPr>
            <w:r w:rsidRPr="00E70A11">
              <w:rPr>
                <w:rFonts w:eastAsia="Arial-BoldMT"/>
              </w:rPr>
              <w:t>Port Authorities have implemented actions to understand the port sediment characteristics at the four major ports and how sediment interacts and contributes to broader catchment contributions within the WHA.</w:t>
            </w:r>
          </w:p>
          <w:p w14:paraId="5761FDB0" w14:textId="055F18E4" w:rsidR="00A56EE9" w:rsidRPr="00D333A7" w:rsidRDefault="00A56EE9" w:rsidP="00BB6AD5">
            <w:pPr>
              <w:pStyle w:val="ListBullet"/>
              <w:numPr>
                <w:ilvl w:val="0"/>
                <w:numId w:val="129"/>
              </w:numPr>
              <w:autoSpaceDE w:val="0"/>
              <w:autoSpaceDN w:val="0"/>
              <w:adjustRightInd w:val="0"/>
              <w:spacing w:line="240" w:lineRule="auto"/>
              <w:ind w:left="322" w:hanging="283"/>
              <w:rPr>
                <w:color w:val="000000" w:themeColor="text1"/>
              </w:rPr>
            </w:pPr>
            <w:r>
              <w:rPr>
                <w:color w:val="000000" w:themeColor="text1"/>
              </w:rPr>
              <w:t>Port actions within the Reef 2050 Plan are well documente</w:t>
            </w:r>
            <w:r w:rsidR="00F61C12">
              <w:rPr>
                <w:color w:val="000000" w:themeColor="text1"/>
              </w:rPr>
              <w:t>d</w:t>
            </w:r>
          </w:p>
        </w:tc>
        <w:tc>
          <w:tcPr>
            <w:tcW w:w="5066" w:type="dxa"/>
            <w:tcBorders>
              <w:top w:val="single" w:sz="4" w:space="0" w:color="auto"/>
              <w:left w:val="single" w:sz="4" w:space="0" w:color="auto"/>
              <w:bottom w:val="single" w:sz="4" w:space="0" w:color="auto"/>
              <w:right w:val="single" w:sz="4" w:space="0" w:color="auto"/>
            </w:tcBorders>
          </w:tcPr>
          <w:p w14:paraId="5761FDB1"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244" w:history="1">
              <w:r w:rsidR="00A56EE9" w:rsidRPr="00E70A11">
                <w:rPr>
                  <w:rStyle w:val="Hyperlink"/>
                  <w:rFonts w:ascii="Arial Narrow" w:hAnsi="Arial Narrow" w:cs="Times New Roman"/>
                  <w:color w:val="000000" w:themeColor="text1"/>
                  <w:sz w:val="18"/>
                  <w:szCs w:val="18"/>
                  <w:lang w:val="en"/>
                </w:rPr>
                <w:t>GBR Region Strategic Assessment Report</w:t>
              </w:r>
            </w:hyperlink>
            <w:r w:rsidR="00A56EE9" w:rsidRPr="00E70A11">
              <w:rPr>
                <w:rStyle w:val="Hyperlink"/>
                <w:rFonts w:ascii="Arial Narrow" w:hAnsi="Arial Narrow"/>
                <w:color w:val="000000" w:themeColor="text1"/>
                <w:sz w:val="18"/>
                <w:szCs w:val="18"/>
              </w:rPr>
              <w:t xml:space="preserve"> (2014)</w:t>
            </w:r>
          </w:p>
          <w:p w14:paraId="5761FDB2"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EPBC </w:t>
            </w:r>
            <w:hyperlink r:id="rId1245" w:history="1">
              <w:r w:rsidRPr="00E70A11">
                <w:rPr>
                  <w:rStyle w:val="Hyperlink"/>
                  <w:rFonts w:ascii="Arial Narrow" w:hAnsi="Arial Narrow"/>
                  <w:color w:val="000000" w:themeColor="text1"/>
                  <w:sz w:val="18"/>
                  <w:szCs w:val="18"/>
                  <w:lang w:val="en"/>
                </w:rPr>
                <w:t>Act development proposals</w:t>
              </w:r>
            </w:hyperlink>
          </w:p>
          <w:p w14:paraId="5761FDB3"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46" w:history="1">
              <w:r w:rsidR="00A56EE9" w:rsidRPr="00E70A11">
                <w:rPr>
                  <w:rStyle w:val="Hyperlink"/>
                  <w:rFonts w:ascii="Arial Narrow" w:hAnsi="Arial Narrow"/>
                  <w:color w:val="000000" w:themeColor="text1"/>
                  <w:sz w:val="18"/>
                  <w:szCs w:val="18"/>
                </w:rPr>
                <w:t>State Planning Policy</w:t>
              </w:r>
            </w:hyperlink>
          </w:p>
          <w:p w14:paraId="5761FDB4"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47" w:history="1">
              <w:r w:rsidR="00A56EE9" w:rsidRPr="00E70A11">
                <w:rPr>
                  <w:rStyle w:val="Hyperlink"/>
                  <w:rFonts w:ascii="Arial Narrow" w:hAnsi="Arial Narrow"/>
                  <w:color w:val="000000" w:themeColor="text1"/>
                  <w:sz w:val="18"/>
                  <w:szCs w:val="18"/>
                </w:rPr>
                <w:t>Final (scheduled) materials under the EPP Water are on the EHP</w:t>
              </w:r>
            </w:hyperlink>
            <w:r w:rsidR="00A56EE9" w:rsidRPr="00E70A11">
              <w:rPr>
                <w:rFonts w:ascii="Arial Narrow" w:hAnsi="Arial Narrow"/>
                <w:color w:val="000000" w:themeColor="text1"/>
                <w:sz w:val="18"/>
                <w:szCs w:val="18"/>
              </w:rPr>
              <w:t xml:space="preserve"> </w:t>
            </w:r>
          </w:p>
          <w:p w14:paraId="5761FDB5"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48" w:history="1">
              <w:r w:rsidR="00A56EE9" w:rsidRPr="00E70A11">
                <w:rPr>
                  <w:rStyle w:val="Hyperlink"/>
                  <w:rFonts w:ascii="Arial Narrow" w:hAnsi="Arial Narrow"/>
                  <w:color w:val="000000" w:themeColor="text1"/>
                  <w:sz w:val="18"/>
                  <w:szCs w:val="18"/>
                </w:rPr>
                <w:t>Sustainable Ports Development Act 2015</w:t>
              </w:r>
            </w:hyperlink>
          </w:p>
          <w:p w14:paraId="5761FDB6"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249" w:history="1">
              <w:r w:rsidR="00A56EE9" w:rsidRPr="00E70A11">
                <w:rPr>
                  <w:rStyle w:val="Hyperlink"/>
                  <w:rFonts w:ascii="Arial Narrow" w:hAnsi="Arial Narrow"/>
                  <w:color w:val="000000" w:themeColor="text1"/>
                  <w:sz w:val="18"/>
                  <w:szCs w:val="18"/>
                </w:rPr>
                <w:t>Synthesis of current knowledge of the biophysical impacts of dredging and disposal on the Great Barrier Reef: report of an independent panel of experts</w:t>
              </w:r>
            </w:hyperlink>
          </w:p>
          <w:p w14:paraId="5761FDB7"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50" w:history="1">
              <w:r w:rsidR="00A56EE9" w:rsidRPr="00E70A11">
                <w:rPr>
                  <w:rStyle w:val="Hyperlink"/>
                  <w:rFonts w:ascii="Arial Narrow" w:hAnsi="Arial Narrow"/>
                  <w:color w:val="000000" w:themeColor="text1"/>
                  <w:sz w:val="18"/>
                  <w:szCs w:val="18"/>
                </w:rPr>
                <w:t>Dredge and dredge spoilt material disposal policy</w:t>
              </w:r>
            </w:hyperlink>
          </w:p>
          <w:p w14:paraId="5761FDB8"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51" w:history="1">
              <w:r w:rsidR="00A56EE9" w:rsidRPr="00E70A11">
                <w:rPr>
                  <w:rStyle w:val="Hyperlink"/>
                  <w:rFonts w:ascii="Arial Narrow" w:hAnsi="Arial Narrow"/>
                  <w:color w:val="000000" w:themeColor="text1"/>
                  <w:sz w:val="18"/>
                  <w:szCs w:val="18"/>
                </w:rPr>
                <w:t>Dredging coral reef habitats</w:t>
              </w:r>
            </w:hyperlink>
          </w:p>
          <w:p w14:paraId="5761FDB9"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52" w:history="1">
              <w:r w:rsidR="00A56EE9" w:rsidRPr="00E70A11">
                <w:rPr>
                  <w:rStyle w:val="Hyperlink"/>
                  <w:rFonts w:ascii="Arial Narrow" w:hAnsi="Arial Narrow"/>
                  <w:color w:val="000000" w:themeColor="text1"/>
                  <w:sz w:val="18"/>
                  <w:szCs w:val="18"/>
                </w:rPr>
                <w:t>Improved Dredge Material Management for the GBR Region</w:t>
              </w:r>
            </w:hyperlink>
          </w:p>
          <w:p w14:paraId="5761FDBA"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Great Barrier Reef Marine Park Regulations 1983 Regulation 88RA – ban on capital dredging</w:t>
            </w:r>
          </w:p>
          <w:p w14:paraId="5761FDBB"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253" w:history="1">
              <w:r w:rsidR="00A56EE9" w:rsidRPr="00E70A11">
                <w:rPr>
                  <w:rStyle w:val="Hyperlink"/>
                  <w:rFonts w:ascii="Arial Narrow" w:hAnsi="Arial Narrow"/>
                  <w:color w:val="000000" w:themeColor="text1"/>
                  <w:sz w:val="18"/>
                  <w:szCs w:val="18"/>
                </w:rPr>
                <w:t>Deemed applications under the EPBC Act</w:t>
              </w:r>
            </w:hyperlink>
          </w:p>
          <w:p w14:paraId="5761FDBC"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54" w:history="1">
              <w:r w:rsidR="00A56EE9" w:rsidRPr="00E70A11">
                <w:rPr>
                  <w:rStyle w:val="Hyperlink"/>
                  <w:rFonts w:ascii="Arial Narrow" w:hAnsi="Arial Narrow"/>
                  <w:color w:val="000000" w:themeColor="text1"/>
                  <w:sz w:val="18"/>
                  <w:szCs w:val="18"/>
                </w:rPr>
                <w:t>Net Benefits Policy</w:t>
              </w:r>
            </w:hyperlink>
            <w:r w:rsidR="00A56EE9" w:rsidRPr="00E70A11">
              <w:rPr>
                <w:rFonts w:ascii="Arial Narrow" w:hAnsi="Arial Narrow"/>
                <w:color w:val="000000" w:themeColor="text1"/>
                <w:sz w:val="18"/>
                <w:szCs w:val="18"/>
              </w:rPr>
              <w:t xml:space="preserve"> – draft for consultation</w:t>
            </w:r>
          </w:p>
          <w:p w14:paraId="5761FDBD"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55" w:history="1">
              <w:r w:rsidR="00A56EE9" w:rsidRPr="00E70A11">
                <w:rPr>
                  <w:rStyle w:val="Hyperlink"/>
                  <w:rFonts w:ascii="Arial Narrow" w:hAnsi="Arial Narrow"/>
                  <w:color w:val="000000" w:themeColor="text1"/>
                  <w:sz w:val="18"/>
                  <w:szCs w:val="18"/>
                </w:rPr>
                <w:t>Offset Guidelines for the GBR</w:t>
              </w:r>
            </w:hyperlink>
            <w:r w:rsidR="00A56EE9" w:rsidRPr="00E70A11">
              <w:rPr>
                <w:rFonts w:ascii="Arial Narrow" w:hAnsi="Arial Narrow"/>
                <w:color w:val="000000" w:themeColor="text1"/>
                <w:sz w:val="18"/>
                <w:szCs w:val="18"/>
              </w:rPr>
              <w:t xml:space="preserve"> – internal document, uploaded to Portal</w:t>
            </w:r>
          </w:p>
          <w:p w14:paraId="5761FDBE"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56" w:history="1">
              <w:r w:rsidR="00A56EE9" w:rsidRPr="00E70A11">
                <w:rPr>
                  <w:rStyle w:val="Hyperlink"/>
                  <w:rFonts w:ascii="Arial Narrow" w:hAnsi="Arial Narrow"/>
                  <w:color w:val="000000" w:themeColor="text1"/>
                  <w:sz w:val="18"/>
                  <w:szCs w:val="18"/>
                </w:rPr>
                <w:t>Cumulative Impact management policy</w:t>
              </w:r>
            </w:hyperlink>
          </w:p>
          <w:p w14:paraId="5761FDBF"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257" w:history="1">
              <w:r w:rsidR="00A56EE9" w:rsidRPr="00E70A11">
                <w:rPr>
                  <w:rStyle w:val="Hyperlink"/>
                  <w:rFonts w:ascii="Arial Narrow" w:hAnsi="Arial Narrow"/>
                  <w:color w:val="000000" w:themeColor="text1"/>
                  <w:sz w:val="18"/>
                  <w:szCs w:val="18"/>
                  <w:lang w:val="en"/>
                </w:rPr>
                <w:t>Abbot Point Cumulative Impact Assessment</w:t>
              </w:r>
            </w:hyperlink>
          </w:p>
          <w:p w14:paraId="5761FDC0"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58" w:history="1">
              <w:r w:rsidR="00A56EE9" w:rsidRPr="00E70A11">
                <w:rPr>
                  <w:rStyle w:val="Hyperlink"/>
                  <w:rFonts w:ascii="Arial Narrow" w:hAnsi="Arial Narrow"/>
                  <w:i/>
                  <w:iCs/>
                  <w:color w:val="000000" w:themeColor="text1"/>
                  <w:sz w:val="18"/>
                  <w:szCs w:val="18"/>
                </w:rPr>
                <w:t>Dredging and Australian Ports – tropical and subtropical ports</w:t>
              </w:r>
            </w:hyperlink>
          </w:p>
          <w:p w14:paraId="5761FDC1"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59" w:history="1">
              <w:r w:rsidR="00A56EE9" w:rsidRPr="00E70A11">
                <w:rPr>
                  <w:rStyle w:val="Hyperlink"/>
                  <w:rFonts w:ascii="Arial Narrow" w:hAnsi="Arial Narrow"/>
                  <w:i/>
                  <w:iCs/>
                  <w:color w:val="000000" w:themeColor="text1"/>
                  <w:sz w:val="18"/>
                  <w:szCs w:val="18"/>
                </w:rPr>
                <w:t>Environmental Code of Practice for Dredging and Dredge Material Management</w:t>
              </w:r>
            </w:hyperlink>
          </w:p>
          <w:p w14:paraId="5761FDC2"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McRae, M 2014, 'Turtle tagging to help assess Gladstone dredging risks', Ecos, no. 193, pp. 17-18.</w:t>
            </w:r>
          </w:p>
          <w:p w14:paraId="5761FDC3"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Email sent on 13 Dec 17 by Sonia Gorgula detailing study.</w:t>
            </w:r>
          </w:p>
          <w:p w14:paraId="5761FDC4"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Biosecurity Capability Review - Final Report, September 2015.</w:t>
            </w:r>
          </w:p>
          <w:p w14:paraId="5761FDC5"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Biosecurity Capability Review Interim Response, Department of Agriculture and Fisheries, 2016.</w:t>
            </w:r>
          </w:p>
          <w:p w14:paraId="5761FDC6"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260" w:history="1">
              <w:r w:rsidR="00A56EE9" w:rsidRPr="00E70A11">
                <w:rPr>
                  <w:rStyle w:val="Hyperlink"/>
                  <w:rFonts w:ascii="Arial Narrow" w:hAnsi="Arial Narrow"/>
                  <w:color w:val="000000" w:themeColor="text1"/>
                  <w:sz w:val="18"/>
                  <w:szCs w:val="18"/>
                </w:rPr>
                <w:t>Reef Trust Offsets Calculator</w:t>
              </w:r>
            </w:hyperlink>
          </w:p>
          <w:p w14:paraId="5761FDC7" w14:textId="77777777" w:rsidR="00A56EE9" w:rsidRPr="00E70A11" w:rsidRDefault="00A56EE9" w:rsidP="00BB6AD5">
            <w:pPr>
              <w:pStyle w:val="ListParagraph"/>
              <w:ind w:left="360"/>
              <w:rPr>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DC8"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DC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DE2"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DCB"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ports are understood by managers.</w:t>
            </w:r>
          </w:p>
        </w:tc>
        <w:tc>
          <w:tcPr>
            <w:tcW w:w="790" w:type="dxa"/>
            <w:tcBorders>
              <w:top w:val="single" w:sz="4" w:space="0" w:color="auto"/>
              <w:left w:val="single" w:sz="4" w:space="0" w:color="auto"/>
              <w:bottom w:val="single" w:sz="4" w:space="0" w:color="auto"/>
              <w:right w:val="single" w:sz="4" w:space="0" w:color="auto"/>
            </w:tcBorders>
          </w:tcPr>
          <w:p w14:paraId="5761FDCC"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DCD" w14:textId="77777777" w:rsidR="00A56EE9" w:rsidRPr="00097DC7" w:rsidRDefault="00A56EE9" w:rsidP="00A11869">
            <w:pPr>
              <w:pStyle w:val="ListBullet"/>
              <w:numPr>
                <w:ilvl w:val="0"/>
                <w:numId w:val="96"/>
              </w:numPr>
              <w:autoSpaceDE w:val="0"/>
              <w:autoSpaceDN w:val="0"/>
              <w:adjustRightInd w:val="0"/>
              <w:spacing w:line="240" w:lineRule="auto"/>
            </w:pPr>
            <w:r w:rsidRPr="00097DC7">
              <w:t>These influences are well understood by port operators and managers.</w:t>
            </w:r>
          </w:p>
          <w:p w14:paraId="5761FDCE" w14:textId="77777777" w:rsidR="00A56EE9" w:rsidRPr="00097DC7" w:rsidRDefault="00A56EE9" w:rsidP="00A11869">
            <w:pPr>
              <w:pStyle w:val="ListParagraph"/>
              <w:numPr>
                <w:ilvl w:val="0"/>
                <w:numId w:val="96"/>
              </w:numPr>
              <w:autoSpaceDE w:val="0"/>
              <w:autoSpaceDN w:val="0"/>
              <w:adjustRightInd w:val="0"/>
              <w:spacing w:after="0" w:line="240" w:lineRule="auto"/>
              <w:rPr>
                <w:rFonts w:ascii="Arial Narrow" w:hAnsi="Arial Narrow" w:cs="ArialMT"/>
                <w:sz w:val="18"/>
                <w:szCs w:val="18"/>
              </w:rPr>
            </w:pPr>
            <w:r w:rsidRPr="00097DC7">
              <w:rPr>
                <w:rFonts w:ascii="Arial Narrow" w:hAnsi="Arial Narrow" w:cs="ArialMT"/>
                <w:sz w:val="18"/>
                <w:szCs w:val="18"/>
              </w:rPr>
              <w:t>GBR Port Authorities are active members of Ports Australia fora and regularly attend international workshops and participate in international working groups such as the World Association for Waterborne Transport Infrastructure (PIANC). Information gained from these working groups is routinely shared with regulators, including GBRMPA.</w:t>
            </w:r>
          </w:p>
          <w:p w14:paraId="5761FDCF" w14:textId="77777777" w:rsidR="00A56EE9" w:rsidRPr="00093CB1" w:rsidRDefault="00A56EE9" w:rsidP="00A11869">
            <w:pPr>
              <w:pStyle w:val="ListBullet"/>
              <w:numPr>
                <w:ilvl w:val="0"/>
                <w:numId w:val="96"/>
              </w:numPr>
              <w:autoSpaceDE w:val="0"/>
              <w:autoSpaceDN w:val="0"/>
              <w:adjustRightInd w:val="0"/>
              <w:spacing w:line="240" w:lineRule="auto"/>
              <w:rPr>
                <w:rFonts w:cs="Arial"/>
                <w:szCs w:val="16"/>
              </w:rPr>
            </w:pPr>
            <w:r w:rsidRPr="00093CB1">
              <w:rPr>
                <w:rFonts w:cs="Arial"/>
                <w:szCs w:val="16"/>
              </w:rPr>
              <w:t>Port Authorities are active members of Ports Australia forums and PIANC working groups that are involved in global exchanges of information, development of papers and guidelines. Australian ports are considered highly for their technical knowledge and involvement with global port community.</w:t>
            </w:r>
          </w:p>
          <w:p w14:paraId="5761FDD0" w14:textId="77777777" w:rsidR="00A56EE9" w:rsidRPr="00097DC7" w:rsidRDefault="00A56EE9" w:rsidP="00A11869">
            <w:pPr>
              <w:pStyle w:val="ListBullet"/>
              <w:numPr>
                <w:ilvl w:val="0"/>
                <w:numId w:val="96"/>
              </w:numPr>
              <w:autoSpaceDE w:val="0"/>
              <w:autoSpaceDN w:val="0"/>
              <w:adjustRightInd w:val="0"/>
              <w:spacing w:line="240" w:lineRule="auto"/>
            </w:pPr>
            <w:r w:rsidRPr="00097DC7">
              <w:t>The draft of ships is a significant factor limiting navigable waterways, and the worldwide trend towards longer, deeper draft ships affects port access requirements. In order to accommodate deeper draft ships, some ports may require more capital and ongoing maintenance dredging into the future. Larger ships, can however, offer net environmental performance benefits in comparison with a greater number of smaller ships moving the same volume of cargo.</w:t>
            </w:r>
          </w:p>
          <w:p w14:paraId="5761FDD1" w14:textId="77777777" w:rsidR="00A56EE9" w:rsidRPr="00097DC7" w:rsidRDefault="00A56EE9" w:rsidP="00A11869">
            <w:pPr>
              <w:pStyle w:val="ListParagraph"/>
              <w:numPr>
                <w:ilvl w:val="0"/>
                <w:numId w:val="96"/>
              </w:numPr>
              <w:spacing w:after="0" w:line="240" w:lineRule="auto"/>
              <w:jc w:val="both"/>
              <w:rPr>
                <w:rFonts w:ascii="Arial Narrow" w:hAnsi="Arial Narrow"/>
                <w:sz w:val="18"/>
                <w:szCs w:val="18"/>
              </w:rPr>
            </w:pPr>
            <w:r w:rsidRPr="00097DC7">
              <w:rPr>
                <w:rFonts w:ascii="Arial Narrow" w:hAnsi="Arial Narrow"/>
                <w:sz w:val="18"/>
                <w:szCs w:val="18"/>
              </w:rPr>
              <w:t>Australia is a comparatively small trading nation on the world scale and has minimal influence upon global shipping trends driven by much larger ports with significantly higher trade volumes.</w:t>
            </w:r>
          </w:p>
          <w:p w14:paraId="5761FDD2" w14:textId="77777777" w:rsidR="00A56EE9" w:rsidRPr="00097DC7" w:rsidRDefault="00A56EE9" w:rsidP="00A11869">
            <w:pPr>
              <w:pStyle w:val="ListParagraph"/>
              <w:numPr>
                <w:ilvl w:val="0"/>
                <w:numId w:val="96"/>
              </w:numPr>
              <w:autoSpaceDE w:val="0"/>
              <w:autoSpaceDN w:val="0"/>
              <w:adjustRightInd w:val="0"/>
              <w:spacing w:after="0" w:line="240" w:lineRule="auto"/>
              <w:rPr>
                <w:rFonts w:ascii="Arial Narrow" w:hAnsi="Arial Narrow" w:cs="ArialMT"/>
                <w:sz w:val="18"/>
                <w:szCs w:val="18"/>
              </w:rPr>
            </w:pPr>
            <w:r w:rsidRPr="00097DC7">
              <w:rPr>
                <w:rFonts w:ascii="Arial Narrow" w:hAnsi="Arial Narrow" w:cs="ArialMT"/>
                <w:sz w:val="18"/>
                <w:szCs w:val="18"/>
              </w:rPr>
              <w:t>Ports are active members of the Reef 2050 Advisory Committee and routinely engage with GBRMPA in relation to how they are managing their obligations under Reef 2050. The Committee provides an opportunity for GBRMPA managers to liaise with port representatives on national and international trends in ports and shipping.</w:t>
            </w:r>
          </w:p>
        </w:tc>
        <w:tc>
          <w:tcPr>
            <w:tcW w:w="5066" w:type="dxa"/>
            <w:tcBorders>
              <w:top w:val="single" w:sz="4" w:space="0" w:color="auto"/>
              <w:left w:val="single" w:sz="4" w:space="0" w:color="auto"/>
              <w:bottom w:val="single" w:sz="4" w:space="0" w:color="auto"/>
              <w:right w:val="single" w:sz="4" w:space="0" w:color="auto"/>
            </w:tcBorders>
          </w:tcPr>
          <w:p w14:paraId="5761FDD3" w14:textId="77777777" w:rsidR="00A56EE9" w:rsidRPr="00097DC7" w:rsidRDefault="00A56EE9" w:rsidP="00A11869">
            <w:pPr>
              <w:pStyle w:val="ListParagraph"/>
              <w:numPr>
                <w:ilvl w:val="0"/>
                <w:numId w:val="24"/>
              </w:numPr>
              <w:spacing w:after="200" w:line="276" w:lineRule="auto"/>
              <w:rPr>
                <w:rStyle w:val="Hyperlink"/>
                <w:rFonts w:ascii="Arial Narrow" w:hAnsi="Arial Narrow"/>
                <w:sz w:val="18"/>
                <w:szCs w:val="18"/>
              </w:rPr>
            </w:pPr>
            <w:r w:rsidRPr="00097DC7">
              <w:rPr>
                <w:rStyle w:val="Hyperlink"/>
                <w:rFonts w:ascii="Arial Narrow" w:hAnsi="Arial Narrow"/>
                <w:sz w:val="18"/>
                <w:szCs w:val="18"/>
              </w:rPr>
              <w:t xml:space="preserve">Chapter 5 Drivers and Activities </w:t>
            </w:r>
          </w:p>
          <w:p w14:paraId="5761FDD4" w14:textId="77777777" w:rsidR="00A56EE9" w:rsidRPr="00097DC7" w:rsidRDefault="008B5998" w:rsidP="00A11869">
            <w:pPr>
              <w:pStyle w:val="ListParagraph"/>
              <w:numPr>
                <w:ilvl w:val="0"/>
                <w:numId w:val="24"/>
              </w:numPr>
              <w:spacing w:after="200" w:line="276" w:lineRule="auto"/>
              <w:rPr>
                <w:rFonts w:ascii="Arial Narrow" w:hAnsi="Arial Narrow"/>
                <w:sz w:val="18"/>
                <w:szCs w:val="18"/>
              </w:rPr>
            </w:pPr>
            <w:hyperlink r:id="rId1261" w:history="1">
              <w:r w:rsidR="00A56EE9" w:rsidRPr="00097DC7">
                <w:rPr>
                  <w:rStyle w:val="Hyperlink"/>
                  <w:rFonts w:ascii="Arial Narrow" w:hAnsi="Arial Narrow"/>
                  <w:sz w:val="18"/>
                  <w:szCs w:val="18"/>
                </w:rPr>
                <w:t>Great Barrier Reef Coastal Zone Strategic Assessment</w:t>
              </w:r>
            </w:hyperlink>
            <w:r w:rsidR="00A56EE9" w:rsidRPr="00097DC7">
              <w:rPr>
                <w:rFonts w:ascii="Arial Narrow" w:hAnsi="Arial Narrow"/>
                <w:sz w:val="18"/>
                <w:szCs w:val="18"/>
              </w:rPr>
              <w:t xml:space="preserve"> 2014</w:t>
            </w:r>
          </w:p>
          <w:p w14:paraId="5761FDD5" w14:textId="77777777" w:rsidR="00A56EE9" w:rsidRPr="00097DC7" w:rsidRDefault="008B5998" w:rsidP="00A11869">
            <w:pPr>
              <w:pStyle w:val="ListParagraph"/>
              <w:numPr>
                <w:ilvl w:val="0"/>
                <w:numId w:val="24"/>
              </w:numPr>
              <w:spacing w:after="200" w:line="276" w:lineRule="auto"/>
              <w:rPr>
                <w:rFonts w:ascii="Arial Narrow" w:hAnsi="Arial Narrow"/>
                <w:sz w:val="18"/>
                <w:szCs w:val="18"/>
              </w:rPr>
            </w:pPr>
            <w:hyperlink r:id="rId1262" w:history="1">
              <w:r w:rsidR="00A56EE9" w:rsidRPr="00097DC7">
                <w:rPr>
                  <w:rStyle w:val="Hyperlink"/>
                  <w:rFonts w:ascii="Arial Narrow" w:hAnsi="Arial Narrow"/>
                  <w:sz w:val="18"/>
                  <w:szCs w:val="18"/>
                  <w:lang w:val="en"/>
                </w:rPr>
                <w:t>Environmental best practice port development: an analysis of international approaches</w:t>
              </w:r>
            </w:hyperlink>
            <w:r w:rsidR="00A56EE9" w:rsidRPr="00097DC7">
              <w:rPr>
                <w:rStyle w:val="Hyperlink"/>
                <w:rFonts w:ascii="Arial Narrow" w:hAnsi="Arial Narrow"/>
                <w:sz w:val="18"/>
                <w:szCs w:val="18"/>
                <w:lang w:val="en"/>
              </w:rPr>
              <w:t xml:space="preserve"> (2013) DOEE.</w:t>
            </w:r>
          </w:p>
          <w:p w14:paraId="5761FDD6" w14:textId="77777777" w:rsidR="00A56EE9" w:rsidRPr="00097DC7" w:rsidRDefault="008B5998" w:rsidP="00A11869">
            <w:pPr>
              <w:pStyle w:val="ListParagraph"/>
              <w:numPr>
                <w:ilvl w:val="0"/>
                <w:numId w:val="24"/>
              </w:numPr>
              <w:spacing w:after="200" w:line="276" w:lineRule="auto"/>
              <w:rPr>
                <w:rStyle w:val="Hyperlink"/>
                <w:rFonts w:ascii="Arial Narrow" w:hAnsi="Arial Narrow"/>
                <w:sz w:val="18"/>
                <w:szCs w:val="18"/>
                <w:lang w:val="en"/>
              </w:rPr>
            </w:pPr>
            <w:hyperlink r:id="rId1263" w:history="1">
              <w:r w:rsidR="00A56EE9" w:rsidRPr="00097DC7">
                <w:rPr>
                  <w:rStyle w:val="Hyperlink"/>
                  <w:rFonts w:ascii="Arial Narrow" w:hAnsi="Arial Narrow"/>
                  <w:sz w:val="18"/>
                  <w:szCs w:val="18"/>
                  <w:lang w:val="en"/>
                </w:rPr>
                <w:t>State Party Report on the state of conservation of the Great Barrier Reef World Heritage Area (Australia) 2015</w:t>
              </w:r>
            </w:hyperlink>
          </w:p>
          <w:p w14:paraId="5761FDD7" w14:textId="77777777" w:rsidR="00A56EE9" w:rsidRPr="00097DC7" w:rsidRDefault="008B5998" w:rsidP="00A11869">
            <w:pPr>
              <w:pStyle w:val="ListParagraph"/>
              <w:numPr>
                <w:ilvl w:val="0"/>
                <w:numId w:val="24"/>
              </w:numPr>
              <w:spacing w:after="200" w:line="276" w:lineRule="auto"/>
              <w:rPr>
                <w:rStyle w:val="Hyperlink"/>
                <w:rFonts w:ascii="Arial Narrow" w:hAnsi="Arial Narrow"/>
                <w:sz w:val="18"/>
                <w:szCs w:val="18"/>
                <w:lang w:val="en"/>
              </w:rPr>
            </w:pPr>
            <w:hyperlink r:id="rId1264" w:history="1">
              <w:r w:rsidR="00A56EE9" w:rsidRPr="00097DC7">
                <w:rPr>
                  <w:rStyle w:val="Hyperlink"/>
                  <w:rFonts w:ascii="Arial Narrow" w:hAnsi="Arial Narrow"/>
                  <w:sz w:val="18"/>
                  <w:szCs w:val="18"/>
                  <w:lang w:val="en"/>
                </w:rPr>
                <w:t>Environmental Code of Practice for Dredging and Dredge Material Management</w:t>
              </w:r>
            </w:hyperlink>
            <w:r w:rsidR="00A56EE9" w:rsidRPr="00097DC7">
              <w:rPr>
                <w:rStyle w:val="Hyperlink"/>
                <w:rFonts w:ascii="Arial Narrow" w:hAnsi="Arial Narrow"/>
                <w:sz w:val="18"/>
                <w:szCs w:val="18"/>
                <w:lang w:val="en"/>
              </w:rPr>
              <w:t xml:space="preserve"> – Aug 16</w:t>
            </w:r>
          </w:p>
          <w:p w14:paraId="5761FDD8" w14:textId="77777777" w:rsidR="00A56EE9" w:rsidRPr="00097DC7" w:rsidRDefault="00A56EE9" w:rsidP="00A11869">
            <w:pPr>
              <w:pStyle w:val="ListParagraph"/>
              <w:numPr>
                <w:ilvl w:val="0"/>
                <w:numId w:val="24"/>
              </w:numPr>
              <w:spacing w:after="200" w:line="276" w:lineRule="auto"/>
              <w:rPr>
                <w:rStyle w:val="Hyperlink"/>
                <w:rFonts w:ascii="Arial Narrow" w:hAnsi="Arial Narrow"/>
                <w:sz w:val="18"/>
                <w:szCs w:val="18"/>
                <w:lang w:val="en"/>
              </w:rPr>
            </w:pPr>
            <w:r w:rsidRPr="00097DC7">
              <w:rPr>
                <w:rFonts w:ascii="Arial Narrow" w:hAnsi="Arial Narrow"/>
                <w:sz w:val="18"/>
                <w:szCs w:val="18"/>
                <w:lang w:val="en"/>
              </w:rPr>
              <w:t xml:space="preserve">Deloitte Access Economics Report </w:t>
            </w:r>
            <w:hyperlink r:id="rId1265" w:tooltip="Economic contribution of the Great Barrier Reef March 2013" w:history="1">
              <w:r w:rsidRPr="00097DC7">
                <w:rPr>
                  <w:rStyle w:val="Hyperlink"/>
                  <w:rFonts w:ascii="Arial Narrow" w:hAnsi="Arial Narrow"/>
                  <w:sz w:val="18"/>
                  <w:szCs w:val="18"/>
                  <w:lang w:val="en"/>
                </w:rPr>
                <w:t>Economic contribution of the Great Barrier Reef</w:t>
              </w:r>
            </w:hyperlink>
          </w:p>
          <w:p w14:paraId="5761FDD9" w14:textId="77777777" w:rsidR="00A56EE9" w:rsidRPr="00097DC7" w:rsidRDefault="008B5998" w:rsidP="00A11869">
            <w:pPr>
              <w:pStyle w:val="ListParagraph"/>
              <w:numPr>
                <w:ilvl w:val="0"/>
                <w:numId w:val="24"/>
              </w:numPr>
              <w:spacing w:after="200" w:line="276" w:lineRule="auto"/>
              <w:rPr>
                <w:rFonts w:ascii="Arial Narrow" w:hAnsi="Arial Narrow"/>
                <w:sz w:val="18"/>
                <w:szCs w:val="18"/>
              </w:rPr>
            </w:pPr>
            <w:hyperlink r:id="rId1266" w:history="1">
              <w:r w:rsidR="00A56EE9" w:rsidRPr="00097DC7">
                <w:rPr>
                  <w:rStyle w:val="Hyperlink"/>
                  <w:rFonts w:ascii="Arial Narrow" w:hAnsi="Arial Narrow"/>
                  <w:sz w:val="18"/>
                  <w:szCs w:val="18"/>
                </w:rPr>
                <w:t>Great Barrier Reef Strategic Assessment Report</w:t>
              </w:r>
            </w:hyperlink>
            <w:r w:rsidR="00A56EE9" w:rsidRPr="00097DC7">
              <w:rPr>
                <w:rStyle w:val="BookTitle"/>
                <w:rFonts w:ascii="Arial Narrow" w:hAnsi="Arial Narrow"/>
                <w:sz w:val="18"/>
                <w:szCs w:val="18"/>
              </w:rPr>
              <w:t>, Chapter 5</w:t>
            </w:r>
          </w:p>
          <w:p w14:paraId="5761FDDA" w14:textId="77777777" w:rsidR="00A56EE9" w:rsidRPr="00097DC7" w:rsidRDefault="008B5998" w:rsidP="00A11869">
            <w:pPr>
              <w:pStyle w:val="ListParagraph"/>
              <w:numPr>
                <w:ilvl w:val="0"/>
                <w:numId w:val="24"/>
              </w:numPr>
              <w:spacing w:after="200" w:line="276" w:lineRule="auto"/>
              <w:rPr>
                <w:rFonts w:ascii="Arial Narrow" w:hAnsi="Arial Narrow"/>
                <w:sz w:val="18"/>
                <w:szCs w:val="18"/>
              </w:rPr>
            </w:pPr>
            <w:hyperlink r:id="rId1267" w:history="1">
              <w:r w:rsidR="00A56EE9" w:rsidRPr="00097DC7">
                <w:rPr>
                  <w:rStyle w:val="Hyperlink"/>
                  <w:rFonts w:ascii="Arial Narrow" w:hAnsi="Arial Narrow"/>
                  <w:sz w:val="18"/>
                  <w:szCs w:val="18"/>
                </w:rPr>
                <w:t>Improved dredge material management in the Great Barrier Reef Region</w:t>
              </w:r>
            </w:hyperlink>
          </w:p>
          <w:p w14:paraId="5761FDDB" w14:textId="77777777" w:rsidR="00A56EE9" w:rsidRPr="00097DC7" w:rsidRDefault="008B5998" w:rsidP="00A11869">
            <w:pPr>
              <w:pStyle w:val="ListParagraph"/>
              <w:numPr>
                <w:ilvl w:val="0"/>
                <w:numId w:val="24"/>
              </w:numPr>
              <w:spacing w:after="200" w:line="276" w:lineRule="auto"/>
              <w:rPr>
                <w:rStyle w:val="Hyperlink"/>
                <w:rFonts w:ascii="Arial Narrow" w:hAnsi="Arial Narrow"/>
                <w:sz w:val="18"/>
                <w:szCs w:val="18"/>
              </w:rPr>
            </w:pPr>
            <w:hyperlink r:id="rId1268" w:history="1">
              <w:r w:rsidR="00A56EE9" w:rsidRPr="00097DC7">
                <w:rPr>
                  <w:rStyle w:val="Hyperlink"/>
                  <w:rFonts w:ascii="Arial Narrow" w:hAnsi="Arial Narrow"/>
                  <w:sz w:val="18"/>
                  <w:szCs w:val="18"/>
                </w:rPr>
                <w:t>Environmental best practice port development: an analysis of international approaches</w:t>
              </w:r>
            </w:hyperlink>
          </w:p>
          <w:p w14:paraId="5761FDDC" w14:textId="77777777" w:rsidR="00A56EE9" w:rsidRPr="00097DC7" w:rsidRDefault="00A56EE9" w:rsidP="00A11869">
            <w:pPr>
              <w:pStyle w:val="ListParagraph"/>
              <w:numPr>
                <w:ilvl w:val="0"/>
                <w:numId w:val="24"/>
              </w:numPr>
              <w:spacing w:after="200" w:line="276" w:lineRule="auto"/>
              <w:rPr>
                <w:rStyle w:val="Hyperlink"/>
                <w:sz w:val="16"/>
                <w:szCs w:val="16"/>
              </w:rPr>
            </w:pPr>
            <w:r w:rsidRPr="00097DC7">
              <w:rPr>
                <w:rStyle w:val="Hyperlink"/>
                <w:sz w:val="16"/>
                <w:szCs w:val="16"/>
              </w:rPr>
              <w:t>PIANC</w:t>
            </w:r>
          </w:p>
          <w:p w14:paraId="5761FDDF" w14:textId="0DD6728C" w:rsidR="00A56EE9" w:rsidRPr="00093CB1" w:rsidRDefault="00A56EE9" w:rsidP="00093CB1">
            <w:pPr>
              <w:pStyle w:val="ListParagraph"/>
              <w:numPr>
                <w:ilvl w:val="0"/>
                <w:numId w:val="24"/>
              </w:numPr>
              <w:spacing w:after="200" w:line="276" w:lineRule="auto"/>
              <w:rPr>
                <w:color w:val="0000FF"/>
                <w:sz w:val="16"/>
                <w:szCs w:val="16"/>
                <w:u w:val="single"/>
              </w:rPr>
            </w:pPr>
            <w:r w:rsidRPr="00097DC7">
              <w:rPr>
                <w:rStyle w:val="Hyperlink"/>
                <w:sz w:val="16"/>
                <w:szCs w:val="16"/>
              </w:rPr>
              <w:t>Ports Australi</w:t>
            </w:r>
          </w:p>
        </w:tc>
        <w:tc>
          <w:tcPr>
            <w:tcW w:w="984" w:type="dxa"/>
            <w:tcBorders>
              <w:top w:val="single" w:sz="4" w:space="0" w:color="auto"/>
              <w:left w:val="single" w:sz="4" w:space="0" w:color="auto"/>
              <w:bottom w:val="single" w:sz="4" w:space="0" w:color="auto"/>
              <w:right w:val="single" w:sz="4" w:space="0" w:color="auto"/>
            </w:tcBorders>
          </w:tcPr>
          <w:p w14:paraId="5761FDE0"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DE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DF9"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DE3"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ports are well known by managers.</w:t>
            </w:r>
          </w:p>
        </w:tc>
        <w:tc>
          <w:tcPr>
            <w:tcW w:w="790" w:type="dxa"/>
            <w:tcBorders>
              <w:top w:val="single" w:sz="4" w:space="0" w:color="auto"/>
              <w:left w:val="single" w:sz="4" w:space="0" w:color="auto"/>
              <w:bottom w:val="single" w:sz="4" w:space="0" w:color="auto"/>
              <w:right w:val="single" w:sz="4" w:space="0" w:color="auto"/>
            </w:tcBorders>
          </w:tcPr>
          <w:p w14:paraId="5761FDE4"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DE5" w14:textId="77777777" w:rsidR="00A56EE9" w:rsidRPr="00E70A11" w:rsidRDefault="00A56EE9" w:rsidP="00A11869">
            <w:pPr>
              <w:pStyle w:val="ListParagraph"/>
              <w:numPr>
                <w:ilvl w:val="0"/>
                <w:numId w:val="24"/>
              </w:numPr>
              <w:spacing w:after="200" w:line="276" w:lineRule="auto"/>
              <w:rPr>
                <w:rFonts w:ascii="Arial Narrow" w:eastAsia="SymbolMT" w:hAnsi="Arial Narrow"/>
                <w:color w:val="000000" w:themeColor="text1"/>
                <w:sz w:val="18"/>
                <w:szCs w:val="18"/>
              </w:rPr>
            </w:pPr>
            <w:r w:rsidRPr="00E70A11">
              <w:rPr>
                <w:rFonts w:ascii="Arial Narrow" w:hAnsi="Arial Narrow"/>
                <w:sz w:val="18"/>
                <w:szCs w:val="18"/>
              </w:rPr>
              <w:t>Port operators and management authorities have extensive stakeholder engagement processes.</w:t>
            </w:r>
          </w:p>
          <w:p w14:paraId="5761FDE6" w14:textId="77777777" w:rsidR="00A56EE9" w:rsidRPr="00E70A11" w:rsidDel="00ED33C1" w:rsidRDefault="00A56EE9" w:rsidP="00A11869">
            <w:pPr>
              <w:pStyle w:val="ListParagraph"/>
              <w:numPr>
                <w:ilvl w:val="0"/>
                <w:numId w:val="24"/>
              </w:numPr>
              <w:spacing w:after="200" w:line="276" w:lineRule="auto"/>
              <w:rPr>
                <w:rFonts w:ascii="Arial Narrow" w:hAnsi="Arial Narrow"/>
                <w:sz w:val="18"/>
                <w:szCs w:val="18"/>
              </w:rPr>
            </w:pPr>
            <w:r w:rsidRPr="00E70A11" w:rsidDel="00ED33C1">
              <w:rPr>
                <w:rFonts w:ascii="Arial Narrow" w:hAnsi="Arial Narrow"/>
                <w:sz w:val="18"/>
                <w:szCs w:val="18"/>
              </w:rPr>
              <w:t>It is considered that management objectives would be improved if clear policy for controlling/optimising time that ships spent waiting in anchorages was developed and implemented, noting that time at anchor influences other factors such as aesthetic effects, leaching of anti-fouling paint biocides, reliance upon waste reception services, and similar.</w:t>
            </w:r>
          </w:p>
          <w:p w14:paraId="5761FDE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 accordance with current MoU, Ports and GBRMPA managers hold six-monthly meetings to discuss new policies, management approaches and development issues as they arise.</w:t>
            </w:r>
          </w:p>
          <w:p w14:paraId="5761FDE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GBRMPA and port managers are members of Technical Advisory Consultative Committees (TACCs) at </w:t>
            </w:r>
            <w:r>
              <w:rPr>
                <w:rFonts w:ascii="Arial Narrow" w:hAnsi="Arial Narrow"/>
                <w:sz w:val="18"/>
                <w:szCs w:val="18"/>
              </w:rPr>
              <w:t xml:space="preserve">most </w:t>
            </w:r>
            <w:r w:rsidRPr="00E70A11">
              <w:rPr>
                <w:rFonts w:ascii="Arial Narrow" w:hAnsi="Arial Narrow"/>
                <w:sz w:val="18"/>
                <w:szCs w:val="18"/>
              </w:rPr>
              <w:t>GBRWHA Ports. Ports also participate in many GBRMPA Local Marine Advisory Committees (LMACs). These provide an opportunity for managers to liaise with port representatives on national and international trends in ports and shipping, as well as discuss local sit specific issues and management approaches.</w:t>
            </w:r>
          </w:p>
          <w:p w14:paraId="5761FDE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 Ports (often through the Queensland Ports Association) and other relevant stakeholders are members of:</w:t>
            </w:r>
          </w:p>
          <w:p w14:paraId="5761FDEA"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Reef Advisory Committee</w:t>
            </w:r>
          </w:p>
          <w:p w14:paraId="5761FDEB"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North East Water Space Management Group</w:t>
            </w:r>
          </w:p>
          <w:p w14:paraId="5761FDEC"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RIMReP</w:t>
            </w:r>
          </w:p>
          <w:p w14:paraId="5761FDED"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Gladstone Healthy Harbour Partnership and Mackay-Whitsunday Healthy Rivers to Reef Partnership and regional partnerships in Cairns and Townsville.</w:t>
            </w:r>
          </w:p>
          <w:p w14:paraId="5761FDEE" w14:textId="77777777" w:rsidR="00A56EE9" w:rsidRPr="007E65EA" w:rsidDel="00ED33C1" w:rsidRDefault="00A56EE9" w:rsidP="00A11869">
            <w:pPr>
              <w:pStyle w:val="ListParagraph"/>
              <w:numPr>
                <w:ilvl w:val="0"/>
                <w:numId w:val="24"/>
              </w:numPr>
              <w:spacing w:after="0" w:line="276" w:lineRule="auto"/>
              <w:ind w:left="357" w:hanging="357"/>
              <w:rPr>
                <w:rFonts w:ascii="Arial Narrow" w:hAnsi="Arial Narrow"/>
                <w:sz w:val="18"/>
                <w:szCs w:val="18"/>
              </w:rPr>
            </w:pPr>
            <w:r w:rsidRPr="00E70A11" w:rsidDel="00ED33C1">
              <w:rPr>
                <w:rFonts w:ascii="Arial Narrow" w:hAnsi="Arial Narrow"/>
                <w:sz w:val="18"/>
                <w:szCs w:val="18"/>
              </w:rPr>
              <w:t>A wide range of stakeholders are recognised by Ports in addition to State and Commonwealth agencies, including</w:t>
            </w:r>
            <w:r w:rsidDel="00ED33C1">
              <w:rPr>
                <w:rFonts w:ascii="Arial Narrow" w:hAnsi="Arial Narrow"/>
                <w:sz w:val="18"/>
                <w:szCs w:val="18"/>
              </w:rPr>
              <w:t xml:space="preserve"> </w:t>
            </w:r>
            <w:r w:rsidRPr="007E65EA" w:rsidDel="00ED33C1">
              <w:rPr>
                <w:rFonts w:ascii="Arial Narrow" w:hAnsi="Arial Narrow"/>
                <w:sz w:val="18"/>
                <w:szCs w:val="18"/>
              </w:rPr>
              <w:t xml:space="preserve">environmental non-government organisations, </w:t>
            </w:r>
          </w:p>
          <w:p w14:paraId="5761FDEF"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GB"/>
              </w:rPr>
            </w:pPr>
            <w:r w:rsidRPr="00E70A11" w:rsidDel="00ED33C1">
              <w:rPr>
                <w:rFonts w:ascii="Arial Narrow" w:hAnsi="Arial Narrow"/>
                <w:sz w:val="18"/>
                <w:szCs w:val="18"/>
                <w:lang w:val="en-GB"/>
              </w:rPr>
              <w:t xml:space="preserve">The Queensland </w:t>
            </w:r>
            <w:r w:rsidRPr="00E70A11" w:rsidDel="00ED33C1">
              <w:rPr>
                <w:rFonts w:ascii="Arial Narrow" w:hAnsi="Arial Narrow"/>
                <w:i/>
                <w:iCs/>
                <w:sz w:val="18"/>
                <w:szCs w:val="18"/>
                <w:lang w:val="en-GB"/>
              </w:rPr>
              <w:t xml:space="preserve">Sustainable Ports Development Act 2015 </w:t>
            </w:r>
            <w:r w:rsidRPr="00E70A11" w:rsidDel="00ED33C1">
              <w:rPr>
                <w:rFonts w:ascii="Arial Narrow" w:hAnsi="Arial Narrow"/>
                <w:sz w:val="18"/>
                <w:szCs w:val="18"/>
                <w:lang w:val="en-GB"/>
              </w:rPr>
              <w:t xml:space="preserve">requires </w:t>
            </w:r>
            <w:hyperlink r:id="rId1269" w:history="1">
              <w:r w:rsidRPr="00E70A11" w:rsidDel="00ED33C1">
                <w:rPr>
                  <w:rStyle w:val="Hyperlink"/>
                  <w:rFonts w:ascii="Arial Narrow" w:hAnsi="Arial Narrow"/>
                  <w:color w:val="000000" w:themeColor="text1"/>
                  <w:sz w:val="18"/>
                  <w:szCs w:val="18"/>
                  <w:lang w:val="en"/>
                </w:rPr>
                <w:t>statutory consultation periods</w:t>
              </w:r>
            </w:hyperlink>
            <w:r w:rsidRPr="00E70A11" w:rsidDel="00ED33C1">
              <w:rPr>
                <w:rFonts w:ascii="Arial Narrow" w:hAnsi="Arial Narrow"/>
                <w:sz w:val="18"/>
                <w:szCs w:val="18"/>
                <w:lang w:val="en-GB"/>
              </w:rPr>
              <w:t xml:space="preserve"> with stakeholders and the community on the future direction of priority ports.</w:t>
            </w:r>
          </w:p>
        </w:tc>
        <w:tc>
          <w:tcPr>
            <w:tcW w:w="5066" w:type="dxa"/>
            <w:tcBorders>
              <w:top w:val="single" w:sz="4" w:space="0" w:color="auto"/>
              <w:left w:val="single" w:sz="4" w:space="0" w:color="auto"/>
              <w:bottom w:val="single" w:sz="4" w:space="0" w:color="auto"/>
              <w:right w:val="single" w:sz="4" w:space="0" w:color="auto"/>
            </w:tcBorders>
          </w:tcPr>
          <w:p w14:paraId="5761FDF0" w14:textId="77777777" w:rsidR="00A56EE9" w:rsidRPr="00E70A11" w:rsidRDefault="008B5998" w:rsidP="00A11869">
            <w:pPr>
              <w:pStyle w:val="ListParagraph"/>
              <w:numPr>
                <w:ilvl w:val="0"/>
                <w:numId w:val="97"/>
              </w:numPr>
              <w:spacing w:after="0" w:line="240" w:lineRule="auto"/>
              <w:jc w:val="both"/>
              <w:rPr>
                <w:rStyle w:val="Hyperlink"/>
                <w:rFonts w:ascii="Arial Narrow" w:hAnsi="Arial Narrow"/>
                <w:color w:val="000000" w:themeColor="text1"/>
                <w:sz w:val="18"/>
                <w:szCs w:val="18"/>
              </w:rPr>
            </w:pPr>
            <w:hyperlink r:id="rId1270" w:history="1">
              <w:r w:rsidR="00A56EE9" w:rsidRPr="00E70A11">
                <w:rPr>
                  <w:rStyle w:val="Hyperlink"/>
                  <w:rFonts w:ascii="Arial Narrow" w:hAnsi="Arial Narrow"/>
                  <w:color w:val="000000" w:themeColor="text1"/>
                  <w:sz w:val="18"/>
                  <w:szCs w:val="18"/>
                </w:rPr>
                <w:t>Sustainable Ports Development Act 2015</w:t>
              </w:r>
            </w:hyperlink>
          </w:p>
          <w:p w14:paraId="5761FDF1" w14:textId="77777777" w:rsidR="00A56EE9" w:rsidRPr="00E70A11" w:rsidRDefault="008B5998" w:rsidP="00A11869">
            <w:pPr>
              <w:pStyle w:val="ListParagraph"/>
              <w:numPr>
                <w:ilvl w:val="0"/>
                <w:numId w:val="97"/>
              </w:numPr>
              <w:spacing w:after="200" w:line="276" w:lineRule="auto"/>
              <w:rPr>
                <w:rStyle w:val="Hyperlink"/>
                <w:rFonts w:ascii="Arial Narrow" w:hAnsi="Arial Narrow"/>
                <w:color w:val="000000" w:themeColor="text1"/>
                <w:sz w:val="18"/>
                <w:szCs w:val="18"/>
              </w:rPr>
            </w:pPr>
            <w:hyperlink r:id="rId1271" w:history="1">
              <w:r w:rsidR="00A56EE9" w:rsidRPr="00E70A11">
                <w:rPr>
                  <w:rStyle w:val="Hyperlink"/>
                  <w:rFonts w:ascii="Arial Narrow" w:hAnsi="Arial Narrow"/>
                  <w:color w:val="000000" w:themeColor="text1"/>
                  <w:sz w:val="18"/>
                  <w:szCs w:val="18"/>
                </w:rPr>
                <w:t>Reef 2050 Integrated Monitoring and Reporting Program</w:t>
              </w:r>
            </w:hyperlink>
          </w:p>
          <w:p w14:paraId="5761FDF2" w14:textId="77777777" w:rsidR="00A56EE9" w:rsidRPr="00E70A11" w:rsidRDefault="00A56EE9" w:rsidP="00A11869">
            <w:pPr>
              <w:pStyle w:val="ListParagraph"/>
              <w:numPr>
                <w:ilvl w:val="0"/>
                <w:numId w:val="97"/>
              </w:numPr>
              <w:spacing w:after="200" w:line="276" w:lineRule="auto"/>
              <w:rPr>
                <w:rFonts w:ascii="Arial Narrow" w:eastAsia="SymbolMT" w:hAnsi="Arial Narrow"/>
                <w:color w:val="000000" w:themeColor="text1"/>
                <w:sz w:val="18"/>
                <w:szCs w:val="18"/>
              </w:rPr>
            </w:pPr>
            <w:r w:rsidRPr="00E70A11">
              <w:rPr>
                <w:rFonts w:ascii="Arial Narrow" w:eastAsia="SymbolMT" w:hAnsi="Arial Narrow"/>
                <w:color w:val="000000" w:themeColor="text1"/>
                <w:sz w:val="18"/>
                <w:szCs w:val="18"/>
              </w:rPr>
              <w:t>Reef Advisory Committee</w:t>
            </w:r>
          </w:p>
          <w:p w14:paraId="5761FDF3" w14:textId="77777777" w:rsidR="00A56EE9" w:rsidRPr="00E70A11" w:rsidRDefault="00A56EE9" w:rsidP="00A11869">
            <w:pPr>
              <w:pStyle w:val="ListParagraph"/>
              <w:numPr>
                <w:ilvl w:val="0"/>
                <w:numId w:val="97"/>
              </w:numPr>
              <w:spacing w:after="0" w:line="276" w:lineRule="auto"/>
              <w:rPr>
                <w:rFonts w:ascii="Arial Narrow" w:eastAsia="SymbolMT" w:hAnsi="Arial Narrow"/>
                <w:color w:val="000000" w:themeColor="text1"/>
                <w:sz w:val="18"/>
                <w:szCs w:val="18"/>
              </w:rPr>
            </w:pPr>
            <w:r w:rsidRPr="00E70A11">
              <w:rPr>
                <w:rFonts w:ascii="Arial Narrow" w:eastAsia="SymbolMT" w:hAnsi="Arial Narrow"/>
                <w:color w:val="000000" w:themeColor="text1"/>
                <w:sz w:val="18"/>
                <w:szCs w:val="18"/>
              </w:rPr>
              <w:t>North East Water Space Management Group (run by AMSA)</w:t>
            </w:r>
          </w:p>
          <w:p w14:paraId="5761FDF4" w14:textId="77777777" w:rsidR="00A56EE9" w:rsidRPr="00E70A11" w:rsidRDefault="008B5998" w:rsidP="00A11869">
            <w:pPr>
              <w:pStyle w:val="ListBullet"/>
              <w:numPr>
                <w:ilvl w:val="0"/>
                <w:numId w:val="97"/>
              </w:numPr>
              <w:autoSpaceDE w:val="0"/>
              <w:autoSpaceDN w:val="0"/>
              <w:adjustRightInd w:val="0"/>
              <w:spacing w:line="240" w:lineRule="auto"/>
              <w:rPr>
                <w:rFonts w:eastAsia="SymbolMT"/>
                <w:color w:val="000000" w:themeColor="text1"/>
              </w:rPr>
            </w:pPr>
            <w:hyperlink r:id="rId1272" w:history="1">
              <w:r w:rsidR="00A56EE9" w:rsidRPr="00E70A11">
                <w:rPr>
                  <w:rStyle w:val="Hyperlink"/>
                  <w:rFonts w:eastAsia="SymbolMT"/>
                  <w:color w:val="000000" w:themeColor="text1"/>
                </w:rPr>
                <w:t>Gladstone Healthy Harbour Partnership</w:t>
              </w:r>
            </w:hyperlink>
            <w:r w:rsidR="00A56EE9" w:rsidRPr="00E70A11">
              <w:rPr>
                <w:rFonts w:eastAsia="SymbolMT"/>
                <w:color w:val="000000" w:themeColor="text1"/>
              </w:rPr>
              <w:t xml:space="preserve"> and </w:t>
            </w:r>
            <w:hyperlink r:id="rId1273" w:history="1">
              <w:r w:rsidR="00A56EE9" w:rsidRPr="00E70A11">
                <w:rPr>
                  <w:rStyle w:val="Hyperlink"/>
                  <w:rFonts w:eastAsia="SymbolMT"/>
                  <w:color w:val="000000" w:themeColor="text1"/>
                </w:rPr>
                <w:t>Mackay-Whitsunday Healthy Rivers to Reef Partnership</w:t>
              </w:r>
            </w:hyperlink>
            <w:r w:rsidR="00A56EE9" w:rsidRPr="00E70A11">
              <w:rPr>
                <w:rFonts w:eastAsia="SymbolMT"/>
                <w:color w:val="000000" w:themeColor="text1"/>
              </w:rPr>
              <w:t xml:space="preserve"> and regional partnerships in Cairns and Townsville.</w:t>
            </w:r>
          </w:p>
          <w:p w14:paraId="5761FDF5" w14:textId="77777777" w:rsidR="00A56EE9" w:rsidRPr="00E70A11" w:rsidRDefault="00A56EE9" w:rsidP="00BB6AD5">
            <w:pPr>
              <w:jc w:val="both"/>
              <w:rPr>
                <w:rFonts w:ascii="Arial Narrow" w:hAnsi="Arial Narrow"/>
                <w:color w:val="000000" w:themeColor="text1"/>
                <w:sz w:val="18"/>
                <w:szCs w:val="18"/>
              </w:rPr>
            </w:pPr>
          </w:p>
          <w:p w14:paraId="5761FDF6" w14:textId="77777777" w:rsidR="00A56EE9" w:rsidRPr="00E70A11" w:rsidRDefault="00A56EE9" w:rsidP="00BB6AD5">
            <w:pPr>
              <w:pStyle w:val="ListParagraph"/>
              <w:ind w:left="360"/>
              <w:rPr>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DF7"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DF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E00"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DFA" w14:textId="77777777" w:rsidR="00A56EE9" w:rsidRPr="00E70A11" w:rsidRDefault="00A56EE9" w:rsidP="00BB6AD5">
            <w:pPr>
              <w:pStyle w:val="Tablebulletlist"/>
              <w:rPr>
                <w:rStyle w:val="BookTitle"/>
              </w:rPr>
            </w:pPr>
            <w:r w:rsidRPr="00E70A11">
              <w:rPr>
                <w:rStyle w:val="BookTitle"/>
              </w:rPr>
              <w:t>PLANNING</w:t>
            </w:r>
          </w:p>
        </w:tc>
        <w:tc>
          <w:tcPr>
            <w:tcW w:w="7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DFB" w14:textId="77777777" w:rsidR="00A56EE9" w:rsidRPr="00E70A11" w:rsidRDefault="00A56EE9" w:rsidP="00BB6AD5">
            <w:pPr>
              <w:pStyle w:val="Tablebulletlist"/>
              <w:rPr>
                <w:rStyle w:val="BookTitle"/>
              </w:rPr>
            </w:pPr>
          </w:p>
        </w:tc>
        <w:tc>
          <w:tcPr>
            <w:tcW w:w="417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DFC"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6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DFD"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DFE" w14:textId="77777777" w:rsidR="00A56EE9" w:rsidRPr="00E70A11" w:rsidRDefault="00A56EE9" w:rsidP="00BB6AD5">
            <w:pPr>
              <w:pStyle w:val="Tablebulletlist"/>
              <w:rPr>
                <w:rStyle w:val="BookTitle"/>
              </w:rPr>
            </w:pPr>
          </w:p>
        </w:tc>
        <w:tc>
          <w:tcPr>
            <w:tcW w:w="91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DFF" w14:textId="77777777" w:rsidR="00A56EE9" w:rsidRPr="00E70A11" w:rsidRDefault="00A56EE9" w:rsidP="00BB6AD5">
            <w:pPr>
              <w:pStyle w:val="Tablebulletlist"/>
              <w:rPr>
                <w:rStyle w:val="BookTitle"/>
              </w:rPr>
            </w:pPr>
          </w:p>
        </w:tc>
      </w:tr>
      <w:tr w:rsidR="00A56EE9" w:rsidRPr="00E70A11" w14:paraId="5761FE19"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E01"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ports </w:t>
            </w:r>
          </w:p>
        </w:tc>
        <w:tc>
          <w:tcPr>
            <w:tcW w:w="790" w:type="dxa"/>
            <w:tcBorders>
              <w:top w:val="single" w:sz="4" w:space="0" w:color="auto"/>
              <w:left w:val="single" w:sz="4" w:space="0" w:color="auto"/>
              <w:bottom w:val="single" w:sz="4" w:space="0" w:color="auto"/>
              <w:right w:val="single" w:sz="4" w:space="0" w:color="auto"/>
            </w:tcBorders>
          </w:tcPr>
          <w:p w14:paraId="5761FE02"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E03" w14:textId="77777777" w:rsidR="00A56EE9" w:rsidRDefault="00A56EE9" w:rsidP="00A11869">
            <w:pPr>
              <w:pStyle w:val="ListParagraph"/>
              <w:numPr>
                <w:ilvl w:val="0"/>
                <w:numId w:val="24"/>
              </w:numPr>
              <w:spacing w:after="0" w:line="276" w:lineRule="auto"/>
              <w:ind w:left="357" w:hanging="357"/>
              <w:rPr>
                <w:rFonts w:ascii="Arial Narrow" w:hAnsi="Arial Narrow"/>
                <w:sz w:val="18"/>
                <w:szCs w:val="18"/>
              </w:rPr>
            </w:pPr>
            <w:r w:rsidRPr="00E70A11">
              <w:rPr>
                <w:rFonts w:ascii="Arial Narrow" w:hAnsi="Arial Narrow"/>
                <w:sz w:val="18"/>
                <w:szCs w:val="18"/>
              </w:rPr>
              <w:t>Planning for individual ports has been effective, but coordinated development of the GBR ports previously lacked rigour and transparency. This situation has changed significantly since 2013.</w:t>
            </w:r>
          </w:p>
          <w:p w14:paraId="5761FE04" w14:textId="77777777" w:rsidR="00A56EE9" w:rsidRPr="00093CB1" w:rsidRDefault="00A56EE9" w:rsidP="00A11869">
            <w:pPr>
              <w:pStyle w:val="ListParagraph"/>
              <w:numPr>
                <w:ilvl w:val="0"/>
                <w:numId w:val="24"/>
              </w:numPr>
              <w:spacing w:after="0" w:line="276" w:lineRule="auto"/>
              <w:ind w:left="357" w:hanging="357"/>
              <w:rPr>
                <w:rFonts w:ascii="Arial Narrow" w:hAnsi="Arial Narrow"/>
                <w:sz w:val="20"/>
                <w:szCs w:val="18"/>
              </w:rPr>
            </w:pPr>
            <w:r w:rsidRPr="00093CB1">
              <w:rPr>
                <w:rFonts w:ascii="Arial Narrow" w:hAnsi="Arial Narrow"/>
                <w:sz w:val="18"/>
                <w:szCs w:val="16"/>
              </w:rPr>
              <w:t>Port activities and port developments are amongst the most tightly regulated activities, especially in the GBR region</w:t>
            </w:r>
          </w:p>
          <w:p w14:paraId="5761FE05"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GB"/>
              </w:rPr>
            </w:pPr>
            <w:hyperlink r:id="rId1274" w:history="1">
              <w:r w:rsidR="00A56EE9" w:rsidRPr="00E70A11">
                <w:rPr>
                  <w:rFonts w:ascii="Arial Narrow" w:hAnsi="Arial Narrow"/>
                  <w:sz w:val="18"/>
                  <w:szCs w:val="18"/>
                </w:rPr>
                <w:t xml:space="preserve">Plans and procedures to minimise the risk of introduction, and the timely detection of and response to marine pests in the GBR, are generally deficient. There is a </w:t>
              </w:r>
              <w:r w:rsidR="00A56EE9" w:rsidRPr="00E70A11">
                <w:rPr>
                  <w:rStyle w:val="Hyperlink"/>
                  <w:rFonts w:ascii="Arial Narrow" w:hAnsi="Arial Narrow"/>
                  <w:sz w:val="18"/>
                  <w:szCs w:val="18"/>
                </w:rPr>
                <w:t>Response Plan for Introduced Pests</w:t>
              </w:r>
            </w:hyperlink>
            <w:r w:rsidR="00A56EE9" w:rsidRPr="00E70A11">
              <w:rPr>
                <w:rFonts w:ascii="Arial Narrow" w:hAnsi="Arial Narrow"/>
                <w:sz w:val="18"/>
                <w:szCs w:val="18"/>
              </w:rPr>
              <w:t xml:space="preserve">, but plans and procedures for surveillance, management and prevention are deficient. This situation is improving with the implementation of new international and Australian controls on ballast water, as well as the intended implementation of the Queensland </w:t>
            </w:r>
            <w:r w:rsidR="00A56EE9" w:rsidRPr="00E70A11">
              <w:rPr>
                <w:rFonts w:ascii="Arial Narrow" w:eastAsia="Times New Roman" w:hAnsi="Arial Narrow" w:cs="Arial,Bold"/>
                <w:bCs/>
                <w:sz w:val="18"/>
                <w:szCs w:val="18"/>
                <w:lang w:eastAsia="en-AU"/>
              </w:rPr>
              <w:t>Marine Pest Preparedness Project.</w:t>
            </w:r>
          </w:p>
          <w:p w14:paraId="5761FE06"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GB"/>
              </w:rPr>
            </w:pPr>
            <w:r w:rsidRPr="00E70A11">
              <w:rPr>
                <w:rFonts w:ascii="Arial Narrow" w:hAnsi="Arial Narrow"/>
                <w:color w:val="000000" w:themeColor="text1"/>
                <w:sz w:val="18"/>
                <w:szCs w:val="18"/>
              </w:rPr>
              <w:t xml:space="preserve">The Queensland </w:t>
            </w:r>
            <w:hyperlink r:id="rId1275" w:history="1">
              <w:r w:rsidRPr="00E70A11">
                <w:rPr>
                  <w:rStyle w:val="Hyperlink"/>
                  <w:rFonts w:ascii="Arial Narrow" w:hAnsi="Arial Narrow"/>
                  <w:i/>
                  <w:color w:val="000000" w:themeColor="text1"/>
                  <w:sz w:val="18"/>
                  <w:szCs w:val="18"/>
                </w:rPr>
                <w:t>Sustainable Ports Development Act 2015</w:t>
              </w:r>
            </w:hyperlink>
            <w:r w:rsidRPr="00E70A11">
              <w:rPr>
                <w:rFonts w:ascii="Arial Narrow" w:hAnsi="Arial Narrow"/>
                <w:color w:val="000000" w:themeColor="text1"/>
                <w:sz w:val="18"/>
                <w:szCs w:val="18"/>
              </w:rPr>
              <w:t xml:space="preserve"> was enacted on 20 November 2015 has a key policy objective to provide for the protection of the GBRWHA through managing port-related development in and adjacent to the area. </w:t>
            </w:r>
            <w:r w:rsidRPr="00E70A11">
              <w:rPr>
                <w:rFonts w:ascii="Arial Narrow" w:hAnsi="Arial Narrow"/>
                <w:color w:val="000000" w:themeColor="text1"/>
                <w:sz w:val="18"/>
                <w:szCs w:val="18"/>
                <w:lang w:val="en-GB"/>
              </w:rPr>
              <w:t>The Act only applies to ‘priority ports; ie. Brisbane, Gladstone, Hay Point/Mackay, Abbott Point and Townsville.</w:t>
            </w:r>
          </w:p>
          <w:p w14:paraId="5761FE07"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lang w:val="en"/>
              </w:rPr>
              <w:t>The Queensland Government commenced development and consultation on priority port master plans, but as of January 2018 this process is behind the nominated schedule. It is understood that this is reflective of an appreciation that the master planning process is more complicated than had been anticipated.</w:t>
            </w:r>
          </w:p>
          <w:p w14:paraId="5761FE08"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lang w:val="en"/>
              </w:rPr>
              <w:t>Planning and approvals for the development of GBR ports not categorised as ‘priority ports’ continues to be controlled by existing Commonwealth and Queensland legislative instruments.</w:t>
            </w:r>
          </w:p>
        </w:tc>
        <w:tc>
          <w:tcPr>
            <w:tcW w:w="5066" w:type="dxa"/>
            <w:tcBorders>
              <w:top w:val="single" w:sz="4" w:space="0" w:color="auto"/>
              <w:left w:val="single" w:sz="4" w:space="0" w:color="auto"/>
              <w:bottom w:val="single" w:sz="4" w:space="0" w:color="auto"/>
              <w:right w:val="single" w:sz="4" w:space="0" w:color="auto"/>
            </w:tcBorders>
          </w:tcPr>
          <w:p w14:paraId="5761FE09" w14:textId="77777777" w:rsidR="00A56EE9" w:rsidRPr="00E70A11" w:rsidRDefault="008B5998" w:rsidP="00A11869">
            <w:pPr>
              <w:pStyle w:val="ListParagraph"/>
              <w:numPr>
                <w:ilvl w:val="0"/>
                <w:numId w:val="99"/>
              </w:numPr>
              <w:spacing w:after="0" w:line="240" w:lineRule="auto"/>
              <w:jc w:val="both"/>
              <w:rPr>
                <w:rFonts w:ascii="Arial Narrow" w:hAnsi="Arial Narrow"/>
                <w:color w:val="000000" w:themeColor="text1"/>
                <w:sz w:val="18"/>
                <w:szCs w:val="18"/>
              </w:rPr>
            </w:pPr>
            <w:hyperlink r:id="rId1276" w:history="1">
              <w:r w:rsidR="00A56EE9" w:rsidRPr="00E70A11">
                <w:rPr>
                  <w:rStyle w:val="Hyperlink"/>
                  <w:rFonts w:ascii="Arial Narrow" w:hAnsi="Arial Narrow"/>
                  <w:color w:val="000000" w:themeColor="text1"/>
                  <w:sz w:val="18"/>
                  <w:szCs w:val="18"/>
                </w:rPr>
                <w:t>Sustainable Ports Development Act 2015 (Qld)</w:t>
              </w:r>
            </w:hyperlink>
            <w:r w:rsidR="00A56EE9" w:rsidRPr="00E70A11">
              <w:rPr>
                <w:rFonts w:ascii="Arial Narrow" w:hAnsi="Arial Narrow"/>
                <w:color w:val="000000" w:themeColor="text1"/>
                <w:sz w:val="18"/>
                <w:szCs w:val="18"/>
              </w:rPr>
              <w:t xml:space="preserve"> enacted on 20 November 2015 addressed a number of actions within the Reef 2050 Plan.</w:t>
            </w:r>
          </w:p>
          <w:p w14:paraId="5761FE0A" w14:textId="77777777" w:rsidR="00A56EE9" w:rsidRPr="00E70A11" w:rsidRDefault="00A56EE9" w:rsidP="00A11869">
            <w:pPr>
              <w:pStyle w:val="ListParagraph"/>
              <w:numPr>
                <w:ilvl w:val="0"/>
                <w:numId w:val="99"/>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 xml:space="preserve">Queensland ports are governed by the </w:t>
            </w:r>
            <w:hyperlink r:id="rId1277" w:history="1">
              <w:r w:rsidRPr="00E70A11">
                <w:rPr>
                  <w:rStyle w:val="Hyperlink"/>
                  <w:rFonts w:ascii="Arial Narrow" w:hAnsi="Arial Narrow"/>
                  <w:color w:val="000000" w:themeColor="text1"/>
                  <w:sz w:val="18"/>
                  <w:szCs w:val="18"/>
                </w:rPr>
                <w:t>Department of Transport and Main Roads</w:t>
              </w:r>
            </w:hyperlink>
            <w:r w:rsidRPr="00E70A11">
              <w:rPr>
                <w:rStyle w:val="Hyperlink"/>
                <w:rFonts w:ascii="Arial Narrow" w:hAnsi="Arial Narrow"/>
                <w:color w:val="000000" w:themeColor="text1"/>
                <w:sz w:val="18"/>
                <w:szCs w:val="18"/>
              </w:rPr>
              <w:t xml:space="preserve"> </w:t>
            </w:r>
            <w:r w:rsidRPr="00E70A11">
              <w:rPr>
                <w:rFonts w:ascii="Arial Narrow" w:hAnsi="Arial Narrow"/>
                <w:color w:val="000000" w:themeColor="text1"/>
                <w:sz w:val="18"/>
                <w:szCs w:val="18"/>
              </w:rPr>
              <w:t xml:space="preserve">under the </w:t>
            </w:r>
            <w:r w:rsidRPr="00E70A11">
              <w:rPr>
                <w:rFonts w:ascii="Arial Narrow" w:hAnsi="Arial Narrow"/>
                <w:i/>
                <w:color w:val="000000" w:themeColor="text1"/>
                <w:sz w:val="18"/>
                <w:szCs w:val="18"/>
              </w:rPr>
              <w:t>Transport Infrastructure Act</w:t>
            </w:r>
            <w:r w:rsidRPr="00E70A11">
              <w:rPr>
                <w:rFonts w:ascii="Arial Narrow" w:hAnsi="Arial Narrow"/>
                <w:color w:val="000000" w:themeColor="text1"/>
                <w:sz w:val="18"/>
                <w:szCs w:val="18"/>
              </w:rPr>
              <w:t xml:space="preserve"> </w:t>
            </w:r>
            <w:r w:rsidRPr="00E70A11">
              <w:rPr>
                <w:rFonts w:ascii="Arial Narrow" w:hAnsi="Arial Narrow"/>
                <w:i/>
                <w:color w:val="000000" w:themeColor="text1"/>
                <w:sz w:val="18"/>
                <w:szCs w:val="18"/>
              </w:rPr>
              <w:t>1994</w:t>
            </w:r>
            <w:r w:rsidRPr="00E70A11">
              <w:rPr>
                <w:rFonts w:ascii="Arial Narrow" w:hAnsi="Arial Narrow"/>
                <w:color w:val="000000" w:themeColor="text1"/>
                <w:sz w:val="18"/>
                <w:szCs w:val="18"/>
              </w:rPr>
              <w:t xml:space="preserve"> (Qld). </w:t>
            </w:r>
          </w:p>
          <w:p w14:paraId="5761FE0B" w14:textId="77777777" w:rsidR="00A56EE9" w:rsidRPr="00E70A11" w:rsidRDefault="00A56EE9" w:rsidP="00A11869">
            <w:pPr>
              <w:pStyle w:val="ListParagraph"/>
              <w:numPr>
                <w:ilvl w:val="0"/>
                <w:numId w:val="99"/>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 xml:space="preserve">MSQ regulate </w:t>
            </w:r>
            <w:hyperlink r:id="rId1278" w:history="1">
              <w:r w:rsidRPr="00E70A11">
                <w:rPr>
                  <w:rStyle w:val="Hyperlink"/>
                  <w:rFonts w:ascii="Arial Narrow" w:hAnsi="Arial Narrow"/>
                  <w:color w:val="000000" w:themeColor="text1"/>
                  <w:sz w:val="18"/>
                  <w:szCs w:val="18"/>
                </w:rPr>
                <w:t>marine pollution</w:t>
              </w:r>
            </w:hyperlink>
            <w:r w:rsidRPr="00E70A11">
              <w:rPr>
                <w:rFonts w:ascii="Arial Narrow" w:hAnsi="Arial Narrow"/>
                <w:color w:val="000000" w:themeColor="text1"/>
                <w:sz w:val="18"/>
                <w:szCs w:val="18"/>
              </w:rPr>
              <w:t xml:space="preserve"> in Queensland waters; AMSA in Commonwealth waters.</w:t>
            </w:r>
          </w:p>
          <w:p w14:paraId="5761FE0C" w14:textId="77777777" w:rsidR="00A56EE9" w:rsidRPr="00E70A11" w:rsidRDefault="008B5998" w:rsidP="00A11869">
            <w:pPr>
              <w:pStyle w:val="ListParagraph"/>
              <w:numPr>
                <w:ilvl w:val="0"/>
                <w:numId w:val="99"/>
              </w:numPr>
              <w:spacing w:after="0" w:line="240" w:lineRule="auto"/>
              <w:jc w:val="both"/>
              <w:rPr>
                <w:rStyle w:val="Hyperlink"/>
                <w:rFonts w:ascii="Arial Narrow" w:hAnsi="Arial Narrow"/>
                <w:color w:val="000000" w:themeColor="text1"/>
                <w:sz w:val="18"/>
                <w:szCs w:val="18"/>
              </w:rPr>
            </w:pPr>
            <w:hyperlink r:id="rId1279" w:history="1">
              <w:r w:rsidR="00A56EE9" w:rsidRPr="00E70A11">
                <w:rPr>
                  <w:rStyle w:val="Hyperlink"/>
                  <w:rFonts w:ascii="Arial Narrow" w:hAnsi="Arial Narrow"/>
                  <w:color w:val="000000" w:themeColor="text1"/>
                  <w:sz w:val="18"/>
                  <w:szCs w:val="18"/>
                </w:rPr>
                <w:t>Transport Operations (Marine Pollution) Act 1995</w:t>
              </w:r>
            </w:hyperlink>
            <w:r w:rsidR="00A56EE9" w:rsidRPr="00E70A11">
              <w:rPr>
                <w:rFonts w:ascii="Arial Narrow" w:hAnsi="Arial Narrow"/>
                <w:color w:val="000000" w:themeColor="text1"/>
                <w:sz w:val="18"/>
                <w:szCs w:val="18"/>
              </w:rPr>
              <w:t xml:space="preserve"> (Qld) and regulations protect Queensland's marine and coastal environment by minimising deliberate and negligent discharges of ship-sourced pollutants into coastal waters.</w:t>
            </w:r>
            <w:r w:rsidR="00A56EE9">
              <w:rPr>
                <w:rFonts w:ascii="Arial Narrow" w:hAnsi="Arial Narrow"/>
                <w:color w:val="000000" w:themeColor="text1"/>
                <w:sz w:val="18"/>
                <w:szCs w:val="18"/>
              </w:rPr>
              <w:t xml:space="preserve"> </w:t>
            </w:r>
            <w:hyperlink r:id="rId1280" w:history="1">
              <w:r w:rsidR="00A56EE9" w:rsidRPr="00E70A11">
                <w:rPr>
                  <w:rStyle w:val="Hyperlink"/>
                  <w:rFonts w:ascii="Arial Narrow" w:hAnsi="Arial Narrow"/>
                  <w:color w:val="000000" w:themeColor="text1"/>
                  <w:sz w:val="18"/>
                  <w:szCs w:val="18"/>
                </w:rPr>
                <w:t>Guide for prevention of ship-sourced pollution and for the safe transfer of bunkers in Queensland waters</w:t>
              </w:r>
            </w:hyperlink>
            <w:r w:rsidR="00A56EE9" w:rsidRPr="00E70A11">
              <w:rPr>
                <w:rStyle w:val="Hyperlink"/>
                <w:rFonts w:ascii="Arial Narrow" w:hAnsi="Arial Narrow"/>
                <w:color w:val="000000" w:themeColor="text1"/>
                <w:sz w:val="18"/>
                <w:szCs w:val="18"/>
              </w:rPr>
              <w:t>.</w:t>
            </w:r>
          </w:p>
          <w:p w14:paraId="5761FE0D" w14:textId="77777777" w:rsidR="00A56EE9" w:rsidRPr="00E70A11" w:rsidRDefault="00A56EE9" w:rsidP="00A11869">
            <w:pPr>
              <w:pStyle w:val="ListParagraph"/>
              <w:numPr>
                <w:ilvl w:val="0"/>
                <w:numId w:val="99"/>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 xml:space="preserve">Queensland Coastal Contingency Action Plan </w:t>
            </w:r>
            <w:r w:rsidRPr="00E70A11">
              <w:rPr>
                <w:rStyle w:val="Hyperlink"/>
                <w:rFonts w:ascii="Arial Narrow" w:hAnsi="Arial Narrow"/>
                <w:color w:val="000000" w:themeColor="text1"/>
                <w:sz w:val="18"/>
                <w:szCs w:val="18"/>
              </w:rPr>
              <w:t>(</w:t>
            </w:r>
            <w:hyperlink r:id="rId1281" w:history="1">
              <w:r w:rsidRPr="00E70A11">
                <w:rPr>
                  <w:rStyle w:val="Hyperlink"/>
                  <w:rFonts w:ascii="Arial Narrow" w:hAnsi="Arial Narrow"/>
                  <w:color w:val="000000" w:themeColor="text1"/>
                  <w:sz w:val="18"/>
                  <w:szCs w:val="18"/>
                </w:rPr>
                <w:t>QCCAP</w:t>
              </w:r>
            </w:hyperlink>
            <w:r w:rsidRPr="00E70A11">
              <w:rPr>
                <w:rStyle w:val="Hyperlink"/>
                <w:rFonts w:ascii="Arial Narrow" w:hAnsi="Arial Narrow"/>
                <w:color w:val="000000" w:themeColor="text1"/>
                <w:sz w:val="18"/>
                <w:szCs w:val="18"/>
              </w:rPr>
              <w:t>).</w:t>
            </w:r>
          </w:p>
          <w:p w14:paraId="5761FE0E" w14:textId="77777777" w:rsidR="00A56EE9" w:rsidRPr="00E70A11" w:rsidRDefault="008B5998" w:rsidP="00A11869">
            <w:pPr>
              <w:numPr>
                <w:ilvl w:val="0"/>
                <w:numId w:val="99"/>
              </w:numPr>
              <w:spacing w:after="0" w:line="240" w:lineRule="auto"/>
              <w:jc w:val="both"/>
              <w:rPr>
                <w:rStyle w:val="Hyperlink"/>
                <w:rFonts w:ascii="Arial Narrow" w:hAnsi="Arial Narrow"/>
                <w:color w:val="000000" w:themeColor="text1"/>
                <w:sz w:val="18"/>
                <w:szCs w:val="18"/>
              </w:rPr>
            </w:pPr>
            <w:hyperlink r:id="rId1282" w:history="1">
              <w:r w:rsidR="00A56EE9" w:rsidRPr="00E70A11">
                <w:rPr>
                  <w:rStyle w:val="Hyperlink"/>
                  <w:rFonts w:ascii="Arial Narrow" w:hAnsi="Arial Narrow"/>
                  <w:color w:val="000000" w:themeColor="text1"/>
                  <w:sz w:val="18"/>
                  <w:szCs w:val="18"/>
                </w:rPr>
                <w:t>GBRMP Site Management Plans</w:t>
              </w:r>
            </w:hyperlink>
            <w:r w:rsidR="00A56EE9" w:rsidRPr="00E70A11">
              <w:rPr>
                <w:rStyle w:val="Hyperlink"/>
                <w:rFonts w:ascii="Arial Narrow" w:hAnsi="Arial Narrow"/>
                <w:color w:val="000000" w:themeColor="text1"/>
                <w:sz w:val="18"/>
                <w:szCs w:val="18"/>
              </w:rPr>
              <w:t xml:space="preserve"> </w:t>
            </w:r>
          </w:p>
          <w:p w14:paraId="5761FE0F" w14:textId="77777777" w:rsidR="00A56EE9" w:rsidRPr="00E70A11" w:rsidRDefault="008B5998" w:rsidP="00A11869">
            <w:pPr>
              <w:numPr>
                <w:ilvl w:val="0"/>
                <w:numId w:val="99"/>
              </w:numPr>
              <w:spacing w:after="0" w:line="240" w:lineRule="auto"/>
              <w:jc w:val="both"/>
              <w:rPr>
                <w:rStyle w:val="Hyperlink"/>
                <w:rFonts w:ascii="Arial Narrow" w:hAnsi="Arial Narrow"/>
                <w:color w:val="000000" w:themeColor="text1"/>
                <w:sz w:val="18"/>
                <w:szCs w:val="18"/>
              </w:rPr>
            </w:pPr>
            <w:hyperlink r:id="rId1283" w:history="1">
              <w:r w:rsidR="00A56EE9" w:rsidRPr="00E70A11">
                <w:rPr>
                  <w:rStyle w:val="Hyperlink"/>
                  <w:rFonts w:ascii="Arial Narrow" w:hAnsi="Arial Narrow"/>
                  <w:color w:val="000000" w:themeColor="text1"/>
                  <w:sz w:val="18"/>
                  <w:szCs w:val="18"/>
                </w:rPr>
                <w:t>GBRMP Plans of Management</w:t>
              </w:r>
            </w:hyperlink>
            <w:r w:rsidR="00A56EE9" w:rsidRPr="00E70A11">
              <w:rPr>
                <w:rStyle w:val="Hyperlink"/>
                <w:rFonts w:ascii="Arial Narrow" w:hAnsi="Arial Narrow"/>
                <w:color w:val="000000" w:themeColor="text1"/>
                <w:sz w:val="18"/>
                <w:szCs w:val="18"/>
              </w:rPr>
              <w:t xml:space="preserve"> </w:t>
            </w:r>
          </w:p>
          <w:p w14:paraId="5761FE10" w14:textId="77777777" w:rsidR="00A56EE9" w:rsidRPr="00E70A11" w:rsidRDefault="00A56EE9" w:rsidP="00A11869">
            <w:pPr>
              <w:pStyle w:val="ListParagraph"/>
              <w:numPr>
                <w:ilvl w:val="0"/>
                <w:numId w:val="99"/>
              </w:numPr>
              <w:spacing w:after="0" w:line="240" w:lineRule="auto"/>
              <w:jc w:val="both"/>
              <w:rPr>
                <w:rStyle w:val="Hyperlink"/>
                <w:rFonts w:ascii="Arial Narrow" w:hAnsi="Arial Narrow"/>
                <w:color w:val="000000" w:themeColor="text1"/>
                <w:sz w:val="18"/>
                <w:szCs w:val="18"/>
              </w:rPr>
            </w:pPr>
            <w:r w:rsidRPr="00E70A11">
              <w:rPr>
                <w:rFonts w:ascii="Arial Narrow" w:hAnsi="Arial Narrow"/>
                <w:color w:val="000000" w:themeColor="text1"/>
                <w:sz w:val="18"/>
                <w:szCs w:val="18"/>
              </w:rPr>
              <w:t xml:space="preserve">QLD </w:t>
            </w:r>
            <w:hyperlink r:id="rId1284" w:history="1">
              <w:r w:rsidRPr="00E70A11">
                <w:rPr>
                  <w:rStyle w:val="Hyperlink"/>
                  <w:rFonts w:ascii="Arial Narrow" w:hAnsi="Arial Narrow"/>
                  <w:color w:val="000000" w:themeColor="text1"/>
                  <w:sz w:val="18"/>
                  <w:szCs w:val="18"/>
                </w:rPr>
                <w:t>Maintenance Dredging Strategy for Great Barrier Reef World Heritage Area Ports</w:t>
              </w:r>
            </w:hyperlink>
          </w:p>
          <w:p w14:paraId="5761FE11" w14:textId="77777777" w:rsidR="00A56EE9" w:rsidRPr="00E70A11" w:rsidRDefault="008B5998" w:rsidP="00A11869">
            <w:pPr>
              <w:pStyle w:val="ListParagraph"/>
              <w:numPr>
                <w:ilvl w:val="0"/>
                <w:numId w:val="99"/>
              </w:numPr>
              <w:spacing w:after="0" w:line="240" w:lineRule="auto"/>
              <w:jc w:val="both"/>
              <w:rPr>
                <w:rStyle w:val="Hyperlink"/>
                <w:rFonts w:ascii="Arial Narrow" w:hAnsi="Arial Narrow"/>
                <w:color w:val="000000" w:themeColor="text1"/>
                <w:sz w:val="18"/>
                <w:szCs w:val="18"/>
              </w:rPr>
            </w:pPr>
            <w:hyperlink r:id="rId1285" w:history="1">
              <w:r w:rsidR="00A56EE9" w:rsidRPr="00E70A11">
                <w:rPr>
                  <w:rStyle w:val="Hyperlink"/>
                  <w:rFonts w:ascii="Arial Narrow" w:hAnsi="Arial Narrow"/>
                  <w:color w:val="000000" w:themeColor="text1"/>
                  <w:sz w:val="18"/>
                  <w:szCs w:val="18"/>
                </w:rPr>
                <w:t>Synthesis of current knowledge of the biophysical impacts of dredging and disposal on the Great Barrier Reef: report of an independent panel of experts</w:t>
              </w:r>
            </w:hyperlink>
          </w:p>
          <w:p w14:paraId="5761FE12" w14:textId="77777777" w:rsidR="00A56EE9" w:rsidRPr="00E70A11" w:rsidRDefault="008B5998" w:rsidP="00A11869">
            <w:pPr>
              <w:pStyle w:val="ListParagraph"/>
              <w:numPr>
                <w:ilvl w:val="0"/>
                <w:numId w:val="99"/>
              </w:numPr>
              <w:spacing w:after="0" w:line="240" w:lineRule="auto"/>
              <w:jc w:val="both"/>
              <w:rPr>
                <w:rFonts w:ascii="Arial Narrow" w:hAnsi="Arial Narrow"/>
                <w:color w:val="000000" w:themeColor="text1"/>
                <w:sz w:val="18"/>
                <w:szCs w:val="18"/>
              </w:rPr>
            </w:pPr>
            <w:hyperlink r:id="rId1286" w:history="1">
              <w:r w:rsidR="00A56EE9" w:rsidRPr="00E70A11">
                <w:rPr>
                  <w:rStyle w:val="Hyperlink"/>
                  <w:rFonts w:ascii="Arial Narrow" w:hAnsi="Arial Narrow"/>
                  <w:color w:val="000000" w:themeColor="text1"/>
                  <w:sz w:val="18"/>
                  <w:szCs w:val="18"/>
                </w:rPr>
                <w:t>Dredge and dredge spoilt material disposal policy</w:t>
              </w:r>
            </w:hyperlink>
          </w:p>
          <w:p w14:paraId="5761FE13" w14:textId="77777777" w:rsidR="00A56EE9" w:rsidRPr="00E70A11" w:rsidRDefault="008B5998" w:rsidP="00A11869">
            <w:pPr>
              <w:pStyle w:val="ListParagraph"/>
              <w:numPr>
                <w:ilvl w:val="0"/>
                <w:numId w:val="99"/>
              </w:numPr>
              <w:spacing w:after="0" w:line="240" w:lineRule="auto"/>
              <w:jc w:val="both"/>
              <w:rPr>
                <w:rStyle w:val="Hyperlink"/>
                <w:rFonts w:ascii="Arial Narrow" w:hAnsi="Arial Narrow"/>
                <w:color w:val="000000" w:themeColor="text1"/>
                <w:sz w:val="18"/>
                <w:szCs w:val="18"/>
              </w:rPr>
            </w:pPr>
            <w:hyperlink r:id="rId1287" w:history="1">
              <w:r w:rsidR="00A56EE9" w:rsidRPr="00E70A11">
                <w:rPr>
                  <w:rStyle w:val="Hyperlink"/>
                  <w:rFonts w:ascii="Arial Narrow" w:hAnsi="Arial Narrow"/>
                  <w:color w:val="000000" w:themeColor="text1"/>
                  <w:sz w:val="18"/>
                  <w:szCs w:val="18"/>
                </w:rPr>
                <w:t>Dredging coral reef habitats</w:t>
              </w:r>
            </w:hyperlink>
          </w:p>
          <w:p w14:paraId="5761FE14" w14:textId="77777777" w:rsidR="00A56EE9" w:rsidRPr="00E70A11" w:rsidRDefault="008B5998" w:rsidP="00A11869">
            <w:pPr>
              <w:pStyle w:val="ListParagraph"/>
              <w:numPr>
                <w:ilvl w:val="0"/>
                <w:numId w:val="99"/>
              </w:numPr>
              <w:spacing w:after="0" w:line="240" w:lineRule="auto"/>
              <w:jc w:val="both"/>
              <w:rPr>
                <w:rFonts w:ascii="Arial Narrow" w:hAnsi="Arial Narrow"/>
                <w:color w:val="000000" w:themeColor="text1"/>
                <w:sz w:val="18"/>
                <w:szCs w:val="18"/>
              </w:rPr>
            </w:pPr>
            <w:hyperlink r:id="rId1288" w:history="1">
              <w:r w:rsidR="00A56EE9" w:rsidRPr="00E70A11">
                <w:rPr>
                  <w:rStyle w:val="Hyperlink"/>
                  <w:rFonts w:ascii="Arial Narrow" w:hAnsi="Arial Narrow"/>
                  <w:color w:val="000000" w:themeColor="text1"/>
                  <w:sz w:val="18"/>
                  <w:szCs w:val="18"/>
                </w:rPr>
                <w:t>Reef Trust Offsets Calculator</w:t>
              </w:r>
            </w:hyperlink>
            <w:r w:rsidR="00A56EE9" w:rsidRPr="00E70A11">
              <w:rPr>
                <w:rFonts w:ascii="Arial Narrow" w:hAnsi="Arial Narrow"/>
                <w:color w:val="000000" w:themeColor="text1"/>
                <w:sz w:val="18"/>
                <w:szCs w:val="18"/>
              </w:rPr>
              <w:t xml:space="preserve"> developed (public launch 2/11/17)</w:t>
            </w:r>
          </w:p>
          <w:p w14:paraId="5761FE15" w14:textId="77777777" w:rsidR="00A56EE9" w:rsidRPr="00E70A11" w:rsidRDefault="00A56EE9" w:rsidP="00A11869">
            <w:pPr>
              <w:pStyle w:val="ListParagraph"/>
              <w:numPr>
                <w:ilvl w:val="0"/>
                <w:numId w:val="99"/>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Reef 2050 Long Term Sustainability Plan</w:t>
            </w:r>
          </w:p>
          <w:p w14:paraId="5761FE16" w14:textId="77777777" w:rsidR="00A56EE9" w:rsidRPr="00E70A11" w:rsidRDefault="00A56EE9" w:rsidP="00BB6AD5">
            <w:pPr>
              <w:pStyle w:val="ListParagraph"/>
              <w:spacing w:after="0" w:line="240" w:lineRule="auto"/>
              <w:ind w:left="360"/>
              <w:jc w:val="both"/>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E17"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E1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E36"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E1A"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ports addresses the major factors influencing the Great Barrier Reef Region’s values.</w:t>
            </w:r>
          </w:p>
        </w:tc>
        <w:tc>
          <w:tcPr>
            <w:tcW w:w="790" w:type="dxa"/>
            <w:tcBorders>
              <w:top w:val="single" w:sz="4" w:space="0" w:color="auto"/>
              <w:left w:val="single" w:sz="4" w:space="0" w:color="auto"/>
              <w:bottom w:val="single" w:sz="4" w:space="0" w:color="auto"/>
              <w:right w:val="single" w:sz="4" w:space="0" w:color="auto"/>
            </w:tcBorders>
          </w:tcPr>
          <w:p w14:paraId="5761FE1B"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E1C" w14:textId="77777777" w:rsidR="00A56EE9" w:rsidRDefault="00A56EE9" w:rsidP="00A11869">
            <w:pPr>
              <w:numPr>
                <w:ilvl w:val="0"/>
                <w:numId w:val="118"/>
              </w:numPr>
              <w:spacing w:before="40" w:after="40" w:line="240" w:lineRule="auto"/>
              <w:rPr>
                <w:rFonts w:ascii="Arial Narrow" w:hAnsi="Arial Narrow"/>
                <w:sz w:val="18"/>
                <w:szCs w:val="18"/>
              </w:rPr>
            </w:pPr>
            <w:r w:rsidRPr="00E70A11">
              <w:rPr>
                <w:rFonts w:ascii="Arial Narrow" w:hAnsi="Arial Narrow"/>
                <w:sz w:val="18"/>
                <w:szCs w:val="18"/>
              </w:rPr>
              <w:t xml:space="preserve">The initiation of the </w:t>
            </w:r>
            <w:hyperlink r:id="rId1289" w:history="1">
              <w:r w:rsidRPr="00E70A11">
                <w:rPr>
                  <w:rStyle w:val="Hyperlink"/>
                  <w:rFonts w:ascii="Arial Narrow" w:hAnsi="Arial Narrow"/>
                  <w:i/>
                  <w:color w:val="000000" w:themeColor="text1"/>
                  <w:sz w:val="18"/>
                  <w:szCs w:val="18"/>
                </w:rPr>
                <w:t>Sustainable Ports Development Act 2015</w:t>
              </w:r>
            </w:hyperlink>
            <w:r w:rsidRPr="00E70A11">
              <w:rPr>
                <w:rFonts w:ascii="Arial Narrow" w:hAnsi="Arial Narrow"/>
                <w:color w:val="000000" w:themeColor="text1"/>
                <w:sz w:val="18"/>
                <w:szCs w:val="18"/>
              </w:rPr>
              <w:t xml:space="preserve"> and associated </w:t>
            </w:r>
            <w:r w:rsidRPr="00E70A11">
              <w:rPr>
                <w:rFonts w:ascii="Arial Narrow" w:hAnsi="Arial Narrow"/>
                <w:sz w:val="18"/>
                <w:szCs w:val="18"/>
              </w:rPr>
              <w:t xml:space="preserve">ports master planning processes, as well as new policies and regulations for dredging within the GBR significantly improve the effectiveness of systems and processes for addressing </w:t>
            </w:r>
            <w:r w:rsidRPr="00E70A11">
              <w:rPr>
                <w:rStyle w:val="BookTitle"/>
                <w:rFonts w:ascii="Arial Narrow" w:hAnsi="Arial Narrow"/>
                <w:sz w:val="18"/>
                <w:szCs w:val="18"/>
              </w:rPr>
              <w:t>the major factors influencing the GBR’s values in relation to the development and maintenance of ports</w:t>
            </w:r>
            <w:r w:rsidRPr="00E70A11">
              <w:rPr>
                <w:rFonts w:ascii="Arial Narrow" w:hAnsi="Arial Narrow"/>
                <w:sz w:val="18"/>
                <w:szCs w:val="18"/>
              </w:rPr>
              <w:t>.</w:t>
            </w:r>
          </w:p>
          <w:p w14:paraId="5761FE1D" w14:textId="77777777" w:rsidR="00A56EE9" w:rsidRPr="00E70A11" w:rsidRDefault="008B5998" w:rsidP="00A11869">
            <w:pPr>
              <w:pStyle w:val="ListBullet"/>
              <w:numPr>
                <w:ilvl w:val="0"/>
                <w:numId w:val="118"/>
              </w:numPr>
              <w:autoSpaceDE w:val="0"/>
              <w:autoSpaceDN w:val="0"/>
              <w:adjustRightInd w:val="0"/>
              <w:spacing w:line="240" w:lineRule="auto"/>
              <w:jc w:val="both"/>
              <w:rPr>
                <w:color w:val="000000" w:themeColor="text1"/>
                <w:lang w:val="en-GB"/>
              </w:rPr>
            </w:pPr>
            <w:hyperlink r:id="rId1290" w:history="1">
              <w:r w:rsidR="00A56EE9" w:rsidRPr="00E70A11">
                <w:rPr>
                  <w:rStyle w:val="Hyperlink"/>
                  <w:color w:val="000000" w:themeColor="text1"/>
                  <w:lang w:val="en"/>
                </w:rPr>
                <w:t>State Development Assessment Provisions</w:t>
              </w:r>
            </w:hyperlink>
            <w:r w:rsidR="00A56EE9" w:rsidRPr="00E70A11">
              <w:rPr>
                <w:color w:val="000000" w:themeColor="text1"/>
                <w:lang w:val="en-GB"/>
              </w:rPr>
              <w:t xml:space="preserve"> (SDAP) have been adopted for ports</w:t>
            </w:r>
            <w:r w:rsidR="00A56EE9" w:rsidRPr="00E70A11">
              <w:rPr>
                <w:rFonts w:cs="Arial"/>
                <w:color w:val="000000" w:themeColor="text1"/>
              </w:rPr>
              <w:t xml:space="preserve">. </w:t>
            </w:r>
          </w:p>
          <w:p w14:paraId="5761FE1E" w14:textId="77777777" w:rsidR="00A56EE9" w:rsidRPr="00E70A11" w:rsidRDefault="00A56EE9" w:rsidP="00A11869">
            <w:pPr>
              <w:pStyle w:val="ListBullet"/>
              <w:numPr>
                <w:ilvl w:val="0"/>
                <w:numId w:val="118"/>
              </w:numPr>
              <w:autoSpaceDE w:val="0"/>
              <w:autoSpaceDN w:val="0"/>
              <w:adjustRightInd w:val="0"/>
              <w:spacing w:line="240" w:lineRule="auto"/>
              <w:jc w:val="both"/>
              <w:rPr>
                <w:iCs/>
                <w:color w:val="000000" w:themeColor="text1"/>
              </w:rPr>
            </w:pPr>
            <w:r w:rsidRPr="00E70A11">
              <w:rPr>
                <w:color w:val="000000" w:themeColor="text1"/>
                <w:lang w:val="en-GB"/>
              </w:rPr>
              <w:t>Dredging and Dredge Spoilt Material Disposal Policy p</w:t>
            </w:r>
            <w:r w:rsidRPr="00E70A11">
              <w:rPr>
                <w:color w:val="000000" w:themeColor="text1"/>
              </w:rPr>
              <w:t>rovide for a consistent and contemporary approach to environmental impact management of dredging and disposal of dredge spoil material in the Marine Park.</w:t>
            </w:r>
          </w:p>
          <w:p w14:paraId="5761FE1F" w14:textId="1B332CF6" w:rsidR="00A56EE9" w:rsidRPr="00E70A11" w:rsidRDefault="00A56EE9" w:rsidP="00A11869">
            <w:pPr>
              <w:numPr>
                <w:ilvl w:val="0"/>
                <w:numId w:val="118"/>
              </w:numPr>
              <w:spacing w:before="40" w:after="40" w:line="240" w:lineRule="auto"/>
              <w:rPr>
                <w:rStyle w:val="BookTitle"/>
                <w:rFonts w:ascii="Arial Narrow" w:hAnsi="Arial Narrow"/>
                <w:sz w:val="18"/>
                <w:szCs w:val="18"/>
              </w:rPr>
            </w:pPr>
            <w:r w:rsidRPr="00E70A11">
              <w:rPr>
                <w:rFonts w:ascii="Arial Narrow" w:hAnsi="Arial Narrow"/>
                <w:sz w:val="18"/>
                <w:szCs w:val="18"/>
              </w:rPr>
              <w:t>While some elements are effectively addressed (e.g. management of dredge spoil), some gaps in knowledge of applicable aspects of port developments and operations, are evident and hence some elements appear to have a sub-optimal basis from which to influence the development and operation of ports to address the major factors influencing the Great Barrier Reef Region’s values</w:t>
            </w:r>
            <w:r w:rsidR="00ED0F5A">
              <w:rPr>
                <w:rFonts w:ascii="Arial Narrow" w:hAnsi="Arial Narrow"/>
                <w:sz w:val="18"/>
                <w:szCs w:val="18"/>
              </w:rPr>
              <w:t xml:space="preserve">. </w:t>
            </w:r>
          </w:p>
        </w:tc>
        <w:tc>
          <w:tcPr>
            <w:tcW w:w="5066" w:type="dxa"/>
            <w:tcBorders>
              <w:top w:val="single" w:sz="4" w:space="0" w:color="auto"/>
              <w:left w:val="single" w:sz="4" w:space="0" w:color="auto"/>
              <w:bottom w:val="single" w:sz="4" w:space="0" w:color="auto"/>
              <w:right w:val="single" w:sz="4" w:space="0" w:color="auto"/>
            </w:tcBorders>
          </w:tcPr>
          <w:p w14:paraId="5761FE20" w14:textId="77777777" w:rsidR="00A56EE9" w:rsidRPr="00097DC7" w:rsidRDefault="00A56EE9" w:rsidP="00A11869">
            <w:pPr>
              <w:pStyle w:val="ListParagraph"/>
              <w:numPr>
                <w:ilvl w:val="0"/>
                <w:numId w:val="98"/>
              </w:numPr>
              <w:spacing w:after="200" w:line="240" w:lineRule="auto"/>
              <w:ind w:left="310" w:hanging="310"/>
              <w:rPr>
                <w:sz w:val="16"/>
                <w:szCs w:val="16"/>
              </w:rPr>
            </w:pPr>
            <w:r w:rsidRPr="00097DC7">
              <w:rPr>
                <w:sz w:val="16"/>
                <w:szCs w:val="16"/>
              </w:rPr>
              <w:t>SPD Act</w:t>
            </w:r>
          </w:p>
          <w:p w14:paraId="5761FE21" w14:textId="77777777" w:rsidR="00A56EE9" w:rsidRPr="00097DC7" w:rsidRDefault="00A56EE9" w:rsidP="00A11869">
            <w:pPr>
              <w:pStyle w:val="ListParagraph"/>
              <w:numPr>
                <w:ilvl w:val="0"/>
                <w:numId w:val="98"/>
              </w:numPr>
              <w:spacing w:after="200" w:line="240" w:lineRule="auto"/>
              <w:ind w:left="310" w:hanging="310"/>
              <w:rPr>
                <w:sz w:val="16"/>
                <w:szCs w:val="16"/>
              </w:rPr>
            </w:pPr>
            <w:r w:rsidRPr="00097DC7">
              <w:rPr>
                <w:sz w:val="16"/>
                <w:szCs w:val="16"/>
              </w:rPr>
              <w:t>MDS</w:t>
            </w:r>
          </w:p>
          <w:p w14:paraId="5761FE22" w14:textId="77777777" w:rsidR="00A56EE9" w:rsidRPr="00097DC7" w:rsidRDefault="00A56EE9" w:rsidP="00A11869">
            <w:pPr>
              <w:pStyle w:val="ListParagraph"/>
              <w:numPr>
                <w:ilvl w:val="0"/>
                <w:numId w:val="98"/>
              </w:numPr>
              <w:spacing w:after="200" w:line="240" w:lineRule="auto"/>
              <w:ind w:left="310" w:hanging="310"/>
              <w:rPr>
                <w:sz w:val="16"/>
                <w:szCs w:val="16"/>
              </w:rPr>
            </w:pPr>
            <w:r w:rsidRPr="00097DC7">
              <w:rPr>
                <w:sz w:val="16"/>
                <w:szCs w:val="16"/>
              </w:rPr>
              <w:t>Code of Practice</w:t>
            </w:r>
          </w:p>
          <w:p w14:paraId="5761FE23" w14:textId="77777777" w:rsidR="00A56EE9" w:rsidRPr="00097DC7" w:rsidRDefault="00A56EE9" w:rsidP="00A11869">
            <w:pPr>
              <w:pStyle w:val="ListParagraph"/>
              <w:numPr>
                <w:ilvl w:val="0"/>
                <w:numId w:val="98"/>
              </w:numPr>
              <w:spacing w:after="200" w:line="240" w:lineRule="auto"/>
              <w:ind w:left="310" w:hanging="310"/>
              <w:rPr>
                <w:sz w:val="16"/>
                <w:szCs w:val="16"/>
              </w:rPr>
            </w:pPr>
            <w:r w:rsidRPr="00097DC7">
              <w:rPr>
                <w:sz w:val="16"/>
                <w:szCs w:val="16"/>
              </w:rPr>
              <w:t xml:space="preserve">Reef 2050 </w:t>
            </w:r>
          </w:p>
          <w:p w14:paraId="5761FE24" w14:textId="77777777" w:rsidR="00A56EE9" w:rsidRPr="00097DC7" w:rsidRDefault="00A56EE9" w:rsidP="00A11869">
            <w:pPr>
              <w:pStyle w:val="ListParagraph"/>
              <w:numPr>
                <w:ilvl w:val="0"/>
                <w:numId w:val="98"/>
              </w:numPr>
              <w:spacing w:after="200" w:line="240" w:lineRule="auto"/>
              <w:ind w:left="310" w:hanging="310"/>
              <w:rPr>
                <w:sz w:val="16"/>
                <w:szCs w:val="16"/>
              </w:rPr>
            </w:pPr>
            <w:r w:rsidRPr="00097DC7">
              <w:rPr>
                <w:sz w:val="16"/>
                <w:szCs w:val="16"/>
              </w:rPr>
              <w:t>New polices</w:t>
            </w:r>
          </w:p>
          <w:p w14:paraId="5761FE25" w14:textId="77777777" w:rsidR="00A56EE9" w:rsidRPr="00097DC7" w:rsidRDefault="008B5998" w:rsidP="00A11869">
            <w:pPr>
              <w:pStyle w:val="ListParagraph"/>
              <w:numPr>
                <w:ilvl w:val="0"/>
                <w:numId w:val="98"/>
              </w:numPr>
              <w:spacing w:after="200" w:line="240" w:lineRule="auto"/>
              <w:ind w:left="310" w:hanging="310"/>
              <w:rPr>
                <w:rStyle w:val="Hyperlink"/>
                <w:sz w:val="16"/>
                <w:szCs w:val="16"/>
              </w:rPr>
            </w:pPr>
            <w:hyperlink r:id="rId1291" w:history="1">
              <w:r w:rsidR="00A56EE9" w:rsidRPr="00097DC7">
                <w:rPr>
                  <w:rStyle w:val="Hyperlink"/>
                  <w:sz w:val="16"/>
                  <w:szCs w:val="16"/>
                </w:rPr>
                <w:t>Great Barrier Reef Marine Park Zoning Plan 2003</w:t>
              </w:r>
            </w:hyperlink>
          </w:p>
          <w:p w14:paraId="5761FE26" w14:textId="77777777" w:rsidR="00A56EE9" w:rsidRPr="00097DC7" w:rsidRDefault="00A56EE9" w:rsidP="00A11869">
            <w:pPr>
              <w:pStyle w:val="ListParagraph"/>
              <w:numPr>
                <w:ilvl w:val="0"/>
                <w:numId w:val="98"/>
              </w:numPr>
              <w:spacing w:after="200" w:line="240" w:lineRule="auto"/>
              <w:ind w:left="310" w:hanging="310"/>
              <w:rPr>
                <w:sz w:val="16"/>
                <w:szCs w:val="16"/>
              </w:rPr>
            </w:pPr>
            <w:r w:rsidRPr="00097DC7">
              <w:rPr>
                <w:sz w:val="16"/>
                <w:szCs w:val="16"/>
              </w:rPr>
              <w:t>Dredging and Dredge Spoilt Material Disposal Policy</w:t>
            </w:r>
          </w:p>
          <w:p w14:paraId="5761FE28" w14:textId="77777777" w:rsidR="00A56EE9" w:rsidRPr="00097DC7" w:rsidDel="00ED33C1" w:rsidRDefault="008B5998" w:rsidP="00A11869">
            <w:pPr>
              <w:pStyle w:val="ListParagraph"/>
              <w:numPr>
                <w:ilvl w:val="0"/>
                <w:numId w:val="98"/>
              </w:numPr>
              <w:spacing w:after="200" w:line="240" w:lineRule="auto"/>
              <w:ind w:left="310" w:hanging="310"/>
              <w:rPr>
                <w:rStyle w:val="Hyperlink"/>
                <w:rFonts w:ascii="Arial Narrow" w:hAnsi="Arial Narrow"/>
                <w:sz w:val="18"/>
                <w:szCs w:val="18"/>
              </w:rPr>
            </w:pPr>
            <w:hyperlink r:id="rId1292" w:history="1">
              <w:r w:rsidR="00A56EE9" w:rsidRPr="00097DC7" w:rsidDel="00ED33C1">
                <w:rPr>
                  <w:rStyle w:val="Hyperlink"/>
                  <w:rFonts w:ascii="Arial Narrow" w:hAnsi="Arial Narrow"/>
                  <w:sz w:val="18"/>
                  <w:szCs w:val="18"/>
                </w:rPr>
                <w:t>Great Barrier Reef Marine Park Zoning Plan 2003</w:t>
              </w:r>
            </w:hyperlink>
          </w:p>
          <w:p w14:paraId="5761FE29" w14:textId="77777777" w:rsidR="00A56EE9" w:rsidRPr="00097DC7" w:rsidDel="00ED33C1" w:rsidRDefault="00A56EE9" w:rsidP="00A11869">
            <w:pPr>
              <w:pStyle w:val="ListParagraph"/>
              <w:numPr>
                <w:ilvl w:val="0"/>
                <w:numId w:val="98"/>
              </w:numPr>
              <w:spacing w:after="0" w:line="240" w:lineRule="auto"/>
              <w:ind w:left="310" w:hanging="310"/>
              <w:jc w:val="both"/>
              <w:rPr>
                <w:rFonts w:ascii="Arial Narrow" w:hAnsi="Arial Narrow"/>
                <w:sz w:val="18"/>
                <w:szCs w:val="18"/>
              </w:rPr>
            </w:pPr>
            <w:r w:rsidRPr="00097DC7" w:rsidDel="00ED33C1">
              <w:rPr>
                <w:rFonts w:ascii="Arial Narrow" w:hAnsi="Arial Narrow"/>
                <w:sz w:val="18"/>
                <w:szCs w:val="18"/>
              </w:rPr>
              <w:t xml:space="preserve">The </w:t>
            </w:r>
            <w:hyperlink r:id="rId1293" w:history="1">
              <w:r w:rsidRPr="00097DC7" w:rsidDel="00ED33C1">
                <w:rPr>
                  <w:rStyle w:val="Hyperlink"/>
                  <w:rFonts w:ascii="Arial Narrow" w:hAnsi="Arial Narrow"/>
                  <w:sz w:val="18"/>
                  <w:szCs w:val="18"/>
                  <w:lang w:val="en"/>
                </w:rPr>
                <w:t>Schedule for State-wide Maintenance Dredging of Queensland Ports (Qld)</w:t>
              </w:r>
            </w:hyperlink>
            <w:r w:rsidRPr="00097DC7" w:rsidDel="00ED33C1">
              <w:rPr>
                <w:rFonts w:ascii="Arial Narrow" w:hAnsi="Arial Narrow"/>
                <w:sz w:val="18"/>
                <w:szCs w:val="18"/>
              </w:rPr>
              <w:t xml:space="preserve"> (Qld Port Association; March 2017) describes the schedule for maintenance dredging of Queensland ports in 2017. The schedule is based on information provided by individual ports and the dredge operator.</w:t>
            </w:r>
          </w:p>
          <w:p w14:paraId="5761FE2A" w14:textId="77777777" w:rsidR="00A56EE9" w:rsidRPr="00097DC7" w:rsidDel="00ED33C1" w:rsidRDefault="00A56EE9" w:rsidP="00A11869">
            <w:pPr>
              <w:pStyle w:val="ListParagraph"/>
              <w:numPr>
                <w:ilvl w:val="0"/>
                <w:numId w:val="98"/>
              </w:numPr>
              <w:spacing w:after="0" w:line="240" w:lineRule="auto"/>
              <w:ind w:left="310" w:hanging="310"/>
              <w:jc w:val="both"/>
              <w:rPr>
                <w:rFonts w:ascii="Arial Narrow" w:hAnsi="Arial Narrow"/>
                <w:sz w:val="18"/>
                <w:szCs w:val="18"/>
              </w:rPr>
            </w:pPr>
            <w:r w:rsidRPr="00097DC7" w:rsidDel="00ED33C1">
              <w:rPr>
                <w:rFonts w:ascii="Arial Narrow" w:hAnsi="Arial Narrow"/>
                <w:sz w:val="18"/>
                <w:szCs w:val="18"/>
              </w:rPr>
              <w:t xml:space="preserve">Gladstone Port </w:t>
            </w:r>
            <w:hyperlink r:id="rId1294" w:anchor="k=" w:history="1">
              <w:r w:rsidRPr="00097DC7" w:rsidDel="00ED33C1">
                <w:rPr>
                  <w:rStyle w:val="Hyperlink"/>
                  <w:rFonts w:ascii="Arial Narrow" w:hAnsi="Arial Narrow"/>
                  <w:sz w:val="18"/>
                  <w:szCs w:val="18"/>
                  <w:lang w:val="en"/>
                </w:rPr>
                <w:t>Environmental Reports &amp; Documents</w:t>
              </w:r>
            </w:hyperlink>
            <w:r w:rsidRPr="00097DC7" w:rsidDel="00ED33C1">
              <w:rPr>
                <w:rStyle w:val="Hyperlink"/>
                <w:rFonts w:ascii="Arial Narrow" w:hAnsi="Arial Narrow"/>
                <w:sz w:val="18"/>
                <w:szCs w:val="18"/>
                <w:lang w:val="en"/>
              </w:rPr>
              <w:t xml:space="preserve">. </w:t>
            </w:r>
            <w:r w:rsidRPr="00097DC7" w:rsidDel="00ED33C1">
              <w:rPr>
                <w:rFonts w:ascii="Arial Narrow" w:hAnsi="Arial Narrow"/>
                <w:sz w:val="18"/>
                <w:szCs w:val="18"/>
              </w:rPr>
              <w:t xml:space="preserve">Master Plan has been released for public comment </w:t>
            </w:r>
          </w:p>
          <w:p w14:paraId="5761FE2B" w14:textId="77777777" w:rsidR="00A56EE9" w:rsidRPr="00097DC7" w:rsidDel="00ED33C1" w:rsidRDefault="00A56EE9" w:rsidP="00A11869">
            <w:pPr>
              <w:pStyle w:val="ListParagraph"/>
              <w:numPr>
                <w:ilvl w:val="0"/>
                <w:numId w:val="98"/>
              </w:numPr>
              <w:spacing w:after="0" w:line="240" w:lineRule="auto"/>
              <w:ind w:left="310" w:hanging="310"/>
              <w:jc w:val="both"/>
              <w:rPr>
                <w:rFonts w:ascii="Arial Narrow" w:hAnsi="Arial Narrow"/>
                <w:sz w:val="18"/>
                <w:szCs w:val="18"/>
              </w:rPr>
            </w:pPr>
            <w:r w:rsidRPr="00097DC7" w:rsidDel="00ED33C1">
              <w:rPr>
                <w:rFonts w:ascii="Arial Narrow" w:hAnsi="Arial Narrow"/>
                <w:sz w:val="18"/>
                <w:szCs w:val="18"/>
              </w:rPr>
              <w:t>Hay Point Port</w:t>
            </w:r>
            <w:r w:rsidRPr="00097DC7" w:rsidDel="00ED33C1">
              <w:rPr>
                <w:rStyle w:val="Hyperlink"/>
                <w:rFonts w:ascii="Arial Narrow" w:hAnsi="Arial Narrow"/>
                <w:sz w:val="18"/>
                <w:szCs w:val="18"/>
                <w:lang w:val="en"/>
              </w:rPr>
              <w:t xml:space="preserve"> </w:t>
            </w:r>
            <w:hyperlink r:id="rId1295" w:history="1">
              <w:r w:rsidRPr="00097DC7" w:rsidDel="00ED33C1">
                <w:rPr>
                  <w:rStyle w:val="Hyperlink"/>
                  <w:rFonts w:ascii="Arial Narrow" w:hAnsi="Arial Narrow"/>
                  <w:sz w:val="18"/>
                  <w:szCs w:val="18"/>
                  <w:lang w:val="en"/>
                </w:rPr>
                <w:t>Environmental Reports &amp; Documents</w:t>
              </w:r>
            </w:hyperlink>
            <w:r w:rsidRPr="00097DC7" w:rsidDel="00ED33C1">
              <w:rPr>
                <w:rFonts w:ascii="Arial Narrow" w:hAnsi="Arial Narrow"/>
                <w:sz w:val="18"/>
                <w:szCs w:val="18"/>
              </w:rPr>
              <w:t xml:space="preserve"> and </w:t>
            </w:r>
            <w:hyperlink r:id="rId1296" w:history="1">
              <w:r w:rsidRPr="00097DC7" w:rsidDel="00ED33C1">
                <w:rPr>
                  <w:rStyle w:val="Hyperlink"/>
                  <w:rFonts w:ascii="Arial Narrow" w:hAnsi="Arial Narrow"/>
                  <w:sz w:val="18"/>
                  <w:szCs w:val="18"/>
                  <w:lang w:val="en"/>
                </w:rPr>
                <w:t>Ambient Air, Noise and Weather Monitoring Reports</w:t>
              </w:r>
            </w:hyperlink>
            <w:r w:rsidRPr="00097DC7" w:rsidDel="00ED33C1">
              <w:rPr>
                <w:rStyle w:val="Hyperlink"/>
                <w:rFonts w:ascii="Arial Narrow" w:hAnsi="Arial Narrow"/>
                <w:sz w:val="18"/>
                <w:szCs w:val="18"/>
                <w:lang w:val="en"/>
              </w:rPr>
              <w:t>.</w:t>
            </w:r>
            <w:r w:rsidRPr="00097DC7" w:rsidDel="00ED33C1">
              <w:rPr>
                <w:rFonts w:ascii="Arial Narrow" w:hAnsi="Arial Narrow"/>
                <w:sz w:val="18"/>
                <w:szCs w:val="18"/>
              </w:rPr>
              <w:t xml:space="preserve"> </w:t>
            </w:r>
            <w:r w:rsidRPr="00097DC7" w:rsidDel="00ED33C1">
              <w:rPr>
                <w:rFonts w:ascii="Arial Narrow" w:hAnsi="Arial Narrow" w:cs="Helvetica"/>
                <w:sz w:val="18"/>
                <w:szCs w:val="18"/>
              </w:rPr>
              <w:t xml:space="preserve">North Queensland Bulk Ports, the draft master plan for Abbot Point is expected to be released in 2017 and the draft master plan for Hay Point/Mackay is due for release in 2018. </w:t>
            </w:r>
            <w:hyperlink r:id="rId1297" w:history="1">
              <w:r w:rsidRPr="00097DC7" w:rsidDel="00ED33C1">
                <w:rPr>
                  <w:rStyle w:val="Hyperlink"/>
                  <w:rFonts w:ascii="Arial Narrow" w:hAnsi="Arial Narrow"/>
                  <w:sz w:val="18"/>
                  <w:szCs w:val="18"/>
                  <w:lang w:val="en"/>
                </w:rPr>
                <w:t>Trade and port development application list</w:t>
              </w:r>
            </w:hyperlink>
          </w:p>
          <w:p w14:paraId="5761FE2C" w14:textId="77777777" w:rsidR="00A56EE9" w:rsidRPr="00097DC7" w:rsidDel="00ED33C1" w:rsidRDefault="00A56EE9" w:rsidP="00A11869">
            <w:pPr>
              <w:pStyle w:val="ListParagraph"/>
              <w:numPr>
                <w:ilvl w:val="0"/>
                <w:numId w:val="98"/>
              </w:numPr>
              <w:spacing w:after="0" w:line="240" w:lineRule="auto"/>
              <w:ind w:left="310" w:hanging="310"/>
              <w:jc w:val="both"/>
              <w:rPr>
                <w:rFonts w:ascii="Arial Narrow" w:hAnsi="Arial Narrow"/>
                <w:sz w:val="18"/>
                <w:szCs w:val="18"/>
              </w:rPr>
            </w:pPr>
            <w:r w:rsidRPr="00097DC7" w:rsidDel="00ED33C1">
              <w:rPr>
                <w:rFonts w:ascii="Arial Narrow" w:hAnsi="Arial Narrow"/>
                <w:sz w:val="18"/>
                <w:szCs w:val="18"/>
              </w:rPr>
              <w:t xml:space="preserve">Abbott Point Port Environmental Reports &amp; Documents </w:t>
            </w:r>
          </w:p>
          <w:p w14:paraId="5761FE2D" w14:textId="77777777" w:rsidR="00A56EE9" w:rsidRPr="00097DC7" w:rsidDel="00ED33C1" w:rsidRDefault="00A56EE9" w:rsidP="00A11869">
            <w:pPr>
              <w:pStyle w:val="ListParagraph"/>
              <w:numPr>
                <w:ilvl w:val="1"/>
                <w:numId w:val="98"/>
              </w:numPr>
              <w:spacing w:after="0" w:line="240" w:lineRule="auto"/>
              <w:ind w:left="594" w:hanging="284"/>
              <w:jc w:val="both"/>
              <w:rPr>
                <w:rFonts w:ascii="Arial Narrow" w:hAnsi="Arial Narrow"/>
                <w:sz w:val="18"/>
                <w:szCs w:val="18"/>
              </w:rPr>
            </w:pPr>
            <w:r w:rsidRPr="00097DC7" w:rsidDel="00ED33C1">
              <w:rPr>
                <w:rFonts w:ascii="Arial Narrow" w:hAnsi="Arial Narrow"/>
                <w:sz w:val="18"/>
                <w:szCs w:val="18"/>
              </w:rPr>
              <w:t xml:space="preserve">Thompson A, Costello P, Davidson J (2016) </w:t>
            </w:r>
            <w:hyperlink r:id="rId1298" w:history="1">
              <w:r w:rsidRPr="00097DC7" w:rsidDel="00ED33C1">
                <w:rPr>
                  <w:rStyle w:val="Hyperlink"/>
                  <w:rFonts w:ascii="Arial Narrow" w:hAnsi="Arial Narrow"/>
                  <w:sz w:val="18"/>
                  <w:szCs w:val="18"/>
                  <w:lang w:val="en"/>
                </w:rPr>
                <w:t>Port of Abbot Point Ambient Monitoring Program: Baseline Report 2016.</w:t>
              </w:r>
            </w:hyperlink>
            <w:r w:rsidRPr="00097DC7" w:rsidDel="00ED33C1">
              <w:rPr>
                <w:rFonts w:ascii="Arial Narrow" w:hAnsi="Arial Narrow"/>
                <w:sz w:val="18"/>
                <w:szCs w:val="18"/>
              </w:rPr>
              <w:t xml:space="preserve"> Report prepared for North Queensland Bulk Ports. Australian Institute of Marine Science, Townsville.</w:t>
            </w:r>
          </w:p>
          <w:p w14:paraId="5761FE2E" w14:textId="77777777" w:rsidR="00A56EE9" w:rsidRPr="00097DC7" w:rsidDel="00ED33C1" w:rsidRDefault="008B5998" w:rsidP="00A11869">
            <w:pPr>
              <w:pStyle w:val="ListParagraph"/>
              <w:numPr>
                <w:ilvl w:val="1"/>
                <w:numId w:val="98"/>
              </w:numPr>
              <w:spacing w:after="0" w:line="240" w:lineRule="auto"/>
              <w:ind w:left="594" w:hanging="284"/>
              <w:jc w:val="both"/>
              <w:rPr>
                <w:rFonts w:ascii="Arial Narrow" w:hAnsi="Arial Narrow"/>
                <w:sz w:val="18"/>
                <w:szCs w:val="18"/>
              </w:rPr>
            </w:pPr>
            <w:hyperlink r:id="rId1299" w:history="1">
              <w:r w:rsidR="00A56EE9" w:rsidRPr="00097DC7" w:rsidDel="00ED33C1">
                <w:rPr>
                  <w:rStyle w:val="Hyperlink"/>
                  <w:rFonts w:ascii="Arial Narrow" w:hAnsi="Arial Narrow"/>
                  <w:sz w:val="18"/>
                  <w:szCs w:val="18"/>
                  <w:lang w:val="en"/>
                </w:rPr>
                <w:t>Port of Abbot Point Ambient Coral Monitoring Program: Monitoring plan</w:t>
              </w:r>
            </w:hyperlink>
            <w:r w:rsidR="00A56EE9" w:rsidRPr="00097DC7" w:rsidDel="00ED33C1">
              <w:rPr>
                <w:rFonts w:ascii="Arial Narrow" w:hAnsi="Arial Narrow" w:cs="Calibri"/>
                <w:bCs/>
                <w:sz w:val="18"/>
                <w:szCs w:val="18"/>
              </w:rPr>
              <w:t xml:space="preserve"> (August 2016) AIMS. </w:t>
            </w:r>
          </w:p>
          <w:p w14:paraId="5761FE2F" w14:textId="77777777" w:rsidR="00A56EE9" w:rsidRPr="00097DC7" w:rsidDel="00ED33C1" w:rsidRDefault="00A56EE9" w:rsidP="00A11869">
            <w:pPr>
              <w:pStyle w:val="ListParagraph"/>
              <w:numPr>
                <w:ilvl w:val="1"/>
                <w:numId w:val="98"/>
              </w:numPr>
              <w:spacing w:after="0" w:line="240" w:lineRule="auto"/>
              <w:ind w:left="594" w:hanging="284"/>
              <w:jc w:val="both"/>
              <w:rPr>
                <w:rFonts w:ascii="Arial Narrow" w:hAnsi="Arial Narrow"/>
                <w:sz w:val="18"/>
                <w:szCs w:val="18"/>
              </w:rPr>
            </w:pPr>
            <w:r w:rsidRPr="00097DC7" w:rsidDel="00ED33C1">
              <w:rPr>
                <w:rFonts w:ascii="Arial Narrow" w:hAnsi="Arial Narrow"/>
                <w:bCs/>
                <w:sz w:val="18"/>
                <w:szCs w:val="18"/>
              </w:rPr>
              <w:t xml:space="preserve">NQPB, </w:t>
            </w:r>
            <w:hyperlink r:id="rId1300" w:history="1">
              <w:r w:rsidRPr="00097DC7" w:rsidDel="00ED33C1">
                <w:rPr>
                  <w:rStyle w:val="Hyperlink"/>
                  <w:rFonts w:ascii="Arial Narrow" w:hAnsi="Arial Narrow"/>
                  <w:sz w:val="18"/>
                  <w:szCs w:val="18"/>
                  <w:lang w:val="en"/>
                </w:rPr>
                <w:t>Environment and Planning Policy Tasks – 2016-17</w:t>
              </w:r>
            </w:hyperlink>
            <w:r w:rsidRPr="00097DC7" w:rsidDel="00ED33C1">
              <w:rPr>
                <w:rFonts w:ascii="Arial Narrow" w:hAnsi="Arial Narrow"/>
                <w:bCs/>
                <w:sz w:val="18"/>
                <w:szCs w:val="18"/>
              </w:rPr>
              <w:t xml:space="preserve"> </w:t>
            </w:r>
          </w:p>
          <w:p w14:paraId="5761FE30" w14:textId="77777777" w:rsidR="00A56EE9" w:rsidRPr="00097DC7" w:rsidDel="00ED33C1" w:rsidRDefault="00A56EE9" w:rsidP="00A11869">
            <w:pPr>
              <w:pStyle w:val="ListParagraph"/>
              <w:numPr>
                <w:ilvl w:val="1"/>
                <w:numId w:val="98"/>
              </w:numPr>
              <w:spacing w:after="0" w:line="240" w:lineRule="auto"/>
              <w:ind w:left="594" w:hanging="284"/>
              <w:jc w:val="both"/>
              <w:rPr>
                <w:rFonts w:ascii="Arial Narrow" w:hAnsi="Arial Narrow"/>
                <w:sz w:val="18"/>
                <w:szCs w:val="18"/>
              </w:rPr>
            </w:pPr>
            <w:r w:rsidRPr="00097DC7" w:rsidDel="00ED33C1">
              <w:rPr>
                <w:rFonts w:ascii="Arial Narrow" w:hAnsi="Arial Narrow"/>
                <w:sz w:val="18"/>
                <w:szCs w:val="18"/>
              </w:rPr>
              <w:t xml:space="preserve">NQBP, </w:t>
            </w:r>
            <w:hyperlink r:id="rId1301" w:history="1">
              <w:r w:rsidRPr="00097DC7" w:rsidDel="00ED33C1">
                <w:rPr>
                  <w:rStyle w:val="Hyperlink"/>
                  <w:rFonts w:ascii="Arial Narrow" w:hAnsi="Arial Narrow" w:cs="CompactaBT-Bold"/>
                  <w:sz w:val="18"/>
                  <w:szCs w:val="18"/>
                </w:rPr>
                <w:t>Sustainability Plan 2015+ A Targeted Plan For Our Business</w:t>
              </w:r>
            </w:hyperlink>
            <w:r w:rsidRPr="00097DC7" w:rsidDel="00ED33C1">
              <w:rPr>
                <w:rFonts w:ascii="Arial Narrow" w:hAnsi="Arial Narrow" w:cs="CompactaBT-Bold"/>
                <w:bCs/>
                <w:sz w:val="18"/>
                <w:szCs w:val="18"/>
              </w:rPr>
              <w:t xml:space="preserve"> </w:t>
            </w:r>
          </w:p>
          <w:p w14:paraId="5761FE31" w14:textId="77777777" w:rsidR="00A56EE9" w:rsidRPr="00097DC7" w:rsidDel="00ED33C1" w:rsidRDefault="00A56EE9" w:rsidP="00A11869">
            <w:pPr>
              <w:pStyle w:val="ListParagraph"/>
              <w:numPr>
                <w:ilvl w:val="0"/>
                <w:numId w:val="98"/>
              </w:numPr>
              <w:spacing w:after="0" w:line="240" w:lineRule="auto"/>
              <w:ind w:left="310" w:hanging="310"/>
              <w:jc w:val="both"/>
              <w:rPr>
                <w:rFonts w:ascii="Arial Narrow" w:hAnsi="Arial Narrow"/>
                <w:sz w:val="18"/>
                <w:szCs w:val="18"/>
              </w:rPr>
            </w:pPr>
            <w:r w:rsidRPr="00097DC7" w:rsidDel="00ED33C1">
              <w:rPr>
                <w:rFonts w:ascii="Arial Narrow" w:hAnsi="Arial Narrow"/>
                <w:sz w:val="18"/>
                <w:szCs w:val="18"/>
              </w:rPr>
              <w:t xml:space="preserve">Townsville Port Environmental Reports &amp; Documents. </w:t>
            </w:r>
            <w:hyperlink r:id="rId1302" w:history="1">
              <w:r w:rsidRPr="00097DC7" w:rsidDel="00ED33C1">
                <w:rPr>
                  <w:rStyle w:val="Hyperlink"/>
                  <w:rFonts w:ascii="Arial Narrow" w:hAnsi="Arial Narrow"/>
                  <w:sz w:val="18"/>
                  <w:szCs w:val="18"/>
                </w:rPr>
                <w:t>Approvals</w:t>
              </w:r>
            </w:hyperlink>
            <w:r w:rsidRPr="00097DC7" w:rsidDel="00ED33C1">
              <w:rPr>
                <w:rFonts w:ascii="Arial Narrow" w:hAnsi="Arial Narrow"/>
                <w:sz w:val="18"/>
                <w:szCs w:val="18"/>
              </w:rPr>
              <w:t xml:space="preserve">. </w:t>
            </w:r>
            <w:hyperlink r:id="rId1303" w:history="1">
              <w:r w:rsidRPr="00097DC7" w:rsidDel="00ED33C1">
                <w:rPr>
                  <w:rStyle w:val="Hyperlink"/>
                  <w:rFonts w:ascii="Arial Narrow" w:hAnsi="Arial Narrow"/>
                  <w:sz w:val="18"/>
                  <w:szCs w:val="18"/>
                </w:rPr>
                <w:t>Port expansion project</w:t>
              </w:r>
            </w:hyperlink>
            <w:r w:rsidRPr="00097DC7" w:rsidDel="00ED33C1">
              <w:rPr>
                <w:rFonts w:ascii="Arial Narrow" w:hAnsi="Arial Narrow"/>
                <w:sz w:val="18"/>
                <w:szCs w:val="18"/>
              </w:rPr>
              <w:t xml:space="preserve"> to start early 2018. </w:t>
            </w:r>
            <w:hyperlink r:id="rId1304" w:history="1">
              <w:r w:rsidRPr="00097DC7" w:rsidDel="00ED33C1">
                <w:rPr>
                  <w:rStyle w:val="Hyperlink"/>
                  <w:rFonts w:ascii="Arial Narrow" w:hAnsi="Arial Narrow"/>
                  <w:sz w:val="18"/>
                  <w:szCs w:val="18"/>
                </w:rPr>
                <w:t>Air monitoring</w:t>
              </w:r>
            </w:hyperlink>
            <w:r w:rsidRPr="00097DC7" w:rsidDel="00ED33C1">
              <w:rPr>
                <w:rFonts w:ascii="Arial Narrow" w:hAnsi="Arial Narrow"/>
                <w:sz w:val="18"/>
                <w:szCs w:val="18"/>
              </w:rPr>
              <w:t xml:space="preserve">. </w:t>
            </w:r>
            <w:hyperlink r:id="rId1305" w:history="1">
              <w:r w:rsidRPr="00097DC7" w:rsidDel="00ED33C1">
                <w:rPr>
                  <w:rStyle w:val="Hyperlink"/>
                  <w:rFonts w:ascii="Arial Narrow" w:hAnsi="Arial Narrow"/>
                  <w:sz w:val="18"/>
                  <w:szCs w:val="18"/>
                </w:rPr>
                <w:t>Dredge monitoring</w:t>
              </w:r>
            </w:hyperlink>
            <w:r w:rsidRPr="00097DC7" w:rsidDel="00ED33C1">
              <w:rPr>
                <w:rFonts w:ascii="Arial Narrow" w:hAnsi="Arial Narrow"/>
                <w:sz w:val="18"/>
                <w:szCs w:val="18"/>
              </w:rPr>
              <w:t xml:space="preserve">. </w:t>
            </w:r>
            <w:hyperlink r:id="rId1306" w:history="1">
              <w:r w:rsidRPr="00097DC7" w:rsidDel="00ED33C1">
                <w:rPr>
                  <w:rStyle w:val="Hyperlink"/>
                  <w:rFonts w:ascii="Arial Narrow" w:hAnsi="Arial Narrow"/>
                  <w:sz w:val="18"/>
                  <w:szCs w:val="18"/>
                </w:rPr>
                <w:t>Seagrass Report</w:t>
              </w:r>
            </w:hyperlink>
            <w:r w:rsidRPr="00097DC7" w:rsidDel="00ED33C1">
              <w:rPr>
                <w:rFonts w:ascii="Arial Narrow" w:hAnsi="Arial Narrow"/>
                <w:sz w:val="18"/>
                <w:szCs w:val="18"/>
              </w:rPr>
              <w:t xml:space="preserve"> and JCU </w:t>
            </w:r>
            <w:hyperlink r:id="rId1307" w:history="1">
              <w:r w:rsidRPr="00097DC7" w:rsidDel="00ED33C1">
                <w:rPr>
                  <w:rStyle w:val="Hyperlink"/>
                  <w:rFonts w:ascii="Arial Narrow" w:hAnsi="Arial Narrow"/>
                  <w:sz w:val="18"/>
                  <w:szCs w:val="18"/>
                  <w:lang w:val="en"/>
                </w:rPr>
                <w:t>TropWATER</w:t>
              </w:r>
            </w:hyperlink>
            <w:r w:rsidRPr="00097DC7" w:rsidDel="00ED33C1">
              <w:rPr>
                <w:rFonts w:ascii="Arial Narrow" w:hAnsi="Arial Narrow"/>
                <w:sz w:val="18"/>
                <w:szCs w:val="18"/>
                <w:lang w:val="en"/>
              </w:rPr>
              <w:t>.</w:t>
            </w:r>
            <w:r w:rsidRPr="00097DC7">
              <w:rPr>
                <w:rFonts w:ascii="Arial Narrow" w:hAnsi="Arial Narrow"/>
                <w:sz w:val="18"/>
                <w:szCs w:val="18"/>
              </w:rPr>
              <w:t xml:space="preserve"> </w:t>
            </w:r>
            <w:r w:rsidRPr="00097DC7" w:rsidDel="00ED33C1">
              <w:rPr>
                <w:rFonts w:ascii="Arial Narrow" w:hAnsi="Arial Narrow"/>
                <w:sz w:val="18"/>
                <w:szCs w:val="18"/>
              </w:rPr>
              <w:t>Master planning process underway</w:t>
            </w:r>
          </w:p>
          <w:p w14:paraId="5761FE32" w14:textId="77777777" w:rsidR="00A56EE9" w:rsidRPr="00097DC7" w:rsidDel="00ED33C1" w:rsidRDefault="00A56EE9" w:rsidP="00A11869">
            <w:pPr>
              <w:pStyle w:val="ListParagraph"/>
              <w:numPr>
                <w:ilvl w:val="0"/>
                <w:numId w:val="98"/>
              </w:numPr>
              <w:spacing w:after="0" w:line="240" w:lineRule="auto"/>
              <w:ind w:left="310" w:hanging="310"/>
              <w:jc w:val="both"/>
              <w:rPr>
                <w:rFonts w:ascii="Arial Narrow" w:hAnsi="Arial Narrow"/>
                <w:sz w:val="18"/>
                <w:szCs w:val="18"/>
              </w:rPr>
            </w:pPr>
            <w:r w:rsidRPr="00097DC7" w:rsidDel="00ED33C1">
              <w:rPr>
                <w:rFonts w:ascii="Arial Narrow" w:hAnsi="Arial Narrow"/>
                <w:sz w:val="18"/>
                <w:szCs w:val="18"/>
              </w:rPr>
              <w:t xml:space="preserve">Cairns Port </w:t>
            </w:r>
            <w:hyperlink r:id="rId1308" w:history="1">
              <w:r w:rsidRPr="00097DC7" w:rsidDel="00ED33C1">
                <w:rPr>
                  <w:rStyle w:val="Hyperlink"/>
                  <w:rFonts w:ascii="Arial Narrow" w:hAnsi="Arial Narrow"/>
                  <w:sz w:val="18"/>
                  <w:szCs w:val="18"/>
                </w:rPr>
                <w:t>Environmental Reports &amp; Documents</w:t>
              </w:r>
            </w:hyperlink>
            <w:r w:rsidRPr="00097DC7" w:rsidDel="00ED33C1">
              <w:rPr>
                <w:rFonts w:ascii="Arial Narrow" w:hAnsi="Arial Narrow"/>
                <w:sz w:val="18"/>
                <w:szCs w:val="18"/>
              </w:rPr>
              <w:t xml:space="preserve">. Cairns Shipping Development Project - </w:t>
            </w:r>
            <w:hyperlink r:id="rId1309" w:history="1">
              <w:r w:rsidRPr="00097DC7" w:rsidDel="00ED33C1">
                <w:rPr>
                  <w:rStyle w:val="Hyperlink"/>
                  <w:rFonts w:ascii="Arial Narrow" w:hAnsi="Arial Narrow"/>
                  <w:sz w:val="18"/>
                  <w:szCs w:val="18"/>
                </w:rPr>
                <w:t>Revised Draft</w:t>
              </w:r>
            </w:hyperlink>
            <w:r w:rsidRPr="00097DC7" w:rsidDel="00ED33C1">
              <w:rPr>
                <w:rFonts w:ascii="Arial Narrow" w:hAnsi="Arial Narrow"/>
                <w:sz w:val="18"/>
                <w:szCs w:val="18"/>
              </w:rPr>
              <w:t xml:space="preserve"> Environmental Impact Statement - </w:t>
            </w:r>
            <w:hyperlink r:id="rId1310" w:history="1">
              <w:r w:rsidRPr="00097DC7" w:rsidDel="00ED33C1">
                <w:rPr>
                  <w:rStyle w:val="Hyperlink"/>
                  <w:rFonts w:ascii="Arial Narrow" w:hAnsi="Arial Narrow"/>
                  <w:sz w:val="18"/>
                  <w:szCs w:val="18"/>
                </w:rPr>
                <w:t>Fact Sheet July 2017</w:t>
              </w:r>
            </w:hyperlink>
            <w:r w:rsidRPr="00097DC7" w:rsidDel="00ED33C1">
              <w:rPr>
                <w:rFonts w:ascii="Arial Narrow" w:hAnsi="Arial Narrow"/>
                <w:sz w:val="18"/>
                <w:szCs w:val="18"/>
              </w:rPr>
              <w:t xml:space="preserve">. </w:t>
            </w:r>
          </w:p>
          <w:p w14:paraId="5761FE33" w14:textId="77777777" w:rsidR="00A56EE9" w:rsidRPr="00097DC7" w:rsidRDefault="008B5998" w:rsidP="00A11869">
            <w:pPr>
              <w:pStyle w:val="ListBullet"/>
              <w:numPr>
                <w:ilvl w:val="0"/>
                <w:numId w:val="98"/>
              </w:numPr>
              <w:autoSpaceDE w:val="0"/>
              <w:autoSpaceDN w:val="0"/>
              <w:adjustRightInd w:val="0"/>
              <w:spacing w:line="240" w:lineRule="auto"/>
              <w:ind w:left="310" w:hanging="310"/>
              <w:jc w:val="both"/>
              <w:rPr>
                <w:rStyle w:val="BookTitle"/>
                <w:rFonts w:cs="AdvGulliv-R"/>
              </w:rPr>
            </w:pPr>
            <w:hyperlink r:id="rId1311" w:history="1">
              <w:r w:rsidR="00A56EE9" w:rsidRPr="00097DC7" w:rsidDel="00ED33C1">
                <w:rPr>
                  <w:rStyle w:val="Hyperlink"/>
                </w:rPr>
                <w:t>‘</w:t>
              </w:r>
              <w:r w:rsidR="00A56EE9" w:rsidRPr="00097DC7" w:rsidDel="00ED33C1">
                <w:rPr>
                  <w:rStyle w:val="Hyperlink"/>
                  <w:rFonts w:cs="HelveticaNeue-HeavyCond"/>
                </w:rPr>
                <w:t>Environmental Code of Practice for Dredging and Dredged Material Management’</w:t>
              </w:r>
            </w:hyperlink>
            <w:r w:rsidR="00A56EE9" w:rsidRPr="00097DC7" w:rsidDel="00ED33C1">
              <w:rPr>
                <w:rFonts w:cs="HelveticaNeue-HeavyCond"/>
              </w:rPr>
              <w:t xml:space="preserve"> (</w:t>
            </w:r>
            <w:r w:rsidR="00A56EE9" w:rsidRPr="00097DC7" w:rsidDel="00ED33C1">
              <w:rPr>
                <w:rFonts w:cs="HelveticaNeue-Condensed"/>
              </w:rPr>
              <w:t>August 2016) Ports Australia</w:t>
            </w:r>
            <w:r w:rsidR="00A56EE9" w:rsidRPr="00097DC7">
              <w:rPr>
                <w:rFonts w:cs="HelveticaNeue-Condensed"/>
              </w:rPr>
              <w:t xml:space="preserve"> </w:t>
            </w:r>
          </w:p>
        </w:tc>
        <w:tc>
          <w:tcPr>
            <w:tcW w:w="984" w:type="dxa"/>
            <w:tcBorders>
              <w:top w:val="single" w:sz="4" w:space="0" w:color="auto"/>
              <w:left w:val="single" w:sz="4" w:space="0" w:color="auto"/>
              <w:bottom w:val="single" w:sz="4" w:space="0" w:color="auto"/>
              <w:right w:val="single" w:sz="4" w:space="0" w:color="auto"/>
            </w:tcBorders>
          </w:tcPr>
          <w:p w14:paraId="5761FE34"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E3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E44"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E37"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ports are clearly identified within the plan </w:t>
            </w:r>
          </w:p>
        </w:tc>
        <w:tc>
          <w:tcPr>
            <w:tcW w:w="790" w:type="dxa"/>
            <w:tcBorders>
              <w:top w:val="single" w:sz="4" w:space="0" w:color="auto"/>
              <w:left w:val="single" w:sz="4" w:space="0" w:color="auto"/>
              <w:bottom w:val="single" w:sz="4" w:space="0" w:color="auto"/>
              <w:right w:val="single" w:sz="4" w:space="0" w:color="auto"/>
            </w:tcBorders>
            <w:shd w:val="clear" w:color="auto" w:fill="auto"/>
          </w:tcPr>
          <w:p w14:paraId="5761FE38"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E39" w14:textId="77777777" w:rsidR="00A56EE9" w:rsidRPr="00E70A11" w:rsidRDefault="00A56EE9" w:rsidP="00A11869">
            <w:pPr>
              <w:pStyle w:val="ListParagraph"/>
              <w:numPr>
                <w:ilvl w:val="0"/>
                <w:numId w:val="99"/>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Port related actions are clearly identified in Reef 2050.</w:t>
            </w:r>
          </w:p>
          <w:p w14:paraId="5761FE3A" w14:textId="77777777" w:rsidR="00A56EE9" w:rsidRPr="00E70A11" w:rsidRDefault="00A56EE9" w:rsidP="00A11869">
            <w:pPr>
              <w:pStyle w:val="ListParagraph"/>
              <w:numPr>
                <w:ilvl w:val="0"/>
                <w:numId w:val="99"/>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The suite of policies and guidelines pertaining to port developments is extensive.</w:t>
            </w:r>
          </w:p>
          <w:p w14:paraId="5761FE3B" w14:textId="77777777" w:rsidR="00A56EE9" w:rsidRPr="00E70A11" w:rsidRDefault="00A56EE9" w:rsidP="00A11869">
            <w:pPr>
              <w:pStyle w:val="ListParagraph"/>
              <w:numPr>
                <w:ilvl w:val="0"/>
                <w:numId w:val="99"/>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 xml:space="preserve">The Queensland GBR priority ports master planning process has been initiated, but has not kept up with the indicative timing (as announced by Minister for State Development in November 2015) - </w:t>
            </w:r>
            <w:r w:rsidRPr="00E70A11">
              <w:rPr>
                <w:rFonts w:ascii="Arial Narrow" w:hAnsi="Arial Narrow"/>
                <w:i/>
                <w:color w:val="000000" w:themeColor="text1"/>
                <w:sz w:val="18"/>
                <w:szCs w:val="18"/>
              </w:rPr>
              <w:t>Master planning is underway at Gladstone and starts in the first quarter of 2016 at Abbot Point, in the second quarter of 2016 in Townsville and in 2017 at Hay Point/Mackay</w:t>
            </w:r>
            <w:r w:rsidRPr="00E70A11">
              <w:rPr>
                <w:rFonts w:ascii="Arial Narrow" w:hAnsi="Arial Narrow"/>
                <w:color w:val="000000" w:themeColor="text1"/>
                <w:sz w:val="18"/>
                <w:szCs w:val="18"/>
              </w:rPr>
              <w:t>. As of April 2018, priority port master planning development status is:</w:t>
            </w:r>
          </w:p>
          <w:p w14:paraId="5761FE3C" w14:textId="77777777" w:rsidR="00A56EE9" w:rsidRPr="00E70A11" w:rsidRDefault="00A56EE9" w:rsidP="00A11869">
            <w:pPr>
              <w:pStyle w:val="ListParagraph"/>
              <w:numPr>
                <w:ilvl w:val="1"/>
                <w:numId w:val="122"/>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Gladstone – draft master plan released for public comment in August 2017. Note that the draft ‘master plan’ details the need for a number of subordinate plans and guidelines required to implement the master plan; it is understood that these subordinate plans and guidelines have yet to be developed.</w:t>
            </w:r>
          </w:p>
          <w:p w14:paraId="5761FE3D" w14:textId="77777777" w:rsidR="00A56EE9" w:rsidRPr="00E70A11" w:rsidRDefault="00A56EE9" w:rsidP="00A11869">
            <w:pPr>
              <w:pStyle w:val="ListParagraph"/>
              <w:numPr>
                <w:ilvl w:val="1"/>
                <w:numId w:val="122"/>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Townsville – government announced commencement of master planning process in February 2017, but no draft master plan yet available.</w:t>
            </w:r>
          </w:p>
          <w:p w14:paraId="5761FE3E" w14:textId="77777777" w:rsidR="00A56EE9" w:rsidRPr="00E70A11" w:rsidRDefault="00A56EE9" w:rsidP="00A11869">
            <w:pPr>
              <w:pStyle w:val="ListParagraph"/>
              <w:numPr>
                <w:ilvl w:val="1"/>
                <w:numId w:val="122"/>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Abbot Point – no information available.</w:t>
            </w:r>
          </w:p>
          <w:p w14:paraId="5761FE3F" w14:textId="77777777" w:rsidR="00A56EE9" w:rsidRPr="00E70A11" w:rsidRDefault="00A56EE9" w:rsidP="00A11869">
            <w:pPr>
              <w:pStyle w:val="ListParagraph"/>
              <w:numPr>
                <w:ilvl w:val="1"/>
                <w:numId w:val="122"/>
              </w:numPr>
              <w:spacing w:after="0" w:line="240" w:lineRule="auto"/>
              <w:jc w:val="both"/>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Hay Point / Mackay – no information available.</w:t>
            </w:r>
          </w:p>
        </w:tc>
        <w:tc>
          <w:tcPr>
            <w:tcW w:w="5066" w:type="dxa"/>
            <w:tcBorders>
              <w:top w:val="single" w:sz="4" w:space="0" w:color="auto"/>
              <w:left w:val="single" w:sz="4" w:space="0" w:color="auto"/>
              <w:bottom w:val="single" w:sz="4" w:space="0" w:color="auto"/>
              <w:right w:val="single" w:sz="4" w:space="0" w:color="auto"/>
            </w:tcBorders>
          </w:tcPr>
          <w:p w14:paraId="5761FE40" w14:textId="77777777" w:rsidR="00A56EE9" w:rsidRPr="00E70A11" w:rsidRDefault="008B5998" w:rsidP="00A11869">
            <w:pPr>
              <w:pStyle w:val="ListParagraph"/>
              <w:numPr>
                <w:ilvl w:val="0"/>
                <w:numId w:val="108"/>
              </w:numPr>
              <w:spacing w:after="200" w:line="276" w:lineRule="auto"/>
              <w:ind w:left="398" w:hanging="398"/>
              <w:rPr>
                <w:rFonts w:ascii="Arial Narrow" w:hAnsi="Arial Narrow"/>
                <w:color w:val="000000" w:themeColor="text1"/>
                <w:sz w:val="18"/>
                <w:szCs w:val="18"/>
              </w:rPr>
            </w:pPr>
            <w:hyperlink r:id="rId1312" w:history="1">
              <w:r w:rsidR="00A56EE9" w:rsidRPr="00E70A11">
                <w:rPr>
                  <w:rStyle w:val="Hyperlink"/>
                  <w:rFonts w:ascii="Arial Narrow" w:hAnsi="Arial Narrow"/>
                  <w:color w:val="000000" w:themeColor="text1"/>
                  <w:sz w:val="18"/>
                  <w:szCs w:val="18"/>
                </w:rPr>
                <w:t>Reef 2050 Long-Term Sustainability Plan</w:t>
              </w:r>
            </w:hyperlink>
          </w:p>
          <w:p w14:paraId="5761FE41" w14:textId="77777777" w:rsidR="00A56EE9" w:rsidRPr="00E70A11" w:rsidRDefault="00A56EE9" w:rsidP="00BB6AD5">
            <w:pPr>
              <w:ind w:left="360"/>
              <w:jc w:val="both"/>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E42"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E4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E72"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E45"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ports have been documented</w:t>
            </w:r>
          </w:p>
        </w:tc>
        <w:tc>
          <w:tcPr>
            <w:tcW w:w="790" w:type="dxa"/>
            <w:tcBorders>
              <w:top w:val="single" w:sz="4" w:space="0" w:color="auto"/>
              <w:left w:val="single" w:sz="4" w:space="0" w:color="auto"/>
              <w:bottom w:val="single" w:sz="4" w:space="0" w:color="auto"/>
              <w:right w:val="single" w:sz="4" w:space="0" w:color="auto"/>
            </w:tcBorders>
          </w:tcPr>
          <w:p w14:paraId="5761FE46"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E47" w14:textId="77777777" w:rsidR="00A56EE9" w:rsidRPr="00E70A11" w:rsidRDefault="00A56EE9" w:rsidP="00A11869">
            <w:pPr>
              <w:pStyle w:val="ListBullet"/>
              <w:numPr>
                <w:ilvl w:val="0"/>
                <w:numId w:val="93"/>
              </w:numPr>
              <w:autoSpaceDE w:val="0"/>
              <w:autoSpaceDN w:val="0"/>
              <w:adjustRightInd w:val="0"/>
              <w:spacing w:line="240" w:lineRule="auto"/>
              <w:rPr>
                <w:b/>
                <w:u w:val="single"/>
              </w:rPr>
            </w:pPr>
            <w:r w:rsidRPr="00E70A11">
              <w:t>Queensland has articulated four guiding principles for the development of (priority) ports, as follow:</w:t>
            </w:r>
          </w:p>
          <w:p w14:paraId="5761FE48" w14:textId="77777777" w:rsidR="00A56EE9" w:rsidRPr="00E70A11" w:rsidRDefault="00A56EE9" w:rsidP="00A11869">
            <w:pPr>
              <w:pStyle w:val="ListBullet"/>
              <w:numPr>
                <w:ilvl w:val="1"/>
                <w:numId w:val="93"/>
              </w:numPr>
              <w:autoSpaceDE w:val="0"/>
              <w:autoSpaceDN w:val="0"/>
              <w:adjustRightInd w:val="0"/>
              <w:spacing w:line="240" w:lineRule="auto"/>
            </w:pPr>
            <w:r w:rsidRPr="00E70A11">
              <w:t>the Outstanding Universal Value of the GBRWHA is an intrinsic consideration in future port development, management and governance</w:t>
            </w:r>
          </w:p>
          <w:p w14:paraId="5761FE49" w14:textId="77777777" w:rsidR="00A56EE9" w:rsidRPr="00E70A11" w:rsidRDefault="00A56EE9" w:rsidP="00A11869">
            <w:pPr>
              <w:pStyle w:val="ListBullet"/>
              <w:numPr>
                <w:ilvl w:val="1"/>
                <w:numId w:val="93"/>
              </w:numPr>
              <w:autoSpaceDE w:val="0"/>
              <w:autoSpaceDN w:val="0"/>
              <w:adjustRightInd w:val="0"/>
              <w:spacing w:line="240" w:lineRule="auto"/>
            </w:pPr>
            <w:r w:rsidRPr="00E70A11">
              <w:t>optimisation of the use of infrastructure at the long-established major ports</w:t>
            </w:r>
          </w:p>
          <w:p w14:paraId="5761FE4A" w14:textId="77777777" w:rsidR="00A56EE9" w:rsidRPr="00E70A11" w:rsidRDefault="00A56EE9" w:rsidP="00A11869">
            <w:pPr>
              <w:pStyle w:val="ListBullet"/>
              <w:numPr>
                <w:ilvl w:val="1"/>
                <w:numId w:val="93"/>
              </w:numPr>
              <w:autoSpaceDE w:val="0"/>
              <w:autoSpaceDN w:val="0"/>
              <w:adjustRightInd w:val="0"/>
              <w:spacing w:line="240" w:lineRule="auto"/>
            </w:pPr>
            <w:r w:rsidRPr="00E70A11">
              <w:t>transparent decision making</w:t>
            </w:r>
          </w:p>
          <w:p w14:paraId="5761FE4B" w14:textId="77777777" w:rsidR="00A56EE9" w:rsidRPr="00E70A11" w:rsidRDefault="00A56EE9" w:rsidP="00A11869">
            <w:pPr>
              <w:pStyle w:val="ListBullet"/>
              <w:numPr>
                <w:ilvl w:val="1"/>
                <w:numId w:val="93"/>
              </w:numPr>
              <w:autoSpaceDE w:val="0"/>
              <w:autoSpaceDN w:val="0"/>
              <w:adjustRightInd w:val="0"/>
              <w:spacing w:line="240" w:lineRule="auto"/>
              <w:rPr>
                <w:b/>
                <w:u w:val="single"/>
              </w:rPr>
            </w:pPr>
            <w:proofErr w:type="gramStart"/>
            <w:r w:rsidRPr="00E70A11">
              <w:t>meaningful</w:t>
            </w:r>
            <w:proofErr w:type="gramEnd"/>
            <w:r w:rsidRPr="00E70A11">
              <w:t xml:space="preserve"> engagement with stakeholders..</w:t>
            </w:r>
          </w:p>
          <w:p w14:paraId="5761FE4C"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The </w:t>
            </w:r>
            <w:r w:rsidRPr="00E70A11">
              <w:rPr>
                <w:rFonts w:cs="Arial"/>
                <w:i/>
                <w:iCs/>
                <w:color w:val="000000" w:themeColor="text1"/>
              </w:rPr>
              <w:t xml:space="preserve">Great Barrier Reef Marine Park Act 1975 </w:t>
            </w:r>
            <w:r w:rsidRPr="00E70A11">
              <w:rPr>
                <w:color w:val="000000" w:themeColor="text1"/>
              </w:rPr>
              <w:t>applies to any port related activities undertaken within the marine park. Ports are subject to the permissions system, compliance and regulatory provisions of the Act for relevant activities undertaken in the Marine Park, but objectives for the management of ports, particularly in relation to their operations, are not ‘clearly’ articulated within this Act.</w:t>
            </w:r>
          </w:p>
          <w:p w14:paraId="5761FE4D"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rFonts w:cs="ArialMT"/>
                <w:color w:val="000000" w:themeColor="text1"/>
              </w:rPr>
              <w:t xml:space="preserve">The </w:t>
            </w:r>
            <w:r w:rsidRPr="00E70A11">
              <w:rPr>
                <w:i/>
                <w:color w:val="000000" w:themeColor="text1"/>
              </w:rPr>
              <w:t>Great Barrier Reef Marine Park Zoning Plan 2003</w:t>
            </w:r>
            <w:r w:rsidRPr="00E70A11">
              <w:rPr>
                <w:color w:val="000000" w:themeColor="text1"/>
              </w:rPr>
              <w:t xml:space="preserve"> </w:t>
            </w:r>
            <w:r w:rsidRPr="00E70A11">
              <w:rPr>
                <w:rFonts w:cs="ArialMT"/>
                <w:color w:val="000000" w:themeColor="text1"/>
              </w:rPr>
              <w:t xml:space="preserve">is the primary planning instrument for the </w:t>
            </w:r>
            <w:r w:rsidRPr="00E70A11">
              <w:rPr>
                <w:color w:val="000000" w:themeColor="text1"/>
              </w:rPr>
              <w:t>conservation and management in the Marine Park, and has limited to nil effect for adjacent jurisdictions. This zoning plan specifically identifies areas</w:t>
            </w:r>
            <w:r w:rsidRPr="00E70A11">
              <w:rPr>
                <w:rFonts w:cs="ArialMT"/>
                <w:color w:val="000000" w:themeColor="text1"/>
              </w:rPr>
              <w:t xml:space="preserve"> </w:t>
            </w:r>
            <w:r w:rsidRPr="00E70A11">
              <w:rPr>
                <w:color w:val="000000" w:themeColor="text1"/>
              </w:rPr>
              <w:t>where port activities may/may not occur. Similar zoning principles are adopted for State Marine Parks</w:t>
            </w:r>
            <w:r w:rsidRPr="00E70A11">
              <w:rPr>
                <w:rFonts w:cs="ArialMT"/>
                <w:color w:val="000000" w:themeColor="text1"/>
              </w:rPr>
              <w:t xml:space="preserve"> </w:t>
            </w:r>
            <w:r w:rsidRPr="00E70A11">
              <w:rPr>
                <w:color w:val="000000" w:themeColor="text1"/>
              </w:rPr>
              <w:t>and Fish Habitat Reserves. Objectives for the management of ports, particularly in relation to their operations, are not ‘clearly’ articulated within this Plan.</w:t>
            </w:r>
          </w:p>
          <w:p w14:paraId="5761FE4E" w14:textId="77777777" w:rsidR="00A56EE9" w:rsidRPr="00E70A11" w:rsidRDefault="00A56EE9" w:rsidP="00A11869">
            <w:pPr>
              <w:pStyle w:val="ListParagraph"/>
              <w:numPr>
                <w:ilvl w:val="0"/>
                <w:numId w:val="119"/>
              </w:numPr>
              <w:spacing w:after="0" w:line="240" w:lineRule="auto"/>
              <w:ind w:left="325" w:hanging="283"/>
              <w:jc w:val="both"/>
              <w:rPr>
                <w:rFonts w:ascii="Arial Narrow" w:hAnsi="Arial Narrow" w:cs="ArialMT"/>
                <w:color w:val="000000" w:themeColor="text1"/>
                <w:sz w:val="18"/>
                <w:szCs w:val="18"/>
              </w:rPr>
            </w:pPr>
            <w:r w:rsidRPr="00E70A11">
              <w:rPr>
                <w:rFonts w:ascii="Arial Narrow" w:hAnsi="Arial Narrow"/>
                <w:color w:val="000000" w:themeColor="text1"/>
                <w:sz w:val="18"/>
                <w:szCs w:val="18"/>
                <w:lang w:val="en"/>
              </w:rPr>
              <w:t>The Australian Government has established a new regulation that ends the disposal of dredge material in the Great Barrier Reef Marine Park from capital dredging projects such as port developments.</w:t>
            </w:r>
          </w:p>
          <w:p w14:paraId="5761FE4F" w14:textId="77777777" w:rsidR="00A56EE9" w:rsidRPr="00E70A11" w:rsidRDefault="00A56EE9" w:rsidP="00A11869">
            <w:pPr>
              <w:pStyle w:val="ListParagraph"/>
              <w:numPr>
                <w:ilvl w:val="0"/>
                <w:numId w:val="119"/>
              </w:numPr>
              <w:spacing w:after="0" w:line="240" w:lineRule="auto"/>
              <w:ind w:left="325" w:hanging="283"/>
              <w:jc w:val="both"/>
              <w:rPr>
                <w:rFonts w:ascii="Arial Narrow" w:hAnsi="Arial Narrow" w:cs="ArialMT"/>
                <w:color w:val="000000" w:themeColor="text1"/>
                <w:sz w:val="18"/>
                <w:szCs w:val="18"/>
              </w:rPr>
            </w:pPr>
            <w:r w:rsidRPr="00E70A11">
              <w:rPr>
                <w:rFonts w:ascii="Arial Narrow" w:hAnsi="Arial Narrow" w:cs="ArialMT"/>
                <w:color w:val="000000" w:themeColor="text1"/>
                <w:sz w:val="18"/>
                <w:szCs w:val="18"/>
              </w:rPr>
              <w:t xml:space="preserve">The </w:t>
            </w:r>
            <w:r w:rsidRPr="00E70A11">
              <w:rPr>
                <w:rFonts w:ascii="Arial Narrow" w:hAnsi="Arial Narrow"/>
                <w:i/>
                <w:color w:val="000000" w:themeColor="text1"/>
                <w:sz w:val="18"/>
                <w:szCs w:val="18"/>
              </w:rPr>
              <w:t>Environment Protection and Biodiversity Conservation Act 1999</w:t>
            </w:r>
            <w:r w:rsidRPr="00E70A11">
              <w:rPr>
                <w:rFonts w:ascii="Arial Narrow" w:hAnsi="Arial Narrow"/>
                <w:color w:val="000000" w:themeColor="text1"/>
                <w:sz w:val="18"/>
                <w:szCs w:val="18"/>
              </w:rPr>
              <w:t xml:space="preserve"> </w:t>
            </w:r>
            <w:r w:rsidRPr="00E70A11">
              <w:rPr>
                <w:rFonts w:ascii="Arial Narrow" w:hAnsi="Arial Narrow" w:cs="ArialMT"/>
                <w:color w:val="000000" w:themeColor="text1"/>
                <w:sz w:val="18"/>
                <w:szCs w:val="18"/>
              </w:rPr>
              <w:t xml:space="preserve">(EPBC Act) applies to port </w:t>
            </w:r>
            <w:r w:rsidRPr="00E70A11">
              <w:rPr>
                <w:rFonts w:ascii="Arial Narrow" w:hAnsi="Arial Narrow"/>
                <w:color w:val="000000" w:themeColor="text1"/>
                <w:sz w:val="18"/>
                <w:szCs w:val="18"/>
              </w:rPr>
              <w:t>activities (primarily development) that may result in a significant impact to a Matter of National</w:t>
            </w:r>
            <w:r w:rsidRPr="00E70A11">
              <w:rPr>
                <w:rFonts w:ascii="Arial Narrow" w:hAnsi="Arial Narrow" w:cs="ArialMT"/>
                <w:color w:val="000000" w:themeColor="text1"/>
                <w:sz w:val="18"/>
                <w:szCs w:val="18"/>
              </w:rPr>
              <w:t xml:space="preserve"> </w:t>
            </w:r>
            <w:r w:rsidRPr="00E70A11">
              <w:rPr>
                <w:rFonts w:ascii="Arial Narrow" w:hAnsi="Arial Narrow"/>
                <w:color w:val="000000" w:themeColor="text1"/>
                <w:sz w:val="18"/>
                <w:szCs w:val="18"/>
              </w:rPr>
              <w:t>Environmental Significance, this includes the:</w:t>
            </w:r>
          </w:p>
          <w:p w14:paraId="5761FE50" w14:textId="77777777" w:rsidR="00A56EE9" w:rsidRPr="00E70A11" w:rsidRDefault="00A56EE9" w:rsidP="00A11869">
            <w:pPr>
              <w:pStyle w:val="ListBullet"/>
              <w:numPr>
                <w:ilvl w:val="0"/>
                <w:numId w:val="100"/>
              </w:numPr>
              <w:autoSpaceDE w:val="0"/>
              <w:autoSpaceDN w:val="0"/>
              <w:adjustRightInd w:val="0"/>
              <w:spacing w:line="240" w:lineRule="auto"/>
              <w:rPr>
                <w:rFonts w:cs="ArialMT"/>
                <w:color w:val="000000" w:themeColor="text1"/>
              </w:rPr>
            </w:pPr>
            <w:r w:rsidRPr="00E70A11">
              <w:rPr>
                <w:color w:val="000000" w:themeColor="text1"/>
              </w:rPr>
              <w:t>GBRWHA</w:t>
            </w:r>
          </w:p>
          <w:p w14:paraId="5761FE51" w14:textId="77777777" w:rsidR="00A56EE9" w:rsidRPr="00E70A11" w:rsidRDefault="00A56EE9" w:rsidP="00A11869">
            <w:pPr>
              <w:pStyle w:val="ListBullet"/>
              <w:numPr>
                <w:ilvl w:val="0"/>
                <w:numId w:val="100"/>
              </w:numPr>
              <w:autoSpaceDE w:val="0"/>
              <w:autoSpaceDN w:val="0"/>
              <w:adjustRightInd w:val="0"/>
              <w:spacing w:line="240" w:lineRule="auto"/>
              <w:rPr>
                <w:color w:val="000000" w:themeColor="text1"/>
              </w:rPr>
            </w:pPr>
            <w:r w:rsidRPr="00E70A11">
              <w:rPr>
                <w:color w:val="000000" w:themeColor="text1"/>
              </w:rPr>
              <w:t>GBR National Heritage Place</w:t>
            </w:r>
          </w:p>
          <w:p w14:paraId="5761FE52" w14:textId="77777777" w:rsidR="00A56EE9" w:rsidRPr="00E70A11" w:rsidRDefault="00A56EE9" w:rsidP="00A11869">
            <w:pPr>
              <w:pStyle w:val="ListBullet"/>
              <w:numPr>
                <w:ilvl w:val="0"/>
                <w:numId w:val="100"/>
              </w:numPr>
              <w:autoSpaceDE w:val="0"/>
              <w:autoSpaceDN w:val="0"/>
              <w:adjustRightInd w:val="0"/>
              <w:spacing w:line="240" w:lineRule="auto"/>
              <w:rPr>
                <w:color w:val="000000" w:themeColor="text1"/>
              </w:rPr>
            </w:pPr>
            <w:r w:rsidRPr="00E70A11">
              <w:rPr>
                <w:color w:val="000000" w:themeColor="text1"/>
              </w:rPr>
              <w:t>GBRMP</w:t>
            </w:r>
          </w:p>
          <w:p w14:paraId="5761FE53" w14:textId="77777777" w:rsidR="00A56EE9" w:rsidRPr="00E70A11" w:rsidRDefault="00A56EE9" w:rsidP="00A11869">
            <w:pPr>
              <w:pStyle w:val="ListBullet"/>
              <w:numPr>
                <w:ilvl w:val="0"/>
                <w:numId w:val="100"/>
              </w:numPr>
              <w:autoSpaceDE w:val="0"/>
              <w:autoSpaceDN w:val="0"/>
              <w:adjustRightInd w:val="0"/>
              <w:spacing w:line="240" w:lineRule="auto"/>
              <w:rPr>
                <w:color w:val="000000" w:themeColor="text1"/>
              </w:rPr>
            </w:pPr>
            <w:r w:rsidRPr="00E70A11">
              <w:rPr>
                <w:color w:val="000000" w:themeColor="text1"/>
              </w:rPr>
              <w:t>Relevant listed threatened species, ecological communities and migratory species.</w:t>
            </w:r>
          </w:p>
          <w:p w14:paraId="5761FE54"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i/>
                <w:color w:val="000000" w:themeColor="text1"/>
              </w:rPr>
              <w:t>Environmental Code of Practice for Dredging and Dredge Material Management</w:t>
            </w:r>
            <w:r w:rsidRPr="00E70A11">
              <w:rPr>
                <w:color w:val="000000" w:themeColor="text1"/>
              </w:rPr>
              <w:t xml:space="preserve"> prepared by Ports Australia outlines a series of environmental principles that Australian ports follow when undertaking dredging and when reusing, relocating or disposing of dredged material.</w:t>
            </w:r>
          </w:p>
          <w:p w14:paraId="5761FE55"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The Queensland Maintenance Dredging Strategy requires ports to:</w:t>
            </w:r>
          </w:p>
          <w:p w14:paraId="5761FE56" w14:textId="77777777" w:rsidR="00A56EE9" w:rsidRPr="00E70A11" w:rsidRDefault="00A56EE9" w:rsidP="00A11869">
            <w:pPr>
              <w:pStyle w:val="ListBullet"/>
              <w:numPr>
                <w:ilvl w:val="0"/>
                <w:numId w:val="123"/>
              </w:numPr>
              <w:autoSpaceDE w:val="0"/>
              <w:autoSpaceDN w:val="0"/>
              <w:adjustRightInd w:val="0"/>
              <w:spacing w:line="240" w:lineRule="auto"/>
              <w:rPr>
                <w:color w:val="000000" w:themeColor="text1"/>
              </w:rPr>
            </w:pPr>
            <w:r w:rsidRPr="00E70A11">
              <w:rPr>
                <w:color w:val="000000" w:themeColor="text1"/>
              </w:rPr>
              <w:t>Develop a Long-Term Maintenance Dredge Management Plan by the end of 2018.</w:t>
            </w:r>
          </w:p>
          <w:p w14:paraId="5761FE57" w14:textId="77777777" w:rsidR="00A56EE9" w:rsidRPr="00E70A11" w:rsidRDefault="00A56EE9" w:rsidP="00A11869">
            <w:pPr>
              <w:pStyle w:val="ListBullet"/>
              <w:numPr>
                <w:ilvl w:val="0"/>
                <w:numId w:val="123"/>
              </w:numPr>
              <w:autoSpaceDE w:val="0"/>
              <w:autoSpaceDN w:val="0"/>
              <w:adjustRightInd w:val="0"/>
              <w:spacing w:line="240" w:lineRule="auto"/>
              <w:rPr>
                <w:color w:val="000000" w:themeColor="text1"/>
              </w:rPr>
            </w:pPr>
            <w:r w:rsidRPr="00E70A11">
              <w:rPr>
                <w:color w:val="000000" w:themeColor="text1"/>
              </w:rPr>
              <w:t>Publish the maintenance dredge schedule for Queensland ports on an annual basis and show how environmental values have been considered in the development of the schedule.</w:t>
            </w:r>
          </w:p>
          <w:p w14:paraId="5761FE58"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Ports have initiated a study which contextualises port sediment management with a range of other inputs, and examines opportunities for ports to sustainably manage the build-up of sediment in navigational areas. The outcomes of the study will support ports in their implementation of the </w:t>
            </w:r>
            <w:hyperlink r:id="rId1313" w:history="1">
              <w:r w:rsidRPr="00E70A11">
                <w:rPr>
                  <w:rStyle w:val="Hyperlink"/>
                  <w:color w:val="000000" w:themeColor="text1"/>
                </w:rPr>
                <w:t>Queensland Maintenance Dredging Strategy</w:t>
              </w:r>
            </w:hyperlink>
            <w:r w:rsidRPr="00E70A11">
              <w:rPr>
                <w:color w:val="000000" w:themeColor="text1"/>
              </w:rPr>
              <w:t>.</w:t>
            </w:r>
          </w:p>
          <w:p w14:paraId="5761FE59" w14:textId="77777777" w:rsidR="00A56EE9" w:rsidRPr="00E70A11" w:rsidRDefault="00A56EE9" w:rsidP="00A11869">
            <w:pPr>
              <w:pStyle w:val="ListBullet"/>
              <w:numPr>
                <w:ilvl w:val="0"/>
                <w:numId w:val="93"/>
              </w:numPr>
              <w:autoSpaceDE w:val="0"/>
              <w:autoSpaceDN w:val="0"/>
              <w:adjustRightInd w:val="0"/>
              <w:spacing w:line="240" w:lineRule="auto"/>
              <w:rPr>
                <w:rStyle w:val="BookTitle"/>
                <w:rFonts w:cs="AdvGulliv-R"/>
              </w:rPr>
            </w:pPr>
            <w:r w:rsidRPr="00E70A11">
              <w:t xml:space="preserve">Ports are the only ‘non-government’ partner responsible for leading an action in the Reef 2050 </w:t>
            </w:r>
            <w:r w:rsidRPr="00E70A11">
              <w:rPr>
                <w:color w:val="000000" w:themeColor="text1"/>
              </w:rPr>
              <w:t>Long Term Sustainability Plan</w:t>
            </w:r>
            <w:r w:rsidRPr="00E70A11">
              <w:t xml:space="preserve"> – Water Quality Action 17 (WQA17). </w:t>
            </w:r>
            <w:r w:rsidRPr="00E70A11">
              <w:rPr>
                <w:rFonts w:cs="ArialMT"/>
              </w:rPr>
              <w:t xml:space="preserve">WQA 17 requires ports to </w:t>
            </w:r>
            <w:r w:rsidRPr="00E70A11">
              <w:t>“Understand the port sediment characteristics and risks at the four major ports and how they interact and contribute to broader catchment contributions within the World Heritage Area.”</w:t>
            </w:r>
          </w:p>
        </w:tc>
        <w:tc>
          <w:tcPr>
            <w:tcW w:w="5066" w:type="dxa"/>
            <w:tcBorders>
              <w:top w:val="single" w:sz="4" w:space="0" w:color="auto"/>
              <w:left w:val="single" w:sz="4" w:space="0" w:color="auto"/>
              <w:bottom w:val="single" w:sz="4" w:space="0" w:color="auto"/>
              <w:right w:val="single" w:sz="4" w:space="0" w:color="auto"/>
            </w:tcBorders>
          </w:tcPr>
          <w:p w14:paraId="5761FE5A" w14:textId="77777777" w:rsidR="00A56EE9" w:rsidRPr="00E70A11" w:rsidRDefault="008B5998" w:rsidP="00A11869">
            <w:pPr>
              <w:pStyle w:val="ListParagraph"/>
              <w:numPr>
                <w:ilvl w:val="0"/>
                <w:numId w:val="99"/>
              </w:numPr>
              <w:spacing w:after="0" w:line="240" w:lineRule="auto"/>
              <w:jc w:val="both"/>
              <w:rPr>
                <w:rStyle w:val="Hyperlink"/>
                <w:rFonts w:ascii="Arial Narrow" w:hAnsi="Arial Narrow"/>
                <w:color w:val="000000" w:themeColor="text1"/>
                <w:sz w:val="18"/>
                <w:szCs w:val="18"/>
              </w:rPr>
            </w:pPr>
            <w:hyperlink r:id="rId1314" w:history="1">
              <w:r w:rsidR="00A56EE9" w:rsidRPr="00E70A11">
                <w:rPr>
                  <w:rStyle w:val="Hyperlink"/>
                  <w:rFonts w:ascii="Arial Narrow" w:hAnsi="Arial Narrow"/>
                  <w:color w:val="000000" w:themeColor="text1"/>
                  <w:kern w:val="36"/>
                  <w:sz w:val="18"/>
                  <w:szCs w:val="18"/>
                  <w:lang w:val="en"/>
                </w:rPr>
                <w:t>Ban on capital dredge material disposal’</w:t>
              </w:r>
            </w:hyperlink>
          </w:p>
          <w:p w14:paraId="5761FE5B" w14:textId="77777777" w:rsidR="00A56EE9" w:rsidRPr="00E70A11" w:rsidRDefault="008B5998" w:rsidP="00A11869">
            <w:pPr>
              <w:pStyle w:val="ListParagraph"/>
              <w:numPr>
                <w:ilvl w:val="0"/>
                <w:numId w:val="99"/>
              </w:numPr>
              <w:spacing w:after="0" w:line="240" w:lineRule="auto"/>
              <w:jc w:val="both"/>
              <w:rPr>
                <w:rStyle w:val="Hyperlink"/>
                <w:rFonts w:ascii="Arial Narrow" w:hAnsi="Arial Narrow"/>
                <w:color w:val="000000" w:themeColor="text1"/>
                <w:sz w:val="18"/>
                <w:szCs w:val="18"/>
              </w:rPr>
            </w:pPr>
            <w:hyperlink r:id="rId1315" w:tgtFrame="_blank" w:history="1">
              <w:r w:rsidR="00A56EE9" w:rsidRPr="00E70A11">
                <w:rPr>
                  <w:rStyle w:val="Hyperlink"/>
                  <w:rFonts w:ascii="Arial Narrow" w:hAnsi="Arial Narrow"/>
                  <w:i/>
                  <w:color w:val="000000" w:themeColor="text1"/>
                  <w:sz w:val="18"/>
                  <w:szCs w:val="18"/>
                  <w:lang w:val="en"/>
                </w:rPr>
                <w:t>Great Barrier Reef Marine Park Regulations 1983</w:t>
              </w:r>
            </w:hyperlink>
          </w:p>
          <w:p w14:paraId="5761FE5C" w14:textId="77777777" w:rsidR="00A56EE9" w:rsidRPr="00E70A11" w:rsidRDefault="008B5998" w:rsidP="00A11869">
            <w:pPr>
              <w:pStyle w:val="ListParagraph"/>
              <w:numPr>
                <w:ilvl w:val="0"/>
                <w:numId w:val="99"/>
              </w:numPr>
              <w:spacing w:after="0" w:line="240" w:lineRule="auto"/>
              <w:jc w:val="both"/>
              <w:rPr>
                <w:rFonts w:ascii="Arial Narrow" w:hAnsi="Arial Narrow"/>
                <w:color w:val="000000" w:themeColor="text1"/>
                <w:sz w:val="18"/>
                <w:szCs w:val="18"/>
              </w:rPr>
            </w:pPr>
            <w:hyperlink r:id="rId1316" w:history="1">
              <w:r w:rsidR="00A56EE9" w:rsidRPr="00E70A11">
                <w:rPr>
                  <w:rStyle w:val="Hyperlink"/>
                  <w:rFonts w:ascii="Arial Narrow" w:hAnsi="Arial Narrow"/>
                  <w:color w:val="000000" w:themeColor="text1"/>
                  <w:sz w:val="18"/>
                  <w:szCs w:val="18"/>
                </w:rPr>
                <w:t>Dredge and dredge spoilt material disposal policy</w:t>
              </w:r>
            </w:hyperlink>
          </w:p>
          <w:p w14:paraId="5761FE5D" w14:textId="77777777" w:rsidR="00A56EE9" w:rsidRPr="00E70A11" w:rsidRDefault="008B5998" w:rsidP="00A11869">
            <w:pPr>
              <w:pStyle w:val="ListParagraph"/>
              <w:numPr>
                <w:ilvl w:val="0"/>
                <w:numId w:val="99"/>
              </w:numPr>
              <w:spacing w:after="0" w:line="240" w:lineRule="auto"/>
              <w:jc w:val="both"/>
              <w:rPr>
                <w:rStyle w:val="Hyperlink"/>
                <w:rFonts w:ascii="Arial Narrow" w:hAnsi="Arial Narrow"/>
                <w:color w:val="000000" w:themeColor="text1"/>
                <w:sz w:val="18"/>
                <w:szCs w:val="18"/>
              </w:rPr>
            </w:pPr>
            <w:hyperlink r:id="rId1317" w:history="1">
              <w:r w:rsidR="00A56EE9" w:rsidRPr="00E70A11">
                <w:rPr>
                  <w:rStyle w:val="Hyperlink"/>
                  <w:rFonts w:ascii="Arial Narrow" w:hAnsi="Arial Narrow"/>
                  <w:color w:val="000000" w:themeColor="text1"/>
                  <w:sz w:val="18"/>
                  <w:szCs w:val="18"/>
                </w:rPr>
                <w:t>Maintenance Dredging Strategy for Great Barrier Reef World Heritage Area Ports</w:t>
              </w:r>
            </w:hyperlink>
          </w:p>
          <w:p w14:paraId="5761FE5E" w14:textId="77777777" w:rsidR="00A56EE9" w:rsidRPr="00E70A11" w:rsidRDefault="008B5998" w:rsidP="00A11869">
            <w:pPr>
              <w:pStyle w:val="ListParagraph"/>
              <w:numPr>
                <w:ilvl w:val="0"/>
                <w:numId w:val="99"/>
              </w:numPr>
              <w:spacing w:after="200" w:line="240" w:lineRule="auto"/>
              <w:rPr>
                <w:rStyle w:val="Hyperlink"/>
                <w:rFonts w:ascii="Arial Narrow" w:hAnsi="Arial Narrow"/>
                <w:color w:val="000000" w:themeColor="text1"/>
                <w:sz w:val="18"/>
                <w:szCs w:val="18"/>
              </w:rPr>
            </w:pPr>
            <w:hyperlink r:id="rId1318" w:history="1">
              <w:r w:rsidR="00A56EE9" w:rsidRPr="00E70A11">
                <w:rPr>
                  <w:rStyle w:val="Hyperlink"/>
                  <w:rFonts w:ascii="Arial Narrow" w:hAnsi="Arial Narrow"/>
                  <w:color w:val="000000" w:themeColor="text1"/>
                  <w:sz w:val="18"/>
                  <w:szCs w:val="18"/>
                </w:rPr>
                <w:t>Sustainable Ports Development Act 2015 (Qld)</w:t>
              </w:r>
            </w:hyperlink>
          </w:p>
          <w:p w14:paraId="5761FE5F" w14:textId="77777777" w:rsidR="00A56EE9" w:rsidRPr="00E70A11" w:rsidRDefault="008B5998" w:rsidP="00A11869">
            <w:pPr>
              <w:pStyle w:val="ListParagraph"/>
              <w:numPr>
                <w:ilvl w:val="0"/>
                <w:numId w:val="99"/>
              </w:numPr>
              <w:spacing w:after="200" w:line="276" w:lineRule="auto"/>
              <w:rPr>
                <w:rStyle w:val="Hyperlink"/>
                <w:rFonts w:ascii="Arial Narrow" w:hAnsi="Arial Narrow"/>
                <w:color w:val="000000" w:themeColor="text1"/>
                <w:sz w:val="18"/>
                <w:szCs w:val="18"/>
              </w:rPr>
            </w:pPr>
            <w:hyperlink r:id="rId1319" w:history="1">
              <w:r w:rsidR="00A56EE9" w:rsidRPr="00E70A11">
                <w:rPr>
                  <w:rStyle w:val="Hyperlink"/>
                  <w:rFonts w:ascii="Arial Narrow" w:hAnsi="Arial Narrow"/>
                  <w:color w:val="000000" w:themeColor="text1"/>
                  <w:sz w:val="18"/>
                  <w:szCs w:val="18"/>
                </w:rPr>
                <w:t>Great Barrier Reef Marine Park Zoning Plan 2003</w:t>
              </w:r>
            </w:hyperlink>
          </w:p>
          <w:p w14:paraId="5761FE60" w14:textId="77777777" w:rsidR="00A56EE9" w:rsidRPr="00E70A11" w:rsidRDefault="00A56EE9" w:rsidP="00A11869">
            <w:pPr>
              <w:pStyle w:val="ListParagraph"/>
              <w:numPr>
                <w:ilvl w:val="0"/>
                <w:numId w:val="99"/>
              </w:numPr>
              <w:spacing w:after="0" w:line="240" w:lineRule="auto"/>
              <w:ind w:left="357" w:hanging="357"/>
              <w:rPr>
                <w:rFonts w:ascii="Arial Narrow" w:hAnsi="Arial Narrow"/>
                <w:i/>
                <w:color w:val="000000" w:themeColor="text1"/>
                <w:sz w:val="18"/>
                <w:szCs w:val="18"/>
              </w:rPr>
            </w:pPr>
            <w:r w:rsidRPr="00E70A11">
              <w:rPr>
                <w:rFonts w:ascii="Arial Narrow" w:hAnsi="Arial Narrow"/>
                <w:i/>
                <w:color w:val="000000" w:themeColor="text1"/>
                <w:sz w:val="18"/>
                <w:szCs w:val="18"/>
              </w:rPr>
              <w:t>Environment Protection and Biodiversity Conservation Act 1999</w:t>
            </w:r>
          </w:p>
          <w:p w14:paraId="5761FE61" w14:textId="77777777" w:rsidR="00A56EE9" w:rsidRPr="00E70A11" w:rsidRDefault="00A56EE9" w:rsidP="00A11869">
            <w:pPr>
              <w:pStyle w:val="ListBullet"/>
              <w:numPr>
                <w:ilvl w:val="0"/>
                <w:numId w:val="99"/>
              </w:numPr>
              <w:autoSpaceDE w:val="0"/>
              <w:autoSpaceDN w:val="0"/>
              <w:adjustRightInd w:val="0"/>
              <w:spacing w:line="240" w:lineRule="auto"/>
              <w:rPr>
                <w:color w:val="000000" w:themeColor="text1"/>
              </w:rPr>
            </w:pPr>
            <w:r w:rsidRPr="00E70A11">
              <w:rPr>
                <w:color w:val="000000" w:themeColor="text1"/>
              </w:rPr>
              <w:t>Transport Infrastructure Act 1994</w:t>
            </w:r>
          </w:p>
          <w:p w14:paraId="5761FE62" w14:textId="77777777" w:rsidR="00A56EE9" w:rsidRPr="00E70A11" w:rsidRDefault="00A56EE9" w:rsidP="00A11869">
            <w:pPr>
              <w:pStyle w:val="ListBullet"/>
              <w:numPr>
                <w:ilvl w:val="0"/>
                <w:numId w:val="99"/>
              </w:numPr>
              <w:autoSpaceDE w:val="0"/>
              <w:autoSpaceDN w:val="0"/>
              <w:adjustRightInd w:val="0"/>
              <w:spacing w:line="240" w:lineRule="auto"/>
              <w:rPr>
                <w:color w:val="000000" w:themeColor="text1"/>
              </w:rPr>
            </w:pPr>
            <w:r w:rsidRPr="00E70A11">
              <w:rPr>
                <w:color w:val="000000" w:themeColor="text1"/>
              </w:rPr>
              <w:t>State Development and Public Works and Organisations Act 1971</w:t>
            </w:r>
          </w:p>
          <w:p w14:paraId="5761FE63" w14:textId="77777777" w:rsidR="00A56EE9" w:rsidRPr="00E70A11" w:rsidRDefault="00A56EE9" w:rsidP="00A11869">
            <w:pPr>
              <w:pStyle w:val="ListBullet"/>
              <w:numPr>
                <w:ilvl w:val="0"/>
                <w:numId w:val="99"/>
              </w:numPr>
              <w:autoSpaceDE w:val="0"/>
              <w:autoSpaceDN w:val="0"/>
              <w:adjustRightInd w:val="0"/>
              <w:spacing w:line="240" w:lineRule="auto"/>
              <w:rPr>
                <w:color w:val="000000" w:themeColor="text1"/>
              </w:rPr>
            </w:pPr>
            <w:r w:rsidRPr="00E70A11">
              <w:rPr>
                <w:color w:val="000000" w:themeColor="text1"/>
              </w:rPr>
              <w:t>Planning Act 2016 (Qld) repeals the Sustainable Planning Act 2009</w:t>
            </w:r>
          </w:p>
          <w:p w14:paraId="5761FE64" w14:textId="77777777" w:rsidR="00A56EE9" w:rsidRPr="00E70A11" w:rsidRDefault="00A56EE9" w:rsidP="00A11869">
            <w:pPr>
              <w:pStyle w:val="ListBullet"/>
              <w:numPr>
                <w:ilvl w:val="0"/>
                <w:numId w:val="99"/>
              </w:numPr>
              <w:autoSpaceDE w:val="0"/>
              <w:autoSpaceDN w:val="0"/>
              <w:adjustRightInd w:val="0"/>
              <w:spacing w:line="240" w:lineRule="auto"/>
              <w:rPr>
                <w:color w:val="000000" w:themeColor="text1"/>
              </w:rPr>
            </w:pPr>
            <w:r w:rsidRPr="00E70A11">
              <w:rPr>
                <w:color w:val="000000" w:themeColor="text1"/>
              </w:rPr>
              <w:t>Environment Protection Act 1994</w:t>
            </w:r>
          </w:p>
          <w:p w14:paraId="5761FE65" w14:textId="77777777" w:rsidR="00A56EE9" w:rsidRPr="00E70A11" w:rsidRDefault="00A56EE9" w:rsidP="00A11869">
            <w:pPr>
              <w:pStyle w:val="ListBullet"/>
              <w:numPr>
                <w:ilvl w:val="0"/>
                <w:numId w:val="99"/>
              </w:numPr>
              <w:autoSpaceDE w:val="0"/>
              <w:autoSpaceDN w:val="0"/>
              <w:adjustRightInd w:val="0"/>
              <w:spacing w:line="240" w:lineRule="auto"/>
              <w:rPr>
                <w:color w:val="000000" w:themeColor="text1"/>
              </w:rPr>
            </w:pPr>
            <w:r w:rsidRPr="00E70A11">
              <w:rPr>
                <w:color w:val="000000" w:themeColor="text1"/>
              </w:rPr>
              <w:t>Sustainable Ports Development Act 2015</w:t>
            </w:r>
          </w:p>
          <w:p w14:paraId="5761FE66" w14:textId="77777777" w:rsidR="00A56EE9" w:rsidRPr="00E70A11" w:rsidRDefault="008B5998" w:rsidP="00A11869">
            <w:pPr>
              <w:pStyle w:val="ListBullet"/>
              <w:numPr>
                <w:ilvl w:val="0"/>
                <w:numId w:val="99"/>
              </w:numPr>
              <w:autoSpaceDE w:val="0"/>
              <w:autoSpaceDN w:val="0"/>
              <w:adjustRightInd w:val="0"/>
              <w:spacing w:line="240" w:lineRule="auto"/>
              <w:rPr>
                <w:color w:val="000000" w:themeColor="text1"/>
              </w:rPr>
            </w:pPr>
            <w:hyperlink r:id="rId1320" w:history="1">
              <w:r w:rsidR="00A56EE9" w:rsidRPr="00E70A11">
                <w:rPr>
                  <w:rStyle w:val="Hyperlink"/>
                  <w:color w:val="000000" w:themeColor="text1"/>
                </w:rPr>
                <w:t>Master Plans</w:t>
              </w:r>
            </w:hyperlink>
            <w:r w:rsidR="00A56EE9" w:rsidRPr="00E70A11">
              <w:rPr>
                <w:rStyle w:val="Hyperlink"/>
                <w:color w:val="000000" w:themeColor="text1"/>
              </w:rPr>
              <w:t xml:space="preserve"> </w:t>
            </w:r>
            <w:r w:rsidR="00A56EE9" w:rsidRPr="00E70A11">
              <w:rPr>
                <w:color w:val="000000" w:themeColor="text1"/>
              </w:rPr>
              <w:t>at Priority Ports</w:t>
            </w:r>
          </w:p>
          <w:p w14:paraId="5761FE67" w14:textId="77777777" w:rsidR="00A56EE9" w:rsidRPr="00E70A11" w:rsidRDefault="008B5998" w:rsidP="00A11869">
            <w:pPr>
              <w:pStyle w:val="ListBullet"/>
              <w:numPr>
                <w:ilvl w:val="0"/>
                <w:numId w:val="99"/>
              </w:numPr>
              <w:autoSpaceDE w:val="0"/>
              <w:autoSpaceDN w:val="0"/>
              <w:adjustRightInd w:val="0"/>
              <w:spacing w:line="240" w:lineRule="auto"/>
              <w:rPr>
                <w:color w:val="000000" w:themeColor="text1"/>
              </w:rPr>
            </w:pPr>
            <w:hyperlink r:id="rId1321" w:history="1">
              <w:r w:rsidR="00A56EE9" w:rsidRPr="00E70A11">
                <w:rPr>
                  <w:rStyle w:val="Hyperlink"/>
                  <w:i/>
                  <w:color w:val="000000" w:themeColor="text1"/>
                </w:rPr>
                <w:t>Environmental Code of Practice for Dredging and Dredge Material Management</w:t>
              </w:r>
            </w:hyperlink>
          </w:p>
          <w:p w14:paraId="5761FE68" w14:textId="77777777" w:rsidR="00A56EE9" w:rsidRDefault="008B5998" w:rsidP="00A11869">
            <w:pPr>
              <w:pStyle w:val="ListBullet"/>
              <w:numPr>
                <w:ilvl w:val="0"/>
                <w:numId w:val="99"/>
              </w:numPr>
              <w:autoSpaceDE w:val="0"/>
              <w:autoSpaceDN w:val="0"/>
              <w:adjustRightInd w:val="0"/>
              <w:spacing w:line="240" w:lineRule="auto"/>
              <w:rPr>
                <w:color w:val="000000" w:themeColor="text1"/>
              </w:rPr>
            </w:pPr>
            <w:hyperlink r:id="rId1322" w:history="1">
              <w:r w:rsidR="00A56EE9" w:rsidRPr="00E70A11">
                <w:rPr>
                  <w:rStyle w:val="Hyperlink"/>
                  <w:color w:val="000000" w:themeColor="text1"/>
                </w:rPr>
                <w:t>Queensland Maintenance Dredging Strategy</w:t>
              </w:r>
            </w:hyperlink>
            <w:r w:rsidR="00A56EE9" w:rsidRPr="00E70A11">
              <w:rPr>
                <w:color w:val="000000" w:themeColor="text1"/>
              </w:rPr>
              <w:t>.</w:t>
            </w:r>
          </w:p>
          <w:p w14:paraId="5761FE69" w14:textId="77777777" w:rsidR="00A56EE9" w:rsidRPr="001D203E" w:rsidRDefault="00A56EE9" w:rsidP="00A11869">
            <w:pPr>
              <w:pStyle w:val="ListBullet"/>
              <w:numPr>
                <w:ilvl w:val="0"/>
                <w:numId w:val="99"/>
              </w:numPr>
              <w:autoSpaceDE w:val="0"/>
              <w:autoSpaceDN w:val="0"/>
              <w:adjustRightInd w:val="0"/>
              <w:spacing w:line="240" w:lineRule="auto"/>
              <w:rPr>
                <w:rFonts w:ascii="Arial" w:hAnsi="Arial" w:cs="Arial"/>
                <w:sz w:val="16"/>
                <w:szCs w:val="16"/>
                <w:u w:val="single"/>
              </w:rPr>
            </w:pPr>
            <w:r w:rsidRPr="001D203E">
              <w:rPr>
                <w:rFonts w:ascii="Arial" w:hAnsi="Arial" w:cs="Arial"/>
                <w:sz w:val="16"/>
                <w:szCs w:val="16"/>
              </w:rPr>
              <w:t>Net benefit</w:t>
            </w:r>
          </w:p>
          <w:p w14:paraId="5761FE6A" w14:textId="77777777" w:rsidR="00A56EE9" w:rsidRPr="001D203E" w:rsidRDefault="00A56EE9" w:rsidP="00A11869">
            <w:pPr>
              <w:pStyle w:val="ListBullet"/>
              <w:numPr>
                <w:ilvl w:val="0"/>
                <w:numId w:val="99"/>
              </w:numPr>
              <w:autoSpaceDE w:val="0"/>
              <w:autoSpaceDN w:val="0"/>
              <w:adjustRightInd w:val="0"/>
              <w:spacing w:line="240" w:lineRule="auto"/>
              <w:rPr>
                <w:rFonts w:ascii="Arial" w:hAnsi="Arial" w:cs="Arial"/>
                <w:sz w:val="16"/>
                <w:szCs w:val="16"/>
                <w:u w:val="single"/>
              </w:rPr>
            </w:pPr>
            <w:r w:rsidRPr="001D203E">
              <w:rPr>
                <w:rFonts w:ascii="Arial" w:hAnsi="Arial" w:cs="Arial"/>
                <w:sz w:val="16"/>
                <w:szCs w:val="16"/>
              </w:rPr>
              <w:t>Offsets x3</w:t>
            </w:r>
          </w:p>
          <w:p w14:paraId="5761FE6B" w14:textId="77777777" w:rsidR="00A56EE9" w:rsidRPr="001D203E" w:rsidRDefault="00A56EE9" w:rsidP="00A11869">
            <w:pPr>
              <w:pStyle w:val="ListBullet"/>
              <w:numPr>
                <w:ilvl w:val="0"/>
                <w:numId w:val="99"/>
              </w:numPr>
              <w:autoSpaceDE w:val="0"/>
              <w:autoSpaceDN w:val="0"/>
              <w:adjustRightInd w:val="0"/>
              <w:spacing w:line="240" w:lineRule="auto"/>
              <w:rPr>
                <w:rFonts w:ascii="Arial" w:hAnsi="Arial" w:cs="Arial"/>
                <w:sz w:val="16"/>
                <w:szCs w:val="16"/>
                <w:u w:val="single"/>
              </w:rPr>
            </w:pPr>
            <w:r w:rsidRPr="001D203E">
              <w:rPr>
                <w:rFonts w:ascii="Arial" w:hAnsi="Arial" w:cs="Arial"/>
                <w:sz w:val="16"/>
                <w:szCs w:val="16"/>
              </w:rPr>
              <w:t>Cumulative impacts</w:t>
            </w:r>
          </w:p>
          <w:p w14:paraId="5761FE6C" w14:textId="77777777" w:rsidR="00A56EE9" w:rsidRPr="001D203E" w:rsidRDefault="00A56EE9" w:rsidP="00A11869">
            <w:pPr>
              <w:pStyle w:val="ListBullet"/>
              <w:numPr>
                <w:ilvl w:val="0"/>
                <w:numId w:val="99"/>
              </w:numPr>
              <w:autoSpaceDE w:val="0"/>
              <w:autoSpaceDN w:val="0"/>
              <w:adjustRightInd w:val="0"/>
              <w:spacing w:line="240" w:lineRule="auto"/>
              <w:rPr>
                <w:rFonts w:ascii="Arial" w:hAnsi="Arial" w:cs="Arial"/>
                <w:sz w:val="16"/>
                <w:szCs w:val="16"/>
                <w:u w:val="single"/>
              </w:rPr>
            </w:pPr>
            <w:r w:rsidRPr="001D203E">
              <w:rPr>
                <w:rFonts w:ascii="Arial" w:hAnsi="Arial" w:cs="Arial"/>
                <w:sz w:val="16"/>
                <w:szCs w:val="16"/>
              </w:rPr>
              <w:t xml:space="preserve">Dredging and Dredge Spoilt Material Disposal Policy </w:t>
            </w:r>
          </w:p>
          <w:p w14:paraId="5761FE6D" w14:textId="77777777" w:rsidR="00A56EE9" w:rsidRPr="001D203E" w:rsidRDefault="00A56EE9" w:rsidP="00A11869">
            <w:pPr>
              <w:pStyle w:val="ListBullet"/>
              <w:numPr>
                <w:ilvl w:val="0"/>
                <w:numId w:val="99"/>
              </w:numPr>
              <w:autoSpaceDE w:val="0"/>
              <w:autoSpaceDN w:val="0"/>
              <w:adjustRightInd w:val="0"/>
              <w:spacing w:line="240" w:lineRule="auto"/>
              <w:rPr>
                <w:rFonts w:ascii="Arial" w:hAnsi="Arial" w:cs="Arial"/>
                <w:sz w:val="16"/>
                <w:szCs w:val="16"/>
                <w:u w:val="single"/>
              </w:rPr>
            </w:pPr>
            <w:r w:rsidRPr="001D203E">
              <w:rPr>
                <w:rFonts w:ascii="Arial" w:hAnsi="Arial" w:cs="Arial"/>
                <w:sz w:val="16"/>
                <w:szCs w:val="16"/>
              </w:rPr>
              <w:t>NAGD</w:t>
            </w:r>
          </w:p>
          <w:p w14:paraId="5761FE6E" w14:textId="77777777" w:rsidR="00A56EE9" w:rsidRPr="00E70A11" w:rsidRDefault="00A56EE9" w:rsidP="00BB6AD5">
            <w:pPr>
              <w:jc w:val="both"/>
              <w:rPr>
                <w:rFonts w:ascii="Arial Narrow" w:hAnsi="Arial Narrow"/>
                <w:color w:val="000000" w:themeColor="text1"/>
                <w:sz w:val="18"/>
                <w:szCs w:val="18"/>
              </w:rPr>
            </w:pPr>
          </w:p>
          <w:p w14:paraId="5761FE6F" w14:textId="77777777" w:rsidR="00A56EE9" w:rsidRPr="00E70A11" w:rsidRDefault="00A56EE9" w:rsidP="00BB6AD5">
            <w:pPr>
              <w:jc w:val="both"/>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E70"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E7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E8E"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E73"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ports</w:t>
            </w:r>
          </w:p>
        </w:tc>
        <w:tc>
          <w:tcPr>
            <w:tcW w:w="790" w:type="dxa"/>
            <w:tcBorders>
              <w:top w:val="single" w:sz="4" w:space="0" w:color="auto"/>
              <w:left w:val="single" w:sz="4" w:space="0" w:color="auto"/>
              <w:bottom w:val="single" w:sz="4" w:space="0" w:color="auto"/>
              <w:right w:val="single" w:sz="4" w:space="0" w:color="auto"/>
            </w:tcBorders>
          </w:tcPr>
          <w:p w14:paraId="5761FE74"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E75" w14:textId="77777777" w:rsidR="00A56EE9" w:rsidRPr="009B0C55" w:rsidRDefault="00A56EE9" w:rsidP="00A11869">
            <w:pPr>
              <w:pStyle w:val="ListBullet"/>
              <w:numPr>
                <w:ilvl w:val="0"/>
                <w:numId w:val="93"/>
              </w:numPr>
              <w:autoSpaceDE w:val="0"/>
              <w:autoSpaceDN w:val="0"/>
              <w:adjustRightInd w:val="0"/>
              <w:spacing w:line="240" w:lineRule="auto"/>
              <w:rPr>
                <w:rFonts w:ascii="Arial" w:hAnsi="Arial" w:cs="Arial"/>
                <w:sz w:val="16"/>
                <w:szCs w:val="16"/>
              </w:rPr>
            </w:pPr>
            <w:r w:rsidRPr="009B0C55">
              <w:rPr>
                <w:rFonts w:ascii="Arial" w:hAnsi="Arial" w:cs="Arial"/>
                <w:sz w:val="16"/>
                <w:szCs w:val="16"/>
              </w:rPr>
              <w:t>RIMRep is being developed</w:t>
            </w:r>
          </w:p>
          <w:p w14:paraId="5761FE76" w14:textId="77777777" w:rsidR="00A56EE9" w:rsidRPr="009B0C55" w:rsidRDefault="00A56EE9" w:rsidP="00A11869">
            <w:pPr>
              <w:pStyle w:val="ListBullet"/>
              <w:numPr>
                <w:ilvl w:val="0"/>
                <w:numId w:val="93"/>
              </w:numPr>
              <w:autoSpaceDE w:val="0"/>
              <w:autoSpaceDN w:val="0"/>
              <w:adjustRightInd w:val="0"/>
              <w:spacing w:line="240" w:lineRule="auto"/>
            </w:pPr>
            <w:r w:rsidRPr="009B0C55">
              <w:t>Ports have the following in place:</w:t>
            </w:r>
          </w:p>
          <w:p w14:paraId="5761FE77" w14:textId="77777777" w:rsidR="00A56EE9" w:rsidRPr="009B0C55" w:rsidRDefault="00A56EE9" w:rsidP="00A11869">
            <w:pPr>
              <w:pStyle w:val="ListBullet"/>
              <w:numPr>
                <w:ilvl w:val="0"/>
                <w:numId w:val="93"/>
              </w:numPr>
              <w:autoSpaceDE w:val="0"/>
              <w:autoSpaceDN w:val="0"/>
              <w:adjustRightInd w:val="0"/>
              <w:spacing w:line="240" w:lineRule="auto"/>
            </w:pPr>
            <w:r w:rsidRPr="009B0C55">
              <w:t>Environmental Management Systems (especially ISO 14001) at all ports, providing processes to identity and manage environmental risk.</w:t>
            </w:r>
          </w:p>
          <w:p w14:paraId="5761FE78" w14:textId="77777777" w:rsidR="00A56EE9" w:rsidRPr="009B0C55" w:rsidRDefault="00A56EE9" w:rsidP="00A11869">
            <w:pPr>
              <w:pStyle w:val="ListBullet"/>
              <w:numPr>
                <w:ilvl w:val="0"/>
                <w:numId w:val="93"/>
              </w:numPr>
              <w:autoSpaceDE w:val="0"/>
              <w:autoSpaceDN w:val="0"/>
              <w:adjustRightInd w:val="0"/>
              <w:spacing w:line="240" w:lineRule="auto"/>
            </w:pPr>
            <w:r w:rsidRPr="009B0C55">
              <w:t>Quality Assurance processes (e.g. ISO 9001) with third party accreditation at all GBR ports.</w:t>
            </w:r>
          </w:p>
          <w:p w14:paraId="5761FE79" w14:textId="77777777" w:rsidR="00A56EE9" w:rsidRPr="009B0C55" w:rsidRDefault="00A56EE9" w:rsidP="00A11869">
            <w:pPr>
              <w:pStyle w:val="ListBullet"/>
              <w:numPr>
                <w:ilvl w:val="0"/>
                <w:numId w:val="93"/>
              </w:numPr>
              <w:autoSpaceDE w:val="0"/>
              <w:autoSpaceDN w:val="0"/>
              <w:adjustRightInd w:val="0"/>
              <w:spacing w:line="240" w:lineRule="auto"/>
            </w:pPr>
            <w:r w:rsidRPr="009B0C55">
              <w:t>Long term ambient environmental monitoring programs, of varying span and quality, intended to understand environmental values including seagrass, coral, dust, water and sediment quality, and marine pests.</w:t>
            </w:r>
          </w:p>
          <w:p w14:paraId="5761FE7A" w14:textId="77777777" w:rsidR="00A56EE9" w:rsidRPr="00E70A11" w:rsidRDefault="00A56EE9" w:rsidP="00A11869">
            <w:pPr>
              <w:pStyle w:val="ListBullet"/>
              <w:numPr>
                <w:ilvl w:val="0"/>
                <w:numId w:val="93"/>
              </w:numPr>
              <w:autoSpaceDE w:val="0"/>
              <w:autoSpaceDN w:val="0"/>
              <w:adjustRightInd w:val="0"/>
              <w:spacing w:line="240" w:lineRule="auto"/>
            </w:pPr>
            <w:r w:rsidRPr="009B0C55">
              <w:rPr>
                <w:rFonts w:ascii="Arial" w:hAnsi="Arial" w:cs="Arial"/>
                <w:sz w:val="16"/>
                <w:szCs w:val="16"/>
              </w:rPr>
              <w:t xml:space="preserve">All ports have EMPs, EMS and monitoring plans in place. </w:t>
            </w:r>
            <w:r w:rsidRPr="009B0C55">
              <w:t xml:space="preserve">Environmental Management Plans designed to manage interactions with port </w:t>
            </w:r>
            <w:r w:rsidRPr="00E70A11">
              <w:t>environmental values.</w:t>
            </w:r>
          </w:p>
          <w:p w14:paraId="5761FE7B" w14:textId="77777777" w:rsidR="00A56EE9" w:rsidRPr="00E70A11" w:rsidRDefault="00A56EE9" w:rsidP="00A11869">
            <w:pPr>
              <w:pStyle w:val="ListBullet"/>
              <w:numPr>
                <w:ilvl w:val="0"/>
                <w:numId w:val="93"/>
              </w:numPr>
              <w:autoSpaceDE w:val="0"/>
              <w:autoSpaceDN w:val="0"/>
              <w:adjustRightInd w:val="0"/>
              <w:spacing w:line="240" w:lineRule="auto"/>
            </w:pPr>
            <w:r w:rsidRPr="00E70A11">
              <w:t>There is a role for agencies other than port authorities to gather and disseminate data related to ports.</w:t>
            </w:r>
          </w:p>
          <w:p w14:paraId="5761FE7C" w14:textId="77777777" w:rsidR="00A56EE9" w:rsidRPr="00E70A11" w:rsidRDefault="00A56EE9" w:rsidP="00A11869">
            <w:pPr>
              <w:pStyle w:val="ListBullet"/>
              <w:numPr>
                <w:ilvl w:val="0"/>
                <w:numId w:val="93"/>
              </w:numPr>
              <w:autoSpaceDE w:val="0"/>
              <w:autoSpaceDN w:val="0"/>
              <w:adjustRightInd w:val="0"/>
              <w:spacing w:line="240" w:lineRule="auto"/>
            </w:pPr>
            <w:r w:rsidRPr="00E70A11">
              <w:t xml:space="preserve">Some ports monitoring data are collected and available (eg. no of ship visits, some aspects of water quality, etc.). Additional data which could be collected/monitored and made publicly available, but not necessarily by the port management authorities, include, </w:t>
            </w:r>
            <w:r w:rsidRPr="00E70A11">
              <w:rPr>
                <w:i/>
              </w:rPr>
              <w:t>inter alia</w:t>
            </w:r>
            <w:r w:rsidRPr="00E70A11">
              <w:t>:</w:t>
            </w:r>
          </w:p>
          <w:p w14:paraId="5761FE7D" w14:textId="77777777" w:rsidR="00A56EE9" w:rsidRPr="00E70A11" w:rsidRDefault="00A56EE9" w:rsidP="00A11869">
            <w:pPr>
              <w:pStyle w:val="ListBullet"/>
              <w:numPr>
                <w:ilvl w:val="1"/>
                <w:numId w:val="93"/>
              </w:numPr>
              <w:autoSpaceDE w:val="0"/>
              <w:autoSpaceDN w:val="0"/>
              <w:adjustRightInd w:val="0"/>
              <w:spacing w:line="240" w:lineRule="auto"/>
            </w:pPr>
            <w:r w:rsidRPr="00E70A11">
              <w:t>vessel/marine fauna strikes (eg. dolphins, dugongs, turtles);</w:t>
            </w:r>
          </w:p>
          <w:p w14:paraId="5761FE7E" w14:textId="77777777" w:rsidR="00A56EE9" w:rsidRPr="00E70A11" w:rsidRDefault="00A56EE9" w:rsidP="00A11869">
            <w:pPr>
              <w:pStyle w:val="ListBullet"/>
              <w:numPr>
                <w:ilvl w:val="1"/>
                <w:numId w:val="93"/>
              </w:numPr>
              <w:autoSpaceDE w:val="0"/>
              <w:autoSpaceDN w:val="0"/>
              <w:adjustRightInd w:val="0"/>
              <w:spacing w:line="240" w:lineRule="auto"/>
            </w:pPr>
            <w:r w:rsidRPr="00E70A11">
              <w:t>cargo losses/spillages during loading/unloading;</w:t>
            </w:r>
          </w:p>
          <w:p w14:paraId="5761FE7F" w14:textId="77777777" w:rsidR="00A56EE9" w:rsidRPr="00E70A11" w:rsidRDefault="00A56EE9" w:rsidP="00A11869">
            <w:pPr>
              <w:pStyle w:val="ListBullet"/>
              <w:numPr>
                <w:ilvl w:val="1"/>
                <w:numId w:val="93"/>
              </w:numPr>
              <w:autoSpaceDE w:val="0"/>
              <w:autoSpaceDN w:val="0"/>
              <w:adjustRightInd w:val="0"/>
              <w:spacing w:line="240" w:lineRule="auto"/>
            </w:pPr>
            <w:r w:rsidRPr="00E70A11">
              <w:t>water and sediment quality, including anchorages;</w:t>
            </w:r>
          </w:p>
          <w:p w14:paraId="5761FE80" w14:textId="77777777" w:rsidR="00A56EE9" w:rsidRPr="00E70A11" w:rsidRDefault="00A56EE9" w:rsidP="00A11869">
            <w:pPr>
              <w:pStyle w:val="ListBullet"/>
              <w:numPr>
                <w:ilvl w:val="1"/>
                <w:numId w:val="93"/>
              </w:numPr>
              <w:autoSpaceDE w:val="0"/>
              <w:autoSpaceDN w:val="0"/>
              <w:adjustRightInd w:val="0"/>
              <w:spacing w:line="240" w:lineRule="auto"/>
            </w:pPr>
            <w:proofErr w:type="gramStart"/>
            <w:r w:rsidRPr="00E70A11">
              <w:t>port</w:t>
            </w:r>
            <w:proofErr w:type="gramEnd"/>
            <w:r w:rsidRPr="00E70A11">
              <w:t xml:space="preserve"> run-off water quality.</w:t>
            </w:r>
          </w:p>
          <w:p w14:paraId="5761FE81" w14:textId="77777777" w:rsidR="00A56EE9" w:rsidRPr="00E70A11" w:rsidRDefault="00A56EE9" w:rsidP="00A11869">
            <w:pPr>
              <w:pStyle w:val="ListBullet"/>
              <w:numPr>
                <w:ilvl w:val="0"/>
                <w:numId w:val="93"/>
              </w:numPr>
              <w:autoSpaceDE w:val="0"/>
              <w:autoSpaceDN w:val="0"/>
              <w:adjustRightInd w:val="0"/>
              <w:spacing w:line="240" w:lineRule="auto"/>
            </w:pPr>
            <w:r w:rsidRPr="00E70A11">
              <w:t>Ports advise that work has commenced to initiate a marine pest monitoring program.</w:t>
            </w:r>
          </w:p>
          <w:p w14:paraId="5761FE82" w14:textId="77777777" w:rsidR="00A56EE9" w:rsidRPr="00E70A11" w:rsidRDefault="00A56EE9" w:rsidP="00A11869">
            <w:pPr>
              <w:pStyle w:val="ListBullet"/>
              <w:numPr>
                <w:ilvl w:val="0"/>
                <w:numId w:val="93"/>
              </w:numPr>
              <w:autoSpaceDE w:val="0"/>
              <w:autoSpaceDN w:val="0"/>
              <w:adjustRightInd w:val="0"/>
              <w:spacing w:line="240" w:lineRule="auto"/>
            </w:pPr>
            <w:r w:rsidRPr="00E70A11">
              <w:t>All ports have long term ambient environmental monitoring programs dating back several decades. These monitoring programs examine environmental values including seagrass, coral, benthic sediment and water quality. These monitoring programs are not necessarily a ‘statutory’ requirement and are in place irrespective of whether there is development occurring. These long-term programs are used by ports to determine condition and trend of port environmental values.</w:t>
            </w:r>
          </w:p>
          <w:p w14:paraId="5761FE83"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rPr>
            </w:pPr>
            <w:r w:rsidRPr="00E70A11">
              <w:rPr>
                <w:rFonts w:eastAsia="SymbolMT"/>
              </w:rPr>
              <w:t>Ports work with regional Partnerships (e.g. Gladstone, Mackay-Whitsunday, Townsville and Cairns) to initiate and co-ordinate regional monitoring which includes assessment of port related influences.</w:t>
            </w:r>
          </w:p>
          <w:p w14:paraId="5761FE84"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rPr>
            </w:pPr>
            <w:r w:rsidRPr="00E70A11">
              <w:rPr>
                <w:rFonts w:eastAsia="SymbolMT"/>
              </w:rPr>
              <w:t>Ports are participating in the development of GBR wide programs such as RIMReP and monitoring information will be integrated into RIMReP once operational.</w:t>
            </w:r>
          </w:p>
          <w:p w14:paraId="5761FE85" w14:textId="6C1A54FB" w:rsidR="00A56EE9" w:rsidRPr="00E70A11" w:rsidRDefault="00A56EE9" w:rsidP="00D333A7">
            <w:pPr>
              <w:pStyle w:val="ListBullet"/>
              <w:numPr>
                <w:ilvl w:val="0"/>
                <w:numId w:val="93"/>
              </w:numPr>
              <w:autoSpaceDE w:val="0"/>
              <w:autoSpaceDN w:val="0"/>
              <w:adjustRightInd w:val="0"/>
              <w:spacing w:line="240" w:lineRule="auto"/>
              <w:rPr>
                <w:rStyle w:val="BookTitle"/>
                <w:rFonts w:eastAsia="SymbolMT" w:cs="AdvGulliv-R"/>
              </w:rPr>
            </w:pPr>
            <w:r w:rsidRPr="00E70A11">
              <w:rPr>
                <w:rFonts w:eastAsia="SymbolMT"/>
              </w:rPr>
              <w:t>GBRMPA has the regulatory ability to set appropriate and adequate monitoring requirements for developmental and operational port works as part of approvals process, restricted to development in the GB</w:t>
            </w:r>
            <w:r w:rsidR="00D333A7">
              <w:rPr>
                <w:rFonts w:eastAsia="SymbolMT"/>
              </w:rPr>
              <w:t>R</w:t>
            </w:r>
            <w:r w:rsidRPr="00E70A11">
              <w:rPr>
                <w:rFonts w:eastAsia="SymbolMT"/>
              </w:rPr>
              <w:t xml:space="preserve">MP only, or can make recommendations where a referral for an EPBC application purpose. </w:t>
            </w:r>
          </w:p>
        </w:tc>
        <w:tc>
          <w:tcPr>
            <w:tcW w:w="5066" w:type="dxa"/>
            <w:tcBorders>
              <w:top w:val="single" w:sz="4" w:space="0" w:color="auto"/>
              <w:left w:val="single" w:sz="4" w:space="0" w:color="auto"/>
              <w:bottom w:val="single" w:sz="4" w:space="0" w:color="auto"/>
              <w:right w:val="single" w:sz="4" w:space="0" w:color="auto"/>
            </w:tcBorders>
          </w:tcPr>
          <w:p w14:paraId="5761FE86"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323" w:history="1">
              <w:r w:rsidR="00A56EE9" w:rsidRPr="00E70A11">
                <w:rPr>
                  <w:rStyle w:val="Hyperlink"/>
                  <w:rFonts w:ascii="Arial Narrow" w:hAnsi="Arial Narrow"/>
                  <w:color w:val="000000" w:themeColor="text1"/>
                  <w:sz w:val="18"/>
                  <w:szCs w:val="18"/>
                </w:rPr>
                <w:t>Guidelines for the Use of Hydrodynamic Numerical Modelling</w:t>
              </w:r>
            </w:hyperlink>
            <w:r w:rsidR="00A56EE9" w:rsidRPr="00E70A11">
              <w:rPr>
                <w:rFonts w:ascii="Arial Narrow" w:hAnsi="Arial Narrow"/>
                <w:color w:val="000000" w:themeColor="text1"/>
                <w:sz w:val="18"/>
                <w:szCs w:val="18"/>
              </w:rPr>
              <w:t xml:space="preserve"> (2012) GBRMPA </w:t>
            </w:r>
          </w:p>
          <w:p w14:paraId="5761FE87"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324" w:history="1">
              <w:r w:rsidR="00A56EE9" w:rsidRPr="00E70A11">
                <w:rPr>
                  <w:rStyle w:val="Hyperlink"/>
                  <w:rFonts w:ascii="Arial Narrow" w:hAnsi="Arial Narrow"/>
                  <w:color w:val="000000" w:themeColor="text1"/>
                  <w:sz w:val="18"/>
                  <w:szCs w:val="18"/>
                </w:rPr>
                <w:t>Reef 2050 Integrated Monitoring and Reporting Program</w:t>
              </w:r>
            </w:hyperlink>
          </w:p>
          <w:p w14:paraId="5761FE88"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325" w:history="1">
              <w:r w:rsidR="00A56EE9" w:rsidRPr="00E70A11">
                <w:rPr>
                  <w:rStyle w:val="Hyperlink"/>
                  <w:rFonts w:ascii="Arial Narrow" w:hAnsi="Arial Narrow"/>
                  <w:color w:val="000000" w:themeColor="text1"/>
                  <w:sz w:val="18"/>
                  <w:szCs w:val="18"/>
                </w:rPr>
                <w:t>National Vessel Strike Strategy.</w:t>
              </w:r>
            </w:hyperlink>
          </w:p>
          <w:p w14:paraId="5761FE89"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326" w:history="1">
              <w:r w:rsidR="00A56EE9" w:rsidRPr="00E70A11">
                <w:rPr>
                  <w:rStyle w:val="Hyperlink"/>
                  <w:rFonts w:ascii="Arial Narrow" w:hAnsi="Arial Narrow"/>
                  <w:color w:val="000000" w:themeColor="text1"/>
                  <w:sz w:val="18"/>
                  <w:szCs w:val="18"/>
                  <w:lang w:val="en"/>
                </w:rPr>
                <w:t>Bulk Ports Corporation</w:t>
              </w:r>
            </w:hyperlink>
            <w:r w:rsidR="00A56EE9" w:rsidRPr="00E70A11">
              <w:rPr>
                <w:rFonts w:ascii="Arial Narrow" w:hAnsi="Arial Narrow"/>
                <w:color w:val="000000" w:themeColor="text1"/>
                <w:sz w:val="18"/>
                <w:szCs w:val="18"/>
                <w:lang w:val="en"/>
              </w:rPr>
              <w:t xml:space="preserve"> monitoring reports</w:t>
            </w:r>
          </w:p>
          <w:p w14:paraId="5761FE8A" w14:textId="77777777" w:rsidR="00A56EE9" w:rsidRPr="00E70A11" w:rsidRDefault="00A56EE9" w:rsidP="00BB6AD5">
            <w:pPr>
              <w:pStyle w:val="ListParagraph"/>
              <w:ind w:left="360"/>
              <w:rPr>
                <w:rStyle w:val="BookTitle"/>
                <w:rFonts w:ascii="Arial Narrow" w:hAnsi="Arial Narrow"/>
                <w:color w:val="000000" w:themeColor="text1"/>
                <w:sz w:val="18"/>
                <w:szCs w:val="18"/>
              </w:rPr>
            </w:pPr>
          </w:p>
          <w:p w14:paraId="5761FE8B" w14:textId="77777777" w:rsidR="00A56EE9" w:rsidRPr="00E70A11" w:rsidRDefault="00A56EE9" w:rsidP="00BB6AD5">
            <w:pPr>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E8C" w14:textId="77777777" w:rsidR="00A56EE9" w:rsidRPr="00E70A11" w:rsidRDefault="00A56EE9" w:rsidP="00BB6AD5">
            <w:pPr>
              <w:pStyle w:val="Tablebulletlist"/>
              <w:rPr>
                <w:rStyle w:val="BookTitle"/>
              </w:rPr>
            </w:pPr>
            <w:r w:rsidRPr="00E70A11">
              <w:rPr>
                <w:rStyle w:val="BookTitle"/>
              </w:rPr>
              <w:t>Limited evidence</w:t>
            </w:r>
          </w:p>
        </w:tc>
        <w:tc>
          <w:tcPr>
            <w:tcW w:w="914" w:type="dxa"/>
            <w:tcBorders>
              <w:top w:val="single" w:sz="4" w:space="0" w:color="auto"/>
              <w:left w:val="single" w:sz="4" w:space="0" w:color="auto"/>
              <w:bottom w:val="single" w:sz="4" w:space="0" w:color="auto"/>
              <w:right w:val="single" w:sz="4" w:space="0" w:color="auto"/>
            </w:tcBorders>
          </w:tcPr>
          <w:p w14:paraId="5761FE8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EA2"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E8F"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ports</w:t>
            </w:r>
          </w:p>
        </w:tc>
        <w:tc>
          <w:tcPr>
            <w:tcW w:w="790" w:type="dxa"/>
            <w:tcBorders>
              <w:top w:val="single" w:sz="4" w:space="0" w:color="auto"/>
              <w:left w:val="single" w:sz="4" w:space="0" w:color="auto"/>
              <w:bottom w:val="single" w:sz="4" w:space="0" w:color="auto"/>
              <w:right w:val="single" w:sz="4" w:space="0" w:color="auto"/>
            </w:tcBorders>
          </w:tcPr>
          <w:p w14:paraId="5761FE90"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E91" w14:textId="77777777" w:rsidR="00A56EE9" w:rsidRPr="00E70A11" w:rsidRDefault="00A56EE9" w:rsidP="00A11869">
            <w:pPr>
              <w:pStyle w:val="ListBullet"/>
              <w:numPr>
                <w:ilvl w:val="0"/>
                <w:numId w:val="93"/>
              </w:numPr>
              <w:autoSpaceDE w:val="0"/>
              <w:autoSpaceDN w:val="0"/>
              <w:adjustRightInd w:val="0"/>
              <w:spacing w:line="240" w:lineRule="auto"/>
              <w:jc w:val="both"/>
              <w:rPr>
                <w:rStyle w:val="BookTitle"/>
                <w:color w:val="000000" w:themeColor="text1"/>
              </w:rPr>
            </w:pPr>
            <w:r w:rsidRPr="00E70A11">
              <w:t>Engagement of the community on port management issues is mainly through Port Authorities and Qld Government.</w:t>
            </w:r>
            <w:r>
              <w:t xml:space="preserve"> </w:t>
            </w:r>
            <w:r w:rsidRPr="00E70A11">
              <w:t>GBRMPA undertakes some project specific engagement through LMACs.</w:t>
            </w:r>
            <w:r>
              <w:t xml:space="preserve"> </w:t>
            </w:r>
          </w:p>
          <w:p w14:paraId="5761FE92" w14:textId="77777777" w:rsidR="00A56EE9" w:rsidRPr="00E70A11" w:rsidRDefault="00A56EE9" w:rsidP="00A11869">
            <w:pPr>
              <w:pStyle w:val="ListBullet"/>
              <w:numPr>
                <w:ilvl w:val="0"/>
                <w:numId w:val="93"/>
              </w:numPr>
              <w:autoSpaceDE w:val="0"/>
              <w:autoSpaceDN w:val="0"/>
              <w:adjustRightInd w:val="0"/>
              <w:spacing w:line="240" w:lineRule="auto"/>
              <w:jc w:val="both"/>
              <w:rPr>
                <w:rFonts w:cs="Arial"/>
                <w:color w:val="000000" w:themeColor="text1"/>
              </w:rPr>
            </w:pPr>
            <w:r w:rsidRPr="00E70A11">
              <w:rPr>
                <w:rStyle w:val="BookTitle"/>
                <w:color w:val="000000" w:themeColor="text1"/>
              </w:rPr>
              <w:t>All Ports along the GBR coast work and liaise closely with the community</w:t>
            </w:r>
            <w:r w:rsidRPr="00E70A11">
              <w:rPr>
                <w:rFonts w:eastAsia="SymbolMT"/>
                <w:color w:val="000000" w:themeColor="text1"/>
              </w:rPr>
              <w:t xml:space="preserve"> Ports may also have several additional stakeholder groups including – Community Reference Groups (CRGs), Community Liaison Groups (CLGs), Management Reference Groups (MRGs) and similar. F</w:t>
            </w:r>
            <w:r w:rsidRPr="00E70A11">
              <w:rPr>
                <w:rStyle w:val="BookTitle"/>
                <w:color w:val="000000" w:themeColor="text1"/>
              </w:rPr>
              <w:t xml:space="preserve">or example, </w:t>
            </w:r>
            <w:r w:rsidRPr="00E70A11">
              <w:rPr>
                <w:rFonts w:cs="Arial"/>
                <w:color w:val="000000" w:themeColor="text1"/>
              </w:rPr>
              <w:t xml:space="preserve">Port of Townville has been running community sessions as part of their capital expansion program. The </w:t>
            </w:r>
            <w:r w:rsidRPr="00E70A11">
              <w:rPr>
                <w:rFonts w:eastAsia="SymbolMT"/>
                <w:color w:val="000000" w:themeColor="text1"/>
              </w:rPr>
              <w:t>CLG</w:t>
            </w:r>
            <w:r w:rsidRPr="00E70A11">
              <w:rPr>
                <w:rFonts w:cs="Arial"/>
                <w:color w:val="000000" w:themeColor="text1"/>
              </w:rPr>
              <w:t xml:space="preserve"> comprises community members and community groups with an interest in the operations of the port, port sustainability and future port development plans.</w:t>
            </w:r>
          </w:p>
          <w:p w14:paraId="5761FE93"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rPr>
            </w:pPr>
            <w:r w:rsidRPr="00E70A11">
              <w:rPr>
                <w:rFonts w:eastAsia="SymbolMT"/>
              </w:rPr>
              <w:t>Ports work with regional Partnerships (e.g. Gladstone, Mackay-Whitsunday, Townsville and Cairns) to initiate and co-ordinate regional monitoring which includes assessment of port related influences.</w:t>
            </w:r>
          </w:p>
          <w:p w14:paraId="5761FE94"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color w:val="000000" w:themeColor="text1"/>
              </w:rPr>
            </w:pPr>
            <w:r w:rsidRPr="00E70A11">
              <w:rPr>
                <w:rFonts w:eastAsia="SymbolMT"/>
                <w:color w:val="000000" w:themeColor="text1"/>
              </w:rPr>
              <w:t>Technical Advisory Consultative Committees (TACCs) are in place at all GBR ports. These typically include representatives from GBRMPA, Commonwealth and State Government agencies, tourism, fishing, local conservation groups, Indigenous representatives, local communities and scientific experts.</w:t>
            </w:r>
          </w:p>
          <w:p w14:paraId="5761FE95" w14:textId="77777777" w:rsidR="00A56EE9" w:rsidRPr="00E70A11" w:rsidRDefault="00A56EE9" w:rsidP="00A11869">
            <w:pPr>
              <w:pStyle w:val="ListBullet"/>
              <w:numPr>
                <w:ilvl w:val="0"/>
                <w:numId w:val="93"/>
              </w:numPr>
              <w:autoSpaceDE w:val="0"/>
              <w:autoSpaceDN w:val="0"/>
              <w:adjustRightInd w:val="0"/>
              <w:spacing w:line="240" w:lineRule="auto"/>
              <w:jc w:val="both"/>
              <w:rPr>
                <w:color w:val="000000" w:themeColor="text1"/>
                <w:lang w:val="en"/>
              </w:rPr>
            </w:pPr>
            <w:r w:rsidRPr="00E70A11">
              <w:rPr>
                <w:color w:val="000000" w:themeColor="text1"/>
                <w:lang w:val="en"/>
              </w:rPr>
              <w:t>The Regional Report Cards involve industry, the Australian Government, Queensland Government, local government, universities and research institutions in the provision of streamlined monitoring, targeted management and expert science advice to maintain and continuously improve harbour health.</w:t>
            </w:r>
          </w:p>
          <w:p w14:paraId="5761FE96" w14:textId="77777777" w:rsidR="00A56EE9" w:rsidRPr="00E70A11" w:rsidRDefault="00A56EE9" w:rsidP="00A11869">
            <w:pPr>
              <w:pStyle w:val="ListBullet"/>
              <w:numPr>
                <w:ilvl w:val="0"/>
                <w:numId w:val="93"/>
              </w:numPr>
              <w:autoSpaceDE w:val="0"/>
              <w:autoSpaceDN w:val="0"/>
              <w:adjustRightInd w:val="0"/>
              <w:spacing w:line="240" w:lineRule="auto"/>
              <w:jc w:val="both"/>
              <w:rPr>
                <w:rStyle w:val="BookTitle"/>
                <w:rFonts w:cs="AdvGulliv-R"/>
                <w:color w:val="000000" w:themeColor="text1"/>
                <w:lang w:val="en"/>
              </w:rPr>
            </w:pPr>
            <w:r w:rsidRPr="00E70A11">
              <w:t>The process for management of engagement of stakeholders would appear to be effective.</w:t>
            </w:r>
          </w:p>
        </w:tc>
        <w:tc>
          <w:tcPr>
            <w:tcW w:w="5066" w:type="dxa"/>
            <w:tcBorders>
              <w:top w:val="single" w:sz="4" w:space="0" w:color="auto"/>
              <w:left w:val="single" w:sz="4" w:space="0" w:color="auto"/>
              <w:bottom w:val="single" w:sz="4" w:space="0" w:color="auto"/>
              <w:right w:val="single" w:sz="4" w:space="0" w:color="auto"/>
            </w:tcBorders>
          </w:tcPr>
          <w:p w14:paraId="5761FE97"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Fonts w:ascii="Arial Narrow" w:hAnsi="Arial Narrow"/>
                <w:color w:val="000000" w:themeColor="text1"/>
                <w:sz w:val="18"/>
                <w:szCs w:val="18"/>
              </w:rPr>
              <w:t xml:space="preserve">Port of Townsville </w:t>
            </w:r>
            <w:hyperlink r:id="rId1327" w:history="1">
              <w:r w:rsidRPr="00E70A11">
                <w:rPr>
                  <w:rStyle w:val="Hyperlink"/>
                  <w:rFonts w:ascii="Arial Narrow" w:hAnsi="Arial Narrow"/>
                  <w:color w:val="000000" w:themeColor="text1"/>
                  <w:sz w:val="18"/>
                  <w:szCs w:val="18"/>
                </w:rPr>
                <w:t>Community Liaison Group</w:t>
              </w:r>
            </w:hyperlink>
          </w:p>
          <w:p w14:paraId="5761FE9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Regional Report cards:</w:t>
            </w:r>
          </w:p>
          <w:p w14:paraId="5761FE99" w14:textId="77777777" w:rsidR="00A56EE9" w:rsidRPr="00E70A11" w:rsidRDefault="00A56EE9" w:rsidP="00A11869">
            <w:pPr>
              <w:pStyle w:val="ListParagraph"/>
              <w:numPr>
                <w:ilvl w:val="1"/>
                <w:numId w:val="1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Healthy Rivers to Reef partnership </w:t>
            </w:r>
            <w:hyperlink r:id="rId1328" w:history="1">
              <w:r w:rsidRPr="00E70A11">
                <w:rPr>
                  <w:rStyle w:val="Hyperlink"/>
                  <w:rFonts w:ascii="Arial Narrow" w:hAnsi="Arial Narrow"/>
                  <w:color w:val="000000" w:themeColor="text1"/>
                  <w:sz w:val="18"/>
                  <w:szCs w:val="18"/>
                </w:rPr>
                <w:t>Mackay Whitsunday Report Card</w:t>
              </w:r>
            </w:hyperlink>
          </w:p>
          <w:p w14:paraId="5761FE9A" w14:textId="77777777" w:rsidR="00A56EE9" w:rsidRPr="00E70A11" w:rsidRDefault="00A56EE9" w:rsidP="00A11869">
            <w:pPr>
              <w:pStyle w:val="ListParagraph"/>
              <w:numPr>
                <w:ilvl w:val="1"/>
                <w:numId w:val="1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Fitzroy Basin </w:t>
            </w:r>
            <w:hyperlink r:id="rId1329" w:history="1">
              <w:r w:rsidRPr="00E70A11">
                <w:rPr>
                  <w:rStyle w:val="Hyperlink"/>
                  <w:rFonts w:ascii="Arial Narrow" w:hAnsi="Arial Narrow"/>
                  <w:color w:val="000000" w:themeColor="text1"/>
                  <w:sz w:val="18"/>
                  <w:szCs w:val="18"/>
                </w:rPr>
                <w:t>Report Card</w:t>
              </w:r>
            </w:hyperlink>
          </w:p>
          <w:p w14:paraId="5761FE9B" w14:textId="77777777" w:rsidR="00A56EE9" w:rsidRPr="00E70A11" w:rsidRDefault="008B5998" w:rsidP="00A11869">
            <w:pPr>
              <w:pStyle w:val="ListParagraph"/>
              <w:numPr>
                <w:ilvl w:val="1"/>
                <w:numId w:val="124"/>
              </w:numPr>
              <w:spacing w:after="200" w:line="276" w:lineRule="auto"/>
              <w:rPr>
                <w:rFonts w:ascii="Arial Narrow" w:hAnsi="Arial Narrow"/>
                <w:color w:val="000000" w:themeColor="text1"/>
                <w:sz w:val="18"/>
                <w:szCs w:val="18"/>
              </w:rPr>
            </w:pPr>
            <w:hyperlink r:id="rId1330" w:history="1">
              <w:r w:rsidR="00A56EE9" w:rsidRPr="00E70A11">
                <w:rPr>
                  <w:rStyle w:val="Hyperlink"/>
                  <w:rFonts w:ascii="Arial Narrow" w:hAnsi="Arial Narrow"/>
                  <w:color w:val="000000" w:themeColor="text1"/>
                  <w:sz w:val="18"/>
                  <w:szCs w:val="18"/>
                </w:rPr>
                <w:t>Gladstone Harbour report card</w:t>
              </w:r>
            </w:hyperlink>
          </w:p>
          <w:p w14:paraId="5761FE9C" w14:textId="77777777" w:rsidR="00A56EE9" w:rsidRPr="00E70A11" w:rsidRDefault="00A56EE9" w:rsidP="00A11869">
            <w:pPr>
              <w:pStyle w:val="ListParagraph"/>
              <w:numPr>
                <w:ilvl w:val="1"/>
                <w:numId w:val="1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Wet Tropics </w:t>
            </w:r>
            <w:hyperlink r:id="rId1331" w:history="1">
              <w:r w:rsidRPr="00E70A11">
                <w:rPr>
                  <w:rStyle w:val="Hyperlink"/>
                  <w:rFonts w:ascii="Arial Narrow" w:hAnsi="Arial Narrow"/>
                  <w:color w:val="000000" w:themeColor="text1"/>
                  <w:sz w:val="18"/>
                  <w:szCs w:val="18"/>
                </w:rPr>
                <w:t>Report Card</w:t>
              </w:r>
            </w:hyperlink>
          </w:p>
          <w:p w14:paraId="5761FE9D"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332" w:history="1">
              <w:r w:rsidR="00A56EE9" w:rsidRPr="00E70A11">
                <w:rPr>
                  <w:rStyle w:val="Hyperlink"/>
                  <w:rFonts w:ascii="Arial Narrow" w:hAnsi="Arial Narrow"/>
                  <w:color w:val="000000" w:themeColor="text1"/>
                  <w:sz w:val="18"/>
                  <w:szCs w:val="18"/>
                </w:rPr>
                <w:t>Master Plans</w:t>
              </w:r>
            </w:hyperlink>
          </w:p>
          <w:p w14:paraId="5761FE9E"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333" w:history="1">
              <w:r w:rsidR="00A56EE9" w:rsidRPr="00E70A11">
                <w:rPr>
                  <w:rStyle w:val="Hyperlink"/>
                  <w:rFonts w:ascii="Arial Narrow" w:hAnsi="Arial Narrow"/>
                  <w:color w:val="000000" w:themeColor="text1"/>
                  <w:sz w:val="18"/>
                  <w:szCs w:val="18"/>
                </w:rPr>
                <w:t>Reef 2050 Long-Term Sustainability Plan</w:t>
              </w:r>
            </w:hyperlink>
          </w:p>
          <w:p w14:paraId="5761FE9F" w14:textId="77777777" w:rsidR="00A56EE9" w:rsidRPr="00E70A11" w:rsidRDefault="00A56EE9" w:rsidP="00BB6AD5">
            <w:pPr>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EA0"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EA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EC8"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EA3"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ports</w:t>
            </w:r>
          </w:p>
        </w:tc>
        <w:tc>
          <w:tcPr>
            <w:tcW w:w="790" w:type="dxa"/>
            <w:tcBorders>
              <w:top w:val="single" w:sz="4" w:space="0" w:color="auto"/>
              <w:left w:val="single" w:sz="4" w:space="0" w:color="auto"/>
              <w:bottom w:val="single" w:sz="4" w:space="0" w:color="auto"/>
              <w:right w:val="single" w:sz="4" w:space="0" w:color="auto"/>
            </w:tcBorders>
          </w:tcPr>
          <w:p w14:paraId="5761FEA4"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EA5" w14:textId="77777777" w:rsidR="00A56EE9" w:rsidRPr="00E70A11" w:rsidRDefault="00A56EE9" w:rsidP="00A11869">
            <w:pPr>
              <w:pStyle w:val="ListBullet"/>
              <w:numPr>
                <w:ilvl w:val="0"/>
                <w:numId w:val="93"/>
              </w:numPr>
              <w:autoSpaceDE w:val="0"/>
              <w:autoSpaceDN w:val="0"/>
              <w:adjustRightInd w:val="0"/>
              <w:spacing w:line="240" w:lineRule="auto"/>
            </w:pPr>
            <w:r w:rsidRPr="00E70A11">
              <w:t>Port operations and port developments are regulated by a wide range of Commonwealth and Queensland regulations.</w:t>
            </w:r>
          </w:p>
          <w:p w14:paraId="5761FEA6" w14:textId="77777777" w:rsidR="00A56EE9" w:rsidRPr="00E70A11" w:rsidRDefault="00A56EE9" w:rsidP="00A11869">
            <w:pPr>
              <w:pStyle w:val="ListBullet"/>
              <w:numPr>
                <w:ilvl w:val="0"/>
                <w:numId w:val="93"/>
              </w:numPr>
              <w:autoSpaceDE w:val="0"/>
              <w:autoSpaceDN w:val="0"/>
              <w:adjustRightInd w:val="0"/>
              <w:spacing w:line="240" w:lineRule="auto"/>
            </w:pPr>
            <w:r w:rsidRPr="00E70A11">
              <w:t>Wider Queensland policy for port master planning has been developed in is in the process of being implemented. This incorporates strong linkages addressing ports and their relationship with GBR Marine Park and World Heritage Area values.</w:t>
            </w:r>
          </w:p>
          <w:p w14:paraId="5761FEA7"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rFonts w:cs="ArialMT"/>
                <w:color w:val="000000" w:themeColor="text1"/>
              </w:rPr>
              <w:t xml:space="preserve">The GBRMPA </w:t>
            </w:r>
            <w:r w:rsidRPr="00E70A11">
              <w:rPr>
                <w:color w:val="000000" w:themeColor="text1"/>
              </w:rPr>
              <w:t xml:space="preserve">Dredge and Dredge Spoil Material Disposal Policy </w:t>
            </w:r>
            <w:r w:rsidRPr="00E70A11">
              <w:rPr>
                <w:rFonts w:cs="ArialMT"/>
                <w:color w:val="000000" w:themeColor="text1"/>
              </w:rPr>
              <w:t xml:space="preserve">(2016) is an essential element </w:t>
            </w:r>
            <w:r w:rsidRPr="00E70A11">
              <w:rPr>
                <w:color w:val="000000" w:themeColor="text1"/>
              </w:rPr>
              <w:t>in guiding managers in the management and mitigation of environmental impacts associated with</w:t>
            </w:r>
            <w:r w:rsidRPr="00E70A11">
              <w:rPr>
                <w:rFonts w:cs="ArialMT"/>
                <w:color w:val="000000" w:themeColor="text1"/>
              </w:rPr>
              <w:t xml:space="preserve"> </w:t>
            </w:r>
            <w:r w:rsidRPr="00E70A11">
              <w:rPr>
                <w:color w:val="000000" w:themeColor="text1"/>
              </w:rPr>
              <w:t>dredging activities in the Great Barrier Reef Marine Park. The policy places dredging and dredge</w:t>
            </w:r>
            <w:r w:rsidRPr="00E70A11">
              <w:rPr>
                <w:rFonts w:cs="ArialMT"/>
                <w:color w:val="000000" w:themeColor="text1"/>
              </w:rPr>
              <w:t xml:space="preserve"> </w:t>
            </w:r>
            <w:r w:rsidRPr="00E70A11">
              <w:rPr>
                <w:color w:val="000000" w:themeColor="text1"/>
              </w:rPr>
              <w:t>material disposal in context and provides key principles for managers to address</w:t>
            </w:r>
            <w:r w:rsidRPr="00E70A11">
              <w:rPr>
                <w:rFonts w:cs="ArialMT"/>
                <w:color w:val="000000" w:themeColor="text1"/>
              </w:rPr>
              <w:t xml:space="preserve"> </w:t>
            </w:r>
            <w:r w:rsidRPr="00E70A11">
              <w:rPr>
                <w:color w:val="000000" w:themeColor="text1"/>
              </w:rPr>
              <w:t>related impacts as part of assessing applications for permissions to conduct dredging or to</w:t>
            </w:r>
            <w:r w:rsidRPr="00E70A11">
              <w:rPr>
                <w:rFonts w:cs="ArialMT"/>
                <w:color w:val="000000" w:themeColor="text1"/>
              </w:rPr>
              <w:t xml:space="preserve"> </w:t>
            </w:r>
            <w:r w:rsidRPr="00E70A11">
              <w:rPr>
                <w:color w:val="000000" w:themeColor="text1"/>
              </w:rPr>
              <w:t>dispose dredged material in the Marine Park.</w:t>
            </w:r>
          </w:p>
          <w:p w14:paraId="5761FEA8" w14:textId="77777777" w:rsidR="00A56EE9" w:rsidRPr="00E70A11" w:rsidRDefault="00A56EE9" w:rsidP="00A11869">
            <w:pPr>
              <w:pStyle w:val="ListBullet"/>
              <w:numPr>
                <w:ilvl w:val="0"/>
                <w:numId w:val="93"/>
              </w:numPr>
              <w:autoSpaceDE w:val="0"/>
              <w:autoSpaceDN w:val="0"/>
              <w:adjustRightInd w:val="0"/>
              <w:spacing w:line="240" w:lineRule="auto"/>
            </w:pPr>
            <w:r w:rsidRPr="00E70A11">
              <w:t>Some policy/guidance gaps have been or are being addressed, such as planning for and siting of anchorages.</w:t>
            </w:r>
          </w:p>
          <w:p w14:paraId="5761FEA9" w14:textId="77777777" w:rsidR="00A56EE9" w:rsidRPr="00E70A11" w:rsidRDefault="00A56EE9" w:rsidP="00A11869">
            <w:pPr>
              <w:pStyle w:val="ListBullet"/>
              <w:numPr>
                <w:ilvl w:val="0"/>
                <w:numId w:val="93"/>
              </w:numPr>
              <w:autoSpaceDE w:val="0"/>
              <w:autoSpaceDN w:val="0"/>
              <w:adjustRightInd w:val="0"/>
              <w:spacing w:line="240" w:lineRule="auto"/>
              <w:jc w:val="both"/>
              <w:rPr>
                <w:color w:val="000000" w:themeColor="text1"/>
              </w:rPr>
            </w:pPr>
            <w:r w:rsidRPr="00E70A11">
              <w:rPr>
                <w:color w:val="000000" w:themeColor="text1"/>
              </w:rPr>
              <w:t xml:space="preserve">Ports corporations pursuant to the </w:t>
            </w:r>
            <w:hyperlink r:id="rId1334" w:history="1">
              <w:r w:rsidRPr="00E70A11">
                <w:rPr>
                  <w:rStyle w:val="Hyperlink"/>
                  <w:rFonts w:cs="Helvetica"/>
                  <w:i/>
                  <w:color w:val="000000" w:themeColor="text1"/>
                </w:rPr>
                <w:t>Government Owned Corporations Act 1993</w:t>
              </w:r>
            </w:hyperlink>
            <w:r w:rsidRPr="00E70A11">
              <w:rPr>
                <w:rFonts w:cs="Helvetica"/>
                <w:color w:val="000000" w:themeColor="text1"/>
              </w:rPr>
              <w:t xml:space="preserve"> (Qld) are required to publish an environmental management and monitoring statement/ report annually.</w:t>
            </w:r>
          </w:p>
          <w:p w14:paraId="5761FEAA" w14:textId="77777777" w:rsidR="00A56EE9" w:rsidRPr="00E70A11" w:rsidRDefault="00A56EE9" w:rsidP="00A11869">
            <w:pPr>
              <w:pStyle w:val="ListBullet"/>
              <w:numPr>
                <w:ilvl w:val="0"/>
                <w:numId w:val="93"/>
              </w:numPr>
              <w:autoSpaceDE w:val="0"/>
              <w:autoSpaceDN w:val="0"/>
              <w:adjustRightInd w:val="0"/>
              <w:spacing w:line="240" w:lineRule="auto"/>
              <w:jc w:val="both"/>
              <w:rPr>
                <w:color w:val="000000" w:themeColor="text1"/>
              </w:rPr>
            </w:pPr>
            <w:r w:rsidRPr="00E70A11">
              <w:rPr>
                <w:color w:val="000000" w:themeColor="text1"/>
              </w:rPr>
              <w:t>In 2017, GBRMPA Environmental Assessment and Protection section updated their permission system policies and guidance documents.</w:t>
            </w:r>
          </w:p>
          <w:p w14:paraId="5761FEAB"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cs="ArialMT"/>
                <w:color w:val="000000" w:themeColor="text1"/>
              </w:rPr>
            </w:pPr>
            <w:r w:rsidRPr="00E70A11">
              <w:rPr>
                <w:rFonts w:eastAsia="SymbolMT" w:cs="ArialMT"/>
                <w:color w:val="000000" w:themeColor="text1"/>
              </w:rPr>
              <w:t xml:space="preserve">Port related State legislation: </w:t>
            </w:r>
            <w:r w:rsidRPr="00E70A11">
              <w:rPr>
                <w:rFonts w:eastAsia="SymbolMT"/>
                <w:color w:val="000000" w:themeColor="text1"/>
              </w:rPr>
              <w:t>Transport Infrastructure Act 1994</w:t>
            </w:r>
            <w:r w:rsidRPr="00E70A11">
              <w:rPr>
                <w:rFonts w:eastAsia="SymbolMT" w:cs="ArialMT"/>
                <w:color w:val="000000" w:themeColor="text1"/>
              </w:rPr>
              <w:t xml:space="preserve">, </w:t>
            </w:r>
            <w:r w:rsidRPr="00E70A11">
              <w:rPr>
                <w:rFonts w:eastAsia="SymbolMT"/>
                <w:color w:val="000000" w:themeColor="text1"/>
              </w:rPr>
              <w:t>Marine Parks Act 2004</w:t>
            </w:r>
            <w:r w:rsidRPr="00E70A11">
              <w:rPr>
                <w:rFonts w:eastAsia="SymbolMT" w:cs="ArialMT"/>
                <w:color w:val="000000" w:themeColor="text1"/>
              </w:rPr>
              <w:t xml:space="preserve">, </w:t>
            </w:r>
            <w:r w:rsidRPr="00E70A11">
              <w:rPr>
                <w:rFonts w:eastAsia="SymbolMT" w:cs="Arial"/>
                <w:iCs/>
                <w:color w:val="000000" w:themeColor="text1"/>
              </w:rPr>
              <w:t>Sustainable Ports Development Act 2015</w:t>
            </w:r>
            <w:r w:rsidRPr="00E70A11">
              <w:rPr>
                <w:rFonts w:eastAsia="SymbolMT"/>
                <w:color w:val="000000" w:themeColor="text1"/>
              </w:rPr>
              <w:t>, Coastal Protection and Management Act 1995,</w:t>
            </w:r>
            <w:r w:rsidRPr="00E70A11">
              <w:rPr>
                <w:rFonts w:eastAsia="SymbolMT" w:cs="ArialMT"/>
                <w:color w:val="000000" w:themeColor="text1"/>
              </w:rPr>
              <w:t xml:space="preserve"> Biosecurity Act 2014, </w:t>
            </w:r>
            <w:r w:rsidRPr="00E70A11">
              <w:rPr>
                <w:rFonts w:eastAsia="SymbolMT"/>
                <w:color w:val="000000" w:themeColor="text1"/>
              </w:rPr>
              <w:t xml:space="preserve">Planning Act 2016, </w:t>
            </w:r>
            <w:r w:rsidRPr="00E70A11">
              <w:rPr>
                <w:rFonts w:eastAsia="SymbolMT" w:cs="ArialMT"/>
                <w:color w:val="000000" w:themeColor="text1"/>
              </w:rPr>
              <w:t xml:space="preserve">and </w:t>
            </w:r>
            <w:r w:rsidRPr="00E70A11">
              <w:rPr>
                <w:rFonts w:eastAsia="SymbolMT"/>
                <w:color w:val="000000" w:themeColor="text1"/>
              </w:rPr>
              <w:t>State Development and Public Works Act 1971.</w:t>
            </w:r>
          </w:p>
          <w:p w14:paraId="5761FEAC"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color w:val="000000" w:themeColor="text1"/>
              </w:rPr>
            </w:pPr>
            <w:r w:rsidRPr="00E70A11">
              <w:rPr>
                <w:rFonts w:eastAsia="SymbolMT"/>
                <w:color w:val="000000" w:themeColor="text1"/>
              </w:rPr>
              <w:t xml:space="preserve">The </w:t>
            </w:r>
            <w:r w:rsidRPr="00E70A11">
              <w:rPr>
                <w:rFonts w:eastAsia="SymbolMT" w:cs="Arial"/>
                <w:i/>
                <w:iCs/>
                <w:color w:val="000000" w:themeColor="text1"/>
              </w:rPr>
              <w:t xml:space="preserve">Sustainable Ports Development Act 2015 </w:t>
            </w:r>
            <w:r w:rsidRPr="00E70A11">
              <w:rPr>
                <w:rFonts w:eastAsia="SymbolMT"/>
                <w:color w:val="000000" w:themeColor="text1"/>
              </w:rPr>
              <w:t>provides a planning framework for ports that:</w:t>
            </w:r>
          </w:p>
          <w:p w14:paraId="5761FEAD" w14:textId="77777777" w:rsidR="00A56EE9" w:rsidRPr="00E70A11" w:rsidRDefault="00A56EE9" w:rsidP="00A11869">
            <w:pPr>
              <w:pStyle w:val="ListBullet"/>
              <w:numPr>
                <w:ilvl w:val="0"/>
                <w:numId w:val="93"/>
              </w:numPr>
              <w:autoSpaceDE w:val="0"/>
              <w:autoSpaceDN w:val="0"/>
              <w:adjustRightInd w:val="0"/>
              <w:spacing w:line="240" w:lineRule="auto"/>
              <w:ind w:left="644"/>
              <w:rPr>
                <w:rFonts w:eastAsia="SymbolMT"/>
                <w:color w:val="000000" w:themeColor="text1"/>
              </w:rPr>
            </w:pPr>
            <w:r w:rsidRPr="00E70A11">
              <w:rPr>
                <w:rFonts w:eastAsia="SymbolMT"/>
                <w:color w:val="000000" w:themeColor="text1"/>
              </w:rPr>
              <w:t>Restricts new port development in and adjoining the GBRWHA to within current port limits and outside Commonwealth and state marine parks.</w:t>
            </w:r>
          </w:p>
          <w:p w14:paraId="5761FEAE" w14:textId="77777777" w:rsidR="00A56EE9" w:rsidRPr="00E70A11" w:rsidRDefault="00A56EE9" w:rsidP="00A11869">
            <w:pPr>
              <w:pStyle w:val="ListBullet"/>
              <w:numPr>
                <w:ilvl w:val="0"/>
                <w:numId w:val="93"/>
              </w:numPr>
              <w:autoSpaceDE w:val="0"/>
              <w:autoSpaceDN w:val="0"/>
              <w:adjustRightInd w:val="0"/>
              <w:spacing w:line="240" w:lineRule="auto"/>
              <w:ind w:left="644"/>
              <w:rPr>
                <w:rFonts w:eastAsia="SymbolMT"/>
                <w:color w:val="000000" w:themeColor="text1"/>
              </w:rPr>
            </w:pPr>
            <w:r w:rsidRPr="00E70A11">
              <w:rPr>
                <w:rFonts w:eastAsia="SymbolMT"/>
                <w:color w:val="000000" w:themeColor="text1"/>
              </w:rPr>
              <w:t>Prohibits major capital dredging for the development of new or expansion of existing port facilities in the GBRWHA outside the Priority Ports of Gladstone, Abbot Point, Townsville and Hay Point/Mackay.</w:t>
            </w:r>
          </w:p>
          <w:p w14:paraId="5761FEAF" w14:textId="77777777" w:rsidR="00A56EE9" w:rsidRPr="00E70A11" w:rsidRDefault="00A56EE9" w:rsidP="00A11869">
            <w:pPr>
              <w:pStyle w:val="ListBullet"/>
              <w:numPr>
                <w:ilvl w:val="0"/>
                <w:numId w:val="93"/>
              </w:numPr>
              <w:autoSpaceDE w:val="0"/>
              <w:autoSpaceDN w:val="0"/>
              <w:adjustRightInd w:val="0"/>
              <w:spacing w:line="240" w:lineRule="auto"/>
              <w:ind w:left="644"/>
              <w:rPr>
                <w:rFonts w:eastAsia="SymbolMT"/>
                <w:color w:val="000000" w:themeColor="text1"/>
              </w:rPr>
            </w:pPr>
            <w:r w:rsidRPr="00E70A11">
              <w:rPr>
                <w:rFonts w:eastAsia="SymbolMT"/>
                <w:color w:val="000000" w:themeColor="text1"/>
              </w:rPr>
              <w:t>Prohibits the sea-based disposal of port-related capital dredge material within the GBRWHA.</w:t>
            </w:r>
          </w:p>
          <w:p w14:paraId="5761FEB0" w14:textId="77777777" w:rsidR="00A56EE9" w:rsidRPr="00E70A11" w:rsidRDefault="00A56EE9" w:rsidP="00A11869">
            <w:pPr>
              <w:pStyle w:val="ListBullet"/>
              <w:numPr>
                <w:ilvl w:val="0"/>
                <w:numId w:val="93"/>
              </w:numPr>
              <w:autoSpaceDE w:val="0"/>
              <w:autoSpaceDN w:val="0"/>
              <w:adjustRightInd w:val="0"/>
              <w:spacing w:line="240" w:lineRule="auto"/>
              <w:rPr>
                <w:rStyle w:val="BookTitle"/>
                <w:rFonts w:cs="AdvGulliv-R"/>
                <w:color w:val="000000" w:themeColor="text1"/>
              </w:rPr>
            </w:pPr>
            <w:r w:rsidRPr="00E70A11">
              <w:rPr>
                <w:color w:val="000000" w:themeColor="text1"/>
              </w:rPr>
              <w:t>The Queensland Maintenance Dredging Strategy (2016) provides a framework for sustainable, leading practice management of maintenance dredging at ports in the GBRWHA and builds on the current strong regulatory requirements and ensure the ongoing protection of the Reef's values and the continued operating efficiency of ports within the GBRWHA.</w:t>
            </w:r>
          </w:p>
        </w:tc>
        <w:tc>
          <w:tcPr>
            <w:tcW w:w="5066" w:type="dxa"/>
            <w:tcBorders>
              <w:top w:val="single" w:sz="4" w:space="0" w:color="auto"/>
              <w:left w:val="single" w:sz="4" w:space="0" w:color="auto"/>
              <w:bottom w:val="single" w:sz="4" w:space="0" w:color="auto"/>
              <w:right w:val="single" w:sz="4" w:space="0" w:color="auto"/>
            </w:tcBorders>
          </w:tcPr>
          <w:p w14:paraId="5761FEB1" w14:textId="77777777" w:rsidR="00A56EE9" w:rsidRPr="00E70A11" w:rsidRDefault="008B5998" w:rsidP="00A11869">
            <w:pPr>
              <w:pStyle w:val="ListParagraph"/>
              <w:numPr>
                <w:ilvl w:val="0"/>
                <w:numId w:val="109"/>
              </w:numPr>
              <w:spacing w:after="0" w:line="240" w:lineRule="auto"/>
              <w:ind w:left="398" w:hanging="398"/>
              <w:jc w:val="both"/>
              <w:rPr>
                <w:rStyle w:val="Hyperlink"/>
                <w:rFonts w:ascii="Arial Narrow" w:hAnsi="Arial Narrow"/>
                <w:color w:val="000000" w:themeColor="text1"/>
                <w:sz w:val="18"/>
                <w:szCs w:val="18"/>
              </w:rPr>
            </w:pPr>
            <w:hyperlink r:id="rId1335" w:history="1">
              <w:r w:rsidR="00A56EE9" w:rsidRPr="00E70A11">
                <w:rPr>
                  <w:rStyle w:val="Hyperlink"/>
                  <w:rFonts w:ascii="Arial Narrow" w:hAnsi="Arial Narrow" w:cs="Helvetica"/>
                  <w:color w:val="000000" w:themeColor="text1"/>
                  <w:sz w:val="18"/>
                  <w:szCs w:val="18"/>
                  <w:lang w:val="en"/>
                </w:rPr>
                <w:t>Dredging and removal of quarry material from under tidal water</w:t>
              </w:r>
            </w:hyperlink>
          </w:p>
          <w:p w14:paraId="5761FEB2" w14:textId="77777777" w:rsidR="00A56EE9" w:rsidRPr="00E70A11" w:rsidRDefault="008B5998" w:rsidP="00A11869">
            <w:pPr>
              <w:pStyle w:val="ListParagraph"/>
              <w:numPr>
                <w:ilvl w:val="0"/>
                <w:numId w:val="109"/>
              </w:numPr>
              <w:spacing w:after="0" w:line="240" w:lineRule="auto"/>
              <w:ind w:left="398" w:hanging="398"/>
              <w:jc w:val="both"/>
              <w:rPr>
                <w:rStyle w:val="Hyperlink"/>
                <w:rFonts w:ascii="Arial Narrow" w:hAnsi="Arial Narrow"/>
                <w:color w:val="000000" w:themeColor="text1"/>
                <w:sz w:val="18"/>
                <w:szCs w:val="18"/>
              </w:rPr>
            </w:pPr>
            <w:hyperlink r:id="rId1336" w:history="1">
              <w:r w:rsidR="00A56EE9" w:rsidRPr="00E70A11">
                <w:rPr>
                  <w:rStyle w:val="Hyperlink"/>
                  <w:rFonts w:ascii="Arial Narrow" w:hAnsi="Arial Narrow"/>
                  <w:color w:val="000000" w:themeColor="text1"/>
                  <w:sz w:val="18"/>
                  <w:szCs w:val="18"/>
                </w:rPr>
                <w:t>Synthesis of current knowledge of the biophysical impacts of dredging and disposal on the Great Barrier Reef: report of an independent panel of experts</w:t>
              </w:r>
            </w:hyperlink>
          </w:p>
          <w:p w14:paraId="5761FEB3" w14:textId="77777777" w:rsidR="00A56EE9" w:rsidRPr="00E70A11" w:rsidRDefault="008B5998" w:rsidP="00A11869">
            <w:pPr>
              <w:pStyle w:val="ListParagraph"/>
              <w:numPr>
                <w:ilvl w:val="0"/>
                <w:numId w:val="109"/>
              </w:numPr>
              <w:spacing w:after="0" w:line="240" w:lineRule="auto"/>
              <w:ind w:left="398" w:hanging="398"/>
              <w:jc w:val="both"/>
              <w:rPr>
                <w:rFonts w:ascii="Arial Narrow" w:hAnsi="Arial Narrow"/>
                <w:color w:val="000000" w:themeColor="text1"/>
                <w:sz w:val="18"/>
                <w:szCs w:val="18"/>
              </w:rPr>
            </w:pPr>
            <w:hyperlink r:id="rId1337" w:history="1">
              <w:r w:rsidR="00A56EE9" w:rsidRPr="00E70A11">
                <w:rPr>
                  <w:rStyle w:val="Hyperlink"/>
                  <w:rFonts w:ascii="Arial Narrow" w:hAnsi="Arial Narrow"/>
                  <w:color w:val="000000" w:themeColor="text1"/>
                  <w:sz w:val="18"/>
                  <w:szCs w:val="18"/>
                </w:rPr>
                <w:t>Dredge and dredge spoilt material disposal policy</w:t>
              </w:r>
            </w:hyperlink>
          </w:p>
          <w:p w14:paraId="5761FEB4" w14:textId="77777777" w:rsidR="00A56EE9" w:rsidRPr="00E70A11" w:rsidRDefault="008B5998" w:rsidP="00A11869">
            <w:pPr>
              <w:pStyle w:val="ListParagraph"/>
              <w:numPr>
                <w:ilvl w:val="0"/>
                <w:numId w:val="109"/>
              </w:numPr>
              <w:spacing w:after="0" w:line="240" w:lineRule="auto"/>
              <w:ind w:left="398" w:hanging="398"/>
              <w:jc w:val="both"/>
              <w:rPr>
                <w:rFonts w:ascii="Arial Narrow" w:hAnsi="Arial Narrow"/>
                <w:color w:val="000000" w:themeColor="text1"/>
                <w:sz w:val="18"/>
                <w:szCs w:val="18"/>
              </w:rPr>
            </w:pPr>
            <w:hyperlink r:id="rId1338" w:history="1">
              <w:r w:rsidR="00A56EE9" w:rsidRPr="00E70A11">
                <w:rPr>
                  <w:rStyle w:val="Hyperlink"/>
                  <w:rFonts w:ascii="Arial Narrow" w:hAnsi="Arial Narrow"/>
                  <w:color w:val="000000" w:themeColor="text1"/>
                  <w:sz w:val="18"/>
                  <w:szCs w:val="18"/>
                </w:rPr>
                <w:t>Dredging coral reef habitats</w:t>
              </w:r>
            </w:hyperlink>
          </w:p>
          <w:p w14:paraId="5761FEB5" w14:textId="77777777" w:rsidR="00A56EE9" w:rsidRPr="00E70A11" w:rsidRDefault="008B5998" w:rsidP="00A11869">
            <w:pPr>
              <w:pStyle w:val="ListParagraph"/>
              <w:numPr>
                <w:ilvl w:val="0"/>
                <w:numId w:val="109"/>
              </w:numPr>
              <w:spacing w:after="0" w:line="240" w:lineRule="auto"/>
              <w:ind w:left="398" w:hanging="398"/>
              <w:jc w:val="both"/>
              <w:rPr>
                <w:rStyle w:val="Hyperlink"/>
                <w:rFonts w:ascii="Arial Narrow" w:hAnsi="Arial Narrow"/>
                <w:color w:val="000000" w:themeColor="text1"/>
                <w:sz w:val="18"/>
                <w:szCs w:val="18"/>
              </w:rPr>
            </w:pPr>
            <w:hyperlink r:id="rId1339" w:history="1">
              <w:r w:rsidR="00A56EE9" w:rsidRPr="00E70A11">
                <w:rPr>
                  <w:rStyle w:val="Hyperlink"/>
                  <w:rFonts w:ascii="Arial Narrow" w:hAnsi="Arial Narrow"/>
                  <w:color w:val="000000" w:themeColor="text1"/>
                  <w:sz w:val="18"/>
                  <w:szCs w:val="18"/>
                </w:rPr>
                <w:t>Maintenance Dredging Strategy for Great Barrier Reef World Heritage Area Ports</w:t>
              </w:r>
            </w:hyperlink>
          </w:p>
          <w:p w14:paraId="5761FEB6" w14:textId="77777777" w:rsidR="00A56EE9" w:rsidRPr="00E70A11" w:rsidRDefault="00A56EE9" w:rsidP="00A11869">
            <w:pPr>
              <w:numPr>
                <w:ilvl w:val="0"/>
                <w:numId w:val="109"/>
              </w:numPr>
              <w:spacing w:before="100" w:beforeAutospacing="1" w:after="100" w:afterAutospacing="1" w:line="240" w:lineRule="auto"/>
              <w:ind w:left="398" w:hanging="398"/>
              <w:rPr>
                <w:rFonts w:ascii="Arial Narrow" w:hAnsi="Arial Narrow"/>
                <w:color w:val="000000" w:themeColor="text1"/>
                <w:sz w:val="18"/>
                <w:szCs w:val="18"/>
              </w:rPr>
            </w:pPr>
            <w:r w:rsidRPr="00E70A11">
              <w:rPr>
                <w:rFonts w:ascii="Arial Narrow" w:hAnsi="Arial Narrow"/>
                <w:color w:val="000000" w:themeColor="text1"/>
                <w:sz w:val="18"/>
                <w:szCs w:val="18"/>
              </w:rPr>
              <w:t xml:space="preserve">Updated </w:t>
            </w:r>
            <w:hyperlink r:id="rId1340" w:history="1">
              <w:r w:rsidRPr="00E70A11">
                <w:rPr>
                  <w:rStyle w:val="Hyperlink"/>
                  <w:rFonts w:ascii="Arial Narrow" w:hAnsi="Arial Narrow"/>
                  <w:color w:val="000000" w:themeColor="text1"/>
                  <w:sz w:val="18"/>
                  <w:szCs w:val="18"/>
                </w:rPr>
                <w:t>permission system policy</w:t>
              </w:r>
            </w:hyperlink>
            <w:r w:rsidRPr="00E70A11">
              <w:rPr>
                <w:rFonts w:ascii="Arial Narrow" w:hAnsi="Arial Narrow"/>
                <w:color w:val="000000" w:themeColor="text1"/>
                <w:sz w:val="18"/>
                <w:szCs w:val="18"/>
              </w:rPr>
              <w:t xml:space="preserve"> and </w:t>
            </w:r>
            <w:hyperlink r:id="rId1341" w:history="1">
              <w:r w:rsidRPr="00E70A11">
                <w:rPr>
                  <w:rStyle w:val="Hyperlink"/>
                  <w:rFonts w:ascii="Arial Narrow" w:hAnsi="Arial Narrow"/>
                  <w:color w:val="000000" w:themeColor="text1"/>
                  <w:sz w:val="18"/>
                  <w:szCs w:val="18"/>
                </w:rPr>
                <w:t>new guidance documents</w:t>
              </w:r>
            </w:hyperlink>
            <w:r w:rsidRPr="00E70A11">
              <w:rPr>
                <w:rFonts w:ascii="Arial Narrow" w:hAnsi="Arial Narrow"/>
                <w:color w:val="000000" w:themeColor="text1"/>
                <w:sz w:val="18"/>
                <w:szCs w:val="18"/>
              </w:rPr>
              <w:t>.</w:t>
            </w:r>
          </w:p>
          <w:p w14:paraId="5761FEB7" w14:textId="77777777" w:rsidR="00A56EE9" w:rsidRPr="00E70A11" w:rsidRDefault="00A56EE9" w:rsidP="00A11869">
            <w:pPr>
              <w:pStyle w:val="ListParagraph"/>
              <w:numPr>
                <w:ilvl w:val="0"/>
                <w:numId w:val="109"/>
              </w:numPr>
              <w:spacing w:after="0" w:line="240" w:lineRule="auto"/>
              <w:ind w:left="398" w:hanging="398"/>
              <w:jc w:val="both"/>
              <w:rPr>
                <w:rFonts w:ascii="Arial Narrow" w:hAnsi="Arial Narrow"/>
                <w:color w:val="000000" w:themeColor="text1"/>
                <w:sz w:val="18"/>
                <w:szCs w:val="18"/>
              </w:rPr>
            </w:pPr>
            <w:r w:rsidRPr="00E70A11">
              <w:rPr>
                <w:rFonts w:ascii="Arial Narrow" w:eastAsia="SymbolMT" w:hAnsi="Arial Narrow"/>
                <w:color w:val="000000" w:themeColor="text1"/>
                <w:sz w:val="18"/>
                <w:szCs w:val="18"/>
              </w:rPr>
              <w:t>National Ports Strategy</w:t>
            </w:r>
          </w:p>
          <w:p w14:paraId="5761FEB8" w14:textId="77777777" w:rsidR="00A56EE9" w:rsidRPr="00E70A11" w:rsidRDefault="00A56EE9" w:rsidP="00A11869">
            <w:pPr>
              <w:pStyle w:val="ListParagraph"/>
              <w:numPr>
                <w:ilvl w:val="0"/>
                <w:numId w:val="109"/>
              </w:numPr>
              <w:spacing w:after="0" w:line="240" w:lineRule="auto"/>
              <w:ind w:left="398" w:hanging="398"/>
              <w:jc w:val="both"/>
              <w:rPr>
                <w:rFonts w:ascii="Arial Narrow" w:hAnsi="Arial Narrow"/>
                <w:color w:val="000000" w:themeColor="text1"/>
                <w:sz w:val="18"/>
                <w:szCs w:val="18"/>
              </w:rPr>
            </w:pPr>
            <w:r w:rsidRPr="00E70A11">
              <w:rPr>
                <w:rFonts w:ascii="Arial Narrow" w:eastAsia="SymbolMT" w:hAnsi="Arial Narrow"/>
                <w:color w:val="000000" w:themeColor="text1"/>
                <w:sz w:val="18"/>
                <w:szCs w:val="18"/>
              </w:rPr>
              <w:t>National Land Freight Strategy</w:t>
            </w:r>
          </w:p>
          <w:p w14:paraId="5761FEB9" w14:textId="77777777" w:rsidR="00A56EE9" w:rsidRPr="00E70A11" w:rsidRDefault="00A56EE9" w:rsidP="00A11869">
            <w:pPr>
              <w:pStyle w:val="ListParagraph"/>
              <w:numPr>
                <w:ilvl w:val="0"/>
                <w:numId w:val="109"/>
              </w:numPr>
              <w:spacing w:after="0" w:line="240" w:lineRule="auto"/>
              <w:ind w:left="398" w:hanging="398"/>
              <w:jc w:val="both"/>
              <w:rPr>
                <w:rFonts w:ascii="Arial Narrow" w:hAnsi="Arial Narrow"/>
                <w:color w:val="000000" w:themeColor="text1"/>
                <w:sz w:val="18"/>
                <w:szCs w:val="18"/>
              </w:rPr>
            </w:pPr>
            <w:r w:rsidRPr="00E70A11">
              <w:rPr>
                <w:rFonts w:ascii="Arial Narrow" w:eastAsia="SymbolMT" w:hAnsi="Arial Narrow"/>
                <w:color w:val="000000" w:themeColor="text1"/>
                <w:sz w:val="18"/>
                <w:szCs w:val="18"/>
              </w:rPr>
              <w:t>Moving Freight</w:t>
            </w:r>
          </w:p>
          <w:p w14:paraId="5761FEBA" w14:textId="77777777" w:rsidR="00A56EE9" w:rsidRPr="00E70A11" w:rsidRDefault="00A56EE9" w:rsidP="00A11869">
            <w:pPr>
              <w:pStyle w:val="ListParagraph"/>
              <w:numPr>
                <w:ilvl w:val="0"/>
                <w:numId w:val="109"/>
              </w:numPr>
              <w:spacing w:after="0" w:line="240" w:lineRule="auto"/>
              <w:ind w:left="398" w:hanging="398"/>
              <w:jc w:val="both"/>
              <w:rPr>
                <w:rFonts w:ascii="Arial Narrow" w:hAnsi="Arial Narrow"/>
                <w:color w:val="000000" w:themeColor="text1"/>
                <w:sz w:val="18"/>
                <w:szCs w:val="18"/>
              </w:rPr>
            </w:pPr>
            <w:r w:rsidRPr="00E70A11">
              <w:rPr>
                <w:rFonts w:ascii="Arial Narrow" w:eastAsia="SymbolMT" w:hAnsi="Arial Narrow"/>
                <w:color w:val="000000" w:themeColor="text1"/>
                <w:sz w:val="18"/>
                <w:szCs w:val="18"/>
              </w:rPr>
              <w:t>1996 Protocol to the Convention on the Prevention of Marine Pollution by Dumping of Wastes and Other Matter, 1972 (London Protocol)</w:t>
            </w:r>
          </w:p>
          <w:p w14:paraId="5761FEBB" w14:textId="77777777" w:rsidR="00A56EE9" w:rsidRPr="00E70A11" w:rsidRDefault="00A56EE9" w:rsidP="00A11869">
            <w:pPr>
              <w:pStyle w:val="ListParagraph"/>
              <w:numPr>
                <w:ilvl w:val="0"/>
                <w:numId w:val="109"/>
              </w:numPr>
              <w:spacing w:after="0" w:line="240" w:lineRule="auto"/>
              <w:ind w:left="398" w:hanging="398"/>
              <w:jc w:val="both"/>
              <w:rPr>
                <w:rFonts w:ascii="Arial Narrow" w:hAnsi="Arial Narrow"/>
                <w:color w:val="000000" w:themeColor="text1"/>
                <w:sz w:val="18"/>
                <w:szCs w:val="18"/>
              </w:rPr>
            </w:pPr>
            <w:r w:rsidRPr="00E70A11">
              <w:rPr>
                <w:rFonts w:ascii="Arial Narrow" w:eastAsia="SymbolMT" w:hAnsi="Arial Narrow"/>
                <w:color w:val="000000" w:themeColor="text1"/>
                <w:sz w:val="18"/>
                <w:szCs w:val="18"/>
              </w:rPr>
              <w:t>International Convention for the Prevention of Pollution from Ships (MARPOL)</w:t>
            </w:r>
          </w:p>
          <w:p w14:paraId="5761FEBC" w14:textId="77777777" w:rsidR="00A56EE9" w:rsidRPr="00E70A11" w:rsidRDefault="00A56EE9" w:rsidP="00A11869">
            <w:pPr>
              <w:pStyle w:val="ListParagraph"/>
              <w:numPr>
                <w:ilvl w:val="0"/>
                <w:numId w:val="109"/>
              </w:numPr>
              <w:spacing w:after="0" w:line="240" w:lineRule="auto"/>
              <w:ind w:left="398" w:hanging="398"/>
              <w:jc w:val="both"/>
              <w:rPr>
                <w:rFonts w:ascii="Arial Narrow" w:hAnsi="Arial Narrow"/>
                <w:color w:val="000000" w:themeColor="text1"/>
                <w:sz w:val="18"/>
                <w:szCs w:val="18"/>
              </w:rPr>
            </w:pPr>
            <w:r w:rsidRPr="00E70A11">
              <w:rPr>
                <w:rFonts w:ascii="Arial Narrow" w:eastAsia="SymbolMT" w:hAnsi="Arial Narrow"/>
                <w:color w:val="000000" w:themeColor="text1"/>
                <w:sz w:val="18"/>
                <w:szCs w:val="18"/>
              </w:rPr>
              <w:t>National Assessment Guidelines for Dredging</w:t>
            </w:r>
          </w:p>
          <w:p w14:paraId="5761FEBD" w14:textId="77777777" w:rsidR="00A56EE9" w:rsidRPr="00E70A11" w:rsidRDefault="008B5998" w:rsidP="00A11869">
            <w:pPr>
              <w:pStyle w:val="ListParagraph"/>
              <w:numPr>
                <w:ilvl w:val="0"/>
                <w:numId w:val="109"/>
              </w:numPr>
              <w:spacing w:after="200" w:line="276" w:lineRule="auto"/>
              <w:ind w:left="398" w:hanging="398"/>
              <w:rPr>
                <w:rStyle w:val="Hyperlink"/>
                <w:rFonts w:ascii="Arial Narrow" w:hAnsi="Arial Narrow"/>
                <w:color w:val="000000" w:themeColor="text1"/>
                <w:sz w:val="18"/>
                <w:szCs w:val="18"/>
              </w:rPr>
            </w:pPr>
            <w:hyperlink r:id="rId1342" w:history="1">
              <w:r w:rsidR="00A56EE9" w:rsidRPr="00E70A11">
                <w:rPr>
                  <w:rStyle w:val="Hyperlink"/>
                  <w:rFonts w:ascii="Arial Narrow" w:hAnsi="Arial Narrow"/>
                  <w:color w:val="000000" w:themeColor="text1"/>
                  <w:sz w:val="18"/>
                  <w:szCs w:val="18"/>
                </w:rPr>
                <w:t>Reef 2050 Long-Term Sustainability Plan</w:t>
              </w:r>
            </w:hyperlink>
          </w:p>
          <w:p w14:paraId="5761FEBE" w14:textId="77777777" w:rsidR="00A56EE9" w:rsidRPr="00E70A11" w:rsidRDefault="00A56EE9" w:rsidP="00A11869">
            <w:pPr>
              <w:pStyle w:val="ListParagraph"/>
              <w:numPr>
                <w:ilvl w:val="0"/>
                <w:numId w:val="109"/>
              </w:numPr>
              <w:spacing w:after="200" w:line="276" w:lineRule="auto"/>
              <w:ind w:left="398" w:hanging="398"/>
              <w:rPr>
                <w:rFonts w:ascii="Arial Narrow" w:hAnsi="Arial Narrow"/>
                <w:color w:val="000000" w:themeColor="text1"/>
                <w:sz w:val="18"/>
                <w:szCs w:val="18"/>
              </w:rPr>
            </w:pPr>
            <w:r w:rsidRPr="00E70A11">
              <w:rPr>
                <w:rFonts w:ascii="Arial Narrow" w:eastAsia="SymbolMT" w:hAnsi="Arial Narrow"/>
                <w:iCs/>
                <w:color w:val="000000" w:themeColor="text1"/>
                <w:sz w:val="18"/>
                <w:szCs w:val="18"/>
              </w:rPr>
              <w:t>Environment Protection (Sea Dumping) Act 1981</w:t>
            </w:r>
          </w:p>
          <w:p w14:paraId="5761FEBF" w14:textId="77777777" w:rsidR="00A56EE9" w:rsidRPr="00E70A11" w:rsidRDefault="00A56EE9" w:rsidP="00A11869">
            <w:pPr>
              <w:pStyle w:val="ListParagraph"/>
              <w:numPr>
                <w:ilvl w:val="0"/>
                <w:numId w:val="109"/>
              </w:numPr>
              <w:spacing w:after="200" w:line="276" w:lineRule="auto"/>
              <w:ind w:left="398" w:hanging="398"/>
              <w:rPr>
                <w:rFonts w:ascii="Arial Narrow" w:hAnsi="Arial Narrow"/>
                <w:color w:val="000000" w:themeColor="text1"/>
                <w:sz w:val="18"/>
                <w:szCs w:val="18"/>
              </w:rPr>
            </w:pPr>
            <w:r w:rsidRPr="00E70A11">
              <w:rPr>
                <w:rFonts w:ascii="Arial Narrow" w:eastAsia="SymbolMT" w:hAnsi="Arial Narrow"/>
                <w:color w:val="000000" w:themeColor="text1"/>
                <w:sz w:val="18"/>
                <w:szCs w:val="18"/>
              </w:rPr>
              <w:t>Environment Protection and Biodiversity Conservation Act 1999</w:t>
            </w:r>
          </w:p>
          <w:p w14:paraId="5761FEC0" w14:textId="77777777" w:rsidR="00A56EE9" w:rsidRPr="00E70A11" w:rsidRDefault="00A56EE9" w:rsidP="00A11869">
            <w:pPr>
              <w:pStyle w:val="ListParagraph"/>
              <w:numPr>
                <w:ilvl w:val="0"/>
                <w:numId w:val="109"/>
              </w:numPr>
              <w:spacing w:after="200" w:line="276" w:lineRule="auto"/>
              <w:ind w:left="398" w:hanging="398"/>
              <w:rPr>
                <w:rFonts w:ascii="Arial Narrow" w:hAnsi="Arial Narrow"/>
                <w:color w:val="000000" w:themeColor="text1"/>
                <w:sz w:val="18"/>
                <w:szCs w:val="18"/>
              </w:rPr>
            </w:pPr>
            <w:r w:rsidRPr="00E70A11">
              <w:rPr>
                <w:rFonts w:ascii="Arial Narrow" w:eastAsia="SymbolMT" w:hAnsi="Arial Narrow"/>
                <w:color w:val="000000" w:themeColor="text1"/>
                <w:sz w:val="18"/>
                <w:szCs w:val="18"/>
              </w:rPr>
              <w:t xml:space="preserve">Great Barrier Reef Marine Park </w:t>
            </w:r>
            <w:r w:rsidRPr="00E70A11">
              <w:rPr>
                <w:rFonts w:ascii="Arial Narrow" w:eastAsia="SymbolMT" w:hAnsi="Arial Narrow"/>
                <w:i/>
                <w:iCs/>
                <w:color w:val="000000" w:themeColor="text1"/>
                <w:sz w:val="18"/>
                <w:szCs w:val="18"/>
              </w:rPr>
              <w:t>Act 1975</w:t>
            </w:r>
            <w:r w:rsidRPr="00E70A11">
              <w:rPr>
                <w:rFonts w:ascii="Arial Narrow" w:eastAsia="SymbolMT" w:hAnsi="Arial Narrow"/>
                <w:color w:val="000000" w:themeColor="text1"/>
                <w:sz w:val="18"/>
                <w:szCs w:val="18"/>
              </w:rPr>
              <w:t>,</w:t>
            </w:r>
          </w:p>
          <w:p w14:paraId="5761FEC1" w14:textId="77777777" w:rsidR="00A56EE9" w:rsidRPr="00E70A11" w:rsidRDefault="00A56EE9" w:rsidP="00A11869">
            <w:pPr>
              <w:pStyle w:val="ListParagraph"/>
              <w:numPr>
                <w:ilvl w:val="0"/>
                <w:numId w:val="109"/>
              </w:numPr>
              <w:spacing w:after="200" w:line="276" w:lineRule="auto"/>
              <w:ind w:left="398" w:hanging="398"/>
              <w:rPr>
                <w:rFonts w:ascii="Arial Narrow" w:hAnsi="Arial Narrow"/>
                <w:color w:val="000000" w:themeColor="text1"/>
                <w:sz w:val="18"/>
                <w:szCs w:val="18"/>
              </w:rPr>
            </w:pPr>
            <w:r w:rsidRPr="00E70A11">
              <w:rPr>
                <w:rFonts w:ascii="Arial Narrow" w:eastAsia="SymbolMT" w:hAnsi="Arial Narrow"/>
                <w:color w:val="000000" w:themeColor="text1"/>
                <w:sz w:val="18"/>
                <w:szCs w:val="18"/>
              </w:rPr>
              <w:t xml:space="preserve">National Assessment Guidelines for Dredging 2009 </w:t>
            </w:r>
          </w:p>
          <w:p w14:paraId="5761FEC2" w14:textId="77777777" w:rsidR="00A56EE9" w:rsidRPr="00E70A11" w:rsidRDefault="00A56EE9" w:rsidP="00A11869">
            <w:pPr>
              <w:pStyle w:val="ListParagraph"/>
              <w:numPr>
                <w:ilvl w:val="0"/>
                <w:numId w:val="109"/>
              </w:numPr>
              <w:spacing w:after="200" w:line="276" w:lineRule="auto"/>
              <w:ind w:left="398" w:hanging="398"/>
              <w:rPr>
                <w:rFonts w:ascii="Arial Narrow" w:hAnsi="Arial Narrow"/>
                <w:color w:val="000000" w:themeColor="text1"/>
                <w:sz w:val="18"/>
                <w:szCs w:val="18"/>
              </w:rPr>
            </w:pPr>
            <w:r w:rsidRPr="00E70A11">
              <w:rPr>
                <w:rFonts w:ascii="Arial Narrow" w:hAnsi="Arial Narrow"/>
                <w:color w:val="000000" w:themeColor="text1"/>
                <w:sz w:val="18"/>
                <w:szCs w:val="18"/>
              </w:rPr>
              <w:t>Queensland Maintenance Dredging Strategy</w:t>
            </w:r>
          </w:p>
          <w:p w14:paraId="5761FEC3" w14:textId="77777777" w:rsidR="00A56EE9" w:rsidRPr="00E70A11" w:rsidRDefault="00A56EE9" w:rsidP="00A11869">
            <w:pPr>
              <w:pStyle w:val="ListParagraph"/>
              <w:numPr>
                <w:ilvl w:val="0"/>
                <w:numId w:val="109"/>
              </w:numPr>
              <w:spacing w:after="200" w:line="276" w:lineRule="auto"/>
              <w:ind w:left="398" w:hanging="398"/>
              <w:rPr>
                <w:rFonts w:ascii="Arial Narrow" w:hAnsi="Arial Narrow"/>
                <w:color w:val="000000" w:themeColor="text1"/>
                <w:sz w:val="18"/>
                <w:szCs w:val="18"/>
              </w:rPr>
            </w:pPr>
            <w:r w:rsidRPr="00E70A11">
              <w:rPr>
                <w:rFonts w:ascii="Arial Narrow" w:hAnsi="Arial Narrow" w:cs="ArialMT"/>
                <w:color w:val="000000" w:themeColor="text1"/>
                <w:sz w:val="18"/>
                <w:szCs w:val="18"/>
              </w:rPr>
              <w:t xml:space="preserve">GBRMPA </w:t>
            </w:r>
            <w:r w:rsidRPr="00E70A11">
              <w:rPr>
                <w:rFonts w:ascii="Arial Narrow" w:hAnsi="Arial Narrow"/>
                <w:color w:val="000000" w:themeColor="text1"/>
                <w:sz w:val="18"/>
                <w:szCs w:val="18"/>
              </w:rPr>
              <w:t>Dredge and Dredge Spoil Material Disposal Policy</w:t>
            </w:r>
          </w:p>
          <w:p w14:paraId="5761FEC4" w14:textId="77777777" w:rsidR="00A56EE9" w:rsidRPr="00E70A11" w:rsidRDefault="00A56EE9" w:rsidP="00A11869">
            <w:pPr>
              <w:pStyle w:val="ListParagraph"/>
              <w:numPr>
                <w:ilvl w:val="0"/>
                <w:numId w:val="109"/>
              </w:numPr>
              <w:spacing w:after="200" w:line="276" w:lineRule="auto"/>
              <w:ind w:left="398" w:hanging="398"/>
              <w:rPr>
                <w:rFonts w:ascii="Arial Narrow" w:hAnsi="Arial Narrow"/>
                <w:color w:val="000000" w:themeColor="text1"/>
                <w:sz w:val="18"/>
                <w:szCs w:val="18"/>
              </w:rPr>
            </w:pPr>
            <w:r w:rsidRPr="00E70A11">
              <w:rPr>
                <w:rFonts w:ascii="Arial Narrow" w:hAnsi="Arial Narrow"/>
                <w:i/>
                <w:iCs/>
                <w:color w:val="000000" w:themeColor="text1"/>
                <w:sz w:val="18"/>
                <w:szCs w:val="18"/>
              </w:rPr>
              <w:t>Dredging Coral Reef Habitat Policy</w:t>
            </w:r>
          </w:p>
          <w:p w14:paraId="5761FEC5" w14:textId="77777777" w:rsidR="00A56EE9" w:rsidRPr="00E70A11" w:rsidRDefault="00A56EE9" w:rsidP="00BB6AD5">
            <w:pPr>
              <w:ind w:left="398" w:hanging="398"/>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EC6"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1FEC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EE5"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shd w:val="clear" w:color="auto" w:fill="FFFFFF"/>
          </w:tcPr>
          <w:p w14:paraId="5761FEC9" w14:textId="77777777" w:rsidR="00A56EE9" w:rsidRPr="00E70A11" w:rsidRDefault="00A56EE9" w:rsidP="00BB6AD5">
            <w:pPr>
              <w:pStyle w:val="Tablebulletlist"/>
              <w:rPr>
                <w:rStyle w:val="BookTitle"/>
              </w:rPr>
            </w:pPr>
            <w:r w:rsidRPr="00E70A11">
              <w:rPr>
                <w:rStyle w:val="BookTitle"/>
              </w:rPr>
              <w:t>PL8 There is consistency across jurisdictions when planning for ports</w:t>
            </w:r>
          </w:p>
        </w:tc>
        <w:tc>
          <w:tcPr>
            <w:tcW w:w="790" w:type="dxa"/>
            <w:tcBorders>
              <w:top w:val="single" w:sz="4" w:space="0" w:color="auto"/>
              <w:left w:val="single" w:sz="4" w:space="0" w:color="auto"/>
              <w:bottom w:val="single" w:sz="4" w:space="0" w:color="auto"/>
              <w:right w:val="single" w:sz="4" w:space="0" w:color="auto"/>
            </w:tcBorders>
            <w:shd w:val="clear" w:color="auto" w:fill="FFFFFF"/>
          </w:tcPr>
          <w:p w14:paraId="5761FECA"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shd w:val="clear" w:color="auto" w:fill="FFFFFF"/>
          </w:tcPr>
          <w:p w14:paraId="5761FECB" w14:textId="77777777" w:rsidR="00A56EE9" w:rsidRPr="00E70A11" w:rsidRDefault="00A56EE9" w:rsidP="00A11869">
            <w:pPr>
              <w:pStyle w:val="ListBullet"/>
              <w:numPr>
                <w:ilvl w:val="0"/>
                <w:numId w:val="93"/>
              </w:numPr>
              <w:autoSpaceDE w:val="0"/>
              <w:autoSpaceDN w:val="0"/>
              <w:adjustRightInd w:val="0"/>
              <w:spacing w:line="240" w:lineRule="auto"/>
            </w:pPr>
            <w:r w:rsidRPr="00E70A11">
              <w:t>There had been some lack of consistency across jurisdictions, particularly in the context of the linkages between individual ports and potential cumulative effects, but this situation has changed significantly since 2013 in terms of port developments and the optimisation of existing port facilities.</w:t>
            </w:r>
          </w:p>
          <w:p w14:paraId="5761FECC" w14:textId="77777777" w:rsidR="00A56EE9" w:rsidRPr="00E70A11" w:rsidRDefault="00A56EE9" w:rsidP="00A11869">
            <w:pPr>
              <w:pStyle w:val="ListBullet"/>
              <w:numPr>
                <w:ilvl w:val="0"/>
                <w:numId w:val="93"/>
              </w:numPr>
              <w:autoSpaceDE w:val="0"/>
              <w:autoSpaceDN w:val="0"/>
              <w:adjustRightInd w:val="0"/>
              <w:spacing w:line="240" w:lineRule="auto"/>
            </w:pPr>
            <w:r w:rsidRPr="00E70A11">
              <w:t>The broad regulatory framework that relates to both planning and development/impact assessment for ports and their environmental management has refined and enhanced by new policies and regulations. Port master plans add another layer and provide greater clarity and transparency.</w:t>
            </w:r>
          </w:p>
          <w:p w14:paraId="5761FECD" w14:textId="77777777" w:rsidR="00A56EE9" w:rsidRPr="00E70A11" w:rsidRDefault="00A56EE9" w:rsidP="00A11869">
            <w:pPr>
              <w:pStyle w:val="ListBullet"/>
              <w:numPr>
                <w:ilvl w:val="0"/>
                <w:numId w:val="93"/>
              </w:numPr>
              <w:autoSpaceDE w:val="0"/>
              <w:autoSpaceDN w:val="0"/>
              <w:adjustRightInd w:val="0"/>
              <w:spacing w:line="240" w:lineRule="auto"/>
            </w:pPr>
            <w:r w:rsidRPr="00E70A11">
              <w:t>Guidance from GBRMPA for ports, derived from a clearer, more comprehensive knowledge and understanding of port operational activities, and implications for the Marine Park and World Heritage Area would enhance management effectiveness.</w:t>
            </w:r>
          </w:p>
          <w:p w14:paraId="5761FECE" w14:textId="77777777" w:rsidR="00A56EE9" w:rsidRPr="00E70A11" w:rsidRDefault="00A56EE9" w:rsidP="00A11869">
            <w:pPr>
              <w:pStyle w:val="ListBullet"/>
              <w:numPr>
                <w:ilvl w:val="0"/>
                <w:numId w:val="93"/>
              </w:numPr>
              <w:autoSpaceDE w:val="0"/>
              <w:autoSpaceDN w:val="0"/>
              <w:adjustRightInd w:val="0"/>
              <w:spacing w:line="240" w:lineRule="auto"/>
              <w:rPr>
                <w:rStyle w:val="Hyperlink"/>
                <w:color w:val="000000" w:themeColor="text1"/>
              </w:rPr>
            </w:pPr>
            <w:r w:rsidRPr="00E70A11">
              <w:rPr>
                <w:color w:val="000000" w:themeColor="text1"/>
                <w:lang w:val="en"/>
              </w:rPr>
              <w:t xml:space="preserve">The MoU between GBRMPA and Queensland Ports Association </w:t>
            </w:r>
            <w:r w:rsidRPr="00E70A11">
              <w:rPr>
                <w:rStyle w:val="Hyperlink"/>
                <w:color w:val="000000" w:themeColor="text1"/>
              </w:rPr>
              <w:t>aims to improve coordination between port management and GBRMPA management associated with port activity within or adjacent to the Great Barrier Reef Marine Park.</w:t>
            </w:r>
          </w:p>
          <w:p w14:paraId="5761FECF"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cs="ArialMT"/>
                <w:color w:val="000000" w:themeColor="text1"/>
              </w:rPr>
            </w:pPr>
            <w:r w:rsidRPr="00E70A11">
              <w:rPr>
                <w:rFonts w:eastAsia="SymbolMT" w:cs="ArialMT"/>
                <w:color w:val="000000" w:themeColor="text1"/>
              </w:rPr>
              <w:t xml:space="preserve">The Reef 2050 Long Term Sustainability Plan seeks jurisdictional consistency in implementing </w:t>
            </w:r>
            <w:r w:rsidRPr="00E70A11">
              <w:rPr>
                <w:rFonts w:eastAsia="SymbolMT"/>
                <w:color w:val="000000" w:themeColor="text1"/>
              </w:rPr>
              <w:t>actions to manage impacts to the GBRWHA. The Reef 2050 Secretariat includes GBRMPA, DoEE and DEHP.</w:t>
            </w:r>
          </w:p>
          <w:p w14:paraId="5761FED0"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color w:val="000000" w:themeColor="text1"/>
              </w:rPr>
            </w:pPr>
            <w:r w:rsidRPr="00E70A11">
              <w:rPr>
                <w:rFonts w:eastAsia="SymbolMT"/>
                <w:color w:val="000000" w:themeColor="text1"/>
              </w:rPr>
              <w:t>The Master Planning process for Priority Ports considers planning issues across Commonwealth, State and Local Government jurisdictions and clearly identifies the responsibilities of relevant agencies in managing impacts to the values of the GBRWHA.</w:t>
            </w:r>
          </w:p>
          <w:p w14:paraId="5761FED1"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color w:val="000000" w:themeColor="text1"/>
              </w:rPr>
            </w:pPr>
            <w:r w:rsidRPr="00E70A11">
              <w:rPr>
                <w:rFonts w:eastAsia="SymbolMT"/>
                <w:color w:val="000000" w:themeColor="text1"/>
              </w:rPr>
              <w:t>Some inconsistencies remain in practice, including:</w:t>
            </w:r>
          </w:p>
          <w:p w14:paraId="5761FED2" w14:textId="77777777" w:rsidR="00A56EE9" w:rsidRPr="00E70A11" w:rsidRDefault="00A56EE9" w:rsidP="00A11869">
            <w:pPr>
              <w:pStyle w:val="ListBullet"/>
              <w:numPr>
                <w:ilvl w:val="0"/>
                <w:numId w:val="125"/>
              </w:numPr>
              <w:autoSpaceDE w:val="0"/>
              <w:autoSpaceDN w:val="0"/>
              <w:adjustRightInd w:val="0"/>
              <w:spacing w:line="240" w:lineRule="auto"/>
              <w:rPr>
                <w:rFonts w:eastAsia="SymbolMT"/>
                <w:color w:val="000000" w:themeColor="text1"/>
              </w:rPr>
            </w:pPr>
            <w:r w:rsidRPr="00E70A11">
              <w:rPr>
                <w:rFonts w:eastAsia="SymbolMT"/>
                <w:color w:val="000000" w:themeColor="text1"/>
              </w:rPr>
              <w:t>Lack of recognition of planning schemes and outcomes by other jurisdictions (i.e. State level master plans not accredited by Commonwealth).</w:t>
            </w:r>
          </w:p>
          <w:p w14:paraId="5761FED3" w14:textId="77777777" w:rsidR="00A56EE9" w:rsidRPr="00E70A11" w:rsidRDefault="00A56EE9" w:rsidP="00A11869">
            <w:pPr>
              <w:pStyle w:val="ListBullet"/>
              <w:numPr>
                <w:ilvl w:val="0"/>
                <w:numId w:val="125"/>
              </w:numPr>
              <w:autoSpaceDE w:val="0"/>
              <w:autoSpaceDN w:val="0"/>
              <w:adjustRightInd w:val="0"/>
              <w:spacing w:line="240" w:lineRule="auto"/>
              <w:rPr>
                <w:rFonts w:eastAsia="SymbolMT"/>
                <w:color w:val="000000" w:themeColor="text1"/>
              </w:rPr>
            </w:pPr>
            <w:r w:rsidRPr="00E70A11">
              <w:rPr>
                <w:rFonts w:eastAsia="SymbolMT"/>
                <w:color w:val="000000" w:themeColor="text1"/>
              </w:rPr>
              <w:t>Separate assessment pathways</w:t>
            </w:r>
          </w:p>
          <w:p w14:paraId="5761FED4" w14:textId="77777777" w:rsidR="00A56EE9" w:rsidRPr="00E70A11" w:rsidRDefault="00A56EE9" w:rsidP="00A11869">
            <w:pPr>
              <w:pStyle w:val="ListBullet"/>
              <w:numPr>
                <w:ilvl w:val="0"/>
                <w:numId w:val="125"/>
              </w:numPr>
              <w:autoSpaceDE w:val="0"/>
              <w:autoSpaceDN w:val="0"/>
              <w:adjustRightInd w:val="0"/>
              <w:spacing w:line="240" w:lineRule="auto"/>
              <w:rPr>
                <w:rFonts w:eastAsia="SymbolMT"/>
                <w:color w:val="000000" w:themeColor="text1"/>
              </w:rPr>
            </w:pPr>
            <w:r w:rsidRPr="00E70A11">
              <w:rPr>
                <w:rFonts w:eastAsia="SymbolMT"/>
                <w:color w:val="000000" w:themeColor="text1"/>
              </w:rPr>
              <w:t>Duplicated/ non-bilateral approvals with non-aligned conditions and approval timelines. There is no EPBC Act approval bilateral assessment agreement in place in Queensland and the Commonwealth.</w:t>
            </w:r>
          </w:p>
          <w:p w14:paraId="5761FED5" w14:textId="77777777" w:rsidR="00A56EE9" w:rsidRPr="00E70A11" w:rsidRDefault="00A56EE9" w:rsidP="00A11869">
            <w:pPr>
              <w:pStyle w:val="ListBullet"/>
              <w:numPr>
                <w:ilvl w:val="0"/>
                <w:numId w:val="125"/>
              </w:numPr>
              <w:autoSpaceDE w:val="0"/>
              <w:autoSpaceDN w:val="0"/>
              <w:adjustRightInd w:val="0"/>
              <w:spacing w:line="240" w:lineRule="auto"/>
              <w:rPr>
                <w:rFonts w:eastAsia="SymbolMT"/>
                <w:color w:val="000000" w:themeColor="text1"/>
              </w:rPr>
            </w:pPr>
            <w:r w:rsidRPr="00E70A11">
              <w:rPr>
                <w:rFonts w:eastAsia="SymbolMT"/>
                <w:color w:val="000000" w:themeColor="text1"/>
              </w:rPr>
              <w:t>Differing environmental management standards</w:t>
            </w:r>
          </w:p>
          <w:p w14:paraId="5761FED6" w14:textId="77777777" w:rsidR="00A56EE9" w:rsidRPr="00E70A11" w:rsidRDefault="00A56EE9" w:rsidP="00A11869">
            <w:pPr>
              <w:pStyle w:val="ListBullet"/>
              <w:numPr>
                <w:ilvl w:val="0"/>
                <w:numId w:val="125"/>
              </w:numPr>
              <w:autoSpaceDE w:val="0"/>
              <w:autoSpaceDN w:val="0"/>
              <w:adjustRightInd w:val="0"/>
              <w:spacing w:line="240" w:lineRule="auto"/>
              <w:rPr>
                <w:rFonts w:eastAsia="SymbolMT"/>
                <w:color w:val="000000" w:themeColor="text1"/>
              </w:rPr>
            </w:pPr>
            <w:r w:rsidRPr="00E70A11">
              <w:rPr>
                <w:rFonts w:eastAsia="SymbolMT"/>
                <w:color w:val="000000" w:themeColor="text1"/>
              </w:rPr>
              <w:t>Differing data needs (e.g. modelling standards)</w:t>
            </w:r>
          </w:p>
          <w:p w14:paraId="5761FED7" w14:textId="77777777" w:rsidR="00A56EE9" w:rsidRPr="00E70A11" w:rsidRDefault="00A56EE9" w:rsidP="00A11869">
            <w:pPr>
              <w:pStyle w:val="ListBullet"/>
              <w:numPr>
                <w:ilvl w:val="0"/>
                <w:numId w:val="125"/>
              </w:numPr>
              <w:autoSpaceDE w:val="0"/>
              <w:autoSpaceDN w:val="0"/>
              <w:adjustRightInd w:val="0"/>
              <w:spacing w:line="240" w:lineRule="auto"/>
              <w:rPr>
                <w:rStyle w:val="BookTitle"/>
                <w:color w:val="000000" w:themeColor="text1"/>
              </w:rPr>
            </w:pPr>
            <w:r w:rsidRPr="00E70A11">
              <w:rPr>
                <w:rFonts w:eastAsia="SymbolMT"/>
                <w:color w:val="000000" w:themeColor="text1"/>
              </w:rPr>
              <w:t>Different offset policies, calculators and delivery standards.</w:t>
            </w:r>
          </w:p>
        </w:tc>
        <w:tc>
          <w:tcPr>
            <w:tcW w:w="5066" w:type="dxa"/>
            <w:tcBorders>
              <w:top w:val="single" w:sz="4" w:space="0" w:color="auto"/>
              <w:left w:val="single" w:sz="4" w:space="0" w:color="auto"/>
              <w:bottom w:val="single" w:sz="4" w:space="0" w:color="auto"/>
              <w:right w:val="single" w:sz="4" w:space="0" w:color="auto"/>
            </w:tcBorders>
            <w:shd w:val="clear" w:color="auto" w:fill="FFFFFF"/>
          </w:tcPr>
          <w:p w14:paraId="5761FED8"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343" w:history="1">
              <w:r w:rsidR="00A56EE9" w:rsidRPr="00E70A11">
                <w:rPr>
                  <w:rStyle w:val="Hyperlink"/>
                  <w:rFonts w:ascii="Arial Narrow" w:hAnsi="Arial Narrow"/>
                  <w:color w:val="000000" w:themeColor="text1"/>
                  <w:sz w:val="18"/>
                  <w:szCs w:val="18"/>
                </w:rPr>
                <w:t>Dredge and dredge spoilt material disposal policy</w:t>
              </w:r>
            </w:hyperlink>
          </w:p>
          <w:p w14:paraId="5761FED9"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344" w:history="1">
              <w:r w:rsidR="00A56EE9" w:rsidRPr="00E70A11">
                <w:rPr>
                  <w:rStyle w:val="Hyperlink"/>
                  <w:rFonts w:ascii="Arial Narrow" w:hAnsi="Arial Narrow"/>
                  <w:color w:val="000000" w:themeColor="text1"/>
                  <w:sz w:val="18"/>
                  <w:szCs w:val="18"/>
                </w:rPr>
                <w:t>Dredging coral reef habitats</w:t>
              </w:r>
            </w:hyperlink>
          </w:p>
          <w:p w14:paraId="5761FEDA"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345" w:history="1">
              <w:r w:rsidR="00A56EE9" w:rsidRPr="00E70A11">
                <w:rPr>
                  <w:rStyle w:val="Hyperlink"/>
                  <w:rFonts w:ascii="Arial Narrow" w:hAnsi="Arial Narrow"/>
                  <w:color w:val="000000" w:themeColor="text1"/>
                  <w:sz w:val="18"/>
                  <w:szCs w:val="18"/>
                </w:rPr>
                <w:t>Improved Dredge Material Management for the GBR Region</w:t>
              </w:r>
            </w:hyperlink>
          </w:p>
          <w:p w14:paraId="5761FEDB"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Great Barrier Reef Marine Park Regulations 1983 Regulation 88RA – ban on capital dredging</w:t>
            </w:r>
          </w:p>
          <w:p w14:paraId="5761FEDC"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346" w:history="1">
              <w:r w:rsidR="00A56EE9" w:rsidRPr="00E70A11">
                <w:rPr>
                  <w:rStyle w:val="Hyperlink"/>
                  <w:rFonts w:ascii="Arial Narrow" w:hAnsi="Arial Narrow"/>
                  <w:color w:val="000000" w:themeColor="text1"/>
                  <w:sz w:val="18"/>
                  <w:szCs w:val="18"/>
                </w:rPr>
                <w:t>Sustainable Ports Development Act 2015 (Qld)</w:t>
              </w:r>
            </w:hyperlink>
          </w:p>
          <w:p w14:paraId="5761FEDD"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347" w:history="1">
              <w:r w:rsidR="00A56EE9" w:rsidRPr="00E70A11">
                <w:rPr>
                  <w:rStyle w:val="Hyperlink"/>
                  <w:rFonts w:ascii="Arial Narrow" w:hAnsi="Arial Narrow"/>
                  <w:color w:val="000000" w:themeColor="text1"/>
                  <w:sz w:val="18"/>
                  <w:szCs w:val="18"/>
                </w:rPr>
                <w:t>Master planning for ports</w:t>
              </w:r>
            </w:hyperlink>
          </w:p>
          <w:p w14:paraId="5761FEDE"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348" w:history="1">
              <w:r w:rsidR="00A56EE9" w:rsidRPr="00E70A11">
                <w:rPr>
                  <w:rStyle w:val="Hyperlink"/>
                  <w:rFonts w:ascii="Arial Narrow" w:hAnsi="Arial Narrow"/>
                  <w:color w:val="000000" w:themeColor="text1"/>
                  <w:sz w:val="18"/>
                  <w:szCs w:val="18"/>
                </w:rPr>
                <w:t>Reef 2050 Long-Term Sustainability Plan</w:t>
              </w:r>
            </w:hyperlink>
          </w:p>
          <w:p w14:paraId="5761FEDF" w14:textId="77777777" w:rsidR="00A56EE9" w:rsidRPr="00E70A11" w:rsidRDefault="00A56EE9" w:rsidP="00A11869">
            <w:pPr>
              <w:pStyle w:val="ListParagraph"/>
              <w:numPr>
                <w:ilvl w:val="0"/>
                <w:numId w:val="24"/>
              </w:numPr>
              <w:spacing w:after="200" w:line="276" w:lineRule="auto"/>
              <w:rPr>
                <w:rStyle w:val="BookTitle"/>
                <w:rFonts w:ascii="Arial Narrow" w:hAnsi="Arial Narrow" w:cs="AdvGulliv-R"/>
                <w:color w:val="000000" w:themeColor="text1"/>
                <w:sz w:val="18"/>
                <w:szCs w:val="18"/>
              </w:rPr>
            </w:pPr>
            <w:r w:rsidRPr="00E70A11">
              <w:rPr>
                <w:rStyle w:val="BookTitle"/>
                <w:rFonts w:ascii="Arial Narrow" w:hAnsi="Arial Narrow"/>
                <w:color w:val="000000" w:themeColor="text1"/>
                <w:sz w:val="18"/>
                <w:szCs w:val="18"/>
              </w:rPr>
              <w:t>Maintenance Dredging Strategy</w:t>
            </w:r>
          </w:p>
          <w:p w14:paraId="5761FEE0" w14:textId="77777777" w:rsidR="00A56EE9" w:rsidRPr="00E70A11" w:rsidRDefault="00A56EE9" w:rsidP="00A11869">
            <w:pPr>
              <w:pStyle w:val="ListParagraph"/>
              <w:numPr>
                <w:ilvl w:val="0"/>
                <w:numId w:val="24"/>
              </w:numPr>
              <w:spacing w:after="200" w:line="276" w:lineRule="auto"/>
              <w:rPr>
                <w:rStyle w:val="BookTitle"/>
                <w:rFonts w:ascii="Arial Narrow" w:hAnsi="Arial Narrow" w:cs="AdvGulliv-R"/>
                <w:color w:val="000000" w:themeColor="text1"/>
                <w:sz w:val="18"/>
                <w:szCs w:val="18"/>
              </w:rPr>
            </w:pPr>
            <w:r w:rsidRPr="00E70A11">
              <w:rPr>
                <w:rStyle w:val="BookTitle"/>
                <w:rFonts w:ascii="Arial Narrow" w:hAnsi="Arial Narrow"/>
                <w:color w:val="000000" w:themeColor="text1"/>
                <w:sz w:val="18"/>
                <w:szCs w:val="18"/>
              </w:rPr>
              <w:t>Long Term Maintenance Dredge Management Plans</w:t>
            </w:r>
          </w:p>
          <w:p w14:paraId="5761FEE1"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349" w:history="1">
              <w:r w:rsidR="00A56EE9" w:rsidRPr="00E70A11">
                <w:rPr>
                  <w:rStyle w:val="Hyperlink"/>
                  <w:rFonts w:ascii="Arial Narrow" w:hAnsi="Arial Narrow"/>
                  <w:color w:val="000000" w:themeColor="text1"/>
                  <w:sz w:val="18"/>
                  <w:szCs w:val="18"/>
                  <w:lang w:val="en"/>
                </w:rPr>
                <w:t>Ship anchorage management in the Great Barrier Reef World Heritage Area</w:t>
              </w:r>
            </w:hyperlink>
            <w:r w:rsidR="00A56EE9" w:rsidRPr="00E70A11">
              <w:rPr>
                <w:rStyle w:val="Hyperlink"/>
                <w:rFonts w:ascii="Arial Narrow" w:hAnsi="Arial Narrow"/>
                <w:color w:val="000000" w:themeColor="text1"/>
                <w:sz w:val="18"/>
                <w:szCs w:val="18"/>
                <w:lang w:val="en"/>
              </w:rPr>
              <w:t xml:space="preserve"> (2013) DOEE.</w:t>
            </w:r>
          </w:p>
          <w:p w14:paraId="5761FEE2"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5761FEE3"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shd w:val="clear" w:color="auto" w:fill="FFFFFF"/>
          </w:tcPr>
          <w:p w14:paraId="5761FEE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EF9"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shd w:val="clear" w:color="auto" w:fill="auto"/>
          </w:tcPr>
          <w:p w14:paraId="5761FEE6"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ports provide certainty regarding where uses may occur, the type of activities allowed, conditions under which activities may proceed and circumstances where impacts are likely to be acceptable.</w:t>
            </w:r>
          </w:p>
        </w:tc>
        <w:tc>
          <w:tcPr>
            <w:tcW w:w="790" w:type="dxa"/>
            <w:tcBorders>
              <w:top w:val="single" w:sz="4" w:space="0" w:color="auto"/>
              <w:left w:val="single" w:sz="4" w:space="0" w:color="auto"/>
              <w:bottom w:val="single" w:sz="4" w:space="0" w:color="auto"/>
              <w:right w:val="single" w:sz="4" w:space="0" w:color="auto"/>
            </w:tcBorders>
          </w:tcPr>
          <w:p w14:paraId="5761FEE7"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EE8" w14:textId="77777777" w:rsidR="00A56EE9" w:rsidRPr="00E70A11" w:rsidRDefault="00A56EE9" w:rsidP="00A11869">
            <w:pPr>
              <w:pStyle w:val="ListParagraph"/>
              <w:numPr>
                <w:ilvl w:val="0"/>
                <w:numId w:val="24"/>
              </w:numPr>
              <w:spacing w:after="200" w:line="240" w:lineRule="auto"/>
              <w:ind w:left="357" w:hanging="357"/>
              <w:rPr>
                <w:rFonts w:ascii="Arial Narrow" w:hAnsi="Arial Narrow"/>
                <w:sz w:val="18"/>
                <w:szCs w:val="18"/>
              </w:rPr>
            </w:pPr>
            <w:r w:rsidRPr="00E70A11">
              <w:rPr>
                <w:rFonts w:ascii="Arial Narrow" w:hAnsi="Arial Narrow"/>
                <w:sz w:val="18"/>
                <w:szCs w:val="18"/>
              </w:rPr>
              <w:t>Significant advancements have been achieved, with further work underway, by a number of agencies in terms of robust plans for the development and operations of ports in the GBR region.</w:t>
            </w:r>
          </w:p>
          <w:p w14:paraId="5761FEE9" w14:textId="77777777" w:rsidR="00A56EE9" w:rsidRPr="00E70A11" w:rsidRDefault="00A56EE9" w:rsidP="00A11869">
            <w:pPr>
              <w:pStyle w:val="ListParagraph"/>
              <w:numPr>
                <w:ilvl w:val="0"/>
                <w:numId w:val="24"/>
              </w:numPr>
              <w:spacing w:after="200" w:line="240" w:lineRule="auto"/>
              <w:ind w:left="357" w:hanging="357"/>
              <w:rPr>
                <w:rFonts w:ascii="Arial Narrow" w:hAnsi="Arial Narrow"/>
                <w:sz w:val="18"/>
                <w:szCs w:val="18"/>
              </w:rPr>
            </w:pPr>
            <w:r w:rsidRPr="00E70A11">
              <w:rPr>
                <w:rFonts w:ascii="Arial Narrow" w:hAnsi="Arial Narrow"/>
                <w:sz w:val="18"/>
                <w:szCs w:val="18"/>
              </w:rPr>
              <w:t>MSQ publishes a Port Procedure Manual for each port, each of which is reviewed and updated annually. This contains information and guidelines to assist masters, owners and agents of vessels arriving at and traversing the area. The manual provides details of services, regulations and procedures to be observed.</w:t>
            </w:r>
          </w:p>
          <w:p w14:paraId="5761FEEA" w14:textId="77777777" w:rsidR="00A56EE9" w:rsidRPr="00E70A11" w:rsidRDefault="00A56EE9" w:rsidP="00A11869">
            <w:pPr>
              <w:pStyle w:val="ListParagraph"/>
              <w:numPr>
                <w:ilvl w:val="0"/>
                <w:numId w:val="24"/>
              </w:numPr>
              <w:spacing w:after="200" w:line="240" w:lineRule="auto"/>
              <w:ind w:left="357" w:hanging="357"/>
              <w:rPr>
                <w:rFonts w:ascii="Arial Narrow" w:hAnsi="Arial Narrow"/>
                <w:color w:val="000000" w:themeColor="text1"/>
                <w:sz w:val="18"/>
                <w:szCs w:val="18"/>
              </w:rPr>
            </w:pPr>
            <w:r w:rsidRPr="00E70A11">
              <w:rPr>
                <w:rFonts w:ascii="Arial Narrow" w:hAnsi="Arial Narrow"/>
                <w:sz w:val="18"/>
                <w:szCs w:val="18"/>
              </w:rPr>
              <w:t>MSQ is preparing a guideline on anchorage management and design.</w:t>
            </w:r>
          </w:p>
          <w:p w14:paraId="5761FEEB" w14:textId="18A47FB0" w:rsidR="00A56EE9" w:rsidRPr="00E70A11" w:rsidRDefault="00A56EE9" w:rsidP="00407498">
            <w:pPr>
              <w:pStyle w:val="ListParagraph"/>
              <w:spacing w:after="200" w:line="240" w:lineRule="auto"/>
              <w:ind w:left="357"/>
              <w:rPr>
                <w:rStyle w:val="BookTitle"/>
                <w:rFonts w:ascii="Arial Narrow" w:hAnsi="Arial Narrow"/>
                <w:color w:val="000000" w:themeColor="text1"/>
                <w:sz w:val="18"/>
                <w:szCs w:val="18"/>
              </w:rPr>
            </w:pPr>
          </w:p>
        </w:tc>
        <w:tc>
          <w:tcPr>
            <w:tcW w:w="5066" w:type="dxa"/>
            <w:tcBorders>
              <w:top w:val="single" w:sz="4" w:space="0" w:color="auto"/>
              <w:left w:val="single" w:sz="4" w:space="0" w:color="auto"/>
              <w:bottom w:val="single" w:sz="4" w:space="0" w:color="auto"/>
              <w:right w:val="single" w:sz="4" w:space="0" w:color="auto"/>
            </w:tcBorders>
          </w:tcPr>
          <w:p w14:paraId="5761FEEC"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350" w:history="1">
              <w:r w:rsidR="00A56EE9" w:rsidRPr="00E70A11">
                <w:rPr>
                  <w:rStyle w:val="Hyperlink"/>
                  <w:rFonts w:ascii="Arial Narrow" w:hAnsi="Arial Narrow"/>
                  <w:color w:val="000000" w:themeColor="text1"/>
                  <w:sz w:val="18"/>
                  <w:szCs w:val="18"/>
                </w:rPr>
                <w:t>GBRMP Zoning Plan 2003</w:t>
              </w:r>
            </w:hyperlink>
          </w:p>
          <w:p w14:paraId="5761FEED"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351" w:history="1">
              <w:r w:rsidR="00A56EE9" w:rsidRPr="00E70A11">
                <w:rPr>
                  <w:rStyle w:val="Hyperlink"/>
                  <w:rFonts w:ascii="Arial Narrow" w:hAnsi="Arial Narrow"/>
                  <w:color w:val="000000" w:themeColor="text1"/>
                  <w:sz w:val="18"/>
                  <w:szCs w:val="18"/>
                </w:rPr>
                <w:t>GBRMP Site Management Plans</w:t>
              </w:r>
            </w:hyperlink>
            <w:r w:rsidR="00A56EE9" w:rsidRPr="00E70A11">
              <w:rPr>
                <w:rFonts w:ascii="Arial Narrow" w:hAnsi="Arial Narrow"/>
                <w:color w:val="000000" w:themeColor="text1"/>
                <w:sz w:val="18"/>
                <w:szCs w:val="18"/>
              </w:rPr>
              <w:t xml:space="preserve"> </w:t>
            </w:r>
          </w:p>
          <w:p w14:paraId="5761FEEE"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352" w:history="1">
              <w:r w:rsidR="00A56EE9" w:rsidRPr="00E70A11">
                <w:rPr>
                  <w:rStyle w:val="Hyperlink"/>
                  <w:rFonts w:ascii="Arial Narrow" w:hAnsi="Arial Narrow"/>
                  <w:color w:val="000000" w:themeColor="text1"/>
                  <w:sz w:val="18"/>
                  <w:szCs w:val="18"/>
                </w:rPr>
                <w:t>GBRMP Plans of Management</w:t>
              </w:r>
            </w:hyperlink>
            <w:r w:rsidR="00A56EE9" w:rsidRPr="00E70A11">
              <w:rPr>
                <w:rFonts w:ascii="Arial Narrow" w:hAnsi="Arial Narrow"/>
                <w:color w:val="000000" w:themeColor="text1"/>
                <w:sz w:val="18"/>
                <w:szCs w:val="18"/>
              </w:rPr>
              <w:t xml:space="preserve"> </w:t>
            </w:r>
          </w:p>
          <w:p w14:paraId="5761FEEF"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353" w:history="1">
              <w:r w:rsidR="00A56EE9" w:rsidRPr="00E70A11">
                <w:rPr>
                  <w:rStyle w:val="Hyperlink"/>
                  <w:rFonts w:ascii="Arial Narrow" w:hAnsi="Arial Narrow"/>
                  <w:color w:val="000000" w:themeColor="text1"/>
                  <w:sz w:val="18"/>
                  <w:szCs w:val="18"/>
                </w:rPr>
                <w:t>Master Plans</w:t>
              </w:r>
            </w:hyperlink>
          </w:p>
          <w:p w14:paraId="5761FEF0"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354" w:history="1">
              <w:r w:rsidR="00A56EE9" w:rsidRPr="00E70A11">
                <w:rPr>
                  <w:rStyle w:val="Hyperlink"/>
                  <w:rFonts w:ascii="Arial Narrow" w:hAnsi="Arial Narrow"/>
                  <w:color w:val="000000" w:themeColor="text1"/>
                  <w:sz w:val="18"/>
                  <w:szCs w:val="18"/>
                  <w:lang w:val="en"/>
                </w:rPr>
                <w:t>State Party Report on the state of conservation of the Great Barrier Reef World Heritage Area (Australia) 2015</w:t>
              </w:r>
            </w:hyperlink>
          </w:p>
          <w:p w14:paraId="5761FEF1"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355" w:history="1">
              <w:r w:rsidR="00A56EE9" w:rsidRPr="00E70A11">
                <w:rPr>
                  <w:rStyle w:val="Hyperlink"/>
                  <w:rFonts w:ascii="Arial Narrow" w:hAnsi="Arial Narrow"/>
                  <w:color w:val="000000" w:themeColor="text1"/>
                  <w:sz w:val="18"/>
                  <w:szCs w:val="18"/>
                </w:rPr>
                <w:t>Queensland Ports Strategy 2014</w:t>
              </w:r>
            </w:hyperlink>
          </w:p>
          <w:p w14:paraId="5761FEF2"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356" w:history="1">
              <w:r w:rsidR="00A56EE9" w:rsidRPr="00E70A11">
                <w:rPr>
                  <w:rStyle w:val="Hyperlink"/>
                  <w:rFonts w:ascii="Arial Narrow" w:hAnsi="Arial Narrow"/>
                  <w:color w:val="000000" w:themeColor="text1"/>
                  <w:sz w:val="18"/>
                  <w:szCs w:val="18"/>
                </w:rPr>
                <w:t>Great Barrier Reef Coastal Zone Strategic Assessment</w:t>
              </w:r>
            </w:hyperlink>
            <w:r w:rsidR="00A56EE9" w:rsidRPr="00E70A11">
              <w:rPr>
                <w:rFonts w:ascii="Arial Narrow" w:hAnsi="Arial Narrow"/>
                <w:color w:val="000000" w:themeColor="text1"/>
                <w:sz w:val="18"/>
                <w:szCs w:val="18"/>
              </w:rPr>
              <w:t xml:space="preserve"> 2014</w:t>
            </w:r>
          </w:p>
          <w:p w14:paraId="5761FEF3"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Great Barrier Reef Marine Park Regulations 1983 Regulation 88RA – ban on capital dredging</w:t>
            </w:r>
          </w:p>
          <w:p w14:paraId="5761FEF4"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357" w:history="1">
              <w:r w:rsidR="00A56EE9" w:rsidRPr="00E70A11">
                <w:rPr>
                  <w:rStyle w:val="Hyperlink"/>
                  <w:rFonts w:ascii="Arial Narrow" w:hAnsi="Arial Narrow"/>
                  <w:color w:val="000000" w:themeColor="text1"/>
                  <w:sz w:val="18"/>
                  <w:szCs w:val="18"/>
                </w:rPr>
                <w:t>Sustainable Ports Development Act 2015 (Qld)</w:t>
              </w:r>
            </w:hyperlink>
          </w:p>
          <w:p w14:paraId="5761FEF5"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Updated </w:t>
            </w:r>
            <w:hyperlink r:id="rId1358" w:history="1">
              <w:r w:rsidRPr="00E70A11">
                <w:rPr>
                  <w:rStyle w:val="Hyperlink"/>
                  <w:rFonts w:ascii="Arial Narrow" w:hAnsi="Arial Narrow"/>
                  <w:color w:val="000000" w:themeColor="text1"/>
                  <w:sz w:val="18"/>
                  <w:szCs w:val="18"/>
                </w:rPr>
                <w:t>permission system policy</w:t>
              </w:r>
            </w:hyperlink>
            <w:r w:rsidRPr="00E70A11">
              <w:rPr>
                <w:rFonts w:ascii="Arial Narrow" w:hAnsi="Arial Narrow"/>
                <w:color w:val="000000" w:themeColor="text1"/>
                <w:sz w:val="18"/>
                <w:szCs w:val="18"/>
              </w:rPr>
              <w:t xml:space="preserve"> and </w:t>
            </w:r>
            <w:hyperlink r:id="rId1359" w:history="1">
              <w:r w:rsidRPr="00E70A11">
                <w:rPr>
                  <w:rStyle w:val="Hyperlink"/>
                  <w:rFonts w:ascii="Arial Narrow" w:hAnsi="Arial Narrow"/>
                  <w:color w:val="000000" w:themeColor="text1"/>
                  <w:sz w:val="18"/>
                  <w:szCs w:val="18"/>
                </w:rPr>
                <w:t>new guidance documents</w:t>
              </w:r>
            </w:hyperlink>
            <w:r w:rsidRPr="00E70A11">
              <w:rPr>
                <w:rFonts w:ascii="Arial Narrow" w:hAnsi="Arial Narrow"/>
                <w:color w:val="000000" w:themeColor="text1"/>
                <w:sz w:val="18"/>
                <w:szCs w:val="18"/>
              </w:rPr>
              <w:t>.</w:t>
            </w:r>
          </w:p>
          <w:p w14:paraId="5761FEF6"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EF7"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EF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F00"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EFA" w14:textId="77777777" w:rsidR="00A56EE9" w:rsidRPr="00E70A11" w:rsidRDefault="00A56EE9" w:rsidP="00BB6AD5">
            <w:pPr>
              <w:pStyle w:val="Tablebulletlist"/>
              <w:rPr>
                <w:rStyle w:val="BookTitle"/>
              </w:rPr>
            </w:pPr>
            <w:r w:rsidRPr="00E70A11">
              <w:rPr>
                <w:rStyle w:val="BookTitle"/>
              </w:rPr>
              <w:t>INPUTS</w:t>
            </w:r>
          </w:p>
        </w:tc>
        <w:tc>
          <w:tcPr>
            <w:tcW w:w="7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EFB" w14:textId="77777777" w:rsidR="00A56EE9" w:rsidRPr="00E70A11" w:rsidRDefault="00A56EE9" w:rsidP="00BB6AD5">
            <w:pPr>
              <w:pStyle w:val="Tablebulletlist"/>
              <w:rPr>
                <w:rStyle w:val="BookTitle"/>
              </w:rPr>
            </w:pPr>
          </w:p>
        </w:tc>
        <w:tc>
          <w:tcPr>
            <w:tcW w:w="417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EFC"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6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EFD"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EFE" w14:textId="77777777" w:rsidR="00A56EE9" w:rsidRPr="00E70A11" w:rsidRDefault="00A56EE9" w:rsidP="00BB6AD5">
            <w:pPr>
              <w:pStyle w:val="Tablebulletlist"/>
              <w:rPr>
                <w:rStyle w:val="BookTitle"/>
              </w:rPr>
            </w:pPr>
          </w:p>
        </w:tc>
        <w:tc>
          <w:tcPr>
            <w:tcW w:w="91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EFF" w14:textId="77777777" w:rsidR="00A56EE9" w:rsidRPr="00E70A11" w:rsidRDefault="00A56EE9" w:rsidP="00BB6AD5">
            <w:pPr>
              <w:pStyle w:val="Tablebulletlist"/>
              <w:rPr>
                <w:rStyle w:val="BookTitle"/>
              </w:rPr>
            </w:pPr>
          </w:p>
        </w:tc>
      </w:tr>
      <w:tr w:rsidR="00A56EE9" w:rsidRPr="00E70A11" w14:paraId="5761FF0D"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01"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ports </w:t>
            </w:r>
          </w:p>
        </w:tc>
        <w:tc>
          <w:tcPr>
            <w:tcW w:w="790" w:type="dxa"/>
            <w:tcBorders>
              <w:top w:val="single" w:sz="4" w:space="0" w:color="auto"/>
              <w:left w:val="single" w:sz="4" w:space="0" w:color="auto"/>
              <w:bottom w:val="single" w:sz="4" w:space="0" w:color="auto"/>
              <w:right w:val="single" w:sz="4" w:space="0" w:color="auto"/>
            </w:tcBorders>
            <w:shd w:val="clear" w:color="auto" w:fill="auto"/>
          </w:tcPr>
          <w:p w14:paraId="5761FF02"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F03" w14:textId="77777777" w:rsidR="00A56EE9" w:rsidRPr="00E70A11" w:rsidRDefault="00A56EE9" w:rsidP="00A11869">
            <w:pPr>
              <w:pStyle w:val="ListBullet"/>
              <w:numPr>
                <w:ilvl w:val="0"/>
                <w:numId w:val="93"/>
              </w:numPr>
              <w:autoSpaceDE w:val="0"/>
              <w:autoSpaceDN w:val="0"/>
              <w:adjustRightInd w:val="0"/>
              <w:spacing w:line="240" w:lineRule="auto"/>
              <w:ind w:left="357" w:hanging="357"/>
            </w:pPr>
            <w:r w:rsidRPr="00E70A11">
              <w:t>Resources of the port authorities themselves and overseeing Queensland Government agencies are reported to be adequate.</w:t>
            </w:r>
          </w:p>
          <w:p w14:paraId="5761FF04" w14:textId="77777777" w:rsidR="00A56EE9" w:rsidRPr="00E70A11" w:rsidRDefault="00A56EE9" w:rsidP="00A11869">
            <w:pPr>
              <w:pStyle w:val="ListBullet"/>
              <w:numPr>
                <w:ilvl w:val="0"/>
                <w:numId w:val="93"/>
              </w:numPr>
              <w:autoSpaceDE w:val="0"/>
              <w:autoSpaceDN w:val="0"/>
              <w:adjustRightInd w:val="0"/>
              <w:spacing w:line="240" w:lineRule="auto"/>
              <w:ind w:left="357" w:hanging="357"/>
              <w:rPr>
                <w:rStyle w:val="BookTitle"/>
                <w:rFonts w:cs="AdvGulliv-R"/>
              </w:rPr>
            </w:pPr>
            <w:r w:rsidRPr="00E70A11">
              <w:t>New port and/or dredging activities within the GBRMP require a permit. A permit application assessment fee (PAAF) is applied. Applications of this magnitude usually attract a Public Environment Report or Environmental Impact Statement fee ($38,000-$100,000).</w:t>
            </w:r>
          </w:p>
        </w:tc>
        <w:tc>
          <w:tcPr>
            <w:tcW w:w="5066" w:type="dxa"/>
            <w:tcBorders>
              <w:top w:val="single" w:sz="4" w:space="0" w:color="auto"/>
              <w:left w:val="single" w:sz="4" w:space="0" w:color="auto"/>
              <w:bottom w:val="single" w:sz="4" w:space="0" w:color="auto"/>
              <w:right w:val="single" w:sz="4" w:space="0" w:color="auto"/>
            </w:tcBorders>
          </w:tcPr>
          <w:p w14:paraId="5761FF05" w14:textId="77777777" w:rsidR="00A56EE9" w:rsidRPr="00E70A11" w:rsidRDefault="00A56EE9" w:rsidP="00A11869">
            <w:pPr>
              <w:pStyle w:val="ListBullet"/>
              <w:numPr>
                <w:ilvl w:val="0"/>
                <w:numId w:val="93"/>
              </w:numPr>
              <w:autoSpaceDE w:val="0"/>
              <w:autoSpaceDN w:val="0"/>
              <w:adjustRightInd w:val="0"/>
              <w:spacing w:line="240" w:lineRule="auto"/>
              <w:rPr>
                <w:rFonts w:eastAsiaTheme="minorHAnsi" w:cs="Arial"/>
              </w:rPr>
            </w:pPr>
            <w:r w:rsidRPr="00E70A11">
              <w:rPr>
                <w:rFonts w:eastAsiaTheme="minorHAnsi" w:cs="Arial"/>
              </w:rPr>
              <w:t>Port Authority charter and role is clear through legislation and Ministerial instructions. Appropriate resources supplied to ensure ports remain open and operate effectively to service community and customers. Charter includes protection of social, cultural and environment values.</w:t>
            </w:r>
          </w:p>
          <w:p w14:paraId="5761FF06"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360" w:history="1">
              <w:r w:rsidR="00A56EE9" w:rsidRPr="00E70A11">
                <w:rPr>
                  <w:rStyle w:val="Hyperlink"/>
                  <w:rFonts w:ascii="Arial Narrow" w:hAnsi="Arial Narrow"/>
                  <w:color w:val="000000" w:themeColor="text1"/>
                  <w:sz w:val="18"/>
                  <w:szCs w:val="18"/>
                  <w:lang w:val="en"/>
                </w:rPr>
                <w:t>State Party Report on the State of Conservation of the Great Barrier Reef World Heritage Area (Australia) 2015</w:t>
              </w:r>
            </w:hyperlink>
          </w:p>
          <w:p w14:paraId="5761FF07"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361" w:history="1">
              <w:r w:rsidR="00A56EE9" w:rsidRPr="00E70A11">
                <w:rPr>
                  <w:rStyle w:val="Hyperlink"/>
                  <w:rFonts w:ascii="Arial Narrow" w:hAnsi="Arial Narrow"/>
                  <w:color w:val="000000" w:themeColor="text1"/>
                  <w:sz w:val="18"/>
                  <w:szCs w:val="18"/>
                </w:rPr>
                <w:t>Queensland Ports Strategy 2014</w:t>
              </w:r>
            </w:hyperlink>
          </w:p>
          <w:p w14:paraId="5761FF08"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362" w:history="1">
              <w:r w:rsidR="00A56EE9" w:rsidRPr="00E70A11">
                <w:rPr>
                  <w:rStyle w:val="Hyperlink"/>
                  <w:rFonts w:ascii="Arial Narrow" w:hAnsi="Arial Narrow"/>
                  <w:color w:val="000000" w:themeColor="text1"/>
                  <w:sz w:val="18"/>
                  <w:szCs w:val="18"/>
                </w:rPr>
                <w:t>Great Barrier Reef Coastal Zone Strategic Assessment</w:t>
              </w:r>
            </w:hyperlink>
            <w:r w:rsidR="00A56EE9" w:rsidRPr="00E70A11">
              <w:rPr>
                <w:rFonts w:ascii="Arial Narrow" w:hAnsi="Arial Narrow"/>
                <w:color w:val="000000" w:themeColor="text1"/>
                <w:sz w:val="18"/>
                <w:szCs w:val="18"/>
              </w:rPr>
              <w:t xml:space="preserve"> 2014</w:t>
            </w:r>
          </w:p>
          <w:p w14:paraId="5761FF09" w14:textId="77777777" w:rsidR="00A56EE9" w:rsidRPr="00E70A11" w:rsidRDefault="008B5998" w:rsidP="00A11869">
            <w:pPr>
              <w:pStyle w:val="ListParagraph"/>
              <w:numPr>
                <w:ilvl w:val="0"/>
                <w:numId w:val="24"/>
              </w:numPr>
              <w:spacing w:after="0" w:line="276" w:lineRule="auto"/>
              <w:ind w:left="357" w:hanging="357"/>
              <w:rPr>
                <w:rStyle w:val="Hyperlink"/>
                <w:rFonts w:ascii="Arial Narrow" w:hAnsi="Arial Narrow"/>
                <w:color w:val="000000" w:themeColor="text1"/>
                <w:sz w:val="18"/>
                <w:szCs w:val="18"/>
              </w:rPr>
            </w:pPr>
            <w:hyperlink r:id="rId1363" w:history="1">
              <w:r w:rsidR="00A56EE9" w:rsidRPr="00E70A11">
                <w:rPr>
                  <w:rStyle w:val="Hyperlink"/>
                  <w:rFonts w:ascii="Arial Narrow" w:hAnsi="Arial Narrow"/>
                  <w:color w:val="000000" w:themeColor="text1"/>
                  <w:sz w:val="18"/>
                  <w:szCs w:val="18"/>
                </w:rPr>
                <w:t>Sustainable Ports Development Act 2015</w:t>
              </w:r>
            </w:hyperlink>
          </w:p>
          <w:p w14:paraId="5761FF0A"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Hyperlink"/>
                <w:rFonts w:ascii="Arial Narrow" w:hAnsi="Arial Narrow"/>
                <w:color w:val="000000" w:themeColor="text1"/>
                <w:sz w:val="18"/>
                <w:szCs w:val="18"/>
              </w:rPr>
              <w:t>GBRMPA cost recovery implementation statement for permission system fees</w:t>
            </w:r>
          </w:p>
        </w:tc>
        <w:tc>
          <w:tcPr>
            <w:tcW w:w="984" w:type="dxa"/>
            <w:tcBorders>
              <w:top w:val="single" w:sz="4" w:space="0" w:color="auto"/>
              <w:left w:val="single" w:sz="4" w:space="0" w:color="auto"/>
              <w:bottom w:val="single" w:sz="4" w:space="0" w:color="auto"/>
              <w:right w:val="single" w:sz="4" w:space="0" w:color="auto"/>
            </w:tcBorders>
          </w:tcPr>
          <w:p w14:paraId="5761FF0B"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1FF0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F18"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0E"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ports </w:t>
            </w:r>
          </w:p>
        </w:tc>
        <w:tc>
          <w:tcPr>
            <w:tcW w:w="790" w:type="dxa"/>
            <w:tcBorders>
              <w:top w:val="single" w:sz="4" w:space="0" w:color="auto"/>
              <w:left w:val="single" w:sz="4" w:space="0" w:color="auto"/>
              <w:bottom w:val="single" w:sz="4" w:space="0" w:color="auto"/>
              <w:right w:val="single" w:sz="4" w:space="0" w:color="auto"/>
            </w:tcBorders>
            <w:shd w:val="clear" w:color="auto" w:fill="auto"/>
          </w:tcPr>
          <w:p w14:paraId="5761FF0F"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F10" w14:textId="77777777" w:rsidR="00A56EE9" w:rsidRPr="00E70A11" w:rsidRDefault="00A56EE9" w:rsidP="00A11869">
            <w:pPr>
              <w:pStyle w:val="ListBullet"/>
              <w:numPr>
                <w:ilvl w:val="0"/>
                <w:numId w:val="93"/>
              </w:numPr>
              <w:autoSpaceDE w:val="0"/>
              <w:autoSpaceDN w:val="0"/>
              <w:adjustRightInd w:val="0"/>
              <w:spacing w:line="240" w:lineRule="auto"/>
            </w:pPr>
            <w:r w:rsidRPr="00E70A11">
              <w:t>Human resources of the ports themselves and overseeing Queensland Government agencies are reported to be adequate.</w:t>
            </w:r>
          </w:p>
          <w:p w14:paraId="5761FF11" w14:textId="77777777" w:rsidR="00A56EE9" w:rsidRPr="00E70A11" w:rsidRDefault="00A56EE9" w:rsidP="00A11869">
            <w:pPr>
              <w:pStyle w:val="ListBullet"/>
              <w:numPr>
                <w:ilvl w:val="0"/>
                <w:numId w:val="93"/>
              </w:numPr>
              <w:autoSpaceDE w:val="0"/>
              <w:autoSpaceDN w:val="0"/>
              <w:adjustRightInd w:val="0"/>
              <w:spacing w:line="240" w:lineRule="auto"/>
              <w:ind w:left="357" w:hanging="357"/>
              <w:rPr>
                <w:rStyle w:val="BookTitle"/>
                <w:rFonts w:cs="AdvGulliv-R"/>
              </w:rPr>
            </w:pPr>
            <w:r w:rsidRPr="00E70A11">
              <w:t>T</w:t>
            </w:r>
            <w:r w:rsidRPr="00E70A11">
              <w:rPr>
                <w:rFonts w:eastAsia="SymbolMT"/>
              </w:rPr>
              <w:t>he assessment and approval process for port related activities is reported to represent a relatively small proportion of the overall number of project approvals assessed by GBRMPA staff.</w:t>
            </w:r>
          </w:p>
        </w:tc>
        <w:tc>
          <w:tcPr>
            <w:tcW w:w="5066" w:type="dxa"/>
            <w:tcBorders>
              <w:top w:val="single" w:sz="4" w:space="0" w:color="auto"/>
              <w:left w:val="single" w:sz="4" w:space="0" w:color="auto"/>
              <w:bottom w:val="single" w:sz="4" w:space="0" w:color="auto"/>
              <w:right w:val="single" w:sz="4" w:space="0" w:color="auto"/>
            </w:tcBorders>
          </w:tcPr>
          <w:p w14:paraId="5761FF12"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364" w:history="1">
              <w:r w:rsidR="00A56EE9" w:rsidRPr="00E70A11">
                <w:rPr>
                  <w:rStyle w:val="Hyperlink"/>
                  <w:rFonts w:ascii="Arial Narrow" w:hAnsi="Arial Narrow"/>
                  <w:color w:val="000000" w:themeColor="text1"/>
                  <w:sz w:val="18"/>
                  <w:szCs w:val="18"/>
                  <w:lang w:val="en"/>
                </w:rPr>
                <w:t>National Plan for Maritime Environmental Emergencies</w:t>
              </w:r>
            </w:hyperlink>
          </w:p>
          <w:p w14:paraId="5761FF13"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365" w:history="1">
              <w:r w:rsidR="00A56EE9" w:rsidRPr="00E70A11">
                <w:rPr>
                  <w:rStyle w:val="Hyperlink"/>
                  <w:rFonts w:ascii="Arial Narrow" w:hAnsi="Arial Narrow"/>
                  <w:color w:val="000000" w:themeColor="text1"/>
                  <w:sz w:val="18"/>
                  <w:szCs w:val="18"/>
                </w:rPr>
                <w:t>Improved dredge material management in the Great Barrier Reef Region</w:t>
              </w:r>
            </w:hyperlink>
            <w:r w:rsidR="00A56EE9" w:rsidRPr="00E70A11">
              <w:rPr>
                <w:rStyle w:val="Hyperlink"/>
                <w:rFonts w:ascii="Arial Narrow" w:hAnsi="Arial Narrow"/>
                <w:color w:val="000000" w:themeColor="text1"/>
                <w:sz w:val="18"/>
                <w:szCs w:val="18"/>
              </w:rPr>
              <w:t>.</w:t>
            </w:r>
          </w:p>
          <w:p w14:paraId="5761FF14"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366" w:history="1">
              <w:r w:rsidR="00A56EE9" w:rsidRPr="00E70A11">
                <w:rPr>
                  <w:rStyle w:val="Hyperlink"/>
                  <w:rFonts w:ascii="Arial Narrow" w:hAnsi="Arial Narrow"/>
                  <w:color w:val="000000" w:themeColor="text1"/>
                  <w:sz w:val="18"/>
                  <w:szCs w:val="18"/>
                </w:rPr>
                <w:t>Synthesis of current knowledge of the biophysical impacts of dredging and disposal on the Great Barrier Reef: report of an independent panel of experts</w:t>
              </w:r>
            </w:hyperlink>
            <w:r w:rsidR="00A56EE9" w:rsidRPr="00E70A11">
              <w:rPr>
                <w:rStyle w:val="Hyperlink"/>
                <w:rFonts w:ascii="Arial Narrow" w:hAnsi="Arial Narrow"/>
                <w:color w:val="000000" w:themeColor="text1"/>
                <w:sz w:val="18"/>
                <w:szCs w:val="18"/>
              </w:rPr>
              <w:t>.</w:t>
            </w:r>
          </w:p>
          <w:p w14:paraId="5761FF15"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Reported that ‘significant additional resources and capabilities’ employed in the Queensland Government to progress actions stemming from Reef2050.</w:t>
            </w:r>
          </w:p>
        </w:tc>
        <w:tc>
          <w:tcPr>
            <w:tcW w:w="984" w:type="dxa"/>
            <w:tcBorders>
              <w:top w:val="single" w:sz="4" w:space="0" w:color="auto"/>
              <w:left w:val="single" w:sz="4" w:space="0" w:color="auto"/>
              <w:bottom w:val="single" w:sz="4" w:space="0" w:color="auto"/>
              <w:right w:val="single" w:sz="4" w:space="0" w:color="auto"/>
            </w:tcBorders>
          </w:tcPr>
          <w:p w14:paraId="5761FF16"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1FF17"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FF26"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19"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ports</w:t>
            </w:r>
          </w:p>
        </w:tc>
        <w:tc>
          <w:tcPr>
            <w:tcW w:w="790" w:type="dxa"/>
            <w:tcBorders>
              <w:top w:val="single" w:sz="4" w:space="0" w:color="auto"/>
              <w:left w:val="single" w:sz="4" w:space="0" w:color="auto"/>
              <w:bottom w:val="single" w:sz="4" w:space="0" w:color="auto"/>
              <w:right w:val="single" w:sz="4" w:space="0" w:color="auto"/>
            </w:tcBorders>
          </w:tcPr>
          <w:p w14:paraId="5761FF1A"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F1B"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Skill sets and expertise of the ports themselves and the oversight by Queensland Government agencies are reported to be adequate.</w:t>
            </w:r>
          </w:p>
          <w:p w14:paraId="5761FF1C"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Anecdotal evidence to suggest that effective knowledge and understanding of port developments and operations could be improved in Commonwealth agencies. This should improve outcomes for port-related assessment and approvals and monitoring.</w:t>
            </w:r>
          </w:p>
          <w:p w14:paraId="5761FF1D" w14:textId="77777777" w:rsidR="00A56EE9" w:rsidRPr="00E70A11" w:rsidRDefault="00A56EE9" w:rsidP="00A11869">
            <w:pPr>
              <w:pStyle w:val="ListParagraph"/>
              <w:numPr>
                <w:ilvl w:val="0"/>
                <w:numId w:val="24"/>
              </w:numPr>
              <w:spacing w:after="200" w:line="240"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Staff in GBRMPA manage dredging applications and are understood to have requisite skills to update policy and inform policy development.</w:t>
            </w:r>
          </w:p>
          <w:p w14:paraId="5761FF1E" w14:textId="77777777" w:rsidR="00A56EE9" w:rsidRPr="00E70A11" w:rsidRDefault="00A56EE9" w:rsidP="00A11869">
            <w:pPr>
              <w:pStyle w:val="ListParagraph"/>
              <w:numPr>
                <w:ilvl w:val="0"/>
                <w:numId w:val="24"/>
              </w:numPr>
              <w:spacing w:after="0" w:line="240" w:lineRule="auto"/>
              <w:ind w:left="357" w:hanging="357"/>
              <w:rPr>
                <w:rStyle w:val="BookTitle"/>
                <w:rFonts w:ascii="Arial Narrow" w:hAnsi="Arial Narrow"/>
                <w:color w:val="000000" w:themeColor="text1"/>
                <w:sz w:val="18"/>
                <w:szCs w:val="18"/>
              </w:rPr>
            </w:pPr>
            <w:r>
              <w:rPr>
                <w:rFonts w:ascii="Arial Narrow" w:hAnsi="Arial Narrow"/>
                <w:sz w:val="18"/>
                <w:szCs w:val="18"/>
              </w:rPr>
              <w:t xml:space="preserve">Ports and </w:t>
            </w:r>
            <w:r w:rsidRPr="00E70A11">
              <w:rPr>
                <w:rFonts w:ascii="Arial Narrow" w:hAnsi="Arial Narrow"/>
                <w:sz w:val="18"/>
                <w:szCs w:val="18"/>
              </w:rPr>
              <w:t xml:space="preserve">GBRMPA uses consultants with appropriate expertise for specialist activities </w:t>
            </w:r>
          </w:p>
        </w:tc>
        <w:tc>
          <w:tcPr>
            <w:tcW w:w="5066" w:type="dxa"/>
            <w:tcBorders>
              <w:top w:val="single" w:sz="4" w:space="0" w:color="auto"/>
              <w:left w:val="single" w:sz="4" w:space="0" w:color="auto"/>
              <w:bottom w:val="single" w:sz="4" w:space="0" w:color="auto"/>
              <w:right w:val="single" w:sz="4" w:space="0" w:color="auto"/>
            </w:tcBorders>
          </w:tcPr>
          <w:p w14:paraId="5761FF1F" w14:textId="77777777" w:rsidR="00A56EE9" w:rsidRPr="00E70A11" w:rsidRDefault="00A56EE9" w:rsidP="00A11869">
            <w:pPr>
              <w:pStyle w:val="ListParagraph"/>
              <w:numPr>
                <w:ilvl w:val="0"/>
                <w:numId w:val="126"/>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Submissions provided by QPA.</w:t>
            </w:r>
          </w:p>
          <w:p w14:paraId="5761FF20" w14:textId="77777777" w:rsidR="00A56EE9" w:rsidRPr="00E70A11" w:rsidRDefault="00A56EE9" w:rsidP="00A11869">
            <w:pPr>
              <w:pStyle w:val="ListParagraph"/>
              <w:numPr>
                <w:ilvl w:val="0"/>
                <w:numId w:val="126"/>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Submissions provided by GBRMPA.</w:t>
            </w:r>
          </w:p>
          <w:p w14:paraId="5761FF21" w14:textId="77777777" w:rsidR="00A56EE9" w:rsidRPr="00E70A11" w:rsidRDefault="00A56EE9" w:rsidP="00A11869">
            <w:pPr>
              <w:pStyle w:val="ListParagraph"/>
              <w:numPr>
                <w:ilvl w:val="0"/>
                <w:numId w:val="126"/>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Reef 2050 Long Term Sustainability Plan</w:t>
            </w:r>
          </w:p>
          <w:p w14:paraId="5761FF22" w14:textId="77777777" w:rsidR="00A56EE9" w:rsidRPr="00E70A11" w:rsidRDefault="00A56EE9" w:rsidP="00BB6AD5">
            <w:pPr>
              <w:jc w:val="both"/>
              <w:rPr>
                <w:rStyle w:val="BookTitle"/>
                <w:rFonts w:ascii="Arial Narrow" w:hAnsi="Arial Narrow"/>
                <w:color w:val="000000" w:themeColor="text1"/>
                <w:sz w:val="18"/>
                <w:szCs w:val="18"/>
              </w:rPr>
            </w:pPr>
          </w:p>
          <w:p w14:paraId="5761FF23" w14:textId="77777777" w:rsidR="00A56EE9" w:rsidRPr="00E70A11" w:rsidRDefault="00A56EE9" w:rsidP="00BB6AD5">
            <w:pPr>
              <w:ind w:left="360" w:hanging="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F24"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F25"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FF3F"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27"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ports</w:t>
            </w:r>
          </w:p>
        </w:tc>
        <w:tc>
          <w:tcPr>
            <w:tcW w:w="790" w:type="dxa"/>
            <w:tcBorders>
              <w:top w:val="single" w:sz="4" w:space="0" w:color="auto"/>
              <w:left w:val="single" w:sz="4" w:space="0" w:color="auto"/>
              <w:bottom w:val="single" w:sz="4" w:space="0" w:color="auto"/>
              <w:right w:val="single" w:sz="4" w:space="0" w:color="auto"/>
            </w:tcBorders>
            <w:shd w:val="clear" w:color="auto" w:fill="auto"/>
          </w:tcPr>
          <w:p w14:paraId="5761FF28"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F29" w14:textId="77777777" w:rsidR="00A56EE9" w:rsidRPr="00E70A11" w:rsidRDefault="00A56EE9" w:rsidP="00A11869">
            <w:pPr>
              <w:pStyle w:val="ListBullet"/>
              <w:numPr>
                <w:ilvl w:val="0"/>
                <w:numId w:val="92"/>
              </w:numPr>
              <w:autoSpaceDE w:val="0"/>
              <w:autoSpaceDN w:val="0"/>
              <w:adjustRightInd w:val="0"/>
              <w:spacing w:before="40" w:after="40" w:line="240" w:lineRule="auto"/>
            </w:pPr>
            <w:r w:rsidRPr="00E70A11">
              <w:t>A significant amount of information is available</w:t>
            </w:r>
            <w:r>
              <w:t>.</w:t>
            </w:r>
            <w:r w:rsidRPr="00E70A11">
              <w:t xml:space="preserve"> For example, limited information is available on population status and habitat requirements of some key species, such as inshore dolphins. Information of this type will inform and influence decisions regarding elements such as dredging, siting of anchorages, pile driving noise management, etc.</w:t>
            </w:r>
          </w:p>
          <w:p w14:paraId="5761FF2A" w14:textId="77777777" w:rsidR="00A56EE9" w:rsidRPr="00E70A11" w:rsidRDefault="00A56EE9" w:rsidP="00A11869">
            <w:pPr>
              <w:pStyle w:val="ListBullet"/>
              <w:numPr>
                <w:ilvl w:val="0"/>
                <w:numId w:val="92"/>
              </w:numPr>
              <w:autoSpaceDE w:val="0"/>
              <w:autoSpaceDN w:val="0"/>
              <w:adjustRightInd w:val="0"/>
              <w:spacing w:before="40" w:after="40" w:line="240" w:lineRule="auto"/>
            </w:pPr>
            <w:r w:rsidRPr="00E70A11">
              <w:t>Methodologies and procedures to collect, collate and analyse vessel/fauna strikes in ports are of uncertain effectiveness.</w:t>
            </w:r>
          </w:p>
          <w:p w14:paraId="5761FF2B" w14:textId="77777777" w:rsidR="00A56EE9" w:rsidRPr="00E70A11" w:rsidRDefault="00A56EE9" w:rsidP="00A11869">
            <w:pPr>
              <w:pStyle w:val="ListParagraph"/>
              <w:numPr>
                <w:ilvl w:val="0"/>
                <w:numId w:val="92"/>
              </w:numPr>
              <w:autoSpaceDE w:val="0"/>
              <w:autoSpaceDN w:val="0"/>
              <w:adjustRightInd w:val="0"/>
              <w:spacing w:after="0" w:line="240" w:lineRule="auto"/>
              <w:rPr>
                <w:rFonts w:ascii="Arial Narrow" w:hAnsi="Arial Narrow" w:cs="Arial Narrow"/>
                <w:color w:val="000000" w:themeColor="text1"/>
                <w:sz w:val="18"/>
                <w:szCs w:val="18"/>
              </w:rPr>
            </w:pPr>
            <w:r w:rsidRPr="00E70A11">
              <w:rPr>
                <w:rFonts w:ascii="Arial Narrow" w:hAnsi="Arial Narrow" w:cs="Arial Narrow"/>
                <w:color w:val="000000" w:themeColor="text1"/>
                <w:sz w:val="18"/>
                <w:szCs w:val="18"/>
              </w:rPr>
              <w:t>Molecular methods for introduced marine pest surveillance are being trialled by Department of Agriculture and Water Resources at a number of ports around Australia, including Gladstone. This testing is focused upon ballast water as a risk vector.</w:t>
            </w:r>
          </w:p>
          <w:p w14:paraId="5761FF2C" w14:textId="77777777" w:rsidR="00A56EE9" w:rsidRPr="00E70A11" w:rsidRDefault="00A56EE9" w:rsidP="00A11869">
            <w:pPr>
              <w:pStyle w:val="ListBullet"/>
              <w:numPr>
                <w:ilvl w:val="0"/>
                <w:numId w:val="92"/>
              </w:numPr>
              <w:autoSpaceDE w:val="0"/>
              <w:autoSpaceDN w:val="0"/>
              <w:adjustRightInd w:val="0"/>
              <w:spacing w:before="40" w:after="40" w:line="240" w:lineRule="auto"/>
            </w:pPr>
            <w:r w:rsidRPr="00E70A11">
              <w:t>Introduced marine species surveillance and monitoring is disjointed to some extent, although a Queensland plan is under development to address this matter.</w:t>
            </w:r>
          </w:p>
          <w:p w14:paraId="5761FF2D" w14:textId="77777777" w:rsidR="00A56EE9" w:rsidRPr="00E70A11" w:rsidRDefault="00A56EE9" w:rsidP="00BB6AD5">
            <w:pPr>
              <w:rPr>
                <w:rStyle w:val="BookTitle"/>
                <w:rFonts w:ascii="Arial Narrow" w:hAnsi="Arial Narrow"/>
                <w:color w:val="000000" w:themeColor="text1"/>
                <w:sz w:val="18"/>
                <w:szCs w:val="18"/>
              </w:rPr>
            </w:pPr>
          </w:p>
        </w:tc>
        <w:tc>
          <w:tcPr>
            <w:tcW w:w="5066" w:type="dxa"/>
            <w:tcBorders>
              <w:top w:val="single" w:sz="4" w:space="0" w:color="auto"/>
              <w:left w:val="single" w:sz="4" w:space="0" w:color="auto"/>
              <w:bottom w:val="single" w:sz="4" w:space="0" w:color="auto"/>
              <w:right w:val="single" w:sz="4" w:space="0" w:color="auto"/>
            </w:tcBorders>
          </w:tcPr>
          <w:p w14:paraId="5761FF2E"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367" w:history="1">
              <w:r w:rsidR="00A56EE9" w:rsidRPr="00E70A11">
                <w:rPr>
                  <w:rStyle w:val="Hyperlink"/>
                  <w:color w:val="000000" w:themeColor="text1"/>
                </w:rPr>
                <w:t>Improved dredge material management in the Great Barrier Reef Region</w:t>
              </w:r>
            </w:hyperlink>
          </w:p>
          <w:p w14:paraId="5761FF2F"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368" w:history="1">
              <w:r w:rsidR="00A56EE9" w:rsidRPr="00E70A11">
                <w:rPr>
                  <w:rStyle w:val="Hyperlink"/>
                  <w:color w:val="000000" w:themeColor="text1"/>
                </w:rPr>
                <w:t>Environmental best practice port development: an analysis of international approaches</w:t>
              </w:r>
            </w:hyperlink>
          </w:p>
          <w:p w14:paraId="5761FF30"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369" w:history="1">
              <w:r w:rsidR="00A56EE9" w:rsidRPr="00E70A11">
                <w:rPr>
                  <w:rStyle w:val="Hyperlink"/>
                  <w:color w:val="000000" w:themeColor="text1"/>
                </w:rPr>
                <w:t>Synthesis of current knowledge of the biophysical impacts of dredging and disposal on the Great Barrier Reef: report of an independent panel of experts</w:t>
              </w:r>
            </w:hyperlink>
          </w:p>
          <w:p w14:paraId="5761FF31"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370" w:history="1">
              <w:r w:rsidR="00A56EE9" w:rsidRPr="00E70A11">
                <w:rPr>
                  <w:rStyle w:val="Hyperlink"/>
                  <w:color w:val="000000" w:themeColor="text1"/>
                </w:rPr>
                <w:t>Master Plans</w:t>
              </w:r>
            </w:hyperlink>
            <w:r w:rsidR="00A56EE9" w:rsidRPr="00E70A11">
              <w:rPr>
                <w:rStyle w:val="Hyperlink"/>
                <w:color w:val="000000" w:themeColor="text1"/>
              </w:rPr>
              <w:t xml:space="preserve"> </w:t>
            </w:r>
            <w:r w:rsidR="00A56EE9" w:rsidRPr="00E70A11">
              <w:rPr>
                <w:color w:val="000000" w:themeColor="text1"/>
              </w:rPr>
              <w:t>at Priority Ports</w:t>
            </w:r>
          </w:p>
          <w:p w14:paraId="5761FF32"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371" w:history="1">
              <w:r w:rsidR="00A56EE9" w:rsidRPr="00E70A11">
                <w:rPr>
                  <w:rStyle w:val="Hyperlink"/>
                  <w:color w:val="000000" w:themeColor="text1"/>
                </w:rPr>
                <w:t>Queensland Ports Seagrass Monitoring</w:t>
              </w:r>
            </w:hyperlink>
            <w:r w:rsidR="00A56EE9" w:rsidRPr="00E70A11">
              <w:rPr>
                <w:color w:val="000000" w:themeColor="text1"/>
              </w:rPr>
              <w:t xml:space="preserve"> – Michael Rasheed</w:t>
            </w:r>
          </w:p>
          <w:p w14:paraId="5761FF33"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372" w:history="1">
              <w:r w:rsidR="00A56EE9" w:rsidRPr="00E70A11">
                <w:rPr>
                  <w:rStyle w:val="Hyperlink"/>
                  <w:color w:val="000000" w:themeColor="text1"/>
                </w:rPr>
                <w:t>Reef 2050 Integrated Monitoring and Reporting Program</w:t>
              </w:r>
            </w:hyperlink>
          </w:p>
          <w:p w14:paraId="5761FF34" w14:textId="77777777" w:rsidR="00A56EE9" w:rsidRPr="00E70A11" w:rsidRDefault="008B5998" w:rsidP="00A11869">
            <w:pPr>
              <w:pStyle w:val="ListBullet"/>
              <w:numPr>
                <w:ilvl w:val="0"/>
                <w:numId w:val="93"/>
              </w:numPr>
              <w:autoSpaceDE w:val="0"/>
              <w:autoSpaceDN w:val="0"/>
              <w:adjustRightInd w:val="0"/>
              <w:spacing w:line="240" w:lineRule="auto"/>
              <w:rPr>
                <w:rStyle w:val="Hyperlink"/>
                <w:b/>
                <w:color w:val="000000" w:themeColor="text1"/>
              </w:rPr>
            </w:pPr>
            <w:hyperlink r:id="rId1373" w:history="1">
              <w:r w:rsidR="00A56EE9" w:rsidRPr="00E70A11">
                <w:rPr>
                  <w:rStyle w:val="Hyperlink"/>
                  <w:color w:val="000000" w:themeColor="text1"/>
                </w:rPr>
                <w:t>Reef Plan annual report cards</w:t>
              </w:r>
            </w:hyperlink>
          </w:p>
          <w:p w14:paraId="5761FF35" w14:textId="77777777" w:rsidR="00A56EE9" w:rsidRPr="00E70A11" w:rsidRDefault="00A56EE9" w:rsidP="00A11869">
            <w:pPr>
              <w:pStyle w:val="ListBullet"/>
              <w:numPr>
                <w:ilvl w:val="0"/>
                <w:numId w:val="93"/>
              </w:numPr>
              <w:autoSpaceDE w:val="0"/>
              <w:autoSpaceDN w:val="0"/>
              <w:adjustRightInd w:val="0"/>
              <w:spacing w:line="240" w:lineRule="auto"/>
            </w:pPr>
            <w:r w:rsidRPr="00E70A11">
              <w:t>Regional Report cards:</w:t>
            </w:r>
          </w:p>
          <w:p w14:paraId="5761FF36"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Healthy Rivers to Reef partnership </w:t>
            </w:r>
            <w:hyperlink r:id="rId1374" w:history="1">
              <w:r w:rsidRPr="00E70A11">
                <w:rPr>
                  <w:rStyle w:val="Hyperlink"/>
                  <w:color w:val="000000" w:themeColor="text1"/>
                </w:rPr>
                <w:t>Mackay Whitsunday Report Card</w:t>
              </w:r>
            </w:hyperlink>
          </w:p>
          <w:p w14:paraId="5761FF37"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Fitzroy Basin </w:t>
            </w:r>
            <w:hyperlink r:id="rId1375" w:history="1">
              <w:r w:rsidRPr="00E70A11">
                <w:rPr>
                  <w:rStyle w:val="Hyperlink"/>
                  <w:color w:val="000000" w:themeColor="text1"/>
                </w:rPr>
                <w:t>Report Card</w:t>
              </w:r>
            </w:hyperlink>
          </w:p>
          <w:p w14:paraId="5761FF38"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376" w:history="1">
              <w:r w:rsidR="00A56EE9" w:rsidRPr="00E70A11">
                <w:rPr>
                  <w:rStyle w:val="Hyperlink"/>
                  <w:color w:val="000000" w:themeColor="text1"/>
                </w:rPr>
                <w:t>Gladstone Harbour report card</w:t>
              </w:r>
            </w:hyperlink>
          </w:p>
          <w:p w14:paraId="5761FF39"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Wet Tropics </w:t>
            </w:r>
            <w:hyperlink r:id="rId1377" w:history="1">
              <w:r w:rsidRPr="00E70A11">
                <w:rPr>
                  <w:rStyle w:val="Hyperlink"/>
                  <w:color w:val="000000" w:themeColor="text1"/>
                </w:rPr>
                <w:t>Report Card</w:t>
              </w:r>
            </w:hyperlink>
          </w:p>
          <w:p w14:paraId="5761FF3A"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lang w:val="en"/>
              </w:rPr>
            </w:pPr>
            <w:hyperlink r:id="rId1378" w:history="1">
              <w:r w:rsidR="00A56EE9" w:rsidRPr="00E70A11">
                <w:rPr>
                  <w:rStyle w:val="Hyperlink"/>
                  <w:color w:val="000000" w:themeColor="text1"/>
                  <w:lang w:val="en"/>
                </w:rPr>
                <w:t>Ship anchorage management in the Great Barrier Reef World Heritage Area</w:t>
              </w:r>
            </w:hyperlink>
            <w:r w:rsidR="00A56EE9" w:rsidRPr="00E70A11">
              <w:rPr>
                <w:rStyle w:val="Hyperlink"/>
                <w:color w:val="000000" w:themeColor="text1"/>
                <w:lang w:val="en"/>
              </w:rPr>
              <w:t xml:space="preserve"> (2013) DOEE.</w:t>
            </w:r>
          </w:p>
          <w:p w14:paraId="5761FF3B" w14:textId="77777777" w:rsidR="00A56EE9" w:rsidRPr="00E70A11" w:rsidRDefault="00A56EE9" w:rsidP="00A11869">
            <w:pPr>
              <w:pStyle w:val="ListBullet"/>
              <w:numPr>
                <w:ilvl w:val="0"/>
                <w:numId w:val="93"/>
              </w:numPr>
              <w:autoSpaceDE w:val="0"/>
              <w:autoSpaceDN w:val="0"/>
              <w:adjustRightInd w:val="0"/>
              <w:spacing w:line="240" w:lineRule="auto"/>
              <w:rPr>
                <w:rStyle w:val="BookTitle"/>
                <w:color w:val="000000" w:themeColor="text1"/>
              </w:rPr>
            </w:pPr>
            <w:r w:rsidRPr="00E70A11">
              <w:rPr>
                <w:rStyle w:val="BookTitle"/>
                <w:color w:val="000000" w:themeColor="text1"/>
              </w:rPr>
              <w:t>Queensland Biosecurity Capability Review - Final Report, September 2015.</w:t>
            </w:r>
          </w:p>
          <w:p w14:paraId="5761FF3C" w14:textId="77777777" w:rsidR="00A56EE9" w:rsidRPr="00E70A11" w:rsidRDefault="00A56EE9" w:rsidP="00A11869">
            <w:pPr>
              <w:pStyle w:val="ListBullet"/>
              <w:numPr>
                <w:ilvl w:val="0"/>
                <w:numId w:val="93"/>
              </w:numPr>
              <w:autoSpaceDE w:val="0"/>
              <w:autoSpaceDN w:val="0"/>
              <w:adjustRightInd w:val="0"/>
              <w:spacing w:line="240" w:lineRule="auto"/>
              <w:rPr>
                <w:rStyle w:val="BookTitle"/>
              </w:rPr>
            </w:pPr>
            <w:r w:rsidRPr="00E70A11">
              <w:rPr>
                <w:rStyle w:val="BookTitle"/>
                <w:color w:val="000000" w:themeColor="text1"/>
              </w:rPr>
              <w:t>Queensland Biosecurity Capability Review Interim Response, Department of Agriculture and Fisheries, 2016.</w:t>
            </w:r>
          </w:p>
        </w:tc>
        <w:tc>
          <w:tcPr>
            <w:tcW w:w="984" w:type="dxa"/>
            <w:tcBorders>
              <w:top w:val="single" w:sz="4" w:space="0" w:color="auto"/>
              <w:left w:val="single" w:sz="4" w:space="0" w:color="auto"/>
              <w:bottom w:val="single" w:sz="4" w:space="0" w:color="auto"/>
              <w:right w:val="single" w:sz="4" w:space="0" w:color="auto"/>
            </w:tcBorders>
          </w:tcPr>
          <w:p w14:paraId="5761FF3D"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F3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F4B"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40"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ports</w:t>
            </w:r>
          </w:p>
        </w:tc>
        <w:tc>
          <w:tcPr>
            <w:tcW w:w="790" w:type="dxa"/>
            <w:tcBorders>
              <w:top w:val="single" w:sz="4" w:space="0" w:color="auto"/>
              <w:left w:val="single" w:sz="4" w:space="0" w:color="auto"/>
              <w:bottom w:val="single" w:sz="4" w:space="0" w:color="auto"/>
              <w:right w:val="single" w:sz="4" w:space="0" w:color="auto"/>
            </w:tcBorders>
          </w:tcPr>
          <w:p w14:paraId="5761FF41"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F42"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lang w:val="en"/>
              </w:rPr>
            </w:pPr>
            <w:r w:rsidRPr="00E70A11">
              <w:t>Extensive information is available regarding economic value of ports e.g. volumes and value of cargoes and commodities, jobs etc.</w:t>
            </w:r>
          </w:p>
          <w:p w14:paraId="5761FF43" w14:textId="77777777" w:rsidR="00A56EE9" w:rsidRPr="00E70A11" w:rsidRDefault="00A56EE9" w:rsidP="00A11869">
            <w:pPr>
              <w:pStyle w:val="ListBullet"/>
              <w:numPr>
                <w:ilvl w:val="0"/>
                <w:numId w:val="93"/>
              </w:numPr>
              <w:autoSpaceDE w:val="0"/>
              <w:autoSpaceDN w:val="0"/>
              <w:adjustRightInd w:val="0"/>
              <w:spacing w:line="240" w:lineRule="auto"/>
              <w:rPr>
                <w:rFonts w:cs="Arial"/>
                <w:color w:val="000000" w:themeColor="text1"/>
              </w:rPr>
            </w:pPr>
            <w:r w:rsidRPr="00E70A11">
              <w:t xml:space="preserve">The report </w:t>
            </w:r>
            <w:hyperlink r:id="rId1379" w:history="1">
              <w:r w:rsidRPr="00E70A11">
                <w:rPr>
                  <w:rStyle w:val="Hyperlink"/>
                  <w:i/>
                  <w:color w:val="000000" w:themeColor="text1"/>
                  <w:lang w:val="en"/>
                </w:rPr>
                <w:t xml:space="preserve">Social and Economic Long-Term Monitoring Program - </w:t>
              </w:r>
              <w:r w:rsidRPr="00E70A11">
                <w:rPr>
                  <w:rStyle w:val="Hyperlink"/>
                  <w:rFonts w:cs="FrutigerLTStd-Light"/>
                  <w:i/>
                  <w:color w:val="000000" w:themeColor="text1"/>
                </w:rPr>
                <w:t>Ports and Shipping in the Great Barrier Reef</w:t>
              </w:r>
            </w:hyperlink>
            <w:r w:rsidRPr="00E70A11">
              <w:rPr>
                <w:i/>
                <w:color w:val="000000" w:themeColor="text1"/>
                <w:lang w:val="en"/>
              </w:rPr>
              <w:t xml:space="preserve"> </w:t>
            </w:r>
            <w:r>
              <w:rPr>
                <w:i/>
                <w:color w:val="000000" w:themeColor="text1"/>
                <w:lang w:val="en"/>
              </w:rPr>
              <w:t xml:space="preserve">2014 </w:t>
            </w:r>
            <w:r w:rsidRPr="00E70A11">
              <w:rPr>
                <w:color w:val="000000" w:themeColor="text1"/>
                <w:lang w:val="en"/>
              </w:rPr>
              <w:t xml:space="preserve">(SELTMP) </w:t>
            </w:r>
            <w:r w:rsidRPr="00E70A11">
              <w:rPr>
                <w:rFonts w:cs="FrutigerLTStd-Light"/>
                <w:color w:val="000000" w:themeColor="text1"/>
              </w:rPr>
              <w:t xml:space="preserve">provides a summary of secondary data encompassing ports and shipping in the Great Barrier Reef, as well as survey results on community perceptions of the relative threat posed by ports and shipping to the Reef. SELTMP is </w:t>
            </w:r>
            <w:r w:rsidRPr="00E70A11">
              <w:rPr>
                <w:color w:val="000000" w:themeColor="text1"/>
              </w:rPr>
              <w:t>an ongoing program.</w:t>
            </w:r>
          </w:p>
          <w:p w14:paraId="5761FF44" w14:textId="77777777" w:rsidR="00A56EE9" w:rsidRPr="00E70A11" w:rsidRDefault="00A56EE9" w:rsidP="00A11869">
            <w:pPr>
              <w:pStyle w:val="ListBullet"/>
              <w:numPr>
                <w:ilvl w:val="0"/>
                <w:numId w:val="93"/>
              </w:numPr>
              <w:autoSpaceDE w:val="0"/>
              <w:autoSpaceDN w:val="0"/>
              <w:adjustRightInd w:val="0"/>
              <w:spacing w:line="240" w:lineRule="auto"/>
              <w:rPr>
                <w:rStyle w:val="BookTitle"/>
                <w:color w:val="000000" w:themeColor="text1"/>
              </w:rPr>
            </w:pPr>
            <w:r w:rsidRPr="00E70A11">
              <w:rPr>
                <w:rStyle w:val="BookTitle"/>
                <w:color w:val="000000" w:themeColor="text1"/>
              </w:rPr>
              <w:t>Socio-economic information will also be captured through RIMReP and a draft monitoring program has been developed by the ‘Human Dimensions’ working group, of which ports is a member.</w:t>
            </w:r>
          </w:p>
        </w:tc>
        <w:tc>
          <w:tcPr>
            <w:tcW w:w="5066" w:type="dxa"/>
            <w:tcBorders>
              <w:top w:val="single" w:sz="4" w:space="0" w:color="auto"/>
              <w:left w:val="single" w:sz="4" w:space="0" w:color="auto"/>
              <w:bottom w:val="single" w:sz="4" w:space="0" w:color="auto"/>
              <w:right w:val="single" w:sz="4" w:space="0" w:color="auto"/>
            </w:tcBorders>
          </w:tcPr>
          <w:p w14:paraId="5761FF45" w14:textId="77777777" w:rsidR="00A56EE9" w:rsidRPr="00E70A11" w:rsidRDefault="008B5998" w:rsidP="00A11869">
            <w:pPr>
              <w:numPr>
                <w:ilvl w:val="0"/>
                <w:numId w:val="96"/>
              </w:numPr>
              <w:spacing w:after="0" w:line="240" w:lineRule="auto"/>
              <w:jc w:val="both"/>
              <w:rPr>
                <w:rFonts w:ascii="Arial Narrow" w:hAnsi="Arial Narrow"/>
                <w:color w:val="000000" w:themeColor="text1"/>
                <w:sz w:val="18"/>
                <w:szCs w:val="18"/>
              </w:rPr>
            </w:pPr>
            <w:hyperlink r:id="rId1380" w:history="1">
              <w:r w:rsidR="00A56EE9" w:rsidRPr="00E70A11">
                <w:rPr>
                  <w:rStyle w:val="Hyperlink"/>
                  <w:rFonts w:ascii="Arial Narrow" w:hAnsi="Arial Narrow" w:cs="Corbel"/>
                  <w:color w:val="000000" w:themeColor="text1"/>
                  <w:sz w:val="18"/>
                  <w:szCs w:val="18"/>
                </w:rPr>
                <w:t>‘The economic and social impacts of protecting the environmental values of the waters of the Capricorn and Curtis Coasts</w:t>
              </w:r>
            </w:hyperlink>
            <w:r w:rsidR="00A56EE9" w:rsidRPr="00E70A11">
              <w:rPr>
                <w:rFonts w:ascii="Arial Narrow" w:hAnsi="Arial Narrow" w:cs="Corbel"/>
                <w:color w:val="000000" w:themeColor="text1"/>
                <w:sz w:val="18"/>
                <w:szCs w:val="18"/>
              </w:rPr>
              <w:t xml:space="preserve">’ (Oct 2014) DEHP Qld. </w:t>
            </w:r>
          </w:p>
          <w:p w14:paraId="5761FF46" w14:textId="77777777" w:rsidR="00A56EE9" w:rsidRPr="00E70A11" w:rsidRDefault="008B5998" w:rsidP="00A11869">
            <w:pPr>
              <w:pStyle w:val="ListBullet"/>
              <w:numPr>
                <w:ilvl w:val="0"/>
                <w:numId w:val="96"/>
              </w:numPr>
              <w:autoSpaceDE w:val="0"/>
              <w:autoSpaceDN w:val="0"/>
              <w:adjustRightInd w:val="0"/>
              <w:spacing w:line="240" w:lineRule="auto"/>
              <w:jc w:val="both"/>
              <w:rPr>
                <w:color w:val="000000" w:themeColor="text1"/>
              </w:rPr>
            </w:pPr>
            <w:hyperlink r:id="rId1381" w:history="1">
              <w:r w:rsidR="00A56EE9" w:rsidRPr="00E70A11">
                <w:rPr>
                  <w:rStyle w:val="Hyperlink"/>
                  <w:color w:val="000000" w:themeColor="text1"/>
                </w:rPr>
                <w:t>Port trade statistics</w:t>
              </w:r>
            </w:hyperlink>
            <w:r w:rsidR="00A56EE9" w:rsidRPr="00E70A11">
              <w:rPr>
                <w:color w:val="000000" w:themeColor="text1"/>
              </w:rPr>
              <w:t xml:space="preserve"> - the </w:t>
            </w:r>
            <w:hyperlink r:id="rId1382" w:history="1">
              <w:r w:rsidR="00A56EE9" w:rsidRPr="00E70A11">
                <w:rPr>
                  <w:rStyle w:val="Hyperlink"/>
                  <w:color w:val="000000" w:themeColor="text1"/>
                </w:rPr>
                <w:t>Trade Statistics for Queensland Ports—30 June 2016</w:t>
              </w:r>
            </w:hyperlink>
            <w:r w:rsidR="00A56EE9" w:rsidRPr="00E70A11">
              <w:rPr>
                <w:rStyle w:val="file-metadata"/>
                <w:color w:val="000000" w:themeColor="text1"/>
              </w:rPr>
              <w:t>. R</w:t>
            </w:r>
            <w:r w:rsidR="00A56EE9" w:rsidRPr="00E70A11">
              <w:rPr>
                <w:color w:val="000000" w:themeColor="text1"/>
              </w:rPr>
              <w:t>eport provides statistics related to imports, exports and throughput handled by Queensland's ports for the five years ending 30 June 2016.</w:t>
            </w:r>
          </w:p>
          <w:p w14:paraId="5761FF47" w14:textId="77777777" w:rsidR="00A56EE9" w:rsidRPr="00E70A11" w:rsidRDefault="00A56EE9" w:rsidP="00A11869">
            <w:pPr>
              <w:pStyle w:val="ListBullet"/>
              <w:numPr>
                <w:ilvl w:val="0"/>
                <w:numId w:val="96"/>
              </w:numPr>
              <w:autoSpaceDE w:val="0"/>
              <w:autoSpaceDN w:val="0"/>
              <w:adjustRightInd w:val="0"/>
              <w:spacing w:line="240" w:lineRule="auto"/>
              <w:jc w:val="both"/>
              <w:rPr>
                <w:color w:val="000000" w:themeColor="text1"/>
              </w:rPr>
            </w:pPr>
            <w:r w:rsidRPr="00E70A11">
              <w:rPr>
                <w:color w:val="000000" w:themeColor="text1"/>
              </w:rPr>
              <w:t>Individual Ports annual reports</w:t>
            </w:r>
          </w:p>
          <w:p w14:paraId="5761FF48" w14:textId="77777777" w:rsidR="00A56EE9" w:rsidRPr="00E70A11" w:rsidRDefault="008B5998" w:rsidP="00A11869">
            <w:pPr>
              <w:pStyle w:val="ListBullet"/>
              <w:numPr>
                <w:ilvl w:val="0"/>
                <w:numId w:val="96"/>
              </w:numPr>
              <w:autoSpaceDE w:val="0"/>
              <w:autoSpaceDN w:val="0"/>
              <w:adjustRightInd w:val="0"/>
              <w:spacing w:line="240" w:lineRule="auto"/>
              <w:jc w:val="both"/>
              <w:rPr>
                <w:rStyle w:val="BookTitle"/>
                <w:rFonts w:cs="AdvGulliv-R"/>
                <w:color w:val="000000" w:themeColor="text1"/>
              </w:rPr>
            </w:pPr>
            <w:hyperlink r:id="rId1383" w:history="1">
              <w:r w:rsidR="00A56EE9" w:rsidRPr="00E70A11">
                <w:rPr>
                  <w:rStyle w:val="Hyperlink"/>
                  <w:color w:val="000000" w:themeColor="text1"/>
                  <w:lang w:val="en"/>
                </w:rPr>
                <w:t xml:space="preserve">Social and Economic Long-Term Monitoring Program - </w:t>
              </w:r>
              <w:r w:rsidR="00A56EE9" w:rsidRPr="00E70A11">
                <w:rPr>
                  <w:rStyle w:val="Hyperlink"/>
                  <w:rFonts w:cs="FrutigerLTStd-Light"/>
                  <w:color w:val="000000" w:themeColor="text1"/>
                </w:rPr>
                <w:t>Ports and Shipping in the Great Barrier Reef</w:t>
              </w:r>
            </w:hyperlink>
            <w:r w:rsidR="00A56EE9" w:rsidRPr="00E70A11">
              <w:rPr>
                <w:color w:val="000000" w:themeColor="text1"/>
                <w:lang w:val="en"/>
              </w:rPr>
              <w:t xml:space="preserve"> (2014).</w:t>
            </w:r>
          </w:p>
        </w:tc>
        <w:tc>
          <w:tcPr>
            <w:tcW w:w="984" w:type="dxa"/>
            <w:tcBorders>
              <w:top w:val="single" w:sz="4" w:space="0" w:color="auto"/>
              <w:left w:val="single" w:sz="4" w:space="0" w:color="auto"/>
              <w:bottom w:val="single" w:sz="4" w:space="0" w:color="auto"/>
              <w:right w:val="single" w:sz="4" w:space="0" w:color="auto"/>
            </w:tcBorders>
          </w:tcPr>
          <w:p w14:paraId="5761FF49"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F4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F60"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4C"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ports</w:t>
            </w:r>
          </w:p>
        </w:tc>
        <w:tc>
          <w:tcPr>
            <w:tcW w:w="790" w:type="dxa"/>
            <w:tcBorders>
              <w:top w:val="single" w:sz="4" w:space="0" w:color="auto"/>
              <w:left w:val="single" w:sz="4" w:space="0" w:color="auto"/>
              <w:bottom w:val="single" w:sz="4" w:space="0" w:color="auto"/>
              <w:right w:val="single" w:sz="4" w:space="0" w:color="auto"/>
            </w:tcBorders>
          </w:tcPr>
          <w:p w14:paraId="5761FF4D"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F4E" w14:textId="77777777" w:rsidR="00A56EE9" w:rsidRPr="00E70A11" w:rsidRDefault="00A56EE9" w:rsidP="00A11869">
            <w:pPr>
              <w:pStyle w:val="ListParagraph"/>
              <w:numPr>
                <w:ilvl w:val="0"/>
                <w:numId w:val="24"/>
              </w:numPr>
              <w:spacing w:after="200" w:line="240" w:lineRule="auto"/>
              <w:rPr>
                <w:rStyle w:val="BookTitle"/>
                <w:rFonts w:ascii="Arial Narrow" w:hAnsi="Arial Narrow"/>
                <w:color w:val="000000" w:themeColor="text1"/>
                <w:sz w:val="18"/>
                <w:szCs w:val="18"/>
              </w:rPr>
            </w:pPr>
            <w:r w:rsidRPr="00E70A11">
              <w:rPr>
                <w:rFonts w:ascii="Arial Narrow" w:hAnsi="Arial Narrow"/>
                <w:sz w:val="18"/>
                <w:szCs w:val="18"/>
              </w:rPr>
              <w:t>Possibly applicable to some Ports – limited information available and usually gathered and assessed on the basis of specific needs. Assume generally adequate for requirements.</w:t>
            </w:r>
          </w:p>
          <w:p w14:paraId="5761FF4F" w14:textId="77777777" w:rsidR="00A56EE9" w:rsidRPr="00E70A11" w:rsidRDefault="00A56EE9" w:rsidP="00A11869">
            <w:pPr>
              <w:pStyle w:val="ListParagraph"/>
              <w:numPr>
                <w:ilvl w:val="0"/>
                <w:numId w:val="24"/>
              </w:numPr>
              <w:spacing w:after="200" w:line="240"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Indigenous representation in GBRMPA’s permission system</w:t>
            </w:r>
            <w:r w:rsidRPr="00E70A11">
              <w:rPr>
                <w:rStyle w:val="BookTitle"/>
                <w:rFonts w:ascii="Arial Narrow" w:hAnsi="Arial Narrow"/>
                <w:color w:val="000000" w:themeColor="text1"/>
                <w:sz w:val="18"/>
                <w:szCs w:val="18"/>
              </w:rPr>
              <w:t xml:space="preserve"> effected via </w:t>
            </w:r>
            <w:r w:rsidRPr="00E70A11">
              <w:rPr>
                <w:rFonts w:ascii="Arial Narrow" w:hAnsi="Arial Narrow"/>
                <w:color w:val="000000" w:themeColor="text1"/>
                <w:sz w:val="18"/>
                <w:szCs w:val="18"/>
              </w:rPr>
              <w:t>LMACs.</w:t>
            </w:r>
          </w:p>
          <w:p w14:paraId="5761FF50" w14:textId="77777777" w:rsidR="00A56EE9" w:rsidRPr="00E70A11" w:rsidRDefault="00A56EE9" w:rsidP="00A11869">
            <w:pPr>
              <w:pStyle w:val="ListParagraph"/>
              <w:numPr>
                <w:ilvl w:val="0"/>
                <w:numId w:val="24"/>
              </w:numPr>
              <w:spacing w:after="200" w:line="240" w:lineRule="auto"/>
              <w:rPr>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Indigenous </w:t>
            </w:r>
            <w:hyperlink r:id="rId1384" w:history="1">
              <w:r w:rsidRPr="00E70A11">
                <w:rPr>
                  <w:rStyle w:val="Hyperlink"/>
                  <w:rFonts w:ascii="Arial Narrow" w:hAnsi="Arial Narrow"/>
                  <w:color w:val="000000" w:themeColor="text1"/>
                  <w:sz w:val="18"/>
                  <w:szCs w:val="18"/>
                  <w:lang w:val="en"/>
                </w:rPr>
                <w:t>Reef Advisory Committees</w:t>
              </w:r>
            </w:hyperlink>
            <w:r w:rsidRPr="00E70A11">
              <w:rPr>
                <w:rFonts w:ascii="Arial Narrow" w:hAnsi="Arial Narrow"/>
                <w:color w:val="000000" w:themeColor="text1"/>
                <w:sz w:val="18"/>
                <w:szCs w:val="18"/>
                <w:lang w:val="en"/>
              </w:rPr>
              <w:t xml:space="preserve"> (IRAC) have been initiated, which can assist in addressing required information needs.</w:t>
            </w:r>
          </w:p>
          <w:p w14:paraId="5761FF51" w14:textId="77777777" w:rsidR="00A56EE9" w:rsidRPr="00E70A11" w:rsidRDefault="00A56EE9" w:rsidP="00A11869">
            <w:pPr>
              <w:pStyle w:val="ListParagraph"/>
              <w:numPr>
                <w:ilvl w:val="0"/>
                <w:numId w:val="24"/>
              </w:numPr>
              <w:spacing w:after="200" w:line="240" w:lineRule="auto"/>
              <w:rPr>
                <w:rStyle w:val="Hyperlink"/>
                <w:rFonts w:ascii="Arial Narrow" w:hAnsi="Arial Narrow"/>
                <w:color w:val="000000" w:themeColor="text1"/>
                <w:sz w:val="18"/>
                <w:szCs w:val="18"/>
              </w:rPr>
            </w:pPr>
            <w:r w:rsidRPr="00E70A11">
              <w:rPr>
                <w:rFonts w:ascii="Arial Narrow" w:hAnsi="Arial Narrow"/>
                <w:color w:val="000000" w:themeColor="text1"/>
                <w:sz w:val="18"/>
                <w:szCs w:val="18"/>
              </w:rPr>
              <w:t xml:space="preserve">Native Title notifications, public comments, Traditional Use of Marine Resources Agreements, </w:t>
            </w:r>
            <w:r w:rsidRPr="00E70A11">
              <w:rPr>
                <w:rStyle w:val="Hyperlink"/>
                <w:rFonts w:ascii="Arial Narrow" w:hAnsi="Arial Narrow"/>
                <w:color w:val="000000" w:themeColor="text1"/>
                <w:sz w:val="18"/>
                <w:szCs w:val="18"/>
              </w:rPr>
              <w:t>Cultural Heritage Management Plans and similar also assist in addressing information needs.</w:t>
            </w:r>
          </w:p>
          <w:p w14:paraId="5761FF52" w14:textId="77777777" w:rsidR="00A56EE9" w:rsidRPr="00E70A11" w:rsidRDefault="00A56EE9" w:rsidP="00A11869">
            <w:pPr>
              <w:pStyle w:val="ListParagraph"/>
              <w:numPr>
                <w:ilvl w:val="0"/>
                <w:numId w:val="24"/>
              </w:numPr>
              <w:spacing w:after="200" w:line="240" w:lineRule="auto"/>
              <w:rPr>
                <w:rStyle w:val="Hyperlink"/>
                <w:rFonts w:ascii="Arial Narrow" w:hAnsi="Arial Narrow"/>
                <w:color w:val="000000" w:themeColor="text1"/>
                <w:sz w:val="18"/>
                <w:szCs w:val="18"/>
              </w:rPr>
            </w:pPr>
            <w:r w:rsidRPr="00E70A11">
              <w:rPr>
                <w:rFonts w:ascii="Arial Narrow" w:hAnsi="Arial Narrow" w:cs="ArialMT"/>
                <w:color w:val="000000" w:themeColor="text1"/>
                <w:sz w:val="18"/>
                <w:szCs w:val="18"/>
              </w:rPr>
              <w:t>Information is available through Indigenous heritage databases, Indigenous Land Use Agreements, and Historic heritage databases.</w:t>
            </w:r>
          </w:p>
          <w:p w14:paraId="5761FF53" w14:textId="77777777" w:rsidR="00A56EE9" w:rsidRPr="00E70A11" w:rsidRDefault="00A56EE9" w:rsidP="00A11869">
            <w:pPr>
              <w:pStyle w:val="ListParagraph"/>
              <w:numPr>
                <w:ilvl w:val="0"/>
                <w:numId w:val="24"/>
              </w:numPr>
              <w:spacing w:after="200" w:line="240"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All ports have formal liaison and/or management arrangements with indigenous groups, including Gladstone Ports Corporation, North Queensland Bulk Ports and Ports North </w:t>
            </w:r>
            <w:hyperlink r:id="rId1385" w:anchor="search=indigenous" w:history="1">
              <w:r w:rsidRPr="00E70A11">
                <w:rPr>
                  <w:rStyle w:val="Hyperlink"/>
                  <w:rFonts w:ascii="Arial Narrow" w:hAnsi="Arial Narrow"/>
                  <w:color w:val="000000" w:themeColor="text1"/>
                  <w:sz w:val="18"/>
                  <w:szCs w:val="18"/>
                </w:rPr>
                <w:t>Reconciliation Action Plan</w:t>
              </w:r>
            </w:hyperlink>
            <w:r w:rsidRPr="00E70A11">
              <w:rPr>
                <w:rStyle w:val="Hyperlink"/>
                <w:rFonts w:ascii="Arial Narrow" w:hAnsi="Arial Narrow"/>
                <w:color w:val="000000" w:themeColor="text1"/>
                <w:sz w:val="18"/>
                <w:szCs w:val="18"/>
              </w:rPr>
              <w:t>s</w:t>
            </w:r>
            <w:r w:rsidRPr="00E70A11">
              <w:rPr>
                <w:rFonts w:ascii="Arial Narrow" w:hAnsi="Arial Narrow"/>
                <w:sz w:val="18"/>
                <w:szCs w:val="18"/>
              </w:rPr>
              <w:t xml:space="preserve"> and </w:t>
            </w:r>
            <w:r w:rsidRPr="00E70A11">
              <w:rPr>
                <w:rFonts w:ascii="Arial Narrow" w:hAnsi="Arial Narrow"/>
                <w:color w:val="000000" w:themeColor="text1"/>
                <w:sz w:val="18"/>
                <w:szCs w:val="18"/>
              </w:rPr>
              <w:t>Indigenous Land Use Agreements (ILUA)</w:t>
            </w:r>
            <w:r w:rsidRPr="00E70A11">
              <w:rPr>
                <w:rStyle w:val="A7"/>
                <w:rFonts w:ascii="Arial Narrow" w:hAnsi="Arial Narrow"/>
                <w:sz w:val="18"/>
                <w:szCs w:val="18"/>
              </w:rPr>
              <w:t>.</w:t>
            </w:r>
          </w:p>
        </w:tc>
        <w:tc>
          <w:tcPr>
            <w:tcW w:w="5066" w:type="dxa"/>
            <w:tcBorders>
              <w:top w:val="single" w:sz="4" w:space="0" w:color="auto"/>
              <w:left w:val="single" w:sz="4" w:space="0" w:color="auto"/>
              <w:bottom w:val="single" w:sz="4" w:space="0" w:color="auto"/>
              <w:right w:val="single" w:sz="4" w:space="0" w:color="auto"/>
            </w:tcBorders>
          </w:tcPr>
          <w:p w14:paraId="5761FF54" w14:textId="77777777" w:rsidR="00A56EE9" w:rsidRPr="00E70A11" w:rsidRDefault="008B5998" w:rsidP="00A11869">
            <w:pPr>
              <w:pStyle w:val="ListParagraph"/>
              <w:numPr>
                <w:ilvl w:val="0"/>
                <w:numId w:val="110"/>
              </w:numPr>
              <w:spacing w:after="0" w:line="240" w:lineRule="auto"/>
              <w:jc w:val="both"/>
              <w:rPr>
                <w:rFonts w:ascii="Arial Narrow" w:hAnsi="Arial Narrow"/>
                <w:color w:val="000000" w:themeColor="text1"/>
                <w:sz w:val="18"/>
                <w:szCs w:val="18"/>
              </w:rPr>
            </w:pPr>
            <w:hyperlink r:id="rId1386" w:history="1">
              <w:r w:rsidR="00A56EE9" w:rsidRPr="00E70A11">
                <w:rPr>
                  <w:rStyle w:val="Hyperlink"/>
                  <w:rFonts w:ascii="Arial Narrow" w:hAnsi="Arial Narrow"/>
                  <w:color w:val="000000" w:themeColor="text1"/>
                  <w:sz w:val="18"/>
                  <w:szCs w:val="18"/>
                </w:rPr>
                <w:t>Traditional owner heritage assessment guidelines</w:t>
              </w:r>
            </w:hyperlink>
          </w:p>
          <w:p w14:paraId="5761FF55" w14:textId="77777777" w:rsidR="00A56EE9" w:rsidRPr="00E70A11" w:rsidRDefault="008B5998" w:rsidP="00A11869">
            <w:pPr>
              <w:pStyle w:val="ListParagraph"/>
              <w:numPr>
                <w:ilvl w:val="0"/>
                <w:numId w:val="110"/>
              </w:numPr>
              <w:spacing w:after="0" w:line="240" w:lineRule="auto"/>
              <w:jc w:val="both"/>
              <w:rPr>
                <w:rFonts w:ascii="Arial Narrow" w:hAnsi="Arial Narrow"/>
                <w:color w:val="000000" w:themeColor="text1"/>
                <w:sz w:val="18"/>
                <w:szCs w:val="18"/>
              </w:rPr>
            </w:pPr>
            <w:hyperlink r:id="rId1387" w:history="1">
              <w:r w:rsidR="00A56EE9" w:rsidRPr="00E70A11">
                <w:rPr>
                  <w:rStyle w:val="Hyperlink"/>
                  <w:rFonts w:ascii="Arial Narrow" w:hAnsi="Arial Narrow" w:cs="Helvetica"/>
                  <w:color w:val="000000" w:themeColor="text1"/>
                  <w:sz w:val="18"/>
                  <w:szCs w:val="18"/>
                </w:rPr>
                <w:t>Woppaburra Traditional Owner heritage assessment (Document No. 100428)</w:t>
              </w:r>
            </w:hyperlink>
          </w:p>
          <w:p w14:paraId="5761FF56" w14:textId="77777777" w:rsidR="00A56EE9" w:rsidRPr="00E70A11" w:rsidRDefault="008B5998" w:rsidP="00A11869">
            <w:pPr>
              <w:pStyle w:val="ListParagraph"/>
              <w:numPr>
                <w:ilvl w:val="0"/>
                <w:numId w:val="110"/>
              </w:numPr>
              <w:spacing w:after="200" w:line="276" w:lineRule="auto"/>
              <w:rPr>
                <w:rStyle w:val="Hyperlink"/>
                <w:rFonts w:ascii="Arial Narrow" w:hAnsi="Arial Narrow"/>
                <w:color w:val="000000" w:themeColor="text1"/>
                <w:sz w:val="18"/>
                <w:szCs w:val="18"/>
              </w:rPr>
            </w:pPr>
            <w:hyperlink r:id="rId1388" w:history="1">
              <w:r w:rsidR="00A56EE9" w:rsidRPr="00E70A11">
                <w:rPr>
                  <w:rStyle w:val="Hyperlink"/>
                  <w:rFonts w:ascii="Arial Narrow" w:hAnsi="Arial Narrow"/>
                  <w:color w:val="000000" w:themeColor="text1"/>
                  <w:sz w:val="18"/>
                  <w:szCs w:val="18"/>
                </w:rPr>
                <w:t>Reef 2050 Integrated Monitoring and Reporting Program</w:t>
              </w:r>
            </w:hyperlink>
          </w:p>
          <w:p w14:paraId="5761FF57" w14:textId="77777777" w:rsidR="00A56EE9" w:rsidRPr="00E70A11" w:rsidRDefault="008B5998" w:rsidP="00A11869">
            <w:pPr>
              <w:pStyle w:val="ListParagraph"/>
              <w:numPr>
                <w:ilvl w:val="0"/>
                <w:numId w:val="110"/>
              </w:numPr>
              <w:spacing w:after="200" w:line="276" w:lineRule="auto"/>
              <w:rPr>
                <w:rFonts w:ascii="Arial Narrow" w:hAnsi="Arial Narrow"/>
                <w:color w:val="000000" w:themeColor="text1"/>
                <w:sz w:val="18"/>
                <w:szCs w:val="18"/>
              </w:rPr>
            </w:pPr>
            <w:hyperlink r:id="rId1389" w:anchor="search=indigenous" w:history="1">
              <w:r w:rsidR="00A56EE9" w:rsidRPr="00E70A11">
                <w:rPr>
                  <w:rStyle w:val="Hyperlink"/>
                  <w:rFonts w:ascii="Arial Narrow" w:hAnsi="Arial Narrow"/>
                  <w:color w:val="000000" w:themeColor="text1"/>
                  <w:sz w:val="18"/>
                  <w:szCs w:val="18"/>
                </w:rPr>
                <w:t>Reconciliation Action Plan 2015-2018</w:t>
              </w:r>
            </w:hyperlink>
          </w:p>
          <w:p w14:paraId="5761FF58" w14:textId="77777777" w:rsidR="00A56EE9" w:rsidRPr="00E70A11" w:rsidRDefault="00A56EE9" w:rsidP="00A11869">
            <w:pPr>
              <w:pStyle w:val="ListParagraph"/>
              <w:numPr>
                <w:ilvl w:val="0"/>
                <w:numId w:val="11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Indigenous Land Use Agreement between Gladstone Ports Corporation and the Port Curtis Coral Coast Native Title Claim Group</w:t>
            </w:r>
          </w:p>
          <w:p w14:paraId="5761FF59" w14:textId="77777777" w:rsidR="00A56EE9" w:rsidRPr="00E70A11" w:rsidRDefault="008B5998" w:rsidP="00A11869">
            <w:pPr>
              <w:pStyle w:val="ListParagraph"/>
              <w:numPr>
                <w:ilvl w:val="0"/>
                <w:numId w:val="110"/>
              </w:numPr>
              <w:spacing w:after="200" w:line="276" w:lineRule="auto"/>
              <w:rPr>
                <w:rFonts w:ascii="Arial Narrow" w:hAnsi="Arial Narrow"/>
                <w:color w:val="000000" w:themeColor="text1"/>
                <w:sz w:val="18"/>
                <w:szCs w:val="18"/>
              </w:rPr>
            </w:pPr>
            <w:hyperlink r:id="rId1390" w:anchor="search=indigenous" w:history="1">
              <w:r w:rsidR="00A56EE9" w:rsidRPr="00E70A11">
                <w:rPr>
                  <w:rStyle w:val="Hyperlink"/>
                  <w:rFonts w:ascii="Arial Narrow" w:hAnsi="Arial Narrow"/>
                  <w:color w:val="000000" w:themeColor="text1"/>
                  <w:sz w:val="18"/>
                  <w:szCs w:val="18"/>
                </w:rPr>
                <w:t>Reconciliation Action Plan 2015-2018</w:t>
              </w:r>
            </w:hyperlink>
          </w:p>
          <w:p w14:paraId="5761FF5A" w14:textId="77777777" w:rsidR="00A56EE9" w:rsidRPr="00E70A11" w:rsidRDefault="008B5998" w:rsidP="00A11869">
            <w:pPr>
              <w:pStyle w:val="ListParagraph"/>
              <w:numPr>
                <w:ilvl w:val="0"/>
                <w:numId w:val="110"/>
              </w:numPr>
              <w:spacing w:after="200" w:line="276" w:lineRule="auto"/>
              <w:rPr>
                <w:rFonts w:ascii="Arial Narrow" w:hAnsi="Arial Narrow"/>
                <w:color w:val="000000" w:themeColor="text1"/>
                <w:sz w:val="18"/>
                <w:szCs w:val="18"/>
              </w:rPr>
            </w:pPr>
            <w:hyperlink r:id="rId1391" w:history="1">
              <w:r w:rsidR="00A56EE9" w:rsidRPr="00E70A11">
                <w:rPr>
                  <w:rStyle w:val="Hyperlink"/>
                  <w:rFonts w:ascii="Arial Narrow" w:hAnsi="Arial Narrow"/>
                  <w:color w:val="000000" w:themeColor="text1"/>
                  <w:sz w:val="18"/>
                  <w:szCs w:val="18"/>
                </w:rPr>
                <w:t>Indigenous Land Use Agreement between Gladstone Ports Corporation and the Port Curtis Coral Coast Native Title Claim Group</w:t>
              </w:r>
            </w:hyperlink>
          </w:p>
          <w:p w14:paraId="5761FF5B" w14:textId="77777777" w:rsidR="00A56EE9" w:rsidRPr="00E70A11" w:rsidRDefault="008B5998" w:rsidP="00A11869">
            <w:pPr>
              <w:pStyle w:val="ListParagraph"/>
              <w:numPr>
                <w:ilvl w:val="0"/>
                <w:numId w:val="110"/>
              </w:numPr>
              <w:spacing w:after="200" w:line="276" w:lineRule="auto"/>
              <w:rPr>
                <w:rStyle w:val="A7"/>
                <w:rFonts w:ascii="Arial Narrow" w:hAnsi="Arial Narrow" w:cs="Times New Roman"/>
                <w:color w:val="000000" w:themeColor="text1"/>
                <w:sz w:val="18"/>
                <w:szCs w:val="18"/>
              </w:rPr>
            </w:pPr>
            <w:hyperlink r:id="rId1392" w:history="1">
              <w:r w:rsidR="00A56EE9" w:rsidRPr="00E70A11">
                <w:rPr>
                  <w:rStyle w:val="Hyperlink"/>
                  <w:rFonts w:ascii="Arial Narrow" w:hAnsi="Arial Narrow" w:cs="Gotham HTF Light"/>
                  <w:color w:val="000000" w:themeColor="text1"/>
                  <w:sz w:val="18"/>
                  <w:szCs w:val="18"/>
                </w:rPr>
                <w:t>Port Curtis Coral Coast Regional TUMRA</w:t>
              </w:r>
            </w:hyperlink>
          </w:p>
          <w:p w14:paraId="5761FF5C" w14:textId="44C2B78B" w:rsidR="00A56EE9" w:rsidRPr="00E70A11" w:rsidRDefault="008B5998" w:rsidP="00A11869">
            <w:pPr>
              <w:pStyle w:val="ListParagraph"/>
              <w:numPr>
                <w:ilvl w:val="0"/>
                <w:numId w:val="110"/>
              </w:numPr>
              <w:spacing w:after="200" w:line="276" w:lineRule="auto"/>
              <w:rPr>
                <w:rFonts w:ascii="Arial Narrow" w:hAnsi="Arial Narrow"/>
                <w:color w:val="000000" w:themeColor="text1"/>
                <w:sz w:val="18"/>
                <w:szCs w:val="18"/>
              </w:rPr>
            </w:pPr>
            <w:hyperlink r:id="rId1393" w:tooltip="document link" w:history="1">
              <w:r w:rsidR="00A56EE9" w:rsidRPr="00E70A11">
                <w:rPr>
                  <w:rStyle w:val="Hyperlink"/>
                  <w:rFonts w:ascii="Arial Narrow" w:hAnsi="Arial Narrow"/>
                  <w:color w:val="000000" w:themeColor="text1"/>
                  <w:sz w:val="18"/>
                  <w:szCs w:val="18"/>
                </w:rPr>
                <w:t>http://www.gidarjil.com.au/news/muendem-gaangu</w:t>
              </w:r>
            </w:hyperlink>
          </w:p>
          <w:p w14:paraId="5761FF5D" w14:textId="77777777" w:rsidR="00A56EE9" w:rsidRPr="00E70A11" w:rsidRDefault="00A56EE9" w:rsidP="00BB6AD5">
            <w:pPr>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F5E"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1FF5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F76"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61"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ports</w:t>
            </w:r>
          </w:p>
        </w:tc>
        <w:tc>
          <w:tcPr>
            <w:tcW w:w="790" w:type="dxa"/>
            <w:tcBorders>
              <w:top w:val="single" w:sz="4" w:space="0" w:color="auto"/>
              <w:left w:val="single" w:sz="4" w:space="0" w:color="auto"/>
              <w:bottom w:val="single" w:sz="4" w:space="0" w:color="auto"/>
              <w:right w:val="single" w:sz="4" w:space="0" w:color="auto"/>
            </w:tcBorders>
          </w:tcPr>
          <w:p w14:paraId="5761FF62"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F63" w14:textId="77777777" w:rsidR="00A56EE9" w:rsidRPr="00E70A11" w:rsidRDefault="00A56EE9" w:rsidP="00A11869">
            <w:pPr>
              <w:numPr>
                <w:ilvl w:val="0"/>
                <w:numId w:val="101"/>
              </w:numPr>
              <w:spacing w:before="100" w:beforeAutospacing="1" w:after="100" w:afterAutospacing="1" w:line="240" w:lineRule="auto"/>
              <w:rPr>
                <w:rFonts w:ascii="Arial Narrow" w:hAnsi="Arial Narrow"/>
                <w:color w:val="000000" w:themeColor="text1"/>
                <w:sz w:val="18"/>
                <w:szCs w:val="18"/>
              </w:rPr>
            </w:pPr>
            <w:r w:rsidRPr="00E70A11">
              <w:rPr>
                <w:rFonts w:ascii="Arial Narrow" w:hAnsi="Arial Narrow"/>
                <w:sz w:val="18"/>
                <w:szCs w:val="18"/>
              </w:rPr>
              <w:t>Some gaps evident e.g. wartime relics, but understand usually gathered and assessed on the basis of specific needs. Assume generally adequate for requirements.</w:t>
            </w:r>
          </w:p>
          <w:p w14:paraId="5761FF64" w14:textId="77777777" w:rsidR="00A56EE9" w:rsidRPr="00E70A11" w:rsidRDefault="00A56EE9" w:rsidP="00A11869">
            <w:pPr>
              <w:pStyle w:val="ListParagraph"/>
              <w:numPr>
                <w:ilvl w:val="0"/>
                <w:numId w:val="101"/>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In 2017, as part of the Permissions Improvement Program, GBRMPA developed Guidelines for historic heritage impact assessment in the permissions system. These guidelines consider three historic heritage values of the Marine Park:</w:t>
            </w:r>
          </w:p>
          <w:p w14:paraId="5761FF65" w14:textId="77777777" w:rsidR="00A56EE9" w:rsidRPr="00E70A11" w:rsidRDefault="00A56EE9" w:rsidP="00A11869">
            <w:pPr>
              <w:pStyle w:val="ListParagraph"/>
              <w:numPr>
                <w:ilvl w:val="0"/>
                <w:numId w:val="102"/>
              </w:numPr>
              <w:spacing w:after="200" w:line="276" w:lineRule="auto"/>
              <w:ind w:left="615" w:hanging="283"/>
              <w:rPr>
                <w:rFonts w:ascii="Arial Narrow" w:hAnsi="Arial Narrow"/>
                <w:color w:val="000000" w:themeColor="text1"/>
                <w:sz w:val="18"/>
                <w:szCs w:val="18"/>
              </w:rPr>
            </w:pPr>
            <w:r w:rsidRPr="00E70A11">
              <w:rPr>
                <w:rFonts w:ascii="Arial Narrow" w:hAnsi="Arial Narrow"/>
                <w:color w:val="000000" w:themeColor="text1"/>
                <w:sz w:val="18"/>
                <w:szCs w:val="18"/>
              </w:rPr>
              <w:t>World War II features and sites</w:t>
            </w:r>
          </w:p>
          <w:p w14:paraId="5761FF66" w14:textId="77777777" w:rsidR="00A56EE9" w:rsidRPr="00E70A11" w:rsidRDefault="00A56EE9" w:rsidP="00A11869">
            <w:pPr>
              <w:pStyle w:val="ListParagraph"/>
              <w:numPr>
                <w:ilvl w:val="0"/>
                <w:numId w:val="102"/>
              </w:numPr>
              <w:spacing w:after="200" w:line="276" w:lineRule="auto"/>
              <w:ind w:left="615" w:hanging="283"/>
              <w:rPr>
                <w:rFonts w:ascii="Arial Narrow" w:hAnsi="Arial Narrow"/>
                <w:color w:val="000000" w:themeColor="text1"/>
                <w:sz w:val="18"/>
                <w:szCs w:val="18"/>
              </w:rPr>
            </w:pPr>
            <w:r w:rsidRPr="00E70A11">
              <w:rPr>
                <w:rFonts w:ascii="Arial Narrow" w:hAnsi="Arial Narrow"/>
                <w:color w:val="000000" w:themeColor="text1"/>
                <w:sz w:val="18"/>
                <w:szCs w:val="18"/>
              </w:rPr>
              <w:t>Historic voyages and shipwrecks</w:t>
            </w:r>
          </w:p>
          <w:p w14:paraId="5761FF67" w14:textId="77777777" w:rsidR="00A56EE9" w:rsidRPr="00E70A11" w:rsidRDefault="00A56EE9" w:rsidP="00A11869">
            <w:pPr>
              <w:pStyle w:val="ListParagraph"/>
              <w:numPr>
                <w:ilvl w:val="0"/>
                <w:numId w:val="102"/>
              </w:numPr>
              <w:spacing w:after="200" w:line="276" w:lineRule="auto"/>
              <w:ind w:left="615" w:hanging="283"/>
              <w:rPr>
                <w:rFonts w:ascii="Arial Narrow" w:hAnsi="Arial Narrow"/>
                <w:color w:val="000000" w:themeColor="text1"/>
                <w:sz w:val="18"/>
                <w:szCs w:val="18"/>
              </w:rPr>
            </w:pPr>
            <w:r w:rsidRPr="00E70A11">
              <w:rPr>
                <w:rFonts w:ascii="Arial Narrow" w:hAnsi="Arial Narrow"/>
                <w:color w:val="000000" w:themeColor="text1"/>
                <w:sz w:val="18"/>
                <w:szCs w:val="18"/>
              </w:rPr>
              <w:t xml:space="preserve">Other places of historic significance. </w:t>
            </w:r>
          </w:p>
          <w:p w14:paraId="5761FF68" w14:textId="77777777" w:rsidR="00A56EE9" w:rsidRPr="00E70A11" w:rsidRDefault="00A56EE9" w:rsidP="00A11869">
            <w:pPr>
              <w:pStyle w:val="ListParagraph"/>
              <w:numPr>
                <w:ilvl w:val="0"/>
                <w:numId w:val="101"/>
              </w:numPr>
              <w:autoSpaceDE w:val="0"/>
              <w:autoSpaceDN w:val="0"/>
              <w:adjustRightInd w:val="0"/>
              <w:spacing w:after="0" w:line="240" w:lineRule="auto"/>
              <w:rPr>
                <w:rFonts w:ascii="Arial Narrow" w:hAnsi="Arial Narrow" w:cs="ArialMT"/>
                <w:color w:val="000000" w:themeColor="text1"/>
                <w:sz w:val="18"/>
                <w:szCs w:val="18"/>
              </w:rPr>
            </w:pPr>
            <w:r w:rsidRPr="00E70A11">
              <w:rPr>
                <w:rFonts w:ascii="Arial Narrow" w:hAnsi="Arial Narrow" w:cs="ArialMT"/>
                <w:color w:val="000000" w:themeColor="text1"/>
                <w:sz w:val="18"/>
                <w:szCs w:val="18"/>
              </w:rPr>
              <w:t>Information is available through:</w:t>
            </w:r>
          </w:p>
          <w:p w14:paraId="5761FF69" w14:textId="77777777" w:rsidR="00A56EE9" w:rsidRPr="00E70A11" w:rsidRDefault="00A56EE9" w:rsidP="00A11869">
            <w:pPr>
              <w:pStyle w:val="ListParagraph"/>
              <w:numPr>
                <w:ilvl w:val="0"/>
                <w:numId w:val="102"/>
              </w:numPr>
              <w:autoSpaceDE w:val="0"/>
              <w:autoSpaceDN w:val="0"/>
              <w:adjustRightInd w:val="0"/>
              <w:spacing w:after="0" w:line="240" w:lineRule="auto"/>
              <w:ind w:left="615" w:hanging="283"/>
              <w:rPr>
                <w:rFonts w:ascii="Arial Narrow" w:hAnsi="Arial Narrow" w:cs="ArialMT"/>
                <w:color w:val="000000" w:themeColor="text1"/>
                <w:sz w:val="18"/>
                <w:szCs w:val="18"/>
              </w:rPr>
            </w:pPr>
            <w:r w:rsidRPr="00E70A11">
              <w:rPr>
                <w:rFonts w:ascii="Arial Narrow" w:hAnsi="Arial Narrow" w:cs="ArialMT"/>
                <w:color w:val="000000" w:themeColor="text1"/>
                <w:sz w:val="18"/>
                <w:szCs w:val="18"/>
              </w:rPr>
              <w:t>Socio-economic databases</w:t>
            </w:r>
          </w:p>
          <w:p w14:paraId="5761FF6A" w14:textId="77777777" w:rsidR="00A56EE9" w:rsidRPr="00E70A11" w:rsidRDefault="00A56EE9" w:rsidP="00A11869">
            <w:pPr>
              <w:pStyle w:val="ListParagraph"/>
              <w:numPr>
                <w:ilvl w:val="0"/>
                <w:numId w:val="102"/>
              </w:numPr>
              <w:autoSpaceDE w:val="0"/>
              <w:autoSpaceDN w:val="0"/>
              <w:adjustRightInd w:val="0"/>
              <w:spacing w:after="0" w:line="240" w:lineRule="auto"/>
              <w:ind w:left="615" w:hanging="283"/>
              <w:rPr>
                <w:rFonts w:ascii="Arial Narrow" w:hAnsi="Arial Narrow" w:cs="ArialMT"/>
                <w:color w:val="000000" w:themeColor="text1"/>
                <w:sz w:val="18"/>
                <w:szCs w:val="18"/>
              </w:rPr>
            </w:pPr>
            <w:r w:rsidRPr="00E70A11">
              <w:rPr>
                <w:rFonts w:ascii="Arial Narrow" w:hAnsi="Arial Narrow" w:cs="ArialMT"/>
                <w:color w:val="000000" w:themeColor="text1"/>
                <w:sz w:val="18"/>
                <w:szCs w:val="18"/>
              </w:rPr>
              <w:t>Cultural Heritage Management Plans</w:t>
            </w:r>
          </w:p>
          <w:p w14:paraId="5761FF6B" w14:textId="77777777" w:rsidR="00A56EE9" w:rsidRPr="00E70A11" w:rsidRDefault="00A56EE9" w:rsidP="00A11869">
            <w:pPr>
              <w:pStyle w:val="ListParagraph"/>
              <w:numPr>
                <w:ilvl w:val="0"/>
                <w:numId w:val="102"/>
              </w:numPr>
              <w:autoSpaceDE w:val="0"/>
              <w:autoSpaceDN w:val="0"/>
              <w:adjustRightInd w:val="0"/>
              <w:spacing w:after="0" w:line="240" w:lineRule="auto"/>
              <w:ind w:left="615" w:hanging="283"/>
              <w:rPr>
                <w:rFonts w:ascii="Arial Narrow" w:hAnsi="Arial Narrow" w:cs="ArialMT"/>
                <w:color w:val="000000" w:themeColor="text1"/>
                <w:sz w:val="18"/>
                <w:szCs w:val="18"/>
              </w:rPr>
            </w:pPr>
            <w:r w:rsidRPr="00E70A11">
              <w:rPr>
                <w:rFonts w:ascii="Arial Narrow" w:hAnsi="Arial Narrow" w:cs="ArialMT"/>
                <w:color w:val="000000" w:themeColor="text1"/>
                <w:sz w:val="18"/>
                <w:szCs w:val="18"/>
              </w:rPr>
              <w:t>Historic heritage databases</w:t>
            </w:r>
          </w:p>
          <w:p w14:paraId="5761FF6C" w14:textId="77777777" w:rsidR="00A56EE9" w:rsidRPr="00E70A11" w:rsidRDefault="00A56EE9" w:rsidP="00A11869">
            <w:pPr>
              <w:pStyle w:val="ListParagraph"/>
              <w:numPr>
                <w:ilvl w:val="0"/>
                <w:numId w:val="102"/>
              </w:numPr>
              <w:autoSpaceDE w:val="0"/>
              <w:autoSpaceDN w:val="0"/>
              <w:adjustRightInd w:val="0"/>
              <w:spacing w:after="0" w:line="240" w:lineRule="auto"/>
              <w:ind w:left="615" w:hanging="283"/>
              <w:rPr>
                <w:rFonts w:ascii="Arial Narrow" w:hAnsi="Arial Narrow" w:cs="ArialMT"/>
                <w:color w:val="000000" w:themeColor="text1"/>
                <w:sz w:val="18"/>
                <w:szCs w:val="18"/>
              </w:rPr>
            </w:pPr>
            <w:r w:rsidRPr="00E70A11">
              <w:rPr>
                <w:rFonts w:ascii="Arial Narrow" w:hAnsi="Arial Narrow" w:cs="ArialMT"/>
                <w:color w:val="000000" w:themeColor="text1"/>
                <w:sz w:val="18"/>
                <w:szCs w:val="18"/>
              </w:rPr>
              <w:t>The Priority Port Master Planning process and associated baseline reports</w:t>
            </w:r>
          </w:p>
          <w:p w14:paraId="5761FF6D" w14:textId="77777777" w:rsidR="00A56EE9" w:rsidRPr="00E70A11" w:rsidRDefault="00A56EE9" w:rsidP="00A11869">
            <w:pPr>
              <w:pStyle w:val="ListParagraph"/>
              <w:numPr>
                <w:ilvl w:val="0"/>
                <w:numId w:val="102"/>
              </w:numPr>
              <w:spacing w:after="0" w:line="240" w:lineRule="auto"/>
              <w:ind w:left="615" w:hanging="283"/>
              <w:jc w:val="both"/>
              <w:rPr>
                <w:rStyle w:val="BookTitle"/>
                <w:rFonts w:ascii="Arial Narrow" w:hAnsi="Arial Narrow"/>
                <w:color w:val="000000" w:themeColor="text1"/>
                <w:sz w:val="18"/>
                <w:szCs w:val="18"/>
              </w:rPr>
            </w:pPr>
            <w:r w:rsidRPr="00E70A11">
              <w:rPr>
                <w:rFonts w:ascii="Arial Narrow" w:hAnsi="Arial Narrow" w:cs="ArialMT"/>
                <w:color w:val="000000" w:themeColor="text1"/>
                <w:sz w:val="18"/>
                <w:szCs w:val="18"/>
              </w:rPr>
              <w:t>Studies to support approval applications including EIS for major projects.</w:t>
            </w:r>
          </w:p>
        </w:tc>
        <w:tc>
          <w:tcPr>
            <w:tcW w:w="5066" w:type="dxa"/>
            <w:tcBorders>
              <w:top w:val="single" w:sz="4" w:space="0" w:color="auto"/>
              <w:left w:val="single" w:sz="4" w:space="0" w:color="auto"/>
              <w:bottom w:val="single" w:sz="4" w:space="0" w:color="auto"/>
              <w:right w:val="single" w:sz="4" w:space="0" w:color="auto"/>
            </w:tcBorders>
          </w:tcPr>
          <w:p w14:paraId="5761FF6E" w14:textId="77777777" w:rsidR="00A56EE9" w:rsidRPr="00E70A11" w:rsidRDefault="008B5998" w:rsidP="00A11869">
            <w:pPr>
              <w:pStyle w:val="ListParagraph"/>
              <w:numPr>
                <w:ilvl w:val="0"/>
                <w:numId w:val="111"/>
              </w:numPr>
              <w:spacing w:after="0" w:line="240" w:lineRule="auto"/>
              <w:jc w:val="both"/>
              <w:rPr>
                <w:rFonts w:ascii="Arial Narrow" w:hAnsi="Arial Narrow"/>
                <w:color w:val="000000" w:themeColor="text1"/>
                <w:sz w:val="18"/>
                <w:szCs w:val="18"/>
              </w:rPr>
            </w:pPr>
            <w:hyperlink r:id="rId1394" w:history="1">
              <w:r w:rsidR="00A56EE9" w:rsidRPr="00E70A11">
                <w:rPr>
                  <w:rStyle w:val="Hyperlink"/>
                  <w:rFonts w:ascii="Arial Narrow" w:hAnsi="Arial Narrow" w:cs="Helvetica"/>
                  <w:color w:val="000000" w:themeColor="text1"/>
                  <w:sz w:val="18"/>
                  <w:szCs w:val="18"/>
                </w:rPr>
                <w:t>Historic heritage assessment: maritime cultural heritage protection special management area (Document No. 100436)</w:t>
              </w:r>
            </w:hyperlink>
            <w:r w:rsidR="00A56EE9" w:rsidRPr="00E70A11">
              <w:rPr>
                <w:rStyle w:val="Hyperlink"/>
                <w:rFonts w:ascii="Arial Narrow" w:hAnsi="Arial Narrow" w:cs="Helvetica"/>
                <w:color w:val="000000" w:themeColor="text1"/>
                <w:sz w:val="18"/>
                <w:szCs w:val="18"/>
              </w:rPr>
              <w:t>.</w:t>
            </w:r>
          </w:p>
          <w:p w14:paraId="5761FF6F" w14:textId="77777777" w:rsidR="00A56EE9" w:rsidRPr="00E70A11" w:rsidRDefault="008B5998" w:rsidP="00A11869">
            <w:pPr>
              <w:pStyle w:val="ListParagraph"/>
              <w:numPr>
                <w:ilvl w:val="0"/>
                <w:numId w:val="111"/>
              </w:numPr>
              <w:spacing w:after="0" w:line="240" w:lineRule="auto"/>
              <w:jc w:val="both"/>
              <w:rPr>
                <w:rFonts w:ascii="Arial Narrow" w:hAnsi="Arial Narrow"/>
                <w:color w:val="000000" w:themeColor="text1"/>
                <w:sz w:val="18"/>
                <w:szCs w:val="18"/>
              </w:rPr>
            </w:pPr>
            <w:hyperlink r:id="rId1395" w:history="1">
              <w:r w:rsidR="00A56EE9" w:rsidRPr="00E70A11">
                <w:rPr>
                  <w:rStyle w:val="Hyperlink"/>
                  <w:rFonts w:ascii="Arial Narrow" w:hAnsi="Arial Narrow" w:cs="Helvetica"/>
                  <w:color w:val="000000" w:themeColor="text1"/>
                  <w:sz w:val="18"/>
                  <w:szCs w:val="18"/>
                </w:rPr>
                <w:t>Historic heritage assessment: other places of historic and social significance (Document No. 100437)</w:t>
              </w:r>
            </w:hyperlink>
            <w:r w:rsidR="00A56EE9" w:rsidRPr="00E70A11">
              <w:rPr>
                <w:rStyle w:val="Hyperlink"/>
                <w:rFonts w:ascii="Arial Narrow" w:hAnsi="Arial Narrow" w:cs="Helvetica"/>
                <w:color w:val="000000" w:themeColor="text1"/>
                <w:sz w:val="18"/>
                <w:szCs w:val="18"/>
              </w:rPr>
              <w:t>.</w:t>
            </w:r>
          </w:p>
          <w:p w14:paraId="5761FF70" w14:textId="77777777" w:rsidR="00A56EE9" w:rsidRPr="00E70A11" w:rsidRDefault="008B5998" w:rsidP="00A11869">
            <w:pPr>
              <w:pStyle w:val="ListParagraph"/>
              <w:numPr>
                <w:ilvl w:val="0"/>
                <w:numId w:val="111"/>
              </w:numPr>
              <w:spacing w:after="0" w:line="240" w:lineRule="auto"/>
              <w:jc w:val="both"/>
              <w:rPr>
                <w:rStyle w:val="Hyperlink"/>
                <w:rFonts w:ascii="Arial Narrow" w:hAnsi="Arial Narrow"/>
                <w:color w:val="000000" w:themeColor="text1"/>
                <w:sz w:val="18"/>
                <w:szCs w:val="18"/>
              </w:rPr>
            </w:pPr>
            <w:hyperlink r:id="rId1396" w:history="1">
              <w:r w:rsidR="00A56EE9" w:rsidRPr="00E70A11">
                <w:rPr>
                  <w:rStyle w:val="Hyperlink"/>
                  <w:rFonts w:ascii="Arial Narrow" w:hAnsi="Arial Narrow" w:cs="Helvetica"/>
                  <w:color w:val="000000" w:themeColor="text1"/>
                  <w:sz w:val="18"/>
                  <w:szCs w:val="18"/>
                </w:rPr>
                <w:t>Historic heritage assessment: WWII features and sites, and voyages and shipwrecks (Document No. 100435)</w:t>
              </w:r>
            </w:hyperlink>
            <w:r w:rsidR="00A56EE9" w:rsidRPr="00E70A11">
              <w:rPr>
                <w:rStyle w:val="Hyperlink"/>
                <w:rFonts w:ascii="Arial Narrow" w:hAnsi="Arial Narrow" w:cs="Helvetica"/>
                <w:color w:val="000000" w:themeColor="text1"/>
                <w:sz w:val="18"/>
                <w:szCs w:val="18"/>
              </w:rPr>
              <w:t>.</w:t>
            </w:r>
          </w:p>
          <w:p w14:paraId="5761FF71" w14:textId="77777777" w:rsidR="00A56EE9" w:rsidRPr="00E70A11" w:rsidRDefault="00A56EE9" w:rsidP="00A11869">
            <w:pPr>
              <w:pStyle w:val="ListParagraph"/>
              <w:numPr>
                <w:ilvl w:val="0"/>
                <w:numId w:val="111"/>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Port Corporations have recognised and recorded maritime heritage items and values given the longevity of some of the ports e.g. Ports North - cruise ship terminal (heritage protection).</w:t>
            </w:r>
          </w:p>
          <w:p w14:paraId="5761FF72" w14:textId="77777777" w:rsidR="00A56EE9" w:rsidRPr="00E70A11" w:rsidRDefault="00A56EE9" w:rsidP="00BB6AD5">
            <w:pPr>
              <w:pStyle w:val="ListParagraph"/>
              <w:spacing w:after="0" w:line="240" w:lineRule="auto"/>
              <w:jc w:val="both"/>
              <w:rPr>
                <w:rFonts w:ascii="Arial Narrow" w:hAnsi="Arial Narrow"/>
                <w:color w:val="000000" w:themeColor="text1"/>
                <w:sz w:val="18"/>
                <w:szCs w:val="18"/>
              </w:rPr>
            </w:pPr>
          </w:p>
          <w:p w14:paraId="5761FF73" w14:textId="77777777" w:rsidR="00A56EE9" w:rsidRPr="00E70A11" w:rsidRDefault="00A56EE9" w:rsidP="00BB6AD5">
            <w:pPr>
              <w:jc w:val="both"/>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F74"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F7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F7E"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shd w:val="clear" w:color="auto" w:fill="auto"/>
          </w:tcPr>
          <w:p w14:paraId="5761FF77"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ports</w:t>
            </w:r>
          </w:p>
        </w:tc>
        <w:tc>
          <w:tcPr>
            <w:tcW w:w="790" w:type="dxa"/>
            <w:tcBorders>
              <w:top w:val="single" w:sz="4" w:space="0" w:color="auto"/>
              <w:left w:val="single" w:sz="4" w:space="0" w:color="auto"/>
              <w:bottom w:val="single" w:sz="4" w:space="0" w:color="auto"/>
              <w:right w:val="single" w:sz="4" w:space="0" w:color="auto"/>
            </w:tcBorders>
          </w:tcPr>
          <w:p w14:paraId="5761FF78"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F79"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Port operations involve industrial activity, internationally-mandated security requirements and regimes for strict legal liabilities where safety and security issues limit latitude for extensive involvement of volunteers.</w:t>
            </w:r>
          </w:p>
          <w:p w14:paraId="5761FF7A"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eastAsia="SymbolMT" w:hAnsi="Arial Narrow" w:cs="ArialMT"/>
                <w:color w:val="000000" w:themeColor="text1"/>
                <w:sz w:val="18"/>
                <w:szCs w:val="18"/>
              </w:rPr>
              <w:t>Ports often work closely with community groups involved in activities that may have linkages to port activities such as Seagrass Watch, Mangrove Watch, Turtle Watch, Clean up Australia, and similar.</w:t>
            </w:r>
          </w:p>
        </w:tc>
        <w:tc>
          <w:tcPr>
            <w:tcW w:w="5066" w:type="dxa"/>
            <w:tcBorders>
              <w:top w:val="single" w:sz="4" w:space="0" w:color="auto"/>
              <w:left w:val="single" w:sz="4" w:space="0" w:color="auto"/>
              <w:bottom w:val="single" w:sz="4" w:space="0" w:color="auto"/>
              <w:right w:val="single" w:sz="4" w:space="0" w:color="auto"/>
            </w:tcBorders>
          </w:tcPr>
          <w:p w14:paraId="76F9A432" w14:textId="1B35F71B" w:rsidR="00A56EE9" w:rsidRDefault="00ED0F5A" w:rsidP="00ED0F5A">
            <w:pPr>
              <w:pStyle w:val="ListParagraph"/>
              <w:numPr>
                <w:ilvl w:val="0"/>
                <w:numId w:val="24"/>
              </w:numPr>
              <w:spacing w:after="200" w:line="276" w:lineRule="auto"/>
              <w:rPr>
                <w:rStyle w:val="BookTitle"/>
                <w:rFonts w:ascii="Arial Narrow" w:hAnsi="Arial Narrow"/>
                <w:color w:val="000000" w:themeColor="text1"/>
                <w:sz w:val="18"/>
                <w:szCs w:val="18"/>
              </w:rPr>
            </w:pPr>
            <w:r>
              <w:rPr>
                <w:rStyle w:val="BookTitle"/>
                <w:rFonts w:ascii="Arial Narrow" w:hAnsi="Arial Narrow"/>
                <w:color w:val="000000" w:themeColor="text1"/>
                <w:sz w:val="18"/>
                <w:szCs w:val="18"/>
              </w:rPr>
              <w:t xml:space="preserve">Seagrass watch  </w:t>
            </w:r>
            <w:hyperlink r:id="rId1397" w:history="1">
              <w:r w:rsidRPr="00DF21D6">
                <w:rPr>
                  <w:rStyle w:val="Hyperlink"/>
                  <w:rFonts w:ascii="Arial Narrow" w:hAnsi="Arial Narrow" w:cs="Arial"/>
                  <w:sz w:val="18"/>
                  <w:szCs w:val="18"/>
                </w:rPr>
                <w:t>http://www.seagrasswatch.org/about.html</w:t>
              </w:r>
            </w:hyperlink>
          </w:p>
          <w:p w14:paraId="76DFAFEE" w14:textId="1418BBC4" w:rsidR="00ED0F5A" w:rsidRDefault="00ED0F5A" w:rsidP="00ED0F5A">
            <w:pPr>
              <w:pStyle w:val="ListParagraph"/>
              <w:numPr>
                <w:ilvl w:val="0"/>
                <w:numId w:val="24"/>
              </w:numPr>
              <w:spacing w:after="200" w:line="276" w:lineRule="auto"/>
              <w:rPr>
                <w:rStyle w:val="BookTitle"/>
                <w:rFonts w:ascii="Arial Narrow" w:hAnsi="Arial Narrow"/>
                <w:color w:val="000000" w:themeColor="text1"/>
                <w:sz w:val="18"/>
                <w:szCs w:val="18"/>
              </w:rPr>
            </w:pPr>
            <w:r>
              <w:rPr>
                <w:rStyle w:val="BookTitle"/>
                <w:rFonts w:ascii="Arial Narrow" w:hAnsi="Arial Narrow"/>
                <w:color w:val="000000" w:themeColor="text1"/>
                <w:sz w:val="18"/>
                <w:szCs w:val="18"/>
              </w:rPr>
              <w:t xml:space="preserve">Mangrove watch </w:t>
            </w:r>
            <w:hyperlink r:id="rId1398" w:history="1">
              <w:r w:rsidRPr="00DF21D6">
                <w:rPr>
                  <w:rStyle w:val="Hyperlink"/>
                  <w:rFonts w:ascii="Arial Narrow" w:hAnsi="Arial Narrow" w:cs="Arial"/>
                  <w:sz w:val="18"/>
                  <w:szCs w:val="18"/>
                </w:rPr>
                <w:t>http://greatbarrierreefcitizenscience.org.au/organisations/mangrovewatch</w:t>
              </w:r>
            </w:hyperlink>
          </w:p>
          <w:p w14:paraId="5761FF7B" w14:textId="6AA9F65B" w:rsidR="00ED0F5A" w:rsidRPr="00E70A11" w:rsidRDefault="00ED0F5A" w:rsidP="00ED0F5A">
            <w:pPr>
              <w:pStyle w:val="ListParagraph"/>
              <w:numPr>
                <w:ilvl w:val="0"/>
                <w:numId w:val="24"/>
              </w:numPr>
              <w:spacing w:after="200" w:line="276" w:lineRule="auto"/>
              <w:rPr>
                <w:rStyle w:val="BookTitle"/>
                <w:rFonts w:ascii="Arial Narrow" w:hAnsi="Arial Narrow"/>
                <w:color w:val="000000" w:themeColor="text1"/>
                <w:sz w:val="18"/>
                <w:szCs w:val="18"/>
              </w:rPr>
            </w:pPr>
            <w:r>
              <w:rPr>
                <w:rStyle w:val="BookTitle"/>
                <w:rFonts w:ascii="Arial Narrow" w:hAnsi="Arial Narrow"/>
                <w:color w:val="000000" w:themeColor="text1"/>
                <w:sz w:val="18"/>
                <w:szCs w:val="18"/>
              </w:rPr>
              <w:t xml:space="preserve">Clean up Australia </w:t>
            </w:r>
            <w:r w:rsidRPr="00ED0F5A">
              <w:rPr>
                <w:rStyle w:val="BookTitle"/>
                <w:rFonts w:ascii="Arial Narrow" w:hAnsi="Arial Narrow"/>
                <w:color w:val="000000" w:themeColor="text1"/>
                <w:sz w:val="18"/>
                <w:szCs w:val="18"/>
              </w:rPr>
              <w:t>https://www.cleanup.org.au/</w:t>
            </w:r>
          </w:p>
        </w:tc>
        <w:tc>
          <w:tcPr>
            <w:tcW w:w="984" w:type="dxa"/>
            <w:tcBorders>
              <w:top w:val="single" w:sz="4" w:space="0" w:color="auto"/>
              <w:left w:val="single" w:sz="4" w:space="0" w:color="auto"/>
              <w:bottom w:val="single" w:sz="4" w:space="0" w:color="auto"/>
              <w:right w:val="single" w:sz="4" w:space="0" w:color="auto"/>
            </w:tcBorders>
          </w:tcPr>
          <w:p w14:paraId="5761FF7C"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1FF7D"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1FF85"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F7F" w14:textId="77777777" w:rsidR="00A56EE9" w:rsidRPr="00E70A11" w:rsidRDefault="00A56EE9" w:rsidP="00BB6AD5">
            <w:pPr>
              <w:pStyle w:val="Tablebulletlist"/>
              <w:rPr>
                <w:rStyle w:val="BookTitle"/>
              </w:rPr>
            </w:pPr>
            <w:r w:rsidRPr="00E70A11">
              <w:rPr>
                <w:rStyle w:val="BookTitle"/>
              </w:rPr>
              <w:t>PROCESSES</w:t>
            </w:r>
          </w:p>
        </w:tc>
        <w:tc>
          <w:tcPr>
            <w:tcW w:w="7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F80" w14:textId="77777777" w:rsidR="00A56EE9" w:rsidRPr="00E70A11" w:rsidRDefault="00A56EE9" w:rsidP="00BB6AD5">
            <w:pPr>
              <w:pStyle w:val="Tablebulletlist"/>
              <w:rPr>
                <w:rStyle w:val="BookTitle"/>
              </w:rPr>
            </w:pPr>
          </w:p>
        </w:tc>
        <w:tc>
          <w:tcPr>
            <w:tcW w:w="417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F81"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6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F82"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F83" w14:textId="77777777" w:rsidR="00A56EE9" w:rsidRPr="00E70A11" w:rsidRDefault="00A56EE9" w:rsidP="00BB6AD5">
            <w:pPr>
              <w:pStyle w:val="Tablebulletlist"/>
              <w:rPr>
                <w:rStyle w:val="BookTitle"/>
              </w:rPr>
            </w:pPr>
          </w:p>
        </w:tc>
        <w:tc>
          <w:tcPr>
            <w:tcW w:w="91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1FF84" w14:textId="77777777" w:rsidR="00A56EE9" w:rsidRPr="00E70A11" w:rsidRDefault="00A56EE9" w:rsidP="00BB6AD5">
            <w:pPr>
              <w:pStyle w:val="Tablebulletlist"/>
              <w:rPr>
                <w:rStyle w:val="BookTitle"/>
              </w:rPr>
            </w:pPr>
          </w:p>
        </w:tc>
      </w:tr>
      <w:tr w:rsidR="00A56EE9" w:rsidRPr="00E70A11" w14:paraId="5761FF99"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86"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ports</w:t>
            </w:r>
          </w:p>
        </w:tc>
        <w:tc>
          <w:tcPr>
            <w:tcW w:w="790" w:type="dxa"/>
            <w:tcBorders>
              <w:top w:val="single" w:sz="4" w:space="0" w:color="auto"/>
              <w:left w:val="single" w:sz="4" w:space="0" w:color="auto"/>
              <w:bottom w:val="single" w:sz="4" w:space="0" w:color="auto"/>
              <w:right w:val="single" w:sz="4" w:space="0" w:color="auto"/>
            </w:tcBorders>
          </w:tcPr>
          <w:p w14:paraId="5761FF87"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F88" w14:textId="77777777" w:rsidR="00A56EE9" w:rsidRPr="00E70A11" w:rsidRDefault="00A56EE9" w:rsidP="00A11869">
            <w:pPr>
              <w:pStyle w:val="ListBullet"/>
              <w:numPr>
                <w:ilvl w:val="0"/>
                <w:numId w:val="93"/>
              </w:numPr>
              <w:autoSpaceDE w:val="0"/>
              <w:autoSpaceDN w:val="0"/>
              <w:adjustRightInd w:val="0"/>
              <w:spacing w:line="240" w:lineRule="auto"/>
            </w:pPr>
            <w:r w:rsidRPr="00E70A11">
              <w:t xml:space="preserve">Key stakeholders directly involved in the development and operation of ports are considered to be effectively engaged by industry and other regulators but not directly by GBRMPA. </w:t>
            </w:r>
          </w:p>
          <w:p w14:paraId="5761FF89" w14:textId="77777777" w:rsidR="00A56EE9" w:rsidRPr="00E70A11" w:rsidRDefault="00A56EE9" w:rsidP="00A11869">
            <w:pPr>
              <w:pStyle w:val="ListBullet"/>
              <w:numPr>
                <w:ilvl w:val="0"/>
                <w:numId w:val="93"/>
              </w:numPr>
              <w:autoSpaceDE w:val="0"/>
              <w:autoSpaceDN w:val="0"/>
              <w:adjustRightInd w:val="0"/>
              <w:spacing w:line="240" w:lineRule="auto"/>
              <w:rPr>
                <w:lang w:val="en"/>
              </w:rPr>
            </w:pPr>
            <w:r w:rsidRPr="00E70A11">
              <w:t xml:space="preserve">Technical Advisory Consultative Committees (TACCs) </w:t>
            </w:r>
            <w:r w:rsidRPr="00E70A11">
              <w:rPr>
                <w:lang w:val="en"/>
              </w:rPr>
              <w:t xml:space="preserve">established by ports under the </w:t>
            </w:r>
            <w:r w:rsidRPr="00E70A11">
              <w:rPr>
                <w:color w:val="000000" w:themeColor="text1"/>
                <w:lang w:val="en"/>
              </w:rPr>
              <w:t>National Assessment Guidelines for Dredging</w:t>
            </w:r>
            <w:r w:rsidRPr="00E70A11">
              <w:rPr>
                <w:lang w:val="en"/>
              </w:rPr>
              <w:t>.</w:t>
            </w:r>
          </w:p>
          <w:p w14:paraId="5761FF8A"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All ports have active community engagement programs.</w:t>
            </w:r>
          </w:p>
          <w:p w14:paraId="5761FF8B"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Stakeholders are routinely engaged by ports as part of development and operational approvals applications. Port projects with potential for significant impacts are required by regulators to undertake public consultation as part of EISs.</w:t>
            </w:r>
          </w:p>
          <w:p w14:paraId="5761FF8C" w14:textId="77777777" w:rsidR="00A56EE9" w:rsidRPr="00E70A11" w:rsidRDefault="00A56EE9" w:rsidP="00A11869">
            <w:pPr>
              <w:pStyle w:val="ListParagraph"/>
              <w:numPr>
                <w:ilvl w:val="0"/>
                <w:numId w:val="24"/>
              </w:numPr>
              <w:spacing w:after="0" w:line="240" w:lineRule="auto"/>
              <w:ind w:left="357" w:hanging="357"/>
              <w:rPr>
                <w:rStyle w:val="BookTitle"/>
                <w:rFonts w:ascii="Arial Narrow" w:hAnsi="Arial Narrow"/>
                <w:color w:val="000000" w:themeColor="text1"/>
                <w:sz w:val="18"/>
                <w:szCs w:val="18"/>
                <w:lang w:eastAsia="en-AU"/>
              </w:rPr>
            </w:pPr>
            <w:r w:rsidRPr="00E70A11">
              <w:rPr>
                <w:rFonts w:ascii="Arial Narrow" w:hAnsi="Arial Narrow"/>
                <w:color w:val="000000" w:themeColor="text1"/>
                <w:sz w:val="18"/>
                <w:szCs w:val="18"/>
              </w:rPr>
              <w:t>Master Planning for Priority Ports currently underway involves comprehensive and meaningful engagement with stakeholders.</w:t>
            </w:r>
          </w:p>
        </w:tc>
        <w:tc>
          <w:tcPr>
            <w:tcW w:w="5066" w:type="dxa"/>
            <w:tcBorders>
              <w:top w:val="single" w:sz="4" w:space="0" w:color="auto"/>
              <w:left w:val="single" w:sz="4" w:space="0" w:color="auto"/>
              <w:bottom w:val="single" w:sz="4" w:space="0" w:color="auto"/>
              <w:right w:val="single" w:sz="4" w:space="0" w:color="auto"/>
            </w:tcBorders>
          </w:tcPr>
          <w:p w14:paraId="5761FF8D"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399" w:history="1">
              <w:r w:rsidR="00A56EE9" w:rsidRPr="00E70A11">
                <w:rPr>
                  <w:rStyle w:val="Hyperlink"/>
                  <w:color w:val="000000" w:themeColor="text1"/>
                  <w:lang w:val="en"/>
                </w:rPr>
                <w:t>Reef Advisory Committees</w:t>
              </w:r>
            </w:hyperlink>
          </w:p>
          <w:p w14:paraId="5761FF8E" w14:textId="1E246A8C"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Gladstone Healthy Harbour Partnership </w:t>
            </w:r>
            <w:hyperlink r:id="rId1400" w:tooltip="document link" w:history="1">
              <w:r w:rsidRPr="00E70A11">
                <w:rPr>
                  <w:rStyle w:val="Hyperlink"/>
                  <w:color w:val="000000" w:themeColor="text1"/>
                </w:rPr>
                <w:t>http://www.ehp.qld.gov.au/gladstone/healthy-harbour/</w:t>
              </w:r>
            </w:hyperlink>
            <w:r w:rsidRPr="00E70A11">
              <w:rPr>
                <w:color w:val="000000" w:themeColor="text1"/>
              </w:rPr>
              <w:t xml:space="preserve"> </w:t>
            </w:r>
          </w:p>
          <w:p w14:paraId="5761FF8F"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Ports Forum meetings with Regulators</w:t>
            </w:r>
          </w:p>
          <w:p w14:paraId="5761FF90"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DoEE </w:t>
            </w:r>
            <w:hyperlink r:id="rId1401" w:history="1">
              <w:r w:rsidRPr="00E70A11">
                <w:rPr>
                  <w:rStyle w:val="Hyperlink"/>
                  <w:color w:val="000000" w:themeColor="text1"/>
                </w:rPr>
                <w:t>Reef 2050 Plan</w:t>
              </w:r>
            </w:hyperlink>
            <w:r w:rsidRPr="00E70A11">
              <w:rPr>
                <w:color w:val="000000" w:themeColor="text1"/>
              </w:rPr>
              <w:t xml:space="preserve"> webpage and documents</w:t>
            </w:r>
          </w:p>
          <w:p w14:paraId="5761FF91"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02" w:history="1">
              <w:r w:rsidR="00A56EE9" w:rsidRPr="00E70A11">
                <w:rPr>
                  <w:rStyle w:val="Hyperlink"/>
                  <w:color w:val="000000" w:themeColor="text1"/>
                </w:rPr>
                <w:t>North-East Shipping Management Plan</w:t>
              </w:r>
            </w:hyperlink>
          </w:p>
          <w:p w14:paraId="5761FF92"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Technical Advisory Consultative Committees</w:t>
            </w:r>
          </w:p>
          <w:p w14:paraId="5761FF93"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Community Reference Groups (CRGs), </w:t>
            </w:r>
          </w:p>
          <w:p w14:paraId="5761FF94"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Community Liaison Groups (CLGs), </w:t>
            </w:r>
          </w:p>
          <w:p w14:paraId="5761FF95"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Management Reference Groups (MRGs)</w:t>
            </w:r>
          </w:p>
          <w:p w14:paraId="5761FF96" w14:textId="77777777" w:rsidR="00A56EE9" w:rsidRPr="00E70A11" w:rsidRDefault="00A56EE9" w:rsidP="00BB6AD5">
            <w:pPr>
              <w:jc w:val="both"/>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F97"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F9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FAD"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9A"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ports</w:t>
            </w:r>
          </w:p>
        </w:tc>
        <w:tc>
          <w:tcPr>
            <w:tcW w:w="790" w:type="dxa"/>
            <w:tcBorders>
              <w:top w:val="single" w:sz="4" w:space="0" w:color="auto"/>
              <w:left w:val="single" w:sz="4" w:space="0" w:color="auto"/>
              <w:bottom w:val="single" w:sz="4" w:space="0" w:color="auto"/>
              <w:right w:val="single" w:sz="4" w:space="0" w:color="auto"/>
            </w:tcBorders>
          </w:tcPr>
          <w:p w14:paraId="5761FF9B"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F9C"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Ports have active community engagement programs, focused through several stakeholder groups including – Community Reference Groups (CRGs), Community Liaison Groups (CLGs), Management Reference Groups (MRGs) etc.</w:t>
            </w:r>
          </w:p>
          <w:p w14:paraId="5761FF9D"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Ports participate in regional Partnerships (e.g. Gladstone, Mackay-Whitsunday, Townsville and Cairns) that contain a range of stakeholders and community members to discuss port management issues</w:t>
            </w:r>
          </w:p>
          <w:p w14:paraId="5761FF9E"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Stakeholders are routinely engaged by ports as part of development and operational approvals applications. Port projects with potential for significant impacts are required by regulators to undertake public consultation as part of EISs.</w:t>
            </w:r>
          </w:p>
          <w:p w14:paraId="5761FF9F" w14:textId="493B0A28" w:rsidR="00A56EE9" w:rsidRPr="00E70A11" w:rsidRDefault="00A56EE9" w:rsidP="00A11869">
            <w:pPr>
              <w:pStyle w:val="ListBullet"/>
              <w:numPr>
                <w:ilvl w:val="0"/>
                <w:numId w:val="93"/>
              </w:numPr>
              <w:autoSpaceDE w:val="0"/>
              <w:autoSpaceDN w:val="0"/>
              <w:adjustRightInd w:val="0"/>
              <w:spacing w:line="240" w:lineRule="auto"/>
            </w:pPr>
            <w:r w:rsidRPr="00E70A11">
              <w:t>It is understood that ports are active in community engagement. Within this context, community involvement in the management of Port issues is, however, likely to be most valuable at the strategic level with regards to the location and siting of port infrastructure rather than the general day to day issues with Port management.</w:t>
            </w:r>
          </w:p>
          <w:p w14:paraId="5761FFA0" w14:textId="77777777" w:rsidR="00A56EE9" w:rsidRPr="00E70A11" w:rsidRDefault="00A56EE9" w:rsidP="00A11869">
            <w:pPr>
              <w:pStyle w:val="ListBullet"/>
              <w:numPr>
                <w:ilvl w:val="0"/>
                <w:numId w:val="93"/>
              </w:numPr>
              <w:autoSpaceDE w:val="0"/>
              <w:autoSpaceDN w:val="0"/>
              <w:adjustRightInd w:val="0"/>
              <w:spacing w:line="240" w:lineRule="auto"/>
            </w:pPr>
            <w:r w:rsidRPr="00E70A11">
              <w:t>Wider community understanding of ports in relation to the maintenance of GBR values suggests latitude for improvement in the collation, assimilation and distribution of information relating to the sustainable operations of GBR ports.</w:t>
            </w:r>
          </w:p>
          <w:p w14:paraId="5761FFA1" w14:textId="77777777" w:rsidR="00A56EE9" w:rsidRPr="00E70A11" w:rsidRDefault="00A56EE9" w:rsidP="00A11869">
            <w:pPr>
              <w:pStyle w:val="ListBullet"/>
              <w:numPr>
                <w:ilvl w:val="0"/>
                <w:numId w:val="93"/>
              </w:numPr>
              <w:autoSpaceDE w:val="0"/>
              <w:autoSpaceDN w:val="0"/>
              <w:adjustRightInd w:val="0"/>
              <w:spacing w:line="240" w:lineRule="auto"/>
              <w:rPr>
                <w:rStyle w:val="BookTitle"/>
                <w:color w:val="000000" w:themeColor="text1"/>
              </w:rPr>
            </w:pPr>
            <w:r w:rsidRPr="00E70A11">
              <w:rPr>
                <w:color w:val="000000" w:themeColor="text1"/>
              </w:rPr>
              <w:t>Lankester et al (2015) identifies different perceptions of risk portrayed by local, regional, interstate and national print media in relation to the GBR dredge spoil issue from January 2013 until February 2014.</w:t>
            </w:r>
          </w:p>
        </w:tc>
        <w:tc>
          <w:tcPr>
            <w:tcW w:w="5066" w:type="dxa"/>
            <w:tcBorders>
              <w:top w:val="single" w:sz="4" w:space="0" w:color="auto"/>
              <w:left w:val="single" w:sz="4" w:space="0" w:color="auto"/>
              <w:bottom w:val="single" w:sz="4" w:space="0" w:color="auto"/>
              <w:right w:val="single" w:sz="4" w:space="0" w:color="auto"/>
            </w:tcBorders>
          </w:tcPr>
          <w:p w14:paraId="5761FFA2" w14:textId="77777777" w:rsidR="00A56EE9" w:rsidRPr="00E70A11" w:rsidRDefault="00A56EE9" w:rsidP="00A11869">
            <w:pPr>
              <w:pStyle w:val="ListParagraph"/>
              <w:numPr>
                <w:ilvl w:val="0"/>
                <w:numId w:val="112"/>
              </w:numPr>
              <w:spacing w:after="0" w:line="240" w:lineRule="auto"/>
              <w:jc w:val="both"/>
              <w:rPr>
                <w:rStyle w:val="Hyperlink"/>
                <w:rFonts w:ascii="Arial Narrow" w:hAnsi="Arial Narrow"/>
                <w:color w:val="000000" w:themeColor="text1"/>
                <w:sz w:val="18"/>
                <w:szCs w:val="18"/>
              </w:rPr>
            </w:pPr>
            <w:r w:rsidRPr="00E70A11">
              <w:rPr>
                <w:rFonts w:ascii="Arial Narrow" w:hAnsi="Arial Narrow"/>
                <w:color w:val="000000" w:themeColor="text1"/>
                <w:sz w:val="18"/>
                <w:szCs w:val="18"/>
                <w:lang w:val="en"/>
              </w:rPr>
              <w:fldChar w:fldCharType="begin"/>
            </w:r>
            <w:r w:rsidRPr="00E70A11">
              <w:rPr>
                <w:rFonts w:ascii="Arial Narrow" w:hAnsi="Arial Narrow"/>
                <w:color w:val="000000" w:themeColor="text1"/>
                <w:sz w:val="18"/>
                <w:szCs w:val="18"/>
                <w:lang w:val="en"/>
              </w:rPr>
              <w:instrText xml:space="preserve"> HYPERLINK "http://www.gbrmpa.gov.au/about-us/local-marine-advisory-committees" </w:instrText>
            </w:r>
            <w:r w:rsidRPr="00E70A11">
              <w:rPr>
                <w:rFonts w:ascii="Arial Narrow" w:hAnsi="Arial Narrow"/>
                <w:color w:val="000000" w:themeColor="text1"/>
                <w:sz w:val="18"/>
                <w:szCs w:val="18"/>
                <w:lang w:val="en"/>
              </w:rPr>
              <w:fldChar w:fldCharType="separate"/>
            </w:r>
            <w:r w:rsidRPr="00E70A11">
              <w:rPr>
                <w:rStyle w:val="Hyperlink"/>
                <w:rFonts w:ascii="Arial Narrow" w:hAnsi="Arial Narrow"/>
                <w:color w:val="000000" w:themeColor="text1"/>
                <w:sz w:val="18"/>
                <w:szCs w:val="18"/>
                <w:lang w:val="en"/>
              </w:rPr>
              <w:t xml:space="preserve">Local Marine Advisory Committees </w:t>
            </w:r>
          </w:p>
          <w:p w14:paraId="5761FFA3" w14:textId="77777777" w:rsidR="00A56EE9" w:rsidRPr="00E70A11" w:rsidRDefault="00A56EE9" w:rsidP="00A11869">
            <w:pPr>
              <w:pStyle w:val="ListParagraph"/>
              <w:numPr>
                <w:ilvl w:val="0"/>
                <w:numId w:val="112"/>
              </w:numPr>
              <w:spacing w:after="0" w:line="240" w:lineRule="auto"/>
              <w:jc w:val="both"/>
              <w:rPr>
                <w:rFonts w:ascii="Arial Narrow" w:hAnsi="Arial Narrow"/>
                <w:color w:val="000000" w:themeColor="text1"/>
                <w:sz w:val="18"/>
                <w:szCs w:val="18"/>
                <w:lang w:val="en"/>
              </w:rPr>
            </w:pPr>
            <w:r w:rsidRPr="00E70A11">
              <w:rPr>
                <w:rFonts w:ascii="Arial Narrow" w:hAnsi="Arial Narrow"/>
                <w:color w:val="000000" w:themeColor="text1"/>
                <w:sz w:val="18"/>
                <w:szCs w:val="18"/>
                <w:lang w:val="en"/>
              </w:rPr>
              <w:fldChar w:fldCharType="end"/>
            </w:r>
            <w:hyperlink r:id="rId1403" w:history="1">
              <w:r w:rsidRPr="00E70A11">
                <w:rPr>
                  <w:rStyle w:val="Hyperlink"/>
                  <w:rFonts w:ascii="Arial Narrow" w:hAnsi="Arial Narrow"/>
                  <w:color w:val="000000" w:themeColor="text1"/>
                  <w:sz w:val="18"/>
                  <w:szCs w:val="18"/>
                  <w:lang w:val="en"/>
                </w:rPr>
                <w:t>LMAC Terms of Reference</w:t>
              </w:r>
            </w:hyperlink>
            <w:r w:rsidRPr="00E70A11">
              <w:rPr>
                <w:rFonts w:ascii="Arial Narrow" w:hAnsi="Arial Narrow"/>
                <w:color w:val="000000" w:themeColor="text1"/>
                <w:sz w:val="18"/>
                <w:szCs w:val="18"/>
                <w:lang w:val="en"/>
              </w:rPr>
              <w:t xml:space="preserve"> </w:t>
            </w:r>
          </w:p>
          <w:p w14:paraId="5761FFA4" w14:textId="77777777" w:rsidR="00A56EE9" w:rsidRPr="00E70A11" w:rsidRDefault="00A56EE9" w:rsidP="00A11869">
            <w:pPr>
              <w:pStyle w:val="ListBullet"/>
              <w:numPr>
                <w:ilvl w:val="0"/>
                <w:numId w:val="112"/>
              </w:numPr>
              <w:autoSpaceDE w:val="0"/>
              <w:autoSpaceDN w:val="0"/>
              <w:adjustRightInd w:val="0"/>
              <w:spacing w:line="240" w:lineRule="auto"/>
              <w:rPr>
                <w:color w:val="000000" w:themeColor="text1"/>
              </w:rPr>
            </w:pPr>
            <w:r w:rsidRPr="00E70A11">
              <w:rPr>
                <w:color w:val="000000" w:themeColor="text1"/>
              </w:rPr>
              <w:t>Technical Advisory Consultative Committees</w:t>
            </w:r>
          </w:p>
          <w:p w14:paraId="5761FFA5" w14:textId="77777777" w:rsidR="00A56EE9" w:rsidRPr="00E70A11" w:rsidRDefault="00A56EE9" w:rsidP="00A11869">
            <w:pPr>
              <w:pStyle w:val="ListBullet"/>
              <w:numPr>
                <w:ilvl w:val="0"/>
                <w:numId w:val="112"/>
              </w:numPr>
              <w:autoSpaceDE w:val="0"/>
              <w:autoSpaceDN w:val="0"/>
              <w:adjustRightInd w:val="0"/>
              <w:spacing w:line="240" w:lineRule="auto"/>
              <w:rPr>
                <w:color w:val="000000" w:themeColor="text1"/>
              </w:rPr>
            </w:pPr>
            <w:r w:rsidRPr="00E70A11">
              <w:rPr>
                <w:color w:val="000000" w:themeColor="text1"/>
              </w:rPr>
              <w:t xml:space="preserve">Community Reference Groups (CRGs), </w:t>
            </w:r>
          </w:p>
          <w:p w14:paraId="5761FFA6" w14:textId="77777777" w:rsidR="00A56EE9" w:rsidRPr="00E70A11" w:rsidRDefault="00A56EE9" w:rsidP="00A11869">
            <w:pPr>
              <w:pStyle w:val="ListBullet"/>
              <w:numPr>
                <w:ilvl w:val="0"/>
                <w:numId w:val="112"/>
              </w:numPr>
              <w:autoSpaceDE w:val="0"/>
              <w:autoSpaceDN w:val="0"/>
              <w:adjustRightInd w:val="0"/>
              <w:spacing w:line="240" w:lineRule="auto"/>
              <w:rPr>
                <w:color w:val="000000" w:themeColor="text1"/>
              </w:rPr>
            </w:pPr>
            <w:r w:rsidRPr="00E70A11">
              <w:rPr>
                <w:color w:val="000000" w:themeColor="text1"/>
              </w:rPr>
              <w:t xml:space="preserve">Community Liaison Groups (CLGs), </w:t>
            </w:r>
          </w:p>
          <w:p w14:paraId="5761FFA7" w14:textId="77777777" w:rsidR="00A56EE9" w:rsidRPr="00E70A11" w:rsidRDefault="00A56EE9" w:rsidP="00A11869">
            <w:pPr>
              <w:pStyle w:val="ListBullet"/>
              <w:numPr>
                <w:ilvl w:val="0"/>
                <w:numId w:val="112"/>
              </w:numPr>
              <w:autoSpaceDE w:val="0"/>
              <w:autoSpaceDN w:val="0"/>
              <w:adjustRightInd w:val="0"/>
              <w:spacing w:line="240" w:lineRule="auto"/>
              <w:rPr>
                <w:color w:val="000000" w:themeColor="text1"/>
              </w:rPr>
            </w:pPr>
            <w:r w:rsidRPr="00E70A11">
              <w:rPr>
                <w:color w:val="000000" w:themeColor="text1"/>
              </w:rPr>
              <w:t>Management Reference Groups (MRGs)</w:t>
            </w:r>
          </w:p>
          <w:p w14:paraId="5761FFA8" w14:textId="77777777" w:rsidR="00A56EE9" w:rsidRPr="00E70A11" w:rsidRDefault="00A56EE9" w:rsidP="00A11869">
            <w:pPr>
              <w:pStyle w:val="ListParagraph"/>
              <w:numPr>
                <w:ilvl w:val="0"/>
                <w:numId w:val="112"/>
              </w:numPr>
              <w:spacing w:after="0" w:line="240" w:lineRule="auto"/>
              <w:jc w:val="both"/>
              <w:rPr>
                <w:rFonts w:ascii="Arial Narrow" w:hAnsi="Arial Narrow"/>
                <w:color w:val="000000" w:themeColor="text1"/>
                <w:sz w:val="18"/>
                <w:szCs w:val="18"/>
                <w:lang w:val="en"/>
              </w:rPr>
            </w:pPr>
            <w:r w:rsidRPr="00E70A11">
              <w:rPr>
                <w:rFonts w:ascii="Arial Narrow" w:hAnsi="Arial Narrow"/>
                <w:color w:val="000000" w:themeColor="text1"/>
                <w:sz w:val="18"/>
                <w:szCs w:val="18"/>
                <w:lang w:val="en"/>
              </w:rPr>
              <w:t>Reef 2050 Reef Advisory Committee</w:t>
            </w:r>
          </w:p>
          <w:p w14:paraId="5761FFA9" w14:textId="77777777" w:rsidR="00A56EE9" w:rsidRPr="00E70A11" w:rsidRDefault="00A56EE9" w:rsidP="00A11869">
            <w:pPr>
              <w:pStyle w:val="ListParagraph"/>
              <w:numPr>
                <w:ilvl w:val="0"/>
                <w:numId w:val="112"/>
              </w:numPr>
              <w:spacing w:after="0" w:line="240" w:lineRule="auto"/>
              <w:jc w:val="both"/>
              <w:rPr>
                <w:rFonts w:ascii="Arial Narrow" w:hAnsi="Arial Narrow"/>
                <w:color w:val="000000" w:themeColor="text1"/>
                <w:sz w:val="18"/>
                <w:szCs w:val="18"/>
                <w:lang w:val="en"/>
              </w:rPr>
            </w:pPr>
            <w:r w:rsidRPr="00E70A11">
              <w:rPr>
                <w:rFonts w:ascii="Arial Narrow" w:hAnsi="Arial Narrow"/>
                <w:color w:val="000000" w:themeColor="text1"/>
                <w:sz w:val="18"/>
                <w:szCs w:val="18"/>
              </w:rPr>
              <w:t>Lankester, AJ, Bohensky, E, &amp; Newlands, M 2015, 'Media representations of risk: The reporting of dredge spoil disposal in the Great Barrier Reef Marine Park at Abbot Point', Marine Policy, vol. 60, p. 149</w:t>
            </w:r>
          </w:p>
          <w:p w14:paraId="5761FFAA" w14:textId="77777777" w:rsidR="00A56EE9" w:rsidRPr="00E70A11" w:rsidRDefault="00A56EE9" w:rsidP="00BB6AD5">
            <w:pPr>
              <w:pStyle w:val="ListParagraph"/>
              <w:spacing w:after="0" w:line="240" w:lineRule="auto"/>
              <w:ind w:left="360"/>
              <w:jc w:val="both"/>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FAB"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1FFA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FC1"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AE"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There is a sound governance system in place to address ports</w:t>
            </w:r>
          </w:p>
        </w:tc>
        <w:tc>
          <w:tcPr>
            <w:tcW w:w="790" w:type="dxa"/>
            <w:tcBorders>
              <w:top w:val="single" w:sz="4" w:space="0" w:color="auto"/>
              <w:left w:val="single" w:sz="4" w:space="0" w:color="auto"/>
              <w:bottom w:val="single" w:sz="4" w:space="0" w:color="auto"/>
              <w:right w:val="single" w:sz="4" w:space="0" w:color="auto"/>
            </w:tcBorders>
          </w:tcPr>
          <w:p w14:paraId="5761FFAF"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1FFB0" w14:textId="77777777" w:rsidR="00A56EE9" w:rsidRPr="00E70A11" w:rsidRDefault="00A56EE9" w:rsidP="00A11869">
            <w:pPr>
              <w:pStyle w:val="ListBullet"/>
              <w:numPr>
                <w:ilvl w:val="0"/>
                <w:numId w:val="93"/>
              </w:numPr>
              <w:autoSpaceDE w:val="0"/>
              <w:autoSpaceDN w:val="0"/>
              <w:adjustRightInd w:val="0"/>
              <w:spacing w:line="240" w:lineRule="auto"/>
              <w:rPr>
                <w:b/>
              </w:rPr>
            </w:pPr>
            <w:r w:rsidRPr="00E70A11">
              <w:t>The governance system for GBR ports in relation to achieving desired outcomes in relation to the Marine Park and World Heritage Area has improved substantially since 2013.</w:t>
            </w:r>
          </w:p>
          <w:p w14:paraId="5761FFB1" w14:textId="77777777" w:rsidR="00A56EE9" w:rsidRPr="00E70A11" w:rsidRDefault="00A56EE9" w:rsidP="00A11869">
            <w:pPr>
              <w:pStyle w:val="ListBullet"/>
              <w:numPr>
                <w:ilvl w:val="0"/>
                <w:numId w:val="112"/>
              </w:numPr>
              <w:autoSpaceDE w:val="0"/>
              <w:autoSpaceDN w:val="0"/>
              <w:adjustRightInd w:val="0"/>
              <w:spacing w:line="240" w:lineRule="auto"/>
              <w:rPr>
                <w:color w:val="000000" w:themeColor="text1"/>
              </w:rPr>
            </w:pPr>
            <w:r w:rsidRPr="00E70A11">
              <w:rPr>
                <w:color w:val="000000" w:themeColor="text1"/>
              </w:rPr>
              <w:t>Ports are subject to a range of governance systems, both voluntary and mandatory, including:</w:t>
            </w:r>
          </w:p>
          <w:p w14:paraId="5761FFB2" w14:textId="77777777" w:rsidR="00A56EE9" w:rsidRPr="00E70A11" w:rsidRDefault="00A56EE9" w:rsidP="00A11869">
            <w:pPr>
              <w:pStyle w:val="ListBullet"/>
              <w:numPr>
                <w:ilvl w:val="0"/>
                <w:numId w:val="121"/>
              </w:numPr>
              <w:autoSpaceDE w:val="0"/>
              <w:autoSpaceDN w:val="0"/>
              <w:adjustRightInd w:val="0"/>
              <w:spacing w:line="240" w:lineRule="auto"/>
              <w:rPr>
                <w:color w:val="000000" w:themeColor="text1"/>
              </w:rPr>
            </w:pPr>
            <w:r w:rsidRPr="00E70A11">
              <w:rPr>
                <w:color w:val="000000" w:themeColor="text1"/>
              </w:rPr>
              <w:t>Commonwealth and state legislation.</w:t>
            </w:r>
          </w:p>
          <w:p w14:paraId="5761FFB3" w14:textId="77777777" w:rsidR="00A56EE9" w:rsidRPr="00E70A11" w:rsidRDefault="00A56EE9" w:rsidP="00A11869">
            <w:pPr>
              <w:pStyle w:val="ListBullet"/>
              <w:numPr>
                <w:ilvl w:val="0"/>
                <w:numId w:val="121"/>
              </w:numPr>
              <w:autoSpaceDE w:val="0"/>
              <w:autoSpaceDN w:val="0"/>
              <w:adjustRightInd w:val="0"/>
              <w:spacing w:line="240" w:lineRule="auto"/>
              <w:rPr>
                <w:color w:val="000000" w:themeColor="text1"/>
              </w:rPr>
            </w:pPr>
            <w:r w:rsidRPr="00E70A11">
              <w:rPr>
                <w:color w:val="000000" w:themeColor="text1"/>
              </w:rPr>
              <w:t>Environmental Management Systems (especially ISO 14001) which are in place at all ports and provide processes to identity and manage environmental risk</w:t>
            </w:r>
          </w:p>
          <w:p w14:paraId="5761FFB4" w14:textId="77777777" w:rsidR="00A56EE9" w:rsidRPr="00E70A11" w:rsidRDefault="00A56EE9" w:rsidP="00A11869">
            <w:pPr>
              <w:pStyle w:val="ListBullet"/>
              <w:numPr>
                <w:ilvl w:val="0"/>
                <w:numId w:val="121"/>
              </w:numPr>
              <w:autoSpaceDE w:val="0"/>
              <w:autoSpaceDN w:val="0"/>
              <w:adjustRightInd w:val="0"/>
              <w:spacing w:line="240" w:lineRule="auto"/>
              <w:rPr>
                <w:color w:val="000000" w:themeColor="text1"/>
              </w:rPr>
            </w:pPr>
            <w:r w:rsidRPr="00E70A11">
              <w:rPr>
                <w:color w:val="000000" w:themeColor="text1"/>
              </w:rPr>
              <w:t>Quality Assurance processes (e.g. ISO 9001) with third party accreditation at all GBR ports</w:t>
            </w:r>
          </w:p>
          <w:p w14:paraId="5761FFB5" w14:textId="77777777" w:rsidR="00A56EE9" w:rsidRPr="00E70A11" w:rsidRDefault="00A56EE9" w:rsidP="00A11869">
            <w:pPr>
              <w:pStyle w:val="ListBullet"/>
              <w:numPr>
                <w:ilvl w:val="0"/>
                <w:numId w:val="121"/>
              </w:numPr>
              <w:autoSpaceDE w:val="0"/>
              <w:autoSpaceDN w:val="0"/>
              <w:adjustRightInd w:val="0"/>
              <w:spacing w:line="240" w:lineRule="auto"/>
              <w:rPr>
                <w:color w:val="000000" w:themeColor="text1"/>
              </w:rPr>
            </w:pPr>
            <w:r w:rsidRPr="00E70A11">
              <w:rPr>
                <w:color w:val="000000" w:themeColor="text1"/>
              </w:rPr>
              <w:t>All major GBR ports are Government Owned Corporations with associated detailed and compulsory State Government reporting processes</w:t>
            </w:r>
          </w:p>
          <w:p w14:paraId="5761FFB6" w14:textId="77777777" w:rsidR="00A56EE9" w:rsidRPr="00E70A11" w:rsidRDefault="00A56EE9" w:rsidP="00A11869">
            <w:pPr>
              <w:pStyle w:val="ListBullet"/>
              <w:numPr>
                <w:ilvl w:val="0"/>
                <w:numId w:val="121"/>
              </w:numPr>
              <w:autoSpaceDE w:val="0"/>
              <w:autoSpaceDN w:val="0"/>
              <w:adjustRightInd w:val="0"/>
              <w:spacing w:line="240" w:lineRule="auto"/>
              <w:rPr>
                <w:rStyle w:val="BookTitle"/>
                <w:rFonts w:cs="AdvGulliv-R"/>
                <w:color w:val="000000" w:themeColor="text1"/>
              </w:rPr>
            </w:pPr>
            <w:r w:rsidRPr="00E70A11">
              <w:rPr>
                <w:color w:val="000000" w:themeColor="text1"/>
              </w:rPr>
              <w:t>The GBRMPA permissions system and zoning plan which define what activities can occur where.</w:t>
            </w:r>
          </w:p>
        </w:tc>
        <w:tc>
          <w:tcPr>
            <w:tcW w:w="5066" w:type="dxa"/>
            <w:tcBorders>
              <w:top w:val="single" w:sz="4" w:space="0" w:color="auto"/>
              <w:left w:val="single" w:sz="4" w:space="0" w:color="auto"/>
              <w:bottom w:val="single" w:sz="4" w:space="0" w:color="auto"/>
              <w:right w:val="single" w:sz="4" w:space="0" w:color="auto"/>
            </w:tcBorders>
          </w:tcPr>
          <w:p w14:paraId="5761FFB7" w14:textId="242FA28A" w:rsidR="00A56EE9" w:rsidRPr="00E70A11" w:rsidRDefault="00A56EE9" w:rsidP="00A11869">
            <w:pPr>
              <w:pStyle w:val="ListBullet"/>
              <w:numPr>
                <w:ilvl w:val="0"/>
                <w:numId w:val="93"/>
              </w:numPr>
              <w:autoSpaceDE w:val="0"/>
              <w:autoSpaceDN w:val="0"/>
              <w:adjustRightInd w:val="0"/>
              <w:spacing w:line="240" w:lineRule="auto"/>
              <w:rPr>
                <w:rStyle w:val="Hyperlink"/>
                <w:color w:val="000000" w:themeColor="text1"/>
              </w:rPr>
            </w:pPr>
            <w:r w:rsidRPr="00E70A11">
              <w:rPr>
                <w:color w:val="000000" w:themeColor="text1"/>
              </w:rPr>
              <w:t xml:space="preserve">Grech, A., et al. </w:t>
            </w:r>
            <w:proofErr w:type="gramStart"/>
            <w:r w:rsidRPr="00E70A11">
              <w:rPr>
                <w:color w:val="000000" w:themeColor="text1"/>
              </w:rPr>
              <w:t>Guiding</w:t>
            </w:r>
            <w:proofErr w:type="gramEnd"/>
            <w:r w:rsidRPr="00E70A11">
              <w:rPr>
                <w:color w:val="000000" w:themeColor="text1"/>
              </w:rPr>
              <w:t xml:space="preserve"> principles for the improved governance of port and shipping impacts in the Great Barrier Reef. Mar. Pollut. Bull. (2013), </w:t>
            </w:r>
            <w:hyperlink r:id="rId1404" w:tooltip="document link" w:history="1">
              <w:r w:rsidRPr="00E70A11">
                <w:rPr>
                  <w:rStyle w:val="Hyperlink"/>
                  <w:color w:val="000000" w:themeColor="text1"/>
                </w:rPr>
                <w:t>http://dx.doi.org/10.1016/j.marpolbul.2013.07.013</w:t>
              </w:r>
            </w:hyperlink>
          </w:p>
          <w:p w14:paraId="5761FFB8"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05" w:history="1">
              <w:r w:rsidR="00A56EE9" w:rsidRPr="00E70A11">
                <w:rPr>
                  <w:rStyle w:val="Hyperlink"/>
                  <w:color w:val="000000" w:themeColor="text1"/>
                </w:rPr>
                <w:t>Sustainable Ports Development Act 2015 (Qld)</w:t>
              </w:r>
            </w:hyperlink>
          </w:p>
          <w:p w14:paraId="5761FFB9"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lang w:val="en"/>
              </w:rPr>
            </w:pPr>
            <w:hyperlink r:id="rId1406" w:history="1">
              <w:r w:rsidR="00A56EE9" w:rsidRPr="00E70A11">
                <w:rPr>
                  <w:rStyle w:val="Hyperlink"/>
                  <w:color w:val="000000" w:themeColor="text1"/>
                  <w:lang w:val="en"/>
                </w:rPr>
                <w:t>Environmental Code of Practice for Dredging and Dredge Material Management</w:t>
              </w:r>
            </w:hyperlink>
            <w:r w:rsidR="00A56EE9" w:rsidRPr="00E70A11">
              <w:rPr>
                <w:rStyle w:val="Hyperlink"/>
                <w:color w:val="000000" w:themeColor="text1"/>
                <w:lang w:val="en"/>
              </w:rPr>
              <w:t xml:space="preserve"> – Aug 16</w:t>
            </w:r>
          </w:p>
          <w:p w14:paraId="5761FFBA"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lang w:val="en"/>
              </w:rPr>
            </w:pPr>
            <w:r w:rsidRPr="00E70A11">
              <w:rPr>
                <w:color w:val="000000" w:themeColor="text1"/>
              </w:rPr>
              <w:t>Ports Forum meetings</w:t>
            </w:r>
          </w:p>
          <w:p w14:paraId="5761FFBB"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Existing </w:t>
            </w:r>
            <w:hyperlink r:id="rId1407" w:history="1">
              <w:r w:rsidRPr="00E70A11">
                <w:rPr>
                  <w:rStyle w:val="Hyperlink"/>
                  <w:color w:val="000000" w:themeColor="text1"/>
                </w:rPr>
                <w:t>MoU with Ports Association</w:t>
              </w:r>
            </w:hyperlink>
            <w:r w:rsidRPr="00E70A11">
              <w:rPr>
                <w:color w:val="000000" w:themeColor="text1"/>
              </w:rPr>
              <w:t xml:space="preserve"> currently being updated</w:t>
            </w:r>
          </w:p>
          <w:p w14:paraId="5761FFBC"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08" w:history="1">
              <w:r w:rsidR="00A56EE9" w:rsidRPr="00E70A11">
                <w:rPr>
                  <w:rStyle w:val="Hyperlink"/>
                  <w:color w:val="000000" w:themeColor="text1"/>
                </w:rPr>
                <w:t>Reef Trust Offsets Calculator</w:t>
              </w:r>
            </w:hyperlink>
            <w:r w:rsidR="00A56EE9" w:rsidRPr="00E70A11">
              <w:rPr>
                <w:color w:val="000000" w:themeColor="text1"/>
              </w:rPr>
              <w:t xml:space="preserve"> developed (public launch 2/11/17)</w:t>
            </w:r>
          </w:p>
          <w:p w14:paraId="5761FFBD" w14:textId="738E31A5"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rStyle w:val="BookTitle"/>
                <w:color w:val="000000" w:themeColor="text1"/>
              </w:rPr>
              <w:t>Queensland Assessment Bilateral Agreement –</w:t>
            </w:r>
            <w:r>
              <w:rPr>
                <w:rStyle w:val="BookTitle"/>
                <w:color w:val="000000" w:themeColor="text1"/>
              </w:rPr>
              <w:t xml:space="preserve"> </w:t>
            </w:r>
            <w:hyperlink r:id="rId1409" w:tooltip="document link" w:history="1">
              <w:r w:rsidRPr="00E70A11">
                <w:rPr>
                  <w:rStyle w:val="Hyperlink"/>
                  <w:color w:val="000000" w:themeColor="text1"/>
                </w:rPr>
                <w:t>http://www.environment.gov.au/protection/environment-assessments/bilateral-agreements/qld</w:t>
              </w:r>
            </w:hyperlink>
          </w:p>
          <w:p w14:paraId="5761FFBE"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FBF"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FC0"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FCE"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C2"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ports</w:t>
            </w:r>
          </w:p>
        </w:tc>
        <w:tc>
          <w:tcPr>
            <w:tcW w:w="790" w:type="dxa"/>
            <w:tcBorders>
              <w:top w:val="single" w:sz="4" w:space="0" w:color="auto"/>
              <w:left w:val="single" w:sz="4" w:space="0" w:color="auto"/>
              <w:bottom w:val="single" w:sz="4" w:space="0" w:color="auto"/>
              <w:right w:val="single" w:sz="4" w:space="0" w:color="auto"/>
            </w:tcBorders>
            <w:shd w:val="clear" w:color="auto" w:fill="auto"/>
          </w:tcPr>
          <w:p w14:paraId="5761FFC3"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FC4" w14:textId="77777777" w:rsidR="00A56EE9" w:rsidRPr="00E70A11" w:rsidRDefault="00A56EE9" w:rsidP="00A11869">
            <w:pPr>
              <w:pStyle w:val="ListBullet"/>
              <w:numPr>
                <w:ilvl w:val="0"/>
                <w:numId w:val="93"/>
              </w:numPr>
              <w:autoSpaceDE w:val="0"/>
              <w:autoSpaceDN w:val="0"/>
              <w:adjustRightInd w:val="0"/>
              <w:spacing w:line="240" w:lineRule="auto"/>
              <w:rPr>
                <w:rFonts w:cs="Arial"/>
              </w:rPr>
            </w:pPr>
            <w:r w:rsidRPr="00E70A11">
              <w:rPr>
                <w:rFonts w:cs="Arial"/>
              </w:rPr>
              <w:t>All ports have long term ambient environmental monitoring programs dating back several decades. These monitoring programs examine environmental values including seagrass, coral, benthic sediment and water quality. These monitoring programs are not a ‘statutory’ requirement and are in place irrespective of whether there is development occurring. These long-term programs are used by ports to determine condition and trend of port environmental values.</w:t>
            </w:r>
          </w:p>
          <w:p w14:paraId="5761FFC5" w14:textId="77777777" w:rsidR="00A56EE9" w:rsidRPr="00E70A11" w:rsidRDefault="00A56EE9" w:rsidP="00A11869">
            <w:pPr>
              <w:pStyle w:val="ListBullet"/>
              <w:numPr>
                <w:ilvl w:val="0"/>
                <w:numId w:val="93"/>
              </w:numPr>
              <w:autoSpaceDE w:val="0"/>
              <w:autoSpaceDN w:val="0"/>
              <w:adjustRightInd w:val="0"/>
              <w:spacing w:line="240" w:lineRule="auto"/>
              <w:rPr>
                <w:rFonts w:cs="Arial"/>
              </w:rPr>
            </w:pPr>
            <w:r w:rsidRPr="00E70A11">
              <w:rPr>
                <w:rFonts w:cs="Arial"/>
              </w:rPr>
              <w:t>Such monitoring has been hampered in the past by the apparent absence of comprehensive assessment frameworks and performance targets for ports in relation to protection of the vales of the Marine Park and the World Heritage Area, although this situation should be rectified to some extent by RIMReP and the nascent port master planning processes.</w:t>
            </w:r>
          </w:p>
          <w:p w14:paraId="5761FFC6"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color w:val="000000" w:themeColor="text1"/>
              </w:rPr>
            </w:pPr>
            <w:r w:rsidRPr="00E70A11">
              <w:rPr>
                <w:rFonts w:eastAsia="SymbolMT"/>
                <w:color w:val="000000" w:themeColor="text1"/>
              </w:rPr>
              <w:t>As part of the assessment of port stewardship for regional report cards (e.g. Gladstone Healthy Harbours Partnership. Mackay-Whitsundays Healthy Rivers to Reef) ports have been determined to be managed effectively.</w:t>
            </w:r>
          </w:p>
          <w:p w14:paraId="5761FFC7" w14:textId="77777777" w:rsidR="00A56EE9" w:rsidRPr="00E70A11" w:rsidRDefault="00A56EE9" w:rsidP="00A11869">
            <w:pPr>
              <w:pStyle w:val="ListBullet"/>
              <w:numPr>
                <w:ilvl w:val="0"/>
                <w:numId w:val="93"/>
              </w:numPr>
              <w:autoSpaceDE w:val="0"/>
              <w:autoSpaceDN w:val="0"/>
              <w:adjustRightInd w:val="0"/>
              <w:spacing w:line="240" w:lineRule="auto"/>
              <w:rPr>
                <w:rStyle w:val="BookTitle"/>
                <w:rFonts w:eastAsia="SymbolMT" w:cs="AdvGulliv-R"/>
                <w:color w:val="000000" w:themeColor="text1"/>
              </w:rPr>
            </w:pPr>
            <w:r w:rsidRPr="00E70A11">
              <w:rPr>
                <w:rFonts w:eastAsia="SymbolMT"/>
                <w:color w:val="000000" w:themeColor="text1"/>
              </w:rPr>
              <w:t>RIMReP is intended to provide an integrated approach to monitoring in the GBRWHA that will allow the assessment of management tools and progress towards objectives.</w:t>
            </w:r>
          </w:p>
        </w:tc>
        <w:tc>
          <w:tcPr>
            <w:tcW w:w="5066" w:type="dxa"/>
            <w:tcBorders>
              <w:top w:val="single" w:sz="4" w:space="0" w:color="auto"/>
              <w:left w:val="single" w:sz="4" w:space="0" w:color="auto"/>
              <w:bottom w:val="single" w:sz="4" w:space="0" w:color="auto"/>
              <w:right w:val="single" w:sz="4" w:space="0" w:color="auto"/>
            </w:tcBorders>
          </w:tcPr>
          <w:p w14:paraId="5761FFC8"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10" w:history="1">
              <w:r w:rsidR="00A56EE9" w:rsidRPr="00E70A11">
                <w:rPr>
                  <w:rStyle w:val="Hyperlink"/>
                  <w:color w:val="000000" w:themeColor="text1"/>
                </w:rPr>
                <w:t>Queensland Ports Seagrass Monitoring</w:t>
              </w:r>
            </w:hyperlink>
          </w:p>
          <w:p w14:paraId="5761FFC9"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411" w:history="1">
              <w:r w:rsidR="00A56EE9" w:rsidRPr="00E70A11">
                <w:rPr>
                  <w:rStyle w:val="Hyperlink"/>
                  <w:color w:val="000000" w:themeColor="text1"/>
                </w:rPr>
                <w:t>Reef 2050 Integrated Monitoring and Reporting Program</w:t>
              </w:r>
            </w:hyperlink>
          </w:p>
          <w:p w14:paraId="5761FFCA"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412" w:history="1">
              <w:r w:rsidR="00A56EE9" w:rsidRPr="00E70A11">
                <w:rPr>
                  <w:rStyle w:val="Hyperlink"/>
                  <w:color w:val="000000" w:themeColor="text1"/>
                </w:rPr>
                <w:t>Master Plans</w:t>
              </w:r>
            </w:hyperlink>
          </w:p>
          <w:p w14:paraId="5761FFCB" w14:textId="77777777" w:rsidR="00A56EE9" w:rsidRPr="00E70A11" w:rsidRDefault="00A56EE9" w:rsidP="00BB6AD5">
            <w:pPr>
              <w:jc w:val="both"/>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FCC"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1FFCD"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FFDA"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CF"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ports</w:t>
            </w:r>
          </w:p>
        </w:tc>
        <w:tc>
          <w:tcPr>
            <w:tcW w:w="790" w:type="dxa"/>
            <w:tcBorders>
              <w:top w:val="single" w:sz="4" w:space="0" w:color="auto"/>
              <w:left w:val="single" w:sz="4" w:space="0" w:color="auto"/>
              <w:bottom w:val="single" w:sz="4" w:space="0" w:color="auto"/>
              <w:right w:val="single" w:sz="4" w:space="0" w:color="auto"/>
            </w:tcBorders>
          </w:tcPr>
          <w:p w14:paraId="5761FFD0"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FD1" w14:textId="77777777" w:rsidR="00A56EE9" w:rsidRPr="00E70A11" w:rsidRDefault="00A56EE9" w:rsidP="00A11869">
            <w:pPr>
              <w:pStyle w:val="ListBullet"/>
              <w:numPr>
                <w:ilvl w:val="0"/>
                <w:numId w:val="93"/>
              </w:numPr>
              <w:autoSpaceDE w:val="0"/>
              <w:autoSpaceDN w:val="0"/>
              <w:adjustRightInd w:val="0"/>
              <w:spacing w:line="240" w:lineRule="auto"/>
            </w:pPr>
            <w:r w:rsidRPr="00E70A11">
              <w:t>Reasonable to assume that appropriate training is available to the staff of ports and terminal operators.</w:t>
            </w:r>
          </w:p>
          <w:p w14:paraId="5761FFD2" w14:textId="77777777" w:rsidR="00A56EE9" w:rsidRPr="00E70A11" w:rsidRDefault="00A56EE9" w:rsidP="00A11869">
            <w:pPr>
              <w:pStyle w:val="ListBullet"/>
              <w:numPr>
                <w:ilvl w:val="0"/>
                <w:numId w:val="93"/>
              </w:numPr>
              <w:autoSpaceDE w:val="0"/>
              <w:autoSpaceDN w:val="0"/>
              <w:adjustRightInd w:val="0"/>
              <w:spacing w:line="240" w:lineRule="auto"/>
              <w:rPr>
                <w:rStyle w:val="BookTitle"/>
                <w:color w:val="000000" w:themeColor="text1"/>
              </w:rPr>
            </w:pPr>
            <w:r>
              <w:t>G</w:t>
            </w:r>
            <w:r w:rsidRPr="00E70A11">
              <w:t>eneral training of GBRMPA staff is available in relation to impact assessment, oil spill response, biosecurity, dredging assessments, etc., but the relevance and coherence of training specific to improved understanding and oversight of port issues, particularly port operations, is not clear.</w:t>
            </w:r>
          </w:p>
          <w:p w14:paraId="5761FFD3"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rPr>
            </w:pPr>
            <w:r w:rsidRPr="00E70A11">
              <w:rPr>
                <w:rFonts w:eastAsia="SymbolMT"/>
              </w:rPr>
              <w:t>PIANC Australia provides a series of seminars, guest speakers and similar on port related issues that GBRMPA staff can attend.</w:t>
            </w:r>
          </w:p>
          <w:p w14:paraId="5761FFD4" w14:textId="77777777" w:rsidR="00A56EE9" w:rsidRPr="00E70A11" w:rsidRDefault="00A56EE9" w:rsidP="00A11869">
            <w:pPr>
              <w:pStyle w:val="ListBullet"/>
              <w:numPr>
                <w:ilvl w:val="0"/>
                <w:numId w:val="93"/>
              </w:numPr>
              <w:autoSpaceDE w:val="0"/>
              <w:autoSpaceDN w:val="0"/>
              <w:adjustRightInd w:val="0"/>
              <w:spacing w:line="240" w:lineRule="auto"/>
              <w:rPr>
                <w:rFonts w:eastAsia="SymbolMT"/>
              </w:rPr>
            </w:pPr>
            <w:r w:rsidRPr="00E70A11">
              <w:rPr>
                <w:rFonts w:eastAsia="SymbolMT"/>
              </w:rPr>
              <w:t>The Queensland Ports Association Planning and Environment Committee invites GBRMPA staff to meetings.</w:t>
            </w:r>
          </w:p>
          <w:p w14:paraId="5761FFD5" w14:textId="77777777" w:rsidR="00A56EE9" w:rsidRPr="00E70A11" w:rsidRDefault="00A56EE9" w:rsidP="00A11869">
            <w:pPr>
              <w:pStyle w:val="ListBullet"/>
              <w:numPr>
                <w:ilvl w:val="0"/>
                <w:numId w:val="93"/>
              </w:numPr>
              <w:autoSpaceDE w:val="0"/>
              <w:autoSpaceDN w:val="0"/>
              <w:adjustRightInd w:val="0"/>
              <w:spacing w:line="240" w:lineRule="auto"/>
              <w:rPr>
                <w:rStyle w:val="BookTitle"/>
                <w:color w:val="000000" w:themeColor="text1"/>
              </w:rPr>
            </w:pPr>
            <w:r w:rsidRPr="00E70A11">
              <w:rPr>
                <w:rStyle w:val="BookTitle"/>
                <w:color w:val="000000" w:themeColor="text1"/>
              </w:rPr>
              <w:t>Training modules developed for new GBRMP permission system changes.</w:t>
            </w:r>
          </w:p>
        </w:tc>
        <w:tc>
          <w:tcPr>
            <w:tcW w:w="5066" w:type="dxa"/>
            <w:tcBorders>
              <w:top w:val="single" w:sz="4" w:space="0" w:color="auto"/>
              <w:left w:val="single" w:sz="4" w:space="0" w:color="auto"/>
              <w:bottom w:val="single" w:sz="4" w:space="0" w:color="auto"/>
              <w:right w:val="single" w:sz="4" w:space="0" w:color="auto"/>
            </w:tcBorders>
          </w:tcPr>
          <w:p w14:paraId="5761FFD6" w14:textId="77777777" w:rsidR="00A56EE9" w:rsidRPr="00E70A11" w:rsidRDefault="00A56EE9" w:rsidP="00A11869">
            <w:pPr>
              <w:pStyle w:val="ListParagraph"/>
              <w:numPr>
                <w:ilvl w:val="0"/>
                <w:numId w:val="113"/>
              </w:numPr>
              <w:spacing w:after="0" w:line="240" w:lineRule="auto"/>
              <w:jc w:val="both"/>
              <w:rPr>
                <w:rFonts w:ascii="Arial Narrow" w:hAnsi="Arial Narrow"/>
                <w:color w:val="000000" w:themeColor="text1"/>
                <w:sz w:val="18"/>
                <w:szCs w:val="18"/>
              </w:rPr>
            </w:pPr>
            <w:r w:rsidRPr="00E70A11">
              <w:rPr>
                <w:rStyle w:val="BookTitle"/>
                <w:rFonts w:ascii="Arial Narrow" w:hAnsi="Arial Narrow"/>
                <w:color w:val="000000" w:themeColor="text1"/>
                <w:sz w:val="18"/>
                <w:szCs w:val="18"/>
              </w:rPr>
              <w:t>Training modules for new GBRMP permission system.</w:t>
            </w:r>
          </w:p>
          <w:p w14:paraId="5761FFD7" w14:textId="77777777" w:rsidR="00A56EE9" w:rsidRPr="00E70A11" w:rsidRDefault="00A56EE9" w:rsidP="00BB6AD5">
            <w:pPr>
              <w:jc w:val="both"/>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FD8"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1FFD9"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1FFF0"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DB"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ports is consistently implemented across the relevant jurisdictions</w:t>
            </w:r>
          </w:p>
        </w:tc>
        <w:tc>
          <w:tcPr>
            <w:tcW w:w="790" w:type="dxa"/>
            <w:tcBorders>
              <w:top w:val="single" w:sz="4" w:space="0" w:color="auto"/>
              <w:left w:val="single" w:sz="4" w:space="0" w:color="auto"/>
              <w:bottom w:val="single" w:sz="4" w:space="0" w:color="auto"/>
              <w:right w:val="single" w:sz="4" w:space="0" w:color="auto"/>
            </w:tcBorders>
          </w:tcPr>
          <w:p w14:paraId="5761FFDC"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1FFDD" w14:textId="77777777" w:rsidR="00A56EE9" w:rsidRPr="00E70A11" w:rsidRDefault="00A56EE9" w:rsidP="00A11869">
            <w:pPr>
              <w:numPr>
                <w:ilvl w:val="0"/>
                <w:numId w:val="92"/>
              </w:numPr>
              <w:spacing w:before="40" w:after="40" w:line="240" w:lineRule="auto"/>
              <w:rPr>
                <w:rFonts w:ascii="Arial Narrow" w:hAnsi="Arial Narrow"/>
                <w:sz w:val="18"/>
                <w:szCs w:val="18"/>
              </w:rPr>
            </w:pPr>
            <w:r w:rsidRPr="00E70A11">
              <w:rPr>
                <w:rFonts w:ascii="Arial Narrow" w:hAnsi="Arial Narrow"/>
                <w:sz w:val="18"/>
                <w:szCs w:val="18"/>
              </w:rPr>
              <w:t>Management of port operational activities is assessed as sufficiently effective across relevant jurisdictions, but GBRMPA contribution could be improved via promulgation of targets for ports in relation to identification of potential threats by ports to GBR Marine Park and World Heritage Area values.</w:t>
            </w:r>
          </w:p>
          <w:p w14:paraId="5761FFDE" w14:textId="77777777" w:rsidR="00A56EE9" w:rsidRPr="00E70A11" w:rsidRDefault="00A56EE9" w:rsidP="00A11869">
            <w:pPr>
              <w:numPr>
                <w:ilvl w:val="0"/>
                <w:numId w:val="92"/>
              </w:numPr>
              <w:spacing w:before="40" w:after="40" w:line="240" w:lineRule="auto"/>
              <w:rPr>
                <w:rFonts w:ascii="Arial Narrow" w:hAnsi="Arial Narrow"/>
                <w:sz w:val="18"/>
                <w:szCs w:val="18"/>
              </w:rPr>
            </w:pPr>
            <w:r w:rsidRPr="00E70A11">
              <w:rPr>
                <w:rFonts w:ascii="Arial Narrow" w:hAnsi="Arial Narrow"/>
                <w:sz w:val="18"/>
                <w:szCs w:val="18"/>
              </w:rPr>
              <w:t>Management of port development proposals is consistent within the current construct of management responsibilities for regulatory agencies and particularly noteworthy that the strategic level overview and governance of new port developments have been greatly improved since 2013.</w:t>
            </w:r>
          </w:p>
          <w:p w14:paraId="5761FFDF" w14:textId="77777777" w:rsidR="00A56EE9" w:rsidRPr="00E70A11" w:rsidRDefault="00A56EE9" w:rsidP="00A11869">
            <w:pPr>
              <w:numPr>
                <w:ilvl w:val="0"/>
                <w:numId w:val="92"/>
              </w:numPr>
              <w:spacing w:before="40" w:after="40" w:line="240" w:lineRule="auto"/>
              <w:jc w:val="both"/>
              <w:rPr>
                <w:rFonts w:ascii="Arial Narrow" w:hAnsi="Arial Narrow"/>
                <w:sz w:val="18"/>
                <w:szCs w:val="18"/>
              </w:rPr>
            </w:pPr>
            <w:r w:rsidRPr="00E70A11">
              <w:rPr>
                <w:rFonts w:ascii="Arial Narrow" w:eastAsia="SymbolMT" w:hAnsi="Arial Narrow" w:cs="ArialMT"/>
                <w:color w:val="000000" w:themeColor="text1"/>
                <w:sz w:val="18"/>
                <w:szCs w:val="18"/>
              </w:rPr>
              <w:t>The Master Planning process for Priority Ports is intended to consider planning issues across Commonwealth, State and Local Government jurisdictions and clearly identifies the responsibilities of relevant agencies in managing impacts to the values of the GBRWHA. O</w:t>
            </w:r>
            <w:r w:rsidRPr="00E70A11">
              <w:rPr>
                <w:rFonts w:ascii="Arial Narrow" w:hAnsi="Arial Narrow"/>
                <w:sz w:val="18"/>
                <w:szCs w:val="18"/>
              </w:rPr>
              <w:t>nce fully implemented, these should allay some of the previous shortcomings identified in this arena.</w:t>
            </w:r>
          </w:p>
          <w:p w14:paraId="5761FFE0" w14:textId="77777777" w:rsidR="00A56EE9" w:rsidRPr="00E70A11" w:rsidRDefault="00A56EE9" w:rsidP="00A11869">
            <w:pPr>
              <w:numPr>
                <w:ilvl w:val="0"/>
                <w:numId w:val="92"/>
              </w:numPr>
              <w:spacing w:after="0" w:line="240" w:lineRule="auto"/>
              <w:jc w:val="both"/>
              <w:rPr>
                <w:rStyle w:val="BookTitle"/>
                <w:rFonts w:ascii="Arial Narrow" w:hAnsi="Arial Narrow"/>
                <w:color w:val="000000" w:themeColor="text1"/>
                <w:sz w:val="18"/>
                <w:szCs w:val="18"/>
              </w:rPr>
            </w:pPr>
            <w:r w:rsidRPr="00E70A11">
              <w:rPr>
                <w:rFonts w:ascii="Arial Narrow" w:eastAsia="SymbolMT" w:hAnsi="Arial Narrow" w:cs="ArialMT"/>
                <w:color w:val="000000" w:themeColor="text1"/>
                <w:sz w:val="18"/>
                <w:szCs w:val="18"/>
              </w:rPr>
              <w:t>The Reef 2050 Sustainability Plan seeks jurisdictional consistency in implementing actions to manage impacts to the GBRWHA.</w:t>
            </w:r>
          </w:p>
        </w:tc>
        <w:tc>
          <w:tcPr>
            <w:tcW w:w="5066" w:type="dxa"/>
            <w:tcBorders>
              <w:top w:val="single" w:sz="4" w:space="0" w:color="auto"/>
              <w:left w:val="single" w:sz="4" w:space="0" w:color="auto"/>
              <w:bottom w:val="single" w:sz="4" w:space="0" w:color="auto"/>
              <w:right w:val="single" w:sz="4" w:space="0" w:color="auto"/>
            </w:tcBorders>
          </w:tcPr>
          <w:p w14:paraId="5761FFE1"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13" w:history="1">
              <w:r w:rsidR="00A56EE9" w:rsidRPr="00E70A11">
                <w:rPr>
                  <w:rStyle w:val="Hyperlink"/>
                  <w:color w:val="000000" w:themeColor="text1"/>
                </w:rPr>
                <w:t>Master planning for ports</w:t>
              </w:r>
            </w:hyperlink>
          </w:p>
          <w:p w14:paraId="5761FFE2"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lang w:val="en"/>
              </w:rPr>
            </w:pPr>
            <w:hyperlink r:id="rId1414" w:history="1">
              <w:r w:rsidR="00A56EE9" w:rsidRPr="00E70A11">
                <w:rPr>
                  <w:rStyle w:val="Hyperlink"/>
                  <w:color w:val="000000" w:themeColor="text1"/>
                </w:rPr>
                <w:t>Queensland Ports Strategy 2014</w:t>
              </w:r>
            </w:hyperlink>
          </w:p>
          <w:p w14:paraId="5761FFE3"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15" w:history="1">
              <w:r w:rsidR="00A56EE9" w:rsidRPr="00E70A11">
                <w:rPr>
                  <w:rStyle w:val="Hyperlink"/>
                  <w:color w:val="000000" w:themeColor="text1"/>
                </w:rPr>
                <w:t>Great Barrier Reef Coastal Zone Strategic Assessment</w:t>
              </w:r>
            </w:hyperlink>
            <w:r w:rsidR="00A56EE9" w:rsidRPr="00E70A11">
              <w:rPr>
                <w:color w:val="000000" w:themeColor="text1"/>
              </w:rPr>
              <w:t xml:space="preserve"> 2014</w:t>
            </w:r>
          </w:p>
          <w:p w14:paraId="5761FFE4"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416" w:history="1">
              <w:r w:rsidR="00A56EE9" w:rsidRPr="00E70A11">
                <w:rPr>
                  <w:rStyle w:val="Hyperlink"/>
                  <w:color w:val="000000" w:themeColor="text1"/>
                </w:rPr>
                <w:t>Sustainable Ports Development Act 2015 (Qld)</w:t>
              </w:r>
            </w:hyperlink>
          </w:p>
          <w:p w14:paraId="5761FFE5" w14:textId="77777777" w:rsidR="00A56EE9" w:rsidRPr="00E70A11" w:rsidRDefault="00A56EE9" w:rsidP="00A11869">
            <w:pPr>
              <w:pStyle w:val="ListBullet"/>
              <w:numPr>
                <w:ilvl w:val="0"/>
                <w:numId w:val="93"/>
              </w:numPr>
              <w:autoSpaceDE w:val="0"/>
              <w:autoSpaceDN w:val="0"/>
              <w:adjustRightInd w:val="0"/>
              <w:spacing w:line="240" w:lineRule="auto"/>
              <w:rPr>
                <w:rStyle w:val="Hyperlink"/>
                <w:color w:val="000000" w:themeColor="text1"/>
              </w:rPr>
            </w:pPr>
            <w:r w:rsidRPr="00E70A11">
              <w:rPr>
                <w:rStyle w:val="Hyperlink"/>
                <w:color w:val="000000" w:themeColor="text1"/>
              </w:rPr>
              <w:t>Great Barrier Reef Marine Park Regulations 1983</w:t>
            </w:r>
          </w:p>
          <w:p w14:paraId="5761FFE6"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17" w:history="1">
              <w:r w:rsidR="00A56EE9" w:rsidRPr="00E70A11">
                <w:rPr>
                  <w:rStyle w:val="Hyperlink"/>
                  <w:color w:val="000000" w:themeColor="text1"/>
                </w:rPr>
                <w:t>Dredge and dredge spoilt material disposal policy</w:t>
              </w:r>
            </w:hyperlink>
          </w:p>
          <w:p w14:paraId="5761FFE7"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18" w:history="1">
              <w:r w:rsidR="00A56EE9" w:rsidRPr="00E70A11">
                <w:rPr>
                  <w:rStyle w:val="Hyperlink"/>
                  <w:color w:val="000000" w:themeColor="text1"/>
                </w:rPr>
                <w:t>Dredging coral reef habitats</w:t>
              </w:r>
            </w:hyperlink>
          </w:p>
          <w:p w14:paraId="5761FFE8"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419" w:history="1">
              <w:r w:rsidR="00A56EE9" w:rsidRPr="00E70A11">
                <w:rPr>
                  <w:rStyle w:val="Hyperlink"/>
                  <w:color w:val="000000" w:themeColor="text1"/>
                </w:rPr>
                <w:t>Maintenance Dredging Strategy for Great Barrier Reef World Heritage Area Ports</w:t>
              </w:r>
            </w:hyperlink>
          </w:p>
          <w:p w14:paraId="5761FFE9"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420" w:history="1">
              <w:r w:rsidR="00A56EE9" w:rsidRPr="00E70A11">
                <w:rPr>
                  <w:rStyle w:val="Hyperlink"/>
                  <w:color w:val="000000" w:themeColor="text1"/>
                </w:rPr>
                <w:t>Master planning for ports</w:t>
              </w:r>
            </w:hyperlink>
          </w:p>
          <w:p w14:paraId="5761FFEA"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21" w:history="1">
              <w:r w:rsidR="00A56EE9" w:rsidRPr="00E70A11">
                <w:rPr>
                  <w:rStyle w:val="Hyperlink"/>
                  <w:color w:val="000000" w:themeColor="text1"/>
                </w:rPr>
                <w:t>Reef 2050 Long-Term Sustainability Plan</w:t>
              </w:r>
            </w:hyperlink>
          </w:p>
          <w:p w14:paraId="5761FFEB"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422" w:history="1">
              <w:r w:rsidR="00A56EE9" w:rsidRPr="00E70A11">
                <w:rPr>
                  <w:rStyle w:val="Hyperlink"/>
                  <w:color w:val="000000" w:themeColor="text1"/>
                </w:rPr>
                <w:t>Master Plans</w:t>
              </w:r>
            </w:hyperlink>
          </w:p>
          <w:p w14:paraId="5761FFEC"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23" w:history="1">
              <w:r w:rsidR="00A56EE9" w:rsidRPr="00E70A11">
                <w:rPr>
                  <w:rStyle w:val="Hyperlink"/>
                  <w:rFonts w:eastAsia="SymbolMT" w:cs="ArialMT"/>
                  <w:color w:val="000000" w:themeColor="text1"/>
                </w:rPr>
                <w:t>National Assessment Guidelines for Dredging</w:t>
              </w:r>
            </w:hyperlink>
          </w:p>
          <w:p w14:paraId="5761FFED" w14:textId="77777777" w:rsidR="00A56EE9" w:rsidRPr="00E70A11" w:rsidRDefault="00A56EE9" w:rsidP="00BB6AD5">
            <w:pPr>
              <w:jc w:val="both"/>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1FFEE"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1FFEF"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1FFFD"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F1"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ports</w:t>
            </w:r>
          </w:p>
        </w:tc>
        <w:tc>
          <w:tcPr>
            <w:tcW w:w="790" w:type="dxa"/>
            <w:tcBorders>
              <w:top w:val="single" w:sz="4" w:space="0" w:color="auto"/>
              <w:left w:val="single" w:sz="4" w:space="0" w:color="auto"/>
              <w:bottom w:val="single" w:sz="4" w:space="0" w:color="auto"/>
              <w:right w:val="single" w:sz="4" w:space="0" w:color="auto"/>
            </w:tcBorders>
            <w:shd w:val="clear" w:color="auto" w:fill="auto"/>
          </w:tcPr>
          <w:p w14:paraId="5761FFF2" w14:textId="77777777" w:rsidR="00A56EE9" w:rsidRPr="00E70A11" w:rsidRDefault="00A56EE9" w:rsidP="00BB6AD5">
            <w:pPr>
              <w:pStyle w:val="Tablebulletlist"/>
              <w:rPr>
                <w:rStyle w:val="BookTitle"/>
              </w:rPr>
            </w:pPr>
            <w:r w:rsidRPr="00E70A11">
              <w:rPr>
                <w:rStyle w:val="BookTitle"/>
              </w:rPr>
              <w:t>2</w:t>
            </w:r>
          </w:p>
        </w:tc>
        <w:tc>
          <w:tcPr>
            <w:tcW w:w="4177" w:type="dxa"/>
            <w:tcBorders>
              <w:top w:val="single" w:sz="4" w:space="0" w:color="auto"/>
              <w:left w:val="single" w:sz="4" w:space="0" w:color="auto"/>
              <w:bottom w:val="single" w:sz="4" w:space="0" w:color="auto"/>
              <w:right w:val="single" w:sz="4" w:space="0" w:color="auto"/>
            </w:tcBorders>
          </w:tcPr>
          <w:p w14:paraId="5761FFF3"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 xml:space="preserve">There is a range of processes and instruments available to achieve resolution. These include periodic meetings with Port Authorities, the GBRMPA / Queensland Ports Association MoU, and similar. </w:t>
            </w:r>
          </w:p>
          <w:p w14:paraId="5761FFF4" w14:textId="77777777" w:rsidR="00A56EE9" w:rsidRPr="00E70A11" w:rsidRDefault="00A56EE9" w:rsidP="00A11869">
            <w:pPr>
              <w:pStyle w:val="ListParagraph"/>
              <w:numPr>
                <w:ilvl w:val="0"/>
                <w:numId w:val="24"/>
              </w:numPr>
              <w:spacing w:after="200" w:line="240" w:lineRule="auto"/>
              <w:rPr>
                <w:rFonts w:ascii="Arial Narrow" w:hAnsi="Arial Narrow"/>
                <w:color w:val="000000" w:themeColor="text1"/>
                <w:sz w:val="18"/>
                <w:szCs w:val="18"/>
              </w:rPr>
            </w:pPr>
            <w:r w:rsidRPr="00E70A11">
              <w:rPr>
                <w:rFonts w:ascii="Arial Narrow" w:hAnsi="Arial Narrow"/>
                <w:sz w:val="18"/>
                <w:szCs w:val="18"/>
              </w:rPr>
              <w:t>Ports representatives can display reluctance to engage in effective dialogue for the purposes of clarifying and resolving points of difference.</w:t>
            </w:r>
          </w:p>
          <w:p w14:paraId="5761FFF5" w14:textId="77777777" w:rsidR="00A56EE9" w:rsidRPr="00E70A11" w:rsidRDefault="00A56EE9" w:rsidP="00A11869">
            <w:pPr>
              <w:pStyle w:val="ListParagraph"/>
              <w:numPr>
                <w:ilvl w:val="0"/>
                <w:numId w:val="24"/>
              </w:numPr>
              <w:spacing w:after="200" w:line="240" w:lineRule="auto"/>
              <w:rPr>
                <w:rFonts w:ascii="Arial Narrow" w:hAnsi="Arial Narrow"/>
                <w:color w:val="000000" w:themeColor="text1"/>
                <w:sz w:val="18"/>
                <w:szCs w:val="18"/>
              </w:rPr>
            </w:pPr>
            <w:r w:rsidRPr="00E70A11">
              <w:rPr>
                <w:rFonts w:ascii="Arial Narrow" w:hAnsi="Arial Narrow"/>
                <w:sz w:val="18"/>
                <w:szCs w:val="18"/>
              </w:rPr>
              <w:t xml:space="preserve">Queensland ports strategies and master planning processes should lead to improved conflict </w:t>
            </w:r>
            <w:r w:rsidRPr="00E70A11">
              <w:rPr>
                <w:rFonts w:ascii="Arial Narrow" w:hAnsi="Arial Narrow"/>
                <w:sz w:val="18"/>
                <w:szCs w:val="18"/>
                <w:u w:val="single"/>
              </w:rPr>
              <w:t>avoidance</w:t>
            </w:r>
            <w:r w:rsidRPr="00E70A11">
              <w:rPr>
                <w:rFonts w:ascii="Arial Narrow" w:hAnsi="Arial Narrow"/>
                <w:sz w:val="18"/>
                <w:szCs w:val="18"/>
              </w:rPr>
              <w:t xml:space="preserve"> and improved conflict resolution.</w:t>
            </w:r>
          </w:p>
          <w:p w14:paraId="5761FFF6"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Legislation allows for reconsideration of decisions including via Administrative Appeals Tribunal and Federal Court.</w:t>
            </w:r>
          </w:p>
          <w:p w14:paraId="5761FFF7" w14:textId="77777777" w:rsidR="00A56EE9" w:rsidRPr="00E70A11" w:rsidRDefault="00A56EE9" w:rsidP="00A11869">
            <w:pPr>
              <w:pStyle w:val="ListParagraph"/>
              <w:numPr>
                <w:ilvl w:val="0"/>
                <w:numId w:val="24"/>
              </w:numPr>
              <w:spacing w:after="0" w:line="240" w:lineRule="auto"/>
              <w:ind w:left="357" w:hanging="357"/>
              <w:rPr>
                <w:rStyle w:val="BookTitle"/>
                <w:rFonts w:ascii="Arial Narrow" w:hAnsi="Arial Narrow"/>
                <w:sz w:val="18"/>
                <w:szCs w:val="18"/>
              </w:rPr>
            </w:pPr>
            <w:r w:rsidRPr="00E70A11">
              <w:rPr>
                <w:rFonts w:ascii="Arial Narrow" w:hAnsi="Arial Narrow"/>
                <w:sz w:val="18"/>
                <w:szCs w:val="18"/>
              </w:rPr>
              <w:t>The approvals process is designed to ensure that stakeholder feedback is incorporated into project management and delivery.</w:t>
            </w:r>
          </w:p>
        </w:tc>
        <w:tc>
          <w:tcPr>
            <w:tcW w:w="5066" w:type="dxa"/>
            <w:tcBorders>
              <w:top w:val="single" w:sz="4" w:space="0" w:color="auto"/>
              <w:left w:val="single" w:sz="4" w:space="0" w:color="auto"/>
              <w:bottom w:val="single" w:sz="4" w:space="0" w:color="auto"/>
              <w:right w:val="single" w:sz="4" w:space="0" w:color="auto"/>
            </w:tcBorders>
          </w:tcPr>
          <w:p w14:paraId="5761FFF8"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24" w:history="1">
              <w:r w:rsidR="00A56EE9" w:rsidRPr="00E70A11">
                <w:rPr>
                  <w:rStyle w:val="Hyperlink"/>
                  <w:color w:val="000000" w:themeColor="text1"/>
                </w:rPr>
                <w:t>Master planning for ports</w:t>
              </w:r>
            </w:hyperlink>
          </w:p>
          <w:p w14:paraId="5761FFF9"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lang w:val="en"/>
              </w:rPr>
            </w:pPr>
            <w:hyperlink r:id="rId1425" w:history="1">
              <w:r w:rsidR="00A56EE9" w:rsidRPr="00E70A11">
                <w:rPr>
                  <w:rStyle w:val="Hyperlink"/>
                  <w:color w:val="000000" w:themeColor="text1"/>
                </w:rPr>
                <w:t>Queensland Ports Strategy 2014</w:t>
              </w:r>
            </w:hyperlink>
          </w:p>
          <w:p w14:paraId="5761FFFA" w14:textId="77777777" w:rsidR="00A56EE9" w:rsidRPr="00E70A11" w:rsidRDefault="00A56EE9" w:rsidP="00A11869">
            <w:pPr>
              <w:pStyle w:val="ListBullet"/>
              <w:numPr>
                <w:ilvl w:val="0"/>
                <w:numId w:val="93"/>
              </w:numPr>
              <w:autoSpaceDE w:val="0"/>
              <w:autoSpaceDN w:val="0"/>
              <w:adjustRightInd w:val="0"/>
              <w:spacing w:line="240" w:lineRule="auto"/>
              <w:rPr>
                <w:rStyle w:val="BookTitle"/>
                <w:rFonts w:eastAsiaTheme="minorHAnsi" w:cs="AdvGulliv-R"/>
              </w:rPr>
            </w:pPr>
            <w:r w:rsidRPr="00E70A11">
              <w:rPr>
                <w:rStyle w:val="BookTitle"/>
                <w:rFonts w:eastAsiaTheme="minorHAnsi" w:cs="AdvGulliv-R"/>
              </w:rPr>
              <w:t>GBRMPA Management Effectiveness Review processes</w:t>
            </w:r>
          </w:p>
        </w:tc>
        <w:tc>
          <w:tcPr>
            <w:tcW w:w="984" w:type="dxa"/>
            <w:tcBorders>
              <w:top w:val="single" w:sz="4" w:space="0" w:color="auto"/>
              <w:left w:val="single" w:sz="4" w:space="0" w:color="auto"/>
              <w:bottom w:val="single" w:sz="4" w:space="0" w:color="auto"/>
              <w:right w:val="single" w:sz="4" w:space="0" w:color="auto"/>
            </w:tcBorders>
          </w:tcPr>
          <w:p w14:paraId="5761FFFB"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shd w:val="clear" w:color="auto" w:fill="auto"/>
          </w:tcPr>
          <w:p w14:paraId="5761FFFC"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2000E"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1FFFE"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ports are appropriately considered.</w:t>
            </w:r>
          </w:p>
        </w:tc>
        <w:tc>
          <w:tcPr>
            <w:tcW w:w="790" w:type="dxa"/>
            <w:tcBorders>
              <w:top w:val="single" w:sz="4" w:space="0" w:color="auto"/>
              <w:left w:val="single" w:sz="4" w:space="0" w:color="auto"/>
              <w:bottom w:val="single" w:sz="4" w:space="0" w:color="auto"/>
              <w:right w:val="single" w:sz="4" w:space="0" w:color="auto"/>
            </w:tcBorders>
          </w:tcPr>
          <w:p w14:paraId="5761FFFF"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000" w14:textId="77777777" w:rsidR="00A56EE9" w:rsidRPr="00E70A11" w:rsidRDefault="00A56EE9" w:rsidP="00A11869">
            <w:pPr>
              <w:pStyle w:val="ListParagraph"/>
              <w:numPr>
                <w:ilvl w:val="0"/>
                <w:numId w:val="120"/>
              </w:numPr>
              <w:spacing w:after="200" w:line="240" w:lineRule="auto"/>
              <w:ind w:left="323" w:hanging="323"/>
              <w:rPr>
                <w:rFonts w:ascii="Arial Narrow" w:hAnsi="Arial Narrow"/>
                <w:sz w:val="18"/>
                <w:szCs w:val="18"/>
              </w:rPr>
            </w:pPr>
            <w:r w:rsidRPr="00E70A11">
              <w:rPr>
                <w:rFonts w:ascii="Arial Narrow" w:hAnsi="Arial Narrow"/>
                <w:sz w:val="18"/>
                <w:szCs w:val="18"/>
              </w:rPr>
              <w:t>Commonwealth and Queensland agencies demonstrate generally adequate consideration of the direct, indirect and cumulative potential impacts of ports.</w:t>
            </w:r>
          </w:p>
          <w:p w14:paraId="57620001" w14:textId="77777777" w:rsidR="00A56EE9" w:rsidRPr="00E70A11" w:rsidRDefault="00A56EE9" w:rsidP="00A11869">
            <w:pPr>
              <w:pStyle w:val="ListParagraph"/>
              <w:numPr>
                <w:ilvl w:val="0"/>
                <w:numId w:val="120"/>
              </w:numPr>
              <w:spacing w:after="200" w:line="240" w:lineRule="auto"/>
              <w:ind w:left="323" w:hanging="323"/>
              <w:rPr>
                <w:rStyle w:val="BookTitle"/>
                <w:rFonts w:ascii="Arial Narrow" w:hAnsi="Arial Narrow"/>
                <w:sz w:val="18"/>
                <w:szCs w:val="18"/>
              </w:rPr>
            </w:pPr>
            <w:r w:rsidRPr="00E70A11">
              <w:rPr>
                <w:rFonts w:ascii="Arial Narrow" w:hAnsi="Arial Narrow" w:cs="ArialMT"/>
                <w:color w:val="000000" w:themeColor="text1"/>
                <w:sz w:val="18"/>
                <w:szCs w:val="18"/>
              </w:rPr>
              <w:t>Ports have worked with GBRMPA in the development of Net Benefit and Cumulative Impact Assessment Guidelines prepared under the Reef 2050 Long Term Sustainability Plan, including the development of a master planning case study which shows how GBRMPA’s principles of cumulative impact and net benefit can be applied in practice.</w:t>
            </w:r>
            <w:r w:rsidRPr="00E70A11">
              <w:rPr>
                <w:rStyle w:val="BookTitle"/>
                <w:rFonts w:ascii="Arial Narrow" w:hAnsi="Arial Narrow"/>
                <w:color w:val="000000" w:themeColor="text1"/>
                <w:sz w:val="18"/>
                <w:szCs w:val="18"/>
              </w:rPr>
              <w:t xml:space="preserve"> </w:t>
            </w:r>
          </w:p>
        </w:tc>
        <w:tc>
          <w:tcPr>
            <w:tcW w:w="5066" w:type="dxa"/>
            <w:tcBorders>
              <w:top w:val="single" w:sz="4" w:space="0" w:color="auto"/>
              <w:left w:val="single" w:sz="4" w:space="0" w:color="auto"/>
              <w:bottom w:val="single" w:sz="4" w:space="0" w:color="auto"/>
              <w:right w:val="single" w:sz="4" w:space="0" w:color="auto"/>
            </w:tcBorders>
          </w:tcPr>
          <w:p w14:paraId="57620002" w14:textId="77777777" w:rsidR="00A56EE9" w:rsidRPr="00E70A11" w:rsidRDefault="008B5998" w:rsidP="00A11869">
            <w:pPr>
              <w:pStyle w:val="ListParagraph"/>
              <w:numPr>
                <w:ilvl w:val="0"/>
                <w:numId w:val="114"/>
              </w:numPr>
              <w:spacing w:after="0" w:line="240" w:lineRule="auto"/>
              <w:ind w:left="312" w:hanging="284"/>
              <w:rPr>
                <w:rStyle w:val="Hyperlink"/>
                <w:rFonts w:ascii="Arial Narrow" w:hAnsi="Arial Narrow"/>
                <w:color w:val="000000" w:themeColor="text1"/>
                <w:sz w:val="18"/>
                <w:szCs w:val="18"/>
              </w:rPr>
            </w:pPr>
            <w:hyperlink r:id="rId1426" w:history="1">
              <w:r w:rsidR="00A56EE9" w:rsidRPr="00E70A11">
                <w:rPr>
                  <w:rStyle w:val="Hyperlink"/>
                  <w:rFonts w:ascii="Arial Narrow" w:hAnsi="Arial Narrow"/>
                  <w:color w:val="000000" w:themeColor="text1"/>
                  <w:sz w:val="18"/>
                  <w:szCs w:val="18"/>
                </w:rPr>
                <w:t>Great Barrier Reef Marine Park Zoning Plan 2003</w:t>
              </w:r>
            </w:hyperlink>
          </w:p>
          <w:p w14:paraId="57620003" w14:textId="77777777" w:rsidR="00A56EE9" w:rsidRPr="00E70A11" w:rsidRDefault="008B5998" w:rsidP="00A11869">
            <w:pPr>
              <w:pStyle w:val="ListBullet"/>
              <w:numPr>
                <w:ilvl w:val="0"/>
                <w:numId w:val="114"/>
              </w:numPr>
              <w:autoSpaceDE w:val="0"/>
              <w:autoSpaceDN w:val="0"/>
              <w:adjustRightInd w:val="0"/>
              <w:spacing w:line="240" w:lineRule="auto"/>
              <w:ind w:left="310" w:hanging="283"/>
              <w:rPr>
                <w:rStyle w:val="Hyperlink"/>
                <w:color w:val="000000" w:themeColor="text1"/>
              </w:rPr>
            </w:pPr>
            <w:hyperlink r:id="rId1427" w:history="1">
              <w:r w:rsidR="00A56EE9" w:rsidRPr="00E70A11">
                <w:rPr>
                  <w:rStyle w:val="Hyperlink"/>
                  <w:i/>
                  <w:color w:val="000000" w:themeColor="text1"/>
                </w:rPr>
                <w:t>State Development and Public Works Organisation Act 1971</w:t>
              </w:r>
            </w:hyperlink>
          </w:p>
          <w:p w14:paraId="57620004" w14:textId="77777777" w:rsidR="00A56EE9" w:rsidRPr="00E70A11" w:rsidRDefault="008B5998" w:rsidP="00A11869">
            <w:pPr>
              <w:pStyle w:val="ListBullet"/>
              <w:numPr>
                <w:ilvl w:val="0"/>
                <w:numId w:val="114"/>
              </w:numPr>
              <w:autoSpaceDE w:val="0"/>
              <w:autoSpaceDN w:val="0"/>
              <w:adjustRightInd w:val="0"/>
              <w:spacing w:line="240" w:lineRule="auto"/>
              <w:ind w:left="310" w:hanging="283"/>
              <w:rPr>
                <w:rStyle w:val="Hyperlink"/>
                <w:color w:val="000000" w:themeColor="text1"/>
              </w:rPr>
            </w:pPr>
            <w:hyperlink r:id="rId1428" w:history="1">
              <w:r w:rsidR="00A56EE9" w:rsidRPr="00E70A11">
                <w:rPr>
                  <w:rStyle w:val="Hyperlink"/>
                  <w:i/>
                  <w:color w:val="000000" w:themeColor="text1"/>
                </w:rPr>
                <w:t>Environment Protection and Biodiversity Conservation Act 1999</w:t>
              </w:r>
            </w:hyperlink>
          </w:p>
          <w:p w14:paraId="57620005" w14:textId="77777777" w:rsidR="00A56EE9" w:rsidRPr="00E70A11" w:rsidRDefault="008B5998" w:rsidP="00A11869">
            <w:pPr>
              <w:pStyle w:val="ListBullet"/>
              <w:numPr>
                <w:ilvl w:val="0"/>
                <w:numId w:val="114"/>
              </w:numPr>
              <w:autoSpaceDE w:val="0"/>
              <w:autoSpaceDN w:val="0"/>
              <w:adjustRightInd w:val="0"/>
              <w:spacing w:line="240" w:lineRule="auto"/>
              <w:ind w:left="310" w:hanging="283"/>
              <w:rPr>
                <w:rStyle w:val="Hyperlink"/>
                <w:color w:val="000000" w:themeColor="text1"/>
              </w:rPr>
            </w:pPr>
            <w:hyperlink r:id="rId1429" w:history="1">
              <w:r w:rsidR="00A56EE9" w:rsidRPr="00E70A11">
                <w:rPr>
                  <w:rStyle w:val="Hyperlink"/>
                  <w:i/>
                  <w:color w:val="000000" w:themeColor="text1"/>
                </w:rPr>
                <w:t>Zoning Plan</w:t>
              </w:r>
            </w:hyperlink>
          </w:p>
          <w:p w14:paraId="57620006" w14:textId="5C3C9824" w:rsidR="00A56EE9" w:rsidRPr="00E70A11" w:rsidRDefault="00A56EE9" w:rsidP="00A11869">
            <w:pPr>
              <w:pStyle w:val="ListBullet"/>
              <w:numPr>
                <w:ilvl w:val="0"/>
                <w:numId w:val="114"/>
              </w:numPr>
              <w:autoSpaceDE w:val="0"/>
              <w:autoSpaceDN w:val="0"/>
              <w:adjustRightInd w:val="0"/>
              <w:spacing w:line="240" w:lineRule="auto"/>
              <w:ind w:left="310" w:hanging="283"/>
              <w:rPr>
                <w:color w:val="000000" w:themeColor="text1"/>
              </w:rPr>
            </w:pPr>
            <w:r w:rsidRPr="00E70A11">
              <w:rPr>
                <w:color w:val="000000" w:themeColor="text1"/>
              </w:rPr>
              <w:t xml:space="preserve">Great Barrier Reef Ports Strategy 2012-2022 </w:t>
            </w:r>
            <w:hyperlink r:id="rId1430" w:tooltip="document link" w:history="1">
              <w:r w:rsidRPr="00E70A11">
                <w:rPr>
                  <w:rStyle w:val="Hyperlink"/>
                  <w:color w:val="000000" w:themeColor="text1"/>
                </w:rPr>
                <w:t>http://www.dsdip.qld.gov.au/infrastructure-and-planning/queensland-ports-strategy.html</w:t>
              </w:r>
            </w:hyperlink>
            <w:r w:rsidRPr="00E70A11">
              <w:rPr>
                <w:color w:val="000000" w:themeColor="text1"/>
              </w:rPr>
              <w:t xml:space="preserve"> </w:t>
            </w:r>
          </w:p>
          <w:p w14:paraId="57620007" w14:textId="77777777" w:rsidR="00A56EE9" w:rsidRPr="00E70A11" w:rsidRDefault="00A56EE9" w:rsidP="00A11869">
            <w:pPr>
              <w:pStyle w:val="ListBullet"/>
              <w:numPr>
                <w:ilvl w:val="0"/>
                <w:numId w:val="114"/>
              </w:numPr>
              <w:autoSpaceDE w:val="0"/>
              <w:autoSpaceDN w:val="0"/>
              <w:adjustRightInd w:val="0"/>
              <w:spacing w:line="240" w:lineRule="auto"/>
              <w:ind w:left="310" w:hanging="283"/>
              <w:rPr>
                <w:color w:val="000000" w:themeColor="text1"/>
              </w:rPr>
            </w:pPr>
            <w:r w:rsidRPr="00E70A11">
              <w:rPr>
                <w:rFonts w:cs="Arial"/>
                <w:color w:val="000000" w:themeColor="text1"/>
              </w:rPr>
              <w:t xml:space="preserve">Updated </w:t>
            </w:r>
            <w:hyperlink r:id="rId1431" w:history="1">
              <w:r w:rsidRPr="00E70A11">
                <w:rPr>
                  <w:rStyle w:val="Hyperlink"/>
                  <w:color w:val="000000" w:themeColor="text1"/>
                </w:rPr>
                <w:t>permission system policy</w:t>
              </w:r>
            </w:hyperlink>
            <w:r w:rsidRPr="00E70A11">
              <w:rPr>
                <w:rFonts w:cs="Arial"/>
                <w:color w:val="000000" w:themeColor="text1"/>
              </w:rPr>
              <w:t xml:space="preserve"> and </w:t>
            </w:r>
            <w:hyperlink r:id="rId1432" w:history="1">
              <w:r w:rsidRPr="00E70A11">
                <w:rPr>
                  <w:rStyle w:val="Hyperlink"/>
                  <w:color w:val="000000" w:themeColor="text1"/>
                </w:rPr>
                <w:t>new guidance documents</w:t>
              </w:r>
            </w:hyperlink>
          </w:p>
          <w:p w14:paraId="57620008" w14:textId="77777777" w:rsidR="00A56EE9" w:rsidRPr="00E70A11" w:rsidRDefault="00A56EE9" w:rsidP="00A11869">
            <w:pPr>
              <w:pStyle w:val="ListParagraph"/>
              <w:numPr>
                <w:ilvl w:val="0"/>
                <w:numId w:val="114"/>
              </w:numPr>
              <w:spacing w:after="0" w:line="240" w:lineRule="auto"/>
              <w:ind w:left="310" w:hanging="283"/>
              <w:jc w:val="both"/>
              <w:rPr>
                <w:rFonts w:ascii="Arial Narrow" w:hAnsi="Arial Narrow"/>
                <w:color w:val="000000" w:themeColor="text1"/>
                <w:sz w:val="18"/>
                <w:szCs w:val="18"/>
              </w:rPr>
            </w:pPr>
            <w:r w:rsidRPr="00E70A11">
              <w:rPr>
                <w:rFonts w:ascii="Arial Narrow" w:hAnsi="Arial Narrow"/>
                <w:color w:val="000000" w:themeColor="text1"/>
                <w:sz w:val="18"/>
                <w:szCs w:val="18"/>
              </w:rPr>
              <w:t>The Sustainable Ports Development Bill 2015</w:t>
            </w:r>
          </w:p>
          <w:p w14:paraId="57620009" w14:textId="77777777" w:rsidR="00A56EE9" w:rsidRPr="00E70A11" w:rsidRDefault="008B5998" w:rsidP="00A11869">
            <w:pPr>
              <w:pStyle w:val="ListParagraph"/>
              <w:numPr>
                <w:ilvl w:val="0"/>
                <w:numId w:val="114"/>
              </w:numPr>
              <w:spacing w:after="0" w:line="240" w:lineRule="auto"/>
              <w:ind w:left="310" w:hanging="283"/>
              <w:jc w:val="both"/>
              <w:rPr>
                <w:rFonts w:ascii="Arial Narrow" w:hAnsi="Arial Narrow"/>
                <w:color w:val="000000" w:themeColor="text1"/>
                <w:sz w:val="18"/>
                <w:szCs w:val="18"/>
              </w:rPr>
            </w:pPr>
            <w:hyperlink r:id="rId1433" w:history="1">
              <w:r w:rsidR="00A56EE9" w:rsidRPr="00E70A11">
                <w:rPr>
                  <w:rStyle w:val="Hyperlink"/>
                  <w:rFonts w:ascii="Arial Narrow" w:hAnsi="Arial Narrow"/>
                  <w:color w:val="000000" w:themeColor="text1"/>
                  <w:sz w:val="18"/>
                  <w:szCs w:val="18"/>
                </w:rPr>
                <w:t>Gladstone Healthy Harbour Partnership</w:t>
              </w:r>
            </w:hyperlink>
            <w:r w:rsidR="00A56EE9" w:rsidRPr="00E70A11">
              <w:rPr>
                <w:rFonts w:ascii="Arial Narrow" w:hAnsi="Arial Narrow"/>
                <w:color w:val="000000" w:themeColor="text1"/>
                <w:sz w:val="18"/>
                <w:szCs w:val="18"/>
              </w:rPr>
              <w:t xml:space="preserve"> </w:t>
            </w:r>
          </w:p>
          <w:p w14:paraId="5762000A" w14:textId="77777777" w:rsidR="00A56EE9" w:rsidRPr="00E70A11" w:rsidRDefault="008B5998" w:rsidP="00A11869">
            <w:pPr>
              <w:pStyle w:val="ListParagraph"/>
              <w:numPr>
                <w:ilvl w:val="0"/>
                <w:numId w:val="114"/>
              </w:numPr>
              <w:spacing w:after="0" w:line="240" w:lineRule="auto"/>
              <w:ind w:left="310" w:hanging="283"/>
              <w:jc w:val="both"/>
              <w:rPr>
                <w:rFonts w:ascii="Arial Narrow" w:hAnsi="Arial Narrow"/>
                <w:color w:val="000000" w:themeColor="text1"/>
                <w:sz w:val="18"/>
                <w:szCs w:val="18"/>
              </w:rPr>
            </w:pPr>
            <w:hyperlink r:id="rId1434" w:history="1">
              <w:r w:rsidR="00A56EE9" w:rsidRPr="00E70A11">
                <w:rPr>
                  <w:rStyle w:val="Hyperlink"/>
                  <w:rFonts w:ascii="Arial Narrow" w:hAnsi="Arial Narrow"/>
                  <w:color w:val="000000" w:themeColor="text1"/>
                  <w:sz w:val="18"/>
                  <w:szCs w:val="18"/>
                </w:rPr>
                <w:t>Cumulative Impact Management policy</w:t>
              </w:r>
            </w:hyperlink>
          </w:p>
          <w:p w14:paraId="5762000B" w14:textId="77777777" w:rsidR="00A56EE9" w:rsidRPr="00E70A11" w:rsidRDefault="008B5998" w:rsidP="00A11869">
            <w:pPr>
              <w:pStyle w:val="ListParagraph"/>
              <w:numPr>
                <w:ilvl w:val="0"/>
                <w:numId w:val="114"/>
              </w:numPr>
              <w:spacing w:after="0" w:line="240" w:lineRule="auto"/>
              <w:ind w:left="310" w:hanging="283"/>
              <w:jc w:val="both"/>
              <w:rPr>
                <w:rStyle w:val="BookTitle"/>
                <w:rFonts w:ascii="Arial Narrow" w:hAnsi="Arial Narrow"/>
                <w:color w:val="000000" w:themeColor="text1"/>
                <w:sz w:val="18"/>
                <w:szCs w:val="18"/>
              </w:rPr>
            </w:pPr>
            <w:hyperlink r:id="rId1435" w:history="1">
              <w:r w:rsidR="00A56EE9" w:rsidRPr="00E70A11">
                <w:rPr>
                  <w:rStyle w:val="Hyperlink"/>
                  <w:rFonts w:ascii="Arial Narrow" w:hAnsi="Arial Narrow"/>
                  <w:color w:val="000000" w:themeColor="text1"/>
                  <w:sz w:val="18"/>
                  <w:szCs w:val="18"/>
                </w:rPr>
                <w:t>Net Benefit Policy</w:t>
              </w:r>
            </w:hyperlink>
          </w:p>
        </w:tc>
        <w:tc>
          <w:tcPr>
            <w:tcW w:w="984" w:type="dxa"/>
            <w:tcBorders>
              <w:top w:val="single" w:sz="4" w:space="0" w:color="auto"/>
              <w:left w:val="single" w:sz="4" w:space="0" w:color="auto"/>
              <w:bottom w:val="single" w:sz="4" w:space="0" w:color="auto"/>
              <w:right w:val="single" w:sz="4" w:space="0" w:color="auto"/>
            </w:tcBorders>
          </w:tcPr>
          <w:p w14:paraId="5762000C"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00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024"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00F"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ports</w:t>
            </w:r>
          </w:p>
        </w:tc>
        <w:tc>
          <w:tcPr>
            <w:tcW w:w="790" w:type="dxa"/>
            <w:tcBorders>
              <w:top w:val="single" w:sz="4" w:space="0" w:color="auto"/>
              <w:left w:val="single" w:sz="4" w:space="0" w:color="auto"/>
              <w:bottom w:val="single" w:sz="4" w:space="0" w:color="auto"/>
              <w:right w:val="single" w:sz="4" w:space="0" w:color="auto"/>
            </w:tcBorders>
          </w:tcPr>
          <w:p w14:paraId="57620010" w14:textId="77777777" w:rsidR="00A56EE9" w:rsidRPr="00E70A11" w:rsidRDefault="00A56EE9" w:rsidP="00BB6AD5">
            <w:pPr>
              <w:pStyle w:val="Tablebulletlist"/>
              <w:rPr>
                <w:rStyle w:val="BookTitle"/>
              </w:rPr>
            </w:pPr>
            <w:r w:rsidRPr="00E70A11">
              <w:rPr>
                <w:rStyle w:val="BookTitle"/>
              </w:rPr>
              <w:t>2</w:t>
            </w:r>
          </w:p>
        </w:tc>
        <w:tc>
          <w:tcPr>
            <w:tcW w:w="4177" w:type="dxa"/>
            <w:tcBorders>
              <w:top w:val="single" w:sz="4" w:space="0" w:color="auto"/>
              <w:left w:val="single" w:sz="4" w:space="0" w:color="auto"/>
              <w:bottom w:val="single" w:sz="4" w:space="0" w:color="auto"/>
              <w:right w:val="single" w:sz="4" w:space="0" w:color="auto"/>
            </w:tcBorders>
          </w:tcPr>
          <w:p w14:paraId="57620011" w14:textId="77777777" w:rsidR="00A56EE9" w:rsidRPr="00E70A11" w:rsidRDefault="00A56EE9" w:rsidP="00A11869">
            <w:pPr>
              <w:numPr>
                <w:ilvl w:val="0"/>
                <w:numId w:val="91"/>
              </w:numPr>
              <w:spacing w:after="0" w:line="240" w:lineRule="auto"/>
              <w:rPr>
                <w:rFonts w:ascii="Arial Narrow" w:hAnsi="Arial Narrow"/>
                <w:sz w:val="18"/>
                <w:szCs w:val="18"/>
              </w:rPr>
            </w:pPr>
            <w:r w:rsidRPr="00E70A11">
              <w:rPr>
                <w:rFonts w:ascii="Arial Narrow" w:hAnsi="Arial Narrow"/>
                <w:color w:val="000000" w:themeColor="text1"/>
                <w:sz w:val="18"/>
                <w:szCs w:val="18"/>
              </w:rPr>
              <w:t>All ports have long term ambient environmental monitoring programs. These monitoring programs examine key environmental values including seagrass, coral, benthic sediment and water quality. These monitoring programs are not a ‘statutory’ requirement and are in place irrespective of whether there is development occurring. These long-term programs are used by ports to determine condition and trend of port environmental values.</w:t>
            </w:r>
          </w:p>
          <w:p w14:paraId="57620012" w14:textId="77777777" w:rsidR="00A56EE9" w:rsidRPr="00E70A11" w:rsidRDefault="00A56EE9" w:rsidP="00A11869">
            <w:pPr>
              <w:numPr>
                <w:ilvl w:val="0"/>
                <w:numId w:val="91"/>
              </w:numPr>
              <w:spacing w:after="0" w:line="240" w:lineRule="auto"/>
              <w:rPr>
                <w:rFonts w:ascii="Arial Narrow" w:hAnsi="Arial Narrow"/>
                <w:sz w:val="18"/>
                <w:szCs w:val="18"/>
              </w:rPr>
            </w:pPr>
            <w:r w:rsidRPr="00E70A11">
              <w:rPr>
                <w:rFonts w:ascii="Arial Narrow" w:hAnsi="Arial Narrow"/>
                <w:color w:val="000000" w:themeColor="text1"/>
                <w:sz w:val="18"/>
                <w:szCs w:val="18"/>
              </w:rPr>
              <w:t>In relation to ports, either directly or indirectly, Reef 2050 Long Term Sustainability Plan documents actions as follow:</w:t>
            </w:r>
          </w:p>
          <w:p w14:paraId="57620013" w14:textId="77777777" w:rsidR="00A56EE9" w:rsidRPr="00E70A11" w:rsidRDefault="00A56EE9" w:rsidP="00A11869">
            <w:pPr>
              <w:numPr>
                <w:ilvl w:val="0"/>
                <w:numId w:val="127"/>
              </w:numPr>
              <w:spacing w:after="0" w:line="240" w:lineRule="auto"/>
              <w:rPr>
                <w:rFonts w:ascii="Arial Narrow" w:hAnsi="Arial Narrow"/>
                <w:sz w:val="18"/>
                <w:szCs w:val="18"/>
              </w:rPr>
            </w:pPr>
            <w:r w:rsidRPr="00E70A11">
              <w:rPr>
                <w:rFonts w:ascii="Arial Narrow" w:hAnsi="Arial Narrow"/>
                <w:sz w:val="18"/>
                <w:szCs w:val="18"/>
              </w:rPr>
              <w:t>Identify the risk and any necessary mitigation measures to deal with impacts of coal dust on the Reef.</w:t>
            </w:r>
          </w:p>
          <w:p w14:paraId="57620014" w14:textId="77777777" w:rsidR="00A56EE9" w:rsidRPr="00E70A11" w:rsidRDefault="00A56EE9" w:rsidP="00A11869">
            <w:pPr>
              <w:numPr>
                <w:ilvl w:val="0"/>
                <w:numId w:val="127"/>
              </w:numPr>
              <w:spacing w:after="0" w:line="240" w:lineRule="auto"/>
              <w:rPr>
                <w:rFonts w:ascii="Arial Narrow" w:hAnsi="Arial Narrow"/>
                <w:sz w:val="18"/>
                <w:szCs w:val="18"/>
              </w:rPr>
            </w:pPr>
            <w:r w:rsidRPr="00E70A11">
              <w:rPr>
                <w:rFonts w:ascii="Arial Narrow" w:hAnsi="Arial Narrow"/>
                <w:sz w:val="18"/>
                <w:szCs w:val="18"/>
              </w:rPr>
              <w:t>Implement commitments for best-practice commercial vessel operation including those aimed at reducing collisions with marine fauna.</w:t>
            </w:r>
          </w:p>
          <w:p w14:paraId="57620015" w14:textId="77777777" w:rsidR="00A56EE9" w:rsidRPr="00E70A11" w:rsidRDefault="00A56EE9" w:rsidP="00A11869">
            <w:pPr>
              <w:numPr>
                <w:ilvl w:val="0"/>
                <w:numId w:val="127"/>
              </w:numPr>
              <w:spacing w:after="0" w:line="240" w:lineRule="auto"/>
              <w:rPr>
                <w:rFonts w:ascii="Arial Narrow" w:hAnsi="Arial Narrow"/>
                <w:sz w:val="18"/>
                <w:szCs w:val="18"/>
              </w:rPr>
            </w:pPr>
            <w:r w:rsidRPr="00E70A11">
              <w:rPr>
                <w:rFonts w:ascii="Arial Narrow" w:hAnsi="Arial Narrow"/>
                <w:sz w:val="18"/>
                <w:szCs w:val="18"/>
              </w:rPr>
              <w:t>Identify, protect and manage key habitat for inshore dolphins.</w:t>
            </w:r>
          </w:p>
          <w:p w14:paraId="57620016" w14:textId="77777777" w:rsidR="00A56EE9" w:rsidRPr="00E70A11" w:rsidRDefault="00A56EE9" w:rsidP="00A11869">
            <w:pPr>
              <w:numPr>
                <w:ilvl w:val="0"/>
                <w:numId w:val="127"/>
              </w:numPr>
              <w:spacing w:after="0" w:line="240" w:lineRule="auto"/>
              <w:rPr>
                <w:rFonts w:ascii="Arial Narrow" w:hAnsi="Arial Narrow"/>
                <w:sz w:val="18"/>
                <w:szCs w:val="18"/>
              </w:rPr>
            </w:pPr>
            <w:r w:rsidRPr="00E70A11">
              <w:rPr>
                <w:rFonts w:ascii="Arial Narrow" w:hAnsi="Arial Narrow"/>
                <w:sz w:val="18"/>
                <w:szCs w:val="18"/>
              </w:rPr>
              <w:t>Develop a guideline specific to the Great Barrier Reef on assessing and managing impacts of underwater noise, particularly for at-risk and inshore species.</w:t>
            </w:r>
          </w:p>
          <w:p w14:paraId="57620017" w14:textId="77777777" w:rsidR="00A56EE9" w:rsidRPr="00E70A11" w:rsidRDefault="00A56EE9" w:rsidP="00A11869">
            <w:pPr>
              <w:numPr>
                <w:ilvl w:val="0"/>
                <w:numId w:val="91"/>
              </w:numPr>
              <w:spacing w:after="0" w:line="240" w:lineRule="auto"/>
              <w:rPr>
                <w:rFonts w:ascii="Arial Narrow" w:hAnsi="Arial Narrow"/>
                <w:sz w:val="18"/>
                <w:szCs w:val="18"/>
              </w:rPr>
            </w:pPr>
            <w:r w:rsidRPr="00E70A11">
              <w:rPr>
                <w:rFonts w:ascii="Arial Narrow" w:hAnsi="Arial Narrow"/>
                <w:sz w:val="18"/>
                <w:szCs w:val="18"/>
              </w:rPr>
              <w:t>Another recognised gap in available research and monitoring data is that associated with introduced marine pests.</w:t>
            </w:r>
          </w:p>
          <w:p w14:paraId="57620018" w14:textId="77777777" w:rsidR="00A56EE9" w:rsidRPr="00E70A11" w:rsidRDefault="00A56EE9" w:rsidP="00A11869">
            <w:pPr>
              <w:numPr>
                <w:ilvl w:val="0"/>
                <w:numId w:val="91"/>
              </w:numPr>
              <w:spacing w:after="0" w:line="240" w:lineRule="auto"/>
              <w:jc w:val="both"/>
              <w:rPr>
                <w:rStyle w:val="BookTitle"/>
                <w:rFonts w:ascii="Arial Narrow" w:hAnsi="Arial Narrow"/>
                <w:color w:val="000000" w:themeColor="text1"/>
                <w:sz w:val="18"/>
                <w:szCs w:val="18"/>
              </w:rPr>
            </w:pPr>
            <w:r w:rsidRPr="00E70A11">
              <w:rPr>
                <w:rFonts w:ascii="Arial Narrow" w:hAnsi="Arial Narrow"/>
                <w:sz w:val="18"/>
                <w:szCs w:val="18"/>
              </w:rPr>
              <w:t>There remains a lack of coherent and collated monitoring and reporting of biophysical indicators within and between GBR ports, although this is situation is being improved to some extent via programs such as RIMReP, report cards, and some targeted research projects.</w:t>
            </w:r>
          </w:p>
          <w:p w14:paraId="57620019" w14:textId="77777777" w:rsidR="00A56EE9" w:rsidRPr="00E70A11" w:rsidRDefault="00A56EE9" w:rsidP="00A11869">
            <w:pPr>
              <w:pStyle w:val="ListParagraph"/>
              <w:numPr>
                <w:ilvl w:val="0"/>
                <w:numId w:val="91"/>
              </w:numPr>
              <w:spacing w:after="0" w:line="240" w:lineRule="auto"/>
              <w:jc w:val="both"/>
              <w:rPr>
                <w:rStyle w:val="BookTitle"/>
                <w:rFonts w:ascii="Arial Narrow" w:hAnsi="Arial Narrow"/>
                <w:color w:val="000000" w:themeColor="text1"/>
                <w:sz w:val="18"/>
                <w:szCs w:val="18"/>
              </w:rPr>
            </w:pPr>
            <w:r w:rsidRPr="00E70A11">
              <w:rPr>
                <w:rFonts w:ascii="Arial Narrow" w:hAnsi="Arial Narrow" w:cs="Arial Narrow"/>
                <w:color w:val="000000" w:themeColor="text1"/>
                <w:sz w:val="18"/>
                <w:szCs w:val="18"/>
              </w:rPr>
              <w:t>See also IN4.</w:t>
            </w:r>
          </w:p>
        </w:tc>
        <w:tc>
          <w:tcPr>
            <w:tcW w:w="5066" w:type="dxa"/>
            <w:tcBorders>
              <w:top w:val="single" w:sz="4" w:space="0" w:color="auto"/>
              <w:left w:val="single" w:sz="4" w:space="0" w:color="auto"/>
              <w:bottom w:val="single" w:sz="4" w:space="0" w:color="auto"/>
              <w:right w:val="single" w:sz="4" w:space="0" w:color="auto"/>
            </w:tcBorders>
          </w:tcPr>
          <w:p w14:paraId="5762001A" w14:textId="4B83805E"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436" w:history="1">
              <w:r w:rsidR="00A56EE9" w:rsidRPr="00E70A11">
                <w:rPr>
                  <w:rStyle w:val="Hyperlink"/>
                  <w:rFonts w:ascii="Arial Narrow" w:hAnsi="Arial Narrow"/>
                  <w:color w:val="000000" w:themeColor="text1"/>
                  <w:sz w:val="18"/>
                  <w:szCs w:val="18"/>
                  <w:lang w:val="en"/>
                </w:rPr>
                <w:t>Gladstone environmental monitoring</w:t>
              </w:r>
            </w:hyperlink>
            <w:r w:rsidR="00A56EE9" w:rsidRPr="00E70A11">
              <w:rPr>
                <w:rFonts w:ascii="Arial Narrow" w:hAnsi="Arial Narrow"/>
                <w:color w:val="000000" w:themeColor="text1"/>
                <w:sz w:val="18"/>
                <w:szCs w:val="18"/>
                <w:lang w:val="en"/>
              </w:rPr>
              <w:t xml:space="preserve"> (last updated </w:t>
            </w:r>
            <w:proofErr w:type="gramStart"/>
            <w:r w:rsidR="00A56EE9" w:rsidRPr="00E70A11">
              <w:rPr>
                <w:rFonts w:ascii="Arial Narrow" w:hAnsi="Arial Narrow"/>
                <w:color w:val="000000" w:themeColor="text1"/>
                <w:sz w:val="18"/>
                <w:szCs w:val="18"/>
                <w:lang w:val="en"/>
              </w:rPr>
              <w:t>2016 )</w:t>
            </w:r>
            <w:proofErr w:type="gramEnd"/>
            <w:r w:rsidR="00A56EE9" w:rsidRPr="00E70A11">
              <w:rPr>
                <w:rFonts w:ascii="Arial Narrow" w:hAnsi="Arial Narrow"/>
                <w:color w:val="000000" w:themeColor="text1"/>
                <w:sz w:val="18"/>
                <w:szCs w:val="18"/>
                <w:lang w:val="en"/>
              </w:rPr>
              <w:t>.</w:t>
            </w:r>
            <w:r w:rsidR="00242993">
              <w:rPr>
                <w:rFonts w:ascii="Arial Narrow" w:hAnsi="Arial Narrow"/>
                <w:color w:val="000000" w:themeColor="text1"/>
                <w:sz w:val="18"/>
                <w:szCs w:val="18"/>
                <w:lang w:val="en"/>
              </w:rPr>
              <w:t xml:space="preserve"> </w:t>
            </w:r>
          </w:p>
          <w:p w14:paraId="5762001B" w14:textId="0787BCA0"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Gladstone Healthy Harbour Partnership </w:t>
            </w:r>
            <w:hyperlink r:id="rId1437" w:tooltip="document link" w:history="1">
              <w:r w:rsidRPr="00E70A11">
                <w:rPr>
                  <w:rStyle w:val="Hyperlink"/>
                  <w:rFonts w:ascii="Arial Narrow" w:hAnsi="Arial Narrow"/>
                  <w:color w:val="000000" w:themeColor="text1"/>
                  <w:sz w:val="18"/>
                  <w:szCs w:val="18"/>
                </w:rPr>
                <w:t>http://www.ehp.qld.gov.au/gladstone/healthy-harbour/</w:t>
              </w:r>
            </w:hyperlink>
            <w:r w:rsidRPr="00E70A11">
              <w:rPr>
                <w:rFonts w:ascii="Arial Narrow" w:hAnsi="Arial Narrow"/>
                <w:color w:val="000000" w:themeColor="text1"/>
                <w:sz w:val="18"/>
                <w:szCs w:val="18"/>
              </w:rPr>
              <w:t xml:space="preserve"> </w:t>
            </w:r>
          </w:p>
          <w:p w14:paraId="5762001C"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Fonts w:ascii="Arial Narrow" w:hAnsi="Arial Narrow"/>
                <w:color w:val="000000" w:themeColor="text1"/>
                <w:sz w:val="18"/>
                <w:szCs w:val="18"/>
              </w:rPr>
              <w:t xml:space="preserve">Marine Monitoring Program - </w:t>
            </w:r>
            <w:hyperlink r:id="rId1438" w:history="1">
              <w:r w:rsidRPr="00E70A11">
                <w:rPr>
                  <w:rStyle w:val="Hyperlink"/>
                  <w:rFonts w:ascii="Arial Narrow" w:hAnsi="Arial Narrow"/>
                  <w:color w:val="000000" w:themeColor="text1"/>
                  <w:sz w:val="18"/>
                  <w:szCs w:val="18"/>
                </w:rPr>
                <w:t>Inshore seagrass monitoring</w:t>
              </w:r>
            </w:hyperlink>
          </w:p>
          <w:p w14:paraId="5762001D"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Style w:val="Hyperlink"/>
                <w:rFonts w:ascii="Arial Narrow" w:hAnsi="Arial Narrow"/>
                <w:color w:val="000000" w:themeColor="text1"/>
                <w:sz w:val="18"/>
                <w:szCs w:val="18"/>
              </w:rPr>
              <w:t xml:space="preserve">Reef </w:t>
            </w:r>
            <w:hyperlink r:id="rId1439" w:history="1">
              <w:r w:rsidRPr="00E70A11">
                <w:rPr>
                  <w:rStyle w:val="Hyperlink"/>
                  <w:rFonts w:ascii="Arial Narrow" w:hAnsi="Arial Narrow"/>
                  <w:color w:val="000000" w:themeColor="text1"/>
                  <w:sz w:val="18"/>
                  <w:szCs w:val="18"/>
                </w:rPr>
                <w:t>Plan</w:t>
              </w:r>
            </w:hyperlink>
            <w:r w:rsidRPr="00E70A11">
              <w:rPr>
                <w:rFonts w:ascii="Arial Narrow" w:hAnsi="Arial Narrow"/>
                <w:b/>
                <w:color w:val="000000" w:themeColor="text1"/>
                <w:sz w:val="18"/>
                <w:szCs w:val="18"/>
              </w:rPr>
              <w:t xml:space="preserve"> </w:t>
            </w:r>
          </w:p>
          <w:p w14:paraId="5762001E"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440" w:history="1">
              <w:r w:rsidR="00A56EE9" w:rsidRPr="00E70A11">
                <w:rPr>
                  <w:rStyle w:val="Hyperlink"/>
                  <w:rFonts w:ascii="Arial Narrow" w:hAnsi="Arial Narrow"/>
                  <w:color w:val="000000" w:themeColor="text1"/>
                  <w:sz w:val="18"/>
                  <w:szCs w:val="18"/>
                </w:rPr>
                <w:t>Synthesis of current knowledge of the biophysical impacts of dredging and disposal on the Great Barrier Reef: report of an independent panel of experts</w:t>
              </w:r>
            </w:hyperlink>
          </w:p>
          <w:p w14:paraId="5762001F"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441" w:history="1">
              <w:r w:rsidR="00A56EE9" w:rsidRPr="00E70A11">
                <w:rPr>
                  <w:rStyle w:val="Hyperlink"/>
                  <w:rFonts w:ascii="Arial Narrow" w:hAnsi="Arial Narrow"/>
                  <w:color w:val="000000" w:themeColor="text1"/>
                  <w:sz w:val="18"/>
                  <w:szCs w:val="18"/>
                  <w:lang w:val="en"/>
                </w:rPr>
                <w:t>Bulk Ports Corporation</w:t>
              </w:r>
            </w:hyperlink>
            <w:r w:rsidR="00A56EE9" w:rsidRPr="00E70A11">
              <w:rPr>
                <w:rFonts w:ascii="Arial Narrow" w:hAnsi="Arial Narrow"/>
                <w:color w:val="000000" w:themeColor="text1"/>
                <w:sz w:val="18"/>
                <w:szCs w:val="18"/>
                <w:lang w:val="en"/>
              </w:rPr>
              <w:t xml:space="preserve"> monitoring reports</w:t>
            </w:r>
          </w:p>
          <w:p w14:paraId="57620021" w14:textId="77777777" w:rsidR="00A56EE9" w:rsidRPr="00E70A11" w:rsidRDefault="00A56EE9" w:rsidP="00B10631">
            <w:pPr>
              <w:pStyle w:val="ListParagraph"/>
              <w:spacing w:after="200" w:line="276" w:lineRule="auto"/>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20022"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023"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035"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025"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ports</w:t>
            </w:r>
          </w:p>
        </w:tc>
        <w:tc>
          <w:tcPr>
            <w:tcW w:w="790" w:type="dxa"/>
            <w:tcBorders>
              <w:top w:val="single" w:sz="4" w:space="0" w:color="auto"/>
              <w:left w:val="single" w:sz="4" w:space="0" w:color="auto"/>
              <w:bottom w:val="single" w:sz="4" w:space="0" w:color="auto"/>
              <w:right w:val="single" w:sz="4" w:space="0" w:color="auto"/>
            </w:tcBorders>
          </w:tcPr>
          <w:p w14:paraId="57620026"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027" w14:textId="77777777" w:rsidR="00A56EE9" w:rsidRPr="00E70A11" w:rsidRDefault="00A56EE9" w:rsidP="00A11869">
            <w:pPr>
              <w:numPr>
                <w:ilvl w:val="0"/>
                <w:numId w:val="103"/>
              </w:numPr>
              <w:spacing w:before="40" w:after="40" w:line="240" w:lineRule="auto"/>
              <w:rPr>
                <w:rFonts w:ascii="Arial Narrow" w:hAnsi="Arial Narrow"/>
                <w:sz w:val="18"/>
                <w:szCs w:val="18"/>
              </w:rPr>
            </w:pPr>
            <w:r w:rsidRPr="00E70A11">
              <w:rPr>
                <w:rFonts w:ascii="Arial Narrow" w:hAnsi="Arial Narrow"/>
                <w:sz w:val="18"/>
                <w:szCs w:val="18"/>
              </w:rPr>
              <w:t>See also IN5.</w:t>
            </w:r>
          </w:p>
          <w:p w14:paraId="57620028" w14:textId="77777777" w:rsidR="00A56EE9" w:rsidRPr="00E70A11" w:rsidRDefault="00A56EE9" w:rsidP="00A11869">
            <w:pPr>
              <w:numPr>
                <w:ilvl w:val="0"/>
                <w:numId w:val="103"/>
              </w:numPr>
              <w:spacing w:before="40" w:after="40" w:line="240" w:lineRule="auto"/>
              <w:rPr>
                <w:rFonts w:ascii="Arial Narrow" w:hAnsi="Arial Narrow"/>
                <w:sz w:val="18"/>
                <w:szCs w:val="18"/>
              </w:rPr>
            </w:pPr>
            <w:r w:rsidRPr="00E70A11">
              <w:rPr>
                <w:rFonts w:ascii="Arial Narrow" w:hAnsi="Arial Narrow"/>
                <w:sz w:val="18"/>
                <w:szCs w:val="18"/>
              </w:rPr>
              <w:t>Significant information available regarding economic value of ports e.g. volumes and value of cargoes and commodities, jobs etc.</w:t>
            </w:r>
          </w:p>
          <w:p w14:paraId="57620029" w14:textId="77777777" w:rsidR="00A56EE9" w:rsidRPr="00E70A11" w:rsidRDefault="00A56EE9" w:rsidP="00A11869">
            <w:pPr>
              <w:pStyle w:val="ListParagraph"/>
              <w:numPr>
                <w:ilvl w:val="0"/>
                <w:numId w:val="103"/>
              </w:numPr>
              <w:spacing w:after="0" w:line="240" w:lineRule="auto"/>
              <w:jc w:val="both"/>
              <w:rPr>
                <w:rStyle w:val="BookTitle"/>
                <w:rFonts w:ascii="Arial Narrow" w:hAnsi="Arial Narrow"/>
                <w:color w:val="000000" w:themeColor="text1"/>
                <w:sz w:val="18"/>
                <w:szCs w:val="18"/>
              </w:rPr>
            </w:pPr>
            <w:r w:rsidRPr="00E70A11">
              <w:rPr>
                <w:rFonts w:ascii="Arial Narrow" w:hAnsi="Arial Narrow"/>
                <w:sz w:val="18"/>
                <w:szCs w:val="18"/>
              </w:rPr>
              <w:t>Socio-economic information is intended to be applied to port master planning processes.</w:t>
            </w:r>
          </w:p>
          <w:p w14:paraId="5762002A" w14:textId="77777777" w:rsidR="00A56EE9" w:rsidRPr="00E70A11" w:rsidRDefault="00A56EE9" w:rsidP="00A11869">
            <w:pPr>
              <w:pStyle w:val="ListParagraph"/>
              <w:numPr>
                <w:ilvl w:val="0"/>
                <w:numId w:val="103"/>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Socio and economic research data considered by the RIMReP Human Dimensions expert working group.</w:t>
            </w:r>
          </w:p>
          <w:p w14:paraId="5762002B" w14:textId="77777777" w:rsidR="00A56EE9" w:rsidRPr="00E70A11" w:rsidRDefault="00A56EE9" w:rsidP="00A11869">
            <w:pPr>
              <w:pStyle w:val="ListParagraph"/>
              <w:numPr>
                <w:ilvl w:val="0"/>
                <w:numId w:val="103"/>
              </w:numPr>
              <w:spacing w:after="0" w:line="276"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 xml:space="preserve">Compliance and stewardship data (publicly available secondary data) is being compiled under RIMReP human dimensions indicators. </w:t>
            </w:r>
          </w:p>
          <w:p w14:paraId="5762002C" w14:textId="77777777" w:rsidR="00A56EE9" w:rsidRPr="00E70A11" w:rsidRDefault="00A56EE9" w:rsidP="00A11869">
            <w:pPr>
              <w:pStyle w:val="ListParagraph"/>
              <w:numPr>
                <w:ilvl w:val="0"/>
                <w:numId w:val="103"/>
              </w:numPr>
              <w:spacing w:after="0" w:line="240" w:lineRule="auto"/>
              <w:jc w:val="both"/>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The SELTMP Ports and Shipping in the Great Barrier Reef 2014</w:t>
            </w:r>
            <w:hyperlink r:id="rId1442" w:history="1">
              <w:r w:rsidRPr="00E70A11">
                <w:rPr>
                  <w:rStyle w:val="Hyperlink"/>
                  <w:rFonts w:ascii="Arial Narrow" w:hAnsi="Arial Narrow"/>
                  <w:color w:val="000000" w:themeColor="text1"/>
                  <w:sz w:val="18"/>
                  <w:szCs w:val="18"/>
                </w:rPr>
                <w:t xml:space="preserve"> technical report</w:t>
              </w:r>
            </w:hyperlink>
            <w:r w:rsidRPr="00E70A11">
              <w:rPr>
                <w:rStyle w:val="BookTitle"/>
                <w:rFonts w:ascii="Arial Narrow" w:hAnsi="Arial Narrow"/>
                <w:color w:val="000000" w:themeColor="text1"/>
                <w:sz w:val="18"/>
                <w:szCs w:val="18"/>
              </w:rPr>
              <w:t xml:space="preserve"> presents socio-economic data and indicators relevant to the current state of ports and shipping in the Great Barrier Reef region. This report shows community perceptions of ports and shipping in the GBR. It represents more than 8000 respondents from sectors including GBR coastal residents, tourists visiting the GBR region, commercial fishers and marine tourism operators in the GBR, and Australian residents nation-wide.</w:t>
            </w:r>
          </w:p>
        </w:tc>
        <w:tc>
          <w:tcPr>
            <w:tcW w:w="5066" w:type="dxa"/>
            <w:tcBorders>
              <w:top w:val="single" w:sz="4" w:space="0" w:color="auto"/>
              <w:left w:val="single" w:sz="4" w:space="0" w:color="auto"/>
              <w:bottom w:val="single" w:sz="4" w:space="0" w:color="auto"/>
              <w:right w:val="single" w:sz="4" w:space="0" w:color="auto"/>
            </w:tcBorders>
          </w:tcPr>
          <w:p w14:paraId="5762002D" w14:textId="77777777" w:rsidR="00A56EE9" w:rsidRPr="00E70A11" w:rsidRDefault="008B5998" w:rsidP="00A11869">
            <w:pPr>
              <w:pStyle w:val="ListParagraph"/>
              <w:numPr>
                <w:ilvl w:val="0"/>
                <w:numId w:val="115"/>
              </w:numPr>
              <w:spacing w:after="200" w:line="240" w:lineRule="auto"/>
              <w:rPr>
                <w:rFonts w:ascii="Arial Narrow" w:hAnsi="Arial Narrow"/>
                <w:color w:val="000000" w:themeColor="text1"/>
                <w:sz w:val="18"/>
                <w:szCs w:val="18"/>
              </w:rPr>
            </w:pPr>
            <w:hyperlink r:id="rId1443" w:history="1">
              <w:r w:rsidR="00A56EE9" w:rsidRPr="00E70A11">
                <w:rPr>
                  <w:rStyle w:val="Hyperlink"/>
                  <w:rFonts w:ascii="Arial Narrow" w:hAnsi="Arial Narrow"/>
                  <w:color w:val="000000" w:themeColor="text1"/>
                  <w:sz w:val="18"/>
                  <w:szCs w:val="18"/>
                </w:rPr>
                <w:t>Social value assessment</w:t>
              </w:r>
            </w:hyperlink>
          </w:p>
          <w:p w14:paraId="5762002E" w14:textId="77777777" w:rsidR="00A56EE9" w:rsidRPr="00E70A11" w:rsidRDefault="008B5998" w:rsidP="00A11869">
            <w:pPr>
              <w:pStyle w:val="ListParagraph"/>
              <w:numPr>
                <w:ilvl w:val="0"/>
                <w:numId w:val="115"/>
              </w:numPr>
              <w:spacing w:after="200" w:line="240" w:lineRule="auto"/>
              <w:rPr>
                <w:rFonts w:ascii="Arial Narrow" w:hAnsi="Arial Narrow"/>
                <w:color w:val="000000" w:themeColor="text1"/>
                <w:sz w:val="18"/>
                <w:szCs w:val="18"/>
              </w:rPr>
            </w:pPr>
            <w:hyperlink r:id="rId1444" w:history="1">
              <w:r w:rsidR="00A56EE9" w:rsidRPr="00E70A11">
                <w:rPr>
                  <w:rStyle w:val="Hyperlink"/>
                  <w:rFonts w:ascii="Arial Narrow" w:hAnsi="Arial Narrow"/>
                  <w:color w:val="000000" w:themeColor="text1"/>
                  <w:sz w:val="18"/>
                  <w:szCs w:val="18"/>
                </w:rPr>
                <w:t>Reef 2050 Integrated Monitoring and Reporting Program</w:t>
              </w:r>
            </w:hyperlink>
          </w:p>
          <w:p w14:paraId="5762002F" w14:textId="77777777" w:rsidR="00A56EE9" w:rsidRPr="00E70A11" w:rsidRDefault="008B5998" w:rsidP="00A11869">
            <w:pPr>
              <w:pStyle w:val="ListParagraph"/>
              <w:numPr>
                <w:ilvl w:val="0"/>
                <w:numId w:val="115"/>
              </w:numPr>
              <w:spacing w:after="200" w:line="240" w:lineRule="auto"/>
              <w:rPr>
                <w:rFonts w:ascii="Arial Narrow" w:hAnsi="Arial Narrow"/>
                <w:color w:val="000000" w:themeColor="text1"/>
                <w:sz w:val="18"/>
                <w:szCs w:val="18"/>
              </w:rPr>
            </w:pPr>
            <w:hyperlink r:id="rId1445" w:history="1">
              <w:r w:rsidR="00A56EE9" w:rsidRPr="00E70A11">
                <w:rPr>
                  <w:rStyle w:val="Hyperlink"/>
                  <w:rFonts w:ascii="Arial Narrow" w:hAnsi="Arial Narrow"/>
                  <w:color w:val="000000" w:themeColor="text1"/>
                  <w:sz w:val="18"/>
                  <w:szCs w:val="18"/>
                </w:rPr>
                <w:t>SELTMP 2014 report on ports and shipping.</w:t>
              </w:r>
            </w:hyperlink>
            <w:r w:rsidR="00A56EE9" w:rsidRPr="00E70A11">
              <w:rPr>
                <w:rFonts w:ascii="Arial Narrow" w:hAnsi="Arial Narrow"/>
                <w:color w:val="000000" w:themeColor="text1"/>
                <w:sz w:val="18"/>
                <w:szCs w:val="18"/>
              </w:rPr>
              <w:t xml:space="preserve"> </w:t>
            </w:r>
          </w:p>
          <w:p w14:paraId="57620030" w14:textId="77777777" w:rsidR="00A56EE9" w:rsidRPr="00E70A11" w:rsidRDefault="00A56EE9" w:rsidP="00A11869">
            <w:pPr>
              <w:pStyle w:val="ListParagraph"/>
              <w:numPr>
                <w:ilvl w:val="0"/>
                <w:numId w:val="115"/>
              </w:numPr>
              <w:spacing w:after="20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RIMReP internal scoping document</w:t>
            </w:r>
          </w:p>
          <w:p w14:paraId="57620031" w14:textId="77777777" w:rsidR="00A56EE9" w:rsidRPr="00615DDA" w:rsidRDefault="00A56EE9" w:rsidP="00A11869">
            <w:pPr>
              <w:pStyle w:val="ListParagraph"/>
              <w:numPr>
                <w:ilvl w:val="0"/>
                <w:numId w:val="115"/>
              </w:numPr>
              <w:spacing w:after="200" w:line="240" w:lineRule="auto"/>
              <w:rPr>
                <w:rFonts w:ascii="Arial Narrow" w:hAnsi="Arial Narrow"/>
                <w:b/>
                <w:color w:val="000000" w:themeColor="text1"/>
                <w:sz w:val="18"/>
                <w:szCs w:val="18"/>
              </w:rPr>
            </w:pPr>
            <w:r w:rsidRPr="00615DDA">
              <w:rPr>
                <w:rStyle w:val="Strong"/>
                <w:rFonts w:ascii="Arial Narrow" w:hAnsi="Arial Narrow"/>
                <w:b w:val="0"/>
                <w:color w:val="000000" w:themeColor="text1"/>
                <w:sz w:val="18"/>
                <w:szCs w:val="18"/>
              </w:rPr>
              <w:t xml:space="preserve">Gooch et al. 2017 Assessment and Promotion of the Great Barrier Reef’s Human Dimensions through Collaboration. </w:t>
            </w:r>
            <w:r w:rsidRPr="00436A76">
              <w:rPr>
                <w:rStyle w:val="Strong"/>
                <w:rFonts w:ascii="Arial Narrow" w:hAnsi="Arial Narrow"/>
                <w:b w:val="0"/>
                <w:i/>
                <w:color w:val="000000" w:themeColor="text1"/>
                <w:sz w:val="18"/>
                <w:szCs w:val="18"/>
              </w:rPr>
              <w:t>Coastal Management</w:t>
            </w:r>
            <w:r w:rsidRPr="00436A76">
              <w:rPr>
                <w:rStyle w:val="Strong"/>
                <w:rFonts w:ascii="Arial Narrow" w:hAnsi="Arial Narrow"/>
                <w:b w:val="0"/>
                <w:color w:val="000000" w:themeColor="text1"/>
                <w:sz w:val="18"/>
                <w:szCs w:val="18"/>
              </w:rPr>
              <w:t>, DOI: 10.1080/08920753.2017.1373455</w:t>
            </w:r>
          </w:p>
          <w:p w14:paraId="57620032"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20033"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03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046"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036"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ports</w:t>
            </w:r>
          </w:p>
        </w:tc>
        <w:tc>
          <w:tcPr>
            <w:tcW w:w="790" w:type="dxa"/>
            <w:tcBorders>
              <w:top w:val="single" w:sz="4" w:space="0" w:color="auto"/>
              <w:left w:val="single" w:sz="4" w:space="0" w:color="auto"/>
              <w:bottom w:val="single" w:sz="4" w:space="0" w:color="auto"/>
              <w:right w:val="single" w:sz="4" w:space="0" w:color="auto"/>
            </w:tcBorders>
          </w:tcPr>
          <w:p w14:paraId="57620037"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038" w14:textId="77777777" w:rsidR="00A56EE9" w:rsidRPr="00E70A11" w:rsidRDefault="00A56EE9" w:rsidP="00A11869">
            <w:pPr>
              <w:pStyle w:val="ListParagraph"/>
              <w:numPr>
                <w:ilvl w:val="0"/>
                <w:numId w:val="24"/>
              </w:numPr>
              <w:spacing w:after="200" w:line="240" w:lineRule="auto"/>
              <w:rPr>
                <w:rFonts w:ascii="Arial Narrow" w:hAnsi="Arial Narrow"/>
                <w:color w:val="000000" w:themeColor="text1"/>
                <w:sz w:val="18"/>
                <w:szCs w:val="18"/>
              </w:rPr>
            </w:pPr>
            <w:r w:rsidRPr="00E70A11">
              <w:rPr>
                <w:rFonts w:ascii="Arial Narrow" w:hAnsi="Arial Narrow"/>
                <w:sz w:val="18"/>
                <w:szCs w:val="18"/>
              </w:rPr>
              <w:t xml:space="preserve">Reasonable to assume information is applied to decision making about infrastructure siting as a component of environmental impact assessment processes. </w:t>
            </w:r>
          </w:p>
          <w:p w14:paraId="57620039" w14:textId="77777777" w:rsidR="00A56EE9" w:rsidRPr="00E70A11" w:rsidRDefault="00A56EE9" w:rsidP="00A11869">
            <w:pPr>
              <w:pStyle w:val="ListParagraph"/>
              <w:numPr>
                <w:ilvl w:val="0"/>
                <w:numId w:val="24"/>
              </w:numPr>
              <w:spacing w:after="200" w:line="240" w:lineRule="auto"/>
              <w:rPr>
                <w:rFonts w:ascii="Arial Narrow" w:hAnsi="Arial Narrow"/>
                <w:color w:val="000000" w:themeColor="text1"/>
                <w:sz w:val="18"/>
                <w:szCs w:val="18"/>
              </w:rPr>
            </w:pPr>
            <w:r w:rsidRPr="00E70A11">
              <w:rPr>
                <w:rFonts w:ascii="Arial Narrow" w:hAnsi="Arial Narrow"/>
                <w:sz w:val="18"/>
                <w:szCs w:val="18"/>
              </w:rPr>
              <w:t>Less clear about how any information might be applied to operations or other aspects of port activity.</w:t>
            </w:r>
          </w:p>
          <w:p w14:paraId="5762003A"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66" w:type="dxa"/>
            <w:tcBorders>
              <w:top w:val="single" w:sz="4" w:space="0" w:color="auto"/>
              <w:left w:val="single" w:sz="4" w:space="0" w:color="auto"/>
              <w:bottom w:val="single" w:sz="4" w:space="0" w:color="auto"/>
              <w:right w:val="single" w:sz="4" w:space="0" w:color="auto"/>
            </w:tcBorders>
          </w:tcPr>
          <w:p w14:paraId="5762003B" w14:textId="77777777" w:rsidR="00A56EE9" w:rsidRPr="00E70A11" w:rsidRDefault="008B5998" w:rsidP="00A11869">
            <w:pPr>
              <w:pStyle w:val="ListParagraph"/>
              <w:numPr>
                <w:ilvl w:val="0"/>
                <w:numId w:val="103"/>
              </w:numPr>
              <w:spacing w:after="0" w:line="240" w:lineRule="auto"/>
              <w:jc w:val="both"/>
              <w:rPr>
                <w:rFonts w:ascii="Arial Narrow" w:hAnsi="Arial Narrow"/>
                <w:color w:val="000000" w:themeColor="text1"/>
                <w:sz w:val="18"/>
                <w:szCs w:val="18"/>
              </w:rPr>
            </w:pPr>
            <w:hyperlink r:id="rId1446" w:history="1">
              <w:r w:rsidR="00A56EE9" w:rsidRPr="00E70A11">
                <w:rPr>
                  <w:rStyle w:val="Hyperlink"/>
                  <w:rFonts w:ascii="Arial Narrow" w:hAnsi="Arial Narrow"/>
                  <w:color w:val="000000" w:themeColor="text1"/>
                  <w:kern w:val="36"/>
                  <w:sz w:val="18"/>
                  <w:szCs w:val="18"/>
                  <w:lang w:val="en-US"/>
                </w:rPr>
                <w:t>Register</w:t>
              </w:r>
            </w:hyperlink>
            <w:r w:rsidR="00A56EE9" w:rsidRPr="00E70A11">
              <w:rPr>
                <w:rStyle w:val="h1span1"/>
                <w:rFonts w:ascii="Arial Narrow" w:hAnsi="Arial Narrow"/>
                <w:bCs/>
                <w:color w:val="000000" w:themeColor="text1"/>
                <w:kern w:val="36"/>
                <w:sz w:val="18"/>
                <w:szCs w:val="18"/>
                <w:lang w:val="en-US"/>
              </w:rPr>
              <w:t xml:space="preserve"> of Indigenous Land Use Agreements, </w:t>
            </w:r>
            <w:r w:rsidR="00A56EE9" w:rsidRPr="00E70A11">
              <w:rPr>
                <w:rFonts w:ascii="Arial Narrow" w:hAnsi="Arial Narrow"/>
                <w:color w:val="000000" w:themeColor="text1"/>
                <w:sz w:val="18"/>
                <w:szCs w:val="18"/>
                <w:lang w:val="en-US"/>
              </w:rPr>
              <w:t>National Native Title Tribunal (Cth)</w:t>
            </w:r>
          </w:p>
          <w:p w14:paraId="5762003C" w14:textId="77777777" w:rsidR="00A56EE9" w:rsidRPr="00E70A11" w:rsidRDefault="00A56EE9" w:rsidP="00A11869">
            <w:pPr>
              <w:pStyle w:val="ListParagraph"/>
              <w:numPr>
                <w:ilvl w:val="0"/>
                <w:numId w:val="103"/>
              </w:numPr>
              <w:spacing w:after="20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Aboriginal and Torres Strait islander heritage strategy</w:t>
            </w:r>
          </w:p>
          <w:p w14:paraId="5762003D" w14:textId="77777777" w:rsidR="00A56EE9" w:rsidRPr="00E70A11" w:rsidRDefault="00A56EE9" w:rsidP="00A11869">
            <w:pPr>
              <w:pStyle w:val="ListParagraph"/>
              <w:numPr>
                <w:ilvl w:val="0"/>
                <w:numId w:val="103"/>
              </w:numPr>
              <w:spacing w:after="0" w:line="240" w:lineRule="auto"/>
              <w:jc w:val="both"/>
              <w:rPr>
                <w:rStyle w:val="BookTitle"/>
                <w:rFonts w:ascii="Arial Narrow" w:hAnsi="Arial Narrow" w:cs="Times New Roman"/>
                <w:color w:val="000000" w:themeColor="text1"/>
                <w:sz w:val="18"/>
                <w:szCs w:val="18"/>
              </w:rPr>
            </w:pPr>
            <w:r w:rsidRPr="00E70A11">
              <w:rPr>
                <w:rStyle w:val="BookTitle"/>
                <w:rFonts w:ascii="Arial Narrow" w:hAnsi="Arial Narrow"/>
                <w:color w:val="000000" w:themeColor="text1"/>
                <w:sz w:val="18"/>
                <w:szCs w:val="18"/>
              </w:rPr>
              <w:t>Traditional owner heritage strategy</w:t>
            </w:r>
          </w:p>
          <w:p w14:paraId="5762003E" w14:textId="77777777" w:rsidR="00A56EE9" w:rsidRPr="00E70A11" w:rsidRDefault="008B5998" w:rsidP="00A11869">
            <w:pPr>
              <w:pStyle w:val="ListParagraph"/>
              <w:numPr>
                <w:ilvl w:val="0"/>
                <w:numId w:val="103"/>
              </w:numPr>
              <w:spacing w:after="0" w:line="240" w:lineRule="auto"/>
              <w:jc w:val="both"/>
              <w:rPr>
                <w:rFonts w:ascii="Arial Narrow" w:hAnsi="Arial Narrow"/>
                <w:color w:val="000000" w:themeColor="text1"/>
                <w:sz w:val="18"/>
                <w:szCs w:val="18"/>
              </w:rPr>
            </w:pPr>
            <w:hyperlink r:id="rId1447" w:history="1">
              <w:r w:rsidR="00A56EE9" w:rsidRPr="00E70A11">
                <w:rPr>
                  <w:rStyle w:val="Hyperlink"/>
                  <w:rFonts w:ascii="Arial Narrow" w:hAnsi="Arial Narrow"/>
                  <w:color w:val="000000" w:themeColor="text1"/>
                  <w:sz w:val="18"/>
                  <w:szCs w:val="18"/>
                </w:rPr>
                <w:t>Traditional Owner heritage assessment</w:t>
              </w:r>
            </w:hyperlink>
          </w:p>
          <w:p w14:paraId="5762003F" w14:textId="77777777" w:rsidR="00A56EE9" w:rsidRPr="00E70A11" w:rsidRDefault="008B5998" w:rsidP="00A11869">
            <w:pPr>
              <w:pStyle w:val="ListParagraph"/>
              <w:numPr>
                <w:ilvl w:val="0"/>
                <w:numId w:val="103"/>
              </w:numPr>
              <w:spacing w:after="0" w:line="240" w:lineRule="auto"/>
              <w:jc w:val="both"/>
              <w:rPr>
                <w:rFonts w:ascii="Arial Narrow" w:hAnsi="Arial Narrow"/>
                <w:color w:val="000000" w:themeColor="text1"/>
                <w:sz w:val="18"/>
                <w:szCs w:val="18"/>
              </w:rPr>
            </w:pPr>
            <w:hyperlink r:id="rId1448" w:history="1">
              <w:r w:rsidR="00A56EE9" w:rsidRPr="00E70A11">
                <w:rPr>
                  <w:rStyle w:val="Hyperlink"/>
                  <w:rFonts w:ascii="Arial Narrow" w:hAnsi="Arial Narrow" w:cs="Helvetica"/>
                  <w:color w:val="000000" w:themeColor="text1"/>
                  <w:sz w:val="18"/>
                  <w:szCs w:val="18"/>
                </w:rPr>
                <w:t>Historic heritage assessment: maritime cultural heritage protection special management area (Document No. 100436)</w:t>
              </w:r>
            </w:hyperlink>
          </w:p>
          <w:p w14:paraId="57620040" w14:textId="77777777" w:rsidR="00A56EE9" w:rsidRPr="00E70A11" w:rsidRDefault="008B5998" w:rsidP="00A11869">
            <w:pPr>
              <w:pStyle w:val="ListParagraph"/>
              <w:numPr>
                <w:ilvl w:val="0"/>
                <w:numId w:val="103"/>
              </w:numPr>
              <w:spacing w:after="0" w:line="240" w:lineRule="auto"/>
              <w:jc w:val="both"/>
              <w:rPr>
                <w:rFonts w:ascii="Arial Narrow" w:hAnsi="Arial Narrow"/>
                <w:color w:val="000000" w:themeColor="text1"/>
                <w:sz w:val="18"/>
                <w:szCs w:val="18"/>
              </w:rPr>
            </w:pPr>
            <w:hyperlink r:id="rId1449" w:history="1">
              <w:r w:rsidR="00A56EE9" w:rsidRPr="00E70A11">
                <w:rPr>
                  <w:rStyle w:val="Hyperlink"/>
                  <w:rFonts w:ascii="Arial Narrow" w:hAnsi="Arial Narrow" w:cs="Helvetica"/>
                  <w:color w:val="000000" w:themeColor="text1"/>
                  <w:sz w:val="18"/>
                  <w:szCs w:val="18"/>
                </w:rPr>
                <w:t>Historic heritage assessment: other places of historic and social significance (Document No. 100437)</w:t>
              </w:r>
            </w:hyperlink>
          </w:p>
          <w:p w14:paraId="57620041" w14:textId="77777777" w:rsidR="00A56EE9" w:rsidRPr="00E70A11" w:rsidRDefault="008B5998" w:rsidP="00A11869">
            <w:pPr>
              <w:pStyle w:val="ListParagraph"/>
              <w:numPr>
                <w:ilvl w:val="0"/>
                <w:numId w:val="103"/>
              </w:numPr>
              <w:spacing w:after="0" w:line="240" w:lineRule="auto"/>
              <w:jc w:val="both"/>
              <w:rPr>
                <w:rStyle w:val="Hyperlink"/>
                <w:rFonts w:ascii="Arial Narrow" w:hAnsi="Arial Narrow" w:cs="Helvetica"/>
                <w:color w:val="000000" w:themeColor="text1"/>
                <w:sz w:val="18"/>
                <w:szCs w:val="18"/>
              </w:rPr>
            </w:pPr>
            <w:hyperlink r:id="rId1450" w:history="1">
              <w:r w:rsidR="00A56EE9" w:rsidRPr="00E70A11">
                <w:rPr>
                  <w:rStyle w:val="Hyperlink"/>
                  <w:rFonts w:ascii="Arial Narrow" w:hAnsi="Arial Narrow" w:cs="Helvetica"/>
                  <w:color w:val="000000" w:themeColor="text1"/>
                  <w:sz w:val="18"/>
                  <w:szCs w:val="18"/>
                </w:rPr>
                <w:t>Traditional Owner heritage assessment (Document No. 100434)</w:t>
              </w:r>
            </w:hyperlink>
          </w:p>
          <w:p w14:paraId="57620042" w14:textId="77777777" w:rsidR="00A56EE9" w:rsidRPr="00E70A11" w:rsidRDefault="008B5998" w:rsidP="00A11869">
            <w:pPr>
              <w:pStyle w:val="ListParagraph"/>
              <w:numPr>
                <w:ilvl w:val="0"/>
                <w:numId w:val="103"/>
              </w:numPr>
              <w:spacing w:after="0" w:line="240" w:lineRule="auto"/>
              <w:jc w:val="both"/>
              <w:rPr>
                <w:rStyle w:val="Hyperlink"/>
                <w:rFonts w:ascii="Arial Narrow" w:hAnsi="Arial Narrow" w:cs="Helvetica"/>
                <w:color w:val="000000" w:themeColor="text1"/>
                <w:sz w:val="18"/>
                <w:szCs w:val="18"/>
              </w:rPr>
            </w:pPr>
            <w:hyperlink r:id="rId1451" w:history="1">
              <w:r w:rsidR="00A56EE9" w:rsidRPr="00E70A11">
                <w:rPr>
                  <w:rStyle w:val="Hyperlink"/>
                  <w:rFonts w:ascii="Arial Narrow" w:hAnsi="Arial Narrow" w:cs="Helvetica"/>
                  <w:color w:val="000000" w:themeColor="text1"/>
                  <w:sz w:val="18"/>
                  <w:szCs w:val="18"/>
                </w:rPr>
                <w:t>Woppaburra Traditional Owner heritage assessment (Document No. 100428)</w:t>
              </w:r>
            </w:hyperlink>
          </w:p>
          <w:p w14:paraId="57620043" w14:textId="77777777" w:rsidR="00A56EE9" w:rsidRPr="00E70A11" w:rsidRDefault="00A56EE9" w:rsidP="00A11869">
            <w:pPr>
              <w:pStyle w:val="ListParagraph"/>
              <w:numPr>
                <w:ilvl w:val="0"/>
                <w:numId w:val="103"/>
              </w:numPr>
              <w:spacing w:after="0" w:line="240" w:lineRule="auto"/>
              <w:jc w:val="both"/>
              <w:rPr>
                <w:rStyle w:val="BookTitle"/>
                <w:rFonts w:ascii="Arial Narrow" w:hAnsi="Arial Narrow" w:cs="Helvetica"/>
                <w:color w:val="000000" w:themeColor="text1"/>
                <w:sz w:val="18"/>
                <w:szCs w:val="18"/>
              </w:rPr>
            </w:pPr>
            <w:r w:rsidRPr="00E70A11">
              <w:rPr>
                <w:rFonts w:ascii="Arial Narrow" w:hAnsi="Arial Narrow" w:cs="Helvetica"/>
                <w:color w:val="000000" w:themeColor="text1"/>
                <w:sz w:val="18"/>
                <w:szCs w:val="18"/>
              </w:rPr>
              <w:t>Reef 2050 also has indigenous representation</w:t>
            </w:r>
          </w:p>
        </w:tc>
        <w:tc>
          <w:tcPr>
            <w:tcW w:w="984" w:type="dxa"/>
            <w:tcBorders>
              <w:top w:val="single" w:sz="4" w:space="0" w:color="auto"/>
              <w:left w:val="single" w:sz="4" w:space="0" w:color="auto"/>
              <w:bottom w:val="single" w:sz="4" w:space="0" w:color="auto"/>
              <w:right w:val="single" w:sz="4" w:space="0" w:color="auto"/>
            </w:tcBorders>
          </w:tcPr>
          <w:p w14:paraId="57620044"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2004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053"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047"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ports</w:t>
            </w:r>
          </w:p>
        </w:tc>
        <w:tc>
          <w:tcPr>
            <w:tcW w:w="790" w:type="dxa"/>
            <w:tcBorders>
              <w:top w:val="single" w:sz="4" w:space="0" w:color="auto"/>
              <w:left w:val="single" w:sz="4" w:space="0" w:color="auto"/>
              <w:bottom w:val="single" w:sz="4" w:space="0" w:color="auto"/>
              <w:right w:val="single" w:sz="4" w:space="0" w:color="auto"/>
            </w:tcBorders>
          </w:tcPr>
          <w:p w14:paraId="57620048"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049" w14:textId="77777777" w:rsidR="00A56EE9" w:rsidRPr="00E70A11" w:rsidRDefault="00A56EE9" w:rsidP="00A11869">
            <w:pPr>
              <w:pStyle w:val="ListParagraph"/>
              <w:numPr>
                <w:ilvl w:val="0"/>
                <w:numId w:val="104"/>
              </w:numPr>
              <w:autoSpaceDE w:val="0"/>
              <w:autoSpaceDN w:val="0"/>
              <w:adjustRightInd w:val="0"/>
              <w:spacing w:after="0" w:line="240" w:lineRule="auto"/>
              <w:rPr>
                <w:rFonts w:ascii="Arial Narrow" w:hAnsi="Arial Narrow"/>
                <w:color w:val="000000" w:themeColor="text1"/>
                <w:sz w:val="18"/>
                <w:szCs w:val="18"/>
              </w:rPr>
            </w:pPr>
            <w:r w:rsidRPr="00E70A11">
              <w:rPr>
                <w:rFonts w:ascii="Arial Narrow" w:hAnsi="Arial Narrow"/>
                <w:sz w:val="18"/>
                <w:szCs w:val="18"/>
              </w:rPr>
              <w:t>Reasonable to assume information is applied to decision making about infrastructure siting.</w:t>
            </w:r>
            <w:r>
              <w:rPr>
                <w:rFonts w:ascii="Arial Narrow" w:hAnsi="Arial Narrow"/>
                <w:sz w:val="18"/>
                <w:szCs w:val="18"/>
              </w:rPr>
              <w:t xml:space="preserve"> </w:t>
            </w:r>
            <w:r w:rsidRPr="00E70A11">
              <w:rPr>
                <w:rFonts w:ascii="Arial Narrow" w:hAnsi="Arial Narrow"/>
                <w:sz w:val="18"/>
                <w:szCs w:val="18"/>
              </w:rPr>
              <w:t>Less clear about how any information might be applied to operations or other aspects of port activity.</w:t>
            </w:r>
          </w:p>
          <w:p w14:paraId="5762004A" w14:textId="77777777" w:rsidR="00A56EE9" w:rsidRPr="00E70A11" w:rsidRDefault="00A56EE9" w:rsidP="00A11869">
            <w:pPr>
              <w:pStyle w:val="ListParagraph"/>
              <w:numPr>
                <w:ilvl w:val="0"/>
                <w:numId w:val="104"/>
              </w:numPr>
              <w:autoSpaceDE w:val="0"/>
              <w:autoSpaceDN w:val="0"/>
              <w:adjustRightInd w:val="0"/>
              <w:spacing w:after="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Historic heritage assessed as a component of Environmental Impact Statements.</w:t>
            </w:r>
            <w:r w:rsidRPr="00E70A11">
              <w:rPr>
                <w:rFonts w:ascii="Arial Narrow" w:hAnsi="Arial Narrow" w:cs="Arial Narrow"/>
                <w:color w:val="000000" w:themeColor="text1"/>
                <w:sz w:val="18"/>
                <w:szCs w:val="18"/>
              </w:rPr>
              <w:t xml:space="preserve"> </w:t>
            </w:r>
          </w:p>
          <w:p w14:paraId="5762004B"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s="Arial Narrow"/>
                <w:color w:val="000000" w:themeColor="text1"/>
                <w:sz w:val="18"/>
                <w:szCs w:val="18"/>
              </w:rPr>
              <w:t>See IN7</w:t>
            </w:r>
          </w:p>
        </w:tc>
        <w:tc>
          <w:tcPr>
            <w:tcW w:w="5066" w:type="dxa"/>
            <w:tcBorders>
              <w:top w:val="single" w:sz="4" w:space="0" w:color="auto"/>
              <w:left w:val="single" w:sz="4" w:space="0" w:color="auto"/>
              <w:bottom w:val="single" w:sz="4" w:space="0" w:color="auto"/>
              <w:right w:val="single" w:sz="4" w:space="0" w:color="auto"/>
            </w:tcBorders>
          </w:tcPr>
          <w:p w14:paraId="5762004C" w14:textId="77777777" w:rsidR="00A56EE9" w:rsidRPr="00E70A11" w:rsidRDefault="008B5998" w:rsidP="00A11869">
            <w:pPr>
              <w:pStyle w:val="ListParagraph"/>
              <w:numPr>
                <w:ilvl w:val="0"/>
                <w:numId w:val="24"/>
              </w:numPr>
              <w:spacing w:after="0" w:line="240" w:lineRule="auto"/>
              <w:ind w:left="357" w:hanging="357"/>
              <w:rPr>
                <w:rFonts w:ascii="Arial Narrow" w:hAnsi="Arial Narrow"/>
                <w:sz w:val="18"/>
                <w:szCs w:val="18"/>
              </w:rPr>
            </w:pPr>
            <w:hyperlink r:id="rId1452" w:history="1">
              <w:r w:rsidR="00A56EE9" w:rsidRPr="00E70A11">
                <w:rPr>
                  <w:rStyle w:val="Hyperlink"/>
                  <w:rFonts w:ascii="Arial Narrow" w:hAnsi="Arial Narrow" w:cs="Helvetica"/>
                  <w:color w:val="000000" w:themeColor="text1"/>
                  <w:sz w:val="18"/>
                  <w:szCs w:val="18"/>
                </w:rPr>
                <w:t>Historic heritage assessment: maritime cultural heritage protection special management area (Document No. 100436)</w:t>
              </w:r>
            </w:hyperlink>
            <w:r w:rsidR="00A56EE9" w:rsidRPr="00E70A11">
              <w:rPr>
                <w:rStyle w:val="Hyperlink"/>
                <w:rFonts w:ascii="Arial Narrow" w:hAnsi="Arial Narrow" w:cs="Helvetica"/>
                <w:color w:val="000000" w:themeColor="text1"/>
                <w:sz w:val="18"/>
                <w:szCs w:val="18"/>
              </w:rPr>
              <w:t>.</w:t>
            </w:r>
          </w:p>
          <w:p w14:paraId="5762004D" w14:textId="77777777" w:rsidR="00A56EE9" w:rsidRPr="00E70A11" w:rsidRDefault="008B5998" w:rsidP="00A11869">
            <w:pPr>
              <w:pStyle w:val="ListParagraph"/>
              <w:numPr>
                <w:ilvl w:val="0"/>
                <w:numId w:val="24"/>
              </w:numPr>
              <w:spacing w:after="0" w:line="240" w:lineRule="auto"/>
              <w:ind w:left="357" w:hanging="357"/>
              <w:rPr>
                <w:rFonts w:ascii="Arial Narrow" w:hAnsi="Arial Narrow"/>
                <w:sz w:val="18"/>
                <w:szCs w:val="18"/>
              </w:rPr>
            </w:pPr>
            <w:hyperlink r:id="rId1453" w:history="1">
              <w:r w:rsidR="00A56EE9" w:rsidRPr="00E70A11">
                <w:rPr>
                  <w:rStyle w:val="Hyperlink"/>
                  <w:rFonts w:ascii="Arial Narrow" w:hAnsi="Arial Narrow" w:cs="Helvetica"/>
                  <w:color w:val="000000" w:themeColor="text1"/>
                  <w:sz w:val="18"/>
                  <w:szCs w:val="18"/>
                </w:rPr>
                <w:t>Historic heritage assessment: other places of historic and social significance (Document No. 100437)</w:t>
              </w:r>
            </w:hyperlink>
            <w:r w:rsidR="00A56EE9" w:rsidRPr="00E70A11">
              <w:rPr>
                <w:rStyle w:val="Hyperlink"/>
                <w:rFonts w:ascii="Arial Narrow" w:hAnsi="Arial Narrow" w:cs="Helvetica"/>
                <w:color w:val="000000" w:themeColor="text1"/>
                <w:sz w:val="18"/>
                <w:szCs w:val="18"/>
              </w:rPr>
              <w:t>.</w:t>
            </w:r>
          </w:p>
          <w:p w14:paraId="5762004E"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hAnsi="Arial Narrow"/>
                <w:color w:val="000000" w:themeColor="text1"/>
                <w:sz w:val="18"/>
                <w:szCs w:val="18"/>
              </w:rPr>
            </w:pPr>
            <w:hyperlink r:id="rId1454" w:history="1">
              <w:r w:rsidR="00A56EE9" w:rsidRPr="00E70A11">
                <w:rPr>
                  <w:rStyle w:val="Hyperlink"/>
                  <w:rFonts w:ascii="Arial Narrow" w:hAnsi="Arial Narrow" w:cs="Helvetica"/>
                  <w:color w:val="000000" w:themeColor="text1"/>
                  <w:sz w:val="18"/>
                  <w:szCs w:val="18"/>
                </w:rPr>
                <w:t>Historic heritage assessment: WWII features and sites, and voyages and shipwrecks (Document No. 100435)</w:t>
              </w:r>
            </w:hyperlink>
            <w:r w:rsidR="00A56EE9" w:rsidRPr="00E70A11">
              <w:rPr>
                <w:rStyle w:val="Hyperlink"/>
                <w:rFonts w:ascii="Arial Narrow" w:hAnsi="Arial Narrow" w:cs="Helvetica"/>
                <w:color w:val="000000" w:themeColor="text1"/>
                <w:sz w:val="18"/>
                <w:szCs w:val="18"/>
              </w:rPr>
              <w:t>.</w:t>
            </w:r>
          </w:p>
          <w:p w14:paraId="5762004F" w14:textId="77777777" w:rsidR="00A56EE9" w:rsidRPr="00E70A11" w:rsidRDefault="00A56EE9" w:rsidP="00A11869">
            <w:pPr>
              <w:pStyle w:val="ListParagraph"/>
              <w:numPr>
                <w:ilvl w:val="0"/>
                <w:numId w:val="24"/>
              </w:numPr>
              <w:spacing w:after="0" w:line="240" w:lineRule="auto"/>
              <w:ind w:left="357" w:hanging="357"/>
              <w:rPr>
                <w:rFonts w:ascii="Arial Narrow" w:hAnsi="Arial Narrow"/>
                <w:sz w:val="18"/>
                <w:szCs w:val="18"/>
              </w:rPr>
            </w:pPr>
            <w:r w:rsidRPr="00E70A11">
              <w:rPr>
                <w:rFonts w:ascii="Arial Narrow" w:hAnsi="Arial Narrow"/>
                <w:sz w:val="18"/>
                <w:szCs w:val="18"/>
              </w:rPr>
              <w:t>Port Corporations have recognised and recorded maritime heritage items, some of which are subject to heritage protection requirements.</w:t>
            </w:r>
          </w:p>
          <w:p w14:paraId="57620050" w14:textId="77777777" w:rsidR="00A56EE9" w:rsidRPr="00E70A11" w:rsidRDefault="00A56EE9" w:rsidP="00BB6AD5">
            <w:pPr>
              <w:jc w:val="both"/>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20051"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2005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06F"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shd w:val="clear" w:color="auto" w:fill="auto"/>
          </w:tcPr>
          <w:p w14:paraId="57620054"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ports</w:t>
            </w:r>
          </w:p>
        </w:tc>
        <w:tc>
          <w:tcPr>
            <w:tcW w:w="790" w:type="dxa"/>
            <w:tcBorders>
              <w:top w:val="single" w:sz="4" w:space="0" w:color="auto"/>
              <w:left w:val="single" w:sz="4" w:space="0" w:color="auto"/>
              <w:bottom w:val="single" w:sz="4" w:space="0" w:color="auto"/>
              <w:right w:val="single" w:sz="4" w:space="0" w:color="auto"/>
            </w:tcBorders>
          </w:tcPr>
          <w:p w14:paraId="57620055"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056" w14:textId="77777777" w:rsidR="00A56EE9" w:rsidRPr="00E70A11" w:rsidRDefault="00A56EE9" w:rsidP="00A11869">
            <w:pPr>
              <w:pStyle w:val="ListBullet"/>
              <w:numPr>
                <w:ilvl w:val="0"/>
                <w:numId w:val="105"/>
              </w:numPr>
              <w:autoSpaceDE w:val="0"/>
              <w:autoSpaceDN w:val="0"/>
              <w:adjustRightInd w:val="0"/>
              <w:spacing w:line="240" w:lineRule="auto"/>
              <w:rPr>
                <w:rFonts w:cs="Arial"/>
                <w:b/>
                <w:u w:val="single"/>
              </w:rPr>
            </w:pPr>
            <w:r w:rsidRPr="00E70A11">
              <w:t>There is no globally agreed suite of measures or standards for ‘best practice’ in the context of port development and operation, and to seek such from overseas and apply without appropriate adaptation to GBR ports may be to overlook the merit and opportunity to develop tailored and focused measures for the GBR.</w:t>
            </w:r>
          </w:p>
          <w:p w14:paraId="57620057" w14:textId="77777777" w:rsidR="00A56EE9" w:rsidRPr="00E70A11" w:rsidRDefault="00A56EE9" w:rsidP="00A11869">
            <w:pPr>
              <w:pStyle w:val="ListParagraph"/>
              <w:numPr>
                <w:ilvl w:val="0"/>
                <w:numId w:val="105"/>
              </w:numPr>
              <w:spacing w:after="0" w:line="240" w:lineRule="auto"/>
              <w:ind w:left="357" w:hanging="357"/>
              <w:rPr>
                <w:rFonts w:ascii="Arial Narrow" w:hAnsi="Arial Narrow"/>
                <w:color w:val="000000" w:themeColor="text1"/>
                <w:sz w:val="18"/>
                <w:szCs w:val="18"/>
              </w:rPr>
            </w:pPr>
            <w:r w:rsidRPr="00E70A11">
              <w:rPr>
                <w:rFonts w:ascii="Arial Narrow" w:hAnsi="Arial Narrow"/>
                <w:color w:val="000000" w:themeColor="text1"/>
                <w:sz w:val="18"/>
                <w:szCs w:val="18"/>
              </w:rPr>
              <w:t>Standards are to be set under master plans, and via other mechanisms such as the capital dredge disposal ban, maintenance dredging, cumulative impacts, net benefits, water quality improvement plans.</w:t>
            </w:r>
          </w:p>
          <w:p w14:paraId="57620058" w14:textId="77777777" w:rsidR="00A56EE9" w:rsidRPr="00E70A11" w:rsidRDefault="00A56EE9" w:rsidP="00A11869">
            <w:pPr>
              <w:pStyle w:val="ListBullet"/>
              <w:numPr>
                <w:ilvl w:val="0"/>
                <w:numId w:val="105"/>
              </w:numPr>
              <w:autoSpaceDE w:val="0"/>
              <w:autoSpaceDN w:val="0"/>
              <w:adjustRightInd w:val="0"/>
              <w:spacing w:line="240" w:lineRule="auto"/>
              <w:rPr>
                <w:rFonts w:cs="Arial"/>
                <w:b/>
                <w:u w:val="single"/>
              </w:rPr>
            </w:pPr>
            <w:r w:rsidRPr="00E70A11">
              <w:t>Scope exists for further development of a suite of meaningful policy objectives and performance indicators relevant to GBR ports and their interactions with, and potential influences upon, the Marine Park and World Heritage Area. This could possibly be achieved or augmented via intended priority ports master planning processes.</w:t>
            </w:r>
          </w:p>
          <w:p w14:paraId="57620059" w14:textId="77777777" w:rsidR="00A56EE9" w:rsidRPr="00E70A11" w:rsidRDefault="00A56EE9" w:rsidP="00A11869">
            <w:pPr>
              <w:pStyle w:val="ListBullet"/>
              <w:numPr>
                <w:ilvl w:val="0"/>
                <w:numId w:val="105"/>
              </w:numPr>
              <w:autoSpaceDE w:val="0"/>
              <w:autoSpaceDN w:val="0"/>
              <w:adjustRightInd w:val="0"/>
              <w:spacing w:line="240" w:lineRule="auto"/>
              <w:rPr>
                <w:rFonts w:cs="Arial"/>
                <w:b/>
                <w:u w:val="single"/>
              </w:rPr>
            </w:pPr>
            <w:r w:rsidRPr="00E70A11">
              <w:t>There are some aspects of accredited standards particularly in coastal engineering disciplines that are effectively implemented through impact assessment and approval processes.</w:t>
            </w:r>
          </w:p>
          <w:p w14:paraId="5762005A" w14:textId="77777777" w:rsidR="00A56EE9" w:rsidRPr="00E70A11" w:rsidRDefault="00A56EE9" w:rsidP="00A11869">
            <w:pPr>
              <w:pStyle w:val="ListParagraph"/>
              <w:numPr>
                <w:ilvl w:val="0"/>
                <w:numId w:val="105"/>
              </w:numPr>
              <w:spacing w:after="200" w:line="240"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lang w:val="en"/>
              </w:rPr>
              <w:t xml:space="preserve">RIMReP is being used to track the progress of outcomes outlined in the </w:t>
            </w:r>
            <w:hyperlink r:id="rId1455" w:history="1">
              <w:r w:rsidRPr="00E70A11">
                <w:rPr>
                  <w:rStyle w:val="Hyperlink"/>
                  <w:rFonts w:ascii="Arial Narrow" w:eastAsia="Calibri" w:hAnsi="Arial Narrow"/>
                  <w:color w:val="000000" w:themeColor="text1"/>
                  <w:sz w:val="18"/>
                  <w:szCs w:val="18"/>
                </w:rPr>
                <w:t>Reef 2050 Plan</w:t>
              </w:r>
            </w:hyperlink>
            <w:r w:rsidRPr="00E70A11">
              <w:rPr>
                <w:rFonts w:ascii="Arial Narrow" w:hAnsi="Arial Narrow"/>
                <w:color w:val="000000" w:themeColor="text1"/>
                <w:sz w:val="18"/>
                <w:szCs w:val="18"/>
                <w:lang w:val="en"/>
              </w:rPr>
              <w:t>. RIMReP will help track progress towards targets and objectives under the plan’s seven themes: ecosystem health, biodiversity, heritage, water quality, community benefits, economic benefits, governance and reporting.</w:t>
            </w:r>
          </w:p>
        </w:tc>
        <w:tc>
          <w:tcPr>
            <w:tcW w:w="5066" w:type="dxa"/>
            <w:tcBorders>
              <w:top w:val="single" w:sz="4" w:space="0" w:color="auto"/>
              <w:left w:val="single" w:sz="4" w:space="0" w:color="auto"/>
              <w:bottom w:val="single" w:sz="4" w:space="0" w:color="auto"/>
              <w:right w:val="single" w:sz="4" w:space="0" w:color="auto"/>
            </w:tcBorders>
          </w:tcPr>
          <w:p w14:paraId="5762005B" w14:textId="77777777" w:rsidR="00A56EE9" w:rsidRPr="00E70A11" w:rsidRDefault="008B5998" w:rsidP="00A11869">
            <w:pPr>
              <w:pStyle w:val="ListParagraph"/>
              <w:numPr>
                <w:ilvl w:val="0"/>
                <w:numId w:val="105"/>
              </w:numPr>
              <w:spacing w:after="0" w:line="240" w:lineRule="auto"/>
              <w:jc w:val="both"/>
              <w:rPr>
                <w:rStyle w:val="Hyperlink"/>
                <w:rFonts w:ascii="Arial Narrow" w:hAnsi="Arial Narrow"/>
                <w:color w:val="000000" w:themeColor="text1"/>
                <w:sz w:val="18"/>
                <w:szCs w:val="18"/>
              </w:rPr>
            </w:pPr>
            <w:hyperlink r:id="rId1456" w:history="1">
              <w:r w:rsidR="00A56EE9" w:rsidRPr="00E70A11">
                <w:rPr>
                  <w:rStyle w:val="Hyperlink"/>
                  <w:rFonts w:ascii="Arial Narrow" w:hAnsi="Arial Narrow"/>
                  <w:color w:val="000000" w:themeColor="text1"/>
                  <w:sz w:val="18"/>
                  <w:szCs w:val="18"/>
                </w:rPr>
                <w:t>Sustainable Ports Development Act 2015</w:t>
              </w:r>
            </w:hyperlink>
          </w:p>
          <w:p w14:paraId="5762005C" w14:textId="77777777" w:rsidR="00A56EE9" w:rsidRPr="00E70A11" w:rsidRDefault="008B5998" w:rsidP="00A11869">
            <w:pPr>
              <w:pStyle w:val="ListParagraph"/>
              <w:numPr>
                <w:ilvl w:val="0"/>
                <w:numId w:val="96"/>
              </w:numPr>
              <w:spacing w:after="200" w:line="240" w:lineRule="auto"/>
              <w:rPr>
                <w:rStyle w:val="Hyperlink"/>
                <w:rFonts w:ascii="Arial Narrow" w:hAnsi="Arial Narrow"/>
                <w:color w:val="000000" w:themeColor="text1"/>
                <w:sz w:val="18"/>
                <w:szCs w:val="18"/>
              </w:rPr>
            </w:pPr>
            <w:hyperlink r:id="rId1457" w:history="1">
              <w:r w:rsidR="00A56EE9" w:rsidRPr="00E70A11">
                <w:rPr>
                  <w:rStyle w:val="Hyperlink"/>
                  <w:rFonts w:ascii="Arial Narrow" w:hAnsi="Arial Narrow"/>
                  <w:color w:val="000000" w:themeColor="text1"/>
                  <w:sz w:val="18"/>
                  <w:szCs w:val="18"/>
                </w:rPr>
                <w:t>Reef 2050 Integrated Monitoring and Reporting Program</w:t>
              </w:r>
            </w:hyperlink>
          </w:p>
          <w:p w14:paraId="5762005D" w14:textId="77777777" w:rsidR="00A56EE9" w:rsidRPr="00E70A11" w:rsidRDefault="008B5998" w:rsidP="00A11869">
            <w:pPr>
              <w:pStyle w:val="ListParagraph"/>
              <w:numPr>
                <w:ilvl w:val="0"/>
                <w:numId w:val="96"/>
              </w:numPr>
              <w:spacing w:after="0" w:line="240" w:lineRule="auto"/>
              <w:ind w:left="357" w:hanging="357"/>
              <w:rPr>
                <w:rStyle w:val="Hyperlink"/>
                <w:rFonts w:ascii="Arial Narrow" w:hAnsi="Arial Narrow"/>
                <w:color w:val="000000" w:themeColor="text1"/>
                <w:sz w:val="18"/>
                <w:szCs w:val="18"/>
              </w:rPr>
            </w:pPr>
            <w:hyperlink r:id="rId1458" w:history="1">
              <w:r w:rsidR="00A56EE9" w:rsidRPr="00E70A11">
                <w:rPr>
                  <w:rStyle w:val="Hyperlink"/>
                  <w:rFonts w:ascii="Arial Narrow" w:hAnsi="Arial Narrow"/>
                  <w:color w:val="000000" w:themeColor="text1"/>
                  <w:sz w:val="18"/>
                  <w:szCs w:val="18"/>
                </w:rPr>
                <w:t>Master Plans</w:t>
              </w:r>
            </w:hyperlink>
          </w:p>
          <w:p w14:paraId="5762005E" w14:textId="77777777" w:rsidR="00A56EE9" w:rsidRPr="00E70A11" w:rsidRDefault="008B5998" w:rsidP="00A11869">
            <w:pPr>
              <w:pStyle w:val="ListBullet"/>
              <w:numPr>
                <w:ilvl w:val="0"/>
                <w:numId w:val="96"/>
              </w:numPr>
              <w:autoSpaceDE w:val="0"/>
              <w:autoSpaceDN w:val="0"/>
              <w:adjustRightInd w:val="0"/>
              <w:spacing w:line="240" w:lineRule="auto"/>
              <w:rPr>
                <w:color w:val="000000" w:themeColor="text1"/>
              </w:rPr>
            </w:pPr>
            <w:hyperlink r:id="rId1459" w:history="1">
              <w:r w:rsidR="00A56EE9" w:rsidRPr="00E70A11">
                <w:rPr>
                  <w:rStyle w:val="Hyperlink"/>
                  <w:color w:val="000000" w:themeColor="text1"/>
                </w:rPr>
                <w:t>Water quality Improvement Plans (WQIPs) and Healthy Waters Management Plans (HWMPs</w:t>
              </w:r>
            </w:hyperlink>
            <w:r w:rsidR="00A56EE9" w:rsidRPr="00E70A11">
              <w:rPr>
                <w:color w:val="000000" w:themeColor="text1"/>
              </w:rPr>
              <w:t>)</w:t>
            </w:r>
          </w:p>
          <w:p w14:paraId="5762005F" w14:textId="77777777" w:rsidR="00A56EE9" w:rsidRPr="00E70A11" w:rsidRDefault="008B5998" w:rsidP="00A11869">
            <w:pPr>
              <w:pStyle w:val="ListBullet"/>
              <w:numPr>
                <w:ilvl w:val="0"/>
                <w:numId w:val="96"/>
              </w:numPr>
              <w:autoSpaceDE w:val="0"/>
              <w:autoSpaceDN w:val="0"/>
              <w:adjustRightInd w:val="0"/>
              <w:spacing w:line="240" w:lineRule="auto"/>
              <w:rPr>
                <w:color w:val="000000" w:themeColor="text1"/>
              </w:rPr>
            </w:pPr>
            <w:hyperlink r:id="rId1460" w:history="1">
              <w:r w:rsidR="00A56EE9" w:rsidRPr="00E70A11">
                <w:rPr>
                  <w:rStyle w:val="Hyperlink"/>
                  <w:color w:val="000000" w:themeColor="text1"/>
                </w:rPr>
                <w:t>Wet Tropics WQIP</w:t>
              </w:r>
            </w:hyperlink>
          </w:p>
          <w:p w14:paraId="57620060" w14:textId="77777777" w:rsidR="00A56EE9" w:rsidRPr="00E70A11" w:rsidRDefault="008B5998" w:rsidP="00A11869">
            <w:pPr>
              <w:pStyle w:val="ListBullet"/>
              <w:numPr>
                <w:ilvl w:val="0"/>
                <w:numId w:val="96"/>
              </w:numPr>
              <w:autoSpaceDE w:val="0"/>
              <w:autoSpaceDN w:val="0"/>
              <w:adjustRightInd w:val="0"/>
              <w:spacing w:line="240" w:lineRule="auto"/>
              <w:rPr>
                <w:color w:val="000000" w:themeColor="text1"/>
              </w:rPr>
            </w:pPr>
            <w:hyperlink r:id="rId1461" w:history="1">
              <w:r w:rsidR="00A56EE9" w:rsidRPr="00E70A11">
                <w:rPr>
                  <w:rStyle w:val="Hyperlink"/>
                  <w:color w:val="000000" w:themeColor="text1"/>
                </w:rPr>
                <w:t>FBA WQIP</w:t>
              </w:r>
            </w:hyperlink>
          </w:p>
          <w:p w14:paraId="57620061" w14:textId="77777777" w:rsidR="00A56EE9" w:rsidRPr="00E70A11" w:rsidRDefault="008B5998" w:rsidP="00A11869">
            <w:pPr>
              <w:pStyle w:val="ListBullet"/>
              <w:numPr>
                <w:ilvl w:val="0"/>
                <w:numId w:val="96"/>
              </w:numPr>
              <w:autoSpaceDE w:val="0"/>
              <w:autoSpaceDN w:val="0"/>
              <w:adjustRightInd w:val="0"/>
              <w:spacing w:line="240" w:lineRule="auto"/>
              <w:rPr>
                <w:color w:val="000000" w:themeColor="text1"/>
              </w:rPr>
            </w:pPr>
            <w:hyperlink r:id="rId1462" w:history="1">
              <w:r w:rsidR="00A56EE9" w:rsidRPr="00E70A11">
                <w:rPr>
                  <w:rStyle w:val="Hyperlink"/>
                  <w:color w:val="000000" w:themeColor="text1"/>
                </w:rPr>
                <w:t>Eastern Cape York Water Quality Improvement Plan</w:t>
              </w:r>
            </w:hyperlink>
          </w:p>
          <w:p w14:paraId="57620062" w14:textId="77777777" w:rsidR="00A56EE9" w:rsidRPr="00E70A11" w:rsidRDefault="008B5998" w:rsidP="00A11869">
            <w:pPr>
              <w:pStyle w:val="ListBullet"/>
              <w:numPr>
                <w:ilvl w:val="0"/>
                <w:numId w:val="96"/>
              </w:numPr>
              <w:autoSpaceDE w:val="0"/>
              <w:autoSpaceDN w:val="0"/>
              <w:adjustRightInd w:val="0"/>
              <w:spacing w:line="240" w:lineRule="auto"/>
              <w:rPr>
                <w:color w:val="000000" w:themeColor="text1"/>
              </w:rPr>
            </w:pPr>
            <w:hyperlink r:id="rId1463" w:history="1">
              <w:r w:rsidR="00A56EE9" w:rsidRPr="00E70A11">
                <w:rPr>
                  <w:rStyle w:val="Hyperlink"/>
                  <w:color w:val="000000" w:themeColor="text1"/>
                </w:rPr>
                <w:t>Townsville WQIP</w:t>
              </w:r>
            </w:hyperlink>
          </w:p>
          <w:p w14:paraId="57620063" w14:textId="77777777" w:rsidR="00A56EE9" w:rsidRPr="00E70A11" w:rsidRDefault="008B5998" w:rsidP="00A11869">
            <w:pPr>
              <w:pStyle w:val="ListParagraph"/>
              <w:numPr>
                <w:ilvl w:val="0"/>
                <w:numId w:val="96"/>
              </w:numPr>
              <w:spacing w:after="200" w:line="240" w:lineRule="auto"/>
              <w:rPr>
                <w:rFonts w:ascii="Arial Narrow" w:hAnsi="Arial Narrow"/>
                <w:color w:val="000000" w:themeColor="text1"/>
                <w:sz w:val="18"/>
                <w:szCs w:val="18"/>
              </w:rPr>
            </w:pPr>
            <w:hyperlink r:id="rId1464" w:history="1">
              <w:r w:rsidR="00A56EE9" w:rsidRPr="00E70A11">
                <w:rPr>
                  <w:rStyle w:val="Hyperlink"/>
                  <w:rFonts w:ascii="Arial Narrow" w:hAnsi="Arial Narrow"/>
                  <w:color w:val="000000" w:themeColor="text1"/>
                  <w:sz w:val="18"/>
                  <w:szCs w:val="18"/>
                </w:rPr>
                <w:t>Burdekin Dry Tropics WQIP</w:t>
              </w:r>
            </w:hyperlink>
          </w:p>
          <w:p w14:paraId="57620064" w14:textId="77777777" w:rsidR="00A56EE9" w:rsidRPr="00E70A11" w:rsidRDefault="00A56EE9" w:rsidP="00A11869">
            <w:pPr>
              <w:pStyle w:val="ListParagraph"/>
              <w:numPr>
                <w:ilvl w:val="0"/>
                <w:numId w:val="96"/>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Offsets</w:t>
            </w:r>
          </w:p>
          <w:p w14:paraId="57620065" w14:textId="77777777" w:rsidR="00A56EE9" w:rsidRPr="00E70A11" w:rsidRDefault="00A56EE9" w:rsidP="00A11869">
            <w:pPr>
              <w:pStyle w:val="ListParagraph"/>
              <w:numPr>
                <w:ilvl w:val="0"/>
                <w:numId w:val="96"/>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 xml:space="preserve">Sediment management, </w:t>
            </w:r>
          </w:p>
          <w:p w14:paraId="57620066" w14:textId="77777777" w:rsidR="00A56EE9" w:rsidRPr="00E70A11" w:rsidRDefault="008B5998" w:rsidP="00A11869">
            <w:pPr>
              <w:pStyle w:val="ListParagraph"/>
              <w:numPr>
                <w:ilvl w:val="0"/>
                <w:numId w:val="96"/>
              </w:numPr>
              <w:spacing w:after="0" w:line="240" w:lineRule="auto"/>
              <w:jc w:val="both"/>
              <w:rPr>
                <w:rFonts w:ascii="Arial Narrow" w:hAnsi="Arial Narrow"/>
                <w:color w:val="000000" w:themeColor="text1"/>
                <w:sz w:val="18"/>
                <w:szCs w:val="18"/>
              </w:rPr>
            </w:pPr>
            <w:hyperlink r:id="rId1465" w:history="1">
              <w:r w:rsidR="00A56EE9" w:rsidRPr="00E70A11">
                <w:rPr>
                  <w:rStyle w:val="Hyperlink"/>
                  <w:rFonts w:ascii="Arial Narrow" w:hAnsi="Arial Narrow"/>
                  <w:color w:val="000000" w:themeColor="text1"/>
                  <w:sz w:val="18"/>
                  <w:szCs w:val="18"/>
                </w:rPr>
                <w:t>Cumulative Impact Management policy</w:t>
              </w:r>
            </w:hyperlink>
          </w:p>
          <w:p w14:paraId="57620067" w14:textId="77777777" w:rsidR="00A56EE9" w:rsidRPr="00E70A11" w:rsidRDefault="008B5998" w:rsidP="00A11869">
            <w:pPr>
              <w:pStyle w:val="ListParagraph"/>
              <w:numPr>
                <w:ilvl w:val="0"/>
                <w:numId w:val="96"/>
              </w:numPr>
              <w:spacing w:after="0" w:line="240" w:lineRule="auto"/>
              <w:jc w:val="both"/>
              <w:rPr>
                <w:rFonts w:ascii="Arial Narrow" w:hAnsi="Arial Narrow"/>
                <w:color w:val="000000" w:themeColor="text1"/>
                <w:sz w:val="18"/>
                <w:szCs w:val="18"/>
              </w:rPr>
            </w:pPr>
            <w:hyperlink r:id="rId1466" w:history="1">
              <w:r w:rsidR="00A56EE9" w:rsidRPr="00E70A11">
                <w:rPr>
                  <w:rStyle w:val="Hyperlink"/>
                  <w:rFonts w:ascii="Arial Narrow" w:hAnsi="Arial Narrow"/>
                  <w:color w:val="000000" w:themeColor="text1"/>
                  <w:sz w:val="18"/>
                  <w:szCs w:val="18"/>
                </w:rPr>
                <w:t>Net Benefit Policy</w:t>
              </w:r>
            </w:hyperlink>
          </w:p>
          <w:p w14:paraId="57620068" w14:textId="77777777" w:rsidR="00A56EE9" w:rsidRPr="00E70A11" w:rsidRDefault="008B5998" w:rsidP="00A11869">
            <w:pPr>
              <w:pStyle w:val="ListParagraph"/>
              <w:numPr>
                <w:ilvl w:val="0"/>
                <w:numId w:val="96"/>
              </w:numPr>
              <w:spacing w:after="0" w:line="240" w:lineRule="auto"/>
              <w:jc w:val="both"/>
              <w:rPr>
                <w:rFonts w:ascii="Arial Narrow" w:hAnsi="Arial Narrow"/>
                <w:color w:val="000000" w:themeColor="text1"/>
                <w:sz w:val="18"/>
                <w:szCs w:val="18"/>
              </w:rPr>
            </w:pPr>
            <w:hyperlink r:id="rId1467" w:history="1">
              <w:r w:rsidR="00A56EE9" w:rsidRPr="00E70A11">
                <w:rPr>
                  <w:rStyle w:val="Hyperlink"/>
                  <w:rFonts w:ascii="Arial Narrow" w:hAnsi="Arial Narrow"/>
                  <w:color w:val="000000" w:themeColor="text1"/>
                  <w:sz w:val="18"/>
                  <w:szCs w:val="18"/>
                </w:rPr>
                <w:t>Dredge and dredge spoilt material disposal policy</w:t>
              </w:r>
            </w:hyperlink>
          </w:p>
          <w:p w14:paraId="57620069" w14:textId="77777777" w:rsidR="00A56EE9" w:rsidRPr="00E70A11" w:rsidRDefault="008B5998" w:rsidP="00A11869">
            <w:pPr>
              <w:pStyle w:val="ListParagraph"/>
              <w:numPr>
                <w:ilvl w:val="0"/>
                <w:numId w:val="96"/>
              </w:numPr>
              <w:spacing w:after="0" w:line="240" w:lineRule="auto"/>
              <w:jc w:val="both"/>
              <w:rPr>
                <w:rFonts w:ascii="Arial Narrow" w:hAnsi="Arial Narrow"/>
                <w:color w:val="000000" w:themeColor="text1"/>
                <w:sz w:val="18"/>
                <w:szCs w:val="18"/>
              </w:rPr>
            </w:pPr>
            <w:hyperlink r:id="rId1468" w:history="1">
              <w:r w:rsidR="00A56EE9" w:rsidRPr="00E70A11">
                <w:rPr>
                  <w:rStyle w:val="Hyperlink"/>
                  <w:rFonts w:ascii="Arial Narrow" w:hAnsi="Arial Narrow"/>
                  <w:color w:val="000000" w:themeColor="text1"/>
                  <w:sz w:val="18"/>
                  <w:szCs w:val="18"/>
                </w:rPr>
                <w:t>Improved Dredge Material Management for the GBR Region</w:t>
              </w:r>
            </w:hyperlink>
          </w:p>
          <w:p w14:paraId="5762006A" w14:textId="77777777" w:rsidR="00A56EE9" w:rsidRPr="00E70A11" w:rsidRDefault="00A56EE9" w:rsidP="00A11869">
            <w:pPr>
              <w:pStyle w:val="ListParagraph"/>
              <w:numPr>
                <w:ilvl w:val="0"/>
                <w:numId w:val="96"/>
              </w:numPr>
              <w:spacing w:after="0" w:line="240" w:lineRule="auto"/>
              <w:jc w:val="both"/>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Great Barrier Reef Marine Park Regulations 1983 Regulation 88RA – ban on capital dredging</w:t>
            </w:r>
          </w:p>
          <w:p w14:paraId="5762006B" w14:textId="77777777" w:rsidR="00A56EE9" w:rsidRPr="00E70A11" w:rsidRDefault="008B5998" w:rsidP="00A11869">
            <w:pPr>
              <w:pStyle w:val="ListParagraph"/>
              <w:numPr>
                <w:ilvl w:val="0"/>
                <w:numId w:val="96"/>
              </w:numPr>
              <w:spacing w:after="0" w:line="240" w:lineRule="auto"/>
              <w:jc w:val="both"/>
              <w:rPr>
                <w:rFonts w:ascii="Arial Narrow" w:hAnsi="Arial Narrow"/>
                <w:color w:val="000000" w:themeColor="text1"/>
                <w:sz w:val="18"/>
                <w:szCs w:val="18"/>
              </w:rPr>
            </w:pPr>
            <w:hyperlink r:id="rId1469" w:history="1">
              <w:r w:rsidR="00A56EE9" w:rsidRPr="00E70A11">
                <w:rPr>
                  <w:rStyle w:val="Hyperlink"/>
                  <w:rFonts w:ascii="Arial Narrow" w:hAnsi="Arial Narrow"/>
                  <w:i/>
                  <w:iCs/>
                  <w:color w:val="000000" w:themeColor="text1"/>
                  <w:sz w:val="18"/>
                  <w:szCs w:val="18"/>
                </w:rPr>
                <w:t>Environmental Code of Practice for Dredging and Dredge Material Management</w:t>
              </w:r>
            </w:hyperlink>
          </w:p>
          <w:p w14:paraId="5762006C"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2006D"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06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08C"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070"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Targets have been established to benchmark management performance for ports</w:t>
            </w:r>
          </w:p>
        </w:tc>
        <w:tc>
          <w:tcPr>
            <w:tcW w:w="790" w:type="dxa"/>
            <w:tcBorders>
              <w:top w:val="single" w:sz="4" w:space="0" w:color="auto"/>
              <w:left w:val="single" w:sz="4" w:space="0" w:color="auto"/>
              <w:bottom w:val="single" w:sz="4" w:space="0" w:color="auto"/>
              <w:right w:val="single" w:sz="4" w:space="0" w:color="auto"/>
            </w:tcBorders>
          </w:tcPr>
          <w:p w14:paraId="57620071"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072" w14:textId="77777777" w:rsidR="00A56EE9" w:rsidRPr="00E70A11" w:rsidRDefault="00A56EE9" w:rsidP="00A11869">
            <w:pPr>
              <w:pStyle w:val="ListParagraph"/>
              <w:numPr>
                <w:ilvl w:val="0"/>
                <w:numId w:val="105"/>
              </w:numPr>
              <w:autoSpaceDE w:val="0"/>
              <w:autoSpaceDN w:val="0"/>
              <w:adjustRightInd w:val="0"/>
              <w:spacing w:after="0" w:line="240" w:lineRule="auto"/>
              <w:rPr>
                <w:rFonts w:ascii="Arial Narrow" w:eastAsia="SymbolMT" w:hAnsi="Arial Narrow" w:cs="ArialMT"/>
                <w:color w:val="000000" w:themeColor="text1"/>
                <w:sz w:val="18"/>
                <w:szCs w:val="18"/>
              </w:rPr>
            </w:pPr>
            <w:r w:rsidRPr="00E70A11">
              <w:rPr>
                <w:rFonts w:ascii="Arial Narrow" w:eastAsia="SymbolMT" w:hAnsi="Arial Narrow" w:cs="ArialMT"/>
                <w:color w:val="000000" w:themeColor="text1"/>
                <w:sz w:val="18"/>
                <w:szCs w:val="18"/>
              </w:rPr>
              <w:t>Environmental Management Systems (especially ISO 14001) are in place at all GBR ports and provide processes to identity and manage environmental risk.</w:t>
            </w:r>
          </w:p>
          <w:p w14:paraId="57620073" w14:textId="77777777" w:rsidR="00A56EE9" w:rsidRPr="00E70A11" w:rsidRDefault="00A56EE9" w:rsidP="00A11869">
            <w:pPr>
              <w:pStyle w:val="ListParagraph"/>
              <w:numPr>
                <w:ilvl w:val="0"/>
                <w:numId w:val="105"/>
              </w:numPr>
              <w:autoSpaceDE w:val="0"/>
              <w:autoSpaceDN w:val="0"/>
              <w:adjustRightInd w:val="0"/>
              <w:spacing w:after="0" w:line="240" w:lineRule="auto"/>
              <w:rPr>
                <w:rFonts w:ascii="Arial Narrow" w:eastAsia="SymbolMT" w:hAnsi="Arial Narrow" w:cs="ArialMT"/>
                <w:color w:val="000000" w:themeColor="text1"/>
                <w:sz w:val="18"/>
                <w:szCs w:val="18"/>
              </w:rPr>
            </w:pPr>
            <w:r w:rsidRPr="00E70A11">
              <w:rPr>
                <w:rFonts w:ascii="Arial Narrow" w:eastAsia="SymbolMT" w:hAnsi="Arial Narrow" w:cs="ArialMT"/>
                <w:color w:val="000000" w:themeColor="text1"/>
                <w:sz w:val="18"/>
                <w:szCs w:val="18"/>
              </w:rPr>
              <w:t>Quality Assurance processes (e.g. ISO 9001) with third party accreditation are established at all GBR ports.</w:t>
            </w:r>
          </w:p>
          <w:p w14:paraId="57620074" w14:textId="77777777" w:rsidR="00A56EE9" w:rsidRPr="00E70A11" w:rsidRDefault="00A56EE9" w:rsidP="00A11869">
            <w:pPr>
              <w:pStyle w:val="ListParagraph"/>
              <w:numPr>
                <w:ilvl w:val="0"/>
                <w:numId w:val="105"/>
              </w:numPr>
              <w:autoSpaceDE w:val="0"/>
              <w:autoSpaceDN w:val="0"/>
              <w:adjustRightInd w:val="0"/>
              <w:spacing w:after="0" w:line="240" w:lineRule="auto"/>
              <w:rPr>
                <w:rFonts w:ascii="Arial Narrow" w:eastAsia="SymbolMT" w:hAnsi="Arial Narrow" w:cs="ArialMT"/>
                <w:color w:val="000000" w:themeColor="text1"/>
                <w:sz w:val="18"/>
                <w:szCs w:val="18"/>
              </w:rPr>
            </w:pPr>
            <w:r w:rsidRPr="00E70A11">
              <w:rPr>
                <w:rFonts w:ascii="Arial Narrow" w:eastAsia="SymbolMT" w:hAnsi="Arial Narrow" w:cs="ArialMT"/>
                <w:color w:val="000000" w:themeColor="text1"/>
                <w:sz w:val="18"/>
                <w:szCs w:val="18"/>
              </w:rPr>
              <w:t>The port industry has established industry standards in certain operational areas. One example is the Environmental Code of Practice for Dredging and Dredge Material Management prepared by Ports Australia. The code sets out a series of environmental principles that Australian ports follow when undertaking dredging and when reusing, relocating or disposing of dredged material.</w:t>
            </w:r>
          </w:p>
          <w:p w14:paraId="57620075" w14:textId="77777777" w:rsidR="00A56EE9" w:rsidRPr="00E70A11" w:rsidRDefault="00A56EE9" w:rsidP="00A11869">
            <w:pPr>
              <w:pStyle w:val="ListParagraph"/>
              <w:numPr>
                <w:ilvl w:val="0"/>
                <w:numId w:val="105"/>
              </w:numPr>
              <w:spacing w:after="0" w:line="240" w:lineRule="auto"/>
              <w:ind w:left="357" w:hanging="357"/>
              <w:rPr>
                <w:rFonts w:ascii="Arial Narrow" w:hAnsi="Arial Narrow"/>
                <w:color w:val="000000" w:themeColor="text1"/>
                <w:sz w:val="18"/>
                <w:szCs w:val="18"/>
              </w:rPr>
            </w:pPr>
            <w:r w:rsidRPr="00E70A11">
              <w:rPr>
                <w:rFonts w:ascii="Arial Narrow" w:hAnsi="Arial Narrow"/>
                <w:color w:val="000000" w:themeColor="text1"/>
                <w:sz w:val="18"/>
                <w:szCs w:val="18"/>
              </w:rPr>
              <w:t>Targets have been set or are being developed under master plans, capital dredge disposal ban, maintenance dredging, cumulative impacts, net benefits, water quality improvement plans, and similar.</w:t>
            </w:r>
          </w:p>
          <w:p w14:paraId="57620076" w14:textId="77777777" w:rsidR="00A56EE9" w:rsidRPr="00E70A11" w:rsidRDefault="00A56EE9" w:rsidP="00A11869">
            <w:pPr>
              <w:pStyle w:val="ListBullet"/>
              <w:numPr>
                <w:ilvl w:val="0"/>
                <w:numId w:val="105"/>
              </w:numPr>
              <w:autoSpaceDE w:val="0"/>
              <w:autoSpaceDN w:val="0"/>
              <w:adjustRightInd w:val="0"/>
              <w:spacing w:line="240" w:lineRule="auto"/>
              <w:rPr>
                <w:rFonts w:cs="Arial"/>
                <w:b/>
                <w:u w:val="single"/>
              </w:rPr>
            </w:pPr>
            <w:r w:rsidRPr="00E70A11">
              <w:t>While targets have been developed for port developments and dredging, few, if any, are apparent, for matters related to routine port operations. Examples of appropriate targets might include rate of risk assessing visiting ships for marine pests, and comprehensive marine pest monitoring of ports in accordance with Australian guidelines.</w:t>
            </w:r>
          </w:p>
          <w:p w14:paraId="57620077" w14:textId="77777777" w:rsidR="00A56EE9" w:rsidRPr="00E70A11" w:rsidRDefault="00A56EE9" w:rsidP="00A11869">
            <w:pPr>
              <w:pStyle w:val="ListParagraph"/>
              <w:numPr>
                <w:ilvl w:val="0"/>
                <w:numId w:val="105"/>
              </w:numPr>
              <w:spacing w:after="200" w:line="240" w:lineRule="auto"/>
              <w:rPr>
                <w:rFonts w:ascii="Arial Narrow" w:hAnsi="Arial Narrow"/>
                <w:color w:val="000000" w:themeColor="text1"/>
                <w:sz w:val="18"/>
                <w:szCs w:val="18"/>
              </w:rPr>
            </w:pPr>
            <w:r w:rsidRPr="00E70A11">
              <w:rPr>
                <w:rFonts w:ascii="Arial Narrow" w:hAnsi="Arial Narrow"/>
                <w:color w:val="000000" w:themeColor="text1"/>
                <w:sz w:val="18"/>
                <w:szCs w:val="18"/>
                <w:lang w:val="en"/>
              </w:rPr>
              <w:t xml:space="preserve">RIMReP is being used to track the progress of outcomes outlined in the </w:t>
            </w:r>
            <w:hyperlink r:id="rId1470" w:history="1">
              <w:r w:rsidRPr="00E70A11">
                <w:rPr>
                  <w:rStyle w:val="Hyperlink"/>
                  <w:rFonts w:ascii="Arial Narrow" w:eastAsia="Calibri" w:hAnsi="Arial Narrow"/>
                  <w:color w:val="000000" w:themeColor="text1"/>
                  <w:sz w:val="18"/>
                  <w:szCs w:val="18"/>
                </w:rPr>
                <w:t>Reef 2050 Plan</w:t>
              </w:r>
            </w:hyperlink>
            <w:r w:rsidRPr="00E70A11">
              <w:rPr>
                <w:rFonts w:ascii="Arial Narrow" w:hAnsi="Arial Narrow"/>
                <w:color w:val="000000" w:themeColor="text1"/>
                <w:sz w:val="18"/>
                <w:szCs w:val="18"/>
                <w:lang w:val="en"/>
              </w:rPr>
              <w:t>. RIMReP will help track progress towards targets and objectives under the plan’s seven themes: ecosystem health, biodiversity, heritage, water quality, community benefits, economic benefits, governance and reporting.</w:t>
            </w:r>
          </w:p>
          <w:p w14:paraId="57620078" w14:textId="77777777" w:rsidR="00A56EE9" w:rsidRPr="00E70A11" w:rsidRDefault="00A56EE9" w:rsidP="00A11869">
            <w:pPr>
              <w:pStyle w:val="ListParagraph"/>
              <w:numPr>
                <w:ilvl w:val="0"/>
                <w:numId w:val="105"/>
              </w:numPr>
              <w:spacing w:after="200" w:line="240" w:lineRule="auto"/>
              <w:ind w:left="357" w:hanging="357"/>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Reef 2050 Long Term Sustainability Plan (WQA23) calls for expanded ‘nested’ integrated water quality monitoring and report card programs at major ports and activity centres (e.g. Gladstone), in priority catchments (e.g. Mackay Whitsundays) and Reef-wide, to guide local adaptive management frameworks and actions.</w:t>
            </w:r>
          </w:p>
        </w:tc>
        <w:tc>
          <w:tcPr>
            <w:tcW w:w="5066" w:type="dxa"/>
            <w:tcBorders>
              <w:top w:val="single" w:sz="4" w:space="0" w:color="auto"/>
              <w:left w:val="single" w:sz="4" w:space="0" w:color="auto"/>
              <w:bottom w:val="single" w:sz="4" w:space="0" w:color="auto"/>
              <w:right w:val="single" w:sz="4" w:space="0" w:color="auto"/>
            </w:tcBorders>
          </w:tcPr>
          <w:p w14:paraId="57620079" w14:textId="77777777" w:rsidR="00A56EE9" w:rsidRPr="00E70A11" w:rsidRDefault="008B5998" w:rsidP="00A11869">
            <w:pPr>
              <w:pStyle w:val="ListParagraph"/>
              <w:numPr>
                <w:ilvl w:val="0"/>
                <w:numId w:val="104"/>
              </w:numPr>
              <w:autoSpaceDE w:val="0"/>
              <w:autoSpaceDN w:val="0"/>
              <w:adjustRightInd w:val="0"/>
              <w:spacing w:after="0" w:line="240" w:lineRule="auto"/>
              <w:rPr>
                <w:rStyle w:val="Hyperlink"/>
                <w:rFonts w:ascii="Arial Narrow" w:hAnsi="Arial Narrow"/>
                <w:color w:val="000000" w:themeColor="text1"/>
                <w:sz w:val="18"/>
                <w:szCs w:val="18"/>
              </w:rPr>
            </w:pPr>
            <w:hyperlink r:id="rId1471" w:history="1">
              <w:r w:rsidR="00A56EE9" w:rsidRPr="00E70A11">
                <w:rPr>
                  <w:rStyle w:val="Hyperlink"/>
                  <w:rFonts w:ascii="Arial Narrow" w:hAnsi="Arial Narrow" w:cs="Arial Narrow"/>
                  <w:color w:val="000000" w:themeColor="text1"/>
                  <w:sz w:val="18"/>
                  <w:szCs w:val="18"/>
                </w:rPr>
                <w:t>Environmental best practice port development: an analysis of international approaches</w:t>
              </w:r>
            </w:hyperlink>
          </w:p>
          <w:p w14:paraId="5762007A" w14:textId="77777777" w:rsidR="00A56EE9" w:rsidRPr="00E70A11" w:rsidRDefault="008B5998" w:rsidP="00A11869">
            <w:pPr>
              <w:pStyle w:val="ListParagraph"/>
              <w:numPr>
                <w:ilvl w:val="0"/>
                <w:numId w:val="104"/>
              </w:numPr>
              <w:spacing w:after="0" w:line="240" w:lineRule="auto"/>
              <w:jc w:val="both"/>
              <w:rPr>
                <w:rStyle w:val="Hyperlink"/>
                <w:rFonts w:ascii="Arial Narrow" w:hAnsi="Arial Narrow"/>
                <w:color w:val="000000" w:themeColor="text1"/>
                <w:sz w:val="18"/>
                <w:szCs w:val="18"/>
              </w:rPr>
            </w:pPr>
            <w:hyperlink r:id="rId1472" w:history="1">
              <w:r w:rsidR="00A56EE9" w:rsidRPr="00E70A11">
                <w:rPr>
                  <w:rStyle w:val="Hyperlink"/>
                  <w:rFonts w:ascii="Arial Narrow" w:hAnsi="Arial Narrow"/>
                  <w:color w:val="000000" w:themeColor="text1"/>
                  <w:sz w:val="18"/>
                  <w:szCs w:val="18"/>
                </w:rPr>
                <w:t>Maintenance Dredging Strategy for Great Barrier Reef World Heritage Area Ports</w:t>
              </w:r>
            </w:hyperlink>
          </w:p>
          <w:p w14:paraId="5762007B" w14:textId="77777777" w:rsidR="00A56EE9" w:rsidRPr="00E70A11" w:rsidRDefault="008B5998" w:rsidP="00A11869">
            <w:pPr>
              <w:pStyle w:val="ListParagraph"/>
              <w:numPr>
                <w:ilvl w:val="0"/>
                <w:numId w:val="104"/>
              </w:numPr>
              <w:spacing w:after="0" w:line="240" w:lineRule="auto"/>
              <w:jc w:val="both"/>
              <w:rPr>
                <w:rStyle w:val="Hyperlink"/>
                <w:rFonts w:ascii="Arial Narrow" w:hAnsi="Arial Narrow"/>
                <w:color w:val="000000" w:themeColor="text1"/>
                <w:sz w:val="18"/>
                <w:szCs w:val="18"/>
              </w:rPr>
            </w:pPr>
            <w:hyperlink r:id="rId1473" w:history="1">
              <w:r w:rsidR="00A56EE9" w:rsidRPr="00E70A11">
                <w:rPr>
                  <w:rStyle w:val="Hyperlink"/>
                  <w:rFonts w:ascii="Arial Narrow" w:hAnsi="Arial Narrow"/>
                  <w:color w:val="000000" w:themeColor="text1"/>
                  <w:sz w:val="18"/>
                  <w:szCs w:val="18"/>
                </w:rPr>
                <w:t>Master planning for ports</w:t>
              </w:r>
            </w:hyperlink>
          </w:p>
          <w:p w14:paraId="5762007C" w14:textId="77777777" w:rsidR="00A56EE9" w:rsidRPr="00E70A11" w:rsidRDefault="008B5998" w:rsidP="00A11869">
            <w:pPr>
              <w:pStyle w:val="ListParagraph"/>
              <w:numPr>
                <w:ilvl w:val="0"/>
                <w:numId w:val="104"/>
              </w:numPr>
              <w:spacing w:after="0" w:line="276" w:lineRule="auto"/>
              <w:rPr>
                <w:rStyle w:val="Hyperlink"/>
                <w:rFonts w:ascii="Arial Narrow" w:hAnsi="Arial Narrow"/>
                <w:color w:val="000000" w:themeColor="text1"/>
                <w:sz w:val="18"/>
                <w:szCs w:val="18"/>
              </w:rPr>
            </w:pPr>
            <w:hyperlink r:id="rId1474" w:history="1">
              <w:r w:rsidR="00A56EE9" w:rsidRPr="00E70A11">
                <w:rPr>
                  <w:rStyle w:val="Hyperlink"/>
                  <w:rFonts w:ascii="Arial Narrow" w:hAnsi="Arial Narrow"/>
                  <w:color w:val="000000" w:themeColor="text1"/>
                  <w:sz w:val="18"/>
                  <w:szCs w:val="18"/>
                </w:rPr>
                <w:t>Reef 2050 Integrated Monitoring and Reporting Program</w:t>
              </w:r>
            </w:hyperlink>
          </w:p>
          <w:p w14:paraId="5762007D" w14:textId="77777777" w:rsidR="00A56EE9" w:rsidRPr="00E70A11" w:rsidRDefault="008B5998" w:rsidP="00A11869">
            <w:pPr>
              <w:pStyle w:val="ListBullet"/>
              <w:numPr>
                <w:ilvl w:val="0"/>
                <w:numId w:val="104"/>
              </w:numPr>
              <w:autoSpaceDE w:val="0"/>
              <w:autoSpaceDN w:val="0"/>
              <w:adjustRightInd w:val="0"/>
              <w:spacing w:line="240" w:lineRule="auto"/>
              <w:rPr>
                <w:color w:val="000000" w:themeColor="text1"/>
                <w:lang w:val="en"/>
              </w:rPr>
            </w:pPr>
            <w:hyperlink r:id="rId1475" w:history="1">
              <w:r w:rsidR="00A56EE9" w:rsidRPr="00E70A11">
                <w:rPr>
                  <w:rStyle w:val="Hyperlink"/>
                  <w:color w:val="000000" w:themeColor="text1"/>
                  <w:lang w:val="en"/>
                </w:rPr>
                <w:t>Bulk Ports Corporation</w:t>
              </w:r>
            </w:hyperlink>
            <w:r w:rsidR="00A56EE9" w:rsidRPr="00E70A11">
              <w:rPr>
                <w:color w:val="000000" w:themeColor="text1"/>
                <w:lang w:val="en"/>
              </w:rPr>
              <w:t xml:space="preserve"> monitoring reports</w:t>
            </w:r>
          </w:p>
          <w:p w14:paraId="5762007E" w14:textId="77777777" w:rsidR="00A56EE9" w:rsidRPr="00E70A11" w:rsidRDefault="008B5998" w:rsidP="00A11869">
            <w:pPr>
              <w:pStyle w:val="ListBullet"/>
              <w:numPr>
                <w:ilvl w:val="0"/>
                <w:numId w:val="104"/>
              </w:numPr>
              <w:autoSpaceDE w:val="0"/>
              <w:autoSpaceDN w:val="0"/>
              <w:adjustRightInd w:val="0"/>
              <w:spacing w:line="240" w:lineRule="auto"/>
              <w:rPr>
                <w:color w:val="000000" w:themeColor="text1"/>
              </w:rPr>
            </w:pPr>
            <w:hyperlink r:id="rId1476" w:history="1">
              <w:r w:rsidR="00A56EE9" w:rsidRPr="00E70A11">
                <w:rPr>
                  <w:rStyle w:val="Hyperlink"/>
                  <w:color w:val="000000" w:themeColor="text1"/>
                </w:rPr>
                <w:t>Water quality Improvement Plans (WQIPs) and Healthy Waters Management Plans (HWMPs</w:t>
              </w:r>
            </w:hyperlink>
            <w:r w:rsidR="00A56EE9" w:rsidRPr="00E70A11">
              <w:rPr>
                <w:color w:val="000000" w:themeColor="text1"/>
              </w:rPr>
              <w:t>)</w:t>
            </w:r>
          </w:p>
          <w:p w14:paraId="5762007F" w14:textId="77777777" w:rsidR="00A56EE9" w:rsidRPr="00E70A11" w:rsidRDefault="008B5998" w:rsidP="00A11869">
            <w:pPr>
              <w:pStyle w:val="ListParagraph"/>
              <w:numPr>
                <w:ilvl w:val="0"/>
                <w:numId w:val="104"/>
              </w:numPr>
              <w:spacing w:after="0" w:line="240" w:lineRule="auto"/>
              <w:jc w:val="both"/>
              <w:rPr>
                <w:rFonts w:ascii="Arial Narrow" w:hAnsi="Arial Narrow"/>
                <w:color w:val="000000" w:themeColor="text1"/>
                <w:sz w:val="18"/>
                <w:szCs w:val="18"/>
              </w:rPr>
            </w:pPr>
            <w:hyperlink r:id="rId1477" w:history="1">
              <w:r w:rsidR="00A56EE9" w:rsidRPr="00E70A11">
                <w:rPr>
                  <w:rStyle w:val="Hyperlink"/>
                  <w:rFonts w:ascii="Arial Narrow" w:hAnsi="Arial Narrow"/>
                  <w:color w:val="000000" w:themeColor="text1"/>
                  <w:sz w:val="18"/>
                  <w:szCs w:val="18"/>
                </w:rPr>
                <w:t>Cumulative Impact Management policy</w:t>
              </w:r>
            </w:hyperlink>
          </w:p>
          <w:p w14:paraId="57620080" w14:textId="77777777" w:rsidR="00A56EE9" w:rsidRPr="00E70A11" w:rsidRDefault="008B5998" w:rsidP="00A11869">
            <w:pPr>
              <w:pStyle w:val="ListParagraph"/>
              <w:numPr>
                <w:ilvl w:val="0"/>
                <w:numId w:val="104"/>
              </w:numPr>
              <w:spacing w:after="0" w:line="240" w:lineRule="auto"/>
              <w:jc w:val="both"/>
              <w:rPr>
                <w:rFonts w:ascii="Arial Narrow" w:hAnsi="Arial Narrow"/>
                <w:color w:val="000000" w:themeColor="text1"/>
                <w:sz w:val="18"/>
                <w:szCs w:val="18"/>
              </w:rPr>
            </w:pPr>
            <w:hyperlink r:id="rId1478" w:history="1">
              <w:r w:rsidR="00A56EE9" w:rsidRPr="00E70A11">
                <w:rPr>
                  <w:rStyle w:val="Hyperlink"/>
                  <w:rFonts w:ascii="Arial Narrow" w:hAnsi="Arial Narrow"/>
                  <w:color w:val="000000" w:themeColor="text1"/>
                  <w:sz w:val="18"/>
                  <w:szCs w:val="18"/>
                </w:rPr>
                <w:t>Net Benefit Policy</w:t>
              </w:r>
            </w:hyperlink>
          </w:p>
          <w:p w14:paraId="57620081" w14:textId="77777777" w:rsidR="00A56EE9" w:rsidRPr="00E70A11" w:rsidRDefault="00A56EE9" w:rsidP="00A11869">
            <w:pPr>
              <w:pStyle w:val="ListParagraph"/>
              <w:numPr>
                <w:ilvl w:val="0"/>
                <w:numId w:val="104"/>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Offsets</w:t>
            </w:r>
          </w:p>
          <w:p w14:paraId="57620082" w14:textId="48502E29" w:rsidR="00A56EE9" w:rsidRPr="00E70A11" w:rsidRDefault="00A56EE9" w:rsidP="00A11869">
            <w:pPr>
              <w:pStyle w:val="ListParagraph"/>
              <w:numPr>
                <w:ilvl w:val="0"/>
                <w:numId w:val="104"/>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Sediment management,</w:t>
            </w:r>
          </w:p>
          <w:p w14:paraId="57620083" w14:textId="77777777" w:rsidR="00A56EE9" w:rsidRPr="00E70A11" w:rsidRDefault="008B5998" w:rsidP="00A11869">
            <w:pPr>
              <w:pStyle w:val="ListParagraph"/>
              <w:numPr>
                <w:ilvl w:val="0"/>
                <w:numId w:val="104"/>
              </w:numPr>
              <w:spacing w:after="0" w:line="240" w:lineRule="auto"/>
              <w:jc w:val="both"/>
              <w:rPr>
                <w:rFonts w:ascii="Arial Narrow" w:hAnsi="Arial Narrow"/>
                <w:color w:val="000000" w:themeColor="text1"/>
                <w:sz w:val="18"/>
                <w:szCs w:val="18"/>
              </w:rPr>
            </w:pPr>
            <w:hyperlink r:id="rId1479" w:history="1">
              <w:r w:rsidR="00A56EE9" w:rsidRPr="00E70A11">
                <w:rPr>
                  <w:rStyle w:val="Hyperlink"/>
                  <w:rFonts w:ascii="Arial Narrow" w:hAnsi="Arial Narrow"/>
                  <w:color w:val="000000" w:themeColor="text1"/>
                  <w:sz w:val="18"/>
                  <w:szCs w:val="18"/>
                </w:rPr>
                <w:t>Dredge and dredge spoilt material disposal policy</w:t>
              </w:r>
            </w:hyperlink>
          </w:p>
          <w:p w14:paraId="57620084" w14:textId="77777777" w:rsidR="00A56EE9" w:rsidRPr="00E70A11" w:rsidRDefault="008B5998" w:rsidP="00A11869">
            <w:pPr>
              <w:pStyle w:val="ListParagraph"/>
              <w:numPr>
                <w:ilvl w:val="0"/>
                <w:numId w:val="104"/>
              </w:numPr>
              <w:spacing w:after="0" w:line="240" w:lineRule="auto"/>
              <w:jc w:val="both"/>
              <w:rPr>
                <w:rFonts w:ascii="Arial Narrow" w:hAnsi="Arial Narrow"/>
                <w:color w:val="000000" w:themeColor="text1"/>
                <w:sz w:val="18"/>
                <w:szCs w:val="18"/>
              </w:rPr>
            </w:pPr>
            <w:hyperlink r:id="rId1480" w:history="1">
              <w:r w:rsidR="00A56EE9" w:rsidRPr="00E70A11">
                <w:rPr>
                  <w:rStyle w:val="Hyperlink"/>
                  <w:rFonts w:ascii="Arial Narrow" w:hAnsi="Arial Narrow"/>
                  <w:color w:val="000000" w:themeColor="text1"/>
                  <w:sz w:val="18"/>
                  <w:szCs w:val="18"/>
                </w:rPr>
                <w:t>Improved Dredge Material Management for the GBR Region</w:t>
              </w:r>
            </w:hyperlink>
          </w:p>
          <w:p w14:paraId="57620085" w14:textId="77777777" w:rsidR="00A56EE9" w:rsidRPr="00E70A11" w:rsidRDefault="00A56EE9" w:rsidP="00A11869">
            <w:pPr>
              <w:pStyle w:val="ListParagraph"/>
              <w:numPr>
                <w:ilvl w:val="0"/>
                <w:numId w:val="104"/>
              </w:numPr>
              <w:spacing w:after="0" w:line="240" w:lineRule="auto"/>
              <w:jc w:val="both"/>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Great Barrier Reef Marine Park Regulations 1983 Regulation 88RA – ban on capital dredging</w:t>
            </w:r>
          </w:p>
          <w:p w14:paraId="57620086" w14:textId="77777777" w:rsidR="00A56EE9" w:rsidRPr="00E70A11" w:rsidRDefault="008B5998" w:rsidP="00A11869">
            <w:pPr>
              <w:pStyle w:val="ListParagraph"/>
              <w:numPr>
                <w:ilvl w:val="0"/>
                <w:numId w:val="104"/>
              </w:numPr>
              <w:spacing w:after="0" w:line="240" w:lineRule="auto"/>
              <w:jc w:val="both"/>
              <w:rPr>
                <w:rFonts w:ascii="Arial Narrow" w:hAnsi="Arial Narrow"/>
                <w:color w:val="000000" w:themeColor="text1"/>
                <w:sz w:val="18"/>
                <w:szCs w:val="18"/>
              </w:rPr>
            </w:pPr>
            <w:hyperlink r:id="rId1481" w:history="1">
              <w:r w:rsidR="00A56EE9" w:rsidRPr="00E70A11">
                <w:rPr>
                  <w:rStyle w:val="Hyperlink"/>
                  <w:rFonts w:ascii="Arial Narrow" w:hAnsi="Arial Narrow"/>
                  <w:i/>
                  <w:iCs/>
                  <w:color w:val="000000" w:themeColor="text1"/>
                  <w:sz w:val="18"/>
                  <w:szCs w:val="18"/>
                </w:rPr>
                <w:t>Environmental Code of Practice for Dredging and Dredge Material Management</w:t>
              </w:r>
            </w:hyperlink>
          </w:p>
          <w:p w14:paraId="57620087" w14:textId="77777777" w:rsidR="00A56EE9" w:rsidRPr="00E70A11" w:rsidRDefault="008B5998" w:rsidP="00A11869">
            <w:pPr>
              <w:pStyle w:val="ListParagraph"/>
              <w:numPr>
                <w:ilvl w:val="0"/>
                <w:numId w:val="104"/>
              </w:numPr>
              <w:spacing w:after="0" w:line="240" w:lineRule="auto"/>
              <w:jc w:val="both"/>
              <w:rPr>
                <w:rFonts w:ascii="Arial Narrow" w:hAnsi="Arial Narrow"/>
                <w:color w:val="000000" w:themeColor="text1"/>
                <w:sz w:val="18"/>
                <w:szCs w:val="18"/>
              </w:rPr>
            </w:pPr>
            <w:hyperlink r:id="rId1482" w:history="1">
              <w:r w:rsidR="00A56EE9" w:rsidRPr="00E70A11">
                <w:rPr>
                  <w:rStyle w:val="Hyperlink"/>
                  <w:rFonts w:ascii="Arial Narrow" w:hAnsi="Arial Narrow"/>
                  <w:i/>
                  <w:iCs/>
                  <w:color w:val="000000" w:themeColor="text1"/>
                  <w:sz w:val="18"/>
                  <w:szCs w:val="18"/>
                </w:rPr>
                <w:t>Dredging and Australian Ports – tropical and subtropical ports</w:t>
              </w:r>
            </w:hyperlink>
          </w:p>
          <w:p w14:paraId="57620088" w14:textId="77777777" w:rsidR="00A56EE9" w:rsidRPr="00E70A11" w:rsidRDefault="008B5998" w:rsidP="00A11869">
            <w:pPr>
              <w:pStyle w:val="ListParagraph"/>
              <w:numPr>
                <w:ilvl w:val="0"/>
                <w:numId w:val="104"/>
              </w:numPr>
              <w:spacing w:after="200" w:line="240" w:lineRule="auto"/>
              <w:rPr>
                <w:rFonts w:ascii="Arial Narrow" w:hAnsi="Arial Narrow"/>
                <w:color w:val="000000" w:themeColor="text1"/>
                <w:sz w:val="18"/>
                <w:szCs w:val="18"/>
              </w:rPr>
            </w:pPr>
            <w:hyperlink r:id="rId1483" w:history="1">
              <w:r w:rsidR="00A56EE9" w:rsidRPr="00E70A11">
                <w:rPr>
                  <w:rStyle w:val="Hyperlink"/>
                  <w:rFonts w:ascii="Arial Narrow" w:hAnsi="Arial Narrow"/>
                  <w:color w:val="000000" w:themeColor="text1"/>
                  <w:sz w:val="18"/>
                  <w:szCs w:val="18"/>
                </w:rPr>
                <w:t>Reef 2050 Long-Term Sustainability Plan</w:t>
              </w:r>
            </w:hyperlink>
          </w:p>
          <w:p w14:paraId="57620089" w14:textId="77777777" w:rsidR="00A56EE9" w:rsidRPr="00E70A11" w:rsidRDefault="00A56EE9" w:rsidP="00BB6AD5">
            <w:pPr>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2008A"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2008B"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20093"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08D" w14:textId="77777777" w:rsidR="00A56EE9" w:rsidRPr="00E70A11" w:rsidRDefault="00A56EE9" w:rsidP="00BB6AD5">
            <w:pPr>
              <w:pStyle w:val="Tablebulletlist"/>
              <w:rPr>
                <w:rStyle w:val="BookTitle"/>
              </w:rPr>
            </w:pPr>
            <w:r w:rsidRPr="00E70A11">
              <w:rPr>
                <w:rStyle w:val="BookTitle"/>
              </w:rPr>
              <w:t>OUTPUTS</w:t>
            </w:r>
          </w:p>
        </w:tc>
        <w:tc>
          <w:tcPr>
            <w:tcW w:w="7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08E" w14:textId="77777777" w:rsidR="00A56EE9" w:rsidRPr="00E70A11" w:rsidRDefault="00A56EE9" w:rsidP="00BB6AD5">
            <w:pPr>
              <w:pStyle w:val="Tablebulletlist"/>
              <w:rPr>
                <w:rStyle w:val="BookTitle"/>
              </w:rPr>
            </w:pPr>
          </w:p>
        </w:tc>
        <w:tc>
          <w:tcPr>
            <w:tcW w:w="417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08F"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6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090"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091" w14:textId="77777777" w:rsidR="00A56EE9" w:rsidRPr="00E70A11" w:rsidRDefault="00A56EE9" w:rsidP="00BB6AD5">
            <w:pPr>
              <w:pStyle w:val="Tablebulletlist"/>
              <w:rPr>
                <w:rStyle w:val="BookTitle"/>
              </w:rPr>
            </w:pPr>
          </w:p>
        </w:tc>
        <w:tc>
          <w:tcPr>
            <w:tcW w:w="91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092" w14:textId="77777777" w:rsidR="00A56EE9" w:rsidRPr="00E70A11" w:rsidRDefault="00A56EE9" w:rsidP="00BB6AD5">
            <w:pPr>
              <w:pStyle w:val="Tablebulletlist"/>
              <w:rPr>
                <w:rStyle w:val="BookTitle"/>
              </w:rPr>
            </w:pPr>
          </w:p>
        </w:tc>
      </w:tr>
      <w:tr w:rsidR="00A56EE9" w:rsidRPr="00E70A11" w14:paraId="576200A6"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094"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ports </w:t>
            </w:r>
          </w:p>
        </w:tc>
        <w:tc>
          <w:tcPr>
            <w:tcW w:w="790" w:type="dxa"/>
            <w:tcBorders>
              <w:top w:val="single" w:sz="4" w:space="0" w:color="auto"/>
              <w:left w:val="single" w:sz="4" w:space="0" w:color="auto"/>
              <w:bottom w:val="single" w:sz="4" w:space="0" w:color="auto"/>
              <w:right w:val="single" w:sz="4" w:space="0" w:color="auto"/>
            </w:tcBorders>
          </w:tcPr>
          <w:p w14:paraId="57620095"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096" w14:textId="77777777" w:rsidR="00A56EE9" w:rsidRPr="00E70A11" w:rsidRDefault="00A56EE9" w:rsidP="00A11869">
            <w:pPr>
              <w:numPr>
                <w:ilvl w:val="0"/>
                <w:numId w:val="95"/>
              </w:numPr>
              <w:spacing w:before="40" w:after="40" w:line="240" w:lineRule="auto"/>
              <w:rPr>
                <w:rFonts w:ascii="Arial Narrow" w:hAnsi="Arial Narrow"/>
                <w:sz w:val="18"/>
                <w:szCs w:val="18"/>
              </w:rPr>
            </w:pPr>
            <w:r w:rsidRPr="00E70A11">
              <w:rPr>
                <w:rFonts w:ascii="Arial Narrow" w:hAnsi="Arial Narrow"/>
                <w:sz w:val="18"/>
                <w:szCs w:val="18"/>
              </w:rPr>
              <w:t>Work on the development of the Queensland ports strategy is complete, with associated legislation proclaimed.</w:t>
            </w:r>
          </w:p>
          <w:p w14:paraId="57620097" w14:textId="77777777" w:rsidR="00A56EE9" w:rsidRPr="00E70A11" w:rsidRDefault="00A56EE9" w:rsidP="00A11869">
            <w:pPr>
              <w:numPr>
                <w:ilvl w:val="0"/>
                <w:numId w:val="95"/>
              </w:numPr>
              <w:spacing w:before="40" w:after="40" w:line="240" w:lineRule="auto"/>
              <w:rPr>
                <w:rFonts w:ascii="Arial Narrow" w:hAnsi="Arial Narrow"/>
                <w:sz w:val="18"/>
                <w:szCs w:val="18"/>
              </w:rPr>
            </w:pPr>
            <w:r w:rsidRPr="00E70A11">
              <w:rPr>
                <w:rFonts w:ascii="Arial Narrow" w:hAnsi="Arial Narrow"/>
                <w:sz w:val="18"/>
                <w:szCs w:val="18"/>
              </w:rPr>
              <w:t>Work on the development and implementation of the port master planning frameworks has commenced, but has not progressed in accordance with the indicative schedule.</w:t>
            </w:r>
          </w:p>
          <w:p w14:paraId="57620098" w14:textId="77777777" w:rsidR="00A56EE9" w:rsidRPr="00E70A11" w:rsidRDefault="00A56EE9" w:rsidP="00A11869">
            <w:pPr>
              <w:numPr>
                <w:ilvl w:val="0"/>
                <w:numId w:val="95"/>
              </w:numPr>
              <w:spacing w:before="40" w:after="40" w:line="240" w:lineRule="auto"/>
              <w:rPr>
                <w:rFonts w:ascii="Arial Narrow" w:hAnsi="Arial Narrow"/>
                <w:sz w:val="18"/>
                <w:szCs w:val="18"/>
              </w:rPr>
            </w:pPr>
            <w:r w:rsidRPr="00E70A11">
              <w:rPr>
                <w:rFonts w:ascii="Arial Narrow" w:hAnsi="Arial Narrow"/>
                <w:sz w:val="18"/>
                <w:szCs w:val="18"/>
              </w:rPr>
              <w:t>Other achievements in terms of port management have included new policies and procedures concerning dredging and spoil disposal, review of arrangements for the management of anchorages, and the development of a strategy for the management of marine pest risks in Queensland.</w:t>
            </w:r>
          </w:p>
          <w:p w14:paraId="57620099" w14:textId="77777777" w:rsidR="00A56EE9" w:rsidRPr="00E70A11" w:rsidRDefault="00A56EE9" w:rsidP="00A11869">
            <w:pPr>
              <w:numPr>
                <w:ilvl w:val="0"/>
                <w:numId w:val="95"/>
              </w:numPr>
              <w:spacing w:before="40" w:after="40" w:line="240" w:lineRule="auto"/>
              <w:rPr>
                <w:rStyle w:val="BookTitle"/>
                <w:rFonts w:ascii="Arial Narrow" w:hAnsi="Arial Narrow"/>
                <w:sz w:val="18"/>
                <w:szCs w:val="18"/>
              </w:rPr>
            </w:pPr>
            <w:r w:rsidRPr="00E70A11">
              <w:rPr>
                <w:rFonts w:ascii="Arial Narrow" w:hAnsi="Arial Narrow"/>
                <w:sz w:val="18"/>
                <w:szCs w:val="18"/>
              </w:rPr>
              <w:t>There is no indication to suggest that the activities in ports related to their development and operations have not been managed effectively, or in a manner not consistent with effective management of risks to Marine Park and World Heritage Area values and processes.</w:t>
            </w:r>
          </w:p>
        </w:tc>
        <w:tc>
          <w:tcPr>
            <w:tcW w:w="5066" w:type="dxa"/>
            <w:tcBorders>
              <w:top w:val="single" w:sz="4" w:space="0" w:color="auto"/>
              <w:left w:val="single" w:sz="4" w:space="0" w:color="auto"/>
              <w:bottom w:val="single" w:sz="4" w:space="0" w:color="auto"/>
              <w:right w:val="single" w:sz="4" w:space="0" w:color="auto"/>
            </w:tcBorders>
          </w:tcPr>
          <w:p w14:paraId="5762009A" w14:textId="77777777" w:rsidR="00A56EE9" w:rsidRPr="00E70A11" w:rsidRDefault="00A56EE9" w:rsidP="00A11869">
            <w:pPr>
              <w:pStyle w:val="ListBullet"/>
              <w:numPr>
                <w:ilvl w:val="0"/>
                <w:numId w:val="93"/>
              </w:numPr>
              <w:autoSpaceDE w:val="0"/>
              <w:autoSpaceDN w:val="0"/>
              <w:adjustRightInd w:val="0"/>
              <w:spacing w:line="240" w:lineRule="auto"/>
            </w:pPr>
            <w:r w:rsidRPr="00E70A11">
              <w:t>GBRMPA and Queensland Program Reports</w:t>
            </w:r>
          </w:p>
          <w:p w14:paraId="5762009B"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84" w:history="1">
              <w:r w:rsidR="00A56EE9" w:rsidRPr="00E70A11">
                <w:rPr>
                  <w:rStyle w:val="Hyperlink"/>
                  <w:color w:val="000000" w:themeColor="text1"/>
                </w:rPr>
                <w:t>Master planning for ports</w:t>
              </w:r>
            </w:hyperlink>
          </w:p>
          <w:p w14:paraId="5762009C"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lang w:val="en"/>
              </w:rPr>
            </w:pPr>
            <w:hyperlink r:id="rId1485" w:history="1">
              <w:r w:rsidR="00A56EE9" w:rsidRPr="00E70A11">
                <w:rPr>
                  <w:rStyle w:val="Hyperlink"/>
                  <w:color w:val="000000" w:themeColor="text1"/>
                </w:rPr>
                <w:t>Queensland Ports Strategy 2014</w:t>
              </w:r>
            </w:hyperlink>
          </w:p>
          <w:p w14:paraId="5762009D"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486" w:history="1">
              <w:r w:rsidR="00A56EE9" w:rsidRPr="00E70A11">
                <w:rPr>
                  <w:rStyle w:val="Hyperlink"/>
                  <w:color w:val="000000" w:themeColor="text1"/>
                </w:rPr>
                <w:t>Great Barrier Reef Coastal Zone Strategic Assessment</w:t>
              </w:r>
            </w:hyperlink>
            <w:r w:rsidR="00A56EE9" w:rsidRPr="00E70A11">
              <w:rPr>
                <w:color w:val="000000" w:themeColor="text1"/>
              </w:rPr>
              <w:t xml:space="preserve"> 2014</w:t>
            </w:r>
          </w:p>
          <w:p w14:paraId="5762009E"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487" w:history="1">
              <w:r w:rsidR="00A56EE9" w:rsidRPr="00E70A11">
                <w:rPr>
                  <w:rStyle w:val="Hyperlink"/>
                  <w:color w:val="000000" w:themeColor="text1"/>
                </w:rPr>
                <w:t>Maintenance Dredging Strategy for Great Barrier Reef World Heritage Area Ports</w:t>
              </w:r>
            </w:hyperlink>
          </w:p>
          <w:p w14:paraId="5762009F" w14:textId="77777777" w:rsidR="00A56EE9" w:rsidRPr="00E70A11" w:rsidRDefault="00A56EE9" w:rsidP="00A11869">
            <w:pPr>
              <w:pStyle w:val="ListBullet"/>
              <w:numPr>
                <w:ilvl w:val="0"/>
                <w:numId w:val="93"/>
              </w:numPr>
              <w:autoSpaceDE w:val="0"/>
              <w:autoSpaceDN w:val="0"/>
              <w:adjustRightInd w:val="0"/>
              <w:spacing w:line="240" w:lineRule="auto"/>
              <w:rPr>
                <w:rStyle w:val="Hyperlink"/>
                <w:color w:val="000000" w:themeColor="text1"/>
              </w:rPr>
            </w:pPr>
            <w:r w:rsidRPr="00E70A11">
              <w:rPr>
                <w:rStyle w:val="Hyperlink"/>
                <w:color w:val="000000" w:themeColor="text1"/>
              </w:rPr>
              <w:t>Great Barrier Reef Marine Park Regulations 1983 Regulation 88RA – ban on capital dredging</w:t>
            </w:r>
          </w:p>
          <w:p w14:paraId="576200A0"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488" w:history="1">
              <w:r w:rsidR="00A56EE9" w:rsidRPr="00E70A11">
                <w:rPr>
                  <w:rStyle w:val="Hyperlink"/>
                  <w:color w:val="000000" w:themeColor="text1"/>
                </w:rPr>
                <w:t>Reef 2050 Integrated Monitoring and Reporting Program</w:t>
              </w:r>
            </w:hyperlink>
          </w:p>
          <w:p w14:paraId="576200A1" w14:textId="77777777" w:rsidR="00A56EE9" w:rsidRPr="00E70A11" w:rsidRDefault="00A56EE9" w:rsidP="00A11869">
            <w:pPr>
              <w:pStyle w:val="ListBullet"/>
              <w:numPr>
                <w:ilvl w:val="0"/>
                <w:numId w:val="93"/>
              </w:numPr>
              <w:autoSpaceDE w:val="0"/>
              <w:autoSpaceDN w:val="0"/>
              <w:adjustRightInd w:val="0"/>
              <w:spacing w:line="240" w:lineRule="auto"/>
              <w:rPr>
                <w:rStyle w:val="BookTitle"/>
                <w:color w:val="000000" w:themeColor="text1"/>
              </w:rPr>
            </w:pPr>
            <w:r w:rsidRPr="00E70A11">
              <w:rPr>
                <w:rStyle w:val="BookTitle"/>
                <w:color w:val="000000" w:themeColor="text1"/>
              </w:rPr>
              <w:t>Queensland Biosecurity Capability Review - Final Report, September 2015.</w:t>
            </w:r>
          </w:p>
          <w:p w14:paraId="576200A2" w14:textId="77777777" w:rsidR="00A56EE9" w:rsidRPr="00E70A11" w:rsidRDefault="00A56EE9" w:rsidP="00A11869">
            <w:pPr>
              <w:pStyle w:val="ListBullet"/>
              <w:numPr>
                <w:ilvl w:val="0"/>
                <w:numId w:val="93"/>
              </w:numPr>
              <w:autoSpaceDE w:val="0"/>
              <w:autoSpaceDN w:val="0"/>
              <w:adjustRightInd w:val="0"/>
              <w:spacing w:line="240" w:lineRule="auto"/>
            </w:pPr>
            <w:r w:rsidRPr="00E70A11">
              <w:rPr>
                <w:rStyle w:val="BookTitle"/>
                <w:color w:val="000000" w:themeColor="text1"/>
              </w:rPr>
              <w:t>Queensland Biosecurity Capability Review Interim Response, Department of Agriculture and Fisheries, 2016.</w:t>
            </w:r>
          </w:p>
          <w:p w14:paraId="576200A3" w14:textId="77777777" w:rsidR="00A56EE9" w:rsidRPr="00E70A11" w:rsidRDefault="00A56EE9" w:rsidP="00BB6AD5">
            <w:pPr>
              <w:pStyle w:val="ListBullet"/>
              <w:numPr>
                <w:ilvl w:val="0"/>
                <w:numId w:val="0"/>
              </w:numPr>
              <w:ind w:left="360"/>
              <w:rPr>
                <w:rStyle w:val="BookTitle"/>
                <w:color w:val="000000" w:themeColor="text1"/>
              </w:rPr>
            </w:pPr>
          </w:p>
        </w:tc>
        <w:tc>
          <w:tcPr>
            <w:tcW w:w="984" w:type="dxa"/>
            <w:tcBorders>
              <w:top w:val="single" w:sz="4" w:space="0" w:color="auto"/>
              <w:left w:val="single" w:sz="4" w:space="0" w:color="auto"/>
              <w:bottom w:val="single" w:sz="4" w:space="0" w:color="auto"/>
              <w:right w:val="single" w:sz="4" w:space="0" w:color="auto"/>
            </w:tcBorders>
          </w:tcPr>
          <w:p w14:paraId="576200A4"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0A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0CF"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0A7"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ports have progressed in accordance with timeframes specified in those documents</w:t>
            </w:r>
          </w:p>
        </w:tc>
        <w:tc>
          <w:tcPr>
            <w:tcW w:w="790" w:type="dxa"/>
            <w:tcBorders>
              <w:top w:val="single" w:sz="4" w:space="0" w:color="auto"/>
              <w:left w:val="single" w:sz="4" w:space="0" w:color="auto"/>
              <w:bottom w:val="single" w:sz="4" w:space="0" w:color="auto"/>
              <w:right w:val="single" w:sz="4" w:space="0" w:color="auto"/>
            </w:tcBorders>
          </w:tcPr>
          <w:p w14:paraId="576200A8"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0A9"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New regulations on the conduct of dredging (capital and maintenance) and spoil disposal have been implemented. </w:t>
            </w:r>
          </w:p>
          <w:p w14:paraId="576200AA"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 xml:space="preserve">Many of the other actions related to Ports under Reef 2050 have been progressed or completed, including, </w:t>
            </w:r>
            <w:r w:rsidRPr="00E70A11">
              <w:rPr>
                <w:i/>
                <w:color w:val="000000" w:themeColor="text1"/>
              </w:rPr>
              <w:t>inter alia</w:t>
            </w:r>
            <w:r w:rsidRPr="00E70A11">
              <w:rPr>
                <w:color w:val="000000" w:themeColor="text1"/>
              </w:rPr>
              <w:t>:</w:t>
            </w:r>
          </w:p>
          <w:p w14:paraId="576200AB" w14:textId="77777777" w:rsidR="00A56EE9" w:rsidRPr="00E70A11" w:rsidRDefault="00A56EE9" w:rsidP="00A11869">
            <w:pPr>
              <w:pStyle w:val="ListBullet"/>
              <w:numPr>
                <w:ilvl w:val="1"/>
                <w:numId w:val="128"/>
              </w:numPr>
              <w:autoSpaceDE w:val="0"/>
              <w:autoSpaceDN w:val="0"/>
              <w:adjustRightInd w:val="0"/>
              <w:spacing w:line="240" w:lineRule="auto"/>
              <w:rPr>
                <w:color w:val="000000" w:themeColor="text1"/>
              </w:rPr>
            </w:pPr>
            <w:r w:rsidRPr="00E70A11">
              <w:rPr>
                <w:color w:val="000000" w:themeColor="text1"/>
              </w:rPr>
              <w:t>establishment of Priority Ports</w:t>
            </w:r>
          </w:p>
          <w:p w14:paraId="576200AC" w14:textId="77777777" w:rsidR="00A56EE9" w:rsidRPr="00E70A11" w:rsidRDefault="00A56EE9" w:rsidP="00A11869">
            <w:pPr>
              <w:pStyle w:val="ListBullet"/>
              <w:numPr>
                <w:ilvl w:val="1"/>
                <w:numId w:val="128"/>
              </w:numPr>
              <w:autoSpaceDE w:val="0"/>
              <w:autoSpaceDN w:val="0"/>
              <w:adjustRightInd w:val="0"/>
              <w:spacing w:line="240" w:lineRule="auto"/>
              <w:rPr>
                <w:color w:val="000000" w:themeColor="text1"/>
              </w:rPr>
            </w:pPr>
            <w:r w:rsidRPr="00E70A11">
              <w:rPr>
                <w:color w:val="000000" w:themeColor="text1"/>
              </w:rPr>
              <w:t>establishment of Sustainable Ports Development Act</w:t>
            </w:r>
          </w:p>
          <w:p w14:paraId="576200AD" w14:textId="77777777" w:rsidR="00A56EE9" w:rsidRPr="00E70A11" w:rsidRDefault="00A56EE9" w:rsidP="00A11869">
            <w:pPr>
              <w:pStyle w:val="ListBullet"/>
              <w:numPr>
                <w:ilvl w:val="1"/>
                <w:numId w:val="128"/>
              </w:numPr>
              <w:autoSpaceDE w:val="0"/>
              <w:autoSpaceDN w:val="0"/>
              <w:adjustRightInd w:val="0"/>
              <w:spacing w:line="240" w:lineRule="auto"/>
              <w:rPr>
                <w:color w:val="000000" w:themeColor="text1"/>
              </w:rPr>
            </w:pPr>
            <w:r w:rsidRPr="00E70A11">
              <w:rPr>
                <w:color w:val="000000" w:themeColor="text1"/>
              </w:rPr>
              <w:t>GBR Wide Sediment Study - Substantially complete.</w:t>
            </w:r>
          </w:p>
          <w:p w14:paraId="576200AE" w14:textId="77777777" w:rsidR="00A56EE9" w:rsidRPr="00E70A11" w:rsidRDefault="00A56EE9" w:rsidP="00A11869">
            <w:pPr>
              <w:pStyle w:val="ListBullet"/>
              <w:numPr>
                <w:ilvl w:val="1"/>
                <w:numId w:val="128"/>
              </w:numPr>
              <w:autoSpaceDE w:val="0"/>
              <w:autoSpaceDN w:val="0"/>
              <w:adjustRightInd w:val="0"/>
              <w:spacing w:line="240" w:lineRule="auto"/>
              <w:rPr>
                <w:color w:val="000000" w:themeColor="text1"/>
              </w:rPr>
            </w:pPr>
            <w:r w:rsidRPr="00E70A11">
              <w:rPr>
                <w:color w:val="000000" w:themeColor="text1"/>
              </w:rPr>
              <w:t>Port master planning</w:t>
            </w:r>
          </w:p>
          <w:p w14:paraId="576200AF" w14:textId="77777777" w:rsidR="00A56EE9" w:rsidRPr="00E70A11" w:rsidRDefault="00A56EE9" w:rsidP="00A11869">
            <w:pPr>
              <w:pStyle w:val="ListBullet"/>
              <w:numPr>
                <w:ilvl w:val="1"/>
                <w:numId w:val="128"/>
              </w:numPr>
              <w:autoSpaceDE w:val="0"/>
              <w:autoSpaceDN w:val="0"/>
              <w:adjustRightInd w:val="0"/>
              <w:spacing w:line="240" w:lineRule="auto"/>
              <w:rPr>
                <w:color w:val="000000" w:themeColor="text1"/>
              </w:rPr>
            </w:pPr>
            <w:r w:rsidRPr="00E70A11">
              <w:rPr>
                <w:color w:val="000000" w:themeColor="text1"/>
              </w:rPr>
              <w:t>Maintenance Dredging Strategy</w:t>
            </w:r>
          </w:p>
          <w:p w14:paraId="576200B0" w14:textId="77777777" w:rsidR="00A56EE9" w:rsidRPr="00E70A11" w:rsidRDefault="00A56EE9" w:rsidP="00A11869">
            <w:pPr>
              <w:pStyle w:val="ListBullet"/>
              <w:numPr>
                <w:ilvl w:val="1"/>
                <w:numId w:val="128"/>
              </w:numPr>
              <w:autoSpaceDE w:val="0"/>
              <w:autoSpaceDN w:val="0"/>
              <w:adjustRightInd w:val="0"/>
              <w:spacing w:line="240" w:lineRule="auto"/>
              <w:rPr>
                <w:color w:val="000000" w:themeColor="text1"/>
              </w:rPr>
            </w:pPr>
            <w:r w:rsidRPr="00E70A11">
              <w:rPr>
                <w:color w:val="000000" w:themeColor="text1"/>
              </w:rPr>
              <w:t>Long Term Maintenance Dredge Management Guidelines</w:t>
            </w:r>
          </w:p>
          <w:p w14:paraId="576200B1" w14:textId="77777777" w:rsidR="00A56EE9" w:rsidRPr="00E70A11" w:rsidRDefault="00A56EE9" w:rsidP="00A11869">
            <w:pPr>
              <w:pStyle w:val="ListBullet"/>
              <w:numPr>
                <w:ilvl w:val="1"/>
                <w:numId w:val="128"/>
              </w:numPr>
              <w:autoSpaceDE w:val="0"/>
              <w:autoSpaceDN w:val="0"/>
              <w:adjustRightInd w:val="0"/>
              <w:spacing w:line="240" w:lineRule="auto"/>
              <w:rPr>
                <w:color w:val="000000" w:themeColor="text1"/>
              </w:rPr>
            </w:pPr>
            <w:r w:rsidRPr="00E70A11">
              <w:rPr>
                <w:color w:val="000000" w:themeColor="text1"/>
              </w:rPr>
              <w:t>Dredging Code of Practice.</w:t>
            </w:r>
          </w:p>
          <w:p w14:paraId="576200B2" w14:textId="77777777" w:rsidR="00A56EE9" w:rsidRPr="00E70A11" w:rsidRDefault="00A56EE9" w:rsidP="00A11869">
            <w:pPr>
              <w:pStyle w:val="ListBullet"/>
              <w:numPr>
                <w:ilvl w:val="0"/>
                <w:numId w:val="93"/>
              </w:numPr>
              <w:autoSpaceDE w:val="0"/>
              <w:autoSpaceDN w:val="0"/>
              <w:adjustRightInd w:val="0"/>
              <w:spacing w:line="240" w:lineRule="auto"/>
              <w:rPr>
                <w:rStyle w:val="BookTitle"/>
                <w:color w:val="000000" w:themeColor="text1"/>
              </w:rPr>
            </w:pPr>
            <w:r w:rsidRPr="00E70A11">
              <w:t>Other programs are in initial stages (eg. Queensland marine pest strategy), although nominated targets for the progress and completion of some have not been met (eg. port master planning documents).</w:t>
            </w:r>
          </w:p>
        </w:tc>
        <w:tc>
          <w:tcPr>
            <w:tcW w:w="5066" w:type="dxa"/>
            <w:tcBorders>
              <w:top w:val="single" w:sz="4" w:space="0" w:color="auto"/>
              <w:left w:val="single" w:sz="4" w:space="0" w:color="auto"/>
              <w:bottom w:val="single" w:sz="4" w:space="0" w:color="auto"/>
              <w:right w:val="single" w:sz="4" w:space="0" w:color="auto"/>
            </w:tcBorders>
          </w:tcPr>
          <w:p w14:paraId="576200B3"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489" w:history="1">
              <w:r w:rsidR="00A56EE9" w:rsidRPr="00E70A11">
                <w:rPr>
                  <w:rStyle w:val="Hyperlink"/>
                  <w:rFonts w:ascii="Arial Narrow" w:hAnsi="Arial Narrow"/>
                  <w:color w:val="000000" w:themeColor="text1"/>
                  <w:sz w:val="18"/>
                  <w:szCs w:val="18"/>
                </w:rPr>
                <w:t>Great Barrier Reef Coastal Zone Strategic Assessment</w:t>
              </w:r>
            </w:hyperlink>
            <w:r w:rsidR="00A56EE9" w:rsidRPr="00E70A11">
              <w:rPr>
                <w:rFonts w:ascii="Arial Narrow" w:hAnsi="Arial Narrow"/>
                <w:color w:val="000000" w:themeColor="text1"/>
                <w:sz w:val="18"/>
                <w:szCs w:val="18"/>
              </w:rPr>
              <w:t xml:space="preserve"> 2014</w:t>
            </w:r>
          </w:p>
          <w:p w14:paraId="576200B4"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490" w:history="1">
              <w:r w:rsidR="00A56EE9" w:rsidRPr="00E70A11">
                <w:rPr>
                  <w:rStyle w:val="Hyperlink"/>
                  <w:rFonts w:ascii="Arial Narrow" w:hAnsi="Arial Narrow"/>
                  <w:color w:val="000000" w:themeColor="text1"/>
                  <w:sz w:val="18"/>
                  <w:szCs w:val="18"/>
                </w:rPr>
                <w:t>GBRMPA</w:t>
              </w:r>
            </w:hyperlink>
            <w:r w:rsidR="00A56EE9" w:rsidRPr="00E70A11">
              <w:rPr>
                <w:rFonts w:ascii="Arial Narrow" w:hAnsi="Arial Narrow"/>
                <w:color w:val="000000" w:themeColor="text1"/>
                <w:sz w:val="18"/>
                <w:szCs w:val="18"/>
              </w:rPr>
              <w:t xml:space="preserve"> Annual report</w:t>
            </w:r>
          </w:p>
          <w:p w14:paraId="576200B5"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491" w:history="1">
              <w:r w:rsidR="00A56EE9" w:rsidRPr="00E70A11">
                <w:rPr>
                  <w:rStyle w:val="Hyperlink"/>
                  <w:rFonts w:ascii="Arial Narrow" w:hAnsi="Arial Narrow"/>
                  <w:color w:val="000000" w:themeColor="text1"/>
                  <w:sz w:val="18"/>
                  <w:szCs w:val="18"/>
                </w:rPr>
                <w:t>Sustainable Ports Development Act 2015 (Qld)</w:t>
              </w:r>
            </w:hyperlink>
          </w:p>
          <w:p w14:paraId="576200B6"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492" w:history="1">
              <w:r w:rsidR="00A56EE9" w:rsidRPr="00E70A11">
                <w:rPr>
                  <w:rStyle w:val="Hyperlink"/>
                  <w:rFonts w:ascii="Arial Narrow" w:hAnsi="Arial Narrow"/>
                  <w:color w:val="000000" w:themeColor="text1"/>
                  <w:sz w:val="18"/>
                  <w:szCs w:val="18"/>
                </w:rPr>
                <w:t>Master planning for ports</w:t>
              </w:r>
            </w:hyperlink>
          </w:p>
          <w:p w14:paraId="576200B7"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493" w:history="1">
              <w:r w:rsidR="00A56EE9" w:rsidRPr="00E70A11">
                <w:rPr>
                  <w:rStyle w:val="Hyperlink"/>
                  <w:rFonts w:ascii="Arial Narrow" w:hAnsi="Arial Narrow"/>
                  <w:color w:val="000000" w:themeColor="text1"/>
                  <w:sz w:val="18"/>
                  <w:szCs w:val="18"/>
                </w:rPr>
                <w:t>Maintenance Dredging Strategy for Great Barrier Reef World Heritage Area Ports</w:t>
              </w:r>
            </w:hyperlink>
          </w:p>
          <w:p w14:paraId="576200B8"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North Queensland Bulk Ports Corporation </w:t>
            </w:r>
            <w:hyperlink r:id="rId1494" w:history="1">
              <w:r w:rsidRPr="00E70A11">
                <w:rPr>
                  <w:rStyle w:val="Hyperlink"/>
                  <w:rFonts w:ascii="Arial Narrow" w:hAnsi="Arial Narrow"/>
                  <w:color w:val="000000" w:themeColor="text1"/>
                  <w:sz w:val="18"/>
                  <w:szCs w:val="18"/>
                </w:rPr>
                <w:t>Annual Report 2015-16</w:t>
              </w:r>
            </w:hyperlink>
          </w:p>
          <w:p w14:paraId="576200B9"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Port of Townsville Limited </w:t>
            </w:r>
            <w:hyperlink r:id="rId1495" w:history="1">
              <w:r w:rsidRPr="00E70A11">
                <w:rPr>
                  <w:rStyle w:val="Hyperlink"/>
                  <w:rFonts w:ascii="Arial Narrow" w:hAnsi="Arial Narrow"/>
                  <w:color w:val="000000" w:themeColor="text1"/>
                  <w:sz w:val="18"/>
                  <w:szCs w:val="18"/>
                </w:rPr>
                <w:t>Annual Report 15/16</w:t>
              </w:r>
            </w:hyperlink>
          </w:p>
          <w:p w14:paraId="576200BA"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Gladstone Port Corporation </w:t>
            </w:r>
            <w:hyperlink r:id="rId1496" w:history="1">
              <w:r w:rsidRPr="00E70A11">
                <w:rPr>
                  <w:rStyle w:val="Hyperlink"/>
                  <w:rFonts w:ascii="Arial Narrow" w:hAnsi="Arial Narrow"/>
                  <w:color w:val="000000" w:themeColor="text1"/>
                  <w:sz w:val="18"/>
                  <w:szCs w:val="18"/>
                </w:rPr>
                <w:t>Annual Report 15/16</w:t>
              </w:r>
            </w:hyperlink>
          </w:p>
          <w:p w14:paraId="576200BB"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Ports North </w:t>
            </w:r>
            <w:hyperlink r:id="rId1497" w:history="1">
              <w:r w:rsidRPr="00E70A11">
                <w:rPr>
                  <w:rStyle w:val="Hyperlink"/>
                  <w:rFonts w:ascii="Arial Narrow" w:hAnsi="Arial Narrow"/>
                  <w:color w:val="000000" w:themeColor="text1"/>
                  <w:sz w:val="18"/>
                  <w:szCs w:val="18"/>
                </w:rPr>
                <w:t>Annual Report 15/16</w:t>
              </w:r>
            </w:hyperlink>
          </w:p>
          <w:p w14:paraId="576200BC"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Great Barrier Reef Marine Park Regulations 1983 Regulation 88RA – ban on capital dredging</w:t>
            </w:r>
          </w:p>
          <w:p w14:paraId="576200BD"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498" w:history="1">
              <w:r w:rsidR="00A56EE9" w:rsidRPr="00E70A11">
                <w:rPr>
                  <w:rStyle w:val="Hyperlink"/>
                  <w:rFonts w:ascii="Arial Narrow" w:hAnsi="Arial Narrow"/>
                  <w:color w:val="000000" w:themeColor="text1"/>
                  <w:sz w:val="18"/>
                  <w:szCs w:val="18"/>
                </w:rPr>
                <w:t>Master planning for ports</w:t>
              </w:r>
            </w:hyperlink>
          </w:p>
          <w:p w14:paraId="576200BE"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499" w:history="1">
              <w:r w:rsidR="00A56EE9" w:rsidRPr="00E70A11">
                <w:rPr>
                  <w:rStyle w:val="Hyperlink"/>
                  <w:rFonts w:ascii="Arial Narrow" w:hAnsi="Arial Narrow"/>
                  <w:color w:val="000000" w:themeColor="text1"/>
                  <w:sz w:val="18"/>
                  <w:szCs w:val="18"/>
                </w:rPr>
                <w:t>Reef 2050 Integrated Monitoring and Reporting Program</w:t>
              </w:r>
            </w:hyperlink>
          </w:p>
          <w:p w14:paraId="576200BF" w14:textId="77777777" w:rsidR="00A56EE9" w:rsidRPr="00E70A11" w:rsidRDefault="008B5998" w:rsidP="00A11869">
            <w:pPr>
              <w:pStyle w:val="ListParagraph"/>
              <w:numPr>
                <w:ilvl w:val="0"/>
                <w:numId w:val="24"/>
              </w:numPr>
              <w:spacing w:after="200" w:line="276" w:lineRule="auto"/>
              <w:ind w:left="644"/>
              <w:rPr>
                <w:rFonts w:ascii="Arial Narrow" w:hAnsi="Arial Narrow"/>
                <w:color w:val="000000" w:themeColor="text1"/>
                <w:sz w:val="18"/>
                <w:szCs w:val="18"/>
              </w:rPr>
            </w:pPr>
            <w:hyperlink r:id="rId1500" w:history="1">
              <w:r w:rsidR="00A56EE9" w:rsidRPr="00E70A11">
                <w:rPr>
                  <w:rStyle w:val="Hyperlink"/>
                  <w:rFonts w:ascii="Arial Narrow" w:hAnsi="Arial Narrow"/>
                  <w:color w:val="000000" w:themeColor="text1"/>
                  <w:sz w:val="18"/>
                  <w:szCs w:val="18"/>
                </w:rPr>
                <w:t>Water quality Improvement Plans (WQIPs) and Healthy Waters Management Plans (HWMPs</w:t>
              </w:r>
            </w:hyperlink>
            <w:r w:rsidR="00A56EE9" w:rsidRPr="00E70A11">
              <w:rPr>
                <w:rFonts w:ascii="Arial Narrow" w:hAnsi="Arial Narrow"/>
                <w:color w:val="000000" w:themeColor="text1"/>
                <w:sz w:val="18"/>
                <w:szCs w:val="18"/>
              </w:rPr>
              <w:t>)</w:t>
            </w:r>
          </w:p>
          <w:p w14:paraId="576200C0" w14:textId="77777777" w:rsidR="00A56EE9" w:rsidRPr="00E70A11" w:rsidRDefault="008B5998" w:rsidP="00A11869">
            <w:pPr>
              <w:pStyle w:val="ListParagraph"/>
              <w:numPr>
                <w:ilvl w:val="0"/>
                <w:numId w:val="24"/>
              </w:numPr>
              <w:spacing w:after="200" w:line="276" w:lineRule="auto"/>
              <w:ind w:left="644"/>
              <w:rPr>
                <w:rFonts w:ascii="Arial Narrow" w:hAnsi="Arial Narrow"/>
                <w:color w:val="000000" w:themeColor="text1"/>
                <w:sz w:val="18"/>
                <w:szCs w:val="18"/>
              </w:rPr>
            </w:pPr>
            <w:hyperlink r:id="rId1501" w:history="1">
              <w:r w:rsidR="00A56EE9" w:rsidRPr="00E70A11">
                <w:rPr>
                  <w:rStyle w:val="Hyperlink"/>
                  <w:rFonts w:ascii="Arial Narrow" w:hAnsi="Arial Narrow"/>
                  <w:color w:val="000000" w:themeColor="text1"/>
                  <w:sz w:val="18"/>
                  <w:szCs w:val="18"/>
                </w:rPr>
                <w:t>Wet Tropics WQIP</w:t>
              </w:r>
            </w:hyperlink>
          </w:p>
          <w:p w14:paraId="576200C1" w14:textId="77777777" w:rsidR="00A56EE9" w:rsidRPr="00E70A11" w:rsidRDefault="008B5998" w:rsidP="00A11869">
            <w:pPr>
              <w:pStyle w:val="ListParagraph"/>
              <w:numPr>
                <w:ilvl w:val="0"/>
                <w:numId w:val="24"/>
              </w:numPr>
              <w:spacing w:after="200" w:line="276" w:lineRule="auto"/>
              <w:ind w:left="644"/>
              <w:rPr>
                <w:rFonts w:ascii="Arial Narrow" w:hAnsi="Arial Narrow"/>
                <w:color w:val="000000" w:themeColor="text1"/>
                <w:sz w:val="18"/>
                <w:szCs w:val="18"/>
              </w:rPr>
            </w:pPr>
            <w:hyperlink r:id="rId1502" w:history="1">
              <w:r w:rsidR="00A56EE9" w:rsidRPr="00E70A11">
                <w:rPr>
                  <w:rStyle w:val="Hyperlink"/>
                  <w:rFonts w:ascii="Arial Narrow" w:hAnsi="Arial Narrow"/>
                  <w:color w:val="000000" w:themeColor="text1"/>
                  <w:sz w:val="18"/>
                  <w:szCs w:val="18"/>
                </w:rPr>
                <w:t>FBA WQIP</w:t>
              </w:r>
            </w:hyperlink>
          </w:p>
          <w:p w14:paraId="576200C2" w14:textId="77777777" w:rsidR="00A56EE9" w:rsidRPr="00E70A11" w:rsidRDefault="008B5998" w:rsidP="00A11869">
            <w:pPr>
              <w:pStyle w:val="ListParagraph"/>
              <w:numPr>
                <w:ilvl w:val="0"/>
                <w:numId w:val="24"/>
              </w:numPr>
              <w:spacing w:after="200" w:line="276" w:lineRule="auto"/>
              <w:ind w:left="644"/>
              <w:rPr>
                <w:rFonts w:ascii="Arial Narrow" w:hAnsi="Arial Narrow"/>
                <w:color w:val="000000" w:themeColor="text1"/>
                <w:sz w:val="18"/>
                <w:szCs w:val="18"/>
              </w:rPr>
            </w:pPr>
            <w:hyperlink r:id="rId1503" w:history="1">
              <w:r w:rsidR="00A56EE9" w:rsidRPr="00E70A11">
                <w:rPr>
                  <w:rStyle w:val="Hyperlink"/>
                  <w:rFonts w:ascii="Arial Narrow" w:hAnsi="Arial Narrow"/>
                  <w:color w:val="000000" w:themeColor="text1"/>
                  <w:sz w:val="18"/>
                  <w:szCs w:val="18"/>
                </w:rPr>
                <w:t>Eastern Cape York Water Quality Improvement Plan</w:t>
              </w:r>
            </w:hyperlink>
          </w:p>
          <w:p w14:paraId="576200C3" w14:textId="77777777" w:rsidR="00A56EE9" w:rsidRPr="00E70A11" w:rsidRDefault="008B5998" w:rsidP="00A11869">
            <w:pPr>
              <w:pStyle w:val="ListParagraph"/>
              <w:numPr>
                <w:ilvl w:val="0"/>
                <w:numId w:val="24"/>
              </w:numPr>
              <w:spacing w:after="200" w:line="276" w:lineRule="auto"/>
              <w:ind w:left="644"/>
              <w:rPr>
                <w:rFonts w:ascii="Arial Narrow" w:hAnsi="Arial Narrow"/>
                <w:color w:val="000000" w:themeColor="text1"/>
                <w:sz w:val="18"/>
                <w:szCs w:val="18"/>
              </w:rPr>
            </w:pPr>
            <w:hyperlink r:id="rId1504" w:history="1">
              <w:r w:rsidR="00A56EE9" w:rsidRPr="00E70A11">
                <w:rPr>
                  <w:rStyle w:val="Hyperlink"/>
                  <w:rFonts w:ascii="Arial Narrow" w:hAnsi="Arial Narrow"/>
                  <w:color w:val="000000" w:themeColor="text1"/>
                  <w:sz w:val="18"/>
                  <w:szCs w:val="18"/>
                </w:rPr>
                <w:t>Townsville WQIP</w:t>
              </w:r>
            </w:hyperlink>
          </w:p>
          <w:p w14:paraId="576200C4" w14:textId="77777777" w:rsidR="00A56EE9" w:rsidRPr="00E70A11" w:rsidRDefault="008B5998" w:rsidP="00A11869">
            <w:pPr>
              <w:pStyle w:val="ListParagraph"/>
              <w:numPr>
                <w:ilvl w:val="0"/>
                <w:numId w:val="24"/>
              </w:numPr>
              <w:spacing w:after="200" w:line="276" w:lineRule="auto"/>
              <w:ind w:left="644"/>
              <w:rPr>
                <w:rFonts w:ascii="Arial Narrow" w:hAnsi="Arial Narrow"/>
                <w:color w:val="000000" w:themeColor="text1"/>
                <w:sz w:val="18"/>
                <w:szCs w:val="18"/>
              </w:rPr>
            </w:pPr>
            <w:hyperlink r:id="rId1505" w:history="1">
              <w:r w:rsidR="00A56EE9" w:rsidRPr="00E70A11">
                <w:rPr>
                  <w:rStyle w:val="Hyperlink"/>
                  <w:rFonts w:ascii="Arial Narrow" w:hAnsi="Arial Narrow"/>
                  <w:color w:val="000000" w:themeColor="text1"/>
                  <w:sz w:val="18"/>
                  <w:szCs w:val="18"/>
                </w:rPr>
                <w:t>Burdekin Dry Tropics WQIP</w:t>
              </w:r>
            </w:hyperlink>
          </w:p>
          <w:p w14:paraId="576200C5"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06" w:history="1">
              <w:r w:rsidR="00A56EE9" w:rsidRPr="00E70A11">
                <w:rPr>
                  <w:rStyle w:val="Hyperlink"/>
                  <w:rFonts w:ascii="Arial Narrow" w:hAnsi="Arial Narrow"/>
                  <w:color w:val="000000" w:themeColor="text1"/>
                  <w:sz w:val="18"/>
                  <w:szCs w:val="18"/>
                </w:rPr>
                <w:t>Cumulative Impact Management policy</w:t>
              </w:r>
            </w:hyperlink>
          </w:p>
          <w:p w14:paraId="576200C6"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07" w:history="1">
              <w:r w:rsidR="00A56EE9" w:rsidRPr="00E70A11">
                <w:rPr>
                  <w:rStyle w:val="Hyperlink"/>
                  <w:rFonts w:ascii="Arial Narrow" w:hAnsi="Arial Narrow"/>
                  <w:color w:val="000000" w:themeColor="text1"/>
                  <w:sz w:val="18"/>
                  <w:szCs w:val="18"/>
                </w:rPr>
                <w:t>Net Benefit Policy</w:t>
              </w:r>
            </w:hyperlink>
          </w:p>
          <w:p w14:paraId="576200C7"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Offsets</w:t>
            </w:r>
          </w:p>
          <w:p w14:paraId="576200C9"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08" w:history="1">
              <w:r w:rsidR="00A56EE9" w:rsidRPr="00E70A11">
                <w:rPr>
                  <w:rStyle w:val="Hyperlink"/>
                  <w:rFonts w:ascii="Arial Narrow" w:hAnsi="Arial Narrow"/>
                  <w:color w:val="000000" w:themeColor="text1"/>
                  <w:sz w:val="18"/>
                  <w:szCs w:val="18"/>
                </w:rPr>
                <w:t>Dredge and dredge spoilt material disposal policy</w:t>
              </w:r>
            </w:hyperlink>
          </w:p>
          <w:p w14:paraId="576200CA"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09" w:history="1">
              <w:r w:rsidR="00A56EE9" w:rsidRPr="00E70A11">
                <w:rPr>
                  <w:rStyle w:val="Hyperlink"/>
                  <w:rFonts w:ascii="Arial Narrow" w:hAnsi="Arial Narrow"/>
                  <w:color w:val="000000" w:themeColor="text1"/>
                  <w:sz w:val="18"/>
                  <w:szCs w:val="18"/>
                </w:rPr>
                <w:t>Improved Dredge Material Management for the GBR Region</w:t>
              </w:r>
            </w:hyperlink>
          </w:p>
          <w:p w14:paraId="576200CB"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Great Barrier Reef Marine Park Regulations 1983 Regulation 88RA – ban on capital dredging</w:t>
            </w:r>
          </w:p>
          <w:p w14:paraId="576200CC" w14:textId="77777777" w:rsidR="00A56EE9" w:rsidRPr="00E70A11" w:rsidRDefault="008B5998" w:rsidP="00A11869">
            <w:pPr>
              <w:pStyle w:val="ListParagraph"/>
              <w:numPr>
                <w:ilvl w:val="0"/>
                <w:numId w:val="24"/>
              </w:numPr>
              <w:spacing w:after="0" w:line="276" w:lineRule="auto"/>
              <w:ind w:left="357" w:hanging="357"/>
              <w:rPr>
                <w:rStyle w:val="BookTitle"/>
                <w:rFonts w:ascii="Arial Narrow" w:hAnsi="Arial Narrow"/>
                <w:color w:val="000000" w:themeColor="text1"/>
                <w:sz w:val="18"/>
                <w:szCs w:val="18"/>
              </w:rPr>
            </w:pPr>
            <w:hyperlink r:id="rId1510" w:history="1">
              <w:r w:rsidR="00A56EE9" w:rsidRPr="00E70A11">
                <w:rPr>
                  <w:rStyle w:val="Hyperlink"/>
                  <w:rFonts w:ascii="Arial Narrow" w:hAnsi="Arial Narrow"/>
                  <w:i/>
                  <w:iCs/>
                  <w:color w:val="000000" w:themeColor="text1"/>
                  <w:sz w:val="18"/>
                  <w:szCs w:val="18"/>
                </w:rPr>
                <w:t>Environmental Code of Practice for Dredging and Dredge Material Management</w:t>
              </w:r>
            </w:hyperlink>
          </w:p>
        </w:tc>
        <w:tc>
          <w:tcPr>
            <w:tcW w:w="984" w:type="dxa"/>
            <w:tcBorders>
              <w:top w:val="single" w:sz="4" w:space="0" w:color="auto"/>
              <w:left w:val="single" w:sz="4" w:space="0" w:color="auto"/>
              <w:bottom w:val="single" w:sz="4" w:space="0" w:color="auto"/>
              <w:right w:val="single" w:sz="4" w:space="0" w:color="auto"/>
            </w:tcBorders>
          </w:tcPr>
          <w:p w14:paraId="576200CD"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0C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0EB"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0D0"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ports</w:t>
            </w:r>
          </w:p>
        </w:tc>
        <w:tc>
          <w:tcPr>
            <w:tcW w:w="790" w:type="dxa"/>
            <w:tcBorders>
              <w:top w:val="single" w:sz="4" w:space="0" w:color="auto"/>
              <w:left w:val="single" w:sz="4" w:space="0" w:color="auto"/>
              <w:bottom w:val="single" w:sz="4" w:space="0" w:color="auto"/>
              <w:right w:val="single" w:sz="4" w:space="0" w:color="auto"/>
            </w:tcBorders>
          </w:tcPr>
          <w:p w14:paraId="576200D1"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0D2" w14:textId="77777777" w:rsidR="00A56EE9" w:rsidRPr="00E70A11" w:rsidRDefault="00A56EE9" w:rsidP="00A11869">
            <w:pPr>
              <w:pStyle w:val="ListParagraph"/>
              <w:numPr>
                <w:ilvl w:val="0"/>
                <w:numId w:val="24"/>
              </w:numPr>
              <w:spacing w:after="20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The new controls on dredging and spoil disposal have achieved their stated objectives.</w:t>
            </w:r>
          </w:p>
          <w:p w14:paraId="576200D3" w14:textId="77777777" w:rsidR="00A56EE9" w:rsidRPr="00E70A11" w:rsidRDefault="00A56EE9" w:rsidP="00A11869">
            <w:pPr>
              <w:pStyle w:val="ListParagraph"/>
              <w:numPr>
                <w:ilvl w:val="0"/>
                <w:numId w:val="24"/>
              </w:numPr>
              <w:spacing w:after="200" w:line="240"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It may be assumed that the embryonic port master planning processes are already exerting a positive effect upon port development and expansion processes.</w:t>
            </w:r>
          </w:p>
        </w:tc>
        <w:tc>
          <w:tcPr>
            <w:tcW w:w="5066" w:type="dxa"/>
            <w:tcBorders>
              <w:top w:val="single" w:sz="4" w:space="0" w:color="auto"/>
              <w:left w:val="single" w:sz="4" w:space="0" w:color="auto"/>
              <w:bottom w:val="single" w:sz="4" w:space="0" w:color="auto"/>
              <w:right w:val="single" w:sz="4" w:space="0" w:color="auto"/>
            </w:tcBorders>
          </w:tcPr>
          <w:p w14:paraId="576200D4" w14:textId="77777777" w:rsidR="00A56EE9" w:rsidRPr="00E70A11" w:rsidRDefault="008B5998" w:rsidP="00A11869">
            <w:pPr>
              <w:pStyle w:val="ListParagraph"/>
              <w:numPr>
                <w:ilvl w:val="0"/>
                <w:numId w:val="24"/>
              </w:numPr>
              <w:spacing w:after="200" w:line="240" w:lineRule="auto"/>
              <w:rPr>
                <w:rFonts w:ascii="Arial Narrow" w:hAnsi="Arial Narrow"/>
                <w:color w:val="000000" w:themeColor="text1"/>
                <w:sz w:val="18"/>
                <w:szCs w:val="18"/>
              </w:rPr>
            </w:pPr>
            <w:hyperlink r:id="rId1511" w:history="1">
              <w:r w:rsidR="00A56EE9" w:rsidRPr="00E70A11">
                <w:rPr>
                  <w:rStyle w:val="Hyperlink"/>
                  <w:rFonts w:ascii="Arial Narrow" w:hAnsi="Arial Narrow"/>
                  <w:color w:val="000000" w:themeColor="text1"/>
                  <w:sz w:val="18"/>
                  <w:szCs w:val="18"/>
                </w:rPr>
                <w:t>Great Barrier Reef Coastal Zone Strategic Assessment</w:t>
              </w:r>
            </w:hyperlink>
            <w:r w:rsidR="00A56EE9" w:rsidRPr="00E70A11">
              <w:rPr>
                <w:rFonts w:ascii="Arial Narrow" w:hAnsi="Arial Narrow"/>
                <w:color w:val="000000" w:themeColor="text1"/>
                <w:sz w:val="18"/>
                <w:szCs w:val="18"/>
              </w:rPr>
              <w:t xml:space="preserve"> 2014</w:t>
            </w:r>
          </w:p>
          <w:p w14:paraId="576200D5" w14:textId="77777777" w:rsidR="00A56EE9" w:rsidRPr="00E70A11" w:rsidRDefault="00A56EE9" w:rsidP="00A11869">
            <w:pPr>
              <w:pStyle w:val="ListParagraph"/>
              <w:numPr>
                <w:ilvl w:val="0"/>
                <w:numId w:val="24"/>
              </w:numPr>
              <w:spacing w:after="20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GBRMPA and QLD Program Reports</w:t>
            </w:r>
          </w:p>
          <w:p w14:paraId="576200D6" w14:textId="77777777" w:rsidR="00A56EE9" w:rsidRPr="00E70A11" w:rsidRDefault="008B5998" w:rsidP="00A11869">
            <w:pPr>
              <w:pStyle w:val="ListParagraph"/>
              <w:numPr>
                <w:ilvl w:val="0"/>
                <w:numId w:val="24"/>
              </w:numPr>
              <w:spacing w:after="200" w:line="240" w:lineRule="auto"/>
              <w:rPr>
                <w:rFonts w:ascii="Arial Narrow" w:hAnsi="Arial Narrow"/>
                <w:color w:val="000000" w:themeColor="text1"/>
                <w:sz w:val="18"/>
                <w:szCs w:val="18"/>
              </w:rPr>
            </w:pPr>
            <w:hyperlink r:id="rId1512" w:history="1">
              <w:r w:rsidR="00A56EE9" w:rsidRPr="00E70A11">
                <w:rPr>
                  <w:rStyle w:val="Hyperlink"/>
                  <w:rFonts w:ascii="Arial Narrow" w:hAnsi="Arial Narrow"/>
                  <w:color w:val="000000" w:themeColor="text1"/>
                  <w:sz w:val="18"/>
                  <w:szCs w:val="18"/>
                </w:rPr>
                <w:t>Master planning for ports</w:t>
              </w:r>
            </w:hyperlink>
          </w:p>
          <w:p w14:paraId="576200D7" w14:textId="77777777" w:rsidR="00A56EE9" w:rsidRPr="00E70A11" w:rsidRDefault="008B5998" w:rsidP="00A11869">
            <w:pPr>
              <w:pStyle w:val="ListParagraph"/>
              <w:numPr>
                <w:ilvl w:val="0"/>
                <w:numId w:val="24"/>
              </w:numPr>
              <w:spacing w:after="200" w:line="240" w:lineRule="auto"/>
              <w:rPr>
                <w:rStyle w:val="Hyperlink"/>
                <w:rFonts w:ascii="Arial Narrow" w:hAnsi="Arial Narrow"/>
                <w:color w:val="000000" w:themeColor="text1"/>
                <w:sz w:val="18"/>
                <w:szCs w:val="18"/>
              </w:rPr>
            </w:pPr>
            <w:hyperlink r:id="rId1513" w:history="1">
              <w:r w:rsidR="00A56EE9" w:rsidRPr="00E70A11">
                <w:rPr>
                  <w:rStyle w:val="Hyperlink"/>
                  <w:rFonts w:ascii="Arial Narrow" w:hAnsi="Arial Narrow"/>
                  <w:color w:val="000000" w:themeColor="text1"/>
                  <w:sz w:val="18"/>
                  <w:szCs w:val="18"/>
                </w:rPr>
                <w:t>Sustainable Ports Development Act 2015 (Qld)</w:t>
              </w:r>
            </w:hyperlink>
          </w:p>
          <w:p w14:paraId="576200D8" w14:textId="77777777" w:rsidR="00A56EE9" w:rsidRPr="00E70A11" w:rsidRDefault="008B5998" w:rsidP="00A11869">
            <w:pPr>
              <w:pStyle w:val="ListParagraph"/>
              <w:numPr>
                <w:ilvl w:val="0"/>
                <w:numId w:val="24"/>
              </w:numPr>
              <w:spacing w:after="200" w:line="240" w:lineRule="auto"/>
              <w:rPr>
                <w:rStyle w:val="Hyperlink"/>
                <w:rFonts w:ascii="Arial Narrow" w:hAnsi="Arial Narrow"/>
                <w:color w:val="000000" w:themeColor="text1"/>
                <w:sz w:val="18"/>
                <w:szCs w:val="18"/>
              </w:rPr>
            </w:pPr>
            <w:hyperlink r:id="rId1514" w:history="1">
              <w:r w:rsidR="00A56EE9" w:rsidRPr="00E70A11">
                <w:rPr>
                  <w:rStyle w:val="Hyperlink"/>
                  <w:rFonts w:ascii="Arial Narrow" w:hAnsi="Arial Narrow"/>
                  <w:color w:val="000000" w:themeColor="text1"/>
                  <w:sz w:val="18"/>
                  <w:szCs w:val="18"/>
                </w:rPr>
                <w:t>Master planning for ports</w:t>
              </w:r>
            </w:hyperlink>
          </w:p>
          <w:p w14:paraId="576200D9" w14:textId="77777777" w:rsidR="00A56EE9" w:rsidRPr="00E70A11" w:rsidRDefault="008B5998" w:rsidP="00A11869">
            <w:pPr>
              <w:pStyle w:val="ListParagraph"/>
              <w:numPr>
                <w:ilvl w:val="0"/>
                <w:numId w:val="24"/>
              </w:numPr>
              <w:spacing w:after="200" w:line="240" w:lineRule="auto"/>
              <w:rPr>
                <w:rStyle w:val="Hyperlink"/>
                <w:rFonts w:ascii="Arial Narrow" w:hAnsi="Arial Narrow"/>
                <w:color w:val="000000" w:themeColor="text1"/>
                <w:sz w:val="18"/>
                <w:szCs w:val="18"/>
              </w:rPr>
            </w:pPr>
            <w:hyperlink r:id="rId1515" w:history="1">
              <w:r w:rsidR="00A56EE9" w:rsidRPr="00E70A11">
                <w:rPr>
                  <w:rStyle w:val="Hyperlink"/>
                  <w:rFonts w:ascii="Arial Narrow" w:hAnsi="Arial Narrow"/>
                  <w:color w:val="000000" w:themeColor="text1"/>
                  <w:sz w:val="18"/>
                  <w:szCs w:val="18"/>
                </w:rPr>
                <w:t>Maintenance Dredging Strategy for Great Barrier Reef World Heritage Area Ports</w:t>
              </w:r>
            </w:hyperlink>
          </w:p>
          <w:p w14:paraId="576200DA"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516" w:history="1">
              <w:r w:rsidR="00A56EE9" w:rsidRPr="00E70A11">
                <w:rPr>
                  <w:rStyle w:val="Hyperlink"/>
                  <w:rFonts w:ascii="Arial Narrow" w:hAnsi="Arial Narrow"/>
                  <w:color w:val="000000" w:themeColor="text1"/>
                  <w:sz w:val="18"/>
                  <w:szCs w:val="18"/>
                </w:rPr>
                <w:t>Master planning for ports</w:t>
              </w:r>
            </w:hyperlink>
          </w:p>
          <w:p w14:paraId="576200DB"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517" w:history="1">
              <w:r w:rsidR="00A56EE9" w:rsidRPr="00E70A11">
                <w:rPr>
                  <w:rStyle w:val="Hyperlink"/>
                  <w:rFonts w:ascii="Arial Narrow" w:hAnsi="Arial Narrow"/>
                  <w:color w:val="000000" w:themeColor="text1"/>
                  <w:sz w:val="18"/>
                  <w:szCs w:val="18"/>
                </w:rPr>
                <w:t>Reef 2050 Integrated Monitoring and Reporting Program</w:t>
              </w:r>
            </w:hyperlink>
          </w:p>
          <w:p w14:paraId="576200DC"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18" w:history="1">
              <w:r w:rsidR="00A56EE9" w:rsidRPr="00E70A11">
                <w:rPr>
                  <w:rStyle w:val="Hyperlink"/>
                  <w:rFonts w:ascii="Arial Narrow" w:hAnsi="Arial Narrow"/>
                  <w:color w:val="000000" w:themeColor="text1"/>
                  <w:sz w:val="18"/>
                  <w:szCs w:val="18"/>
                </w:rPr>
                <w:t>Water quality Improvement Plans (WQIPs) and Healthy Waters Management Plans (HWMPs</w:t>
              </w:r>
            </w:hyperlink>
            <w:r w:rsidR="00A56EE9" w:rsidRPr="00E70A11">
              <w:rPr>
                <w:rFonts w:ascii="Arial Narrow" w:hAnsi="Arial Narrow"/>
                <w:color w:val="000000" w:themeColor="text1"/>
                <w:sz w:val="18"/>
                <w:szCs w:val="18"/>
              </w:rPr>
              <w:t>)</w:t>
            </w:r>
          </w:p>
          <w:p w14:paraId="576200DD" w14:textId="77777777" w:rsidR="00A56EE9" w:rsidRPr="00E70A11" w:rsidRDefault="008B5998" w:rsidP="00A11869">
            <w:pPr>
              <w:pStyle w:val="ListParagraph"/>
              <w:numPr>
                <w:ilvl w:val="0"/>
                <w:numId w:val="24"/>
              </w:numPr>
              <w:spacing w:after="200" w:line="276" w:lineRule="auto"/>
              <w:ind w:left="644"/>
              <w:rPr>
                <w:rFonts w:ascii="Arial Narrow" w:hAnsi="Arial Narrow"/>
                <w:color w:val="000000" w:themeColor="text1"/>
                <w:sz w:val="18"/>
                <w:szCs w:val="18"/>
              </w:rPr>
            </w:pPr>
            <w:hyperlink r:id="rId1519" w:history="1">
              <w:r w:rsidR="00A56EE9" w:rsidRPr="00E70A11">
                <w:rPr>
                  <w:rStyle w:val="Hyperlink"/>
                  <w:rFonts w:ascii="Arial Narrow" w:hAnsi="Arial Narrow"/>
                  <w:color w:val="000000" w:themeColor="text1"/>
                  <w:sz w:val="18"/>
                  <w:szCs w:val="18"/>
                </w:rPr>
                <w:t>Wet Tropics WQIP</w:t>
              </w:r>
            </w:hyperlink>
          </w:p>
          <w:p w14:paraId="576200DE" w14:textId="77777777" w:rsidR="00A56EE9" w:rsidRPr="00E70A11" w:rsidRDefault="008B5998" w:rsidP="00A11869">
            <w:pPr>
              <w:pStyle w:val="ListParagraph"/>
              <w:numPr>
                <w:ilvl w:val="0"/>
                <w:numId w:val="24"/>
              </w:numPr>
              <w:spacing w:after="200" w:line="276" w:lineRule="auto"/>
              <w:ind w:left="644"/>
              <w:rPr>
                <w:rFonts w:ascii="Arial Narrow" w:hAnsi="Arial Narrow"/>
                <w:color w:val="000000" w:themeColor="text1"/>
                <w:sz w:val="18"/>
                <w:szCs w:val="18"/>
              </w:rPr>
            </w:pPr>
            <w:hyperlink r:id="rId1520" w:history="1">
              <w:r w:rsidR="00A56EE9" w:rsidRPr="00E70A11">
                <w:rPr>
                  <w:rStyle w:val="Hyperlink"/>
                  <w:rFonts w:ascii="Arial Narrow" w:hAnsi="Arial Narrow"/>
                  <w:color w:val="000000" w:themeColor="text1"/>
                  <w:sz w:val="18"/>
                  <w:szCs w:val="18"/>
                </w:rPr>
                <w:t>FBA WQIP</w:t>
              </w:r>
            </w:hyperlink>
          </w:p>
          <w:p w14:paraId="576200DF" w14:textId="77777777" w:rsidR="00A56EE9" w:rsidRPr="00E70A11" w:rsidRDefault="008B5998" w:rsidP="00A11869">
            <w:pPr>
              <w:pStyle w:val="ListParagraph"/>
              <w:numPr>
                <w:ilvl w:val="0"/>
                <w:numId w:val="24"/>
              </w:numPr>
              <w:spacing w:after="200" w:line="276" w:lineRule="auto"/>
              <w:ind w:left="644"/>
              <w:rPr>
                <w:rFonts w:ascii="Arial Narrow" w:hAnsi="Arial Narrow"/>
                <w:color w:val="000000" w:themeColor="text1"/>
                <w:sz w:val="18"/>
                <w:szCs w:val="18"/>
              </w:rPr>
            </w:pPr>
            <w:hyperlink r:id="rId1521" w:history="1">
              <w:r w:rsidR="00A56EE9" w:rsidRPr="00E70A11">
                <w:rPr>
                  <w:rStyle w:val="Hyperlink"/>
                  <w:rFonts w:ascii="Arial Narrow" w:hAnsi="Arial Narrow"/>
                  <w:color w:val="000000" w:themeColor="text1"/>
                  <w:sz w:val="18"/>
                  <w:szCs w:val="18"/>
                </w:rPr>
                <w:t>Eastern Cape York Water Quality Improvement Plan</w:t>
              </w:r>
            </w:hyperlink>
          </w:p>
          <w:p w14:paraId="576200E0" w14:textId="77777777" w:rsidR="00A56EE9" w:rsidRPr="00E70A11" w:rsidRDefault="008B5998" w:rsidP="00A11869">
            <w:pPr>
              <w:pStyle w:val="ListParagraph"/>
              <w:numPr>
                <w:ilvl w:val="0"/>
                <w:numId w:val="24"/>
              </w:numPr>
              <w:spacing w:after="200" w:line="276" w:lineRule="auto"/>
              <w:ind w:left="644"/>
              <w:rPr>
                <w:rFonts w:ascii="Arial Narrow" w:hAnsi="Arial Narrow"/>
                <w:color w:val="000000" w:themeColor="text1"/>
                <w:sz w:val="18"/>
                <w:szCs w:val="18"/>
              </w:rPr>
            </w:pPr>
            <w:hyperlink r:id="rId1522" w:history="1">
              <w:r w:rsidR="00A56EE9" w:rsidRPr="00E70A11">
                <w:rPr>
                  <w:rStyle w:val="Hyperlink"/>
                  <w:rFonts w:ascii="Arial Narrow" w:hAnsi="Arial Narrow"/>
                  <w:color w:val="000000" w:themeColor="text1"/>
                  <w:sz w:val="18"/>
                  <w:szCs w:val="18"/>
                </w:rPr>
                <w:t>Townsville WQIP</w:t>
              </w:r>
            </w:hyperlink>
          </w:p>
          <w:p w14:paraId="576200E1" w14:textId="77777777" w:rsidR="00A56EE9" w:rsidRPr="00E70A11" w:rsidRDefault="008B5998" w:rsidP="00A11869">
            <w:pPr>
              <w:pStyle w:val="ListParagraph"/>
              <w:numPr>
                <w:ilvl w:val="0"/>
                <w:numId w:val="24"/>
              </w:numPr>
              <w:spacing w:after="200" w:line="276" w:lineRule="auto"/>
              <w:ind w:left="644"/>
              <w:rPr>
                <w:rFonts w:ascii="Arial Narrow" w:hAnsi="Arial Narrow"/>
                <w:color w:val="000000" w:themeColor="text1"/>
                <w:sz w:val="18"/>
                <w:szCs w:val="18"/>
              </w:rPr>
            </w:pPr>
            <w:hyperlink r:id="rId1523" w:history="1">
              <w:r w:rsidR="00A56EE9" w:rsidRPr="00E70A11">
                <w:rPr>
                  <w:rStyle w:val="Hyperlink"/>
                  <w:rFonts w:ascii="Arial Narrow" w:hAnsi="Arial Narrow"/>
                  <w:color w:val="000000" w:themeColor="text1"/>
                  <w:sz w:val="18"/>
                  <w:szCs w:val="18"/>
                </w:rPr>
                <w:t>Burdekin Dry Tropics WQIP</w:t>
              </w:r>
            </w:hyperlink>
          </w:p>
          <w:p w14:paraId="576200E2"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24" w:history="1">
              <w:r w:rsidR="00A56EE9" w:rsidRPr="00E70A11">
                <w:rPr>
                  <w:rStyle w:val="Hyperlink"/>
                  <w:rFonts w:ascii="Arial Narrow" w:hAnsi="Arial Narrow"/>
                  <w:color w:val="000000" w:themeColor="text1"/>
                  <w:sz w:val="18"/>
                  <w:szCs w:val="18"/>
                </w:rPr>
                <w:t>Cumulative Impact Management policy</w:t>
              </w:r>
            </w:hyperlink>
          </w:p>
          <w:p w14:paraId="576200E3"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25" w:history="1">
              <w:r w:rsidR="00A56EE9" w:rsidRPr="00E70A11">
                <w:rPr>
                  <w:rStyle w:val="Hyperlink"/>
                  <w:rFonts w:ascii="Arial Narrow" w:hAnsi="Arial Narrow"/>
                  <w:color w:val="000000" w:themeColor="text1"/>
                  <w:sz w:val="18"/>
                  <w:szCs w:val="18"/>
                </w:rPr>
                <w:t>Net Benefit Policy</w:t>
              </w:r>
            </w:hyperlink>
          </w:p>
          <w:p w14:paraId="576200E4"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Offsets</w:t>
            </w:r>
          </w:p>
          <w:p w14:paraId="576200E6"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26" w:history="1">
              <w:r w:rsidR="00A56EE9" w:rsidRPr="00E70A11">
                <w:rPr>
                  <w:rStyle w:val="Hyperlink"/>
                  <w:rFonts w:ascii="Arial Narrow" w:hAnsi="Arial Narrow"/>
                  <w:color w:val="000000" w:themeColor="text1"/>
                  <w:sz w:val="18"/>
                  <w:szCs w:val="18"/>
                </w:rPr>
                <w:t>Dredge and dredge spoilt material disposal policy</w:t>
              </w:r>
            </w:hyperlink>
          </w:p>
          <w:p w14:paraId="576200E7"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27" w:history="1">
              <w:r w:rsidR="00A56EE9" w:rsidRPr="00E70A11">
                <w:rPr>
                  <w:rStyle w:val="Hyperlink"/>
                  <w:rFonts w:ascii="Arial Narrow" w:hAnsi="Arial Narrow"/>
                  <w:color w:val="000000" w:themeColor="text1"/>
                  <w:sz w:val="18"/>
                  <w:szCs w:val="18"/>
                </w:rPr>
                <w:t>Improved Dredge Material Management for the GBR Region</w:t>
              </w:r>
            </w:hyperlink>
          </w:p>
          <w:p w14:paraId="576200E8" w14:textId="77777777" w:rsidR="00A56EE9" w:rsidRPr="00E70A11" w:rsidRDefault="00A56EE9" w:rsidP="00A11869">
            <w:pPr>
              <w:pStyle w:val="ListParagraph"/>
              <w:numPr>
                <w:ilvl w:val="0"/>
                <w:numId w:val="24"/>
              </w:numPr>
              <w:spacing w:after="0" w:line="276" w:lineRule="auto"/>
              <w:ind w:left="357" w:hanging="357"/>
              <w:rPr>
                <w:rStyle w:val="BookTitle"/>
                <w:rFonts w:ascii="Arial Narrow" w:hAnsi="Arial Narrow"/>
                <w:color w:val="000000" w:themeColor="text1"/>
                <w:sz w:val="18"/>
                <w:szCs w:val="18"/>
              </w:rPr>
            </w:pPr>
            <w:r w:rsidRPr="00E70A11">
              <w:rPr>
                <w:rStyle w:val="Hyperlink"/>
                <w:rFonts w:ascii="Arial Narrow" w:hAnsi="Arial Narrow"/>
                <w:color w:val="000000" w:themeColor="text1"/>
                <w:sz w:val="18"/>
                <w:szCs w:val="18"/>
              </w:rPr>
              <w:t>Great Barrier Reef Marine Park Regulations 1983 Regulation 88RA – ban on capital dredging</w:t>
            </w:r>
          </w:p>
        </w:tc>
        <w:tc>
          <w:tcPr>
            <w:tcW w:w="984" w:type="dxa"/>
            <w:tcBorders>
              <w:top w:val="single" w:sz="4" w:space="0" w:color="auto"/>
              <w:left w:val="single" w:sz="4" w:space="0" w:color="auto"/>
              <w:bottom w:val="single" w:sz="4" w:space="0" w:color="auto"/>
              <w:right w:val="single" w:sz="4" w:space="0" w:color="auto"/>
            </w:tcBorders>
          </w:tcPr>
          <w:p w14:paraId="576200E9"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0EA"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10A"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0EC"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ports</w:t>
            </w:r>
          </w:p>
        </w:tc>
        <w:tc>
          <w:tcPr>
            <w:tcW w:w="790" w:type="dxa"/>
            <w:tcBorders>
              <w:top w:val="single" w:sz="4" w:space="0" w:color="auto"/>
              <w:left w:val="single" w:sz="4" w:space="0" w:color="auto"/>
              <w:bottom w:val="single" w:sz="4" w:space="0" w:color="auto"/>
              <w:right w:val="single" w:sz="4" w:space="0" w:color="auto"/>
            </w:tcBorders>
          </w:tcPr>
          <w:p w14:paraId="576200ED"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0EE" w14:textId="77777777" w:rsidR="00A56EE9" w:rsidRPr="00E70A11" w:rsidRDefault="00A56EE9" w:rsidP="00A11869">
            <w:pPr>
              <w:pStyle w:val="ListParagraph"/>
              <w:numPr>
                <w:ilvl w:val="0"/>
                <w:numId w:val="24"/>
              </w:numPr>
              <w:spacing w:after="200" w:line="240" w:lineRule="auto"/>
              <w:ind w:left="357" w:hanging="357"/>
              <w:rPr>
                <w:rFonts w:ascii="Arial Narrow" w:hAnsi="Arial Narrow"/>
                <w:sz w:val="18"/>
                <w:szCs w:val="18"/>
                <w:u w:val="single"/>
              </w:rPr>
            </w:pPr>
            <w:r w:rsidRPr="00E70A11">
              <w:rPr>
                <w:rFonts w:ascii="Arial Narrow" w:hAnsi="Arial Narrow"/>
                <w:sz w:val="18"/>
                <w:szCs w:val="18"/>
              </w:rPr>
              <w:t>New policies and regulations for dredging and spoil disposal have been developed and are being applied.</w:t>
            </w:r>
          </w:p>
          <w:p w14:paraId="576200EF" w14:textId="77777777" w:rsidR="00A56EE9" w:rsidRPr="00E70A11" w:rsidRDefault="00A56EE9" w:rsidP="00A11869">
            <w:pPr>
              <w:pStyle w:val="ListParagraph"/>
              <w:numPr>
                <w:ilvl w:val="0"/>
                <w:numId w:val="24"/>
              </w:numPr>
              <w:spacing w:after="200" w:line="240" w:lineRule="auto"/>
              <w:ind w:left="357" w:hanging="357"/>
              <w:rPr>
                <w:rFonts w:ascii="Arial Narrow" w:hAnsi="Arial Narrow"/>
                <w:sz w:val="18"/>
                <w:szCs w:val="18"/>
              </w:rPr>
            </w:pPr>
            <w:r w:rsidRPr="00E70A11">
              <w:rPr>
                <w:rFonts w:ascii="Arial Narrow" w:hAnsi="Arial Narrow"/>
                <w:sz w:val="18"/>
                <w:szCs w:val="18"/>
              </w:rPr>
              <w:t>Dredging and port expansions/developments are addressed adequately by GBRMPA,</w:t>
            </w:r>
            <w:r>
              <w:rPr>
                <w:rFonts w:ascii="Arial Narrow" w:hAnsi="Arial Narrow"/>
                <w:sz w:val="18"/>
                <w:szCs w:val="18"/>
              </w:rPr>
              <w:t xml:space="preserve"> </w:t>
            </w:r>
          </w:p>
          <w:p w14:paraId="576200F0" w14:textId="77777777" w:rsidR="00A56EE9" w:rsidRPr="00E70A11" w:rsidRDefault="00A56EE9" w:rsidP="00A11869">
            <w:pPr>
              <w:pStyle w:val="ListParagraph"/>
              <w:numPr>
                <w:ilvl w:val="0"/>
                <w:numId w:val="24"/>
              </w:numPr>
              <w:spacing w:after="200" w:line="240" w:lineRule="auto"/>
              <w:ind w:left="357" w:hanging="357"/>
              <w:rPr>
                <w:rFonts w:ascii="Arial Narrow" w:hAnsi="Arial Narrow"/>
                <w:sz w:val="18"/>
                <w:szCs w:val="18"/>
              </w:rPr>
            </w:pPr>
            <w:r w:rsidRPr="00E70A11">
              <w:rPr>
                <w:rFonts w:ascii="Arial Narrow" w:hAnsi="Arial Narrow"/>
                <w:sz w:val="18"/>
                <w:szCs w:val="18"/>
              </w:rPr>
              <w:t>Work is in progress to better understand the framework for management of GBR anchorages.</w:t>
            </w:r>
          </w:p>
          <w:p w14:paraId="576200F1" w14:textId="77777777" w:rsidR="00A56EE9" w:rsidRPr="00E70A11" w:rsidRDefault="00A56EE9" w:rsidP="00A11869">
            <w:pPr>
              <w:pStyle w:val="ListParagraph"/>
              <w:numPr>
                <w:ilvl w:val="0"/>
                <w:numId w:val="24"/>
              </w:numPr>
              <w:spacing w:after="200" w:line="240" w:lineRule="auto"/>
              <w:ind w:left="357" w:hanging="357"/>
              <w:rPr>
                <w:rStyle w:val="BookTitle"/>
                <w:rFonts w:ascii="Arial Narrow" w:hAnsi="Arial Narrow"/>
                <w:color w:val="000000" w:themeColor="text1"/>
                <w:sz w:val="18"/>
                <w:szCs w:val="18"/>
              </w:rPr>
            </w:pPr>
            <w:r w:rsidRPr="00E70A11">
              <w:rPr>
                <w:rFonts w:ascii="Arial Narrow" w:hAnsi="Arial Narrow"/>
                <w:sz w:val="18"/>
                <w:szCs w:val="18"/>
              </w:rPr>
              <w:t>Other Commonwealth and Queensland authorities are progressing a program via the Queensland ports strategies and master planning.</w:t>
            </w:r>
          </w:p>
          <w:p w14:paraId="576200F2" w14:textId="77777777" w:rsidR="00A56EE9" w:rsidRPr="00E70A11" w:rsidRDefault="00A56EE9" w:rsidP="00BB6AD5">
            <w:pPr>
              <w:rPr>
                <w:rStyle w:val="BookTitle"/>
                <w:rFonts w:ascii="Arial Narrow" w:hAnsi="Arial Narrow"/>
                <w:color w:val="000000" w:themeColor="text1"/>
                <w:sz w:val="18"/>
                <w:szCs w:val="18"/>
              </w:rPr>
            </w:pPr>
          </w:p>
        </w:tc>
        <w:tc>
          <w:tcPr>
            <w:tcW w:w="5066" w:type="dxa"/>
            <w:tcBorders>
              <w:top w:val="single" w:sz="4" w:space="0" w:color="auto"/>
              <w:left w:val="single" w:sz="4" w:space="0" w:color="auto"/>
              <w:bottom w:val="single" w:sz="4" w:space="0" w:color="auto"/>
              <w:right w:val="single" w:sz="4" w:space="0" w:color="auto"/>
            </w:tcBorders>
          </w:tcPr>
          <w:p w14:paraId="576200F3" w14:textId="77777777" w:rsidR="00A56EE9" w:rsidRPr="00E70A11" w:rsidRDefault="00A56EE9" w:rsidP="00A11869">
            <w:pPr>
              <w:pStyle w:val="ListBullet"/>
              <w:numPr>
                <w:ilvl w:val="0"/>
                <w:numId w:val="93"/>
              </w:numPr>
              <w:autoSpaceDE w:val="0"/>
              <w:autoSpaceDN w:val="0"/>
              <w:adjustRightInd w:val="0"/>
              <w:spacing w:line="240" w:lineRule="auto"/>
              <w:rPr>
                <w:color w:val="000000" w:themeColor="text1"/>
              </w:rPr>
            </w:pPr>
            <w:r w:rsidRPr="00E70A11">
              <w:rPr>
                <w:color w:val="000000" w:themeColor="text1"/>
              </w:rPr>
              <w:t>GBRMPA and QLD Program Reports</w:t>
            </w:r>
          </w:p>
          <w:p w14:paraId="576200F4"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528" w:history="1">
              <w:r w:rsidR="00A56EE9" w:rsidRPr="00E70A11">
                <w:rPr>
                  <w:rStyle w:val="Hyperlink"/>
                  <w:color w:val="000000" w:themeColor="text1"/>
                </w:rPr>
                <w:t>Master planning for ports</w:t>
              </w:r>
            </w:hyperlink>
          </w:p>
          <w:p w14:paraId="576200F5"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lang w:val="en"/>
              </w:rPr>
            </w:pPr>
            <w:hyperlink r:id="rId1529" w:history="1">
              <w:r w:rsidR="00A56EE9" w:rsidRPr="00E70A11">
                <w:rPr>
                  <w:rStyle w:val="Hyperlink"/>
                  <w:color w:val="000000" w:themeColor="text1"/>
                </w:rPr>
                <w:t>Queensland Ports Strategy 2014</w:t>
              </w:r>
            </w:hyperlink>
          </w:p>
          <w:p w14:paraId="576200F6"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530" w:history="1">
              <w:r w:rsidR="00A56EE9" w:rsidRPr="00E70A11">
                <w:rPr>
                  <w:rStyle w:val="Hyperlink"/>
                  <w:color w:val="000000" w:themeColor="text1"/>
                </w:rPr>
                <w:t>Great Barrier Reef Coastal Zone Strategic Assessment</w:t>
              </w:r>
            </w:hyperlink>
            <w:r w:rsidR="00A56EE9" w:rsidRPr="00E70A11">
              <w:rPr>
                <w:color w:val="000000" w:themeColor="text1"/>
              </w:rPr>
              <w:t xml:space="preserve"> 2014</w:t>
            </w:r>
          </w:p>
          <w:p w14:paraId="576200F7"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531" w:history="1">
              <w:r w:rsidR="00A56EE9" w:rsidRPr="00E70A11">
                <w:rPr>
                  <w:rStyle w:val="Hyperlink"/>
                  <w:color w:val="000000" w:themeColor="text1"/>
                </w:rPr>
                <w:t>Synthesis of current knowledge of the biophysical impacts of dredging and disposal on the Great Barrier Reef: report of an independent panel of experts</w:t>
              </w:r>
            </w:hyperlink>
          </w:p>
          <w:p w14:paraId="576200F8" w14:textId="77777777" w:rsidR="00A56EE9" w:rsidRPr="00E70A11" w:rsidRDefault="00A56EE9" w:rsidP="00A11869">
            <w:pPr>
              <w:pStyle w:val="ListBullet"/>
              <w:numPr>
                <w:ilvl w:val="0"/>
                <w:numId w:val="93"/>
              </w:numPr>
              <w:autoSpaceDE w:val="0"/>
              <w:autoSpaceDN w:val="0"/>
              <w:adjustRightInd w:val="0"/>
              <w:spacing w:line="240" w:lineRule="auto"/>
              <w:rPr>
                <w:rStyle w:val="Hyperlink"/>
                <w:color w:val="000000" w:themeColor="text1"/>
              </w:rPr>
            </w:pPr>
            <w:r w:rsidRPr="00E70A11">
              <w:rPr>
                <w:color w:val="000000" w:themeColor="text1"/>
              </w:rPr>
              <w:t xml:space="preserve">GBRMP </w:t>
            </w:r>
            <w:hyperlink r:id="rId1532" w:tgtFrame="_blank" w:history="1">
              <w:r w:rsidRPr="00E70A11">
                <w:rPr>
                  <w:rStyle w:val="Hyperlink"/>
                  <w:color w:val="000000" w:themeColor="text1"/>
                </w:rPr>
                <w:t>Dredging and spoil disposal policy</w:t>
              </w:r>
            </w:hyperlink>
          </w:p>
          <w:p w14:paraId="576200F9"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533" w:history="1">
              <w:r w:rsidR="00A56EE9" w:rsidRPr="00E70A11">
                <w:rPr>
                  <w:rStyle w:val="Hyperlink"/>
                  <w:rFonts w:ascii="Arial Narrow" w:hAnsi="Arial Narrow"/>
                  <w:color w:val="000000" w:themeColor="text1"/>
                  <w:sz w:val="18"/>
                  <w:szCs w:val="18"/>
                </w:rPr>
                <w:t>Master planning for ports</w:t>
              </w:r>
            </w:hyperlink>
          </w:p>
          <w:p w14:paraId="576200FA"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534" w:history="1">
              <w:r w:rsidR="00A56EE9" w:rsidRPr="00E70A11">
                <w:rPr>
                  <w:rStyle w:val="Hyperlink"/>
                  <w:rFonts w:ascii="Arial Narrow" w:hAnsi="Arial Narrow"/>
                  <w:color w:val="000000" w:themeColor="text1"/>
                  <w:sz w:val="18"/>
                  <w:szCs w:val="18"/>
                </w:rPr>
                <w:t>Reef 2050 Integrated Monitoring and Reporting Program</w:t>
              </w:r>
            </w:hyperlink>
          </w:p>
          <w:p w14:paraId="576200FB"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35" w:history="1">
              <w:r w:rsidR="00A56EE9" w:rsidRPr="00E70A11">
                <w:rPr>
                  <w:rStyle w:val="Hyperlink"/>
                  <w:rFonts w:ascii="Arial Narrow" w:hAnsi="Arial Narrow"/>
                  <w:color w:val="000000" w:themeColor="text1"/>
                  <w:sz w:val="18"/>
                  <w:szCs w:val="18"/>
                </w:rPr>
                <w:t>Water quality Improvement Plans (WQIPs) and Healthy Waters Management Plans (HWMPs</w:t>
              </w:r>
            </w:hyperlink>
            <w:r w:rsidR="00A56EE9" w:rsidRPr="00E70A11">
              <w:rPr>
                <w:rFonts w:ascii="Arial Narrow" w:hAnsi="Arial Narrow"/>
                <w:color w:val="000000" w:themeColor="text1"/>
                <w:sz w:val="18"/>
                <w:szCs w:val="18"/>
              </w:rPr>
              <w:t>)</w:t>
            </w:r>
          </w:p>
          <w:p w14:paraId="576200FC"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36" w:history="1">
              <w:r w:rsidR="00A56EE9" w:rsidRPr="00E70A11">
                <w:rPr>
                  <w:rStyle w:val="Hyperlink"/>
                  <w:rFonts w:ascii="Arial Narrow" w:hAnsi="Arial Narrow"/>
                  <w:color w:val="000000" w:themeColor="text1"/>
                  <w:sz w:val="18"/>
                  <w:szCs w:val="18"/>
                </w:rPr>
                <w:t>Wet Tropics WQIP</w:t>
              </w:r>
            </w:hyperlink>
          </w:p>
          <w:p w14:paraId="576200FD"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37" w:history="1">
              <w:r w:rsidR="00A56EE9" w:rsidRPr="00E70A11">
                <w:rPr>
                  <w:rStyle w:val="Hyperlink"/>
                  <w:rFonts w:ascii="Arial Narrow" w:hAnsi="Arial Narrow"/>
                  <w:color w:val="000000" w:themeColor="text1"/>
                  <w:sz w:val="18"/>
                  <w:szCs w:val="18"/>
                </w:rPr>
                <w:t>FBA WQIP</w:t>
              </w:r>
            </w:hyperlink>
          </w:p>
          <w:p w14:paraId="576200FE"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38" w:history="1">
              <w:r w:rsidR="00A56EE9" w:rsidRPr="00E70A11">
                <w:rPr>
                  <w:rStyle w:val="Hyperlink"/>
                  <w:rFonts w:ascii="Arial Narrow" w:hAnsi="Arial Narrow"/>
                  <w:color w:val="000000" w:themeColor="text1"/>
                  <w:sz w:val="18"/>
                  <w:szCs w:val="18"/>
                </w:rPr>
                <w:t>Eastern Cape York Water Quality Improvement Plan</w:t>
              </w:r>
            </w:hyperlink>
          </w:p>
          <w:p w14:paraId="576200FF"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39" w:history="1">
              <w:r w:rsidR="00A56EE9" w:rsidRPr="00E70A11">
                <w:rPr>
                  <w:rStyle w:val="Hyperlink"/>
                  <w:rFonts w:ascii="Arial Narrow" w:hAnsi="Arial Narrow"/>
                  <w:color w:val="000000" w:themeColor="text1"/>
                  <w:sz w:val="18"/>
                  <w:szCs w:val="18"/>
                </w:rPr>
                <w:t>Townsville WQIP</w:t>
              </w:r>
            </w:hyperlink>
          </w:p>
          <w:p w14:paraId="57620100"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40" w:history="1">
              <w:r w:rsidR="00A56EE9" w:rsidRPr="00E70A11">
                <w:rPr>
                  <w:rStyle w:val="Hyperlink"/>
                  <w:rFonts w:ascii="Arial Narrow" w:hAnsi="Arial Narrow"/>
                  <w:color w:val="000000" w:themeColor="text1"/>
                  <w:sz w:val="18"/>
                  <w:szCs w:val="18"/>
                </w:rPr>
                <w:t>Burdekin Dry Tropics WQIP</w:t>
              </w:r>
            </w:hyperlink>
          </w:p>
          <w:p w14:paraId="57620101"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41" w:history="1">
              <w:r w:rsidR="00A56EE9" w:rsidRPr="00E70A11">
                <w:rPr>
                  <w:rStyle w:val="Hyperlink"/>
                  <w:rFonts w:ascii="Arial Narrow" w:hAnsi="Arial Narrow"/>
                  <w:color w:val="000000" w:themeColor="text1"/>
                  <w:sz w:val="18"/>
                  <w:szCs w:val="18"/>
                </w:rPr>
                <w:t>Cumulative Impact Management policy</w:t>
              </w:r>
            </w:hyperlink>
          </w:p>
          <w:p w14:paraId="57620102"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42" w:history="1">
              <w:r w:rsidR="00A56EE9" w:rsidRPr="00E70A11">
                <w:rPr>
                  <w:rStyle w:val="Hyperlink"/>
                  <w:rFonts w:ascii="Arial Narrow" w:hAnsi="Arial Narrow"/>
                  <w:color w:val="000000" w:themeColor="text1"/>
                  <w:sz w:val="18"/>
                  <w:szCs w:val="18"/>
                </w:rPr>
                <w:t>Net Benefit Policy</w:t>
              </w:r>
            </w:hyperlink>
          </w:p>
          <w:p w14:paraId="57620103"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Offsets</w:t>
            </w:r>
          </w:p>
          <w:p w14:paraId="57620105"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43" w:history="1">
              <w:r w:rsidR="00A56EE9" w:rsidRPr="00E70A11">
                <w:rPr>
                  <w:rStyle w:val="Hyperlink"/>
                  <w:rFonts w:ascii="Arial Narrow" w:hAnsi="Arial Narrow"/>
                  <w:color w:val="000000" w:themeColor="text1"/>
                  <w:sz w:val="18"/>
                  <w:szCs w:val="18"/>
                </w:rPr>
                <w:t>Dredge and dredge spoilt material disposal policy</w:t>
              </w:r>
            </w:hyperlink>
          </w:p>
          <w:p w14:paraId="57620106"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44" w:history="1">
              <w:r w:rsidR="00A56EE9" w:rsidRPr="00E70A11">
                <w:rPr>
                  <w:rStyle w:val="Hyperlink"/>
                  <w:rFonts w:ascii="Arial Narrow" w:hAnsi="Arial Narrow"/>
                  <w:color w:val="000000" w:themeColor="text1"/>
                  <w:sz w:val="18"/>
                  <w:szCs w:val="18"/>
                </w:rPr>
                <w:t>Improved Dredge Material Management for the GBR Region</w:t>
              </w:r>
            </w:hyperlink>
          </w:p>
          <w:p w14:paraId="57620107" w14:textId="77777777" w:rsidR="00A56EE9" w:rsidRPr="00E70A11" w:rsidRDefault="00A56EE9" w:rsidP="00A11869">
            <w:pPr>
              <w:pStyle w:val="ListParagraph"/>
              <w:numPr>
                <w:ilvl w:val="0"/>
                <w:numId w:val="24"/>
              </w:numPr>
              <w:spacing w:after="0" w:line="276" w:lineRule="auto"/>
              <w:ind w:left="357" w:hanging="357"/>
              <w:rPr>
                <w:rStyle w:val="BookTitle"/>
                <w:rFonts w:ascii="Arial Narrow" w:hAnsi="Arial Narrow"/>
                <w:color w:val="000000" w:themeColor="text1"/>
                <w:sz w:val="18"/>
                <w:szCs w:val="18"/>
              </w:rPr>
            </w:pPr>
            <w:r w:rsidRPr="00E70A11">
              <w:rPr>
                <w:rStyle w:val="Hyperlink"/>
                <w:rFonts w:ascii="Arial Narrow" w:hAnsi="Arial Narrow"/>
                <w:color w:val="000000" w:themeColor="text1"/>
                <w:sz w:val="18"/>
                <w:szCs w:val="18"/>
              </w:rPr>
              <w:t>Great Barrier Reef Marine Park Regulations 1983 Regulation 88RA – ban on capital dredging</w:t>
            </w:r>
          </w:p>
        </w:tc>
        <w:tc>
          <w:tcPr>
            <w:tcW w:w="984" w:type="dxa"/>
            <w:tcBorders>
              <w:top w:val="single" w:sz="4" w:space="0" w:color="auto"/>
              <w:left w:val="single" w:sz="4" w:space="0" w:color="auto"/>
              <w:bottom w:val="single" w:sz="4" w:space="0" w:color="auto"/>
              <w:right w:val="single" w:sz="4" w:space="0" w:color="auto"/>
            </w:tcBorders>
          </w:tcPr>
          <w:p w14:paraId="57620108"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10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115"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shd w:val="clear" w:color="auto" w:fill="auto"/>
          </w:tcPr>
          <w:p w14:paraId="5762010B"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ports are in place within agencies</w:t>
            </w:r>
          </w:p>
        </w:tc>
        <w:tc>
          <w:tcPr>
            <w:tcW w:w="790" w:type="dxa"/>
            <w:tcBorders>
              <w:top w:val="single" w:sz="4" w:space="0" w:color="auto"/>
              <w:left w:val="single" w:sz="4" w:space="0" w:color="auto"/>
              <w:bottom w:val="single" w:sz="4" w:space="0" w:color="auto"/>
              <w:right w:val="single" w:sz="4" w:space="0" w:color="auto"/>
            </w:tcBorders>
          </w:tcPr>
          <w:p w14:paraId="5762010C" w14:textId="77777777" w:rsidR="00A56EE9" w:rsidRPr="00E70A11" w:rsidRDefault="00A56EE9" w:rsidP="00BB6AD5">
            <w:pPr>
              <w:pStyle w:val="Tablebulletlist"/>
              <w:rPr>
                <w:rStyle w:val="BookTitle"/>
              </w:rPr>
            </w:pPr>
            <w:r w:rsidRPr="00E70A11">
              <w:rPr>
                <w:rStyle w:val="BookTitle"/>
              </w:rPr>
              <w:t>2</w:t>
            </w:r>
          </w:p>
        </w:tc>
        <w:tc>
          <w:tcPr>
            <w:tcW w:w="4177" w:type="dxa"/>
            <w:tcBorders>
              <w:top w:val="single" w:sz="4" w:space="0" w:color="auto"/>
              <w:left w:val="single" w:sz="4" w:space="0" w:color="auto"/>
              <w:bottom w:val="single" w:sz="4" w:space="0" w:color="auto"/>
              <w:right w:val="single" w:sz="4" w:space="0" w:color="auto"/>
            </w:tcBorders>
          </w:tcPr>
          <w:p w14:paraId="5762010D" w14:textId="77777777" w:rsidR="00A56EE9" w:rsidRPr="00E70A11" w:rsidRDefault="00A56EE9" w:rsidP="00A11869">
            <w:pPr>
              <w:pStyle w:val="ListParagraph"/>
              <w:numPr>
                <w:ilvl w:val="0"/>
                <w:numId w:val="106"/>
              </w:numPr>
              <w:autoSpaceDE w:val="0"/>
              <w:autoSpaceDN w:val="0"/>
              <w:adjustRightInd w:val="0"/>
              <w:spacing w:after="0" w:line="240" w:lineRule="auto"/>
              <w:rPr>
                <w:rFonts w:ascii="Arial Narrow" w:eastAsia="SymbolMT" w:hAnsi="Arial Narrow" w:cs="ArialMT"/>
                <w:color w:val="000000" w:themeColor="text1"/>
                <w:sz w:val="18"/>
                <w:szCs w:val="18"/>
              </w:rPr>
            </w:pPr>
            <w:r w:rsidRPr="00E70A11">
              <w:rPr>
                <w:rFonts w:ascii="Arial Narrow" w:hAnsi="Arial Narrow"/>
                <w:sz w:val="18"/>
                <w:szCs w:val="18"/>
              </w:rPr>
              <w:t>GBRMPA staff have expressed difficulty in gaining access to some datasets, given that these are located in several different agencies. The implementation of RIMReP should be expected to alleviate this situation.</w:t>
            </w:r>
          </w:p>
          <w:p w14:paraId="5762010E" w14:textId="77777777" w:rsidR="00A56EE9" w:rsidRPr="00E70A11" w:rsidRDefault="00A56EE9" w:rsidP="00A11869">
            <w:pPr>
              <w:pStyle w:val="ListParagraph"/>
              <w:numPr>
                <w:ilvl w:val="0"/>
                <w:numId w:val="106"/>
              </w:numPr>
              <w:autoSpaceDE w:val="0"/>
              <w:autoSpaceDN w:val="0"/>
              <w:adjustRightInd w:val="0"/>
              <w:spacing w:after="0" w:line="240" w:lineRule="auto"/>
              <w:rPr>
                <w:rFonts w:ascii="Arial Narrow" w:eastAsia="SymbolMT" w:hAnsi="Arial Narrow" w:cs="ArialMT"/>
                <w:color w:val="000000" w:themeColor="text1"/>
                <w:sz w:val="18"/>
                <w:szCs w:val="18"/>
              </w:rPr>
            </w:pPr>
            <w:r w:rsidRPr="00E70A11">
              <w:rPr>
                <w:rFonts w:ascii="Arial Narrow" w:eastAsia="SymbolMT" w:hAnsi="Arial Narrow" w:cs="ArialMT"/>
                <w:color w:val="000000" w:themeColor="text1"/>
                <w:sz w:val="18"/>
                <w:szCs w:val="18"/>
              </w:rPr>
              <w:t xml:space="preserve">Ports gather a significant amount of monitoring data and are embedded within RIMReP. Ports also report having multiple representatives involved in the technical working groups responsible for designing reef-wide monitoring programs. Ports are also key partners in several regional monitoring programs at Gladstone, Mackay-Whitsunday, Townsville and Cairns that provide information for managers on the condition and trend of values. </w:t>
            </w:r>
          </w:p>
          <w:p w14:paraId="5762010F" w14:textId="77777777" w:rsidR="00A56EE9" w:rsidRPr="00E70A11" w:rsidRDefault="00A56EE9" w:rsidP="00A11869">
            <w:pPr>
              <w:pStyle w:val="ListParagraph"/>
              <w:numPr>
                <w:ilvl w:val="0"/>
                <w:numId w:val="106"/>
              </w:numPr>
              <w:autoSpaceDE w:val="0"/>
              <w:autoSpaceDN w:val="0"/>
              <w:adjustRightInd w:val="0"/>
              <w:spacing w:after="0" w:line="240" w:lineRule="auto"/>
              <w:rPr>
                <w:rStyle w:val="BookTitle"/>
                <w:rFonts w:ascii="Arial Narrow" w:eastAsia="SymbolMT" w:hAnsi="Arial Narrow" w:cs="ArialMT"/>
                <w:color w:val="000000" w:themeColor="text1"/>
                <w:sz w:val="18"/>
                <w:szCs w:val="18"/>
              </w:rPr>
            </w:pPr>
            <w:r w:rsidRPr="00E70A11">
              <w:rPr>
                <w:rFonts w:ascii="Arial Narrow" w:hAnsi="Arial Narrow"/>
                <w:sz w:val="18"/>
                <w:szCs w:val="18"/>
              </w:rPr>
              <w:t>Assumed to be reasonably effective overall with the expectation of further improvement in collation and utility of access.</w:t>
            </w:r>
          </w:p>
        </w:tc>
        <w:tc>
          <w:tcPr>
            <w:tcW w:w="5066" w:type="dxa"/>
            <w:tcBorders>
              <w:top w:val="single" w:sz="4" w:space="0" w:color="auto"/>
              <w:left w:val="single" w:sz="4" w:space="0" w:color="auto"/>
              <w:bottom w:val="single" w:sz="4" w:space="0" w:color="auto"/>
              <w:right w:val="single" w:sz="4" w:space="0" w:color="auto"/>
            </w:tcBorders>
          </w:tcPr>
          <w:p w14:paraId="57620110" w14:textId="77777777" w:rsidR="00A56EE9" w:rsidRPr="00E70A11" w:rsidRDefault="008B5998" w:rsidP="00A11869">
            <w:pPr>
              <w:pStyle w:val="ListBullet"/>
              <w:numPr>
                <w:ilvl w:val="0"/>
                <w:numId w:val="93"/>
              </w:numPr>
              <w:autoSpaceDE w:val="0"/>
              <w:autoSpaceDN w:val="0"/>
              <w:adjustRightInd w:val="0"/>
              <w:spacing w:line="240" w:lineRule="auto"/>
              <w:jc w:val="both"/>
              <w:rPr>
                <w:color w:val="000000" w:themeColor="text1"/>
              </w:rPr>
            </w:pPr>
            <w:hyperlink r:id="rId1545" w:history="1">
              <w:r w:rsidR="00A56EE9" w:rsidRPr="00E70A11">
                <w:rPr>
                  <w:rStyle w:val="Hyperlink"/>
                  <w:color w:val="000000" w:themeColor="text1"/>
                  <w:lang w:val="en"/>
                </w:rPr>
                <w:t>Bulk Ports Corporation</w:t>
              </w:r>
            </w:hyperlink>
            <w:r w:rsidR="00A56EE9" w:rsidRPr="00E70A11">
              <w:rPr>
                <w:color w:val="000000" w:themeColor="text1"/>
                <w:lang w:val="en"/>
              </w:rPr>
              <w:t xml:space="preserve"> monitoring reports</w:t>
            </w:r>
          </w:p>
          <w:p w14:paraId="57620111" w14:textId="77777777" w:rsidR="00A56EE9" w:rsidRPr="00E70A11" w:rsidRDefault="008B5998" w:rsidP="00A11869">
            <w:pPr>
              <w:pStyle w:val="ListParagraph"/>
              <w:numPr>
                <w:ilvl w:val="0"/>
                <w:numId w:val="24"/>
              </w:numPr>
              <w:spacing w:after="200" w:line="240" w:lineRule="auto"/>
              <w:rPr>
                <w:rStyle w:val="Hyperlink"/>
                <w:rFonts w:ascii="Arial Narrow" w:hAnsi="Arial Narrow"/>
                <w:color w:val="000000" w:themeColor="text1"/>
                <w:sz w:val="18"/>
                <w:szCs w:val="18"/>
              </w:rPr>
            </w:pPr>
            <w:hyperlink r:id="rId1546" w:history="1">
              <w:r w:rsidR="00A56EE9" w:rsidRPr="00E70A11">
                <w:rPr>
                  <w:rStyle w:val="Hyperlink"/>
                  <w:rFonts w:ascii="Arial Narrow" w:hAnsi="Arial Narrow"/>
                  <w:color w:val="000000" w:themeColor="text1"/>
                  <w:sz w:val="18"/>
                  <w:szCs w:val="18"/>
                </w:rPr>
                <w:t>Reef 2050 Integrated Monitoring and Reporting Program</w:t>
              </w:r>
            </w:hyperlink>
          </w:p>
          <w:p w14:paraId="57620112"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20113"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20114"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2012B"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116"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ports with the community</w:t>
            </w:r>
          </w:p>
        </w:tc>
        <w:tc>
          <w:tcPr>
            <w:tcW w:w="790" w:type="dxa"/>
            <w:tcBorders>
              <w:top w:val="single" w:sz="4" w:space="0" w:color="auto"/>
              <w:left w:val="single" w:sz="4" w:space="0" w:color="auto"/>
              <w:bottom w:val="single" w:sz="4" w:space="0" w:color="auto"/>
              <w:right w:val="single" w:sz="4" w:space="0" w:color="auto"/>
            </w:tcBorders>
          </w:tcPr>
          <w:p w14:paraId="57620117"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118" w14:textId="77777777" w:rsidR="00A56EE9" w:rsidRPr="00E70A11" w:rsidRDefault="00A56EE9" w:rsidP="00A11869">
            <w:pPr>
              <w:pStyle w:val="ListParagraph"/>
              <w:numPr>
                <w:ilvl w:val="0"/>
                <w:numId w:val="24"/>
              </w:numPr>
              <w:spacing w:after="200" w:line="240" w:lineRule="auto"/>
              <w:ind w:left="357" w:hanging="357"/>
              <w:rPr>
                <w:rFonts w:ascii="Arial Narrow" w:hAnsi="Arial Narrow"/>
                <w:sz w:val="18"/>
                <w:szCs w:val="18"/>
              </w:rPr>
            </w:pPr>
            <w:r>
              <w:rPr>
                <w:rFonts w:ascii="Arial Narrow" w:hAnsi="Arial Narrow"/>
                <w:sz w:val="18"/>
                <w:szCs w:val="18"/>
              </w:rPr>
              <w:t>P</w:t>
            </w:r>
            <w:r w:rsidRPr="00E70A11">
              <w:rPr>
                <w:rFonts w:ascii="Arial Narrow" w:hAnsi="Arial Narrow"/>
                <w:sz w:val="18"/>
                <w:szCs w:val="18"/>
              </w:rPr>
              <w:t>ort master planning programs, impact assessment processes for specific proposals and individual port annual reporting.</w:t>
            </w:r>
          </w:p>
          <w:p w14:paraId="57620119" w14:textId="77777777" w:rsidR="00A56EE9" w:rsidRPr="00E70A11" w:rsidRDefault="00A56EE9" w:rsidP="00A11869">
            <w:pPr>
              <w:pStyle w:val="ListParagraph"/>
              <w:numPr>
                <w:ilvl w:val="0"/>
                <w:numId w:val="24"/>
              </w:numPr>
              <w:spacing w:after="200" w:line="240" w:lineRule="auto"/>
              <w:ind w:left="357" w:hanging="357"/>
              <w:rPr>
                <w:rFonts w:ascii="Arial Narrow" w:hAnsi="Arial Narrow"/>
                <w:sz w:val="18"/>
                <w:szCs w:val="18"/>
              </w:rPr>
            </w:pPr>
            <w:r w:rsidRPr="00E70A11">
              <w:rPr>
                <w:rFonts w:ascii="Arial Narrow" w:hAnsi="Arial Narrow"/>
                <w:sz w:val="18"/>
                <w:szCs w:val="18"/>
              </w:rPr>
              <w:t>Ports make some monitoring and performance data available via annual reports and websites.</w:t>
            </w:r>
          </w:p>
          <w:p w14:paraId="5762011A" w14:textId="0EE08592" w:rsidR="00A56EE9" w:rsidRPr="00E70A11" w:rsidRDefault="00A56EE9" w:rsidP="00A11869">
            <w:pPr>
              <w:pStyle w:val="ListParagraph"/>
              <w:numPr>
                <w:ilvl w:val="0"/>
                <w:numId w:val="24"/>
              </w:numPr>
              <w:spacing w:after="200" w:line="240" w:lineRule="auto"/>
              <w:ind w:left="357" w:hanging="357"/>
              <w:rPr>
                <w:rFonts w:ascii="Arial Narrow" w:hAnsi="Arial Narrow"/>
                <w:sz w:val="18"/>
                <w:szCs w:val="18"/>
              </w:rPr>
            </w:pPr>
            <w:r w:rsidRPr="00E70A11">
              <w:rPr>
                <w:rFonts w:ascii="Arial Narrow" w:hAnsi="Arial Narrow"/>
                <w:sz w:val="18"/>
                <w:szCs w:val="18"/>
              </w:rPr>
              <w:t>Ports have implemented a system of periodic reporting via report cards, although this is</w:t>
            </w:r>
            <w:r w:rsidR="00242993">
              <w:rPr>
                <w:rFonts w:ascii="Arial Narrow" w:hAnsi="Arial Narrow"/>
                <w:sz w:val="18"/>
                <w:szCs w:val="18"/>
              </w:rPr>
              <w:t xml:space="preserve"> </w:t>
            </w:r>
            <w:r w:rsidRPr="00E70A11">
              <w:rPr>
                <w:rFonts w:ascii="Arial Narrow" w:hAnsi="Arial Narrow"/>
                <w:sz w:val="18"/>
                <w:szCs w:val="18"/>
              </w:rPr>
              <w:t>only a modest extent.</w:t>
            </w:r>
          </w:p>
          <w:p w14:paraId="5762011B" w14:textId="77777777" w:rsidR="00A56EE9" w:rsidRPr="00E70A11" w:rsidRDefault="00A56EE9" w:rsidP="00A11869">
            <w:pPr>
              <w:pStyle w:val="ListParagraph"/>
              <w:numPr>
                <w:ilvl w:val="0"/>
                <w:numId w:val="24"/>
              </w:numPr>
              <w:spacing w:after="200" w:line="240" w:lineRule="auto"/>
              <w:ind w:left="357" w:hanging="357"/>
              <w:rPr>
                <w:rStyle w:val="BookTitle"/>
                <w:rFonts w:ascii="Arial Narrow" w:hAnsi="Arial Narrow"/>
                <w:sz w:val="18"/>
                <w:szCs w:val="18"/>
              </w:rPr>
            </w:pPr>
            <w:r w:rsidRPr="00E70A11">
              <w:rPr>
                <w:rFonts w:ascii="Arial Narrow" w:hAnsi="Arial Narrow"/>
                <w:sz w:val="18"/>
                <w:szCs w:val="18"/>
              </w:rPr>
              <w:t>Ports maintain links with the community through various for a, such as Technical Advisory Consultative Committees (TACCs), Community Reference Groups (CRGs), Community Liaison Groups (CLGs), Management Reference Groups (MRGs) and similar.</w:t>
            </w:r>
          </w:p>
        </w:tc>
        <w:tc>
          <w:tcPr>
            <w:tcW w:w="5066" w:type="dxa"/>
            <w:tcBorders>
              <w:top w:val="single" w:sz="4" w:space="0" w:color="auto"/>
              <w:left w:val="single" w:sz="4" w:space="0" w:color="auto"/>
              <w:bottom w:val="single" w:sz="4" w:space="0" w:color="auto"/>
              <w:right w:val="single" w:sz="4" w:space="0" w:color="auto"/>
            </w:tcBorders>
          </w:tcPr>
          <w:p w14:paraId="5762011C"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Fonts w:ascii="Arial Narrow" w:hAnsi="Arial Narrow"/>
                <w:color w:val="000000" w:themeColor="text1"/>
                <w:sz w:val="18"/>
                <w:szCs w:val="18"/>
              </w:rPr>
              <w:t xml:space="preserve">Marine Monitoring Program - </w:t>
            </w:r>
            <w:hyperlink r:id="rId1547" w:history="1">
              <w:r w:rsidRPr="00E70A11">
                <w:rPr>
                  <w:rStyle w:val="Hyperlink"/>
                  <w:rFonts w:ascii="Arial Narrow" w:hAnsi="Arial Narrow"/>
                  <w:color w:val="000000" w:themeColor="text1"/>
                  <w:sz w:val="18"/>
                  <w:szCs w:val="18"/>
                </w:rPr>
                <w:t>Inshore seagrass monitoring</w:t>
              </w:r>
            </w:hyperlink>
            <w:r w:rsidRPr="00E70A11">
              <w:rPr>
                <w:rStyle w:val="Hyperlink"/>
                <w:rFonts w:ascii="Arial Narrow" w:hAnsi="Arial Narrow"/>
                <w:color w:val="000000" w:themeColor="text1"/>
                <w:sz w:val="18"/>
                <w:szCs w:val="18"/>
              </w:rPr>
              <w:t xml:space="preserve"> </w:t>
            </w:r>
          </w:p>
          <w:p w14:paraId="5762011D"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 xml:space="preserve">Reef </w:t>
            </w:r>
            <w:hyperlink r:id="rId1548" w:history="1">
              <w:r w:rsidRPr="00E70A11">
                <w:rPr>
                  <w:rStyle w:val="Hyperlink"/>
                  <w:rFonts w:ascii="Arial Narrow" w:hAnsi="Arial Narrow"/>
                  <w:color w:val="000000" w:themeColor="text1"/>
                  <w:sz w:val="18"/>
                  <w:szCs w:val="18"/>
                </w:rPr>
                <w:t>Plan</w:t>
              </w:r>
            </w:hyperlink>
          </w:p>
          <w:p w14:paraId="5762011E"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549" w:history="1">
              <w:r w:rsidR="00A56EE9" w:rsidRPr="00E70A11">
                <w:rPr>
                  <w:rStyle w:val="Hyperlink"/>
                  <w:rFonts w:ascii="Arial Narrow" w:hAnsi="Arial Narrow"/>
                  <w:color w:val="000000" w:themeColor="text1"/>
                  <w:sz w:val="18"/>
                  <w:szCs w:val="18"/>
                  <w:lang w:val="en"/>
                </w:rPr>
                <w:t>Bulk Ports Corporation</w:t>
              </w:r>
            </w:hyperlink>
            <w:r w:rsidR="00A56EE9" w:rsidRPr="00E70A11">
              <w:rPr>
                <w:rFonts w:ascii="Arial Narrow" w:hAnsi="Arial Narrow"/>
                <w:color w:val="000000" w:themeColor="text1"/>
                <w:sz w:val="18"/>
                <w:szCs w:val="18"/>
                <w:lang w:val="en"/>
              </w:rPr>
              <w:t xml:space="preserve"> monitoring reports</w:t>
            </w:r>
          </w:p>
          <w:p w14:paraId="5762011F"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Annual Reports for:</w:t>
            </w:r>
          </w:p>
          <w:p w14:paraId="57620120"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550" w:history="1">
              <w:r w:rsidR="00A56EE9" w:rsidRPr="00E70A11">
                <w:rPr>
                  <w:rStyle w:val="Hyperlink"/>
                  <w:rFonts w:ascii="Arial Narrow" w:hAnsi="Arial Narrow"/>
                  <w:color w:val="000000" w:themeColor="text1"/>
                  <w:sz w:val="18"/>
                  <w:szCs w:val="18"/>
                </w:rPr>
                <w:t>North Queensland Bulk Ports Corporation</w:t>
              </w:r>
            </w:hyperlink>
            <w:r w:rsidR="00A56EE9" w:rsidRPr="00E70A11">
              <w:rPr>
                <w:rStyle w:val="BookTitle"/>
                <w:rFonts w:ascii="Arial Narrow" w:hAnsi="Arial Narrow"/>
                <w:color w:val="000000" w:themeColor="text1"/>
                <w:sz w:val="18"/>
                <w:szCs w:val="18"/>
              </w:rPr>
              <w:t xml:space="preserve"> </w:t>
            </w:r>
          </w:p>
          <w:p w14:paraId="57620121"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551" w:history="1">
              <w:r w:rsidR="00A56EE9" w:rsidRPr="00E70A11">
                <w:rPr>
                  <w:rStyle w:val="Hyperlink"/>
                  <w:rFonts w:ascii="Arial Narrow" w:hAnsi="Arial Narrow"/>
                  <w:color w:val="000000" w:themeColor="text1"/>
                  <w:sz w:val="18"/>
                  <w:szCs w:val="18"/>
                </w:rPr>
                <w:t>Port of Townsville Limited</w:t>
              </w:r>
            </w:hyperlink>
            <w:r w:rsidR="00A56EE9" w:rsidRPr="00E70A11">
              <w:rPr>
                <w:rStyle w:val="BookTitle"/>
                <w:rFonts w:ascii="Arial Narrow" w:hAnsi="Arial Narrow"/>
                <w:color w:val="000000" w:themeColor="text1"/>
                <w:sz w:val="18"/>
                <w:szCs w:val="18"/>
              </w:rPr>
              <w:t xml:space="preserve"> </w:t>
            </w:r>
          </w:p>
          <w:p w14:paraId="57620122"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552" w:history="1">
              <w:r w:rsidR="00A56EE9" w:rsidRPr="00E70A11">
                <w:rPr>
                  <w:rStyle w:val="Hyperlink"/>
                  <w:rFonts w:ascii="Arial Narrow" w:hAnsi="Arial Narrow"/>
                  <w:color w:val="000000" w:themeColor="text1"/>
                  <w:sz w:val="18"/>
                  <w:szCs w:val="18"/>
                </w:rPr>
                <w:t>Ports North</w:t>
              </w:r>
            </w:hyperlink>
            <w:r w:rsidR="00A56EE9" w:rsidRPr="00E70A11">
              <w:rPr>
                <w:rStyle w:val="BookTitle"/>
                <w:rFonts w:ascii="Arial Narrow" w:hAnsi="Arial Narrow"/>
                <w:color w:val="000000" w:themeColor="text1"/>
                <w:sz w:val="18"/>
                <w:szCs w:val="18"/>
              </w:rPr>
              <w:t xml:space="preserve"> </w:t>
            </w:r>
          </w:p>
          <w:p w14:paraId="57620123"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53" w:anchor="search=indigenous" w:history="1">
              <w:r w:rsidR="00A56EE9" w:rsidRPr="00E70A11">
                <w:rPr>
                  <w:rStyle w:val="Hyperlink"/>
                  <w:rFonts w:ascii="Arial Narrow" w:hAnsi="Arial Narrow"/>
                  <w:color w:val="000000" w:themeColor="text1"/>
                  <w:sz w:val="18"/>
                  <w:szCs w:val="18"/>
                </w:rPr>
                <w:t>Gladstone Annual Report 2015-2016</w:t>
              </w:r>
            </w:hyperlink>
          </w:p>
          <w:p w14:paraId="57620124"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Technical Advisory Consultative Committees</w:t>
            </w:r>
          </w:p>
          <w:p w14:paraId="57620125"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Community Reference Groups (CRGs)</w:t>
            </w:r>
          </w:p>
          <w:p w14:paraId="57620126"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Community Liaison Groups (CLGs)</w:t>
            </w:r>
          </w:p>
          <w:p w14:paraId="57620127"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Fonts w:ascii="Arial Narrow" w:hAnsi="Arial Narrow"/>
                <w:color w:val="000000" w:themeColor="text1"/>
                <w:sz w:val="18"/>
                <w:szCs w:val="18"/>
              </w:rPr>
              <w:t>Management Reference Groups (MRGs)</w:t>
            </w:r>
          </w:p>
          <w:p w14:paraId="57620128" w14:textId="77777777" w:rsidR="00A56EE9" w:rsidRPr="00E70A11" w:rsidRDefault="008B5998" w:rsidP="00A11869">
            <w:pPr>
              <w:pStyle w:val="ListParagraph"/>
              <w:numPr>
                <w:ilvl w:val="0"/>
                <w:numId w:val="24"/>
              </w:numPr>
              <w:spacing w:after="0" w:line="276" w:lineRule="auto"/>
              <w:rPr>
                <w:rStyle w:val="BookTitle"/>
                <w:rFonts w:ascii="Arial Narrow" w:hAnsi="Arial Narrow"/>
                <w:color w:val="000000" w:themeColor="text1"/>
                <w:sz w:val="18"/>
                <w:szCs w:val="18"/>
              </w:rPr>
            </w:pPr>
            <w:hyperlink r:id="rId1554" w:history="1">
              <w:r w:rsidR="00A56EE9" w:rsidRPr="00E70A11">
                <w:rPr>
                  <w:rStyle w:val="Hyperlink"/>
                  <w:rFonts w:ascii="Arial Narrow" w:hAnsi="Arial Narrow"/>
                  <w:color w:val="000000" w:themeColor="text1"/>
                  <w:sz w:val="18"/>
                  <w:szCs w:val="18"/>
                </w:rPr>
                <w:t>Reef 2050 Long-Term Sustainability Plan</w:t>
              </w:r>
            </w:hyperlink>
          </w:p>
        </w:tc>
        <w:tc>
          <w:tcPr>
            <w:tcW w:w="984" w:type="dxa"/>
            <w:tcBorders>
              <w:top w:val="single" w:sz="4" w:space="0" w:color="auto"/>
              <w:left w:val="single" w:sz="4" w:space="0" w:color="auto"/>
              <w:bottom w:val="single" w:sz="4" w:space="0" w:color="auto"/>
              <w:right w:val="single" w:sz="4" w:space="0" w:color="auto"/>
            </w:tcBorders>
          </w:tcPr>
          <w:p w14:paraId="57620129" w14:textId="77777777" w:rsidR="00A56EE9" w:rsidRPr="00E70A11" w:rsidRDefault="00A56EE9" w:rsidP="00BB6AD5">
            <w:pPr>
              <w:pStyle w:val="Tablebulletlist"/>
              <w:rPr>
                <w:rStyle w:val="BookTitle"/>
              </w:rPr>
            </w:pPr>
            <w:r w:rsidRPr="00E70A11">
              <w:rPr>
                <w:rStyle w:val="BookTitle"/>
              </w:rPr>
              <w:t>Uncertain</w:t>
            </w:r>
          </w:p>
        </w:tc>
        <w:tc>
          <w:tcPr>
            <w:tcW w:w="914" w:type="dxa"/>
            <w:tcBorders>
              <w:top w:val="single" w:sz="4" w:space="0" w:color="auto"/>
              <w:left w:val="single" w:sz="4" w:space="0" w:color="auto"/>
              <w:bottom w:val="single" w:sz="4" w:space="0" w:color="auto"/>
              <w:right w:val="single" w:sz="4" w:space="0" w:color="auto"/>
            </w:tcBorders>
          </w:tcPr>
          <w:p w14:paraId="5762012A"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132"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12C" w14:textId="77777777" w:rsidR="00A56EE9" w:rsidRPr="00E70A11" w:rsidRDefault="00A56EE9" w:rsidP="00BB6AD5">
            <w:pPr>
              <w:pStyle w:val="Tablebulletlist"/>
              <w:rPr>
                <w:rStyle w:val="BookTitle"/>
              </w:rPr>
            </w:pPr>
            <w:r w:rsidRPr="00E70A11">
              <w:rPr>
                <w:rStyle w:val="BookTitle"/>
              </w:rPr>
              <w:t>OUTCOMES</w:t>
            </w:r>
          </w:p>
        </w:tc>
        <w:tc>
          <w:tcPr>
            <w:tcW w:w="79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12D" w14:textId="77777777" w:rsidR="00A56EE9" w:rsidRPr="00E70A11" w:rsidRDefault="00A56EE9" w:rsidP="00BB6AD5">
            <w:pPr>
              <w:pStyle w:val="Tablebulletlist"/>
              <w:rPr>
                <w:rStyle w:val="BookTitle"/>
              </w:rPr>
            </w:pPr>
          </w:p>
        </w:tc>
        <w:tc>
          <w:tcPr>
            <w:tcW w:w="417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12E"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6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12F"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130" w14:textId="77777777" w:rsidR="00A56EE9" w:rsidRPr="00E70A11" w:rsidRDefault="00A56EE9" w:rsidP="00BB6AD5">
            <w:pPr>
              <w:pStyle w:val="Tablebulletlist"/>
              <w:rPr>
                <w:rStyle w:val="BookTitle"/>
              </w:rPr>
            </w:pPr>
          </w:p>
        </w:tc>
        <w:tc>
          <w:tcPr>
            <w:tcW w:w="91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131" w14:textId="77777777" w:rsidR="00A56EE9" w:rsidRPr="00E70A11" w:rsidRDefault="00A56EE9" w:rsidP="00BB6AD5">
            <w:pPr>
              <w:pStyle w:val="Tablebulletlist"/>
              <w:rPr>
                <w:rStyle w:val="BookTitle"/>
              </w:rPr>
            </w:pPr>
          </w:p>
        </w:tc>
      </w:tr>
      <w:tr w:rsidR="00A56EE9" w:rsidRPr="00E70A11" w14:paraId="57620145"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133"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ports and moving towards the attainment of the desired outcomes.</w:t>
            </w:r>
          </w:p>
        </w:tc>
        <w:tc>
          <w:tcPr>
            <w:tcW w:w="790" w:type="dxa"/>
            <w:tcBorders>
              <w:top w:val="single" w:sz="4" w:space="0" w:color="auto"/>
              <w:left w:val="single" w:sz="4" w:space="0" w:color="auto"/>
              <w:bottom w:val="single" w:sz="4" w:space="0" w:color="auto"/>
              <w:right w:val="single" w:sz="4" w:space="0" w:color="auto"/>
            </w:tcBorders>
          </w:tcPr>
          <w:p w14:paraId="57620134"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135" w14:textId="77777777" w:rsidR="00A56EE9" w:rsidRPr="00E70A11" w:rsidRDefault="00A56EE9" w:rsidP="00A11869">
            <w:pPr>
              <w:pStyle w:val="ListBullet"/>
              <w:numPr>
                <w:ilvl w:val="0"/>
                <w:numId w:val="93"/>
              </w:numPr>
              <w:autoSpaceDE w:val="0"/>
              <w:autoSpaceDN w:val="0"/>
              <w:adjustRightInd w:val="0"/>
              <w:spacing w:line="240" w:lineRule="auto"/>
            </w:pPr>
            <w:r>
              <w:t>E</w:t>
            </w:r>
            <w:r w:rsidRPr="00E70A11">
              <w:t>vidence indicates that ports, including their development and operations, are being effectively managed.</w:t>
            </w:r>
          </w:p>
          <w:p w14:paraId="57620136" w14:textId="77777777" w:rsidR="00A56EE9" w:rsidRPr="00E70A11" w:rsidRDefault="00A56EE9" w:rsidP="00A11869">
            <w:pPr>
              <w:pStyle w:val="ListBullet"/>
              <w:numPr>
                <w:ilvl w:val="0"/>
                <w:numId w:val="93"/>
              </w:numPr>
              <w:autoSpaceDE w:val="0"/>
              <w:autoSpaceDN w:val="0"/>
              <w:adjustRightInd w:val="0"/>
              <w:spacing w:line="240" w:lineRule="auto"/>
            </w:pPr>
            <w:r w:rsidRPr="00E70A11">
              <w:t>It is evident that coordination between GBRMPA and regulatory agencies and port operators and developers has improved since 2013.</w:t>
            </w:r>
          </w:p>
          <w:p w14:paraId="57620137" w14:textId="77777777" w:rsidR="00A56EE9" w:rsidRPr="00E70A11" w:rsidRDefault="00A56EE9" w:rsidP="00A11869">
            <w:pPr>
              <w:pStyle w:val="ListBullet"/>
              <w:numPr>
                <w:ilvl w:val="0"/>
                <w:numId w:val="93"/>
              </w:numPr>
              <w:autoSpaceDE w:val="0"/>
              <w:autoSpaceDN w:val="0"/>
              <w:adjustRightInd w:val="0"/>
              <w:spacing w:line="240" w:lineRule="auto"/>
              <w:rPr>
                <w:rStyle w:val="BookTitle"/>
                <w:rFonts w:cs="AdvGulliv-R"/>
                <w:color w:val="000000" w:themeColor="text1"/>
              </w:rPr>
            </w:pPr>
            <w:r w:rsidRPr="00E70A11">
              <w:rPr>
                <w:color w:val="000000" w:themeColor="text1"/>
              </w:rPr>
              <w:t xml:space="preserve">It is evident that more coordination between regulatory agencies and port operators (eg. terminal operators and exporters) would be beneficial. </w:t>
            </w:r>
          </w:p>
        </w:tc>
        <w:tc>
          <w:tcPr>
            <w:tcW w:w="5066" w:type="dxa"/>
            <w:tcBorders>
              <w:top w:val="single" w:sz="4" w:space="0" w:color="auto"/>
              <w:left w:val="single" w:sz="4" w:space="0" w:color="auto"/>
              <w:bottom w:val="single" w:sz="4" w:space="0" w:color="auto"/>
              <w:right w:val="single" w:sz="4" w:space="0" w:color="auto"/>
            </w:tcBorders>
          </w:tcPr>
          <w:p w14:paraId="57620138"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Great Barrier Reef Marine Park Regulations 1983 Regulation 88RA – ban on capital dredging</w:t>
            </w:r>
          </w:p>
          <w:p w14:paraId="57620139"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55" w:history="1">
              <w:r w:rsidR="00A56EE9" w:rsidRPr="00E70A11">
                <w:rPr>
                  <w:rStyle w:val="Hyperlink"/>
                  <w:rFonts w:ascii="Arial Narrow" w:hAnsi="Arial Narrow"/>
                  <w:color w:val="000000" w:themeColor="text1"/>
                  <w:sz w:val="18"/>
                  <w:szCs w:val="18"/>
                </w:rPr>
                <w:t>Dredge and dredge spoilt material disposal policy</w:t>
              </w:r>
            </w:hyperlink>
          </w:p>
          <w:p w14:paraId="5762013A"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56" w:history="1">
              <w:r w:rsidR="00A56EE9" w:rsidRPr="00E70A11">
                <w:rPr>
                  <w:rStyle w:val="Hyperlink"/>
                  <w:rFonts w:ascii="Arial Narrow" w:hAnsi="Arial Narrow"/>
                  <w:color w:val="000000" w:themeColor="text1"/>
                  <w:sz w:val="18"/>
                  <w:szCs w:val="18"/>
                </w:rPr>
                <w:t>Dredging coral reef habitats</w:t>
              </w:r>
            </w:hyperlink>
          </w:p>
          <w:p w14:paraId="5762013B"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57" w:history="1">
              <w:r w:rsidR="00A56EE9" w:rsidRPr="00E70A11">
                <w:rPr>
                  <w:rStyle w:val="Hyperlink"/>
                  <w:rFonts w:ascii="Arial Narrow" w:eastAsia="SymbolMT" w:hAnsi="Arial Narrow"/>
                  <w:color w:val="000000" w:themeColor="text1"/>
                  <w:sz w:val="18"/>
                  <w:szCs w:val="18"/>
                </w:rPr>
                <w:t>Queensland Maintenance Dredging Strategy</w:t>
              </w:r>
            </w:hyperlink>
          </w:p>
          <w:p w14:paraId="5762013C"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Sustainable Ports Development Act</w:t>
            </w:r>
          </w:p>
          <w:p w14:paraId="5762013D"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58" w:history="1">
              <w:r w:rsidR="00A56EE9" w:rsidRPr="00E70A11">
                <w:rPr>
                  <w:rStyle w:val="Hyperlink"/>
                  <w:rFonts w:ascii="Arial Narrow" w:hAnsi="Arial Narrow"/>
                  <w:color w:val="000000" w:themeColor="text1"/>
                  <w:sz w:val="18"/>
                  <w:szCs w:val="18"/>
                </w:rPr>
                <w:t>Dredge and dredge spoilt material disposal policy</w:t>
              </w:r>
            </w:hyperlink>
          </w:p>
          <w:p w14:paraId="5762013E"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59" w:history="1">
              <w:r w:rsidR="00A56EE9" w:rsidRPr="00E70A11">
                <w:rPr>
                  <w:rStyle w:val="Hyperlink"/>
                  <w:rFonts w:ascii="Arial Narrow" w:hAnsi="Arial Narrow"/>
                  <w:color w:val="000000" w:themeColor="text1"/>
                  <w:sz w:val="18"/>
                  <w:szCs w:val="18"/>
                </w:rPr>
                <w:t>Dredging coral reef habitats</w:t>
              </w:r>
            </w:hyperlink>
          </w:p>
          <w:p w14:paraId="5762013F"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560" w:history="1">
              <w:r w:rsidR="00A56EE9" w:rsidRPr="00E70A11">
                <w:rPr>
                  <w:rStyle w:val="Hyperlink"/>
                  <w:rFonts w:ascii="Arial Narrow" w:hAnsi="Arial Narrow"/>
                  <w:color w:val="000000" w:themeColor="text1"/>
                  <w:sz w:val="18"/>
                  <w:szCs w:val="18"/>
                </w:rPr>
                <w:t>Improved Dredge Material Management for the GBR Region</w:t>
              </w:r>
            </w:hyperlink>
          </w:p>
          <w:p w14:paraId="57620140"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Updated </w:t>
            </w:r>
            <w:hyperlink r:id="rId1561" w:history="1">
              <w:r w:rsidRPr="00E70A11">
                <w:rPr>
                  <w:rStyle w:val="Hyperlink"/>
                  <w:rFonts w:ascii="Arial Narrow" w:hAnsi="Arial Narrow"/>
                  <w:color w:val="000000" w:themeColor="text1"/>
                  <w:sz w:val="18"/>
                  <w:szCs w:val="18"/>
                </w:rPr>
                <w:t>permission system policy</w:t>
              </w:r>
            </w:hyperlink>
            <w:r w:rsidRPr="00E70A11">
              <w:rPr>
                <w:rFonts w:ascii="Arial Narrow" w:hAnsi="Arial Narrow"/>
                <w:color w:val="000000" w:themeColor="text1"/>
                <w:sz w:val="18"/>
                <w:szCs w:val="18"/>
              </w:rPr>
              <w:t xml:space="preserve"> and </w:t>
            </w:r>
            <w:hyperlink r:id="rId1562" w:history="1">
              <w:r w:rsidRPr="00E70A11">
                <w:rPr>
                  <w:rStyle w:val="Hyperlink"/>
                  <w:rFonts w:ascii="Arial Narrow" w:hAnsi="Arial Narrow"/>
                  <w:color w:val="000000" w:themeColor="text1"/>
                  <w:sz w:val="18"/>
                  <w:szCs w:val="18"/>
                </w:rPr>
                <w:t>new guidance documents</w:t>
              </w:r>
            </w:hyperlink>
            <w:r w:rsidRPr="00E70A11">
              <w:rPr>
                <w:rFonts w:ascii="Arial Narrow" w:hAnsi="Arial Narrow"/>
                <w:color w:val="000000" w:themeColor="text1"/>
                <w:sz w:val="18"/>
                <w:szCs w:val="18"/>
              </w:rPr>
              <w:t>.</w:t>
            </w:r>
          </w:p>
          <w:p w14:paraId="57620141"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563" w:history="1">
              <w:r w:rsidR="00A56EE9" w:rsidRPr="00E70A11">
                <w:rPr>
                  <w:rStyle w:val="Hyperlink"/>
                  <w:rFonts w:ascii="Arial Narrow" w:hAnsi="Arial Narrow"/>
                  <w:color w:val="000000" w:themeColor="text1"/>
                  <w:sz w:val="18"/>
                  <w:szCs w:val="18"/>
                  <w:lang w:val="en"/>
                </w:rPr>
                <w:t>Bulk Ports Corporation</w:t>
              </w:r>
            </w:hyperlink>
            <w:r w:rsidR="00A56EE9" w:rsidRPr="00E70A11">
              <w:rPr>
                <w:rFonts w:ascii="Arial Narrow" w:hAnsi="Arial Narrow"/>
                <w:color w:val="000000" w:themeColor="text1"/>
                <w:sz w:val="18"/>
                <w:szCs w:val="18"/>
                <w:lang w:val="en"/>
              </w:rPr>
              <w:t xml:space="preserve"> monitoring reports</w:t>
            </w:r>
          </w:p>
          <w:p w14:paraId="57620142" w14:textId="77777777" w:rsidR="00A56EE9" w:rsidRPr="00E70A11" w:rsidRDefault="008B5998" w:rsidP="00A11869">
            <w:pPr>
              <w:pStyle w:val="ListParagraph"/>
              <w:numPr>
                <w:ilvl w:val="0"/>
                <w:numId w:val="24"/>
              </w:numPr>
              <w:spacing w:after="0" w:line="276" w:lineRule="auto"/>
              <w:rPr>
                <w:rStyle w:val="BookTitle"/>
                <w:rFonts w:ascii="Arial Narrow" w:hAnsi="Arial Narrow"/>
                <w:color w:val="000000" w:themeColor="text1"/>
                <w:sz w:val="18"/>
                <w:szCs w:val="18"/>
              </w:rPr>
            </w:pPr>
            <w:hyperlink r:id="rId1564" w:history="1">
              <w:r w:rsidR="00A56EE9" w:rsidRPr="00E70A11">
                <w:rPr>
                  <w:rStyle w:val="Hyperlink"/>
                  <w:rFonts w:ascii="Arial Narrow" w:hAnsi="Arial Narrow"/>
                  <w:color w:val="000000" w:themeColor="text1"/>
                  <w:sz w:val="18"/>
                  <w:szCs w:val="18"/>
                </w:rPr>
                <w:t>Reef 2050 Long-Term Sustainability Plan</w:t>
              </w:r>
            </w:hyperlink>
          </w:p>
        </w:tc>
        <w:tc>
          <w:tcPr>
            <w:tcW w:w="984" w:type="dxa"/>
            <w:tcBorders>
              <w:top w:val="single" w:sz="4" w:space="0" w:color="auto"/>
              <w:left w:val="single" w:sz="4" w:space="0" w:color="auto"/>
              <w:bottom w:val="single" w:sz="4" w:space="0" w:color="auto"/>
              <w:right w:val="single" w:sz="4" w:space="0" w:color="auto"/>
            </w:tcBorders>
          </w:tcPr>
          <w:p w14:paraId="57620143"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14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152"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146"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ports are on track to ensure the values of the Great Barrier Reef are protected (refer CO1)</w:t>
            </w:r>
          </w:p>
        </w:tc>
        <w:tc>
          <w:tcPr>
            <w:tcW w:w="790" w:type="dxa"/>
            <w:tcBorders>
              <w:top w:val="single" w:sz="4" w:space="0" w:color="auto"/>
              <w:left w:val="single" w:sz="4" w:space="0" w:color="auto"/>
              <w:bottom w:val="single" w:sz="4" w:space="0" w:color="auto"/>
              <w:right w:val="single" w:sz="4" w:space="0" w:color="auto"/>
            </w:tcBorders>
          </w:tcPr>
          <w:p w14:paraId="57620147"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148" w14:textId="77777777" w:rsidR="00A56EE9" w:rsidRPr="00E70A11" w:rsidRDefault="00A56EE9" w:rsidP="00A11869">
            <w:pPr>
              <w:numPr>
                <w:ilvl w:val="0"/>
                <w:numId w:val="92"/>
              </w:numPr>
              <w:tabs>
                <w:tab w:val="clear" w:pos="360"/>
              </w:tabs>
              <w:spacing w:before="40" w:after="40" w:line="240" w:lineRule="auto"/>
              <w:ind w:left="388"/>
              <w:rPr>
                <w:rFonts w:ascii="Arial Narrow" w:hAnsi="Arial Narrow"/>
                <w:sz w:val="18"/>
                <w:szCs w:val="18"/>
              </w:rPr>
            </w:pPr>
            <w:r w:rsidRPr="00E70A11">
              <w:rPr>
                <w:rFonts w:ascii="Arial Narrow" w:hAnsi="Arial Narrow"/>
                <w:sz w:val="18"/>
                <w:szCs w:val="18"/>
              </w:rPr>
              <w:t>The values that exist within ports have generally been maintained; ongoing management is required.</w:t>
            </w:r>
          </w:p>
          <w:p w14:paraId="57620149" w14:textId="77777777" w:rsidR="00A56EE9" w:rsidRPr="00E70A11" w:rsidRDefault="00A56EE9" w:rsidP="00A11869">
            <w:pPr>
              <w:pStyle w:val="ListParagraph"/>
              <w:numPr>
                <w:ilvl w:val="0"/>
                <w:numId w:val="92"/>
              </w:numPr>
              <w:spacing w:after="0" w:line="240" w:lineRule="auto"/>
              <w:jc w:val="both"/>
              <w:rPr>
                <w:rFonts w:ascii="Arial Narrow" w:hAnsi="Arial Narrow" w:cs="AdvGulliv-R"/>
                <w:color w:val="000000" w:themeColor="text1"/>
                <w:sz w:val="18"/>
                <w:szCs w:val="18"/>
              </w:rPr>
            </w:pPr>
            <w:r w:rsidRPr="00E70A11">
              <w:rPr>
                <w:rFonts w:ascii="Arial Narrow" w:hAnsi="Arial Narrow"/>
                <w:sz w:val="18"/>
                <w:szCs w:val="18"/>
              </w:rPr>
              <w:t>A clear strategic development and management plan has been developed specifically for Ports in the GBR region, incorporating the specific objective of protecting GBR World Heritage Values.</w:t>
            </w:r>
          </w:p>
          <w:p w14:paraId="5762014A" w14:textId="77777777" w:rsidR="00A56EE9" w:rsidRPr="00E70A11" w:rsidRDefault="00A56EE9" w:rsidP="00A11869">
            <w:pPr>
              <w:pStyle w:val="ListParagraph"/>
              <w:numPr>
                <w:ilvl w:val="0"/>
                <w:numId w:val="92"/>
              </w:numPr>
              <w:spacing w:after="0" w:line="240" w:lineRule="auto"/>
              <w:jc w:val="both"/>
              <w:rPr>
                <w:rStyle w:val="BookTitle"/>
                <w:rFonts w:ascii="Arial Narrow" w:hAnsi="Arial Narrow" w:cs="AdvGulliv-R"/>
                <w:color w:val="000000" w:themeColor="text1"/>
                <w:sz w:val="18"/>
                <w:szCs w:val="18"/>
              </w:rPr>
            </w:pPr>
            <w:r w:rsidRPr="00E70A11">
              <w:rPr>
                <w:rFonts w:ascii="Arial Narrow" w:hAnsi="Arial Narrow"/>
                <w:sz w:val="18"/>
                <w:szCs w:val="18"/>
              </w:rPr>
              <w:t>Delineation of clear objectives for the ongoing operations of ports would be beneficial to ensure effective management of matters which may have implications for the protection of the GBR World Heritage Area.</w:t>
            </w:r>
          </w:p>
        </w:tc>
        <w:tc>
          <w:tcPr>
            <w:tcW w:w="5066" w:type="dxa"/>
            <w:tcBorders>
              <w:top w:val="single" w:sz="4" w:space="0" w:color="auto"/>
              <w:left w:val="single" w:sz="4" w:space="0" w:color="auto"/>
              <w:bottom w:val="single" w:sz="4" w:space="0" w:color="auto"/>
              <w:right w:val="single" w:sz="4" w:space="0" w:color="auto"/>
            </w:tcBorders>
          </w:tcPr>
          <w:p w14:paraId="5762014B" w14:textId="77777777" w:rsidR="00A56EE9" w:rsidRPr="00E70A11" w:rsidRDefault="008B5998" w:rsidP="00A11869">
            <w:pPr>
              <w:pStyle w:val="ListBullet"/>
              <w:numPr>
                <w:ilvl w:val="0"/>
                <w:numId w:val="93"/>
              </w:numPr>
              <w:autoSpaceDE w:val="0"/>
              <w:autoSpaceDN w:val="0"/>
              <w:adjustRightInd w:val="0"/>
              <w:spacing w:line="240" w:lineRule="auto"/>
              <w:rPr>
                <w:color w:val="000000" w:themeColor="text1"/>
              </w:rPr>
            </w:pPr>
            <w:hyperlink r:id="rId1565" w:history="1">
              <w:r w:rsidR="00A56EE9" w:rsidRPr="00E70A11">
                <w:rPr>
                  <w:rStyle w:val="Hyperlink"/>
                  <w:color w:val="000000" w:themeColor="text1"/>
                </w:rPr>
                <w:t>Synthesis of current knowledge of the biophysical impacts of dredging and disposal on the Great Barrier Reef: report of an independent panel of experts</w:t>
              </w:r>
            </w:hyperlink>
          </w:p>
          <w:p w14:paraId="5762014C" w14:textId="77777777" w:rsidR="00A56EE9" w:rsidRPr="00E70A11" w:rsidRDefault="00A56EE9" w:rsidP="00A11869">
            <w:pPr>
              <w:pStyle w:val="ListBullet"/>
              <w:numPr>
                <w:ilvl w:val="0"/>
                <w:numId w:val="93"/>
              </w:numPr>
              <w:autoSpaceDE w:val="0"/>
              <w:autoSpaceDN w:val="0"/>
              <w:adjustRightInd w:val="0"/>
              <w:spacing w:line="240" w:lineRule="auto"/>
              <w:rPr>
                <w:rStyle w:val="Hyperlink"/>
                <w:color w:val="000000" w:themeColor="text1"/>
              </w:rPr>
            </w:pPr>
            <w:r w:rsidRPr="00E70A11">
              <w:rPr>
                <w:color w:val="000000" w:themeColor="text1"/>
              </w:rPr>
              <w:t xml:space="preserve">GBRMP </w:t>
            </w:r>
            <w:hyperlink r:id="rId1566" w:tgtFrame="_blank" w:history="1">
              <w:r w:rsidRPr="00E70A11">
                <w:rPr>
                  <w:rStyle w:val="Hyperlink"/>
                  <w:color w:val="000000" w:themeColor="text1"/>
                </w:rPr>
                <w:t>Dredging and spoil disposal policy</w:t>
              </w:r>
            </w:hyperlink>
          </w:p>
          <w:p w14:paraId="5762014D" w14:textId="77777777" w:rsidR="00A56EE9" w:rsidRPr="00E70A11" w:rsidRDefault="00A56EE9" w:rsidP="00A11869">
            <w:pPr>
              <w:pStyle w:val="ListBullet"/>
              <w:numPr>
                <w:ilvl w:val="0"/>
                <w:numId w:val="93"/>
              </w:numPr>
              <w:autoSpaceDE w:val="0"/>
              <w:autoSpaceDN w:val="0"/>
              <w:adjustRightInd w:val="0"/>
              <w:spacing w:line="240" w:lineRule="auto"/>
              <w:rPr>
                <w:rStyle w:val="Hyperlink"/>
                <w:color w:val="000000" w:themeColor="text1"/>
              </w:rPr>
            </w:pPr>
            <w:r w:rsidRPr="00E70A11">
              <w:rPr>
                <w:color w:val="000000" w:themeColor="text1"/>
              </w:rPr>
              <w:t>Updating MoU between QPA &amp; GBRMPA</w:t>
            </w:r>
          </w:p>
          <w:p w14:paraId="5762014E" w14:textId="77777777" w:rsidR="00A56EE9" w:rsidRPr="00E70A11" w:rsidRDefault="008B5998" w:rsidP="00A11869">
            <w:pPr>
              <w:pStyle w:val="ListBullet"/>
              <w:numPr>
                <w:ilvl w:val="0"/>
                <w:numId w:val="93"/>
              </w:numPr>
              <w:autoSpaceDE w:val="0"/>
              <w:autoSpaceDN w:val="0"/>
              <w:adjustRightInd w:val="0"/>
              <w:spacing w:line="240" w:lineRule="auto"/>
              <w:rPr>
                <w:rStyle w:val="Hyperlink"/>
                <w:color w:val="000000" w:themeColor="text1"/>
              </w:rPr>
            </w:pPr>
            <w:hyperlink r:id="rId1567" w:history="1">
              <w:r w:rsidR="00A56EE9" w:rsidRPr="00E70A11">
                <w:rPr>
                  <w:rStyle w:val="Hyperlink"/>
                  <w:color w:val="000000" w:themeColor="text1"/>
                </w:rPr>
                <w:t>Reef 2050 Integrated Monitoring and Reporting Program</w:t>
              </w:r>
            </w:hyperlink>
          </w:p>
          <w:p w14:paraId="5762014F" w14:textId="77777777" w:rsidR="00A56EE9" w:rsidRPr="00E70A11" w:rsidRDefault="00A56EE9" w:rsidP="00BB6AD5">
            <w:pPr>
              <w:jc w:val="both"/>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20150"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15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15A"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153"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ports are reducing the major risks and the threats to the Great Barrier Reef</w:t>
            </w:r>
          </w:p>
        </w:tc>
        <w:tc>
          <w:tcPr>
            <w:tcW w:w="790" w:type="dxa"/>
            <w:tcBorders>
              <w:top w:val="single" w:sz="4" w:space="0" w:color="auto"/>
              <w:left w:val="single" w:sz="4" w:space="0" w:color="auto"/>
              <w:bottom w:val="single" w:sz="4" w:space="0" w:color="auto"/>
              <w:right w:val="single" w:sz="4" w:space="0" w:color="auto"/>
            </w:tcBorders>
          </w:tcPr>
          <w:p w14:paraId="57620154"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20155" w14:textId="33C80253" w:rsidR="00A56EE9" w:rsidRPr="00E70A11" w:rsidRDefault="00A56EE9" w:rsidP="00A11869">
            <w:pPr>
              <w:pStyle w:val="ListParagraph"/>
              <w:numPr>
                <w:ilvl w:val="0"/>
                <w:numId w:val="107"/>
              </w:numPr>
              <w:tabs>
                <w:tab w:val="clear" w:pos="720"/>
              </w:tabs>
              <w:autoSpaceDE w:val="0"/>
              <w:autoSpaceDN w:val="0"/>
              <w:adjustRightInd w:val="0"/>
              <w:spacing w:after="0" w:line="240" w:lineRule="auto"/>
              <w:ind w:left="360"/>
              <w:rPr>
                <w:rFonts w:ascii="Arial Narrow" w:hAnsi="Arial Narrow" w:cs="Arial Narrow"/>
                <w:color w:val="000000" w:themeColor="text1"/>
                <w:sz w:val="18"/>
                <w:szCs w:val="18"/>
              </w:rPr>
            </w:pPr>
            <w:r w:rsidRPr="00E70A11">
              <w:rPr>
                <w:rFonts w:ascii="Arial Narrow" w:hAnsi="Arial Narrow"/>
                <w:sz w:val="18"/>
                <w:szCs w:val="18"/>
              </w:rPr>
              <w:t xml:space="preserve">The outputs from the port master planning processes </w:t>
            </w:r>
            <w:r w:rsidR="00A80228">
              <w:rPr>
                <w:rFonts w:ascii="Arial Narrow" w:hAnsi="Arial Narrow"/>
                <w:sz w:val="18"/>
                <w:szCs w:val="18"/>
              </w:rPr>
              <w:t>aim to</w:t>
            </w:r>
            <w:r w:rsidR="00407498">
              <w:rPr>
                <w:rFonts w:ascii="Arial Narrow" w:hAnsi="Arial Narrow"/>
                <w:sz w:val="18"/>
                <w:szCs w:val="18"/>
              </w:rPr>
              <w:t xml:space="preserve"> </w:t>
            </w:r>
            <w:r w:rsidR="00A80228" w:rsidRPr="00E70A11">
              <w:rPr>
                <w:rFonts w:ascii="Arial Narrow" w:hAnsi="Arial Narrow"/>
                <w:sz w:val="18"/>
                <w:szCs w:val="18"/>
              </w:rPr>
              <w:t>reduc</w:t>
            </w:r>
            <w:r w:rsidR="00A80228">
              <w:rPr>
                <w:rFonts w:ascii="Arial Narrow" w:hAnsi="Arial Narrow"/>
                <w:sz w:val="18"/>
                <w:szCs w:val="18"/>
              </w:rPr>
              <w:t>e</w:t>
            </w:r>
            <w:r w:rsidR="00A80228" w:rsidRPr="00E70A11">
              <w:rPr>
                <w:rFonts w:ascii="Arial Narrow" w:hAnsi="Arial Narrow"/>
                <w:sz w:val="18"/>
                <w:szCs w:val="18"/>
              </w:rPr>
              <w:t xml:space="preserve"> </w:t>
            </w:r>
            <w:r w:rsidRPr="00E70A11">
              <w:rPr>
                <w:rFonts w:ascii="Arial Narrow" w:hAnsi="Arial Narrow"/>
                <w:sz w:val="18"/>
                <w:szCs w:val="18"/>
              </w:rPr>
              <w:t>the major risks and threats from port developments, particularly in relation to the prohibition of the establishment of new ports</w:t>
            </w:r>
            <w:r w:rsidR="00407498">
              <w:rPr>
                <w:rFonts w:ascii="Arial Narrow" w:hAnsi="Arial Narrow"/>
                <w:sz w:val="18"/>
                <w:szCs w:val="18"/>
              </w:rPr>
              <w:t>,</w:t>
            </w:r>
            <w:r w:rsidRPr="00E70A11">
              <w:rPr>
                <w:rFonts w:ascii="Arial Narrow" w:hAnsi="Arial Narrow"/>
                <w:sz w:val="18"/>
                <w:szCs w:val="18"/>
              </w:rPr>
              <w:t xml:space="preserve"> controls on the expansion of existing ports</w:t>
            </w:r>
            <w:r w:rsidR="00407498">
              <w:rPr>
                <w:rFonts w:ascii="Arial Narrow" w:hAnsi="Arial Narrow"/>
                <w:sz w:val="18"/>
                <w:szCs w:val="18"/>
              </w:rPr>
              <w:t xml:space="preserve"> and</w:t>
            </w:r>
            <w:r w:rsidR="00407498" w:rsidRPr="00407498">
              <w:t xml:space="preserve"> </w:t>
            </w:r>
            <w:r w:rsidR="00407498" w:rsidRPr="00407498">
              <w:rPr>
                <w:rFonts w:ascii="Arial Narrow" w:hAnsi="Arial Narrow"/>
                <w:sz w:val="18"/>
                <w:szCs w:val="18"/>
              </w:rPr>
              <w:t>banning offshore disposal of capital dredging</w:t>
            </w:r>
            <w:r w:rsidRPr="00E70A11">
              <w:rPr>
                <w:rFonts w:ascii="Arial Narrow" w:hAnsi="Arial Narrow"/>
                <w:sz w:val="18"/>
                <w:szCs w:val="18"/>
              </w:rPr>
              <w:t>.</w:t>
            </w:r>
          </w:p>
          <w:p w14:paraId="57620156" w14:textId="77777777" w:rsidR="00A56EE9" w:rsidRPr="00E70A11" w:rsidRDefault="00A56EE9" w:rsidP="00A11869">
            <w:pPr>
              <w:pStyle w:val="ListParagraph"/>
              <w:numPr>
                <w:ilvl w:val="0"/>
                <w:numId w:val="107"/>
              </w:numPr>
              <w:tabs>
                <w:tab w:val="clear" w:pos="720"/>
              </w:tabs>
              <w:autoSpaceDE w:val="0"/>
              <w:autoSpaceDN w:val="0"/>
              <w:adjustRightInd w:val="0"/>
              <w:spacing w:after="0" w:line="240" w:lineRule="auto"/>
              <w:ind w:left="360"/>
              <w:rPr>
                <w:rStyle w:val="BookTitle"/>
                <w:rFonts w:ascii="Arial Narrow" w:hAnsi="Arial Narrow" w:cs="Arial Narrow"/>
                <w:color w:val="000000" w:themeColor="text1"/>
                <w:sz w:val="18"/>
                <w:szCs w:val="18"/>
              </w:rPr>
            </w:pPr>
            <w:r w:rsidRPr="00E70A11">
              <w:rPr>
                <w:rFonts w:ascii="Arial Narrow" w:hAnsi="Arial Narrow"/>
                <w:sz w:val="18"/>
                <w:szCs w:val="18"/>
              </w:rPr>
              <w:t>See comment in OC2 – steps for managing potential risks to the GBR from port operations need to be clearly articulated.</w:t>
            </w:r>
          </w:p>
        </w:tc>
        <w:tc>
          <w:tcPr>
            <w:tcW w:w="5066" w:type="dxa"/>
            <w:tcBorders>
              <w:top w:val="single" w:sz="4" w:space="0" w:color="auto"/>
              <w:left w:val="single" w:sz="4" w:space="0" w:color="auto"/>
              <w:bottom w:val="single" w:sz="4" w:space="0" w:color="auto"/>
              <w:right w:val="single" w:sz="4" w:space="0" w:color="auto"/>
            </w:tcBorders>
          </w:tcPr>
          <w:p w14:paraId="57620157"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20158" w14:textId="77777777" w:rsidR="00A56EE9" w:rsidRPr="00E70A11" w:rsidRDefault="00A56EE9" w:rsidP="00BB6AD5">
            <w:pPr>
              <w:pStyle w:val="Tablebulletlist"/>
              <w:rPr>
                <w:rStyle w:val="BookTitle"/>
              </w:rPr>
            </w:pPr>
            <w:r w:rsidRPr="00E70A11">
              <w:rPr>
                <w:rStyle w:val="BookTitle"/>
              </w:rPr>
              <w:t xml:space="preserve">Adequate </w:t>
            </w:r>
          </w:p>
        </w:tc>
        <w:tc>
          <w:tcPr>
            <w:tcW w:w="914" w:type="dxa"/>
            <w:tcBorders>
              <w:top w:val="single" w:sz="4" w:space="0" w:color="auto"/>
              <w:left w:val="single" w:sz="4" w:space="0" w:color="auto"/>
              <w:bottom w:val="single" w:sz="4" w:space="0" w:color="auto"/>
              <w:right w:val="single" w:sz="4" w:space="0" w:color="auto"/>
            </w:tcBorders>
          </w:tcPr>
          <w:p w14:paraId="5762015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171"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15B"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ports is demonstrably environmentally sustainable</w:t>
            </w:r>
          </w:p>
        </w:tc>
        <w:tc>
          <w:tcPr>
            <w:tcW w:w="790" w:type="dxa"/>
            <w:tcBorders>
              <w:top w:val="single" w:sz="4" w:space="0" w:color="auto"/>
              <w:left w:val="single" w:sz="4" w:space="0" w:color="auto"/>
              <w:bottom w:val="single" w:sz="4" w:space="0" w:color="auto"/>
              <w:right w:val="single" w:sz="4" w:space="0" w:color="auto"/>
            </w:tcBorders>
          </w:tcPr>
          <w:p w14:paraId="5762015C"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2015D" w14:textId="77777777" w:rsidR="00A56EE9" w:rsidRPr="00E70A11" w:rsidRDefault="00A56EE9" w:rsidP="00A11869">
            <w:pPr>
              <w:pStyle w:val="ListBullet"/>
              <w:numPr>
                <w:ilvl w:val="0"/>
                <w:numId w:val="106"/>
              </w:numPr>
              <w:autoSpaceDE w:val="0"/>
              <w:autoSpaceDN w:val="0"/>
              <w:adjustRightInd w:val="0"/>
              <w:spacing w:line="240" w:lineRule="auto"/>
            </w:pPr>
            <w:r w:rsidRPr="00E70A11">
              <w:rPr>
                <w:rFonts w:cs="Arial"/>
              </w:rPr>
              <w:t>On the basis of available data and anecdotal evidence, it is reasonable to conclude that any effects are localised, and hence likely to be sustainable, at current levels of port activity, in the context of the GBR Region.</w:t>
            </w:r>
          </w:p>
          <w:p w14:paraId="5762015E" w14:textId="77777777" w:rsidR="00A56EE9" w:rsidRPr="00E70A11" w:rsidRDefault="00A56EE9" w:rsidP="00A11869">
            <w:pPr>
              <w:pStyle w:val="ListBullet"/>
              <w:numPr>
                <w:ilvl w:val="0"/>
                <w:numId w:val="106"/>
              </w:numPr>
              <w:autoSpaceDE w:val="0"/>
              <w:autoSpaceDN w:val="0"/>
              <w:adjustRightInd w:val="0"/>
              <w:spacing w:line="240" w:lineRule="auto"/>
            </w:pPr>
            <w:r w:rsidRPr="00E70A11">
              <w:rPr>
                <w:rFonts w:cs="Arial"/>
              </w:rPr>
              <w:t>The need remains to improve baseline knowledge and data monitoring and analyses, and improve the coordination in the synthesis and dissemination of this information.</w:t>
            </w:r>
          </w:p>
          <w:p w14:paraId="5762015F" w14:textId="77777777" w:rsidR="00A56EE9" w:rsidRPr="00E70A11" w:rsidRDefault="00A56EE9" w:rsidP="00A11869">
            <w:pPr>
              <w:pStyle w:val="ListParagraph"/>
              <w:numPr>
                <w:ilvl w:val="0"/>
                <w:numId w:val="106"/>
              </w:numPr>
              <w:spacing w:after="0" w:line="240" w:lineRule="auto"/>
              <w:jc w:val="both"/>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The Reef 2050 Plan is implementing actions to limit the impact of ports and dredging. The Sustainable Ports Development Act 2015 have significantly strengthened standards and practices at GBR Ports. The legislation has restricted capital dredging to the four major existing ports in the Region (which excludes Cairns where exemptions apply), banned the disposal of capital dredge spoil within the Great Barrier Reef World Heritage Area, and mandated the development of master plans for all four priority ports.</w:t>
            </w:r>
          </w:p>
        </w:tc>
        <w:tc>
          <w:tcPr>
            <w:tcW w:w="5066" w:type="dxa"/>
            <w:tcBorders>
              <w:top w:val="single" w:sz="4" w:space="0" w:color="auto"/>
              <w:left w:val="single" w:sz="4" w:space="0" w:color="auto"/>
              <w:bottom w:val="single" w:sz="4" w:space="0" w:color="auto"/>
              <w:right w:val="single" w:sz="4" w:space="0" w:color="auto"/>
            </w:tcBorders>
          </w:tcPr>
          <w:p w14:paraId="57620160" w14:textId="77777777" w:rsidR="00A56EE9" w:rsidRPr="00E70A11" w:rsidRDefault="008B5998" w:rsidP="00A11869">
            <w:pPr>
              <w:pStyle w:val="ListParagraph"/>
              <w:numPr>
                <w:ilvl w:val="0"/>
                <w:numId w:val="116"/>
              </w:numPr>
              <w:spacing w:after="0" w:line="240" w:lineRule="auto"/>
              <w:ind w:left="398" w:hanging="452"/>
              <w:jc w:val="both"/>
              <w:rPr>
                <w:rStyle w:val="Hyperlink"/>
                <w:rFonts w:ascii="Arial Narrow" w:hAnsi="Arial Narrow"/>
                <w:color w:val="000000" w:themeColor="text1"/>
                <w:sz w:val="18"/>
                <w:szCs w:val="18"/>
              </w:rPr>
            </w:pPr>
            <w:hyperlink r:id="rId1568" w:history="1">
              <w:r w:rsidR="00A56EE9" w:rsidRPr="00E70A11">
                <w:rPr>
                  <w:rStyle w:val="Hyperlink"/>
                  <w:rFonts w:ascii="Arial Narrow" w:hAnsi="Arial Narrow"/>
                  <w:color w:val="000000" w:themeColor="text1"/>
                  <w:sz w:val="18"/>
                  <w:szCs w:val="18"/>
                </w:rPr>
                <w:t>GBR Region Strategic Assessment Report</w:t>
              </w:r>
            </w:hyperlink>
            <w:r w:rsidR="00A56EE9" w:rsidRPr="00E70A11">
              <w:rPr>
                <w:rStyle w:val="Hyperlink"/>
                <w:rFonts w:ascii="Arial Narrow" w:hAnsi="Arial Narrow"/>
                <w:color w:val="000000" w:themeColor="text1"/>
                <w:sz w:val="18"/>
                <w:szCs w:val="18"/>
              </w:rPr>
              <w:t xml:space="preserve"> (2014), Chapter 5 Drivers and Activities </w:t>
            </w:r>
          </w:p>
          <w:p w14:paraId="57620161" w14:textId="77777777" w:rsidR="00A56EE9" w:rsidRPr="00E70A11" w:rsidRDefault="008B5998" w:rsidP="00A11869">
            <w:pPr>
              <w:pStyle w:val="ListParagraph"/>
              <w:numPr>
                <w:ilvl w:val="0"/>
                <w:numId w:val="116"/>
              </w:numPr>
              <w:spacing w:after="0" w:line="240" w:lineRule="auto"/>
              <w:ind w:left="398" w:hanging="452"/>
              <w:jc w:val="both"/>
              <w:rPr>
                <w:rStyle w:val="Hyperlink"/>
                <w:rFonts w:ascii="Arial Narrow" w:hAnsi="Arial Narrow"/>
                <w:color w:val="000000" w:themeColor="text1"/>
                <w:sz w:val="18"/>
                <w:szCs w:val="18"/>
              </w:rPr>
            </w:pPr>
            <w:hyperlink r:id="rId1569" w:history="1">
              <w:r w:rsidR="00A56EE9" w:rsidRPr="00E70A11">
                <w:rPr>
                  <w:rStyle w:val="Hyperlink"/>
                  <w:rFonts w:ascii="Arial Narrow" w:hAnsi="Arial Narrow"/>
                  <w:color w:val="000000" w:themeColor="text1"/>
                  <w:sz w:val="18"/>
                  <w:szCs w:val="18"/>
                </w:rPr>
                <w:t>GBR Region Strategic Assessment Report</w:t>
              </w:r>
            </w:hyperlink>
            <w:r w:rsidR="00A56EE9" w:rsidRPr="00E70A11">
              <w:rPr>
                <w:rStyle w:val="Hyperlink"/>
                <w:rFonts w:ascii="Arial Narrow" w:hAnsi="Arial Narrow"/>
                <w:color w:val="000000" w:themeColor="text1"/>
                <w:sz w:val="18"/>
                <w:szCs w:val="18"/>
              </w:rPr>
              <w:t xml:space="preserve"> (2014), Chapter 6 Impacts on the Values</w:t>
            </w:r>
            <w:r w:rsidR="00A56EE9">
              <w:rPr>
                <w:rStyle w:val="Hyperlink"/>
                <w:rFonts w:ascii="Arial Narrow" w:hAnsi="Arial Narrow"/>
                <w:color w:val="000000" w:themeColor="text1"/>
                <w:sz w:val="18"/>
                <w:szCs w:val="18"/>
              </w:rPr>
              <w:t xml:space="preserve"> </w:t>
            </w:r>
          </w:p>
          <w:p w14:paraId="57620162" w14:textId="77777777" w:rsidR="00A56EE9" w:rsidRPr="00E70A11" w:rsidRDefault="008B5998" w:rsidP="00A11869">
            <w:pPr>
              <w:pStyle w:val="ListParagraph"/>
              <w:numPr>
                <w:ilvl w:val="0"/>
                <w:numId w:val="116"/>
              </w:numPr>
              <w:spacing w:after="0" w:line="240" w:lineRule="auto"/>
              <w:ind w:left="398" w:hanging="452"/>
              <w:jc w:val="both"/>
              <w:rPr>
                <w:rStyle w:val="Hyperlink"/>
                <w:rFonts w:ascii="Arial Narrow" w:hAnsi="Arial Narrow"/>
                <w:color w:val="000000" w:themeColor="text1"/>
                <w:sz w:val="18"/>
                <w:szCs w:val="18"/>
              </w:rPr>
            </w:pPr>
            <w:hyperlink r:id="rId1570" w:history="1">
              <w:r w:rsidR="00A56EE9" w:rsidRPr="00E70A11">
                <w:rPr>
                  <w:rStyle w:val="Hyperlink"/>
                  <w:rFonts w:ascii="Arial Narrow" w:hAnsi="Arial Narrow"/>
                  <w:color w:val="000000" w:themeColor="text1"/>
                  <w:sz w:val="18"/>
                  <w:szCs w:val="18"/>
                </w:rPr>
                <w:t>GBR Region Strategic Assessment Report</w:t>
              </w:r>
            </w:hyperlink>
            <w:r w:rsidR="00A56EE9" w:rsidRPr="00E70A11">
              <w:rPr>
                <w:rStyle w:val="Hyperlink"/>
                <w:rFonts w:ascii="Arial Narrow" w:hAnsi="Arial Narrow"/>
                <w:color w:val="000000" w:themeColor="text1"/>
                <w:sz w:val="18"/>
                <w:szCs w:val="18"/>
              </w:rPr>
              <w:t xml:space="preserve"> (2014), Chapter 7 Current conditions and Trends. </w:t>
            </w:r>
          </w:p>
          <w:p w14:paraId="57620163" w14:textId="77777777" w:rsidR="00A56EE9" w:rsidRPr="00E70A11" w:rsidRDefault="008B5998" w:rsidP="00A11869">
            <w:pPr>
              <w:pStyle w:val="ListBullet"/>
              <w:numPr>
                <w:ilvl w:val="0"/>
                <w:numId w:val="116"/>
              </w:numPr>
              <w:autoSpaceDE w:val="0"/>
              <w:autoSpaceDN w:val="0"/>
              <w:adjustRightInd w:val="0"/>
              <w:spacing w:line="240" w:lineRule="auto"/>
              <w:ind w:left="398" w:hanging="452"/>
              <w:rPr>
                <w:color w:val="000000" w:themeColor="text1"/>
              </w:rPr>
            </w:pPr>
            <w:hyperlink r:id="rId1571" w:history="1">
              <w:r w:rsidR="00A56EE9" w:rsidRPr="00E70A11">
                <w:rPr>
                  <w:rStyle w:val="Hyperlink"/>
                  <w:color w:val="000000" w:themeColor="text1"/>
                </w:rPr>
                <w:t>Ecologically sustainable development of ports and shipping</w:t>
              </w:r>
            </w:hyperlink>
          </w:p>
          <w:p w14:paraId="57620164" w14:textId="753CA413" w:rsidR="00A56EE9" w:rsidRPr="00E70A11" w:rsidRDefault="00A56EE9" w:rsidP="00A11869">
            <w:pPr>
              <w:pStyle w:val="ListBullet"/>
              <w:numPr>
                <w:ilvl w:val="0"/>
                <w:numId w:val="116"/>
              </w:numPr>
              <w:autoSpaceDE w:val="0"/>
              <w:autoSpaceDN w:val="0"/>
              <w:adjustRightInd w:val="0"/>
              <w:spacing w:line="240" w:lineRule="auto"/>
              <w:ind w:left="398" w:hanging="452"/>
              <w:rPr>
                <w:color w:val="000000" w:themeColor="text1"/>
              </w:rPr>
            </w:pPr>
            <w:r w:rsidRPr="00E70A11">
              <w:rPr>
                <w:color w:val="000000" w:themeColor="text1"/>
              </w:rPr>
              <w:t xml:space="preserve">Gladstone Healthy Harbour Partnership </w:t>
            </w:r>
            <w:hyperlink r:id="rId1572" w:tooltip="document link" w:history="1">
              <w:r w:rsidRPr="00E70A11">
                <w:rPr>
                  <w:rStyle w:val="Hyperlink"/>
                  <w:color w:val="000000" w:themeColor="text1"/>
                </w:rPr>
                <w:t>http://www.ehp.qld.gov.au/gladstone/healthy-harbour/</w:t>
              </w:r>
            </w:hyperlink>
            <w:r w:rsidRPr="00E70A11">
              <w:rPr>
                <w:color w:val="000000" w:themeColor="text1"/>
              </w:rPr>
              <w:t xml:space="preserve"> </w:t>
            </w:r>
          </w:p>
          <w:p w14:paraId="57620165" w14:textId="77777777" w:rsidR="00A56EE9" w:rsidRPr="00E70A11" w:rsidRDefault="008B5998" w:rsidP="00A11869">
            <w:pPr>
              <w:pStyle w:val="ListBullet"/>
              <w:numPr>
                <w:ilvl w:val="0"/>
                <w:numId w:val="116"/>
              </w:numPr>
              <w:autoSpaceDE w:val="0"/>
              <w:autoSpaceDN w:val="0"/>
              <w:adjustRightInd w:val="0"/>
              <w:spacing w:line="240" w:lineRule="auto"/>
              <w:ind w:left="398" w:hanging="452"/>
              <w:rPr>
                <w:color w:val="000000" w:themeColor="text1"/>
              </w:rPr>
            </w:pPr>
            <w:hyperlink r:id="rId1573" w:history="1">
              <w:r w:rsidR="00A56EE9" w:rsidRPr="00E70A11">
                <w:rPr>
                  <w:rStyle w:val="Hyperlink"/>
                  <w:color w:val="000000" w:themeColor="text1"/>
                </w:rPr>
                <w:t>Gladstone environmental monitoring</w:t>
              </w:r>
            </w:hyperlink>
            <w:r w:rsidR="00A56EE9" w:rsidRPr="00E70A11">
              <w:rPr>
                <w:color w:val="000000" w:themeColor="text1"/>
              </w:rPr>
              <w:t xml:space="preserve"> ( http://www.ehp.qld.gov.au/gladstone/index.html ) </w:t>
            </w:r>
          </w:p>
          <w:p w14:paraId="57620166" w14:textId="77777777" w:rsidR="00A56EE9" w:rsidRPr="00E70A11" w:rsidRDefault="008B5998" w:rsidP="00A11869">
            <w:pPr>
              <w:pStyle w:val="ListBullet"/>
              <w:numPr>
                <w:ilvl w:val="0"/>
                <w:numId w:val="116"/>
              </w:numPr>
              <w:autoSpaceDE w:val="0"/>
              <w:autoSpaceDN w:val="0"/>
              <w:adjustRightInd w:val="0"/>
              <w:spacing w:line="240" w:lineRule="auto"/>
              <w:ind w:left="398" w:hanging="452"/>
              <w:rPr>
                <w:color w:val="000000" w:themeColor="text1"/>
              </w:rPr>
            </w:pPr>
            <w:hyperlink r:id="rId1574" w:history="1">
              <w:r w:rsidR="00A56EE9" w:rsidRPr="00E70A11">
                <w:rPr>
                  <w:rStyle w:val="Hyperlink"/>
                  <w:color w:val="000000" w:themeColor="text1"/>
                </w:rPr>
                <w:t>Independent Review of the Port of Gladstone - Report on findings</w:t>
              </w:r>
            </w:hyperlink>
          </w:p>
          <w:p w14:paraId="57620167" w14:textId="77777777" w:rsidR="00A56EE9" w:rsidRPr="00E70A11" w:rsidRDefault="008B5998" w:rsidP="00A11869">
            <w:pPr>
              <w:pStyle w:val="ListParagraph"/>
              <w:numPr>
                <w:ilvl w:val="0"/>
                <w:numId w:val="116"/>
              </w:numPr>
              <w:spacing w:after="200" w:line="240" w:lineRule="auto"/>
              <w:ind w:left="398" w:hanging="452"/>
              <w:rPr>
                <w:rFonts w:ascii="Arial Narrow" w:hAnsi="Arial Narrow"/>
                <w:color w:val="000000" w:themeColor="text1"/>
                <w:sz w:val="18"/>
                <w:szCs w:val="18"/>
                <w:lang w:val="en"/>
              </w:rPr>
            </w:pPr>
            <w:hyperlink r:id="rId1575" w:history="1">
              <w:r w:rsidR="00A56EE9" w:rsidRPr="00E70A11">
                <w:rPr>
                  <w:rStyle w:val="Hyperlink"/>
                  <w:rFonts w:ascii="Arial Narrow" w:hAnsi="Arial Narrow"/>
                  <w:color w:val="000000" w:themeColor="text1"/>
                  <w:sz w:val="18"/>
                  <w:szCs w:val="18"/>
                  <w:lang w:val="en"/>
                </w:rPr>
                <w:t>State Party Report on the state of conservation of the Great Barrier Reef World Heritage Area (Australia) 2015</w:t>
              </w:r>
            </w:hyperlink>
          </w:p>
          <w:p w14:paraId="57620168" w14:textId="77777777" w:rsidR="00A56EE9" w:rsidRPr="00E70A11" w:rsidRDefault="008B5998" w:rsidP="00A11869">
            <w:pPr>
              <w:pStyle w:val="ListParagraph"/>
              <w:numPr>
                <w:ilvl w:val="0"/>
                <w:numId w:val="116"/>
              </w:numPr>
              <w:spacing w:after="200" w:line="240" w:lineRule="auto"/>
              <w:ind w:left="398" w:hanging="452"/>
              <w:rPr>
                <w:rStyle w:val="Hyperlink"/>
                <w:rFonts w:ascii="Arial Narrow" w:hAnsi="Arial Narrow"/>
                <w:color w:val="000000" w:themeColor="text1"/>
                <w:sz w:val="18"/>
                <w:szCs w:val="18"/>
              </w:rPr>
            </w:pPr>
            <w:hyperlink r:id="rId1576" w:history="1">
              <w:r w:rsidR="00A56EE9" w:rsidRPr="00E70A11">
                <w:rPr>
                  <w:rStyle w:val="Hyperlink"/>
                  <w:rFonts w:ascii="Arial Narrow" w:hAnsi="Arial Narrow"/>
                  <w:color w:val="000000" w:themeColor="text1"/>
                  <w:sz w:val="18"/>
                  <w:szCs w:val="18"/>
                </w:rPr>
                <w:t>Reef 2050 Integrated Monitoring and Reporting Program</w:t>
              </w:r>
            </w:hyperlink>
          </w:p>
          <w:p w14:paraId="57620169" w14:textId="77777777" w:rsidR="00A56EE9" w:rsidRPr="00E70A11" w:rsidRDefault="008B5998" w:rsidP="00A11869">
            <w:pPr>
              <w:pStyle w:val="ListParagraph"/>
              <w:numPr>
                <w:ilvl w:val="0"/>
                <w:numId w:val="116"/>
              </w:numPr>
              <w:spacing w:after="0" w:line="240" w:lineRule="auto"/>
              <w:ind w:left="398" w:hanging="452"/>
              <w:jc w:val="both"/>
              <w:rPr>
                <w:rFonts w:ascii="Arial Narrow" w:hAnsi="Arial Narrow"/>
                <w:color w:val="000000" w:themeColor="text1"/>
                <w:sz w:val="18"/>
                <w:szCs w:val="18"/>
              </w:rPr>
            </w:pPr>
            <w:hyperlink r:id="rId1577" w:history="1">
              <w:r w:rsidR="00A56EE9" w:rsidRPr="00E70A11">
                <w:rPr>
                  <w:rStyle w:val="Hyperlink"/>
                  <w:rFonts w:ascii="Arial Narrow" w:hAnsi="Arial Narrow"/>
                  <w:i/>
                  <w:iCs/>
                  <w:color w:val="000000" w:themeColor="text1"/>
                  <w:sz w:val="18"/>
                  <w:szCs w:val="18"/>
                </w:rPr>
                <w:t>Dredging and Australian Ports – tropical and subtropical ports</w:t>
              </w:r>
            </w:hyperlink>
          </w:p>
          <w:p w14:paraId="5762016A" w14:textId="77777777" w:rsidR="00A56EE9" w:rsidRPr="00E70A11" w:rsidRDefault="008B5998" w:rsidP="00A11869">
            <w:pPr>
              <w:pStyle w:val="ListParagraph"/>
              <w:numPr>
                <w:ilvl w:val="0"/>
                <w:numId w:val="116"/>
              </w:numPr>
              <w:spacing w:after="0" w:line="240" w:lineRule="auto"/>
              <w:ind w:left="398" w:hanging="452"/>
              <w:jc w:val="both"/>
              <w:rPr>
                <w:rFonts w:ascii="Arial Narrow" w:hAnsi="Arial Narrow"/>
                <w:color w:val="000000" w:themeColor="text1"/>
                <w:sz w:val="18"/>
                <w:szCs w:val="18"/>
              </w:rPr>
            </w:pPr>
            <w:hyperlink r:id="rId1578" w:history="1">
              <w:r w:rsidR="00A56EE9" w:rsidRPr="00E70A11">
                <w:rPr>
                  <w:rStyle w:val="Hyperlink"/>
                  <w:rFonts w:ascii="Arial Narrow" w:hAnsi="Arial Narrow"/>
                  <w:i/>
                  <w:iCs/>
                  <w:color w:val="000000" w:themeColor="text1"/>
                  <w:sz w:val="18"/>
                  <w:szCs w:val="18"/>
                </w:rPr>
                <w:t>Environmental Code of Practice for Dredging and Dredge Material Management</w:t>
              </w:r>
            </w:hyperlink>
          </w:p>
          <w:p w14:paraId="5762016B" w14:textId="77777777" w:rsidR="00A56EE9" w:rsidRPr="00E70A11" w:rsidRDefault="008B5998" w:rsidP="00A11869">
            <w:pPr>
              <w:pStyle w:val="ListParagraph"/>
              <w:numPr>
                <w:ilvl w:val="0"/>
                <w:numId w:val="116"/>
              </w:numPr>
              <w:spacing w:after="200" w:line="276" w:lineRule="auto"/>
              <w:ind w:left="398" w:hanging="452"/>
              <w:rPr>
                <w:rStyle w:val="Hyperlink"/>
                <w:rFonts w:ascii="Arial Narrow" w:hAnsi="Arial Narrow"/>
                <w:color w:val="000000" w:themeColor="text1"/>
                <w:sz w:val="18"/>
                <w:szCs w:val="18"/>
              </w:rPr>
            </w:pPr>
            <w:hyperlink r:id="rId1579" w:history="1">
              <w:r w:rsidR="00A56EE9" w:rsidRPr="00E70A11">
                <w:rPr>
                  <w:rStyle w:val="Hyperlink"/>
                  <w:rFonts w:ascii="Arial Narrow" w:hAnsi="Arial Narrow"/>
                  <w:color w:val="000000" w:themeColor="text1"/>
                  <w:sz w:val="18"/>
                  <w:szCs w:val="18"/>
                </w:rPr>
                <w:t>Reef 2050 Integrated Monitoring and Reporting Program</w:t>
              </w:r>
            </w:hyperlink>
          </w:p>
          <w:p w14:paraId="5762016C" w14:textId="77777777" w:rsidR="00A56EE9" w:rsidRPr="00E70A11" w:rsidRDefault="00A56EE9" w:rsidP="00A11869">
            <w:pPr>
              <w:pStyle w:val="ListParagraph"/>
              <w:numPr>
                <w:ilvl w:val="0"/>
                <w:numId w:val="116"/>
              </w:numPr>
              <w:spacing w:after="0" w:line="240" w:lineRule="auto"/>
              <w:ind w:left="398" w:hanging="452"/>
              <w:jc w:val="both"/>
              <w:rPr>
                <w:rFonts w:ascii="Arial Narrow" w:hAnsi="Arial Narrow"/>
                <w:color w:val="000000" w:themeColor="text1"/>
                <w:sz w:val="18"/>
                <w:szCs w:val="18"/>
              </w:rPr>
            </w:pPr>
            <w:r w:rsidRPr="00E70A11">
              <w:rPr>
                <w:rStyle w:val="BookTitle"/>
                <w:rFonts w:ascii="Arial Narrow" w:hAnsi="Arial Narrow"/>
                <w:color w:val="000000" w:themeColor="text1"/>
                <w:sz w:val="18"/>
                <w:szCs w:val="18"/>
              </w:rPr>
              <w:t>Sustainable Ports Development Act 2015</w:t>
            </w:r>
          </w:p>
          <w:p w14:paraId="5762016D" w14:textId="77777777" w:rsidR="00A56EE9" w:rsidRPr="00E70A11" w:rsidRDefault="008B5998" w:rsidP="00A11869">
            <w:pPr>
              <w:pStyle w:val="ListParagraph"/>
              <w:numPr>
                <w:ilvl w:val="0"/>
                <w:numId w:val="116"/>
              </w:numPr>
              <w:spacing w:after="0" w:line="240" w:lineRule="auto"/>
              <w:ind w:left="398" w:hanging="452"/>
              <w:jc w:val="both"/>
              <w:rPr>
                <w:rFonts w:ascii="Arial Narrow" w:hAnsi="Arial Narrow"/>
                <w:color w:val="000000" w:themeColor="text1"/>
                <w:sz w:val="18"/>
                <w:szCs w:val="18"/>
              </w:rPr>
            </w:pPr>
            <w:hyperlink r:id="rId1580" w:history="1">
              <w:r w:rsidR="00A56EE9" w:rsidRPr="00E70A11">
                <w:rPr>
                  <w:rStyle w:val="Hyperlink"/>
                  <w:rFonts w:ascii="Arial Narrow" w:hAnsi="Arial Narrow"/>
                  <w:color w:val="000000" w:themeColor="text1"/>
                  <w:sz w:val="18"/>
                  <w:szCs w:val="18"/>
                </w:rPr>
                <w:t>Reef 2050 Plan Investment Framework</w:t>
              </w:r>
            </w:hyperlink>
          </w:p>
          <w:p w14:paraId="5762016E" w14:textId="77777777" w:rsidR="00A56EE9" w:rsidRPr="00E70A11" w:rsidRDefault="008B5998" w:rsidP="00A11869">
            <w:pPr>
              <w:pStyle w:val="ListParagraph"/>
              <w:numPr>
                <w:ilvl w:val="0"/>
                <w:numId w:val="24"/>
              </w:numPr>
              <w:spacing w:after="0" w:line="276" w:lineRule="auto"/>
              <w:ind w:left="398" w:hanging="452"/>
              <w:rPr>
                <w:rStyle w:val="BookTitle"/>
                <w:rFonts w:ascii="Arial Narrow" w:hAnsi="Arial Narrow"/>
                <w:color w:val="000000" w:themeColor="text1"/>
                <w:sz w:val="18"/>
                <w:szCs w:val="18"/>
              </w:rPr>
            </w:pPr>
            <w:hyperlink r:id="rId1581" w:history="1">
              <w:r w:rsidR="00A56EE9" w:rsidRPr="00E70A11">
                <w:rPr>
                  <w:rStyle w:val="Hyperlink"/>
                  <w:rFonts w:ascii="Arial Narrow" w:hAnsi="Arial Narrow"/>
                  <w:color w:val="000000" w:themeColor="text1"/>
                  <w:sz w:val="18"/>
                  <w:szCs w:val="18"/>
                </w:rPr>
                <w:t>Reef 2050 Long-Term Sustainability Plan</w:t>
              </w:r>
            </w:hyperlink>
          </w:p>
        </w:tc>
        <w:tc>
          <w:tcPr>
            <w:tcW w:w="984" w:type="dxa"/>
            <w:tcBorders>
              <w:top w:val="single" w:sz="4" w:space="0" w:color="auto"/>
              <w:left w:val="single" w:sz="4" w:space="0" w:color="auto"/>
              <w:bottom w:val="single" w:sz="4" w:space="0" w:color="auto"/>
              <w:right w:val="single" w:sz="4" w:space="0" w:color="auto"/>
            </w:tcBorders>
          </w:tcPr>
          <w:p w14:paraId="5762016F"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170"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185"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172"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ports is demonstrably economically sustainable</w:t>
            </w:r>
          </w:p>
        </w:tc>
        <w:tc>
          <w:tcPr>
            <w:tcW w:w="790" w:type="dxa"/>
            <w:tcBorders>
              <w:top w:val="single" w:sz="4" w:space="0" w:color="auto"/>
              <w:left w:val="single" w:sz="4" w:space="0" w:color="auto"/>
              <w:bottom w:val="single" w:sz="4" w:space="0" w:color="auto"/>
              <w:right w:val="single" w:sz="4" w:space="0" w:color="auto"/>
            </w:tcBorders>
          </w:tcPr>
          <w:p w14:paraId="57620173"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20174" w14:textId="77777777" w:rsidR="00A56EE9" w:rsidRPr="00E70A11" w:rsidRDefault="00A56EE9" w:rsidP="00A11869">
            <w:pPr>
              <w:numPr>
                <w:ilvl w:val="0"/>
                <w:numId w:val="91"/>
              </w:numPr>
              <w:spacing w:after="0" w:line="240" w:lineRule="auto"/>
              <w:ind w:left="357" w:hanging="357"/>
              <w:jc w:val="both"/>
              <w:rPr>
                <w:rFonts w:ascii="Arial Narrow" w:hAnsi="Arial Narrow"/>
                <w:color w:val="000000" w:themeColor="text1"/>
                <w:sz w:val="18"/>
                <w:szCs w:val="18"/>
              </w:rPr>
            </w:pPr>
            <w:r w:rsidRPr="00E70A11">
              <w:rPr>
                <w:rFonts w:ascii="Arial Narrow" w:hAnsi="Arial Narrow"/>
                <w:sz w:val="18"/>
                <w:szCs w:val="18"/>
              </w:rPr>
              <w:t>Significant data are available which indicate the regional and national economic value of GBR ports, indicating their economic sustainability in current and reasonably foreseeable market and trade conditions.</w:t>
            </w:r>
          </w:p>
          <w:p w14:paraId="57620175" w14:textId="77777777" w:rsidR="00A56EE9" w:rsidRPr="00E70A11" w:rsidRDefault="00A56EE9" w:rsidP="00A11869">
            <w:pPr>
              <w:numPr>
                <w:ilvl w:val="0"/>
                <w:numId w:val="91"/>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Benefits accrue from ports across the linked, broader transport networks, with enhanced outcomes for regional economies.</w:t>
            </w:r>
          </w:p>
          <w:p w14:paraId="57620176" w14:textId="77777777" w:rsidR="00A56EE9" w:rsidRPr="00E70A11" w:rsidRDefault="00A56EE9" w:rsidP="00A11869">
            <w:pPr>
              <w:numPr>
                <w:ilvl w:val="0"/>
                <w:numId w:val="91"/>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 xml:space="preserve">Additional benefits accrue to reef-dependent industries (e.g. marine tourism, cruise ships) from the ports (as a non-reef dependent industry) being able to accommodate their visits. </w:t>
            </w:r>
          </w:p>
          <w:p w14:paraId="57620177" w14:textId="77777777" w:rsidR="00A56EE9" w:rsidRPr="00E70A11" w:rsidRDefault="00A56EE9" w:rsidP="00A11869">
            <w:pPr>
              <w:numPr>
                <w:ilvl w:val="0"/>
                <w:numId w:val="91"/>
              </w:numPr>
              <w:spacing w:after="0" w:line="240" w:lineRule="auto"/>
              <w:jc w:val="both"/>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The economic costs associated with the ban on disposal of capital dredge material in the GBRWHA has meant significant increased costs to Ports Corporations and governments.</w:t>
            </w:r>
          </w:p>
        </w:tc>
        <w:tc>
          <w:tcPr>
            <w:tcW w:w="5066" w:type="dxa"/>
            <w:tcBorders>
              <w:top w:val="single" w:sz="4" w:space="0" w:color="auto"/>
              <w:left w:val="single" w:sz="4" w:space="0" w:color="auto"/>
              <w:bottom w:val="single" w:sz="4" w:space="0" w:color="auto"/>
              <w:right w:val="single" w:sz="4" w:space="0" w:color="auto"/>
            </w:tcBorders>
          </w:tcPr>
          <w:p w14:paraId="57620178" w14:textId="77777777" w:rsidR="00A56EE9" w:rsidRPr="00E70A11" w:rsidRDefault="008B5998" w:rsidP="00A11869">
            <w:pPr>
              <w:pStyle w:val="ListParagraph"/>
              <w:numPr>
                <w:ilvl w:val="0"/>
                <w:numId w:val="112"/>
              </w:numPr>
              <w:spacing w:after="0" w:line="240" w:lineRule="auto"/>
              <w:jc w:val="both"/>
              <w:rPr>
                <w:rFonts w:ascii="Arial Narrow" w:hAnsi="Arial Narrow"/>
                <w:color w:val="000000" w:themeColor="text1"/>
                <w:sz w:val="18"/>
                <w:szCs w:val="18"/>
              </w:rPr>
            </w:pPr>
            <w:hyperlink r:id="rId1582" w:history="1">
              <w:r w:rsidR="00A56EE9" w:rsidRPr="00E70A11">
                <w:rPr>
                  <w:rStyle w:val="Hyperlink"/>
                  <w:rFonts w:ascii="Arial Narrow" w:hAnsi="Arial Narrow"/>
                  <w:color w:val="000000" w:themeColor="text1"/>
                  <w:sz w:val="18"/>
                  <w:szCs w:val="18"/>
                </w:rPr>
                <w:t>Resources and Energy Quarterly</w:t>
              </w:r>
            </w:hyperlink>
            <w:r w:rsidR="00A56EE9" w:rsidRPr="00E70A11">
              <w:rPr>
                <w:rFonts w:ascii="Arial Narrow" w:hAnsi="Arial Narrow"/>
                <w:color w:val="000000" w:themeColor="text1"/>
                <w:sz w:val="18"/>
                <w:szCs w:val="18"/>
              </w:rPr>
              <w:t xml:space="preserve">, DIIS (Cth) </w:t>
            </w:r>
          </w:p>
          <w:p w14:paraId="57620179" w14:textId="77777777" w:rsidR="00A56EE9" w:rsidRPr="00E70A11" w:rsidRDefault="008B5998" w:rsidP="00A11869">
            <w:pPr>
              <w:pStyle w:val="ListParagraph"/>
              <w:numPr>
                <w:ilvl w:val="0"/>
                <w:numId w:val="112"/>
              </w:numPr>
              <w:spacing w:after="0" w:line="240" w:lineRule="auto"/>
              <w:ind w:left="357" w:hanging="357"/>
              <w:rPr>
                <w:rFonts w:ascii="Arial Narrow" w:hAnsi="Arial Narrow"/>
                <w:color w:val="000000" w:themeColor="text1"/>
                <w:sz w:val="18"/>
                <w:szCs w:val="18"/>
              </w:rPr>
            </w:pPr>
            <w:hyperlink r:id="rId1583" w:history="1">
              <w:r w:rsidR="00A56EE9" w:rsidRPr="00E70A11">
                <w:rPr>
                  <w:rStyle w:val="Hyperlink"/>
                  <w:rFonts w:ascii="Arial Narrow" w:hAnsi="Arial Narrow"/>
                  <w:color w:val="000000" w:themeColor="text1"/>
                  <w:sz w:val="18"/>
                  <w:szCs w:val="18"/>
                </w:rPr>
                <w:t>State of the Environment Report 2016</w:t>
              </w:r>
            </w:hyperlink>
            <w:r w:rsidR="00A56EE9" w:rsidRPr="00E70A11">
              <w:rPr>
                <w:rFonts w:ascii="Arial Narrow" w:hAnsi="Arial Narrow"/>
                <w:color w:val="000000" w:themeColor="text1"/>
                <w:sz w:val="18"/>
                <w:szCs w:val="18"/>
              </w:rPr>
              <w:t xml:space="preserve"> </w:t>
            </w:r>
          </w:p>
          <w:p w14:paraId="5762017A" w14:textId="77777777" w:rsidR="00A56EE9" w:rsidRPr="00E70A11" w:rsidRDefault="00A56EE9" w:rsidP="00A11869">
            <w:pPr>
              <w:pStyle w:val="ListBullet"/>
              <w:numPr>
                <w:ilvl w:val="0"/>
                <w:numId w:val="112"/>
              </w:numPr>
              <w:spacing w:line="240" w:lineRule="auto"/>
              <w:rPr>
                <w:rStyle w:val="Hyperlink"/>
                <w:color w:val="000000" w:themeColor="text1"/>
                <w:lang w:val="en"/>
              </w:rPr>
            </w:pPr>
            <w:r w:rsidRPr="00E70A11">
              <w:rPr>
                <w:color w:val="000000" w:themeColor="text1"/>
                <w:lang w:val="en"/>
              </w:rPr>
              <w:t xml:space="preserve">Deloitte Access Economics Report </w:t>
            </w:r>
            <w:hyperlink r:id="rId1584" w:tooltip="Economic contribution of the Great Barrier Reef March 2013" w:history="1">
              <w:r w:rsidRPr="00E70A11">
                <w:rPr>
                  <w:rStyle w:val="Hyperlink"/>
                  <w:color w:val="000000" w:themeColor="text1"/>
                  <w:lang w:val="en"/>
                </w:rPr>
                <w:t>Economic contribution of the Great Barrier Reef</w:t>
              </w:r>
            </w:hyperlink>
          </w:p>
          <w:p w14:paraId="5762017B" w14:textId="77777777" w:rsidR="00A56EE9" w:rsidRPr="00E70A11" w:rsidRDefault="008B5998" w:rsidP="00A11869">
            <w:pPr>
              <w:pStyle w:val="ListParagraph"/>
              <w:numPr>
                <w:ilvl w:val="0"/>
                <w:numId w:val="112"/>
              </w:numPr>
              <w:spacing w:after="200" w:line="240" w:lineRule="auto"/>
              <w:rPr>
                <w:rFonts w:ascii="Arial Narrow" w:hAnsi="Arial Narrow"/>
                <w:color w:val="000000" w:themeColor="text1"/>
                <w:sz w:val="18"/>
                <w:szCs w:val="18"/>
              </w:rPr>
            </w:pPr>
            <w:hyperlink r:id="rId1585" w:history="1">
              <w:r w:rsidR="00A56EE9" w:rsidRPr="00E70A11">
                <w:rPr>
                  <w:rStyle w:val="Hyperlink"/>
                  <w:rFonts w:ascii="Arial Narrow" w:hAnsi="Arial Narrow"/>
                  <w:color w:val="000000" w:themeColor="text1"/>
                  <w:sz w:val="18"/>
                  <w:szCs w:val="18"/>
                </w:rPr>
                <w:t>SELTMP 2014 report on ports and shipping.</w:t>
              </w:r>
            </w:hyperlink>
            <w:r w:rsidR="00A56EE9" w:rsidRPr="00E70A11">
              <w:rPr>
                <w:rFonts w:ascii="Arial Narrow" w:hAnsi="Arial Narrow"/>
                <w:color w:val="000000" w:themeColor="text1"/>
                <w:sz w:val="18"/>
                <w:szCs w:val="18"/>
              </w:rPr>
              <w:t xml:space="preserve"> </w:t>
            </w:r>
          </w:p>
          <w:p w14:paraId="5762017C" w14:textId="77777777" w:rsidR="00A56EE9" w:rsidRPr="00E70A11" w:rsidRDefault="00A56EE9" w:rsidP="00A11869">
            <w:pPr>
              <w:pStyle w:val="ListParagraph"/>
              <w:numPr>
                <w:ilvl w:val="0"/>
                <w:numId w:val="112"/>
              </w:numPr>
              <w:spacing w:after="0" w:line="240" w:lineRule="auto"/>
              <w:jc w:val="both"/>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North Queensland Bulk Ports Corporation </w:t>
            </w:r>
            <w:hyperlink r:id="rId1586" w:history="1">
              <w:r w:rsidRPr="00E70A11">
                <w:rPr>
                  <w:rStyle w:val="Hyperlink"/>
                  <w:rFonts w:ascii="Arial Narrow" w:hAnsi="Arial Narrow"/>
                  <w:color w:val="000000" w:themeColor="text1"/>
                  <w:sz w:val="18"/>
                  <w:szCs w:val="18"/>
                </w:rPr>
                <w:t>Annual Report 2015-16</w:t>
              </w:r>
            </w:hyperlink>
          </w:p>
          <w:p w14:paraId="5762017D" w14:textId="77777777" w:rsidR="00A56EE9" w:rsidRPr="00E70A11" w:rsidRDefault="00A56EE9" w:rsidP="00A11869">
            <w:pPr>
              <w:pStyle w:val="ListParagraph"/>
              <w:numPr>
                <w:ilvl w:val="0"/>
                <w:numId w:val="112"/>
              </w:numPr>
              <w:spacing w:after="0" w:line="240" w:lineRule="auto"/>
              <w:jc w:val="both"/>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Port of Townsville Limited </w:t>
            </w:r>
            <w:hyperlink r:id="rId1587" w:history="1">
              <w:r w:rsidRPr="00E70A11">
                <w:rPr>
                  <w:rStyle w:val="Hyperlink"/>
                  <w:rFonts w:ascii="Arial Narrow" w:hAnsi="Arial Narrow"/>
                  <w:color w:val="000000" w:themeColor="text1"/>
                  <w:sz w:val="18"/>
                  <w:szCs w:val="18"/>
                </w:rPr>
                <w:t>Annual Report 15/16</w:t>
              </w:r>
            </w:hyperlink>
          </w:p>
          <w:p w14:paraId="5762017E" w14:textId="77777777" w:rsidR="00A56EE9" w:rsidRPr="00E70A11" w:rsidRDefault="00A56EE9" w:rsidP="00A11869">
            <w:pPr>
              <w:pStyle w:val="ListParagraph"/>
              <w:numPr>
                <w:ilvl w:val="0"/>
                <w:numId w:val="112"/>
              </w:numPr>
              <w:spacing w:after="0" w:line="240" w:lineRule="auto"/>
              <w:jc w:val="both"/>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Gladstone Port Corporation </w:t>
            </w:r>
            <w:hyperlink r:id="rId1588" w:history="1">
              <w:r w:rsidRPr="00E70A11">
                <w:rPr>
                  <w:rStyle w:val="Hyperlink"/>
                  <w:rFonts w:ascii="Arial Narrow" w:hAnsi="Arial Narrow"/>
                  <w:color w:val="000000" w:themeColor="text1"/>
                  <w:sz w:val="18"/>
                  <w:szCs w:val="18"/>
                </w:rPr>
                <w:t>Annual Report 15/16</w:t>
              </w:r>
            </w:hyperlink>
          </w:p>
          <w:p w14:paraId="5762017F" w14:textId="77777777" w:rsidR="00A56EE9" w:rsidRPr="00E70A11" w:rsidRDefault="00A56EE9" w:rsidP="00A11869">
            <w:pPr>
              <w:pStyle w:val="ListParagraph"/>
              <w:numPr>
                <w:ilvl w:val="0"/>
                <w:numId w:val="112"/>
              </w:numPr>
              <w:spacing w:after="0" w:line="240" w:lineRule="auto"/>
              <w:jc w:val="both"/>
              <w:rPr>
                <w:rStyle w:val="Hyperlink"/>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Ports North </w:t>
            </w:r>
            <w:hyperlink r:id="rId1589" w:history="1">
              <w:r w:rsidRPr="00E70A11">
                <w:rPr>
                  <w:rStyle w:val="Hyperlink"/>
                  <w:rFonts w:ascii="Arial Narrow" w:hAnsi="Arial Narrow"/>
                  <w:color w:val="000000" w:themeColor="text1"/>
                  <w:sz w:val="18"/>
                  <w:szCs w:val="18"/>
                </w:rPr>
                <w:t>Annual Report 15/16</w:t>
              </w:r>
            </w:hyperlink>
          </w:p>
          <w:p w14:paraId="57620180" w14:textId="77777777" w:rsidR="00A56EE9" w:rsidRPr="00E70A11" w:rsidRDefault="008B5998" w:rsidP="00A11869">
            <w:pPr>
              <w:pStyle w:val="ListParagraph"/>
              <w:numPr>
                <w:ilvl w:val="0"/>
                <w:numId w:val="112"/>
              </w:numPr>
              <w:spacing w:after="0" w:line="240" w:lineRule="auto"/>
              <w:jc w:val="both"/>
              <w:rPr>
                <w:rStyle w:val="Hyperlink"/>
                <w:rFonts w:ascii="Arial Narrow" w:hAnsi="Arial Narrow"/>
                <w:color w:val="000000" w:themeColor="text1"/>
                <w:sz w:val="18"/>
                <w:szCs w:val="18"/>
              </w:rPr>
            </w:pPr>
            <w:hyperlink r:id="rId1590" w:history="1">
              <w:r w:rsidR="00A56EE9" w:rsidRPr="00E70A11">
                <w:rPr>
                  <w:rStyle w:val="Hyperlink"/>
                  <w:rFonts w:ascii="Arial Narrow" w:hAnsi="Arial Narrow"/>
                  <w:color w:val="000000" w:themeColor="text1"/>
                  <w:sz w:val="18"/>
                  <w:szCs w:val="18"/>
                </w:rPr>
                <w:t>Dredging and Australia Ports – Subtropical and Tropical Ports</w:t>
              </w:r>
            </w:hyperlink>
            <w:r w:rsidR="00A56EE9" w:rsidRPr="00E70A11">
              <w:rPr>
                <w:rStyle w:val="Hyperlink"/>
                <w:rFonts w:ascii="Arial Narrow" w:hAnsi="Arial Narrow"/>
                <w:color w:val="000000" w:themeColor="text1"/>
                <w:sz w:val="18"/>
                <w:szCs w:val="18"/>
              </w:rPr>
              <w:t xml:space="preserve"> – 2014</w:t>
            </w:r>
          </w:p>
          <w:p w14:paraId="57620181" w14:textId="77777777" w:rsidR="00A56EE9" w:rsidRPr="00E70A11" w:rsidRDefault="008B5998" w:rsidP="00A11869">
            <w:pPr>
              <w:pStyle w:val="ListParagraph"/>
              <w:numPr>
                <w:ilvl w:val="0"/>
                <w:numId w:val="112"/>
              </w:numPr>
              <w:spacing w:after="0" w:line="240" w:lineRule="auto"/>
              <w:jc w:val="both"/>
              <w:rPr>
                <w:rFonts w:ascii="Arial Narrow" w:hAnsi="Arial Narrow"/>
                <w:color w:val="000000" w:themeColor="text1"/>
                <w:sz w:val="18"/>
                <w:szCs w:val="18"/>
              </w:rPr>
            </w:pPr>
            <w:hyperlink r:id="rId1591" w:history="1">
              <w:r w:rsidR="00A56EE9" w:rsidRPr="00E70A11">
                <w:rPr>
                  <w:rStyle w:val="Hyperlink"/>
                  <w:rFonts w:ascii="Arial Narrow" w:hAnsi="Arial Narrow"/>
                  <w:color w:val="000000" w:themeColor="text1"/>
                  <w:sz w:val="18"/>
                  <w:szCs w:val="18"/>
                </w:rPr>
                <w:t>Reef 2050 Plan Investment Framework</w:t>
              </w:r>
            </w:hyperlink>
          </w:p>
          <w:p w14:paraId="57620182" w14:textId="77777777" w:rsidR="00A56EE9" w:rsidRPr="00E70A11" w:rsidRDefault="008B5998" w:rsidP="00A11869">
            <w:pPr>
              <w:pStyle w:val="ListParagraph"/>
              <w:numPr>
                <w:ilvl w:val="0"/>
                <w:numId w:val="112"/>
              </w:numPr>
              <w:spacing w:after="0" w:line="240" w:lineRule="auto"/>
              <w:jc w:val="both"/>
              <w:rPr>
                <w:rStyle w:val="BookTitle"/>
                <w:rFonts w:ascii="Arial Narrow" w:hAnsi="Arial Narrow"/>
                <w:color w:val="000000" w:themeColor="text1"/>
                <w:sz w:val="18"/>
                <w:szCs w:val="18"/>
              </w:rPr>
            </w:pPr>
            <w:hyperlink r:id="rId1592" w:history="1">
              <w:r w:rsidR="00A56EE9" w:rsidRPr="00E70A11">
                <w:rPr>
                  <w:rStyle w:val="Hyperlink"/>
                  <w:rFonts w:ascii="Arial Narrow" w:hAnsi="Arial Narrow"/>
                  <w:color w:val="000000" w:themeColor="text1"/>
                  <w:sz w:val="18"/>
                  <w:szCs w:val="18"/>
                </w:rPr>
                <w:t>Reef 2050 Long-Term Sustainability Plan</w:t>
              </w:r>
            </w:hyperlink>
          </w:p>
        </w:tc>
        <w:tc>
          <w:tcPr>
            <w:tcW w:w="984" w:type="dxa"/>
            <w:tcBorders>
              <w:top w:val="single" w:sz="4" w:space="0" w:color="auto"/>
              <w:left w:val="single" w:sz="4" w:space="0" w:color="auto"/>
              <w:bottom w:val="single" w:sz="4" w:space="0" w:color="auto"/>
              <w:right w:val="single" w:sz="4" w:space="0" w:color="auto"/>
            </w:tcBorders>
          </w:tcPr>
          <w:p w14:paraId="57620183"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18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191"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186"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ports is demonstrably socially sustainable understanding and/or enjoyment</w:t>
            </w:r>
          </w:p>
        </w:tc>
        <w:tc>
          <w:tcPr>
            <w:tcW w:w="790" w:type="dxa"/>
            <w:tcBorders>
              <w:top w:val="single" w:sz="4" w:space="0" w:color="auto"/>
              <w:left w:val="single" w:sz="4" w:space="0" w:color="auto"/>
              <w:bottom w:val="single" w:sz="4" w:space="0" w:color="auto"/>
              <w:right w:val="single" w:sz="4" w:space="0" w:color="auto"/>
            </w:tcBorders>
          </w:tcPr>
          <w:p w14:paraId="57620187" w14:textId="77777777" w:rsidR="00A56EE9" w:rsidRPr="00E70A11" w:rsidRDefault="00A56EE9" w:rsidP="00BB6AD5">
            <w:pPr>
              <w:pStyle w:val="Tablebulletlist"/>
              <w:rPr>
                <w:rStyle w:val="BookTitle"/>
              </w:rPr>
            </w:pPr>
            <w:r w:rsidRPr="00E70A11">
              <w:rPr>
                <w:rStyle w:val="BookTitle"/>
              </w:rPr>
              <w:t>3</w:t>
            </w:r>
          </w:p>
        </w:tc>
        <w:tc>
          <w:tcPr>
            <w:tcW w:w="4177" w:type="dxa"/>
            <w:tcBorders>
              <w:top w:val="single" w:sz="4" w:space="0" w:color="auto"/>
              <w:left w:val="single" w:sz="4" w:space="0" w:color="auto"/>
              <w:bottom w:val="single" w:sz="4" w:space="0" w:color="auto"/>
              <w:right w:val="single" w:sz="4" w:space="0" w:color="auto"/>
            </w:tcBorders>
          </w:tcPr>
          <w:p w14:paraId="57620188" w14:textId="77777777" w:rsidR="00A56EE9" w:rsidRPr="00E70A11" w:rsidRDefault="00A56EE9" w:rsidP="00A11869">
            <w:pPr>
              <w:pStyle w:val="ListParagraph"/>
              <w:numPr>
                <w:ilvl w:val="0"/>
                <w:numId w:val="24"/>
              </w:numPr>
              <w:spacing w:after="200" w:line="240" w:lineRule="auto"/>
              <w:ind w:left="357" w:hanging="357"/>
              <w:rPr>
                <w:rFonts w:ascii="Arial Narrow" w:hAnsi="Arial Narrow"/>
                <w:sz w:val="18"/>
                <w:szCs w:val="18"/>
              </w:rPr>
            </w:pPr>
            <w:r w:rsidRPr="00E70A11">
              <w:rPr>
                <w:rFonts w:ascii="Arial Narrow" w:hAnsi="Arial Narrow"/>
                <w:sz w:val="18"/>
                <w:szCs w:val="18"/>
              </w:rPr>
              <w:t>The GBR ports sustain a large number of communities in the Queensland east coast area and interior.</w:t>
            </w:r>
          </w:p>
          <w:p w14:paraId="57620189" w14:textId="77777777" w:rsidR="00A56EE9" w:rsidRPr="00E70A11" w:rsidRDefault="00A56EE9" w:rsidP="00A11869">
            <w:pPr>
              <w:pStyle w:val="ListParagraph"/>
              <w:numPr>
                <w:ilvl w:val="0"/>
                <w:numId w:val="24"/>
              </w:numPr>
              <w:spacing w:after="200" w:line="240" w:lineRule="auto"/>
              <w:ind w:left="357" w:hanging="357"/>
              <w:rPr>
                <w:rFonts w:ascii="Arial Narrow" w:eastAsia="SymbolMT" w:hAnsi="Arial Narrow"/>
                <w:color w:val="000000" w:themeColor="text1"/>
                <w:sz w:val="18"/>
                <w:szCs w:val="18"/>
              </w:rPr>
            </w:pPr>
            <w:r w:rsidRPr="00E70A11">
              <w:rPr>
                <w:rFonts w:ascii="Arial Narrow" w:hAnsi="Arial Narrow"/>
                <w:sz w:val="18"/>
                <w:szCs w:val="18"/>
              </w:rPr>
              <w:t xml:space="preserve">There remain elements of community </w:t>
            </w:r>
            <w:r>
              <w:rPr>
                <w:rFonts w:ascii="Arial Narrow" w:hAnsi="Arial Narrow"/>
                <w:sz w:val="18"/>
                <w:szCs w:val="18"/>
              </w:rPr>
              <w:t>concern</w:t>
            </w:r>
            <w:r w:rsidRPr="00E70A11">
              <w:rPr>
                <w:rFonts w:ascii="Arial Narrow" w:hAnsi="Arial Narrow"/>
                <w:sz w:val="18"/>
                <w:szCs w:val="18"/>
              </w:rPr>
              <w:t xml:space="preserve"> about port development, not necessarily valid. This is intended to be addressed through port master planning process and community engagement practices.</w:t>
            </w:r>
          </w:p>
          <w:p w14:paraId="5762018A" w14:textId="77777777" w:rsidR="00A56EE9" w:rsidRPr="00E70A11" w:rsidRDefault="00A56EE9" w:rsidP="00A11869">
            <w:pPr>
              <w:pStyle w:val="ListParagraph"/>
              <w:numPr>
                <w:ilvl w:val="0"/>
                <w:numId w:val="24"/>
              </w:numPr>
              <w:spacing w:after="200" w:line="240" w:lineRule="auto"/>
              <w:ind w:left="357" w:hanging="357"/>
              <w:rPr>
                <w:rFonts w:ascii="Arial Narrow" w:hAnsi="Arial Narrow"/>
                <w:sz w:val="18"/>
                <w:szCs w:val="18"/>
              </w:rPr>
            </w:pPr>
            <w:r w:rsidRPr="00E70A11">
              <w:rPr>
                <w:rFonts w:ascii="Arial Narrow" w:hAnsi="Arial Narrow"/>
                <w:sz w:val="18"/>
                <w:szCs w:val="18"/>
              </w:rPr>
              <w:t>All but two port areas are outside the Great Barrier Reef Marine Park.</w:t>
            </w:r>
          </w:p>
          <w:p w14:paraId="5762018B" w14:textId="77777777" w:rsidR="00A56EE9" w:rsidRPr="00E70A11" w:rsidRDefault="00A56EE9" w:rsidP="00A11869">
            <w:pPr>
              <w:pStyle w:val="ListParagraph"/>
              <w:numPr>
                <w:ilvl w:val="0"/>
                <w:numId w:val="24"/>
              </w:numPr>
              <w:spacing w:after="200" w:line="240" w:lineRule="auto"/>
              <w:ind w:left="357" w:hanging="357"/>
              <w:rPr>
                <w:rFonts w:ascii="Arial Narrow" w:hAnsi="Arial Narrow"/>
                <w:sz w:val="18"/>
                <w:szCs w:val="18"/>
              </w:rPr>
            </w:pPr>
            <w:r w:rsidRPr="00E70A11">
              <w:rPr>
                <w:rFonts w:ascii="Arial Narrow" w:hAnsi="Arial Narrow"/>
                <w:sz w:val="18"/>
                <w:szCs w:val="18"/>
              </w:rPr>
              <w:t>When the GBRWHA was established at the</w:t>
            </w:r>
            <w:r>
              <w:rPr>
                <w:rFonts w:ascii="Arial Narrow" w:hAnsi="Arial Narrow"/>
                <w:sz w:val="18"/>
                <w:szCs w:val="18"/>
              </w:rPr>
              <w:t xml:space="preserve"> mean</w:t>
            </w:r>
            <w:r w:rsidRPr="00E70A11">
              <w:rPr>
                <w:rFonts w:ascii="Arial Narrow" w:hAnsi="Arial Narrow"/>
                <w:sz w:val="18"/>
                <w:szCs w:val="18"/>
              </w:rPr>
              <w:t xml:space="preserve"> low water mark in 1981 it was acknowledged that ports would be located within the World Heritage Area. This was seen as appropriate and manageable because the World Heritage Convention does not exclude human activities or industrial activities from operating within World Heritage properties. This remains the case.</w:t>
            </w:r>
          </w:p>
          <w:p w14:paraId="5762018C" w14:textId="77777777" w:rsidR="00A56EE9" w:rsidRPr="00E70A11" w:rsidRDefault="00A56EE9" w:rsidP="00A11869">
            <w:pPr>
              <w:pStyle w:val="ListParagraph"/>
              <w:numPr>
                <w:ilvl w:val="0"/>
                <w:numId w:val="24"/>
              </w:numPr>
              <w:spacing w:after="200" w:line="240" w:lineRule="auto"/>
              <w:ind w:left="357" w:hanging="357"/>
              <w:rPr>
                <w:rStyle w:val="BookTitle"/>
                <w:rFonts w:ascii="Arial Narrow" w:hAnsi="Arial Narrow"/>
                <w:color w:val="000000" w:themeColor="text1"/>
                <w:sz w:val="18"/>
                <w:szCs w:val="18"/>
              </w:rPr>
            </w:pPr>
            <w:r w:rsidRPr="00E70A11">
              <w:rPr>
                <w:rFonts w:ascii="Arial Narrow" w:hAnsi="Arial Narrow"/>
                <w:sz w:val="18"/>
                <w:szCs w:val="18"/>
              </w:rPr>
              <w:t>Master planning for Priority Ports is required to identify measures to be implemented within each port to support consistency with the principles of ecologically sustainable development (ESD) which includes environmental, economic and social aspects.</w:t>
            </w:r>
          </w:p>
        </w:tc>
        <w:tc>
          <w:tcPr>
            <w:tcW w:w="5066" w:type="dxa"/>
            <w:tcBorders>
              <w:top w:val="single" w:sz="4" w:space="0" w:color="auto"/>
              <w:left w:val="single" w:sz="4" w:space="0" w:color="auto"/>
              <w:bottom w:val="single" w:sz="4" w:space="0" w:color="auto"/>
              <w:right w:val="single" w:sz="4" w:space="0" w:color="auto"/>
            </w:tcBorders>
          </w:tcPr>
          <w:p w14:paraId="5762018D" w14:textId="77777777" w:rsidR="00A56EE9" w:rsidRPr="00E70A11" w:rsidRDefault="008B5998" w:rsidP="00A11869">
            <w:pPr>
              <w:pStyle w:val="ListParagraph"/>
              <w:numPr>
                <w:ilvl w:val="0"/>
                <w:numId w:val="117"/>
              </w:numPr>
              <w:spacing w:after="0" w:line="240" w:lineRule="auto"/>
              <w:ind w:left="398" w:hanging="398"/>
              <w:jc w:val="both"/>
              <w:rPr>
                <w:rStyle w:val="Hyperlink"/>
                <w:rFonts w:ascii="Arial Narrow" w:hAnsi="Arial Narrow"/>
                <w:color w:val="000000" w:themeColor="text1"/>
                <w:sz w:val="18"/>
                <w:szCs w:val="18"/>
              </w:rPr>
            </w:pPr>
            <w:hyperlink r:id="rId1593" w:history="1">
              <w:r w:rsidR="00A56EE9" w:rsidRPr="00E70A11">
                <w:rPr>
                  <w:rStyle w:val="Hyperlink"/>
                  <w:rFonts w:ascii="Arial Narrow" w:hAnsi="Arial Narrow"/>
                  <w:color w:val="000000" w:themeColor="text1"/>
                  <w:sz w:val="18"/>
                  <w:szCs w:val="18"/>
                </w:rPr>
                <w:t>Master Plans</w:t>
              </w:r>
            </w:hyperlink>
          </w:p>
          <w:p w14:paraId="7DBF2A42" w14:textId="77777777" w:rsidR="00A56EE9" w:rsidRPr="00B10631" w:rsidRDefault="008B5998" w:rsidP="00A11869">
            <w:pPr>
              <w:pStyle w:val="ListBullet"/>
              <w:numPr>
                <w:ilvl w:val="0"/>
                <w:numId w:val="117"/>
              </w:numPr>
              <w:autoSpaceDE w:val="0"/>
              <w:autoSpaceDN w:val="0"/>
              <w:adjustRightInd w:val="0"/>
              <w:spacing w:line="240" w:lineRule="auto"/>
              <w:ind w:left="398" w:hanging="398"/>
              <w:rPr>
                <w:rFonts w:cs="Arial"/>
                <w:color w:val="000000" w:themeColor="text1"/>
              </w:rPr>
            </w:pPr>
            <w:hyperlink r:id="rId1594" w:history="1">
              <w:r w:rsidR="00A56EE9" w:rsidRPr="00E70A11">
                <w:rPr>
                  <w:rStyle w:val="Hyperlink"/>
                  <w:color w:val="000000" w:themeColor="text1"/>
                  <w:lang w:val="en"/>
                </w:rPr>
                <w:t>Bulk Ports Corporation</w:t>
              </w:r>
            </w:hyperlink>
            <w:r w:rsidR="00A56EE9" w:rsidRPr="00E70A11">
              <w:rPr>
                <w:color w:val="000000" w:themeColor="text1"/>
                <w:lang w:val="en"/>
              </w:rPr>
              <w:t xml:space="preserve"> monitoring reports</w:t>
            </w:r>
          </w:p>
          <w:p w14:paraId="5762018E" w14:textId="44B46408" w:rsidR="00A80228" w:rsidRPr="00E70A11" w:rsidRDefault="00A80228" w:rsidP="00A11869">
            <w:pPr>
              <w:pStyle w:val="ListBullet"/>
              <w:numPr>
                <w:ilvl w:val="0"/>
                <w:numId w:val="117"/>
              </w:numPr>
              <w:autoSpaceDE w:val="0"/>
              <w:autoSpaceDN w:val="0"/>
              <w:adjustRightInd w:val="0"/>
              <w:spacing w:line="240" w:lineRule="auto"/>
              <w:ind w:left="398" w:hanging="398"/>
              <w:rPr>
                <w:rStyle w:val="BookTitle"/>
                <w:color w:val="000000" w:themeColor="text1"/>
              </w:rPr>
            </w:pPr>
            <w:r>
              <w:rPr>
                <w:color w:val="000000" w:themeColor="text1"/>
                <w:lang w:val="en"/>
              </w:rPr>
              <w:t>SELTMP reports 2013, 2017</w:t>
            </w:r>
          </w:p>
        </w:tc>
        <w:tc>
          <w:tcPr>
            <w:tcW w:w="984" w:type="dxa"/>
            <w:tcBorders>
              <w:top w:val="single" w:sz="4" w:space="0" w:color="auto"/>
              <w:left w:val="single" w:sz="4" w:space="0" w:color="auto"/>
              <w:bottom w:val="single" w:sz="4" w:space="0" w:color="auto"/>
              <w:right w:val="single" w:sz="4" w:space="0" w:color="auto"/>
            </w:tcBorders>
          </w:tcPr>
          <w:p w14:paraId="5762018F"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190"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1A2" w14:textId="77777777" w:rsidTr="00BB6AD5">
        <w:trPr>
          <w:trHeight w:val="170"/>
        </w:trPr>
        <w:tc>
          <w:tcPr>
            <w:tcW w:w="2857" w:type="dxa"/>
            <w:tcBorders>
              <w:top w:val="single" w:sz="4" w:space="0" w:color="auto"/>
              <w:left w:val="single" w:sz="4" w:space="0" w:color="auto"/>
              <w:bottom w:val="single" w:sz="4" w:space="0" w:color="auto"/>
              <w:right w:val="single" w:sz="4" w:space="0" w:color="auto"/>
            </w:tcBorders>
          </w:tcPr>
          <w:p w14:paraId="57620192"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ports </w:t>
            </w:r>
          </w:p>
        </w:tc>
        <w:tc>
          <w:tcPr>
            <w:tcW w:w="790" w:type="dxa"/>
            <w:tcBorders>
              <w:top w:val="single" w:sz="4" w:space="0" w:color="auto"/>
              <w:left w:val="single" w:sz="4" w:space="0" w:color="auto"/>
              <w:bottom w:val="single" w:sz="4" w:space="0" w:color="auto"/>
              <w:right w:val="single" w:sz="4" w:space="0" w:color="auto"/>
            </w:tcBorders>
          </w:tcPr>
          <w:p w14:paraId="57620193" w14:textId="77777777" w:rsidR="00A56EE9" w:rsidRPr="00E70A11" w:rsidRDefault="00A56EE9" w:rsidP="00BB6AD5">
            <w:pPr>
              <w:pStyle w:val="Tablebulletlist"/>
              <w:rPr>
                <w:rStyle w:val="BookTitle"/>
              </w:rPr>
            </w:pPr>
            <w:r w:rsidRPr="00E70A11">
              <w:rPr>
                <w:rStyle w:val="BookTitle"/>
              </w:rPr>
              <w:t>4</w:t>
            </w:r>
          </w:p>
        </w:tc>
        <w:tc>
          <w:tcPr>
            <w:tcW w:w="4177" w:type="dxa"/>
            <w:tcBorders>
              <w:top w:val="single" w:sz="4" w:space="0" w:color="auto"/>
              <w:left w:val="single" w:sz="4" w:space="0" w:color="auto"/>
              <w:bottom w:val="single" w:sz="4" w:space="0" w:color="auto"/>
              <w:right w:val="single" w:sz="4" w:space="0" w:color="auto"/>
            </w:tcBorders>
          </w:tcPr>
          <w:p w14:paraId="57620194" w14:textId="77777777" w:rsidR="00A56EE9" w:rsidRPr="00E70A11" w:rsidRDefault="00A56EE9" w:rsidP="00A11869">
            <w:pPr>
              <w:pStyle w:val="ListParagraph"/>
              <w:numPr>
                <w:ilvl w:val="0"/>
                <w:numId w:val="24"/>
              </w:numPr>
              <w:spacing w:after="200" w:line="240" w:lineRule="auto"/>
              <w:ind w:left="357" w:hanging="357"/>
              <w:rPr>
                <w:rFonts w:ascii="Arial Narrow" w:eastAsia="SymbolMT" w:hAnsi="Arial Narrow"/>
                <w:color w:val="000000" w:themeColor="text1"/>
                <w:sz w:val="18"/>
                <w:szCs w:val="18"/>
              </w:rPr>
            </w:pPr>
            <w:r w:rsidRPr="00E70A11">
              <w:rPr>
                <w:rFonts w:ascii="Arial Narrow" w:eastAsia="SymbolMT" w:hAnsi="Arial Narrow"/>
                <w:color w:val="000000" w:themeColor="text1"/>
                <w:sz w:val="18"/>
                <w:szCs w:val="18"/>
              </w:rPr>
              <w:t xml:space="preserve">Ports have a Memorandum of Understanding (MoU) with GBRMPA. Under this MoU, ports and GBRMPA meet every six months, with relevant Commonwealth and state government agencies in attendance. </w:t>
            </w:r>
          </w:p>
          <w:p w14:paraId="57620195" w14:textId="77777777" w:rsidR="00A56EE9" w:rsidRPr="00E70A11" w:rsidRDefault="00A56EE9" w:rsidP="00A11869">
            <w:pPr>
              <w:pStyle w:val="ListParagraph"/>
              <w:numPr>
                <w:ilvl w:val="0"/>
                <w:numId w:val="24"/>
              </w:numPr>
              <w:spacing w:after="200" w:line="240" w:lineRule="auto"/>
              <w:ind w:left="357" w:hanging="357"/>
              <w:rPr>
                <w:rFonts w:ascii="Arial Narrow" w:eastAsia="SymbolMT" w:hAnsi="Arial Narrow"/>
                <w:color w:val="000000" w:themeColor="text1"/>
                <w:sz w:val="18"/>
                <w:szCs w:val="18"/>
              </w:rPr>
            </w:pPr>
            <w:r w:rsidRPr="00E70A11">
              <w:rPr>
                <w:rFonts w:ascii="Arial Narrow" w:eastAsia="SymbolMT" w:hAnsi="Arial Narrow"/>
                <w:color w:val="000000" w:themeColor="text1"/>
                <w:sz w:val="18"/>
                <w:szCs w:val="18"/>
              </w:rPr>
              <w:t>Ports and GBRMPA convene meetings to discuss issues as they may arise.</w:t>
            </w:r>
          </w:p>
          <w:p w14:paraId="57620196" w14:textId="77777777" w:rsidR="00A56EE9" w:rsidRPr="00E70A11" w:rsidRDefault="00A56EE9" w:rsidP="00A11869">
            <w:pPr>
              <w:pStyle w:val="ListParagraph"/>
              <w:numPr>
                <w:ilvl w:val="0"/>
                <w:numId w:val="24"/>
              </w:numPr>
              <w:spacing w:after="200" w:line="240" w:lineRule="auto"/>
              <w:ind w:left="357" w:hanging="357"/>
              <w:rPr>
                <w:rFonts w:ascii="Arial Narrow" w:eastAsia="SymbolMT" w:hAnsi="Arial Narrow"/>
                <w:color w:val="000000" w:themeColor="text1"/>
                <w:sz w:val="18"/>
                <w:szCs w:val="18"/>
              </w:rPr>
            </w:pPr>
            <w:r w:rsidRPr="00E70A11">
              <w:rPr>
                <w:rFonts w:ascii="Arial Narrow" w:eastAsia="SymbolMT" w:hAnsi="Arial Narrow"/>
                <w:color w:val="000000" w:themeColor="text1"/>
                <w:sz w:val="18"/>
                <w:szCs w:val="18"/>
              </w:rPr>
              <w:t>GBRMPA staff participate in regional Partnerships (e.g. Gladstone, Mackay-Whitsunday, Townsville and Cairns) with a range of stakeholders and community members to discuss port management issues.</w:t>
            </w:r>
          </w:p>
          <w:p w14:paraId="57620197" w14:textId="77777777" w:rsidR="00A56EE9" w:rsidRPr="00E70A11" w:rsidRDefault="00A56EE9" w:rsidP="00A11869">
            <w:pPr>
              <w:pStyle w:val="ListParagraph"/>
              <w:numPr>
                <w:ilvl w:val="0"/>
                <w:numId w:val="24"/>
              </w:numPr>
              <w:spacing w:after="200" w:line="240" w:lineRule="auto"/>
              <w:ind w:left="357" w:hanging="357"/>
              <w:rPr>
                <w:rFonts w:ascii="Arial Narrow" w:eastAsia="SymbolMT" w:hAnsi="Arial Narrow"/>
                <w:color w:val="000000" w:themeColor="text1"/>
                <w:sz w:val="18"/>
                <w:szCs w:val="18"/>
              </w:rPr>
            </w:pPr>
            <w:r w:rsidRPr="00E70A11">
              <w:rPr>
                <w:rFonts w:ascii="Arial Narrow" w:eastAsia="SymbolMT" w:hAnsi="Arial Narrow"/>
                <w:color w:val="000000" w:themeColor="text1"/>
                <w:sz w:val="18"/>
                <w:szCs w:val="18"/>
              </w:rPr>
              <w:t>Stakeholders are routinely engaged by GBRMPA staff in relation to ports development and operational approvals applications.</w:t>
            </w:r>
          </w:p>
          <w:p w14:paraId="57620198" w14:textId="77777777" w:rsidR="00A56EE9" w:rsidRPr="00E70A11" w:rsidRDefault="00A56EE9" w:rsidP="00A11869">
            <w:pPr>
              <w:pStyle w:val="ListParagraph"/>
              <w:numPr>
                <w:ilvl w:val="0"/>
                <w:numId w:val="24"/>
              </w:numPr>
              <w:spacing w:after="200" w:line="240" w:lineRule="auto"/>
              <w:ind w:left="357" w:hanging="357"/>
              <w:rPr>
                <w:rFonts w:ascii="Arial Narrow" w:eastAsia="SymbolMT" w:hAnsi="Arial Narrow"/>
                <w:color w:val="000000" w:themeColor="text1"/>
                <w:sz w:val="18"/>
                <w:szCs w:val="18"/>
              </w:rPr>
            </w:pPr>
            <w:r w:rsidRPr="00E70A11">
              <w:rPr>
                <w:rFonts w:ascii="Arial Narrow" w:eastAsia="SymbolMT" w:hAnsi="Arial Narrow"/>
                <w:color w:val="000000" w:themeColor="text1"/>
                <w:sz w:val="18"/>
                <w:szCs w:val="18"/>
              </w:rPr>
              <w:t>Community considerations are an intrinsic element of new ports master planning strategy.</w:t>
            </w:r>
          </w:p>
          <w:p w14:paraId="57620199" w14:textId="77777777" w:rsidR="00A56EE9" w:rsidRPr="00E70A11" w:rsidRDefault="00A56EE9" w:rsidP="00A11869">
            <w:pPr>
              <w:pStyle w:val="ListParagraph"/>
              <w:numPr>
                <w:ilvl w:val="0"/>
                <w:numId w:val="24"/>
              </w:numPr>
              <w:spacing w:after="200" w:line="240" w:lineRule="auto"/>
              <w:ind w:left="357" w:hanging="357"/>
              <w:rPr>
                <w:rFonts w:ascii="Arial Narrow" w:eastAsia="SymbolMT" w:hAnsi="Arial Narrow"/>
                <w:color w:val="000000" w:themeColor="text1"/>
                <w:sz w:val="18"/>
                <w:szCs w:val="18"/>
              </w:rPr>
            </w:pPr>
            <w:r w:rsidRPr="00E70A11">
              <w:rPr>
                <w:rFonts w:ascii="Arial Narrow" w:eastAsia="SymbolMT" w:hAnsi="Arial Narrow"/>
                <w:color w:val="000000" w:themeColor="text1"/>
                <w:sz w:val="18"/>
                <w:szCs w:val="18"/>
              </w:rPr>
              <w:t>Ports have established a range of various stakeholder and community fora, some including GBRMPA staff.</w:t>
            </w:r>
          </w:p>
          <w:p w14:paraId="5762019A" w14:textId="77777777" w:rsidR="00A56EE9" w:rsidRPr="00E70A11" w:rsidRDefault="00A56EE9" w:rsidP="00A11869">
            <w:pPr>
              <w:pStyle w:val="ListParagraph"/>
              <w:numPr>
                <w:ilvl w:val="0"/>
                <w:numId w:val="24"/>
              </w:numPr>
              <w:spacing w:after="200" w:line="240" w:lineRule="auto"/>
              <w:ind w:left="357" w:hanging="357"/>
              <w:rPr>
                <w:rFonts w:ascii="Arial Narrow" w:hAnsi="Arial Narrow"/>
                <w:color w:val="000000" w:themeColor="text1"/>
                <w:sz w:val="18"/>
                <w:szCs w:val="18"/>
              </w:rPr>
            </w:pPr>
            <w:r w:rsidRPr="00E70A11">
              <w:rPr>
                <w:rFonts w:ascii="Arial Narrow" w:eastAsia="SymbolMT" w:hAnsi="Arial Narrow"/>
                <w:color w:val="000000" w:themeColor="text1"/>
                <w:sz w:val="18"/>
                <w:szCs w:val="18"/>
              </w:rPr>
              <w:t>GBRMPA’s Local Marine Advisory Committees (LMACs) often contain port representatives.</w:t>
            </w:r>
          </w:p>
          <w:p w14:paraId="5762019B" w14:textId="77777777" w:rsidR="00A56EE9" w:rsidRPr="00E70A11" w:rsidRDefault="00A56EE9" w:rsidP="00A11869">
            <w:pPr>
              <w:pStyle w:val="ListParagraph"/>
              <w:numPr>
                <w:ilvl w:val="0"/>
                <w:numId w:val="24"/>
              </w:numPr>
              <w:spacing w:after="200" w:line="240" w:lineRule="auto"/>
              <w:ind w:left="357" w:hanging="357"/>
              <w:rPr>
                <w:rStyle w:val="BookTitle"/>
                <w:rFonts w:ascii="Arial Narrow" w:hAnsi="Arial Narrow"/>
                <w:color w:val="000000" w:themeColor="text1"/>
                <w:sz w:val="18"/>
                <w:szCs w:val="18"/>
              </w:rPr>
            </w:pPr>
            <w:r w:rsidRPr="00E70A11">
              <w:rPr>
                <w:rFonts w:ascii="Arial Narrow" w:hAnsi="Arial Narrow"/>
                <w:sz w:val="18"/>
                <w:szCs w:val="18"/>
              </w:rPr>
              <w:t>Considering the jurisdictional management arrangements for ports in relation to GBRMPA powers and responsibilities, GBRMPA’s main role in this domain is considered to lay at the strategic level rather than routine port operational management issues.</w:t>
            </w:r>
          </w:p>
        </w:tc>
        <w:tc>
          <w:tcPr>
            <w:tcW w:w="5066" w:type="dxa"/>
            <w:tcBorders>
              <w:top w:val="single" w:sz="4" w:space="0" w:color="auto"/>
              <w:left w:val="single" w:sz="4" w:space="0" w:color="auto"/>
              <w:bottom w:val="single" w:sz="4" w:space="0" w:color="auto"/>
              <w:right w:val="single" w:sz="4" w:space="0" w:color="auto"/>
            </w:tcBorders>
          </w:tcPr>
          <w:p w14:paraId="5762019C" w14:textId="77777777" w:rsidR="00A56EE9" w:rsidRPr="00E70A11" w:rsidRDefault="00A56EE9" w:rsidP="00A11869">
            <w:pPr>
              <w:pStyle w:val="ListParagraph"/>
              <w:numPr>
                <w:ilvl w:val="0"/>
                <w:numId w:val="117"/>
              </w:numPr>
              <w:spacing w:after="0" w:line="240" w:lineRule="auto"/>
              <w:jc w:val="both"/>
              <w:rPr>
                <w:rFonts w:ascii="Arial Narrow" w:hAnsi="Arial Narrow"/>
                <w:color w:val="000000" w:themeColor="text1"/>
                <w:sz w:val="18"/>
                <w:szCs w:val="18"/>
              </w:rPr>
            </w:pPr>
            <w:r w:rsidRPr="00E70A11">
              <w:rPr>
                <w:rFonts w:ascii="Arial Narrow" w:hAnsi="Arial Narrow"/>
                <w:color w:val="000000" w:themeColor="text1"/>
                <w:sz w:val="18"/>
                <w:szCs w:val="18"/>
              </w:rPr>
              <w:t>MoU between Ports and GBRMPA</w:t>
            </w:r>
          </w:p>
          <w:p w14:paraId="5762019D" w14:textId="77777777" w:rsidR="00A56EE9" w:rsidRPr="00E70A11" w:rsidRDefault="00A56EE9" w:rsidP="00A11869">
            <w:pPr>
              <w:pStyle w:val="ListParagraph"/>
              <w:numPr>
                <w:ilvl w:val="0"/>
                <w:numId w:val="117"/>
              </w:numPr>
              <w:spacing w:after="0" w:line="240" w:lineRule="auto"/>
              <w:jc w:val="both"/>
              <w:rPr>
                <w:rFonts w:ascii="Arial Narrow" w:hAnsi="Arial Narrow"/>
                <w:color w:val="000000" w:themeColor="text1"/>
                <w:sz w:val="18"/>
                <w:szCs w:val="18"/>
              </w:rPr>
            </w:pPr>
            <w:r w:rsidRPr="00E70A11">
              <w:rPr>
                <w:rFonts w:ascii="Arial Narrow" w:eastAsia="SymbolMT" w:hAnsi="Arial Narrow"/>
                <w:color w:val="000000" w:themeColor="text1"/>
                <w:sz w:val="18"/>
                <w:szCs w:val="18"/>
              </w:rPr>
              <w:t>Community Reference Groups (CRGs)</w:t>
            </w:r>
          </w:p>
          <w:p w14:paraId="5762019E" w14:textId="77777777" w:rsidR="00A56EE9" w:rsidRPr="00E70A11" w:rsidRDefault="00A56EE9" w:rsidP="00A11869">
            <w:pPr>
              <w:pStyle w:val="ListParagraph"/>
              <w:numPr>
                <w:ilvl w:val="0"/>
                <w:numId w:val="117"/>
              </w:numPr>
              <w:spacing w:after="0" w:line="240" w:lineRule="auto"/>
              <w:jc w:val="both"/>
              <w:rPr>
                <w:rFonts w:ascii="Arial Narrow" w:hAnsi="Arial Narrow"/>
                <w:color w:val="000000" w:themeColor="text1"/>
                <w:sz w:val="18"/>
                <w:szCs w:val="18"/>
              </w:rPr>
            </w:pPr>
            <w:r w:rsidRPr="00E70A11">
              <w:rPr>
                <w:rFonts w:ascii="Arial Narrow" w:eastAsia="SymbolMT" w:hAnsi="Arial Narrow"/>
                <w:color w:val="000000" w:themeColor="text1"/>
                <w:sz w:val="18"/>
                <w:szCs w:val="18"/>
              </w:rPr>
              <w:t>Community Liaison Groups (CLGs)</w:t>
            </w:r>
          </w:p>
          <w:p w14:paraId="5762019F"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4" w:type="dxa"/>
            <w:tcBorders>
              <w:top w:val="single" w:sz="4" w:space="0" w:color="auto"/>
              <w:left w:val="single" w:sz="4" w:space="0" w:color="auto"/>
              <w:bottom w:val="single" w:sz="4" w:space="0" w:color="auto"/>
              <w:right w:val="single" w:sz="4" w:space="0" w:color="auto"/>
            </w:tcBorders>
          </w:tcPr>
          <w:p w14:paraId="576201A0" w14:textId="77777777" w:rsidR="00A56EE9" w:rsidRPr="00E70A11" w:rsidRDefault="00A56EE9" w:rsidP="00BB6AD5">
            <w:pPr>
              <w:pStyle w:val="Tablebulletlist"/>
              <w:rPr>
                <w:rStyle w:val="BookTitle"/>
              </w:rPr>
            </w:pPr>
            <w:r w:rsidRPr="00E70A11">
              <w:rPr>
                <w:rStyle w:val="BookTitle"/>
              </w:rPr>
              <w:t>Adequate</w:t>
            </w:r>
          </w:p>
        </w:tc>
        <w:tc>
          <w:tcPr>
            <w:tcW w:w="914" w:type="dxa"/>
            <w:tcBorders>
              <w:top w:val="single" w:sz="4" w:space="0" w:color="auto"/>
              <w:left w:val="single" w:sz="4" w:space="0" w:color="auto"/>
              <w:bottom w:val="single" w:sz="4" w:space="0" w:color="auto"/>
              <w:right w:val="single" w:sz="4" w:space="0" w:color="auto"/>
            </w:tcBorders>
          </w:tcPr>
          <w:p w14:paraId="576201A1" w14:textId="77777777" w:rsidR="00A56EE9" w:rsidRPr="00E70A11" w:rsidRDefault="00A56EE9" w:rsidP="00BB6AD5">
            <w:pPr>
              <w:pStyle w:val="Tablebulletlist"/>
              <w:rPr>
                <w:rStyle w:val="BookTitle"/>
              </w:rPr>
            </w:pPr>
            <w:r w:rsidRPr="00E70A11">
              <w:rPr>
                <w:rStyle w:val="BookTitle"/>
              </w:rPr>
              <w:t>Improving</w:t>
            </w:r>
          </w:p>
        </w:tc>
      </w:tr>
    </w:tbl>
    <w:p w14:paraId="576201A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br w:type="page"/>
      </w:r>
    </w:p>
    <w:p w14:paraId="576201A4" w14:textId="481BA0F4" w:rsidR="00A56EE9" w:rsidRPr="00E70A11" w:rsidRDefault="00A56EE9" w:rsidP="009C7D6F">
      <w:pPr>
        <w:pStyle w:val="Heading4"/>
      </w:pPr>
      <w:bookmarkStart w:id="221" w:name="_Toc369686754"/>
      <w:bookmarkStart w:id="222" w:name="_Toc522532011"/>
      <w:bookmarkStart w:id="223" w:name="_Toc525654478"/>
      <w:bookmarkStart w:id="224" w:name="_Toc369686755"/>
      <w:r>
        <w:t xml:space="preserve">Table </w:t>
      </w:r>
      <w:r>
        <w:rPr>
          <w:noProof/>
        </w:rPr>
        <w:fldChar w:fldCharType="begin"/>
      </w:r>
      <w:r>
        <w:rPr>
          <w:noProof/>
        </w:rPr>
        <w:instrText xml:space="preserve"> SEQ Table \* ARABIC </w:instrText>
      </w:r>
      <w:r>
        <w:rPr>
          <w:noProof/>
        </w:rPr>
        <w:fldChar w:fldCharType="separate"/>
      </w:r>
      <w:r w:rsidR="00A4170C">
        <w:rPr>
          <w:noProof/>
        </w:rPr>
        <w:t>33</w:t>
      </w:r>
      <w:r>
        <w:rPr>
          <w:noProof/>
        </w:rPr>
        <w:fldChar w:fldCharType="end"/>
      </w:r>
      <w:r>
        <w:t xml:space="preserve"> </w:t>
      </w:r>
      <w:r w:rsidRPr="00E70A11">
        <w:t>Calculation of grades for recreational use (excluding fishing)</w:t>
      </w:r>
      <w:bookmarkEnd w:id="221"/>
      <w:bookmarkEnd w:id="222"/>
      <w:bookmarkEnd w:id="223"/>
    </w:p>
    <w:tbl>
      <w:tblPr>
        <w:tblW w:w="14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33 Calculation of grades for recreational use (excluding fishing)"/>
        <w:tblDescription w:val="Table showing the ratings,  justificaiton and evidence for each of the components for the management effectiveness for recreation (excluding fishing).   Confidence in the assessment and trend since Outlook 2014 is also provided."/>
      </w:tblPr>
      <w:tblGrid>
        <w:gridCol w:w="2830"/>
        <w:gridCol w:w="709"/>
        <w:gridCol w:w="4552"/>
        <w:gridCol w:w="4574"/>
        <w:gridCol w:w="992"/>
        <w:gridCol w:w="955"/>
      </w:tblGrid>
      <w:tr w:rsidR="00A56EE9" w:rsidRPr="00E70A11" w14:paraId="576201AB"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1A5" w14:textId="77777777" w:rsidR="00A56EE9" w:rsidRPr="00E70A11" w:rsidRDefault="00A56EE9" w:rsidP="00BB6AD5">
            <w:pPr>
              <w:pStyle w:val="Tablebulletlist"/>
              <w:rPr>
                <w:rStyle w:val="BookTitle"/>
              </w:rPr>
            </w:pPr>
            <w:r w:rsidRPr="00E70A11">
              <w:rPr>
                <w:rStyle w:val="BookTitle"/>
              </w:rPr>
              <w:t>Component of Management</w:t>
            </w:r>
          </w:p>
        </w:tc>
        <w:tc>
          <w:tcPr>
            <w:tcW w:w="709" w:type="dxa"/>
            <w:tcBorders>
              <w:top w:val="single" w:sz="4" w:space="0" w:color="auto"/>
              <w:left w:val="single" w:sz="4" w:space="0" w:color="auto"/>
              <w:bottom w:val="single" w:sz="4" w:space="0" w:color="auto"/>
              <w:right w:val="single" w:sz="4" w:space="0" w:color="auto"/>
            </w:tcBorders>
          </w:tcPr>
          <w:p w14:paraId="576201A6" w14:textId="77777777" w:rsidR="00A56EE9" w:rsidRPr="00E70A11" w:rsidRDefault="00A56EE9" w:rsidP="00BB6AD5">
            <w:pPr>
              <w:pStyle w:val="Tablebulletlist"/>
              <w:rPr>
                <w:rStyle w:val="BookTitle"/>
              </w:rPr>
            </w:pPr>
            <w:r w:rsidRPr="00E70A11">
              <w:rPr>
                <w:rStyle w:val="BookTitle"/>
              </w:rPr>
              <w:t>Rating</w:t>
            </w:r>
          </w:p>
        </w:tc>
        <w:tc>
          <w:tcPr>
            <w:tcW w:w="4552" w:type="dxa"/>
            <w:tcBorders>
              <w:top w:val="single" w:sz="4" w:space="0" w:color="auto"/>
              <w:left w:val="single" w:sz="4" w:space="0" w:color="auto"/>
              <w:bottom w:val="single" w:sz="4" w:space="0" w:color="auto"/>
              <w:right w:val="single" w:sz="4" w:space="0" w:color="auto"/>
            </w:tcBorders>
          </w:tcPr>
          <w:p w14:paraId="576201A7" w14:textId="77777777" w:rsidR="00A56EE9" w:rsidRPr="00E70A11" w:rsidRDefault="00A56EE9" w:rsidP="00BB6AD5">
            <w:pPr>
              <w:pStyle w:val="Tablebulletlist"/>
              <w:rPr>
                <w:rStyle w:val="BookTitle"/>
              </w:rPr>
            </w:pPr>
            <w:r w:rsidRPr="00E70A11">
              <w:rPr>
                <w:rStyle w:val="BookTitle"/>
              </w:rPr>
              <w:t>Justification</w:t>
            </w:r>
          </w:p>
        </w:tc>
        <w:tc>
          <w:tcPr>
            <w:tcW w:w="4574" w:type="dxa"/>
            <w:tcBorders>
              <w:top w:val="single" w:sz="4" w:space="0" w:color="auto"/>
              <w:left w:val="single" w:sz="4" w:space="0" w:color="auto"/>
              <w:bottom w:val="single" w:sz="4" w:space="0" w:color="auto"/>
              <w:right w:val="single" w:sz="4" w:space="0" w:color="auto"/>
            </w:tcBorders>
          </w:tcPr>
          <w:p w14:paraId="576201A8" w14:textId="77777777" w:rsidR="00A56EE9" w:rsidRPr="00E70A11" w:rsidRDefault="00A56EE9" w:rsidP="00BB6AD5">
            <w:pPr>
              <w:pStyle w:val="Tablebulletlist"/>
              <w:rPr>
                <w:rStyle w:val="BookTitle"/>
              </w:rPr>
            </w:pPr>
            <w:r w:rsidRPr="00E70A11">
              <w:rPr>
                <w:rStyle w:val="BookTitle"/>
              </w:rPr>
              <w:t>Evidence/sources</w:t>
            </w:r>
          </w:p>
        </w:tc>
        <w:tc>
          <w:tcPr>
            <w:tcW w:w="992" w:type="dxa"/>
            <w:tcBorders>
              <w:top w:val="single" w:sz="4" w:space="0" w:color="auto"/>
              <w:left w:val="single" w:sz="4" w:space="0" w:color="auto"/>
              <w:bottom w:val="single" w:sz="4" w:space="0" w:color="auto"/>
              <w:right w:val="single" w:sz="4" w:space="0" w:color="auto"/>
            </w:tcBorders>
          </w:tcPr>
          <w:p w14:paraId="576201A9" w14:textId="77777777" w:rsidR="00A56EE9" w:rsidRPr="00E70A11" w:rsidRDefault="00A56EE9" w:rsidP="00BB6AD5">
            <w:pPr>
              <w:pStyle w:val="Tablebulletlist"/>
              <w:rPr>
                <w:rStyle w:val="BookTitle"/>
              </w:rPr>
            </w:pPr>
            <w:r w:rsidRPr="00E70A11">
              <w:rPr>
                <w:rStyle w:val="BookTitle"/>
              </w:rPr>
              <w:t>Confidence</w:t>
            </w:r>
          </w:p>
        </w:tc>
        <w:tc>
          <w:tcPr>
            <w:tcW w:w="955" w:type="dxa"/>
            <w:tcBorders>
              <w:top w:val="single" w:sz="4" w:space="0" w:color="auto"/>
              <w:left w:val="single" w:sz="4" w:space="0" w:color="auto"/>
              <w:bottom w:val="single" w:sz="4" w:space="0" w:color="auto"/>
              <w:right w:val="single" w:sz="4" w:space="0" w:color="auto"/>
            </w:tcBorders>
          </w:tcPr>
          <w:p w14:paraId="576201AA"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201B2"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shd w:val="clear" w:color="auto" w:fill="EEECE1"/>
          </w:tcPr>
          <w:p w14:paraId="576201AC" w14:textId="77777777" w:rsidR="00A56EE9" w:rsidRPr="00E70A11" w:rsidRDefault="00A56EE9" w:rsidP="00BB6AD5">
            <w:pPr>
              <w:pStyle w:val="Tablebulletlist"/>
              <w:rPr>
                <w:rStyle w:val="BookTitle"/>
              </w:rPr>
            </w:pPr>
            <w:r w:rsidRPr="00E70A11">
              <w:rPr>
                <w:rStyle w:val="BookTitle"/>
              </w:rPr>
              <w:t>CONTEXT</w:t>
            </w:r>
          </w:p>
        </w:tc>
        <w:tc>
          <w:tcPr>
            <w:tcW w:w="709" w:type="dxa"/>
            <w:tcBorders>
              <w:top w:val="single" w:sz="4" w:space="0" w:color="auto"/>
              <w:left w:val="single" w:sz="4" w:space="0" w:color="auto"/>
              <w:bottom w:val="single" w:sz="4" w:space="0" w:color="auto"/>
              <w:right w:val="single" w:sz="4" w:space="0" w:color="auto"/>
            </w:tcBorders>
            <w:shd w:val="clear" w:color="auto" w:fill="EEECE1"/>
          </w:tcPr>
          <w:p w14:paraId="576201AD" w14:textId="77777777" w:rsidR="00A56EE9" w:rsidRPr="00E70A11" w:rsidRDefault="00A56EE9" w:rsidP="00BB6AD5">
            <w:pPr>
              <w:pStyle w:val="Tablebulletlist"/>
              <w:rPr>
                <w:rStyle w:val="BookTitle"/>
              </w:rPr>
            </w:pPr>
          </w:p>
        </w:tc>
        <w:tc>
          <w:tcPr>
            <w:tcW w:w="4552" w:type="dxa"/>
            <w:tcBorders>
              <w:top w:val="single" w:sz="4" w:space="0" w:color="auto"/>
              <w:left w:val="single" w:sz="4" w:space="0" w:color="auto"/>
              <w:bottom w:val="single" w:sz="4" w:space="0" w:color="auto"/>
              <w:right w:val="single" w:sz="4" w:space="0" w:color="auto"/>
            </w:tcBorders>
            <w:shd w:val="clear" w:color="auto" w:fill="EEECE1"/>
          </w:tcPr>
          <w:p w14:paraId="576201AE" w14:textId="77777777" w:rsidR="00A56EE9" w:rsidRPr="00E70A11" w:rsidRDefault="00A56EE9" w:rsidP="00BB6AD5">
            <w:pPr>
              <w:pStyle w:val="Tablebulletlist"/>
              <w:rPr>
                <w:rStyle w:val="BookTitle"/>
              </w:rPr>
            </w:pPr>
          </w:p>
        </w:tc>
        <w:tc>
          <w:tcPr>
            <w:tcW w:w="4574" w:type="dxa"/>
            <w:tcBorders>
              <w:top w:val="single" w:sz="4" w:space="0" w:color="auto"/>
              <w:left w:val="single" w:sz="4" w:space="0" w:color="auto"/>
              <w:bottom w:val="single" w:sz="4" w:space="0" w:color="auto"/>
              <w:right w:val="single" w:sz="4" w:space="0" w:color="auto"/>
            </w:tcBorders>
            <w:shd w:val="clear" w:color="auto" w:fill="EEECE1"/>
          </w:tcPr>
          <w:p w14:paraId="576201AF" w14:textId="77777777" w:rsidR="00A56EE9" w:rsidRPr="00E70A11" w:rsidRDefault="00A56EE9" w:rsidP="00BB6AD5">
            <w:pPr>
              <w:pStyle w:val="Tablebulletlist"/>
              <w:rPr>
                <w:rStyle w:val="BookTitle"/>
              </w:rPr>
            </w:pPr>
          </w:p>
        </w:tc>
        <w:tc>
          <w:tcPr>
            <w:tcW w:w="992" w:type="dxa"/>
            <w:tcBorders>
              <w:top w:val="single" w:sz="4" w:space="0" w:color="auto"/>
              <w:left w:val="single" w:sz="4" w:space="0" w:color="auto"/>
              <w:bottom w:val="single" w:sz="4" w:space="0" w:color="auto"/>
              <w:right w:val="single" w:sz="4" w:space="0" w:color="auto"/>
            </w:tcBorders>
            <w:shd w:val="clear" w:color="auto" w:fill="EEECE1"/>
          </w:tcPr>
          <w:p w14:paraId="576201B0" w14:textId="77777777" w:rsidR="00A56EE9" w:rsidRPr="00E70A11" w:rsidRDefault="00A56EE9" w:rsidP="00BB6AD5">
            <w:pPr>
              <w:pStyle w:val="Tablebulletlist"/>
              <w:rPr>
                <w:rStyle w:val="BookTitle"/>
              </w:rPr>
            </w:pPr>
          </w:p>
        </w:tc>
        <w:tc>
          <w:tcPr>
            <w:tcW w:w="955" w:type="dxa"/>
            <w:tcBorders>
              <w:top w:val="single" w:sz="4" w:space="0" w:color="auto"/>
              <w:left w:val="single" w:sz="4" w:space="0" w:color="auto"/>
              <w:bottom w:val="single" w:sz="4" w:space="0" w:color="auto"/>
              <w:right w:val="single" w:sz="4" w:space="0" w:color="auto"/>
            </w:tcBorders>
            <w:shd w:val="clear" w:color="auto" w:fill="EEECE1"/>
          </w:tcPr>
          <w:p w14:paraId="576201B1" w14:textId="77777777" w:rsidR="00A56EE9" w:rsidRPr="00E70A11" w:rsidRDefault="00A56EE9" w:rsidP="00BB6AD5">
            <w:pPr>
              <w:pStyle w:val="Tablebulletlist"/>
              <w:rPr>
                <w:rStyle w:val="BookTitle"/>
              </w:rPr>
            </w:pPr>
          </w:p>
        </w:tc>
      </w:tr>
      <w:tr w:rsidR="00A56EE9" w:rsidRPr="00E70A11" w14:paraId="576201C0"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1B3" w14:textId="77777777" w:rsidR="00A56EE9" w:rsidRPr="00E70A11" w:rsidRDefault="00A56EE9" w:rsidP="00BB6AD5">
            <w:pPr>
              <w:pStyle w:val="Tablebulletlist"/>
              <w:rPr>
                <w:rStyle w:val="BookTitle"/>
              </w:rPr>
            </w:pPr>
            <w:r w:rsidRPr="00E70A11">
              <w:rPr>
                <w:rStyle w:val="BookTitle"/>
              </w:rPr>
              <w:t>CO1</w:t>
            </w:r>
            <w:r>
              <w:rPr>
                <w:rStyle w:val="BookTitle"/>
              </w:rPr>
              <w:t xml:space="preserve"> </w:t>
            </w:r>
            <w:r w:rsidRPr="00E70A11">
              <w:rPr>
                <w:rStyle w:val="BookTitle"/>
              </w:rPr>
              <w:t>The values of the Great Barrier Reef relevant to recreational use are understood by managers</w:t>
            </w:r>
          </w:p>
        </w:tc>
        <w:tc>
          <w:tcPr>
            <w:tcW w:w="709" w:type="dxa"/>
            <w:tcBorders>
              <w:top w:val="single" w:sz="4" w:space="0" w:color="auto"/>
              <w:left w:val="single" w:sz="4" w:space="0" w:color="auto"/>
              <w:bottom w:val="single" w:sz="4" w:space="0" w:color="auto"/>
              <w:right w:val="single" w:sz="4" w:space="0" w:color="auto"/>
            </w:tcBorders>
          </w:tcPr>
          <w:p w14:paraId="576201B4" w14:textId="77777777" w:rsidR="00A56EE9" w:rsidRPr="00E70A11" w:rsidRDefault="00A56EE9" w:rsidP="00BB6AD5">
            <w:pPr>
              <w:pStyle w:val="Tablebulletlist"/>
              <w:rPr>
                <w:rStyle w:val="BookTitle"/>
              </w:rPr>
            </w:pPr>
            <w:r w:rsidRPr="00E70A11">
              <w:rPr>
                <w:rStyle w:val="BookTitle"/>
              </w:rPr>
              <w:t>4</w:t>
            </w:r>
          </w:p>
        </w:tc>
        <w:tc>
          <w:tcPr>
            <w:tcW w:w="4552" w:type="dxa"/>
            <w:tcBorders>
              <w:top w:val="single" w:sz="4" w:space="0" w:color="auto"/>
              <w:left w:val="single" w:sz="4" w:space="0" w:color="auto"/>
              <w:bottom w:val="single" w:sz="4" w:space="0" w:color="auto"/>
              <w:right w:val="single" w:sz="4" w:space="0" w:color="auto"/>
            </w:tcBorders>
          </w:tcPr>
          <w:p w14:paraId="576201B5"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The Recreation Management Strategy outlines the values of the Great Barrier Reef that are to be considered</w:t>
            </w:r>
          </w:p>
          <w:p w14:paraId="576201B6"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 xml:space="preserve">SELTMP technical report on recreation presents a snapshot of socio-economic data and indicators in the GBR region. It details how people use and depend on the GBR, human and community wellbeing and drivers of change. </w:t>
            </w:r>
          </w:p>
          <w:p w14:paraId="576201B7"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Input is received through Reef 2050 RAC, regional office liaison, GBRMPA staff presence at public events and through LMACs</w:t>
            </w:r>
          </w:p>
          <w:p w14:paraId="576201B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Deloitte Access Economics report considers the economic contribution of recreation in the GBR</w:t>
            </w:r>
          </w:p>
        </w:tc>
        <w:tc>
          <w:tcPr>
            <w:tcW w:w="4574" w:type="dxa"/>
            <w:tcBorders>
              <w:top w:val="single" w:sz="4" w:space="0" w:color="auto"/>
              <w:left w:val="single" w:sz="4" w:space="0" w:color="auto"/>
              <w:bottom w:val="single" w:sz="4" w:space="0" w:color="auto"/>
              <w:right w:val="single" w:sz="4" w:space="0" w:color="auto"/>
            </w:tcBorders>
          </w:tcPr>
          <w:p w14:paraId="576201B9" w14:textId="77777777" w:rsidR="00A56EE9" w:rsidRPr="00E70A11" w:rsidRDefault="008B5998" w:rsidP="00A11869">
            <w:pPr>
              <w:pStyle w:val="ListParagraph"/>
              <w:numPr>
                <w:ilvl w:val="0"/>
                <w:numId w:val="24"/>
              </w:numPr>
              <w:rPr>
                <w:rFonts w:ascii="Arial Narrow" w:hAnsi="Arial Narrow"/>
                <w:sz w:val="18"/>
                <w:szCs w:val="18"/>
                <w:u w:val="single"/>
              </w:rPr>
            </w:pPr>
            <w:hyperlink r:id="rId1595" w:history="1">
              <w:r w:rsidR="00A56EE9" w:rsidRPr="00E70A11">
                <w:rPr>
                  <w:rStyle w:val="Hyperlink"/>
                  <w:rFonts w:ascii="Arial Narrow" w:hAnsi="Arial Narrow"/>
                  <w:sz w:val="18"/>
                  <w:szCs w:val="18"/>
                </w:rPr>
                <w:t>Recreational Management Strategy (RMS) GBRMPA (2012)</w:t>
              </w:r>
            </w:hyperlink>
            <w:r w:rsidR="00A56EE9" w:rsidRPr="00E70A11">
              <w:rPr>
                <w:rFonts w:ascii="Arial Narrow" w:hAnsi="Arial Narrow"/>
                <w:sz w:val="18"/>
                <w:szCs w:val="18"/>
              </w:rPr>
              <w:t xml:space="preserve"> </w:t>
            </w:r>
          </w:p>
          <w:p w14:paraId="576201BA" w14:textId="77777777" w:rsidR="00A56EE9" w:rsidRPr="00E70A11" w:rsidRDefault="008B5998" w:rsidP="00A11869">
            <w:pPr>
              <w:pStyle w:val="ListParagraph"/>
              <w:numPr>
                <w:ilvl w:val="0"/>
                <w:numId w:val="24"/>
              </w:numPr>
              <w:rPr>
                <w:rFonts w:ascii="Arial Narrow" w:hAnsi="Arial Narrow"/>
                <w:sz w:val="18"/>
                <w:szCs w:val="18"/>
                <w:u w:val="single"/>
              </w:rPr>
            </w:pPr>
            <w:hyperlink r:id="rId1596" w:history="1">
              <w:r w:rsidR="00A56EE9" w:rsidRPr="00E70A11">
                <w:rPr>
                  <w:rStyle w:val="Hyperlink"/>
                  <w:rFonts w:ascii="Arial Narrow" w:hAnsi="Arial Narrow"/>
                  <w:sz w:val="18"/>
                  <w:szCs w:val="18"/>
                </w:rPr>
                <w:t>A statement of Management Arrangements in the GBRMP for Super-yacht Operations</w:t>
              </w:r>
            </w:hyperlink>
            <w:r w:rsidR="00A56EE9" w:rsidRPr="00E70A11">
              <w:rPr>
                <w:rFonts w:ascii="Arial Narrow" w:hAnsi="Arial Narrow"/>
                <w:sz w:val="18"/>
                <w:szCs w:val="18"/>
              </w:rPr>
              <w:t xml:space="preserve">. </w:t>
            </w:r>
          </w:p>
          <w:p w14:paraId="576201BB" w14:textId="77777777" w:rsidR="00A56EE9" w:rsidRPr="00E70A11" w:rsidRDefault="00A56EE9" w:rsidP="00A11869">
            <w:pPr>
              <w:pStyle w:val="ListParagraph"/>
              <w:numPr>
                <w:ilvl w:val="0"/>
                <w:numId w:val="24"/>
              </w:numPr>
              <w:rPr>
                <w:rFonts w:ascii="Arial Narrow" w:hAnsi="Arial Narrow"/>
                <w:sz w:val="18"/>
                <w:szCs w:val="18"/>
                <w:u w:val="single"/>
              </w:rPr>
            </w:pPr>
            <w:r w:rsidRPr="00E70A11">
              <w:rPr>
                <w:rFonts w:ascii="Arial Narrow" w:hAnsi="Arial Narrow"/>
                <w:sz w:val="18"/>
                <w:szCs w:val="18"/>
              </w:rPr>
              <w:t xml:space="preserve">Supporting information for the Whitsundays Plan of Management (WPOM) 2015-18 review – (internal GBRMPA document only). </w:t>
            </w:r>
          </w:p>
          <w:p w14:paraId="576201BC"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lang w:val="en"/>
              </w:rPr>
              <w:t xml:space="preserve">Deloitte Access Economics, </w:t>
            </w:r>
            <w:hyperlink r:id="rId1597" w:history="1">
              <w:proofErr w:type="gramStart"/>
              <w:r w:rsidRPr="00E70A11">
                <w:rPr>
                  <w:rStyle w:val="Hyperlink"/>
                  <w:rFonts w:ascii="Arial Narrow" w:hAnsi="Arial Narrow"/>
                  <w:sz w:val="18"/>
                  <w:szCs w:val="18"/>
                </w:rPr>
                <w:t>At</w:t>
              </w:r>
              <w:proofErr w:type="gramEnd"/>
              <w:r w:rsidRPr="00E70A11">
                <w:rPr>
                  <w:rStyle w:val="Hyperlink"/>
                  <w:rFonts w:ascii="Arial Narrow" w:hAnsi="Arial Narrow"/>
                  <w:sz w:val="18"/>
                  <w:szCs w:val="18"/>
                </w:rPr>
                <w:t xml:space="preserve"> what price? The economic, social and icon value of the Great Barrier Reef (2017)</w:t>
              </w:r>
            </w:hyperlink>
            <w:r w:rsidRPr="00E70A11">
              <w:rPr>
                <w:rFonts w:ascii="Arial Narrow" w:hAnsi="Arial Narrow"/>
                <w:sz w:val="18"/>
                <w:szCs w:val="18"/>
              </w:rPr>
              <w:t xml:space="preserve"> </w:t>
            </w:r>
          </w:p>
          <w:p w14:paraId="576201BD" w14:textId="77777777" w:rsidR="00A56EE9" w:rsidRPr="00E70A11" w:rsidRDefault="00A56EE9" w:rsidP="00A11869">
            <w:pPr>
              <w:pStyle w:val="ListParagraph"/>
              <w:numPr>
                <w:ilvl w:val="0"/>
                <w:numId w:val="24"/>
              </w:numPr>
              <w:spacing w:after="0" w:line="276" w:lineRule="auto"/>
              <w:rPr>
                <w:rFonts w:ascii="Arial Narrow" w:hAnsi="Arial Narrow"/>
                <w:sz w:val="18"/>
                <w:szCs w:val="18"/>
              </w:rPr>
            </w:pPr>
            <w:r w:rsidRPr="00E70A11">
              <w:rPr>
                <w:rFonts w:ascii="Arial Narrow" w:hAnsi="Arial Narrow"/>
                <w:sz w:val="18"/>
                <w:szCs w:val="18"/>
              </w:rPr>
              <w:t xml:space="preserve">Tobin, R., Bohenshy, E., Curnock, m&gt; Goldberg, J&gt;, Gooch, M. Marshall, N., Nicotra, B. Pert, P., Scherl, L., Stone-Jovicich, S. (2014) The Social and Economic Long Term Monitoring Program (SELTMP) 2014 Recreation in the Great Barrier </w:t>
            </w:r>
            <w:proofErr w:type="gramStart"/>
            <w:r w:rsidRPr="00E70A11">
              <w:rPr>
                <w:rFonts w:ascii="Arial Narrow" w:hAnsi="Arial Narrow"/>
                <w:sz w:val="18"/>
                <w:szCs w:val="18"/>
              </w:rPr>
              <w:t>Reef .</w:t>
            </w:r>
            <w:proofErr w:type="gramEnd"/>
            <w:r w:rsidRPr="00E70A11">
              <w:rPr>
                <w:rFonts w:ascii="Arial Narrow" w:eastAsia="Times New Roman" w:hAnsi="Arial Narrow" w:cs="Times New Roman"/>
                <w:sz w:val="18"/>
                <w:szCs w:val="18"/>
              </w:rPr>
              <w:t xml:space="preserve"> </w:t>
            </w:r>
            <w:r w:rsidRPr="00E70A11">
              <w:rPr>
                <w:rFonts w:ascii="Arial Narrow" w:hAnsi="Arial Narrow"/>
                <w:sz w:val="18"/>
                <w:szCs w:val="18"/>
              </w:rPr>
              <w:t xml:space="preserve">Report to the National Environmental Research Program. Reef and Rainforest Research Centre Limited CSIRO. </w:t>
            </w:r>
          </w:p>
        </w:tc>
        <w:tc>
          <w:tcPr>
            <w:tcW w:w="992" w:type="dxa"/>
            <w:tcBorders>
              <w:top w:val="single" w:sz="4" w:space="0" w:color="auto"/>
              <w:left w:val="single" w:sz="4" w:space="0" w:color="auto"/>
              <w:bottom w:val="single" w:sz="4" w:space="0" w:color="auto"/>
              <w:right w:val="single" w:sz="4" w:space="0" w:color="auto"/>
            </w:tcBorders>
          </w:tcPr>
          <w:p w14:paraId="576201BE"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1BF"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1D5"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1C1"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recreational use are known by managers</w:t>
            </w:r>
          </w:p>
        </w:tc>
        <w:tc>
          <w:tcPr>
            <w:tcW w:w="709" w:type="dxa"/>
            <w:tcBorders>
              <w:top w:val="single" w:sz="4" w:space="0" w:color="auto"/>
              <w:left w:val="single" w:sz="4" w:space="0" w:color="auto"/>
              <w:bottom w:val="single" w:sz="4" w:space="0" w:color="auto"/>
              <w:right w:val="single" w:sz="4" w:space="0" w:color="auto"/>
            </w:tcBorders>
          </w:tcPr>
          <w:p w14:paraId="576201C2"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1C3"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Condition and trend of recreational use are identified in the Recreation Management Strategy and summarised in the Strategic Assessment and 2014 Outlook Report.</w:t>
            </w:r>
          </w:p>
          <w:p w14:paraId="576201C4"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Risks associated with recreation and their trends are identified in the Recreation Management Strategy, however this has not been updated since the 2014 Outlook report. </w:t>
            </w:r>
          </w:p>
          <w:p w14:paraId="576201C5"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SELTMP recreational users (2014 report) - provided information on who is accessing the GBR (from the beach to the eastern edge of the GBR Marine Park) for recreation, what they doing, how they accessing it, and why.</w:t>
            </w:r>
          </w:p>
          <w:p w14:paraId="576201C6"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Recreational use, user values and perceptions to be addressed in forthcoming SELTMP 2017 report (expected in February 2017)</w:t>
            </w:r>
          </w:p>
          <w:p w14:paraId="576201C7"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Vessel registration details provide an indication of the number and type of vessels registered in the GBR catchment area, which is used to inform management of potential impacts accumulative impacts, signage and development of Plans of Management..</w:t>
            </w:r>
          </w:p>
          <w:p w14:paraId="576201C8" w14:textId="77777777" w:rsidR="00A56EE9" w:rsidRPr="00EE6657" w:rsidRDefault="00A56EE9" w:rsidP="00A11869">
            <w:pPr>
              <w:pStyle w:val="ListParagraph"/>
              <w:numPr>
                <w:ilvl w:val="0"/>
                <w:numId w:val="24"/>
              </w:numPr>
              <w:spacing w:after="0" w:line="276" w:lineRule="auto"/>
              <w:rPr>
                <w:rFonts w:ascii="Arial Narrow" w:hAnsi="Arial Narrow"/>
                <w:sz w:val="18"/>
                <w:szCs w:val="18"/>
              </w:rPr>
            </w:pPr>
            <w:r w:rsidRPr="00E70A11">
              <w:rPr>
                <w:rFonts w:ascii="Arial Narrow" w:hAnsi="Arial Narrow"/>
                <w:sz w:val="18"/>
                <w:szCs w:val="18"/>
              </w:rPr>
              <w:t>As the key recreational activities include snorkelling and island visitation, the condition and</w:t>
            </w:r>
            <w:r>
              <w:rPr>
                <w:rFonts w:ascii="Arial Narrow" w:hAnsi="Arial Narrow"/>
                <w:sz w:val="18"/>
                <w:szCs w:val="18"/>
              </w:rPr>
              <w:t xml:space="preserve"> </w:t>
            </w:r>
            <w:r w:rsidRPr="00E70A11">
              <w:rPr>
                <w:rFonts w:ascii="Arial Narrow" w:hAnsi="Arial Narrow"/>
                <w:sz w:val="18"/>
                <w:szCs w:val="18"/>
              </w:rPr>
              <w:t xml:space="preserve">trend of the values relevant to recreational users are </w:t>
            </w:r>
            <w:r>
              <w:rPr>
                <w:rFonts w:ascii="Arial Narrow" w:hAnsi="Arial Narrow"/>
                <w:sz w:val="18"/>
                <w:szCs w:val="18"/>
              </w:rPr>
              <w:t>covered under biodiversity</w:t>
            </w:r>
          </w:p>
        </w:tc>
        <w:tc>
          <w:tcPr>
            <w:tcW w:w="4574" w:type="dxa"/>
            <w:tcBorders>
              <w:top w:val="single" w:sz="4" w:space="0" w:color="auto"/>
              <w:left w:val="single" w:sz="4" w:space="0" w:color="auto"/>
              <w:bottom w:val="single" w:sz="4" w:space="0" w:color="auto"/>
              <w:right w:val="single" w:sz="4" w:space="0" w:color="auto"/>
            </w:tcBorders>
          </w:tcPr>
          <w:p w14:paraId="576201C9"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598" w:history="1">
              <w:r w:rsidR="00A56EE9" w:rsidRPr="00E70A11">
                <w:rPr>
                  <w:rStyle w:val="Hyperlink"/>
                  <w:rFonts w:ascii="Arial Narrow" w:hAnsi="Arial Narrow"/>
                  <w:sz w:val="18"/>
                  <w:szCs w:val="18"/>
                </w:rPr>
                <w:t>Outlook Report 2014</w:t>
              </w:r>
            </w:hyperlink>
          </w:p>
          <w:p w14:paraId="576201CA"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599" w:history="1">
              <w:r w:rsidR="00A56EE9" w:rsidRPr="00E70A11">
                <w:rPr>
                  <w:rStyle w:val="Hyperlink"/>
                  <w:rFonts w:ascii="Arial Narrow" w:hAnsi="Arial Narrow"/>
                  <w:i/>
                  <w:iCs/>
                  <w:sz w:val="18"/>
                  <w:szCs w:val="18"/>
                </w:rPr>
                <w:t>Defining the aesthetic values of the Great Barrier Reef:</w:t>
              </w:r>
            </w:hyperlink>
            <w:r w:rsidR="00A56EE9" w:rsidRPr="00E70A11">
              <w:rPr>
                <w:rFonts w:ascii="Arial Narrow" w:hAnsi="Arial Narrow"/>
                <w:i/>
                <w:iCs/>
                <w:sz w:val="18"/>
                <w:szCs w:val="18"/>
              </w:rPr>
              <w:t xml:space="preserve"> Report 1 Methodology </w:t>
            </w:r>
            <w:r w:rsidR="00A56EE9" w:rsidRPr="00E70A11">
              <w:rPr>
                <w:rFonts w:ascii="Arial Narrow" w:hAnsi="Arial Narrow"/>
                <w:sz w:val="18"/>
                <w:szCs w:val="18"/>
              </w:rPr>
              <w:t>(March 2013) Context Pty Ltd for DSEWPaC (now DoEE)</w:t>
            </w:r>
          </w:p>
          <w:p w14:paraId="576201CB" w14:textId="77777777" w:rsidR="00A56EE9" w:rsidRPr="00E70A11" w:rsidRDefault="008B5998" w:rsidP="00A11869">
            <w:pPr>
              <w:pStyle w:val="ListParagraph"/>
              <w:numPr>
                <w:ilvl w:val="0"/>
                <w:numId w:val="24"/>
              </w:numPr>
              <w:rPr>
                <w:rFonts w:ascii="Arial Narrow" w:hAnsi="Arial Narrow"/>
                <w:sz w:val="18"/>
                <w:szCs w:val="18"/>
              </w:rPr>
            </w:pPr>
            <w:hyperlink r:id="rId1600" w:history="1">
              <w:r w:rsidR="00A56EE9" w:rsidRPr="00E70A11">
                <w:rPr>
                  <w:rStyle w:val="Hyperlink"/>
                  <w:rFonts w:ascii="Arial Narrow" w:hAnsi="Arial Narrow"/>
                  <w:sz w:val="18"/>
                  <w:szCs w:val="18"/>
                </w:rPr>
                <w:t>Vessel Registrations</w:t>
              </w:r>
            </w:hyperlink>
          </w:p>
          <w:p w14:paraId="576201CC"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Tobin, R., Bohenshy, E., Curnock, m&gt; Goldberg, J&gt;, Gooch, M. Marshall, N., Nicotra, B. Pert, P., Scherl, L., Stone-Jovicich, S. (2014) The Social and Economic Long Term Monitoring Program (SELTMP) 2014 Recreation in the Great Barrier </w:t>
            </w:r>
            <w:proofErr w:type="gramStart"/>
            <w:r w:rsidRPr="00E70A11">
              <w:rPr>
                <w:rFonts w:ascii="Arial Narrow" w:hAnsi="Arial Narrow"/>
                <w:sz w:val="18"/>
                <w:szCs w:val="18"/>
              </w:rPr>
              <w:t>Reef .</w:t>
            </w:r>
            <w:proofErr w:type="gramEnd"/>
            <w:r w:rsidRPr="00E70A11">
              <w:rPr>
                <w:rFonts w:ascii="Arial Narrow" w:eastAsia="Times New Roman" w:hAnsi="Arial Narrow" w:cs="Times New Roman"/>
                <w:sz w:val="18"/>
                <w:szCs w:val="18"/>
              </w:rPr>
              <w:t xml:space="preserve"> </w:t>
            </w:r>
            <w:r w:rsidRPr="00E70A11">
              <w:rPr>
                <w:rFonts w:ascii="Arial Narrow" w:hAnsi="Arial Narrow"/>
                <w:sz w:val="18"/>
                <w:szCs w:val="18"/>
              </w:rPr>
              <w:t>Report to the National Environmental Research Program. Reef and Rainforest Research Centre Limited CSIRO</w:t>
            </w:r>
            <w:proofErr w:type="gramStart"/>
            <w:r w:rsidRPr="00E70A11">
              <w:rPr>
                <w:rFonts w:ascii="Arial Narrow" w:hAnsi="Arial Narrow"/>
                <w:sz w:val="18"/>
                <w:szCs w:val="18"/>
              </w:rPr>
              <w:t>..</w:t>
            </w:r>
            <w:proofErr w:type="gramEnd"/>
            <w:r w:rsidRPr="00E70A11">
              <w:rPr>
                <w:rFonts w:ascii="Arial Narrow" w:hAnsi="Arial Narrow"/>
                <w:sz w:val="18"/>
                <w:szCs w:val="18"/>
              </w:rPr>
              <w:t xml:space="preserve"> </w:t>
            </w:r>
          </w:p>
          <w:p w14:paraId="576201CD"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Project 10.1 </w:t>
            </w:r>
            <w:hyperlink r:id="rId1601" w:history="1">
              <w:r w:rsidRPr="00E70A11">
                <w:rPr>
                  <w:rStyle w:val="Hyperlink"/>
                  <w:rFonts w:ascii="Arial Narrow" w:hAnsi="Arial Narrow"/>
                  <w:sz w:val="18"/>
                  <w:szCs w:val="18"/>
                </w:rPr>
                <w:t>Result Factsheet: SELTMP 2013:</w:t>
              </w:r>
            </w:hyperlink>
            <w:r w:rsidRPr="00E70A11">
              <w:rPr>
                <w:rFonts w:ascii="Arial Narrow" w:hAnsi="Arial Narrow"/>
                <w:sz w:val="18"/>
                <w:szCs w:val="18"/>
              </w:rPr>
              <w:t xml:space="preserve"> Recreation in the Great Barrier Reef</w:t>
            </w:r>
          </w:p>
          <w:p w14:paraId="576201CE"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Qld DEHP, </w:t>
            </w:r>
            <w:hyperlink r:id="rId1602" w:history="1">
              <w:r w:rsidRPr="00E70A11">
                <w:rPr>
                  <w:rStyle w:val="Hyperlink"/>
                  <w:rFonts w:ascii="Arial Narrow" w:hAnsi="Arial Narrow"/>
                  <w:sz w:val="18"/>
                  <w:szCs w:val="18"/>
                </w:rPr>
                <w:t>Factsheet Healthy waters for Queensland: Environmental values, management goals and water quality objectives</w:t>
              </w:r>
            </w:hyperlink>
          </w:p>
          <w:p w14:paraId="576201CF"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Qld DEHP, </w:t>
            </w:r>
            <w:hyperlink r:id="rId1603" w:history="1">
              <w:r w:rsidRPr="00E70A11">
                <w:rPr>
                  <w:rStyle w:val="Hyperlink"/>
                  <w:rFonts w:ascii="Arial Narrow" w:hAnsi="Arial Narrow"/>
                  <w:sz w:val="18"/>
                  <w:szCs w:val="18"/>
                </w:rPr>
                <w:t>The economic and social impacts of protecting the environmental values of the waters of the Capricorn and Curtis Coasts (2014)</w:t>
              </w:r>
            </w:hyperlink>
            <w:r w:rsidRPr="00E70A11">
              <w:rPr>
                <w:rFonts w:ascii="Arial Narrow" w:hAnsi="Arial Narrow"/>
                <w:sz w:val="18"/>
                <w:szCs w:val="18"/>
              </w:rPr>
              <w:t xml:space="preserve"> </w:t>
            </w:r>
          </w:p>
          <w:p w14:paraId="576201D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Qld DEHP, </w:t>
            </w:r>
            <w:hyperlink r:id="rId1604" w:history="1">
              <w:r w:rsidRPr="00E70A11">
                <w:rPr>
                  <w:rStyle w:val="Hyperlink"/>
                  <w:rFonts w:ascii="Arial Narrow" w:hAnsi="Arial Narrow"/>
                  <w:sz w:val="18"/>
                  <w:szCs w:val="18"/>
                </w:rPr>
                <w:t>Draft report on the economic and social impacts of protecting environmental values in Great Barrier Reef catchment waterways and the reef lagoon (March 2013)</w:t>
              </w:r>
            </w:hyperlink>
          </w:p>
          <w:p w14:paraId="576201D1"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GBRMPA </w:t>
            </w:r>
            <w:hyperlink r:id="rId1605" w:history="1">
              <w:r w:rsidRPr="00E70A11">
                <w:rPr>
                  <w:rStyle w:val="Hyperlink"/>
                  <w:rFonts w:ascii="Arial Narrow" w:hAnsi="Arial Narrow"/>
                  <w:sz w:val="18"/>
                  <w:szCs w:val="18"/>
                </w:rPr>
                <w:t>Guidelines:</w:t>
              </w:r>
              <w:r>
                <w:rPr>
                  <w:rStyle w:val="Hyperlink"/>
                  <w:rFonts w:ascii="Arial Narrow" w:hAnsi="Arial Narrow"/>
                  <w:sz w:val="18"/>
                  <w:szCs w:val="18"/>
                </w:rPr>
                <w:t xml:space="preserve"> </w:t>
              </w:r>
              <w:r w:rsidRPr="00E70A11">
                <w:rPr>
                  <w:rStyle w:val="Hyperlink"/>
                  <w:rFonts w:ascii="Arial Narrow" w:hAnsi="Arial Narrow"/>
                  <w:sz w:val="18"/>
                  <w:szCs w:val="18"/>
                </w:rPr>
                <w:t>Social Value Assessment</w:t>
              </w:r>
              <w:r>
                <w:rPr>
                  <w:rStyle w:val="Hyperlink"/>
                  <w:rFonts w:ascii="Arial Narrow" w:hAnsi="Arial Narrow"/>
                  <w:sz w:val="18"/>
                  <w:szCs w:val="18"/>
                </w:rPr>
                <w:t xml:space="preserve"> </w:t>
              </w:r>
              <w:r w:rsidRPr="00E70A11">
                <w:rPr>
                  <w:rStyle w:val="Hyperlink"/>
                  <w:rFonts w:ascii="Arial Narrow" w:hAnsi="Arial Narrow"/>
                  <w:sz w:val="18"/>
                  <w:szCs w:val="18"/>
                </w:rPr>
                <w:t>(2017)</w:t>
              </w:r>
            </w:hyperlink>
          </w:p>
          <w:p w14:paraId="576201D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Supporting information for the Whitsundays Plan of Management (WPOM) 2015-18 review – (internal GBRMPA document only). </w:t>
            </w:r>
          </w:p>
        </w:tc>
        <w:tc>
          <w:tcPr>
            <w:tcW w:w="992" w:type="dxa"/>
            <w:tcBorders>
              <w:top w:val="single" w:sz="4" w:space="0" w:color="auto"/>
              <w:left w:val="single" w:sz="4" w:space="0" w:color="auto"/>
              <w:bottom w:val="single" w:sz="4" w:space="0" w:color="auto"/>
              <w:right w:val="single" w:sz="4" w:space="0" w:color="auto"/>
            </w:tcBorders>
          </w:tcPr>
          <w:p w14:paraId="576201D3"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1D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1DF"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1D6"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Impacts (direct, indirect and cumulative) associated with recreational use are understood by managers.</w:t>
            </w:r>
          </w:p>
        </w:tc>
        <w:tc>
          <w:tcPr>
            <w:tcW w:w="709" w:type="dxa"/>
            <w:tcBorders>
              <w:top w:val="single" w:sz="4" w:space="0" w:color="auto"/>
              <w:left w:val="single" w:sz="4" w:space="0" w:color="auto"/>
              <w:bottom w:val="single" w:sz="4" w:space="0" w:color="auto"/>
              <w:right w:val="single" w:sz="4" w:space="0" w:color="auto"/>
            </w:tcBorders>
          </w:tcPr>
          <w:p w14:paraId="576201D7" w14:textId="77777777" w:rsidR="00A56EE9" w:rsidRPr="00E70A11" w:rsidRDefault="00A56EE9" w:rsidP="00BB6AD5">
            <w:pPr>
              <w:pStyle w:val="Tablebulletlist"/>
              <w:rPr>
                <w:rStyle w:val="BookTitle"/>
              </w:rPr>
            </w:pPr>
            <w:r w:rsidRPr="00E70A11">
              <w:rPr>
                <w:rStyle w:val="BookTitle"/>
              </w:rPr>
              <w:t>4</w:t>
            </w:r>
          </w:p>
        </w:tc>
        <w:tc>
          <w:tcPr>
            <w:tcW w:w="4552" w:type="dxa"/>
            <w:tcBorders>
              <w:top w:val="single" w:sz="4" w:space="0" w:color="auto"/>
              <w:left w:val="single" w:sz="4" w:space="0" w:color="auto"/>
              <w:bottom w:val="single" w:sz="4" w:space="0" w:color="auto"/>
              <w:right w:val="single" w:sz="4" w:space="0" w:color="auto"/>
            </w:tcBorders>
          </w:tcPr>
          <w:p w14:paraId="576201D8"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impacts of recreation are articulated in the Recreation Management Strategy and are summarised in the Strategic Assessment; however this has not been up-dated since the 2014 Outlook Report.</w:t>
            </w:r>
          </w:p>
          <w:p w14:paraId="576201D9"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Recreational Responsible Reef Practices identify key impacts and ways to address them. </w:t>
            </w:r>
          </w:p>
          <w:p w14:paraId="576201DA"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increasing number of people living close to the Great Barrier Reef means increasing recreational use of the marine area.</w:t>
            </w:r>
            <w:r>
              <w:rPr>
                <w:rFonts w:ascii="Arial Narrow" w:hAnsi="Arial Narrow"/>
                <w:sz w:val="18"/>
                <w:szCs w:val="18"/>
              </w:rPr>
              <w:t xml:space="preserve"> </w:t>
            </w:r>
            <w:r w:rsidRPr="00E70A11">
              <w:rPr>
                <w:rFonts w:ascii="Arial Narrow" w:hAnsi="Arial Narrow"/>
                <w:sz w:val="18"/>
                <w:szCs w:val="18"/>
              </w:rPr>
              <w:t>Boat ownership is increasing steadily within the catchment. This has driven an increased demand for boating facilities such as marinas, moorings and boat ramps, often located within the Great Barrier Reef World Heritage Area or adjacent coastal habitats.</w:t>
            </w:r>
          </w:p>
        </w:tc>
        <w:tc>
          <w:tcPr>
            <w:tcW w:w="4574" w:type="dxa"/>
            <w:tcBorders>
              <w:top w:val="single" w:sz="4" w:space="0" w:color="auto"/>
              <w:left w:val="single" w:sz="4" w:space="0" w:color="auto"/>
              <w:bottom w:val="single" w:sz="4" w:space="0" w:color="auto"/>
              <w:right w:val="single" w:sz="4" w:space="0" w:color="auto"/>
            </w:tcBorders>
          </w:tcPr>
          <w:p w14:paraId="576201DB"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Great Barrier Reef Region Strategic Assessment Report</w:t>
            </w:r>
            <w:r>
              <w:rPr>
                <w:rFonts w:ascii="Arial Narrow" w:hAnsi="Arial Narrow"/>
                <w:sz w:val="18"/>
                <w:szCs w:val="18"/>
              </w:rPr>
              <w:t xml:space="preserve"> </w:t>
            </w:r>
            <w:r w:rsidRPr="00E70A11">
              <w:rPr>
                <w:rFonts w:ascii="Arial Narrow" w:hAnsi="Arial Narrow"/>
                <w:sz w:val="18"/>
                <w:szCs w:val="18"/>
              </w:rPr>
              <w:t>Chapter 5</w:t>
            </w:r>
          </w:p>
          <w:p w14:paraId="576201DC" w14:textId="7F793B2F"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Recreational Management Strategy (RMS) </w:t>
            </w:r>
            <w:hyperlink r:id="rId1606" w:tooltip="document link" w:history="1">
              <w:r w:rsidRPr="00E70A11">
                <w:rPr>
                  <w:rStyle w:val="Hyperlink"/>
                  <w:rFonts w:ascii="Arial Narrow" w:hAnsi="Arial Narrow"/>
                  <w:sz w:val="18"/>
                  <w:szCs w:val="18"/>
                </w:rPr>
                <w:t>http://www.gbrmpa.gov.au/about-the-reef/how-the-reefs-managed/recreation-in-the-great-barrier-reef-marine-park</w:t>
              </w:r>
            </w:hyperlink>
          </w:p>
        </w:tc>
        <w:tc>
          <w:tcPr>
            <w:tcW w:w="992" w:type="dxa"/>
            <w:tcBorders>
              <w:top w:val="single" w:sz="4" w:space="0" w:color="auto"/>
              <w:left w:val="single" w:sz="4" w:space="0" w:color="auto"/>
              <w:bottom w:val="single" w:sz="4" w:space="0" w:color="auto"/>
              <w:right w:val="single" w:sz="4" w:space="0" w:color="auto"/>
            </w:tcBorders>
          </w:tcPr>
          <w:p w14:paraId="576201DD"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1D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1EC"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1E0"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recreational use are understood by managers.</w:t>
            </w:r>
          </w:p>
        </w:tc>
        <w:tc>
          <w:tcPr>
            <w:tcW w:w="709" w:type="dxa"/>
            <w:tcBorders>
              <w:top w:val="single" w:sz="4" w:space="0" w:color="auto"/>
              <w:left w:val="single" w:sz="4" w:space="0" w:color="auto"/>
              <w:bottom w:val="single" w:sz="4" w:space="0" w:color="auto"/>
              <w:right w:val="single" w:sz="4" w:space="0" w:color="auto"/>
            </w:tcBorders>
          </w:tcPr>
          <w:p w14:paraId="576201E1" w14:textId="77777777" w:rsidR="00A56EE9" w:rsidRPr="00E70A11" w:rsidRDefault="00A56EE9" w:rsidP="00BB6AD5">
            <w:pPr>
              <w:pStyle w:val="Tablebulletlist"/>
              <w:rPr>
                <w:rStyle w:val="BookTitle"/>
              </w:rPr>
            </w:pPr>
            <w:r w:rsidRPr="00E70A11">
              <w:rPr>
                <w:rStyle w:val="BookTitle"/>
              </w:rPr>
              <w:t>4</w:t>
            </w:r>
          </w:p>
        </w:tc>
        <w:tc>
          <w:tcPr>
            <w:tcW w:w="4552" w:type="dxa"/>
            <w:tcBorders>
              <w:top w:val="single" w:sz="4" w:space="0" w:color="auto"/>
              <w:left w:val="single" w:sz="4" w:space="0" w:color="auto"/>
              <w:bottom w:val="single" w:sz="4" w:space="0" w:color="auto"/>
              <w:right w:val="single" w:sz="4" w:space="0" w:color="auto"/>
            </w:tcBorders>
          </w:tcPr>
          <w:p w14:paraId="576201E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National and international influences relevant to recreation include environmental issues (sea level rise, ocean acidification, sea level rise, more frequent extreme weather and warming sea temperatures), are well recognised (if not understood)</w:t>
            </w:r>
            <w:r>
              <w:rPr>
                <w:rFonts w:ascii="Arial Narrow" w:hAnsi="Arial Narrow"/>
                <w:sz w:val="18"/>
                <w:szCs w:val="18"/>
              </w:rPr>
              <w:t xml:space="preserve"> </w:t>
            </w:r>
            <w:r w:rsidRPr="00E70A11">
              <w:rPr>
                <w:rFonts w:ascii="Arial Narrow" w:hAnsi="Arial Narrow"/>
                <w:sz w:val="18"/>
                <w:szCs w:val="18"/>
              </w:rPr>
              <w:t xml:space="preserve">as seen through the development of the Reef 2050 plan and the engagement with WHC concerning the threat of putting the GBR on the “in danger” list. </w:t>
            </w:r>
          </w:p>
          <w:p w14:paraId="576201E3"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With regard to direct use of the Region, recreational vessel registration has slightly declined over the past five years (about 2.5% decline)</w:t>
            </w:r>
          </w:p>
          <w:p w14:paraId="576201E4"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project defining the aesthetic values of the GBR also considers the risks of recreational use on the OUV for the Region with respect to Criterion vii</w:t>
            </w:r>
          </w:p>
        </w:tc>
        <w:tc>
          <w:tcPr>
            <w:tcW w:w="4574" w:type="dxa"/>
            <w:tcBorders>
              <w:top w:val="single" w:sz="4" w:space="0" w:color="auto"/>
              <w:left w:val="single" w:sz="4" w:space="0" w:color="auto"/>
              <w:bottom w:val="single" w:sz="4" w:space="0" w:color="auto"/>
              <w:right w:val="single" w:sz="4" w:space="0" w:color="auto"/>
            </w:tcBorders>
          </w:tcPr>
          <w:p w14:paraId="576201E5"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607" w:history="1">
              <w:r w:rsidR="00A56EE9" w:rsidRPr="00E70A11">
                <w:rPr>
                  <w:rStyle w:val="Hyperlink"/>
                  <w:rFonts w:ascii="Arial Narrow" w:hAnsi="Arial Narrow"/>
                  <w:i/>
                  <w:iCs/>
                  <w:sz w:val="18"/>
                  <w:szCs w:val="18"/>
                </w:rPr>
                <w:t>Defining the aesthetic values of the Great Barrier Reef:</w:t>
              </w:r>
            </w:hyperlink>
            <w:r w:rsidR="00A56EE9" w:rsidRPr="00E70A11">
              <w:rPr>
                <w:rFonts w:ascii="Arial Narrow" w:hAnsi="Arial Narrow"/>
                <w:i/>
                <w:iCs/>
                <w:sz w:val="18"/>
                <w:szCs w:val="18"/>
              </w:rPr>
              <w:t xml:space="preserve"> Report 1 Methodology </w:t>
            </w:r>
            <w:r w:rsidR="00A56EE9" w:rsidRPr="00E70A11">
              <w:rPr>
                <w:rFonts w:ascii="Arial Narrow" w:hAnsi="Arial Narrow"/>
                <w:sz w:val="18"/>
                <w:szCs w:val="18"/>
              </w:rPr>
              <w:t>(March 2013) Context Pty Ltd for DSEWPaC (now DoEE)</w:t>
            </w:r>
          </w:p>
          <w:p w14:paraId="576201E6" w14:textId="77777777" w:rsidR="00A56EE9" w:rsidRPr="00E70A11" w:rsidRDefault="008B5998" w:rsidP="00A11869">
            <w:pPr>
              <w:pStyle w:val="ListParagraph"/>
              <w:numPr>
                <w:ilvl w:val="0"/>
                <w:numId w:val="24"/>
              </w:numPr>
              <w:rPr>
                <w:rFonts w:ascii="Arial Narrow" w:hAnsi="Arial Narrow"/>
                <w:sz w:val="18"/>
                <w:szCs w:val="18"/>
              </w:rPr>
            </w:pPr>
            <w:hyperlink r:id="rId1608" w:history="1">
              <w:r w:rsidR="00A56EE9" w:rsidRPr="00E70A11">
                <w:rPr>
                  <w:rStyle w:val="Hyperlink"/>
                  <w:rFonts w:ascii="Arial Narrow" w:hAnsi="Arial Narrow"/>
                  <w:sz w:val="18"/>
                  <w:szCs w:val="18"/>
                </w:rPr>
                <w:t>Reef 2050 Long-Term Sustainability Plan</w:t>
              </w:r>
            </w:hyperlink>
          </w:p>
          <w:p w14:paraId="576201E7" w14:textId="5E3217D1" w:rsidR="00A56EE9" w:rsidRPr="00E70A11" w:rsidRDefault="008B5998" w:rsidP="00A11869">
            <w:pPr>
              <w:pStyle w:val="ListParagraph"/>
              <w:numPr>
                <w:ilvl w:val="0"/>
                <w:numId w:val="24"/>
              </w:numPr>
              <w:rPr>
                <w:rFonts w:ascii="Arial Narrow" w:hAnsi="Arial Narrow"/>
                <w:sz w:val="18"/>
                <w:szCs w:val="18"/>
              </w:rPr>
            </w:pPr>
            <w:hyperlink r:id="rId1609" w:tooltip="document link" w:history="1">
              <w:r w:rsidR="00A56EE9" w:rsidRPr="00E70A11">
                <w:rPr>
                  <w:rStyle w:val="Hyperlink"/>
                  <w:rFonts w:ascii="Arial Narrow" w:hAnsi="Arial Narrow"/>
                  <w:sz w:val="18"/>
                  <w:szCs w:val="18"/>
                </w:rPr>
                <w:t>http://www.gbrmpa.gov.au/about-us/local-marine-advisory-committees</w:t>
              </w:r>
            </w:hyperlink>
          </w:p>
          <w:p w14:paraId="576201E8"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610" w:history="1">
              <w:r w:rsidR="00A56EE9" w:rsidRPr="00E70A11">
                <w:rPr>
                  <w:rStyle w:val="Hyperlink"/>
                  <w:rFonts w:ascii="Arial Narrow" w:hAnsi="Arial Narrow"/>
                  <w:sz w:val="18"/>
                  <w:szCs w:val="18"/>
                </w:rPr>
                <w:t>Vessel Registrations</w:t>
              </w:r>
            </w:hyperlink>
          </w:p>
          <w:p w14:paraId="576201E9" w14:textId="77777777" w:rsidR="00A56EE9" w:rsidRPr="00E70A11" w:rsidRDefault="00A56EE9" w:rsidP="00BB6AD5">
            <w:pPr>
              <w:pStyle w:val="ListParagraph"/>
              <w:ind w:left="360"/>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1EA"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1E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1FA"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1ED"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recreational use are well known by managers.</w:t>
            </w:r>
          </w:p>
        </w:tc>
        <w:tc>
          <w:tcPr>
            <w:tcW w:w="709" w:type="dxa"/>
            <w:tcBorders>
              <w:top w:val="single" w:sz="4" w:space="0" w:color="auto"/>
              <w:left w:val="single" w:sz="4" w:space="0" w:color="auto"/>
              <w:bottom w:val="single" w:sz="4" w:space="0" w:color="auto"/>
              <w:right w:val="single" w:sz="4" w:space="0" w:color="auto"/>
            </w:tcBorders>
          </w:tcPr>
          <w:p w14:paraId="576201EE" w14:textId="77777777" w:rsidR="00A56EE9" w:rsidRPr="00E70A11" w:rsidRDefault="00A56EE9" w:rsidP="00BB6AD5">
            <w:pPr>
              <w:pStyle w:val="Tablebulletlist"/>
              <w:rPr>
                <w:rStyle w:val="BookTitle"/>
              </w:rPr>
            </w:pPr>
            <w:r w:rsidRPr="00E70A11">
              <w:rPr>
                <w:rStyle w:val="BookTitle"/>
              </w:rPr>
              <w:t>4</w:t>
            </w:r>
          </w:p>
        </w:tc>
        <w:tc>
          <w:tcPr>
            <w:tcW w:w="4552" w:type="dxa"/>
            <w:tcBorders>
              <w:top w:val="single" w:sz="4" w:space="0" w:color="auto"/>
              <w:left w:val="single" w:sz="4" w:space="0" w:color="auto"/>
              <w:bottom w:val="single" w:sz="4" w:space="0" w:color="auto"/>
              <w:right w:val="single" w:sz="4" w:space="0" w:color="auto"/>
            </w:tcBorders>
          </w:tcPr>
          <w:p w14:paraId="576201EF"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Recreation stakeholders are not as easily identifiable as industry stakeholders. Sectors, such as sailing and dive clubs, are known but not necessarily accessed. </w:t>
            </w:r>
          </w:p>
          <w:p w14:paraId="576201F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Super yacht fraternity has increased and were heavily involved in commenting on the Whitsunday Plan of Management review in 2017</w:t>
            </w:r>
          </w:p>
          <w:p w14:paraId="576201F1"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GBRMPA regularly interacts with key recreation stakeholders through its three Regional Officers, Reef Advisory Committees and through its 12 Local Marine Advisory Committees (LMACs).</w:t>
            </w:r>
            <w:r>
              <w:rPr>
                <w:rFonts w:ascii="Arial Narrow" w:hAnsi="Arial Narrow"/>
                <w:sz w:val="18"/>
                <w:szCs w:val="18"/>
              </w:rPr>
              <w:t xml:space="preserve"> </w:t>
            </w:r>
          </w:p>
          <w:p w14:paraId="576201F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SELTMP technical report on recreation presents a snapshot of socio-economic data and indicators in the GBR region. It details how people use and depend on the GBR, human and community wellbeing and drivers of change, SELTMP will provide an updated report in December 2017.</w:t>
            </w:r>
          </w:p>
        </w:tc>
        <w:tc>
          <w:tcPr>
            <w:tcW w:w="4574" w:type="dxa"/>
            <w:tcBorders>
              <w:top w:val="single" w:sz="4" w:space="0" w:color="auto"/>
              <w:left w:val="single" w:sz="4" w:space="0" w:color="auto"/>
              <w:bottom w:val="single" w:sz="4" w:space="0" w:color="auto"/>
              <w:right w:val="single" w:sz="4" w:space="0" w:color="auto"/>
            </w:tcBorders>
          </w:tcPr>
          <w:p w14:paraId="576201F3"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lang w:val="en-GB"/>
              </w:rPr>
              <w:t xml:space="preserve">Tobin, R., Bohenshy, E., Curnock, m&gt; Goldberg, J&gt;, Gooch, M. Marshall, N., Nicotra, B. Pert, P., Scherl, L., Stone-Jovicich, S. (2014) The Social and Economic Long Term Monitoring Program (SELTMP) 2014 Recreation in the Great Barrier </w:t>
            </w:r>
            <w:proofErr w:type="gramStart"/>
            <w:r w:rsidRPr="00E70A11">
              <w:rPr>
                <w:rFonts w:ascii="Arial Narrow" w:hAnsi="Arial Narrow"/>
                <w:sz w:val="18"/>
                <w:szCs w:val="18"/>
                <w:lang w:val="en-GB"/>
              </w:rPr>
              <w:t>Reef .</w:t>
            </w:r>
            <w:proofErr w:type="gramEnd"/>
            <w:r w:rsidRPr="00E70A11">
              <w:rPr>
                <w:rFonts w:ascii="Arial Narrow" w:hAnsi="Arial Narrow"/>
                <w:sz w:val="18"/>
                <w:szCs w:val="18"/>
                <w:lang w:val="en-GB"/>
              </w:rPr>
              <w:t xml:space="preserve"> Report to the National Environmental Research Program. Reef and Rainforest Research Centre Limited CSIRO. </w:t>
            </w:r>
          </w:p>
          <w:p w14:paraId="576201F4" w14:textId="77777777" w:rsidR="00A56EE9" w:rsidRPr="00E70A11" w:rsidRDefault="008B5998" w:rsidP="00A11869">
            <w:pPr>
              <w:pStyle w:val="ListParagraph"/>
              <w:numPr>
                <w:ilvl w:val="0"/>
                <w:numId w:val="24"/>
              </w:numPr>
              <w:rPr>
                <w:rFonts w:ascii="Arial Narrow" w:hAnsi="Arial Narrow"/>
                <w:sz w:val="18"/>
                <w:szCs w:val="18"/>
              </w:rPr>
            </w:pPr>
            <w:hyperlink r:id="rId1611" w:history="1">
              <w:r w:rsidR="00A56EE9" w:rsidRPr="00E70A11">
                <w:rPr>
                  <w:rStyle w:val="Hyperlink"/>
                  <w:rFonts w:ascii="Arial Narrow" w:hAnsi="Arial Narrow"/>
                  <w:sz w:val="18"/>
                  <w:szCs w:val="18"/>
                </w:rPr>
                <w:t>Reef 2050 Long-Term Sustainability Plan</w:t>
              </w:r>
            </w:hyperlink>
          </w:p>
          <w:p w14:paraId="576201F5" w14:textId="372DD9E4" w:rsidR="00A56EE9" w:rsidRPr="00E70A11" w:rsidRDefault="008B5998" w:rsidP="00A11869">
            <w:pPr>
              <w:pStyle w:val="ListParagraph"/>
              <w:numPr>
                <w:ilvl w:val="0"/>
                <w:numId w:val="24"/>
              </w:numPr>
              <w:rPr>
                <w:rFonts w:ascii="Arial Narrow" w:hAnsi="Arial Narrow"/>
                <w:sz w:val="18"/>
                <w:szCs w:val="18"/>
              </w:rPr>
            </w:pPr>
            <w:hyperlink r:id="rId1612" w:tooltip="document link" w:history="1">
              <w:r w:rsidR="00A56EE9" w:rsidRPr="00E70A11">
                <w:rPr>
                  <w:rStyle w:val="Hyperlink"/>
                  <w:rFonts w:ascii="Arial Narrow" w:hAnsi="Arial Narrow"/>
                  <w:sz w:val="18"/>
                  <w:szCs w:val="18"/>
                </w:rPr>
                <w:t>http://www.gbrmpa.gov.au/about-us/local-marine-advisory-committees</w:t>
              </w:r>
            </w:hyperlink>
          </w:p>
          <w:p w14:paraId="576201F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Supporting information for the Whitsundays Plan of Management (WPOM) 2015-18 review – internal document only. Available on portal</w:t>
            </w:r>
          </w:p>
          <w:p w14:paraId="576201F7" w14:textId="77777777" w:rsidR="00A56EE9" w:rsidRPr="00E70A11" w:rsidRDefault="00A56EE9" w:rsidP="00BB6AD5">
            <w:pPr>
              <w:pStyle w:val="ListParagraph"/>
              <w:ind w:left="360"/>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1F8"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1F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01"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1FB" w14:textId="77777777" w:rsidR="00A56EE9" w:rsidRPr="00E70A11" w:rsidRDefault="00A56EE9" w:rsidP="00BB6AD5">
            <w:pPr>
              <w:pStyle w:val="Tablebulletlist"/>
              <w:rPr>
                <w:rStyle w:val="BookTitle"/>
              </w:rPr>
            </w:pPr>
            <w:r w:rsidRPr="00E70A11">
              <w:rPr>
                <w:rStyle w:val="BookTitle"/>
              </w:rPr>
              <w:t>PLANNING</w:t>
            </w:r>
          </w:p>
        </w:tc>
        <w:tc>
          <w:tcPr>
            <w:tcW w:w="70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1FC" w14:textId="77777777" w:rsidR="00A56EE9" w:rsidRPr="00E70A11" w:rsidRDefault="00A56EE9" w:rsidP="00BB6AD5">
            <w:pPr>
              <w:pStyle w:val="Tablebulletlist"/>
              <w:rPr>
                <w:rStyle w:val="BookTitle"/>
              </w:rPr>
            </w:pPr>
          </w:p>
        </w:tc>
        <w:tc>
          <w:tcPr>
            <w:tcW w:w="455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1FD" w14:textId="77777777" w:rsidR="00A56EE9" w:rsidRPr="00E70A11" w:rsidRDefault="00A56EE9" w:rsidP="00BB6AD5">
            <w:pPr>
              <w:pStyle w:val="ListParagraph"/>
              <w:ind w:left="360"/>
              <w:rPr>
                <w:rStyle w:val="BookTitle"/>
                <w:rFonts w:ascii="Arial Narrow" w:hAnsi="Arial Narrow"/>
                <w:sz w:val="18"/>
                <w:szCs w:val="18"/>
              </w:rPr>
            </w:pPr>
          </w:p>
        </w:tc>
        <w:tc>
          <w:tcPr>
            <w:tcW w:w="457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1FE"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1FF" w14:textId="77777777" w:rsidR="00A56EE9" w:rsidRPr="00E70A11" w:rsidRDefault="00A56EE9" w:rsidP="00BB6AD5">
            <w:pPr>
              <w:pStyle w:val="Tablebulletlist"/>
              <w:rPr>
                <w:rStyle w:val="BookTitle"/>
              </w:rPr>
            </w:pPr>
          </w:p>
        </w:tc>
        <w:tc>
          <w:tcPr>
            <w:tcW w:w="95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00" w14:textId="77777777" w:rsidR="00A56EE9" w:rsidRPr="00E70A11" w:rsidRDefault="00A56EE9" w:rsidP="00BB6AD5">
            <w:pPr>
              <w:pStyle w:val="Tablebulletlist"/>
              <w:rPr>
                <w:rStyle w:val="BookTitle"/>
              </w:rPr>
            </w:pPr>
          </w:p>
        </w:tc>
      </w:tr>
      <w:tr w:rsidR="00A56EE9" w:rsidRPr="00E70A11" w14:paraId="5762020E"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02"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recreational use </w:t>
            </w:r>
          </w:p>
        </w:tc>
        <w:tc>
          <w:tcPr>
            <w:tcW w:w="709" w:type="dxa"/>
            <w:tcBorders>
              <w:top w:val="single" w:sz="4" w:space="0" w:color="auto"/>
              <w:left w:val="single" w:sz="4" w:space="0" w:color="auto"/>
              <w:bottom w:val="single" w:sz="4" w:space="0" w:color="auto"/>
              <w:right w:val="single" w:sz="4" w:space="0" w:color="auto"/>
            </w:tcBorders>
          </w:tcPr>
          <w:p w14:paraId="57620203"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204"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 xml:space="preserve">Zoning Plan 2003 - allows certain recreational uses without permission in most zones – low impact activities, photography, education programs, </w:t>
            </w:r>
            <w:proofErr w:type="gramStart"/>
            <w:r w:rsidRPr="00E70A11">
              <w:rPr>
                <w:rFonts w:ascii="Arial Narrow" w:hAnsi="Arial Narrow"/>
                <w:sz w:val="18"/>
                <w:szCs w:val="18"/>
              </w:rPr>
              <w:t>spearfishing</w:t>
            </w:r>
            <w:proofErr w:type="gramEnd"/>
            <w:r w:rsidRPr="00E70A11">
              <w:rPr>
                <w:rFonts w:ascii="Arial Narrow" w:hAnsi="Arial Narrow"/>
                <w:sz w:val="18"/>
                <w:szCs w:val="18"/>
              </w:rPr>
              <w:t xml:space="preserve">. </w:t>
            </w:r>
          </w:p>
          <w:p w14:paraId="57620205"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Recreation Management Strategy consolidates the management arrangements of the Authority, with a strong emphasis on maintaining, applying and enhancing the suite of management tools that can be applied to emerging recreation issues. However this document has not been updated since its development in 2012.</w:t>
            </w:r>
          </w:p>
          <w:p w14:paraId="57620206" w14:textId="77777777" w:rsidR="00A56EE9" w:rsidRPr="00E70A11" w:rsidRDefault="00A56EE9" w:rsidP="00A11869">
            <w:pPr>
              <w:pStyle w:val="ListParagraph"/>
              <w:numPr>
                <w:ilvl w:val="0"/>
                <w:numId w:val="24"/>
              </w:numPr>
              <w:rPr>
                <w:rFonts w:ascii="Arial Narrow" w:hAnsi="Arial Narrow"/>
                <w:sz w:val="18"/>
                <w:szCs w:val="18"/>
                <w:u w:val="single"/>
              </w:rPr>
            </w:pPr>
            <w:r w:rsidRPr="00E70A11">
              <w:rPr>
                <w:rFonts w:ascii="Arial Narrow" w:hAnsi="Arial Narrow"/>
                <w:sz w:val="18"/>
                <w:szCs w:val="18"/>
              </w:rPr>
              <w:t>The Statement of Management Arrangements in the Great Barrier Reef Marine Park for Super-yacht Operations summarises the current management arrangements for super-yachts</w:t>
            </w:r>
          </w:p>
          <w:p w14:paraId="57620207" w14:textId="77777777" w:rsidR="00A56EE9" w:rsidRPr="00E70A11" w:rsidRDefault="00A56EE9" w:rsidP="00A11869">
            <w:pPr>
              <w:pStyle w:val="ListParagraph"/>
              <w:numPr>
                <w:ilvl w:val="0"/>
                <w:numId w:val="24"/>
              </w:numPr>
              <w:rPr>
                <w:rStyle w:val="BookTitle"/>
                <w:rFonts w:ascii="Arial Narrow" w:hAnsi="Arial Narrow"/>
                <w:sz w:val="18"/>
                <w:szCs w:val="18"/>
                <w:u w:val="single"/>
              </w:rPr>
            </w:pPr>
            <w:r w:rsidRPr="00E70A11">
              <w:rPr>
                <w:rFonts w:ascii="Arial Narrow" w:hAnsi="Arial Narrow"/>
                <w:sz w:val="18"/>
                <w:szCs w:val="18"/>
              </w:rPr>
              <w:t>All three Plans of Management include aspects of recreational management.</w:t>
            </w:r>
          </w:p>
        </w:tc>
        <w:tc>
          <w:tcPr>
            <w:tcW w:w="4574" w:type="dxa"/>
            <w:tcBorders>
              <w:top w:val="single" w:sz="4" w:space="0" w:color="auto"/>
              <w:left w:val="single" w:sz="4" w:space="0" w:color="auto"/>
              <w:bottom w:val="single" w:sz="4" w:space="0" w:color="auto"/>
              <w:right w:val="single" w:sz="4" w:space="0" w:color="auto"/>
            </w:tcBorders>
          </w:tcPr>
          <w:p w14:paraId="57620208" w14:textId="77777777" w:rsidR="00A56EE9" w:rsidRPr="00E70A11" w:rsidRDefault="008B5998" w:rsidP="00A11869">
            <w:pPr>
              <w:pStyle w:val="ListParagraph"/>
              <w:numPr>
                <w:ilvl w:val="0"/>
                <w:numId w:val="24"/>
              </w:numPr>
              <w:rPr>
                <w:rFonts w:ascii="Arial Narrow" w:hAnsi="Arial Narrow"/>
                <w:sz w:val="18"/>
                <w:szCs w:val="18"/>
                <w:u w:val="single"/>
              </w:rPr>
            </w:pPr>
            <w:hyperlink r:id="rId1613" w:history="1">
              <w:r w:rsidR="00A56EE9" w:rsidRPr="00E70A11">
                <w:rPr>
                  <w:rStyle w:val="Hyperlink"/>
                  <w:rFonts w:ascii="Arial Narrow" w:hAnsi="Arial Narrow"/>
                  <w:sz w:val="18"/>
                  <w:szCs w:val="18"/>
                </w:rPr>
                <w:t>Recreational Management Strategy (RMS) GBRMPA (2012)</w:t>
              </w:r>
            </w:hyperlink>
            <w:r w:rsidR="00A56EE9" w:rsidRPr="00E70A11">
              <w:rPr>
                <w:rFonts w:ascii="Arial Narrow" w:hAnsi="Arial Narrow"/>
                <w:sz w:val="18"/>
                <w:szCs w:val="18"/>
              </w:rPr>
              <w:t xml:space="preserve"> </w:t>
            </w:r>
          </w:p>
          <w:p w14:paraId="57620209" w14:textId="77777777" w:rsidR="00A56EE9" w:rsidRPr="00E70A11" w:rsidRDefault="008B5998" w:rsidP="00A11869">
            <w:pPr>
              <w:pStyle w:val="ListParagraph"/>
              <w:numPr>
                <w:ilvl w:val="0"/>
                <w:numId w:val="24"/>
              </w:numPr>
              <w:rPr>
                <w:rFonts w:ascii="Arial Narrow" w:hAnsi="Arial Narrow"/>
                <w:sz w:val="18"/>
                <w:szCs w:val="18"/>
                <w:u w:val="single"/>
              </w:rPr>
            </w:pPr>
            <w:hyperlink r:id="rId1614" w:history="1">
              <w:r w:rsidR="00A56EE9" w:rsidRPr="00E70A11">
                <w:rPr>
                  <w:rStyle w:val="Hyperlink"/>
                  <w:rFonts w:ascii="Arial Narrow" w:hAnsi="Arial Narrow"/>
                  <w:sz w:val="18"/>
                  <w:szCs w:val="18"/>
                </w:rPr>
                <w:t>A statement of Management Arrangements in the GBRMP for Super-yacht Operations</w:t>
              </w:r>
            </w:hyperlink>
            <w:r w:rsidR="00A56EE9" w:rsidRPr="00E70A11">
              <w:rPr>
                <w:rFonts w:ascii="Arial Narrow" w:hAnsi="Arial Narrow"/>
                <w:sz w:val="18"/>
                <w:szCs w:val="18"/>
              </w:rPr>
              <w:t xml:space="preserve">. </w:t>
            </w:r>
          </w:p>
          <w:p w14:paraId="5762020A"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615" w:history="1">
              <w:r w:rsidR="00A56EE9" w:rsidRPr="00E70A11">
                <w:rPr>
                  <w:rStyle w:val="Hyperlink"/>
                  <w:rFonts w:ascii="Arial Narrow" w:hAnsi="Arial Narrow"/>
                  <w:sz w:val="18"/>
                  <w:szCs w:val="18"/>
                </w:rPr>
                <w:t>Responsible Reef Practices</w:t>
              </w:r>
            </w:hyperlink>
          </w:p>
          <w:p w14:paraId="5762020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u w:val="single"/>
              </w:rPr>
              <w:t>Plans of Management.</w:t>
            </w:r>
          </w:p>
        </w:tc>
        <w:tc>
          <w:tcPr>
            <w:tcW w:w="992" w:type="dxa"/>
            <w:tcBorders>
              <w:top w:val="single" w:sz="4" w:space="0" w:color="auto"/>
              <w:left w:val="single" w:sz="4" w:space="0" w:color="auto"/>
              <w:bottom w:val="single" w:sz="4" w:space="0" w:color="auto"/>
              <w:right w:val="single" w:sz="4" w:space="0" w:color="auto"/>
            </w:tcBorders>
          </w:tcPr>
          <w:p w14:paraId="5762020C"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0D" w14:textId="77777777" w:rsidR="00A56EE9" w:rsidRPr="00E70A11" w:rsidRDefault="00A56EE9" w:rsidP="00BB6AD5">
            <w:pPr>
              <w:pStyle w:val="Tablebulletlist"/>
              <w:rPr>
                <w:rStyle w:val="BookTitle"/>
              </w:rPr>
            </w:pPr>
            <w:r w:rsidRPr="00E70A11">
              <w:rPr>
                <w:rStyle w:val="BookTitle"/>
              </w:rPr>
              <w:t>Stable/declining</w:t>
            </w:r>
          </w:p>
        </w:tc>
      </w:tr>
      <w:tr w:rsidR="00A56EE9" w:rsidRPr="00E70A11" w14:paraId="5762021A"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0F"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recreational use addresses the major factors influencing the Great Barrier Reef Region’s values.</w:t>
            </w:r>
          </w:p>
        </w:tc>
        <w:tc>
          <w:tcPr>
            <w:tcW w:w="709" w:type="dxa"/>
            <w:tcBorders>
              <w:top w:val="single" w:sz="4" w:space="0" w:color="auto"/>
              <w:left w:val="single" w:sz="4" w:space="0" w:color="auto"/>
              <w:bottom w:val="single" w:sz="4" w:space="0" w:color="auto"/>
              <w:right w:val="single" w:sz="4" w:space="0" w:color="auto"/>
            </w:tcBorders>
          </w:tcPr>
          <w:p w14:paraId="57620210" w14:textId="77777777" w:rsidR="00A56EE9" w:rsidRPr="00E70A11" w:rsidRDefault="00A56EE9" w:rsidP="00BB6AD5">
            <w:pPr>
              <w:pStyle w:val="Tablebulletlist"/>
              <w:rPr>
                <w:rStyle w:val="BookTitle"/>
              </w:rPr>
            </w:pPr>
            <w:r w:rsidRPr="00E70A11">
              <w:rPr>
                <w:rStyle w:val="BookTitle"/>
              </w:rPr>
              <w:t>4</w:t>
            </w:r>
          </w:p>
        </w:tc>
        <w:tc>
          <w:tcPr>
            <w:tcW w:w="4552" w:type="dxa"/>
            <w:tcBorders>
              <w:top w:val="single" w:sz="4" w:space="0" w:color="auto"/>
              <w:left w:val="single" w:sz="4" w:space="0" w:color="auto"/>
              <w:bottom w:val="single" w:sz="4" w:space="0" w:color="auto"/>
              <w:right w:val="single" w:sz="4" w:space="0" w:color="auto"/>
            </w:tcBorders>
          </w:tcPr>
          <w:p w14:paraId="57620211"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 Recreation Management </w:t>
            </w:r>
            <w:r w:rsidRPr="00E70A11">
              <w:rPr>
                <w:rFonts w:ascii="Arial Narrow" w:hAnsi="Arial Narrow"/>
                <w:sz w:val="18"/>
                <w:szCs w:val="18"/>
                <w:lang w:val="en-US"/>
              </w:rPr>
              <w:t>Strategy</w:t>
            </w:r>
            <w:r w:rsidRPr="00E70A11">
              <w:rPr>
                <w:rFonts w:ascii="Arial Narrow" w:hAnsi="Arial Narrow"/>
                <w:sz w:val="18"/>
                <w:szCs w:val="18"/>
              </w:rPr>
              <w:t xml:space="preserve"> identifies and addresses the major pressures and drivers impacting on the GBR, however this has not been updated since 2012.</w:t>
            </w:r>
          </w:p>
          <w:p w14:paraId="5762021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Mechanisms for addressing major factors influencing the Region’s values are captured to some extent by the Zoning Plan, plans of management and the intergovernmental agreement with QPWS permitting and licencing on islands.</w:t>
            </w:r>
          </w:p>
          <w:p w14:paraId="5762021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Reef 2050 Plan includes a number of actions concerning recreation</w:t>
            </w:r>
          </w:p>
        </w:tc>
        <w:tc>
          <w:tcPr>
            <w:tcW w:w="4574" w:type="dxa"/>
            <w:tcBorders>
              <w:top w:val="single" w:sz="4" w:space="0" w:color="auto"/>
              <w:left w:val="single" w:sz="4" w:space="0" w:color="auto"/>
              <w:bottom w:val="single" w:sz="4" w:space="0" w:color="auto"/>
              <w:right w:val="single" w:sz="4" w:space="0" w:color="auto"/>
            </w:tcBorders>
          </w:tcPr>
          <w:p w14:paraId="57620214" w14:textId="76311AB7" w:rsidR="00A56EE9" w:rsidRPr="00E70A11" w:rsidRDefault="00A56EE9" w:rsidP="00A11869">
            <w:pPr>
              <w:pStyle w:val="ListParagraph"/>
              <w:numPr>
                <w:ilvl w:val="0"/>
                <w:numId w:val="24"/>
              </w:numPr>
              <w:rPr>
                <w:rFonts w:ascii="Arial Narrow" w:hAnsi="Arial Narrow"/>
                <w:sz w:val="18"/>
                <w:szCs w:val="18"/>
                <w:u w:val="single"/>
              </w:rPr>
            </w:pPr>
            <w:r w:rsidRPr="00E70A11">
              <w:rPr>
                <w:rFonts w:ascii="Arial Narrow" w:hAnsi="Arial Narrow"/>
                <w:sz w:val="18"/>
                <w:szCs w:val="18"/>
              </w:rPr>
              <w:t xml:space="preserve">Recreational Management Strategy (RMS) </w:t>
            </w:r>
            <w:hyperlink r:id="rId1616" w:tooltip="document link" w:history="1">
              <w:r w:rsidRPr="00E70A11">
                <w:rPr>
                  <w:rStyle w:val="Hyperlink"/>
                  <w:rFonts w:ascii="Arial Narrow" w:hAnsi="Arial Narrow"/>
                  <w:sz w:val="18"/>
                  <w:szCs w:val="18"/>
                </w:rPr>
                <w:t>http://www.gbrmpa.gov.au/about-the-reef/how-the-reefs-managed/recreation-in-the-great-barrier-reef-marine-park</w:t>
              </w:r>
            </w:hyperlink>
          </w:p>
          <w:p w14:paraId="57620215" w14:textId="77777777" w:rsidR="00A56EE9" w:rsidRPr="00E70A11" w:rsidRDefault="008B5998" w:rsidP="00A11869">
            <w:pPr>
              <w:pStyle w:val="ListParagraph"/>
              <w:numPr>
                <w:ilvl w:val="0"/>
                <w:numId w:val="24"/>
              </w:numPr>
              <w:rPr>
                <w:rFonts w:ascii="Arial Narrow" w:hAnsi="Arial Narrow"/>
                <w:sz w:val="18"/>
                <w:szCs w:val="18"/>
                <w:u w:val="single"/>
              </w:rPr>
            </w:pPr>
            <w:hyperlink r:id="rId1617" w:history="1">
              <w:r w:rsidR="00A56EE9" w:rsidRPr="00E70A11">
                <w:rPr>
                  <w:rStyle w:val="Hyperlink"/>
                  <w:rFonts w:ascii="Arial Narrow" w:hAnsi="Arial Narrow"/>
                  <w:sz w:val="18"/>
                  <w:szCs w:val="18"/>
                </w:rPr>
                <w:t>Whitsundays Plan of Management</w:t>
              </w:r>
            </w:hyperlink>
          </w:p>
          <w:p w14:paraId="57620216" w14:textId="77777777" w:rsidR="00A56EE9" w:rsidRPr="00E70A11" w:rsidRDefault="008B5998" w:rsidP="00A11869">
            <w:pPr>
              <w:pStyle w:val="ListParagraph"/>
              <w:numPr>
                <w:ilvl w:val="0"/>
                <w:numId w:val="24"/>
              </w:numPr>
              <w:rPr>
                <w:rFonts w:ascii="Arial Narrow" w:hAnsi="Arial Narrow"/>
                <w:sz w:val="18"/>
                <w:szCs w:val="18"/>
              </w:rPr>
            </w:pPr>
            <w:hyperlink r:id="rId1618" w:history="1">
              <w:r w:rsidR="00A56EE9" w:rsidRPr="00E70A11">
                <w:rPr>
                  <w:rStyle w:val="Hyperlink"/>
                  <w:rFonts w:ascii="Arial Narrow" w:hAnsi="Arial Narrow"/>
                  <w:sz w:val="18"/>
                  <w:szCs w:val="18"/>
                </w:rPr>
                <w:t>Reef 2050 Long-Term Sustainability Plan</w:t>
              </w:r>
            </w:hyperlink>
          </w:p>
          <w:p w14:paraId="57620217"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218"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19"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20224"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1B"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recreational use are clearly identified within the plan </w:t>
            </w:r>
          </w:p>
        </w:tc>
        <w:tc>
          <w:tcPr>
            <w:tcW w:w="709" w:type="dxa"/>
            <w:tcBorders>
              <w:top w:val="single" w:sz="4" w:space="0" w:color="auto"/>
              <w:left w:val="single" w:sz="4" w:space="0" w:color="auto"/>
              <w:bottom w:val="single" w:sz="4" w:space="0" w:color="auto"/>
              <w:right w:val="single" w:sz="4" w:space="0" w:color="auto"/>
            </w:tcBorders>
          </w:tcPr>
          <w:p w14:paraId="5762021C"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21D"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Changes to the Whitsunday Plan of Management clearly identify and implement changes relevant to recreations such as identifying areas available for motorised water sports, providing coordinate-based boundaries allowing users to better follow the rules in the POM (e.g. settings, locations, and significant bird sites) providing</w:t>
            </w:r>
            <w:r w:rsidRPr="00E70A11">
              <w:rPr>
                <w:rFonts w:ascii="Arial Narrow" w:hAnsi="Arial Narrow"/>
                <w:sz w:val="18"/>
                <w:szCs w:val="18"/>
                <w:lang w:eastAsia="en-AU"/>
              </w:rPr>
              <w:t xml:space="preserve"> for </w:t>
            </w:r>
            <w:r w:rsidRPr="00E70A11">
              <w:rPr>
                <w:rFonts w:ascii="Arial Narrow" w:hAnsi="Arial Narrow"/>
                <w:sz w:val="18"/>
                <w:szCs w:val="18"/>
              </w:rPr>
              <w:t xml:space="preserve">21 new superyacht anchorages at carefully-selected locations with no corals or other sensitive habitats, </w:t>
            </w:r>
          </w:p>
          <w:p w14:paraId="5762021E"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 xml:space="preserve">The Recreation Management </w:t>
            </w:r>
            <w:r w:rsidRPr="00E70A11">
              <w:rPr>
                <w:rFonts w:ascii="Arial Narrow" w:hAnsi="Arial Narrow"/>
                <w:sz w:val="18"/>
                <w:szCs w:val="18"/>
                <w:lang w:val="en-US"/>
              </w:rPr>
              <w:t>Strategy</w:t>
            </w:r>
            <w:r w:rsidRPr="00E70A11">
              <w:rPr>
                <w:rFonts w:ascii="Arial Narrow" w:hAnsi="Arial Narrow"/>
                <w:sz w:val="18"/>
                <w:szCs w:val="18"/>
              </w:rPr>
              <w:t xml:space="preserve"> identifies and addresses the major pressures and drivers impacting on the GBR, but an implementation plan has not been developed. </w:t>
            </w:r>
          </w:p>
        </w:tc>
        <w:tc>
          <w:tcPr>
            <w:tcW w:w="4574" w:type="dxa"/>
            <w:tcBorders>
              <w:top w:val="single" w:sz="4" w:space="0" w:color="auto"/>
              <w:left w:val="single" w:sz="4" w:space="0" w:color="auto"/>
              <w:bottom w:val="single" w:sz="4" w:space="0" w:color="auto"/>
              <w:right w:val="single" w:sz="4" w:space="0" w:color="auto"/>
            </w:tcBorders>
          </w:tcPr>
          <w:p w14:paraId="5762021F" w14:textId="77777777" w:rsidR="00A56EE9" w:rsidRPr="00E70A11" w:rsidRDefault="008B5998" w:rsidP="00A11869">
            <w:pPr>
              <w:pStyle w:val="ListParagraph"/>
              <w:numPr>
                <w:ilvl w:val="0"/>
                <w:numId w:val="24"/>
              </w:numPr>
              <w:rPr>
                <w:rFonts w:ascii="Arial Narrow" w:hAnsi="Arial Narrow"/>
                <w:sz w:val="18"/>
                <w:szCs w:val="18"/>
              </w:rPr>
            </w:pPr>
            <w:hyperlink r:id="rId1619" w:history="1">
              <w:r w:rsidR="00A56EE9" w:rsidRPr="00E70A11">
                <w:rPr>
                  <w:rStyle w:val="Hyperlink"/>
                  <w:rFonts w:ascii="Arial Narrow" w:hAnsi="Arial Narrow"/>
                  <w:sz w:val="18"/>
                  <w:szCs w:val="18"/>
                </w:rPr>
                <w:t>Reef 2050 Long-Term Sustainability Plan</w:t>
              </w:r>
            </w:hyperlink>
          </w:p>
          <w:p w14:paraId="57620220" w14:textId="77777777" w:rsidR="00A56EE9" w:rsidRPr="00E70A11" w:rsidRDefault="008B5998" w:rsidP="00A11869">
            <w:pPr>
              <w:pStyle w:val="ListParagraph"/>
              <w:numPr>
                <w:ilvl w:val="0"/>
                <w:numId w:val="24"/>
              </w:numPr>
              <w:rPr>
                <w:rFonts w:ascii="Arial Narrow" w:hAnsi="Arial Narrow"/>
                <w:sz w:val="18"/>
                <w:szCs w:val="18"/>
                <w:u w:val="single"/>
              </w:rPr>
            </w:pPr>
            <w:hyperlink r:id="rId1620" w:history="1">
              <w:r w:rsidR="00A56EE9" w:rsidRPr="00E70A11">
                <w:rPr>
                  <w:rStyle w:val="Hyperlink"/>
                  <w:rFonts w:ascii="Arial Narrow" w:hAnsi="Arial Narrow"/>
                  <w:sz w:val="18"/>
                  <w:szCs w:val="18"/>
                </w:rPr>
                <w:t>Whitsundays Plan of Management</w:t>
              </w:r>
            </w:hyperlink>
          </w:p>
          <w:p w14:paraId="57620221" w14:textId="77777777" w:rsidR="00A56EE9" w:rsidRPr="00E70A11" w:rsidRDefault="008B5998" w:rsidP="00A11869">
            <w:pPr>
              <w:pStyle w:val="ListParagraph"/>
              <w:numPr>
                <w:ilvl w:val="0"/>
                <w:numId w:val="24"/>
              </w:numPr>
              <w:rPr>
                <w:rStyle w:val="BookTitle"/>
                <w:rFonts w:ascii="Arial Narrow" w:hAnsi="Arial Narrow"/>
                <w:sz w:val="18"/>
                <w:szCs w:val="18"/>
              </w:rPr>
            </w:pPr>
            <w:hyperlink r:id="rId1621" w:history="1">
              <w:r w:rsidR="00A56EE9" w:rsidRPr="00E70A11">
                <w:rPr>
                  <w:rStyle w:val="Hyperlink"/>
                  <w:rFonts w:ascii="Arial Narrow" w:hAnsi="Arial Narrow"/>
                  <w:sz w:val="18"/>
                  <w:szCs w:val="18"/>
                </w:rPr>
                <w:t>Recreational Management Strategy (RMS) GBRMPA (2012)</w:t>
              </w:r>
            </w:hyperlink>
            <w:r w:rsidR="00A56EE9" w:rsidRPr="00E70A11">
              <w:rPr>
                <w:rFonts w:ascii="Arial Narrow" w:hAnsi="Arial Narrow"/>
                <w:sz w:val="18"/>
                <w:szCs w:val="18"/>
              </w:rPr>
              <w:t xml:space="preserve"> - </w:t>
            </w:r>
          </w:p>
        </w:tc>
        <w:tc>
          <w:tcPr>
            <w:tcW w:w="992" w:type="dxa"/>
            <w:tcBorders>
              <w:top w:val="single" w:sz="4" w:space="0" w:color="auto"/>
              <w:left w:val="single" w:sz="4" w:space="0" w:color="auto"/>
              <w:bottom w:val="single" w:sz="4" w:space="0" w:color="auto"/>
              <w:right w:val="single" w:sz="4" w:space="0" w:color="auto"/>
            </w:tcBorders>
          </w:tcPr>
          <w:p w14:paraId="57620222"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2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32"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25"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recreational use have been documented</w:t>
            </w:r>
          </w:p>
        </w:tc>
        <w:tc>
          <w:tcPr>
            <w:tcW w:w="709" w:type="dxa"/>
            <w:tcBorders>
              <w:top w:val="single" w:sz="4" w:space="0" w:color="auto"/>
              <w:left w:val="single" w:sz="4" w:space="0" w:color="auto"/>
              <w:bottom w:val="single" w:sz="4" w:space="0" w:color="auto"/>
              <w:right w:val="single" w:sz="4" w:space="0" w:color="auto"/>
            </w:tcBorders>
          </w:tcPr>
          <w:p w14:paraId="57620226"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22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Recreation Management Strategy defines three objectives for the management of recreation:</w:t>
            </w:r>
          </w:p>
          <w:p w14:paraId="57620228"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A range of recreational opportunities is provided for</w:t>
            </w:r>
          </w:p>
          <w:p w14:paraId="57620229"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The major potential threats associated with recreation are minimised</w:t>
            </w:r>
          </w:p>
          <w:p w14:paraId="5762022A" w14:textId="77777777" w:rsidR="00A56EE9" w:rsidRPr="00E70A11" w:rsidRDefault="00A56EE9" w:rsidP="00A11869">
            <w:pPr>
              <w:pStyle w:val="ListParagraph"/>
              <w:numPr>
                <w:ilvl w:val="1"/>
                <w:numId w:val="24"/>
              </w:numPr>
              <w:spacing w:after="200" w:line="276" w:lineRule="auto"/>
              <w:rPr>
                <w:rFonts w:ascii="Arial Narrow" w:hAnsi="Arial Narrow"/>
                <w:sz w:val="18"/>
                <w:szCs w:val="18"/>
              </w:rPr>
            </w:pPr>
            <w:r w:rsidRPr="00E70A11">
              <w:rPr>
                <w:rFonts w:ascii="Arial Narrow" w:hAnsi="Arial Narrow"/>
                <w:sz w:val="18"/>
                <w:szCs w:val="18"/>
              </w:rPr>
              <w:t>Other managing agencies and the community are working with the Authority to manage recreational use and the factors that affect it.</w:t>
            </w:r>
          </w:p>
          <w:p w14:paraId="5762022B" w14:textId="77777777" w:rsidR="00A56EE9" w:rsidRPr="00E70A11" w:rsidRDefault="00A56EE9" w:rsidP="00BB6AD5">
            <w:pPr>
              <w:pStyle w:val="ListParagraph"/>
              <w:ind w:left="360"/>
              <w:rPr>
                <w:rStyle w:val="BookTitle"/>
                <w:rFonts w:ascii="Arial Narrow" w:hAnsi="Arial Narrow"/>
                <w:sz w:val="18"/>
                <w:szCs w:val="18"/>
              </w:rPr>
            </w:pPr>
            <w:r w:rsidRPr="00E70A11">
              <w:rPr>
                <w:rStyle w:val="BookTitle"/>
                <w:rFonts w:ascii="Arial Narrow" w:hAnsi="Arial Narrow"/>
                <w:sz w:val="18"/>
                <w:szCs w:val="18"/>
              </w:rPr>
              <w:t>However, the RMS does not include information about how these objectives are measured, and no assessment of their success has been undertaken.</w:t>
            </w:r>
          </w:p>
          <w:p w14:paraId="5762022C" w14:textId="77777777" w:rsidR="00A56EE9" w:rsidRPr="00E70A11" w:rsidRDefault="00A56EE9" w:rsidP="00BB6AD5">
            <w:pPr>
              <w:pStyle w:val="ListParagraph"/>
              <w:ind w:left="360"/>
              <w:rPr>
                <w:rStyle w:val="BookTitle"/>
                <w:rFonts w:ascii="Arial Narrow" w:hAnsi="Arial Narrow"/>
                <w:sz w:val="18"/>
                <w:szCs w:val="18"/>
              </w:rPr>
            </w:pPr>
            <w:r w:rsidRPr="00E70A11">
              <w:rPr>
                <w:rStyle w:val="BookTitle"/>
                <w:rFonts w:ascii="Arial Narrow" w:hAnsi="Arial Narrow"/>
                <w:sz w:val="18"/>
                <w:szCs w:val="18"/>
              </w:rPr>
              <w:t>Actions</w:t>
            </w:r>
            <w:r>
              <w:rPr>
                <w:rStyle w:val="BookTitle"/>
                <w:rFonts w:ascii="Arial Narrow" w:hAnsi="Arial Narrow"/>
                <w:sz w:val="18"/>
                <w:szCs w:val="18"/>
              </w:rPr>
              <w:t xml:space="preserve"> </w:t>
            </w:r>
            <w:r w:rsidRPr="00E70A11">
              <w:rPr>
                <w:rStyle w:val="BookTitle"/>
                <w:rFonts w:ascii="Arial Narrow" w:hAnsi="Arial Narrow"/>
                <w:sz w:val="18"/>
                <w:szCs w:val="18"/>
              </w:rPr>
              <w:t>under the Reef 2050</w:t>
            </w:r>
            <w:r>
              <w:rPr>
                <w:rStyle w:val="BookTitle"/>
                <w:rFonts w:ascii="Arial Narrow" w:hAnsi="Arial Narrow"/>
                <w:sz w:val="18"/>
                <w:szCs w:val="18"/>
              </w:rPr>
              <w:t xml:space="preserve"> </w:t>
            </w:r>
            <w:r w:rsidRPr="00E70A11">
              <w:rPr>
                <w:rStyle w:val="BookTitle"/>
                <w:rFonts w:ascii="Arial Narrow" w:hAnsi="Arial Narrow"/>
                <w:sz w:val="18"/>
                <w:szCs w:val="18"/>
              </w:rPr>
              <w:t xml:space="preserve">include clear objectives </w:t>
            </w:r>
          </w:p>
        </w:tc>
        <w:tc>
          <w:tcPr>
            <w:tcW w:w="4574" w:type="dxa"/>
            <w:tcBorders>
              <w:top w:val="single" w:sz="4" w:space="0" w:color="auto"/>
              <w:left w:val="single" w:sz="4" w:space="0" w:color="auto"/>
              <w:bottom w:val="single" w:sz="4" w:space="0" w:color="auto"/>
              <w:right w:val="single" w:sz="4" w:space="0" w:color="auto"/>
            </w:tcBorders>
          </w:tcPr>
          <w:p w14:paraId="5762022D" w14:textId="77777777" w:rsidR="00A56EE9" w:rsidRPr="00E70A11" w:rsidRDefault="008B5998" w:rsidP="00A11869">
            <w:pPr>
              <w:pStyle w:val="ListParagraph"/>
              <w:numPr>
                <w:ilvl w:val="0"/>
                <w:numId w:val="24"/>
              </w:numPr>
              <w:rPr>
                <w:rFonts w:ascii="Arial Narrow" w:hAnsi="Arial Narrow"/>
                <w:sz w:val="18"/>
                <w:szCs w:val="18"/>
                <w:u w:val="single"/>
              </w:rPr>
            </w:pPr>
            <w:hyperlink r:id="rId1622" w:history="1">
              <w:r w:rsidR="00A56EE9" w:rsidRPr="00E70A11">
                <w:rPr>
                  <w:rStyle w:val="Hyperlink"/>
                  <w:rFonts w:ascii="Arial Narrow" w:hAnsi="Arial Narrow"/>
                  <w:sz w:val="18"/>
                  <w:szCs w:val="18"/>
                </w:rPr>
                <w:t>Recreational Management Strategy (RMS) GBRMPA (2012)</w:t>
              </w:r>
            </w:hyperlink>
            <w:r w:rsidR="00A56EE9" w:rsidRPr="00E70A11">
              <w:rPr>
                <w:rFonts w:ascii="Arial Narrow" w:hAnsi="Arial Narrow"/>
                <w:sz w:val="18"/>
                <w:szCs w:val="18"/>
              </w:rPr>
              <w:t xml:space="preserve"> – is due to be updated in 2017</w:t>
            </w:r>
          </w:p>
          <w:p w14:paraId="5762022E" w14:textId="77777777" w:rsidR="00A56EE9" w:rsidRPr="00E70A11" w:rsidRDefault="008B5998" w:rsidP="00A11869">
            <w:pPr>
              <w:pStyle w:val="ListParagraph"/>
              <w:numPr>
                <w:ilvl w:val="0"/>
                <w:numId w:val="24"/>
              </w:numPr>
              <w:rPr>
                <w:rFonts w:ascii="Arial Narrow" w:hAnsi="Arial Narrow"/>
                <w:sz w:val="18"/>
                <w:szCs w:val="18"/>
              </w:rPr>
            </w:pPr>
            <w:hyperlink r:id="rId1623" w:history="1">
              <w:r w:rsidR="00A56EE9" w:rsidRPr="00E70A11">
                <w:rPr>
                  <w:rStyle w:val="Hyperlink"/>
                  <w:rFonts w:ascii="Arial Narrow" w:hAnsi="Arial Narrow"/>
                  <w:sz w:val="18"/>
                  <w:szCs w:val="18"/>
                </w:rPr>
                <w:t>Reef 2050 Long-Term Sustainability Plan</w:t>
              </w:r>
            </w:hyperlink>
          </w:p>
          <w:p w14:paraId="5762022F"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230"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3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3A"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33"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recreational use</w:t>
            </w:r>
          </w:p>
        </w:tc>
        <w:tc>
          <w:tcPr>
            <w:tcW w:w="709" w:type="dxa"/>
            <w:tcBorders>
              <w:top w:val="single" w:sz="4" w:space="0" w:color="auto"/>
              <w:left w:val="single" w:sz="4" w:space="0" w:color="auto"/>
              <w:bottom w:val="single" w:sz="4" w:space="0" w:color="auto"/>
              <w:right w:val="single" w:sz="4" w:space="0" w:color="auto"/>
            </w:tcBorders>
          </w:tcPr>
          <w:p w14:paraId="57620234" w14:textId="77777777" w:rsidR="00A56EE9" w:rsidRPr="00E70A11" w:rsidRDefault="00A56EE9" w:rsidP="00BB6AD5">
            <w:pPr>
              <w:pStyle w:val="Tablebulletlist"/>
              <w:rPr>
                <w:rStyle w:val="BookTitle"/>
              </w:rPr>
            </w:pPr>
            <w:r w:rsidRPr="00E70A11">
              <w:rPr>
                <w:rStyle w:val="BookTitle"/>
              </w:rPr>
              <w:t>2</w:t>
            </w:r>
          </w:p>
        </w:tc>
        <w:tc>
          <w:tcPr>
            <w:tcW w:w="4552" w:type="dxa"/>
            <w:tcBorders>
              <w:top w:val="single" w:sz="4" w:space="0" w:color="auto"/>
              <w:left w:val="single" w:sz="4" w:space="0" w:color="auto"/>
              <w:bottom w:val="single" w:sz="4" w:space="0" w:color="auto"/>
              <w:right w:val="single" w:sz="4" w:space="0" w:color="auto"/>
            </w:tcBorders>
          </w:tcPr>
          <w:p w14:paraId="57620235"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 xml:space="preserve">The SELTMP group are regularly monitoring recreational use. </w:t>
            </w:r>
          </w:p>
          <w:p w14:paraId="57620236" w14:textId="77777777" w:rsidR="00A56EE9" w:rsidRPr="00E70A11" w:rsidRDefault="00A56EE9" w:rsidP="00BB6AD5">
            <w:pPr>
              <w:pStyle w:val="ListParagraph"/>
              <w:ind w:left="360"/>
              <w:rPr>
                <w:rStyle w:val="BookTitle"/>
                <w:rFonts w:ascii="Arial Narrow" w:hAnsi="Arial Narrow"/>
                <w:sz w:val="18"/>
                <w:szCs w:val="18"/>
              </w:rPr>
            </w:pPr>
          </w:p>
        </w:tc>
        <w:tc>
          <w:tcPr>
            <w:tcW w:w="4574" w:type="dxa"/>
            <w:tcBorders>
              <w:top w:val="single" w:sz="4" w:space="0" w:color="auto"/>
              <w:left w:val="single" w:sz="4" w:space="0" w:color="auto"/>
              <w:bottom w:val="single" w:sz="4" w:space="0" w:color="auto"/>
              <w:right w:val="single" w:sz="4" w:space="0" w:color="auto"/>
            </w:tcBorders>
          </w:tcPr>
          <w:p w14:paraId="5762023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Tobin, R., Bohenshy, E., Curnock, m&gt; Goldberg, J&gt;, Gooch, M. Marshall, N., Nicotra, B. Pert, P., Scherl, L., Stone-Jovicich, S. (2014) The Social and Economic Long Term Monitoring Program (SELTMP) 2014 Recreation in the Great Barrier </w:t>
            </w:r>
            <w:proofErr w:type="gramStart"/>
            <w:r w:rsidRPr="00E70A11">
              <w:rPr>
                <w:rFonts w:ascii="Arial Narrow" w:hAnsi="Arial Narrow"/>
                <w:sz w:val="18"/>
                <w:szCs w:val="18"/>
              </w:rPr>
              <w:t>Reef .</w:t>
            </w:r>
            <w:proofErr w:type="gramEnd"/>
            <w:r w:rsidRPr="00E70A11">
              <w:rPr>
                <w:rFonts w:ascii="Arial Narrow" w:eastAsia="Times New Roman" w:hAnsi="Arial Narrow" w:cs="Times New Roman"/>
                <w:sz w:val="18"/>
                <w:szCs w:val="18"/>
              </w:rPr>
              <w:t xml:space="preserve"> </w:t>
            </w:r>
            <w:r w:rsidRPr="00E70A11">
              <w:rPr>
                <w:rFonts w:ascii="Arial Narrow" w:hAnsi="Arial Narrow"/>
                <w:sz w:val="18"/>
                <w:szCs w:val="18"/>
              </w:rPr>
              <w:t xml:space="preserve">Report to the National Environmental Research Program. Reef and Rainforest Research Centre Limited CSIRO. </w:t>
            </w:r>
          </w:p>
        </w:tc>
        <w:tc>
          <w:tcPr>
            <w:tcW w:w="992" w:type="dxa"/>
            <w:tcBorders>
              <w:top w:val="single" w:sz="4" w:space="0" w:color="auto"/>
              <w:left w:val="single" w:sz="4" w:space="0" w:color="auto"/>
              <w:bottom w:val="single" w:sz="4" w:space="0" w:color="auto"/>
              <w:right w:val="single" w:sz="4" w:space="0" w:color="auto"/>
            </w:tcBorders>
          </w:tcPr>
          <w:p w14:paraId="57620238"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3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246"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3B"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recreational use</w:t>
            </w:r>
          </w:p>
        </w:tc>
        <w:tc>
          <w:tcPr>
            <w:tcW w:w="709" w:type="dxa"/>
            <w:tcBorders>
              <w:top w:val="single" w:sz="4" w:space="0" w:color="auto"/>
              <w:left w:val="single" w:sz="4" w:space="0" w:color="auto"/>
              <w:bottom w:val="single" w:sz="4" w:space="0" w:color="auto"/>
              <w:right w:val="single" w:sz="4" w:space="0" w:color="auto"/>
            </w:tcBorders>
          </w:tcPr>
          <w:p w14:paraId="5762023C" w14:textId="77777777" w:rsidR="00A56EE9" w:rsidRPr="00E70A11" w:rsidRDefault="00A56EE9" w:rsidP="00BB6AD5">
            <w:pPr>
              <w:pStyle w:val="Tablebulletlist"/>
              <w:rPr>
                <w:rStyle w:val="BookTitle"/>
              </w:rPr>
            </w:pPr>
            <w:r w:rsidRPr="00E70A11">
              <w:rPr>
                <w:rStyle w:val="BookTitle"/>
              </w:rPr>
              <w:t>4</w:t>
            </w:r>
          </w:p>
        </w:tc>
        <w:tc>
          <w:tcPr>
            <w:tcW w:w="4552" w:type="dxa"/>
            <w:tcBorders>
              <w:top w:val="single" w:sz="4" w:space="0" w:color="auto"/>
              <w:left w:val="single" w:sz="4" w:space="0" w:color="auto"/>
              <w:bottom w:val="single" w:sz="4" w:space="0" w:color="auto"/>
              <w:right w:val="single" w:sz="4" w:space="0" w:color="auto"/>
            </w:tcBorders>
          </w:tcPr>
          <w:p w14:paraId="5762023D"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 xml:space="preserve">High level of engagement </w:t>
            </w:r>
            <w:r w:rsidRPr="00E70A11">
              <w:rPr>
                <w:rFonts w:ascii="Arial Narrow" w:hAnsi="Arial Narrow"/>
                <w:bCs/>
                <w:sz w:val="18"/>
                <w:szCs w:val="18"/>
              </w:rPr>
              <w:t>for legislative changes</w:t>
            </w:r>
            <w:r w:rsidRPr="00E70A11">
              <w:rPr>
                <w:rFonts w:ascii="Arial Narrow" w:hAnsi="Arial Narrow"/>
                <w:sz w:val="18"/>
                <w:szCs w:val="18"/>
              </w:rPr>
              <w:t xml:space="preserve"> (Regulations, Zoning Plans, Plans of Management) with formal submissions received</w:t>
            </w:r>
          </w:p>
          <w:p w14:paraId="5762023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LMACS, regional based staff and community access points</w:t>
            </w:r>
          </w:p>
          <w:p w14:paraId="5762023F" w14:textId="77777777" w:rsidR="00A56EE9" w:rsidRPr="00E70A11" w:rsidRDefault="00A56EE9" w:rsidP="00A11869">
            <w:pPr>
              <w:pStyle w:val="ListParagraph"/>
              <w:numPr>
                <w:ilvl w:val="0"/>
                <w:numId w:val="24"/>
              </w:numPr>
              <w:spacing w:after="0" w:line="276" w:lineRule="auto"/>
              <w:jc w:val="both"/>
              <w:rPr>
                <w:rStyle w:val="BookTitle"/>
                <w:rFonts w:ascii="Arial Narrow" w:eastAsia="Times New Roman" w:hAnsi="Arial Narrow"/>
                <w:sz w:val="18"/>
                <w:szCs w:val="18"/>
              </w:rPr>
            </w:pPr>
            <w:r w:rsidRPr="00E70A11">
              <w:rPr>
                <w:rStyle w:val="BookTitle"/>
                <w:rFonts w:ascii="Arial Narrow" w:eastAsia="Times New Roman" w:hAnsi="Arial Narrow"/>
                <w:sz w:val="18"/>
                <w:szCs w:val="18"/>
              </w:rPr>
              <w:t xml:space="preserve">Legislative requirements for public advertisements for amendments to statutory plans </w:t>
            </w:r>
          </w:p>
          <w:p w14:paraId="57620240" w14:textId="77777777" w:rsidR="00A56EE9" w:rsidRPr="00E70A11" w:rsidRDefault="00A56EE9" w:rsidP="00A11869">
            <w:pPr>
              <w:pStyle w:val="ListParagraph"/>
              <w:numPr>
                <w:ilvl w:val="0"/>
                <w:numId w:val="24"/>
              </w:numPr>
              <w:spacing w:after="0" w:line="276" w:lineRule="auto"/>
              <w:jc w:val="both"/>
              <w:rPr>
                <w:rStyle w:val="BookTitle"/>
                <w:rFonts w:ascii="Arial Narrow" w:eastAsia="Times New Roman" w:hAnsi="Arial Narrow"/>
                <w:sz w:val="18"/>
                <w:szCs w:val="18"/>
              </w:rPr>
            </w:pPr>
            <w:r w:rsidRPr="00E70A11">
              <w:rPr>
                <w:rStyle w:val="BookTitle"/>
                <w:rFonts w:ascii="Arial Narrow" w:eastAsia="Times New Roman" w:hAnsi="Arial Narrow"/>
                <w:sz w:val="18"/>
                <w:szCs w:val="18"/>
              </w:rPr>
              <w:t>Reef protection markers</w:t>
            </w:r>
          </w:p>
        </w:tc>
        <w:tc>
          <w:tcPr>
            <w:tcW w:w="4574" w:type="dxa"/>
            <w:tcBorders>
              <w:top w:val="single" w:sz="4" w:space="0" w:color="auto"/>
              <w:left w:val="single" w:sz="4" w:space="0" w:color="auto"/>
              <w:bottom w:val="single" w:sz="4" w:space="0" w:color="auto"/>
              <w:right w:val="single" w:sz="4" w:space="0" w:color="auto"/>
            </w:tcBorders>
          </w:tcPr>
          <w:p w14:paraId="57620241"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624" w:history="1">
              <w:r w:rsidR="00A56EE9" w:rsidRPr="00E70A11">
                <w:rPr>
                  <w:rStyle w:val="Hyperlink"/>
                  <w:rFonts w:ascii="Arial Narrow" w:hAnsi="Arial Narrow"/>
                  <w:sz w:val="18"/>
                  <w:szCs w:val="18"/>
                </w:rPr>
                <w:t>Reef Advisory Committee</w:t>
              </w:r>
            </w:hyperlink>
          </w:p>
          <w:p w14:paraId="5762024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LMACS http://www.gbrmpa.gov.au/about-us/local-marine-advisory-committees</w:t>
            </w:r>
          </w:p>
          <w:p w14:paraId="57620243"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244"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4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54"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47"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recreational use</w:t>
            </w:r>
          </w:p>
        </w:tc>
        <w:tc>
          <w:tcPr>
            <w:tcW w:w="709" w:type="dxa"/>
            <w:tcBorders>
              <w:top w:val="single" w:sz="4" w:space="0" w:color="auto"/>
              <w:left w:val="single" w:sz="4" w:space="0" w:color="auto"/>
              <w:bottom w:val="single" w:sz="4" w:space="0" w:color="auto"/>
              <w:right w:val="single" w:sz="4" w:space="0" w:color="auto"/>
            </w:tcBorders>
          </w:tcPr>
          <w:p w14:paraId="57620248"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249"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Policies contribute to addressing recreational use:</w:t>
            </w:r>
          </w:p>
          <w:p w14:paraId="5762024A" w14:textId="77777777" w:rsidR="00A56EE9" w:rsidRPr="00E70A11" w:rsidRDefault="008B5998" w:rsidP="00A11869">
            <w:pPr>
              <w:pStyle w:val="ListParagraph"/>
              <w:numPr>
                <w:ilvl w:val="1"/>
                <w:numId w:val="24"/>
              </w:numPr>
              <w:spacing w:after="200"/>
              <w:rPr>
                <w:rFonts w:ascii="Arial Narrow" w:hAnsi="Arial Narrow"/>
                <w:sz w:val="18"/>
                <w:szCs w:val="18"/>
              </w:rPr>
            </w:pPr>
            <w:hyperlink r:id="rId1625" w:history="1">
              <w:r w:rsidR="00A56EE9" w:rsidRPr="00E70A11">
                <w:rPr>
                  <w:rStyle w:val="Hyperlink"/>
                  <w:rFonts w:ascii="Arial Narrow" w:hAnsi="Arial Narrow"/>
                  <w:sz w:val="18"/>
                  <w:szCs w:val="18"/>
                </w:rPr>
                <w:t>Position Statement on the Conservation of Dugongs (2007)</w:t>
              </w:r>
            </w:hyperlink>
          </w:p>
          <w:p w14:paraId="5762024B" w14:textId="77777777" w:rsidR="00A56EE9" w:rsidRPr="00E70A11" w:rsidRDefault="008B5998" w:rsidP="00A11869">
            <w:pPr>
              <w:pStyle w:val="ListParagraph"/>
              <w:numPr>
                <w:ilvl w:val="1"/>
                <w:numId w:val="24"/>
              </w:numPr>
              <w:spacing w:after="200"/>
              <w:rPr>
                <w:rFonts w:ascii="Arial Narrow" w:hAnsi="Arial Narrow"/>
                <w:sz w:val="18"/>
                <w:szCs w:val="18"/>
              </w:rPr>
            </w:pPr>
            <w:hyperlink r:id="rId1626" w:history="1">
              <w:r w:rsidR="00A56EE9" w:rsidRPr="00E70A11">
                <w:rPr>
                  <w:rStyle w:val="Hyperlink"/>
                  <w:rFonts w:ascii="Arial Narrow" w:hAnsi="Arial Narrow"/>
                  <w:sz w:val="18"/>
                  <w:szCs w:val="18"/>
                </w:rPr>
                <w:t>Policy on sewage discharge from marine outfalls</w:t>
              </w:r>
            </w:hyperlink>
            <w:r w:rsidR="00A56EE9" w:rsidRPr="00E70A11">
              <w:rPr>
                <w:rFonts w:ascii="Arial Narrow" w:hAnsi="Arial Narrow"/>
                <w:sz w:val="18"/>
                <w:szCs w:val="18"/>
              </w:rPr>
              <w:t xml:space="preserve"> (2005) </w:t>
            </w:r>
          </w:p>
          <w:p w14:paraId="5762024C" w14:textId="77777777" w:rsidR="00A56EE9" w:rsidRPr="00E70A11" w:rsidRDefault="008B5998" w:rsidP="00A11869">
            <w:pPr>
              <w:pStyle w:val="ListParagraph"/>
              <w:numPr>
                <w:ilvl w:val="1"/>
                <w:numId w:val="24"/>
              </w:numPr>
              <w:spacing w:after="200"/>
              <w:rPr>
                <w:rFonts w:ascii="Arial Narrow" w:hAnsi="Arial Narrow"/>
                <w:sz w:val="18"/>
                <w:szCs w:val="18"/>
              </w:rPr>
            </w:pPr>
            <w:hyperlink r:id="rId1627" w:history="1">
              <w:r w:rsidR="00A56EE9" w:rsidRPr="00E70A11">
                <w:rPr>
                  <w:rStyle w:val="Hyperlink"/>
                  <w:rFonts w:ascii="Arial Narrow" w:hAnsi="Arial Narrow"/>
                  <w:sz w:val="18"/>
                  <w:szCs w:val="18"/>
                </w:rPr>
                <w:t>Structures Policy (2017)</w:t>
              </w:r>
            </w:hyperlink>
            <w:r w:rsidR="00A56EE9" w:rsidRPr="00E70A11">
              <w:rPr>
                <w:rFonts w:ascii="Arial Narrow" w:hAnsi="Arial Narrow"/>
                <w:sz w:val="18"/>
                <w:szCs w:val="18"/>
              </w:rPr>
              <w:t xml:space="preserve"> - policies briefly refers to potential impacts from recreational uses</w:t>
            </w:r>
          </w:p>
          <w:p w14:paraId="5762024D" w14:textId="77777777" w:rsidR="00A56EE9" w:rsidRPr="00E70A11" w:rsidRDefault="00A56EE9" w:rsidP="00A11869">
            <w:pPr>
              <w:pStyle w:val="ListParagraph"/>
              <w:numPr>
                <w:ilvl w:val="0"/>
                <w:numId w:val="24"/>
              </w:numPr>
              <w:spacing w:after="200"/>
              <w:rPr>
                <w:rStyle w:val="BookTitle"/>
                <w:rFonts w:ascii="Arial Narrow" w:hAnsi="Arial Narrow"/>
                <w:sz w:val="18"/>
                <w:szCs w:val="18"/>
              </w:rPr>
            </w:pPr>
            <w:r w:rsidRPr="00E70A11">
              <w:rPr>
                <w:rFonts w:ascii="Arial Narrow" w:hAnsi="Arial Narrow"/>
                <w:sz w:val="18"/>
                <w:szCs w:val="18"/>
              </w:rPr>
              <w:t>A number of these policies have not been updated or reviewed in over 10 years.</w:t>
            </w:r>
          </w:p>
        </w:tc>
        <w:tc>
          <w:tcPr>
            <w:tcW w:w="4574" w:type="dxa"/>
            <w:tcBorders>
              <w:top w:val="single" w:sz="4" w:space="0" w:color="auto"/>
              <w:left w:val="single" w:sz="4" w:space="0" w:color="auto"/>
              <w:bottom w:val="single" w:sz="4" w:space="0" w:color="auto"/>
              <w:right w:val="single" w:sz="4" w:space="0" w:color="auto"/>
            </w:tcBorders>
          </w:tcPr>
          <w:p w14:paraId="5762024E" w14:textId="77777777" w:rsidR="00A56EE9" w:rsidRPr="00E70A11" w:rsidRDefault="008B5998" w:rsidP="00A11869">
            <w:pPr>
              <w:pStyle w:val="ListParagraph"/>
              <w:numPr>
                <w:ilvl w:val="0"/>
                <w:numId w:val="24"/>
              </w:numPr>
              <w:spacing w:after="0" w:line="276" w:lineRule="auto"/>
              <w:jc w:val="both"/>
              <w:rPr>
                <w:rFonts w:ascii="Arial Narrow" w:hAnsi="Arial Narrow"/>
                <w:sz w:val="18"/>
                <w:szCs w:val="18"/>
              </w:rPr>
            </w:pPr>
            <w:hyperlink r:id="rId1628" w:history="1">
              <w:r w:rsidR="00A56EE9" w:rsidRPr="00E70A11">
                <w:rPr>
                  <w:rFonts w:ascii="Arial Narrow" w:hAnsi="Arial Narrow"/>
                  <w:sz w:val="18"/>
                  <w:szCs w:val="18"/>
                </w:rPr>
                <w:t>Whale and dolphin policy 2007</w:t>
              </w:r>
            </w:hyperlink>
            <w:r w:rsidR="00A56EE9" w:rsidRPr="00E70A11">
              <w:rPr>
                <w:rFonts w:ascii="Arial Narrow" w:hAnsi="Arial Narrow"/>
                <w:sz w:val="18"/>
                <w:szCs w:val="18"/>
              </w:rPr>
              <w:t xml:space="preserve"> – </w:t>
            </w:r>
          </w:p>
          <w:p w14:paraId="5762024F" w14:textId="77777777" w:rsidR="00A56EE9" w:rsidRPr="00E70A11" w:rsidRDefault="008B5998" w:rsidP="00A11869">
            <w:pPr>
              <w:pStyle w:val="BodyText"/>
              <w:numPr>
                <w:ilvl w:val="0"/>
                <w:numId w:val="24"/>
              </w:numPr>
              <w:spacing w:after="0" w:line="276" w:lineRule="auto"/>
              <w:contextualSpacing/>
              <w:jc w:val="both"/>
              <w:rPr>
                <w:rFonts w:ascii="Arial Narrow" w:hAnsi="Arial Narrow"/>
                <w:sz w:val="18"/>
                <w:szCs w:val="18"/>
              </w:rPr>
            </w:pPr>
            <w:hyperlink r:id="rId1629" w:history="1">
              <w:r w:rsidR="00A56EE9" w:rsidRPr="00E70A11">
                <w:rPr>
                  <w:rFonts w:ascii="Arial Narrow" w:hAnsi="Arial Narrow"/>
                  <w:sz w:val="18"/>
                  <w:szCs w:val="18"/>
                </w:rPr>
                <w:t>Position Statement of No Structure Sub Zones (2006)</w:t>
              </w:r>
            </w:hyperlink>
            <w:r w:rsidR="00A56EE9" w:rsidRPr="00E70A11">
              <w:rPr>
                <w:rFonts w:ascii="Arial Narrow" w:hAnsi="Arial Narrow"/>
                <w:sz w:val="18"/>
                <w:szCs w:val="18"/>
              </w:rPr>
              <w:t xml:space="preserve"> – </w:t>
            </w:r>
          </w:p>
          <w:p w14:paraId="57620250" w14:textId="77777777" w:rsidR="00A56EE9" w:rsidRPr="00E70A11" w:rsidRDefault="008B5998" w:rsidP="00A11869">
            <w:pPr>
              <w:pStyle w:val="BodyText"/>
              <w:numPr>
                <w:ilvl w:val="0"/>
                <w:numId w:val="24"/>
              </w:numPr>
              <w:spacing w:after="0" w:line="276" w:lineRule="auto"/>
              <w:contextualSpacing/>
              <w:jc w:val="both"/>
              <w:rPr>
                <w:rFonts w:ascii="Arial Narrow" w:hAnsi="Arial Narrow"/>
                <w:sz w:val="18"/>
                <w:szCs w:val="18"/>
              </w:rPr>
            </w:pPr>
            <w:hyperlink r:id="rId1630" w:history="1">
              <w:r w:rsidR="00A56EE9" w:rsidRPr="00E70A11">
                <w:rPr>
                  <w:rFonts w:ascii="Arial Narrow" w:hAnsi="Arial Narrow"/>
                  <w:sz w:val="18"/>
                  <w:szCs w:val="18"/>
                </w:rPr>
                <w:t>Position Statement on the Translocation of Species (2007</w:t>
              </w:r>
            </w:hyperlink>
            <w:r w:rsidR="00A56EE9" w:rsidRPr="00E70A11">
              <w:rPr>
                <w:rFonts w:ascii="Arial Narrow" w:hAnsi="Arial Narrow"/>
                <w:sz w:val="18"/>
                <w:szCs w:val="18"/>
              </w:rPr>
              <w:t xml:space="preserve">) – policies refers to potential impacts from recreational vessels </w:t>
            </w:r>
          </w:p>
          <w:p w14:paraId="57620251" w14:textId="77777777" w:rsidR="00A56EE9" w:rsidRPr="00857DB2"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Recreational Management Strategy (RMS) GBRMPA</w:t>
            </w:r>
          </w:p>
        </w:tc>
        <w:tc>
          <w:tcPr>
            <w:tcW w:w="992" w:type="dxa"/>
            <w:tcBorders>
              <w:top w:val="single" w:sz="4" w:space="0" w:color="auto"/>
              <w:left w:val="single" w:sz="4" w:space="0" w:color="auto"/>
              <w:bottom w:val="single" w:sz="4" w:space="0" w:color="auto"/>
              <w:right w:val="single" w:sz="4" w:space="0" w:color="auto"/>
            </w:tcBorders>
          </w:tcPr>
          <w:p w14:paraId="57620252"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5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5C"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shd w:val="clear" w:color="auto" w:fill="FFFFFF"/>
          </w:tcPr>
          <w:p w14:paraId="57620255" w14:textId="77777777" w:rsidR="00A56EE9" w:rsidRPr="00E70A11" w:rsidRDefault="00A56EE9" w:rsidP="00BB6AD5">
            <w:pPr>
              <w:pStyle w:val="Tablebulletlist"/>
              <w:rPr>
                <w:rStyle w:val="BookTitle"/>
              </w:rPr>
            </w:pPr>
            <w:r w:rsidRPr="00E70A11">
              <w:rPr>
                <w:rStyle w:val="BookTitle"/>
              </w:rPr>
              <w:t>PL8 There is consistency across jurisdictions when planning for recreational use</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7620256"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shd w:val="clear" w:color="auto" w:fill="FFFFFF"/>
          </w:tcPr>
          <w:p w14:paraId="57620257"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Recreation Management Strategy identifies that “many agencies play a significant role in managing recreation in the Marine Park” (see Appendix 2, page 35). Collaborating with other agencies to ensure management of recreation in the Marine Park is coordinated and consistently applied is one of the key management components identified in the RMS</w:t>
            </w:r>
          </w:p>
          <w:p w14:paraId="5762025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Authority and the Queensland Government have a long history of collaboration to ensure consistency particularly to deliver their field management program, which ensures compliance with management tools that are highly relevant to recreation such as Plans of Management</w:t>
            </w:r>
          </w:p>
        </w:tc>
        <w:tc>
          <w:tcPr>
            <w:tcW w:w="4574" w:type="dxa"/>
            <w:tcBorders>
              <w:top w:val="single" w:sz="4" w:space="0" w:color="auto"/>
              <w:left w:val="single" w:sz="4" w:space="0" w:color="auto"/>
              <w:bottom w:val="single" w:sz="4" w:space="0" w:color="auto"/>
              <w:right w:val="single" w:sz="4" w:space="0" w:color="auto"/>
            </w:tcBorders>
            <w:shd w:val="clear" w:color="auto" w:fill="FFFFFF"/>
          </w:tcPr>
          <w:p w14:paraId="5762025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Recreational Management Strategy (RMS)</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5762025A"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shd w:val="clear" w:color="auto" w:fill="FFFFFF"/>
          </w:tcPr>
          <w:p w14:paraId="5762025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6A"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shd w:val="clear" w:color="auto" w:fill="auto"/>
          </w:tcPr>
          <w:p w14:paraId="5762025D"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recreational use provide certainty regarding where uses may occur, the type of activities allowed</w:t>
            </w:r>
            <w:r w:rsidRPr="00E70A11">
              <w:rPr>
                <w:lang w:val="en-US"/>
              </w:rPr>
              <w:t xml:space="preserve"> or specifically disallowed</w:t>
            </w:r>
            <w:proofErr w:type="gramStart"/>
            <w:r w:rsidRPr="00E70A11">
              <w:rPr>
                <w:lang w:val="en-US"/>
              </w:rPr>
              <w:t>,</w:t>
            </w:r>
            <w:r w:rsidRPr="00E70A11">
              <w:rPr>
                <w:rStyle w:val="BookTitle"/>
              </w:rPr>
              <w:t>,</w:t>
            </w:r>
            <w:proofErr w:type="gramEnd"/>
            <w:r w:rsidRPr="00E70A11">
              <w:rPr>
                <w:rStyle w:val="BookTitle"/>
              </w:rPr>
              <w:t xml:space="preserve"> conditions under which activities may proceed and circumstances where impacts are likely to be acceptable.</w:t>
            </w:r>
          </w:p>
        </w:tc>
        <w:tc>
          <w:tcPr>
            <w:tcW w:w="709" w:type="dxa"/>
            <w:tcBorders>
              <w:top w:val="single" w:sz="4" w:space="0" w:color="auto"/>
              <w:left w:val="single" w:sz="4" w:space="0" w:color="auto"/>
              <w:bottom w:val="single" w:sz="4" w:space="0" w:color="auto"/>
              <w:right w:val="single" w:sz="4" w:space="0" w:color="auto"/>
            </w:tcBorders>
          </w:tcPr>
          <w:p w14:paraId="5762025E"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25F"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Zoning plans, planning areas and site planning identify where use may occur</w:t>
            </w:r>
          </w:p>
          <w:p w14:paraId="5762026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In 2017, Whitsunday Plan of Management has been amended to more specifically identify where some recreational activities are allowed or disallowed. </w:t>
            </w:r>
          </w:p>
          <w:p w14:paraId="5762026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Similar updates to the Cairns and Hinchinbrook Plans of Management have not occurred as yet. </w:t>
            </w:r>
          </w:p>
          <w:p w14:paraId="5762026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 new flyer was created called ‘Going spearfishing in the Whitsundays’ and included a map that summarised the complex information relating to areas that recreational users can go spearfishing.</w:t>
            </w:r>
          </w:p>
        </w:tc>
        <w:tc>
          <w:tcPr>
            <w:tcW w:w="4574" w:type="dxa"/>
            <w:tcBorders>
              <w:top w:val="single" w:sz="4" w:space="0" w:color="auto"/>
              <w:left w:val="single" w:sz="4" w:space="0" w:color="auto"/>
              <w:bottom w:val="single" w:sz="4" w:space="0" w:color="auto"/>
              <w:right w:val="single" w:sz="4" w:space="0" w:color="auto"/>
            </w:tcBorders>
          </w:tcPr>
          <w:p w14:paraId="57620263" w14:textId="77777777" w:rsidR="00A56EE9" w:rsidRPr="00E70A11" w:rsidRDefault="008B5998" w:rsidP="00A11869">
            <w:pPr>
              <w:pStyle w:val="ListParagraph"/>
              <w:numPr>
                <w:ilvl w:val="0"/>
                <w:numId w:val="24"/>
              </w:numPr>
              <w:rPr>
                <w:rFonts w:ascii="Arial Narrow" w:hAnsi="Arial Narrow"/>
                <w:sz w:val="18"/>
                <w:szCs w:val="18"/>
                <w:u w:val="single"/>
              </w:rPr>
            </w:pPr>
            <w:hyperlink r:id="rId1631" w:history="1">
              <w:r w:rsidR="00A56EE9" w:rsidRPr="00E70A11">
                <w:rPr>
                  <w:rStyle w:val="Hyperlink"/>
                  <w:rFonts w:ascii="Arial Narrow" w:hAnsi="Arial Narrow"/>
                  <w:sz w:val="18"/>
                  <w:szCs w:val="18"/>
                </w:rPr>
                <w:t>Great Barrier Reef Marine Park Zoning Plan 2003</w:t>
              </w:r>
            </w:hyperlink>
          </w:p>
          <w:p w14:paraId="57620264" w14:textId="77777777" w:rsidR="00A56EE9" w:rsidRPr="00E70A11" w:rsidRDefault="008B5998" w:rsidP="00A11869">
            <w:pPr>
              <w:pStyle w:val="ListParagraph"/>
              <w:numPr>
                <w:ilvl w:val="0"/>
                <w:numId w:val="24"/>
              </w:numPr>
              <w:rPr>
                <w:rStyle w:val="Hyperlink"/>
                <w:rFonts w:ascii="Arial Narrow" w:hAnsi="Arial Narrow"/>
                <w:sz w:val="18"/>
                <w:szCs w:val="18"/>
              </w:rPr>
            </w:pPr>
            <w:hyperlink r:id="rId1632" w:history="1">
              <w:r w:rsidR="00A56EE9" w:rsidRPr="00E70A11">
                <w:rPr>
                  <w:rStyle w:val="Hyperlink"/>
                  <w:rFonts w:ascii="Arial Narrow" w:hAnsi="Arial Narrow"/>
                  <w:sz w:val="18"/>
                  <w:szCs w:val="18"/>
                </w:rPr>
                <w:t>Whitsundays Plan of Management</w:t>
              </w:r>
            </w:hyperlink>
          </w:p>
          <w:p w14:paraId="57620265" w14:textId="77777777" w:rsidR="00A56EE9" w:rsidRPr="00E70A11" w:rsidRDefault="00A56EE9" w:rsidP="00A11869">
            <w:pPr>
              <w:pStyle w:val="ListParagraph"/>
              <w:numPr>
                <w:ilvl w:val="0"/>
                <w:numId w:val="24"/>
              </w:numPr>
              <w:rPr>
                <w:rStyle w:val="Hyperlink"/>
                <w:rFonts w:ascii="Arial Narrow" w:hAnsi="Arial Narrow"/>
                <w:sz w:val="18"/>
                <w:szCs w:val="18"/>
              </w:rPr>
            </w:pPr>
            <w:r w:rsidRPr="00E70A11">
              <w:rPr>
                <w:rStyle w:val="Hyperlink"/>
                <w:rFonts w:ascii="Arial Narrow" w:hAnsi="Arial Narrow"/>
                <w:sz w:val="18"/>
                <w:szCs w:val="18"/>
              </w:rPr>
              <w:t>Cairns Area Plan of Management 2008,GBRMPA http://www.gbrmpa.gov.au/__data/assets/pdf_file/0009/3024/gbrmpa_Cairns_Area_POM_2008.pdfg</w:t>
            </w:r>
          </w:p>
          <w:p w14:paraId="57620266" w14:textId="00CB527C" w:rsidR="00A56EE9" w:rsidRPr="00E70A11" w:rsidRDefault="00A56EE9" w:rsidP="00A11869">
            <w:pPr>
              <w:pStyle w:val="ListParagraph"/>
              <w:numPr>
                <w:ilvl w:val="0"/>
                <w:numId w:val="24"/>
              </w:numPr>
              <w:rPr>
                <w:rStyle w:val="Hyperlink"/>
                <w:rFonts w:ascii="Arial Narrow" w:hAnsi="Arial Narrow"/>
                <w:sz w:val="18"/>
                <w:szCs w:val="18"/>
              </w:rPr>
            </w:pPr>
            <w:r w:rsidRPr="00E70A11">
              <w:rPr>
                <w:rStyle w:val="Hyperlink"/>
                <w:rFonts w:ascii="Arial Narrow" w:hAnsi="Arial Narrow"/>
                <w:sz w:val="18"/>
                <w:szCs w:val="18"/>
              </w:rPr>
              <w:t xml:space="preserve">Hinchinbrook Plan of Management (2004) GBRMPA </w:t>
            </w:r>
            <w:hyperlink r:id="rId1633" w:tooltip="document link" w:history="1">
              <w:r w:rsidRPr="00E70A11">
                <w:rPr>
                  <w:rStyle w:val="Hyperlink"/>
                  <w:rFonts w:ascii="Arial Narrow" w:hAnsi="Arial Narrow"/>
                  <w:sz w:val="18"/>
                  <w:szCs w:val="18"/>
                </w:rPr>
                <w:t>http://www.gbrmpa.gov.au/__data/assets/pdf_file/0013/3325/gbrmpa_Hinchinbrook_POM_2004.pdfCairns</w:t>
              </w:r>
            </w:hyperlink>
            <w:r w:rsidRPr="00E70A11">
              <w:rPr>
                <w:rStyle w:val="Hyperlink"/>
                <w:rFonts w:ascii="Arial Narrow" w:hAnsi="Arial Narrow"/>
                <w:sz w:val="18"/>
                <w:szCs w:val="18"/>
              </w:rPr>
              <w:t xml:space="preserve"> </w:t>
            </w:r>
          </w:p>
          <w:p w14:paraId="57620267"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http://elibrary.gbrmpa.gov.au/jspui/bitstream/11017/3252/1/Spearfishing-map.pdf</w:t>
            </w:r>
          </w:p>
        </w:tc>
        <w:tc>
          <w:tcPr>
            <w:tcW w:w="992" w:type="dxa"/>
            <w:tcBorders>
              <w:top w:val="single" w:sz="4" w:space="0" w:color="auto"/>
              <w:left w:val="single" w:sz="4" w:space="0" w:color="auto"/>
              <w:bottom w:val="single" w:sz="4" w:space="0" w:color="auto"/>
              <w:right w:val="single" w:sz="4" w:space="0" w:color="auto"/>
            </w:tcBorders>
          </w:tcPr>
          <w:p w14:paraId="57620268"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6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271"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6B" w14:textId="77777777" w:rsidR="00A56EE9" w:rsidRPr="00E70A11" w:rsidRDefault="00A56EE9" w:rsidP="00BB6AD5">
            <w:pPr>
              <w:pStyle w:val="Tablebulletlist"/>
              <w:rPr>
                <w:rStyle w:val="BookTitle"/>
              </w:rPr>
            </w:pPr>
            <w:r w:rsidRPr="00E70A11">
              <w:rPr>
                <w:rStyle w:val="BookTitle"/>
              </w:rPr>
              <w:t>INPUTS</w:t>
            </w:r>
          </w:p>
        </w:tc>
        <w:tc>
          <w:tcPr>
            <w:tcW w:w="70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6C" w14:textId="77777777" w:rsidR="00A56EE9" w:rsidRPr="00E70A11" w:rsidRDefault="00A56EE9" w:rsidP="00BB6AD5">
            <w:pPr>
              <w:pStyle w:val="Tablebulletlist"/>
              <w:rPr>
                <w:rStyle w:val="BookTitle"/>
              </w:rPr>
            </w:pPr>
          </w:p>
        </w:tc>
        <w:tc>
          <w:tcPr>
            <w:tcW w:w="455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6D" w14:textId="77777777" w:rsidR="00A56EE9" w:rsidRPr="00E70A11" w:rsidRDefault="00A56EE9" w:rsidP="00BB6AD5">
            <w:pPr>
              <w:pStyle w:val="ListParagraph"/>
              <w:ind w:left="360"/>
              <w:rPr>
                <w:rStyle w:val="BookTitle"/>
                <w:rFonts w:ascii="Arial Narrow" w:hAnsi="Arial Narrow"/>
                <w:sz w:val="18"/>
                <w:szCs w:val="18"/>
              </w:rPr>
            </w:pPr>
          </w:p>
        </w:tc>
        <w:tc>
          <w:tcPr>
            <w:tcW w:w="457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6E"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6F" w14:textId="77777777" w:rsidR="00A56EE9" w:rsidRPr="00E70A11" w:rsidRDefault="00A56EE9" w:rsidP="00BB6AD5">
            <w:pPr>
              <w:pStyle w:val="Tablebulletlist"/>
              <w:rPr>
                <w:rStyle w:val="BookTitle"/>
              </w:rPr>
            </w:pPr>
          </w:p>
        </w:tc>
        <w:tc>
          <w:tcPr>
            <w:tcW w:w="95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70" w14:textId="77777777" w:rsidR="00A56EE9" w:rsidRPr="00E70A11" w:rsidRDefault="00A56EE9" w:rsidP="00BB6AD5">
            <w:pPr>
              <w:pStyle w:val="Tablebulletlist"/>
              <w:rPr>
                <w:rStyle w:val="BookTitle"/>
              </w:rPr>
            </w:pPr>
          </w:p>
        </w:tc>
      </w:tr>
      <w:tr w:rsidR="00A56EE9" w:rsidRPr="00E70A11" w14:paraId="57620279"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72"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recreational use </w:t>
            </w:r>
          </w:p>
        </w:tc>
        <w:tc>
          <w:tcPr>
            <w:tcW w:w="709" w:type="dxa"/>
            <w:tcBorders>
              <w:top w:val="single" w:sz="4" w:space="0" w:color="auto"/>
              <w:left w:val="single" w:sz="4" w:space="0" w:color="auto"/>
              <w:bottom w:val="single" w:sz="4" w:space="0" w:color="auto"/>
              <w:right w:val="single" w:sz="4" w:space="0" w:color="auto"/>
            </w:tcBorders>
          </w:tcPr>
          <w:p w14:paraId="57620273"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274"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Due to other priorities, limited resources were allocated to managing recreation beyond the WPOM amendment</w:t>
            </w:r>
          </w:p>
          <w:p w14:paraId="5762027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Through the Significant Regional Infrastructure Projects Program (SKIPP) the Queensland government invested $2.375 million to expand the public mooring and reef protection program across the GBR over 2016-19. To date, 13 new moorings installed in Cairns, 7 new moorings and 20 reef protection markers installed near Keppel Island and 60 new moorings and 45 reef protection markers in the Whitsundays,</w:t>
            </w:r>
          </w:p>
        </w:tc>
        <w:tc>
          <w:tcPr>
            <w:tcW w:w="4574" w:type="dxa"/>
            <w:tcBorders>
              <w:top w:val="single" w:sz="4" w:space="0" w:color="auto"/>
              <w:left w:val="single" w:sz="4" w:space="0" w:color="auto"/>
              <w:bottom w:val="single" w:sz="4" w:space="0" w:color="auto"/>
              <w:right w:val="single" w:sz="4" w:space="0" w:color="auto"/>
            </w:tcBorders>
          </w:tcPr>
          <w:p w14:paraId="5762027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discussions and workshops</w:t>
            </w:r>
          </w:p>
        </w:tc>
        <w:tc>
          <w:tcPr>
            <w:tcW w:w="992" w:type="dxa"/>
            <w:tcBorders>
              <w:top w:val="single" w:sz="4" w:space="0" w:color="auto"/>
              <w:left w:val="single" w:sz="4" w:space="0" w:color="auto"/>
              <w:bottom w:val="single" w:sz="4" w:space="0" w:color="auto"/>
              <w:right w:val="single" w:sz="4" w:space="0" w:color="auto"/>
            </w:tcBorders>
          </w:tcPr>
          <w:p w14:paraId="57620277"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27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280"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7A"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recreational use </w:t>
            </w:r>
          </w:p>
        </w:tc>
        <w:tc>
          <w:tcPr>
            <w:tcW w:w="709" w:type="dxa"/>
            <w:tcBorders>
              <w:top w:val="single" w:sz="4" w:space="0" w:color="auto"/>
              <w:left w:val="single" w:sz="4" w:space="0" w:color="auto"/>
              <w:bottom w:val="single" w:sz="4" w:space="0" w:color="auto"/>
              <w:right w:val="single" w:sz="4" w:space="0" w:color="auto"/>
            </w:tcBorders>
          </w:tcPr>
          <w:p w14:paraId="5762027B" w14:textId="77777777" w:rsidR="00A56EE9" w:rsidRPr="00E70A11" w:rsidRDefault="00A56EE9" w:rsidP="00BB6AD5">
            <w:pPr>
              <w:pStyle w:val="Tablebulletlist"/>
              <w:rPr>
                <w:rStyle w:val="BookTitle"/>
              </w:rPr>
            </w:pPr>
            <w:r w:rsidRPr="00E70A11">
              <w:rPr>
                <w:rStyle w:val="BookTitle"/>
              </w:rPr>
              <w:t>2</w:t>
            </w:r>
          </w:p>
        </w:tc>
        <w:tc>
          <w:tcPr>
            <w:tcW w:w="4552" w:type="dxa"/>
            <w:tcBorders>
              <w:top w:val="single" w:sz="4" w:space="0" w:color="auto"/>
              <w:left w:val="single" w:sz="4" w:space="0" w:color="auto"/>
              <w:bottom w:val="single" w:sz="4" w:space="0" w:color="auto"/>
              <w:right w:val="single" w:sz="4" w:space="0" w:color="auto"/>
            </w:tcBorders>
          </w:tcPr>
          <w:p w14:paraId="5762027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Corresponding to the financial resources, there are limited human resources directly assigned to recreation. The Tourism and Recreation section within GBRMPA has been disbanded. </w:t>
            </w:r>
          </w:p>
        </w:tc>
        <w:tc>
          <w:tcPr>
            <w:tcW w:w="4574" w:type="dxa"/>
            <w:tcBorders>
              <w:top w:val="single" w:sz="4" w:space="0" w:color="auto"/>
              <w:left w:val="single" w:sz="4" w:space="0" w:color="auto"/>
              <w:bottom w:val="single" w:sz="4" w:space="0" w:color="auto"/>
              <w:right w:val="single" w:sz="4" w:space="0" w:color="auto"/>
            </w:tcBorders>
          </w:tcPr>
          <w:p w14:paraId="5762027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GBRMPA discussions and workshops</w:t>
            </w:r>
          </w:p>
        </w:tc>
        <w:tc>
          <w:tcPr>
            <w:tcW w:w="992" w:type="dxa"/>
            <w:tcBorders>
              <w:top w:val="single" w:sz="4" w:space="0" w:color="auto"/>
              <w:left w:val="single" w:sz="4" w:space="0" w:color="auto"/>
              <w:bottom w:val="single" w:sz="4" w:space="0" w:color="auto"/>
              <w:right w:val="single" w:sz="4" w:space="0" w:color="auto"/>
            </w:tcBorders>
          </w:tcPr>
          <w:p w14:paraId="5762027E"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27F" w14:textId="77777777" w:rsidR="00A56EE9" w:rsidRPr="00E70A11" w:rsidRDefault="00A56EE9" w:rsidP="00BB6AD5">
            <w:pPr>
              <w:pStyle w:val="Tablebulletlist"/>
              <w:rPr>
                <w:rStyle w:val="BookTitle"/>
              </w:rPr>
            </w:pPr>
            <w:r w:rsidRPr="00E70A11">
              <w:rPr>
                <w:rStyle w:val="BookTitle"/>
              </w:rPr>
              <w:t>Deteriorating</w:t>
            </w:r>
          </w:p>
        </w:tc>
      </w:tr>
      <w:tr w:rsidR="00A56EE9" w:rsidRPr="00E70A11" w14:paraId="57620287"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81"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recreational use</w:t>
            </w:r>
          </w:p>
        </w:tc>
        <w:tc>
          <w:tcPr>
            <w:tcW w:w="709" w:type="dxa"/>
            <w:tcBorders>
              <w:top w:val="single" w:sz="4" w:space="0" w:color="auto"/>
              <w:left w:val="single" w:sz="4" w:space="0" w:color="auto"/>
              <w:bottom w:val="single" w:sz="4" w:space="0" w:color="auto"/>
              <w:right w:val="single" w:sz="4" w:space="0" w:color="auto"/>
            </w:tcBorders>
          </w:tcPr>
          <w:p w14:paraId="57620282"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28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There are in-house skills and expertise, principally built from corporate knowledge, that can potentially be used to address recreation </w:t>
            </w:r>
          </w:p>
        </w:tc>
        <w:tc>
          <w:tcPr>
            <w:tcW w:w="4574" w:type="dxa"/>
            <w:tcBorders>
              <w:top w:val="single" w:sz="4" w:space="0" w:color="auto"/>
              <w:left w:val="single" w:sz="4" w:space="0" w:color="auto"/>
              <w:bottom w:val="single" w:sz="4" w:space="0" w:color="auto"/>
              <w:right w:val="single" w:sz="4" w:space="0" w:color="auto"/>
            </w:tcBorders>
          </w:tcPr>
          <w:p w14:paraId="5762028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GBRMPA discussions and workshops</w:t>
            </w:r>
          </w:p>
        </w:tc>
        <w:tc>
          <w:tcPr>
            <w:tcW w:w="992" w:type="dxa"/>
            <w:tcBorders>
              <w:top w:val="single" w:sz="4" w:space="0" w:color="auto"/>
              <w:left w:val="single" w:sz="4" w:space="0" w:color="auto"/>
              <w:bottom w:val="single" w:sz="4" w:space="0" w:color="auto"/>
              <w:right w:val="single" w:sz="4" w:space="0" w:color="auto"/>
            </w:tcBorders>
          </w:tcPr>
          <w:p w14:paraId="57620285"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286"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93"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88"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recreational use</w:t>
            </w:r>
          </w:p>
        </w:tc>
        <w:tc>
          <w:tcPr>
            <w:tcW w:w="709" w:type="dxa"/>
            <w:tcBorders>
              <w:top w:val="single" w:sz="4" w:space="0" w:color="auto"/>
              <w:left w:val="single" w:sz="4" w:space="0" w:color="auto"/>
              <w:bottom w:val="single" w:sz="4" w:space="0" w:color="auto"/>
              <w:right w:val="single" w:sz="4" w:space="0" w:color="auto"/>
            </w:tcBorders>
          </w:tcPr>
          <w:p w14:paraId="57620289"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28A"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Information in GBR Biodiversity Conservation Strategy, previous Outlook Reports and Strategic Assessments can be used to inform management actions for recreation.</w:t>
            </w:r>
          </w:p>
          <w:p w14:paraId="5762028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
              </w:rPr>
              <w:t>The technical report entitled:</w:t>
            </w:r>
            <w:r>
              <w:rPr>
                <w:rFonts w:ascii="Arial Narrow" w:hAnsi="Arial Narrow"/>
                <w:sz w:val="18"/>
                <w:szCs w:val="18"/>
                <w:lang w:val="en"/>
              </w:rPr>
              <w:t xml:space="preserve"> </w:t>
            </w:r>
            <w:hyperlink r:id="rId1634" w:history="1">
              <w:r w:rsidRPr="00E70A11">
                <w:rPr>
                  <w:rStyle w:val="Hyperlink"/>
                  <w:rFonts w:ascii="Arial Narrow" w:hAnsi="Arial Narrow"/>
                  <w:i/>
                  <w:sz w:val="18"/>
                  <w:szCs w:val="18"/>
                  <w:lang w:val="en"/>
                </w:rPr>
                <w:t>Informing the Outlook for Great Barrier Reef coastal ecosystems</w:t>
              </w:r>
            </w:hyperlink>
            <w:r w:rsidRPr="00E70A11">
              <w:rPr>
                <w:rFonts w:ascii="Arial Narrow" w:hAnsi="Arial Narrow"/>
                <w:sz w:val="18"/>
                <w:szCs w:val="18"/>
                <w:lang w:val="en"/>
              </w:rPr>
              <w:t xml:space="preserve"> includes information on the current status of the catchment and the threats it faces which can be useful to address recreation</w:t>
            </w:r>
          </w:p>
        </w:tc>
        <w:tc>
          <w:tcPr>
            <w:tcW w:w="4574" w:type="dxa"/>
            <w:tcBorders>
              <w:top w:val="single" w:sz="4" w:space="0" w:color="auto"/>
              <w:left w:val="single" w:sz="4" w:space="0" w:color="auto"/>
              <w:bottom w:val="single" w:sz="4" w:space="0" w:color="auto"/>
              <w:right w:val="single" w:sz="4" w:space="0" w:color="auto"/>
            </w:tcBorders>
          </w:tcPr>
          <w:p w14:paraId="5762028C" w14:textId="77777777" w:rsidR="00A56EE9" w:rsidRPr="00E70A11" w:rsidRDefault="008B5998" w:rsidP="00A11869">
            <w:pPr>
              <w:pStyle w:val="ListParagraph"/>
              <w:numPr>
                <w:ilvl w:val="0"/>
                <w:numId w:val="24"/>
              </w:numPr>
              <w:rPr>
                <w:rFonts w:ascii="Arial Narrow" w:hAnsi="Arial Narrow"/>
                <w:sz w:val="18"/>
                <w:szCs w:val="18"/>
              </w:rPr>
            </w:pPr>
            <w:hyperlink r:id="rId1635" w:history="1">
              <w:r w:rsidR="00A56EE9" w:rsidRPr="00E70A11">
                <w:rPr>
                  <w:rStyle w:val="Hyperlink"/>
                  <w:rFonts w:ascii="Arial Narrow" w:hAnsi="Arial Narrow"/>
                  <w:i/>
                  <w:sz w:val="18"/>
                  <w:szCs w:val="18"/>
                </w:rPr>
                <w:t>Great Barrier Reef</w:t>
              </w:r>
              <w:r w:rsidR="00A56EE9" w:rsidRPr="00E70A11">
                <w:rPr>
                  <w:rStyle w:val="Hyperlink"/>
                  <w:rFonts w:ascii="Arial Narrow" w:hAnsi="Arial Narrow"/>
                  <w:sz w:val="18"/>
                  <w:szCs w:val="18"/>
                </w:rPr>
                <w:t xml:space="preserve"> </w:t>
              </w:r>
              <w:r w:rsidR="00A56EE9" w:rsidRPr="00E70A11">
                <w:rPr>
                  <w:rStyle w:val="Hyperlink"/>
                  <w:rFonts w:ascii="Arial Narrow" w:hAnsi="Arial Narrow"/>
                  <w:i/>
                  <w:sz w:val="18"/>
                  <w:szCs w:val="18"/>
                </w:rPr>
                <w:t>Biodiversity Conservation Strategy 2013</w:t>
              </w:r>
            </w:hyperlink>
          </w:p>
          <w:p w14:paraId="5762028D" w14:textId="77777777" w:rsidR="00A56EE9" w:rsidRPr="00E70A11" w:rsidRDefault="008B5998" w:rsidP="00A11869">
            <w:pPr>
              <w:pStyle w:val="ListParagraph"/>
              <w:numPr>
                <w:ilvl w:val="0"/>
                <w:numId w:val="24"/>
              </w:numPr>
              <w:rPr>
                <w:rFonts w:ascii="Arial Narrow" w:hAnsi="Arial Narrow"/>
                <w:sz w:val="18"/>
                <w:szCs w:val="18"/>
              </w:rPr>
            </w:pPr>
            <w:hyperlink r:id="rId1636" w:history="1">
              <w:r w:rsidR="00A56EE9" w:rsidRPr="00E70A11">
                <w:rPr>
                  <w:rStyle w:val="Hyperlink"/>
                  <w:rFonts w:ascii="Arial Narrow" w:hAnsi="Arial Narrow"/>
                  <w:sz w:val="18"/>
                  <w:szCs w:val="18"/>
                </w:rPr>
                <w:t>Great Barrier Reef Strategic Assessment Report</w:t>
              </w:r>
            </w:hyperlink>
            <w:r w:rsidR="00A56EE9" w:rsidRPr="00E70A11">
              <w:rPr>
                <w:rFonts w:ascii="Arial Narrow" w:hAnsi="Arial Narrow"/>
                <w:sz w:val="18"/>
                <w:szCs w:val="18"/>
              </w:rPr>
              <w:t xml:space="preserve">, </w:t>
            </w:r>
          </w:p>
          <w:p w14:paraId="5762028E" w14:textId="77777777" w:rsidR="00A56EE9" w:rsidRPr="00E70A11" w:rsidRDefault="008B5998" w:rsidP="00A11869">
            <w:pPr>
              <w:pStyle w:val="ListParagraph"/>
              <w:numPr>
                <w:ilvl w:val="0"/>
                <w:numId w:val="24"/>
              </w:numPr>
              <w:rPr>
                <w:rFonts w:ascii="Arial Narrow" w:hAnsi="Arial Narrow"/>
                <w:sz w:val="18"/>
                <w:szCs w:val="18"/>
              </w:rPr>
            </w:pPr>
            <w:hyperlink r:id="rId1637" w:history="1">
              <w:r w:rsidR="00A56EE9" w:rsidRPr="00E70A11">
                <w:rPr>
                  <w:rStyle w:val="Hyperlink"/>
                  <w:rFonts w:ascii="Arial Narrow" w:hAnsi="Arial Narrow"/>
                  <w:sz w:val="18"/>
                  <w:szCs w:val="18"/>
                </w:rPr>
                <w:t>Great Barrier Reef Coastal Zone Strategic Assessment</w:t>
              </w:r>
            </w:hyperlink>
            <w:r w:rsidR="00A56EE9" w:rsidRPr="00E70A11">
              <w:rPr>
                <w:rFonts w:ascii="Arial Narrow" w:hAnsi="Arial Narrow"/>
                <w:sz w:val="18"/>
                <w:szCs w:val="18"/>
              </w:rPr>
              <w:t xml:space="preserve"> 2014</w:t>
            </w:r>
          </w:p>
          <w:p w14:paraId="5762028F" w14:textId="77777777" w:rsidR="00A56EE9" w:rsidRPr="00E70A11" w:rsidRDefault="008B5998" w:rsidP="00A11869">
            <w:pPr>
              <w:pStyle w:val="ListParagraph"/>
              <w:numPr>
                <w:ilvl w:val="0"/>
                <w:numId w:val="24"/>
              </w:numPr>
              <w:rPr>
                <w:rFonts w:ascii="Arial Narrow" w:hAnsi="Arial Narrow"/>
                <w:sz w:val="18"/>
                <w:szCs w:val="18"/>
              </w:rPr>
            </w:pPr>
            <w:hyperlink r:id="rId1638" w:history="1">
              <w:r w:rsidR="00A56EE9" w:rsidRPr="00E70A11">
                <w:rPr>
                  <w:rStyle w:val="Hyperlink"/>
                  <w:rFonts w:ascii="Arial Narrow" w:hAnsi="Arial Narrow"/>
                  <w:sz w:val="18"/>
                  <w:szCs w:val="18"/>
                </w:rPr>
                <w:t>Outlook Report 2014</w:t>
              </w:r>
            </w:hyperlink>
          </w:p>
          <w:p w14:paraId="57620290" w14:textId="77777777" w:rsidR="00A56EE9" w:rsidRPr="00E70A11" w:rsidRDefault="008B5998" w:rsidP="00A11869">
            <w:pPr>
              <w:pStyle w:val="ListParagraph"/>
              <w:numPr>
                <w:ilvl w:val="0"/>
                <w:numId w:val="24"/>
              </w:numPr>
              <w:rPr>
                <w:rStyle w:val="BookTitle"/>
                <w:rFonts w:ascii="Arial Narrow" w:hAnsi="Arial Narrow"/>
                <w:sz w:val="18"/>
                <w:szCs w:val="18"/>
              </w:rPr>
            </w:pPr>
            <w:hyperlink r:id="rId1639" w:history="1">
              <w:r w:rsidR="00A56EE9" w:rsidRPr="00E70A11">
                <w:rPr>
                  <w:rStyle w:val="Hyperlink"/>
                  <w:rFonts w:ascii="Arial Narrow" w:hAnsi="Arial Narrow"/>
                  <w:sz w:val="18"/>
                  <w:szCs w:val="18"/>
                </w:rPr>
                <w:t>Informing the Outlook for Great Barrier Reef coastal ecosystems</w:t>
              </w:r>
            </w:hyperlink>
          </w:p>
        </w:tc>
        <w:tc>
          <w:tcPr>
            <w:tcW w:w="992" w:type="dxa"/>
            <w:tcBorders>
              <w:top w:val="single" w:sz="4" w:space="0" w:color="auto"/>
              <w:left w:val="single" w:sz="4" w:space="0" w:color="auto"/>
              <w:bottom w:val="single" w:sz="4" w:space="0" w:color="auto"/>
              <w:right w:val="single" w:sz="4" w:space="0" w:color="auto"/>
            </w:tcBorders>
          </w:tcPr>
          <w:p w14:paraId="57620291"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9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9E"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94"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recreational use</w:t>
            </w:r>
          </w:p>
        </w:tc>
        <w:tc>
          <w:tcPr>
            <w:tcW w:w="709" w:type="dxa"/>
            <w:tcBorders>
              <w:top w:val="single" w:sz="4" w:space="0" w:color="auto"/>
              <w:left w:val="single" w:sz="4" w:space="0" w:color="auto"/>
              <w:bottom w:val="single" w:sz="4" w:space="0" w:color="auto"/>
              <w:right w:val="single" w:sz="4" w:space="0" w:color="auto"/>
            </w:tcBorders>
          </w:tcPr>
          <w:p w14:paraId="57620295"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29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Many of the residents that live in the GBR region use the GBR for recreational activities such as visiting an island, snorkelling, diving, sailing, boating and fishing. The economic contribution of the GBR to recreation is captured by the expenditure on these types of recreational activities in the GBR region.</w:t>
            </w:r>
          </w:p>
          <w:p w14:paraId="5762029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
              </w:rPr>
              <w:t>Recreational expenditure on the GBR region by types of expenditure is presented for 2015-16.</w:t>
            </w:r>
          </w:p>
          <w:p w14:paraId="5762029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Recreational use, user values and perceptions were included in the SELTMP 2014 Report </w:t>
            </w:r>
          </w:p>
        </w:tc>
        <w:tc>
          <w:tcPr>
            <w:tcW w:w="4574" w:type="dxa"/>
            <w:tcBorders>
              <w:top w:val="single" w:sz="4" w:space="0" w:color="auto"/>
              <w:left w:val="single" w:sz="4" w:space="0" w:color="auto"/>
              <w:bottom w:val="single" w:sz="4" w:space="0" w:color="auto"/>
              <w:right w:val="single" w:sz="4" w:space="0" w:color="auto"/>
            </w:tcBorders>
          </w:tcPr>
          <w:p w14:paraId="57620299"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lang w:val="en"/>
              </w:rPr>
              <w:t xml:space="preserve">Deloitte Access Economics, </w:t>
            </w:r>
            <w:hyperlink r:id="rId1640" w:history="1">
              <w:proofErr w:type="gramStart"/>
              <w:r w:rsidRPr="00E70A11">
                <w:rPr>
                  <w:rStyle w:val="Hyperlink"/>
                  <w:rFonts w:ascii="Arial Narrow" w:hAnsi="Arial Narrow"/>
                  <w:sz w:val="18"/>
                  <w:szCs w:val="18"/>
                </w:rPr>
                <w:t>At</w:t>
              </w:r>
              <w:proofErr w:type="gramEnd"/>
              <w:r w:rsidRPr="00E70A11">
                <w:rPr>
                  <w:rStyle w:val="Hyperlink"/>
                  <w:rFonts w:ascii="Arial Narrow" w:hAnsi="Arial Narrow"/>
                  <w:sz w:val="18"/>
                  <w:szCs w:val="18"/>
                </w:rPr>
                <w:t xml:space="preserve"> what price? The economic, social and icon value of the Great Barrier Reef (2017)</w:t>
              </w:r>
            </w:hyperlink>
            <w:r w:rsidRPr="00E70A11">
              <w:rPr>
                <w:rFonts w:ascii="Arial Narrow" w:hAnsi="Arial Narrow"/>
                <w:sz w:val="18"/>
                <w:szCs w:val="18"/>
              </w:rPr>
              <w:t xml:space="preserve"> </w:t>
            </w:r>
          </w:p>
          <w:p w14:paraId="5762029A"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lang w:val="en"/>
              </w:rPr>
              <w:t xml:space="preserve">Deloitte Access Economics, </w:t>
            </w:r>
            <w:hyperlink r:id="rId1641" w:history="1">
              <w:r w:rsidRPr="00E70A11">
                <w:rPr>
                  <w:rStyle w:val="Hyperlink"/>
                  <w:rFonts w:ascii="Arial Narrow" w:hAnsi="Arial Narrow"/>
                  <w:sz w:val="18"/>
                  <w:szCs w:val="18"/>
                </w:rPr>
                <w:t>Confidently Queensland Liveable communities, Diversified economy, Inclusive growth (2017)</w:t>
              </w:r>
            </w:hyperlink>
          </w:p>
          <w:p w14:paraId="5762029B"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lang w:val="en-GB"/>
              </w:rPr>
              <w:t xml:space="preserve">Tobin, R., Bohenshy, E., Curnock, m&gt; Goldberg, J&gt;, Gooch, M. Marshall, N., Nicotra, B. Pert, P., Scherl, L., Stone-Jovicich, S. (2014) The Social and Economic Long Term Monitoring Program (SELTMP) 2014 Recreation in the Great Barrier </w:t>
            </w:r>
            <w:proofErr w:type="gramStart"/>
            <w:r w:rsidRPr="00E70A11">
              <w:rPr>
                <w:rFonts w:ascii="Arial Narrow" w:hAnsi="Arial Narrow"/>
                <w:sz w:val="18"/>
                <w:szCs w:val="18"/>
                <w:lang w:val="en-GB"/>
              </w:rPr>
              <w:t>Reef .</w:t>
            </w:r>
            <w:proofErr w:type="gramEnd"/>
            <w:r w:rsidRPr="00E70A11">
              <w:rPr>
                <w:rFonts w:ascii="Arial Narrow" w:hAnsi="Arial Narrow"/>
                <w:sz w:val="18"/>
                <w:szCs w:val="18"/>
                <w:lang w:val="en-GB"/>
              </w:rPr>
              <w:t xml:space="preserve"> Report to the National Environmental Research Program. Reef and Rainforest Research Centre Limited CSIRO. </w:t>
            </w:r>
          </w:p>
        </w:tc>
        <w:tc>
          <w:tcPr>
            <w:tcW w:w="992" w:type="dxa"/>
            <w:tcBorders>
              <w:top w:val="single" w:sz="4" w:space="0" w:color="auto"/>
              <w:left w:val="single" w:sz="4" w:space="0" w:color="auto"/>
              <w:bottom w:val="single" w:sz="4" w:space="0" w:color="auto"/>
              <w:right w:val="single" w:sz="4" w:space="0" w:color="auto"/>
            </w:tcBorders>
          </w:tcPr>
          <w:p w14:paraId="5762029C"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9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2A7"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9F"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recreational use</w:t>
            </w:r>
          </w:p>
        </w:tc>
        <w:tc>
          <w:tcPr>
            <w:tcW w:w="709" w:type="dxa"/>
            <w:tcBorders>
              <w:top w:val="single" w:sz="4" w:space="0" w:color="auto"/>
              <w:left w:val="single" w:sz="4" w:space="0" w:color="auto"/>
              <w:bottom w:val="single" w:sz="4" w:space="0" w:color="auto"/>
              <w:right w:val="single" w:sz="4" w:space="0" w:color="auto"/>
            </w:tcBorders>
          </w:tcPr>
          <w:p w14:paraId="576202A0" w14:textId="77777777" w:rsidR="00A56EE9" w:rsidRPr="00E70A11" w:rsidRDefault="00A56EE9" w:rsidP="00BB6AD5">
            <w:pPr>
              <w:pStyle w:val="Tablebulletlist"/>
              <w:rPr>
                <w:rStyle w:val="BookTitle"/>
              </w:rPr>
            </w:pPr>
            <w:r w:rsidRPr="00E70A11">
              <w:rPr>
                <w:rStyle w:val="BookTitle"/>
              </w:rPr>
              <w:t>2</w:t>
            </w:r>
          </w:p>
        </w:tc>
        <w:tc>
          <w:tcPr>
            <w:tcW w:w="4552" w:type="dxa"/>
            <w:tcBorders>
              <w:top w:val="single" w:sz="4" w:space="0" w:color="auto"/>
              <w:left w:val="single" w:sz="4" w:space="0" w:color="auto"/>
              <w:bottom w:val="single" w:sz="4" w:space="0" w:color="auto"/>
              <w:right w:val="single" w:sz="4" w:space="0" w:color="auto"/>
            </w:tcBorders>
          </w:tcPr>
          <w:p w14:paraId="576202A1"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Quality information would assist in the interpretation of heritage to recreational users and managers.</w:t>
            </w:r>
          </w:p>
          <w:p w14:paraId="576202A2"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The heritage value, Other Values, is poorly recorded and so not easily available to recreational users or managers.</w:t>
            </w:r>
          </w:p>
          <w:p w14:paraId="576202A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Some recreational vessels continue to use destructive methods of accessing maritime heritage sites; such as tying the vessel off to sites.</w:t>
            </w:r>
          </w:p>
        </w:tc>
        <w:tc>
          <w:tcPr>
            <w:tcW w:w="4574" w:type="dxa"/>
            <w:tcBorders>
              <w:top w:val="single" w:sz="4" w:space="0" w:color="auto"/>
              <w:left w:val="single" w:sz="4" w:space="0" w:color="auto"/>
              <w:bottom w:val="single" w:sz="4" w:space="0" w:color="auto"/>
              <w:right w:val="single" w:sz="4" w:space="0" w:color="auto"/>
            </w:tcBorders>
          </w:tcPr>
          <w:p w14:paraId="576202A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GBRMPA discussions and workshops</w:t>
            </w:r>
          </w:p>
        </w:tc>
        <w:tc>
          <w:tcPr>
            <w:tcW w:w="992" w:type="dxa"/>
            <w:tcBorders>
              <w:top w:val="single" w:sz="4" w:space="0" w:color="auto"/>
              <w:left w:val="single" w:sz="4" w:space="0" w:color="auto"/>
              <w:bottom w:val="single" w:sz="4" w:space="0" w:color="auto"/>
              <w:right w:val="single" w:sz="4" w:space="0" w:color="auto"/>
            </w:tcBorders>
          </w:tcPr>
          <w:p w14:paraId="576202A5"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2A6"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202B1"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A8"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recreational use</w:t>
            </w:r>
          </w:p>
        </w:tc>
        <w:tc>
          <w:tcPr>
            <w:tcW w:w="709" w:type="dxa"/>
            <w:tcBorders>
              <w:top w:val="single" w:sz="4" w:space="0" w:color="auto"/>
              <w:left w:val="single" w:sz="4" w:space="0" w:color="auto"/>
              <w:bottom w:val="single" w:sz="4" w:space="0" w:color="auto"/>
              <w:right w:val="single" w:sz="4" w:space="0" w:color="auto"/>
            </w:tcBorders>
          </w:tcPr>
          <w:p w14:paraId="576202A9" w14:textId="77777777" w:rsidR="00A56EE9" w:rsidRPr="00E70A11" w:rsidRDefault="00A56EE9" w:rsidP="00BB6AD5">
            <w:pPr>
              <w:pStyle w:val="Tablebulletlist"/>
              <w:rPr>
                <w:rStyle w:val="BookTitle"/>
              </w:rPr>
            </w:pPr>
            <w:r w:rsidRPr="00E70A11">
              <w:rPr>
                <w:rStyle w:val="BookTitle"/>
              </w:rPr>
              <w:t>2</w:t>
            </w:r>
          </w:p>
        </w:tc>
        <w:tc>
          <w:tcPr>
            <w:tcW w:w="4552" w:type="dxa"/>
            <w:tcBorders>
              <w:top w:val="single" w:sz="4" w:space="0" w:color="auto"/>
              <w:left w:val="single" w:sz="4" w:space="0" w:color="auto"/>
              <w:bottom w:val="single" w:sz="4" w:space="0" w:color="auto"/>
              <w:right w:val="single" w:sz="4" w:space="0" w:color="auto"/>
            </w:tcBorders>
          </w:tcPr>
          <w:p w14:paraId="576202AA"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Of the ~800 shipwrecks in Queensland less that 9% have been located and less have been positively identified</w:t>
            </w:r>
          </w:p>
          <w:p w14:paraId="576202AB"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Little information has been gathered on the historic heritage of islands. Quality information would assist in the interpretation of heritage to recreational users and managers.</w:t>
            </w:r>
          </w:p>
          <w:p w14:paraId="576202AC" w14:textId="77777777" w:rsidR="00A56EE9" w:rsidRPr="00E70A11" w:rsidRDefault="00A56EE9" w:rsidP="00A11869">
            <w:pPr>
              <w:pStyle w:val="ListParagraph"/>
              <w:numPr>
                <w:ilvl w:val="0"/>
                <w:numId w:val="24"/>
              </w:numPr>
              <w:spacing w:after="0" w:line="276" w:lineRule="auto"/>
              <w:jc w:val="both"/>
              <w:rPr>
                <w:rFonts w:ascii="Arial Narrow" w:hAnsi="Arial Narrow"/>
                <w:sz w:val="18"/>
                <w:szCs w:val="18"/>
                <w:lang w:val="en"/>
              </w:rPr>
            </w:pPr>
            <w:r w:rsidRPr="00E70A11">
              <w:rPr>
                <w:rFonts w:ascii="Arial Narrow" w:hAnsi="Arial Narrow"/>
                <w:sz w:val="18"/>
                <w:szCs w:val="18"/>
                <w:lang w:val="en"/>
              </w:rPr>
              <w:t>The heritage value, Other Values, is poorly recorded and so not easily available to recreational users or managers.</w:t>
            </w:r>
          </w:p>
          <w:p w14:paraId="576202A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
              </w:rPr>
              <w:t>Some recreational vessels continue to use destructive methods of accessing maritime heritage sites; such as tying the vessel off to sites.</w:t>
            </w:r>
            <w:r w:rsidRPr="00E70A11">
              <w:rPr>
                <w:rStyle w:val="BookTitle"/>
                <w:rFonts w:ascii="Arial Narrow" w:hAnsi="Arial Narrow"/>
                <w:sz w:val="18"/>
                <w:szCs w:val="18"/>
              </w:rPr>
              <w:t xml:space="preserve"> </w:t>
            </w:r>
          </w:p>
        </w:tc>
        <w:tc>
          <w:tcPr>
            <w:tcW w:w="4574" w:type="dxa"/>
            <w:tcBorders>
              <w:top w:val="single" w:sz="4" w:space="0" w:color="auto"/>
              <w:left w:val="single" w:sz="4" w:space="0" w:color="auto"/>
              <w:bottom w:val="single" w:sz="4" w:space="0" w:color="auto"/>
              <w:right w:val="single" w:sz="4" w:space="0" w:color="auto"/>
            </w:tcBorders>
          </w:tcPr>
          <w:p w14:paraId="576202A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GBRMPA discussions and workshops</w:t>
            </w:r>
          </w:p>
        </w:tc>
        <w:tc>
          <w:tcPr>
            <w:tcW w:w="992" w:type="dxa"/>
            <w:tcBorders>
              <w:top w:val="single" w:sz="4" w:space="0" w:color="auto"/>
              <w:left w:val="single" w:sz="4" w:space="0" w:color="auto"/>
              <w:bottom w:val="single" w:sz="4" w:space="0" w:color="auto"/>
              <w:right w:val="single" w:sz="4" w:space="0" w:color="auto"/>
            </w:tcBorders>
          </w:tcPr>
          <w:p w14:paraId="576202AF"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2B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BF"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shd w:val="clear" w:color="auto" w:fill="auto"/>
          </w:tcPr>
          <w:p w14:paraId="576202B2"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recreational use</w:t>
            </w:r>
          </w:p>
        </w:tc>
        <w:tc>
          <w:tcPr>
            <w:tcW w:w="709" w:type="dxa"/>
            <w:tcBorders>
              <w:top w:val="single" w:sz="4" w:space="0" w:color="auto"/>
              <w:left w:val="single" w:sz="4" w:space="0" w:color="auto"/>
              <w:bottom w:val="single" w:sz="4" w:space="0" w:color="auto"/>
              <w:right w:val="single" w:sz="4" w:space="0" w:color="auto"/>
            </w:tcBorders>
          </w:tcPr>
          <w:p w14:paraId="576202B3" w14:textId="77777777" w:rsidR="00A56EE9" w:rsidRPr="00E70A11" w:rsidRDefault="00A56EE9" w:rsidP="00BB6AD5">
            <w:pPr>
              <w:pStyle w:val="Tablebulletlist"/>
              <w:rPr>
                <w:rStyle w:val="BookTitle"/>
              </w:rPr>
            </w:pPr>
            <w:r w:rsidRPr="00E70A11">
              <w:rPr>
                <w:rStyle w:val="BookTitle"/>
              </w:rPr>
              <w:t>4</w:t>
            </w:r>
          </w:p>
        </w:tc>
        <w:tc>
          <w:tcPr>
            <w:tcW w:w="4552" w:type="dxa"/>
            <w:tcBorders>
              <w:top w:val="single" w:sz="4" w:space="0" w:color="auto"/>
              <w:left w:val="single" w:sz="4" w:space="0" w:color="auto"/>
              <w:bottom w:val="single" w:sz="4" w:space="0" w:color="auto"/>
              <w:right w:val="single" w:sz="4" w:space="0" w:color="auto"/>
            </w:tcBorders>
          </w:tcPr>
          <w:p w14:paraId="576202B4" w14:textId="3DB0D185"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 xml:space="preserve">Community groups are involved with activities such as coral surveys, monitoring seagrass, </w:t>
            </w:r>
            <w:proofErr w:type="gramStart"/>
            <w:r w:rsidRPr="00E70A11">
              <w:rPr>
                <w:rFonts w:ascii="Arial Narrow" w:hAnsi="Arial Narrow"/>
                <w:sz w:val="18"/>
                <w:szCs w:val="18"/>
              </w:rPr>
              <w:t>clean</w:t>
            </w:r>
            <w:proofErr w:type="gramEnd"/>
            <w:r w:rsidRPr="00E70A11">
              <w:rPr>
                <w:rFonts w:ascii="Arial Narrow" w:hAnsi="Arial Narrow"/>
                <w:sz w:val="18"/>
                <w:szCs w:val="18"/>
              </w:rPr>
              <w:t>-up of marine debris and conduct surveys following cyclone Debbie in 2017. Their contribution to addressing recreation is through assisting with protecting the natural environment and providing community awareness of the values the reef, and impacts of activities.</w:t>
            </w:r>
            <w:r w:rsidR="00242993">
              <w:rPr>
                <w:rFonts w:ascii="Arial Narrow" w:hAnsi="Arial Narrow"/>
                <w:sz w:val="18"/>
                <w:szCs w:val="18"/>
              </w:rPr>
              <w:t xml:space="preserve"> </w:t>
            </w:r>
          </w:p>
          <w:p w14:paraId="576202B5" w14:textId="77777777" w:rsidR="00A56EE9" w:rsidRPr="00E70A11" w:rsidRDefault="00A56EE9" w:rsidP="00A11869">
            <w:pPr>
              <w:pStyle w:val="ListParagraph"/>
              <w:numPr>
                <w:ilvl w:val="0"/>
                <w:numId w:val="24"/>
              </w:numPr>
              <w:spacing w:after="200"/>
              <w:rPr>
                <w:rStyle w:val="BookTitle"/>
                <w:rFonts w:ascii="Arial Narrow" w:hAnsi="Arial Narrow"/>
                <w:sz w:val="18"/>
                <w:szCs w:val="18"/>
              </w:rPr>
            </w:pPr>
            <w:r w:rsidRPr="00E70A11">
              <w:rPr>
                <w:rFonts w:ascii="Arial Narrow" w:hAnsi="Arial Narrow"/>
                <w:sz w:val="18"/>
                <w:szCs w:val="18"/>
              </w:rPr>
              <w:t>The number of these groups is increasing.</w:t>
            </w:r>
          </w:p>
        </w:tc>
        <w:tc>
          <w:tcPr>
            <w:tcW w:w="4574" w:type="dxa"/>
            <w:tcBorders>
              <w:top w:val="single" w:sz="4" w:space="0" w:color="auto"/>
              <w:left w:val="single" w:sz="4" w:space="0" w:color="auto"/>
              <w:bottom w:val="single" w:sz="4" w:space="0" w:color="auto"/>
              <w:right w:val="single" w:sz="4" w:space="0" w:color="auto"/>
            </w:tcBorders>
          </w:tcPr>
          <w:p w14:paraId="576202B6"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642" w:history="1">
              <w:r w:rsidR="00A56EE9" w:rsidRPr="00E70A11">
                <w:rPr>
                  <w:rStyle w:val="Hyperlink"/>
                  <w:rFonts w:ascii="Arial Narrow" w:hAnsi="Arial Narrow"/>
                  <w:sz w:val="18"/>
                  <w:szCs w:val="18"/>
                </w:rPr>
                <w:t>Order of Underwater Coral Heroes</w:t>
              </w:r>
            </w:hyperlink>
            <w:r w:rsidR="00A56EE9" w:rsidRPr="00E70A11">
              <w:rPr>
                <w:rFonts w:ascii="Arial Narrow" w:hAnsi="Arial Narrow"/>
                <w:sz w:val="18"/>
                <w:szCs w:val="18"/>
              </w:rPr>
              <w:t xml:space="preserve"> - (OUCH) e.g. monitoring corals, foreshore mangroves, maintenance of moorings </w:t>
            </w:r>
          </w:p>
          <w:p w14:paraId="576202B7"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643" w:history="1">
              <w:r w:rsidR="00A56EE9" w:rsidRPr="00E70A11">
                <w:rPr>
                  <w:rStyle w:val="Hyperlink"/>
                  <w:rFonts w:ascii="Arial Narrow" w:hAnsi="Arial Narrow"/>
                  <w:sz w:val="18"/>
                  <w:szCs w:val="18"/>
                </w:rPr>
                <w:t>Reef Guardian Schools</w:t>
              </w:r>
            </w:hyperlink>
            <w:r w:rsidR="00A56EE9" w:rsidRPr="00E70A11">
              <w:rPr>
                <w:rFonts w:ascii="Arial Narrow" w:hAnsi="Arial Narrow"/>
                <w:b/>
                <w:bCs/>
                <w:sz w:val="18"/>
                <w:szCs w:val="18"/>
              </w:rPr>
              <w:t xml:space="preserve"> </w:t>
            </w:r>
          </w:p>
          <w:p w14:paraId="576202B8"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644" w:history="1">
              <w:r w:rsidR="00A56EE9" w:rsidRPr="00E70A11">
                <w:rPr>
                  <w:rStyle w:val="Hyperlink"/>
                  <w:rFonts w:ascii="Arial Narrow" w:hAnsi="Arial Narrow"/>
                  <w:sz w:val="18"/>
                  <w:szCs w:val="18"/>
                </w:rPr>
                <w:t>Seagrass-Watch</w:t>
              </w:r>
            </w:hyperlink>
            <w:r w:rsidR="00A56EE9" w:rsidRPr="00E70A11">
              <w:rPr>
                <w:rFonts w:ascii="Arial Narrow" w:hAnsi="Arial Narrow"/>
                <w:sz w:val="18"/>
                <w:szCs w:val="18"/>
              </w:rPr>
              <w:t xml:space="preserve"> - monitoring program collecting data about near-shore seagrasses </w:t>
            </w:r>
          </w:p>
          <w:p w14:paraId="576202B9"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645" w:history="1">
              <w:r w:rsidR="00A56EE9" w:rsidRPr="00E70A11">
                <w:rPr>
                  <w:rStyle w:val="Hyperlink"/>
                  <w:rFonts w:ascii="Arial Narrow" w:hAnsi="Arial Narrow"/>
                  <w:sz w:val="18"/>
                  <w:szCs w:val="18"/>
                </w:rPr>
                <w:t>ReefCheck</w:t>
              </w:r>
            </w:hyperlink>
            <w:r w:rsidR="00A56EE9" w:rsidRPr="00E70A11">
              <w:rPr>
                <w:rFonts w:ascii="Arial Narrow" w:hAnsi="Arial Narrow"/>
                <w:sz w:val="18"/>
                <w:szCs w:val="18"/>
              </w:rPr>
              <w:t xml:space="preserve"> - coral monitoring group </w:t>
            </w:r>
          </w:p>
          <w:p w14:paraId="576202BA"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646" w:history="1">
              <w:r w:rsidR="00A56EE9" w:rsidRPr="00E70A11">
                <w:rPr>
                  <w:rStyle w:val="Hyperlink"/>
                  <w:rFonts w:ascii="Arial Narrow" w:hAnsi="Arial Narrow"/>
                  <w:sz w:val="18"/>
                  <w:szCs w:val="18"/>
                </w:rPr>
                <w:t>Coral Watch</w:t>
              </w:r>
            </w:hyperlink>
          </w:p>
          <w:p w14:paraId="576202BB" w14:textId="76BB178E"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TRRAC and LMACs, community associations, Reef Advisory Committee </w:t>
            </w:r>
            <w:hyperlink r:id="rId1647" w:tooltip="document link" w:history="1">
              <w:r w:rsidRPr="00E70A11">
                <w:rPr>
                  <w:rStyle w:val="Hyperlink"/>
                  <w:rFonts w:ascii="Arial Narrow" w:hAnsi="Arial Narrow"/>
                  <w:sz w:val="18"/>
                  <w:szCs w:val="18"/>
                </w:rPr>
                <w:t>http://www.gbrmpa.gov.au/about-us/local-marine-advisory-committees</w:t>
              </w:r>
            </w:hyperlink>
          </w:p>
          <w:p w14:paraId="576202BC" w14:textId="77777777" w:rsidR="00A56EE9" w:rsidRPr="00E70A11" w:rsidRDefault="008B5998" w:rsidP="00A11869">
            <w:pPr>
              <w:pStyle w:val="ListParagraph"/>
              <w:numPr>
                <w:ilvl w:val="0"/>
                <w:numId w:val="24"/>
              </w:numPr>
              <w:spacing w:after="0"/>
              <w:rPr>
                <w:rStyle w:val="BookTitle"/>
                <w:rFonts w:ascii="Arial Narrow" w:hAnsi="Arial Narrow"/>
                <w:sz w:val="18"/>
                <w:szCs w:val="18"/>
              </w:rPr>
            </w:pPr>
            <w:hyperlink r:id="rId1648" w:history="1">
              <w:r w:rsidR="00A56EE9" w:rsidRPr="00E70A11">
                <w:rPr>
                  <w:rStyle w:val="Hyperlink"/>
                  <w:rFonts w:ascii="Arial Narrow" w:hAnsi="Arial Narrow"/>
                  <w:sz w:val="18"/>
                  <w:szCs w:val="18"/>
                </w:rPr>
                <w:t>Marine Debris Project</w:t>
              </w:r>
            </w:hyperlink>
          </w:p>
        </w:tc>
        <w:tc>
          <w:tcPr>
            <w:tcW w:w="992" w:type="dxa"/>
            <w:tcBorders>
              <w:top w:val="single" w:sz="4" w:space="0" w:color="auto"/>
              <w:left w:val="single" w:sz="4" w:space="0" w:color="auto"/>
              <w:bottom w:val="single" w:sz="4" w:space="0" w:color="auto"/>
              <w:right w:val="single" w:sz="4" w:space="0" w:color="auto"/>
            </w:tcBorders>
          </w:tcPr>
          <w:p w14:paraId="576202BD"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B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2C6"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C0" w14:textId="77777777" w:rsidR="00A56EE9" w:rsidRPr="00E70A11" w:rsidRDefault="00A56EE9" w:rsidP="00BB6AD5">
            <w:pPr>
              <w:pStyle w:val="Tablebulletlist"/>
              <w:rPr>
                <w:rStyle w:val="BookTitle"/>
              </w:rPr>
            </w:pPr>
            <w:r w:rsidRPr="00E70A11">
              <w:rPr>
                <w:rStyle w:val="BookTitle"/>
              </w:rPr>
              <w:t>PROCESSES</w:t>
            </w:r>
          </w:p>
        </w:tc>
        <w:tc>
          <w:tcPr>
            <w:tcW w:w="70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C1" w14:textId="77777777" w:rsidR="00A56EE9" w:rsidRPr="00E70A11" w:rsidRDefault="00A56EE9" w:rsidP="00BB6AD5">
            <w:pPr>
              <w:pStyle w:val="Tablebulletlist"/>
              <w:rPr>
                <w:rStyle w:val="BookTitle"/>
              </w:rPr>
            </w:pPr>
          </w:p>
        </w:tc>
        <w:tc>
          <w:tcPr>
            <w:tcW w:w="455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C2" w14:textId="77777777" w:rsidR="00A56EE9" w:rsidRPr="00E70A11" w:rsidRDefault="00A56EE9" w:rsidP="00BB6AD5">
            <w:pPr>
              <w:pStyle w:val="ListParagraph"/>
              <w:ind w:left="360"/>
              <w:rPr>
                <w:rStyle w:val="BookTitle"/>
                <w:rFonts w:ascii="Arial Narrow" w:hAnsi="Arial Narrow"/>
                <w:sz w:val="18"/>
                <w:szCs w:val="18"/>
              </w:rPr>
            </w:pPr>
          </w:p>
        </w:tc>
        <w:tc>
          <w:tcPr>
            <w:tcW w:w="457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C3"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C4" w14:textId="77777777" w:rsidR="00A56EE9" w:rsidRPr="00E70A11" w:rsidRDefault="00A56EE9" w:rsidP="00BB6AD5">
            <w:pPr>
              <w:pStyle w:val="Tablebulletlist"/>
              <w:rPr>
                <w:rStyle w:val="BookTitle"/>
              </w:rPr>
            </w:pPr>
          </w:p>
        </w:tc>
        <w:tc>
          <w:tcPr>
            <w:tcW w:w="95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2C5" w14:textId="77777777" w:rsidR="00A56EE9" w:rsidRPr="00E70A11" w:rsidRDefault="00A56EE9" w:rsidP="00BB6AD5">
            <w:pPr>
              <w:pStyle w:val="Tablebulletlist"/>
              <w:rPr>
                <w:rStyle w:val="BookTitle"/>
              </w:rPr>
            </w:pPr>
          </w:p>
        </w:tc>
      </w:tr>
      <w:tr w:rsidR="00A56EE9" w:rsidRPr="00E70A11" w14:paraId="576202D3"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C7"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recreational use</w:t>
            </w:r>
          </w:p>
        </w:tc>
        <w:tc>
          <w:tcPr>
            <w:tcW w:w="709" w:type="dxa"/>
            <w:tcBorders>
              <w:top w:val="single" w:sz="4" w:space="0" w:color="auto"/>
              <w:left w:val="single" w:sz="4" w:space="0" w:color="auto"/>
              <w:bottom w:val="single" w:sz="4" w:space="0" w:color="auto"/>
              <w:right w:val="single" w:sz="4" w:space="0" w:color="auto"/>
            </w:tcBorders>
          </w:tcPr>
          <w:p w14:paraId="576202C8"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2C9"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bCs/>
                <w:sz w:val="18"/>
                <w:szCs w:val="18"/>
              </w:rPr>
              <w:t>The</w:t>
            </w:r>
            <w:r w:rsidRPr="00E70A11">
              <w:rPr>
                <w:rFonts w:ascii="Arial Narrow" w:hAnsi="Arial Narrow"/>
                <w:sz w:val="18"/>
                <w:szCs w:val="18"/>
              </w:rPr>
              <w:t xml:space="preserve"> Tourism Reef Advisory Committee</w:t>
            </w:r>
            <w:r>
              <w:rPr>
                <w:rFonts w:ascii="Arial Narrow" w:hAnsi="Arial Narrow"/>
                <w:sz w:val="18"/>
                <w:szCs w:val="18"/>
              </w:rPr>
              <w:t xml:space="preserve"> </w:t>
            </w:r>
            <w:r w:rsidRPr="00E70A11">
              <w:rPr>
                <w:rFonts w:ascii="Arial Narrow" w:hAnsi="Arial Narrow"/>
                <w:sz w:val="18"/>
                <w:szCs w:val="18"/>
              </w:rPr>
              <w:t xml:space="preserve">(TRAC) is regularly consulted as part of the recreation planning for the Reef and includes representatives of Marine Park recreation </w:t>
            </w:r>
          </w:p>
          <w:p w14:paraId="576202CA"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Reef 2050 Reef Advisory Committee also have some consideration of their use.</w:t>
            </w:r>
          </w:p>
          <w:p w14:paraId="576202CB"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Recreation representatives are also included in the 12 LMACs and participate in the ongoing management of Recreation</w:t>
            </w:r>
          </w:p>
          <w:p w14:paraId="576202CC"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Recreational users are also reached through communications campaigns and social media (i.e. Love the Reef # logo)</w:t>
            </w:r>
          </w:p>
          <w:p w14:paraId="576202C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Stakeholders can also provide input during public consultation processes relevant to them (e.g. RMS development, site management arrangements, Plans of Management amendments)</w:t>
            </w:r>
          </w:p>
        </w:tc>
        <w:tc>
          <w:tcPr>
            <w:tcW w:w="4574" w:type="dxa"/>
            <w:tcBorders>
              <w:top w:val="single" w:sz="4" w:space="0" w:color="auto"/>
              <w:left w:val="single" w:sz="4" w:space="0" w:color="auto"/>
              <w:bottom w:val="single" w:sz="4" w:space="0" w:color="auto"/>
              <w:right w:val="single" w:sz="4" w:space="0" w:color="auto"/>
            </w:tcBorders>
          </w:tcPr>
          <w:p w14:paraId="576202CE" w14:textId="7CF4DC54" w:rsidR="00A56EE9" w:rsidRPr="00E70A11" w:rsidRDefault="008B5998" w:rsidP="00A11869">
            <w:pPr>
              <w:pStyle w:val="ListParagraph"/>
              <w:numPr>
                <w:ilvl w:val="0"/>
                <w:numId w:val="24"/>
              </w:numPr>
              <w:rPr>
                <w:rFonts w:ascii="Arial Narrow" w:hAnsi="Arial Narrow"/>
                <w:sz w:val="18"/>
                <w:szCs w:val="18"/>
              </w:rPr>
            </w:pPr>
            <w:hyperlink r:id="rId1649" w:tooltip="document link" w:history="1">
              <w:r w:rsidR="00A56EE9" w:rsidRPr="00E70A11">
                <w:rPr>
                  <w:rStyle w:val="Hyperlink"/>
                  <w:rFonts w:ascii="Arial Narrow" w:hAnsi="Arial Narrow"/>
                  <w:sz w:val="18"/>
                  <w:szCs w:val="18"/>
                </w:rPr>
                <w:t>http://www.gbrmpa.gov.au/about-us/reef-advisory-committee/tourism-and-recreation-reef-advisory-committee</w:t>
              </w:r>
            </w:hyperlink>
          </w:p>
          <w:p w14:paraId="576202CF" w14:textId="2AF9067A" w:rsidR="00A56EE9" w:rsidRPr="00E70A11" w:rsidRDefault="008B5998" w:rsidP="00A11869">
            <w:pPr>
              <w:pStyle w:val="ListParagraph"/>
              <w:numPr>
                <w:ilvl w:val="0"/>
                <w:numId w:val="24"/>
              </w:numPr>
              <w:spacing w:after="200"/>
              <w:rPr>
                <w:rFonts w:ascii="Arial Narrow" w:hAnsi="Arial Narrow"/>
                <w:sz w:val="18"/>
                <w:szCs w:val="18"/>
              </w:rPr>
            </w:pPr>
            <w:hyperlink r:id="rId1650" w:tooltip="document link" w:history="1">
              <w:r w:rsidR="00A56EE9" w:rsidRPr="00E70A11">
                <w:rPr>
                  <w:rStyle w:val="Hyperlink"/>
                  <w:rFonts w:ascii="Arial Narrow" w:hAnsi="Arial Narrow"/>
                  <w:sz w:val="18"/>
                  <w:szCs w:val="18"/>
                </w:rPr>
                <w:t>http://www.gbrmpa.gov.au/zoning-permits-and-plans/plans-of-management</w:t>
              </w:r>
            </w:hyperlink>
          </w:p>
          <w:p w14:paraId="576202D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LMACS http://www.gbrmpa.gov.au/about-us/local-marine-advisory-committees</w:t>
            </w:r>
          </w:p>
        </w:tc>
        <w:tc>
          <w:tcPr>
            <w:tcW w:w="992" w:type="dxa"/>
            <w:tcBorders>
              <w:top w:val="single" w:sz="4" w:space="0" w:color="auto"/>
              <w:left w:val="single" w:sz="4" w:space="0" w:color="auto"/>
              <w:bottom w:val="single" w:sz="4" w:space="0" w:color="auto"/>
              <w:right w:val="single" w:sz="4" w:space="0" w:color="auto"/>
            </w:tcBorders>
          </w:tcPr>
          <w:p w14:paraId="576202D1"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D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DC"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D4"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recreational use</w:t>
            </w:r>
          </w:p>
        </w:tc>
        <w:tc>
          <w:tcPr>
            <w:tcW w:w="709" w:type="dxa"/>
            <w:tcBorders>
              <w:top w:val="single" w:sz="4" w:space="0" w:color="auto"/>
              <w:left w:val="single" w:sz="4" w:space="0" w:color="auto"/>
              <w:bottom w:val="single" w:sz="4" w:space="0" w:color="auto"/>
              <w:right w:val="single" w:sz="4" w:space="0" w:color="auto"/>
            </w:tcBorders>
          </w:tcPr>
          <w:p w14:paraId="576202D5"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2D6"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GBRMPA staff in Regional offices (Cairns, Mackay, Rockhampton interact with recreations users particularly through Community Access Points (CAPs)</w:t>
            </w:r>
          </w:p>
          <w:p w14:paraId="576202D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Consultation with the community has occurred in the development of the Whitsunday Plan of Management</w:t>
            </w:r>
          </w:p>
        </w:tc>
        <w:tc>
          <w:tcPr>
            <w:tcW w:w="4574" w:type="dxa"/>
            <w:tcBorders>
              <w:top w:val="single" w:sz="4" w:space="0" w:color="auto"/>
              <w:left w:val="single" w:sz="4" w:space="0" w:color="auto"/>
              <w:bottom w:val="single" w:sz="4" w:space="0" w:color="auto"/>
              <w:right w:val="single" w:sz="4" w:space="0" w:color="auto"/>
            </w:tcBorders>
          </w:tcPr>
          <w:p w14:paraId="576202D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lang w:val="en-GB"/>
              </w:rPr>
              <w:t>GBRMPA discussions and workshops</w:t>
            </w:r>
          </w:p>
          <w:p w14:paraId="576202D9" w14:textId="16483B3F" w:rsidR="00A56EE9" w:rsidRPr="00E70A11" w:rsidRDefault="008B5998" w:rsidP="00A11869">
            <w:pPr>
              <w:pStyle w:val="ListParagraph"/>
              <w:numPr>
                <w:ilvl w:val="0"/>
                <w:numId w:val="24"/>
              </w:numPr>
              <w:spacing w:after="200"/>
              <w:rPr>
                <w:rStyle w:val="BookTitle"/>
                <w:rFonts w:ascii="Arial Narrow" w:hAnsi="Arial Narrow"/>
                <w:sz w:val="18"/>
                <w:szCs w:val="18"/>
              </w:rPr>
            </w:pPr>
            <w:hyperlink r:id="rId1651" w:tooltip="document link" w:history="1">
              <w:r w:rsidR="00A56EE9" w:rsidRPr="00E70A11">
                <w:rPr>
                  <w:rStyle w:val="Hyperlink"/>
                  <w:rFonts w:ascii="Arial Narrow" w:hAnsi="Arial Narrow"/>
                  <w:sz w:val="18"/>
                  <w:szCs w:val="18"/>
                </w:rPr>
                <w:t>http://www.gbrmpa.gov.au/zoning-permits-and-plans/plans-of-management</w:t>
              </w:r>
            </w:hyperlink>
          </w:p>
        </w:tc>
        <w:tc>
          <w:tcPr>
            <w:tcW w:w="992" w:type="dxa"/>
            <w:tcBorders>
              <w:top w:val="single" w:sz="4" w:space="0" w:color="auto"/>
              <w:left w:val="single" w:sz="4" w:space="0" w:color="auto"/>
              <w:bottom w:val="single" w:sz="4" w:space="0" w:color="auto"/>
              <w:right w:val="single" w:sz="4" w:space="0" w:color="auto"/>
            </w:tcBorders>
          </w:tcPr>
          <w:p w14:paraId="576202DA"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D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E7"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DD"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There is a sound governance system in place to address recreational use</w:t>
            </w:r>
          </w:p>
        </w:tc>
        <w:tc>
          <w:tcPr>
            <w:tcW w:w="709" w:type="dxa"/>
            <w:tcBorders>
              <w:top w:val="single" w:sz="4" w:space="0" w:color="auto"/>
              <w:left w:val="single" w:sz="4" w:space="0" w:color="auto"/>
              <w:bottom w:val="single" w:sz="4" w:space="0" w:color="auto"/>
              <w:right w:val="single" w:sz="4" w:space="0" w:color="auto"/>
            </w:tcBorders>
          </w:tcPr>
          <w:p w14:paraId="576202DE" w14:textId="77777777" w:rsidR="00A56EE9" w:rsidRPr="00E70A11" w:rsidRDefault="00A56EE9" w:rsidP="00BB6AD5">
            <w:pPr>
              <w:pStyle w:val="Tablebulletlist"/>
              <w:rPr>
                <w:rStyle w:val="BookTitle"/>
              </w:rPr>
            </w:pPr>
            <w:r w:rsidRPr="00E70A11">
              <w:rPr>
                <w:rStyle w:val="BookTitle"/>
              </w:rPr>
              <w:t>4</w:t>
            </w:r>
          </w:p>
        </w:tc>
        <w:tc>
          <w:tcPr>
            <w:tcW w:w="4552" w:type="dxa"/>
            <w:tcBorders>
              <w:top w:val="single" w:sz="4" w:space="0" w:color="auto"/>
              <w:left w:val="single" w:sz="4" w:space="0" w:color="auto"/>
              <w:bottom w:val="single" w:sz="4" w:space="0" w:color="auto"/>
              <w:right w:val="single" w:sz="4" w:space="0" w:color="auto"/>
            </w:tcBorders>
          </w:tcPr>
          <w:p w14:paraId="576202DF" w14:textId="77777777" w:rsidR="00A56EE9" w:rsidRPr="00E70A11" w:rsidRDefault="008B5998" w:rsidP="00A11869">
            <w:pPr>
              <w:pStyle w:val="ListParagraph"/>
              <w:numPr>
                <w:ilvl w:val="0"/>
                <w:numId w:val="24"/>
              </w:numPr>
              <w:spacing w:after="200"/>
              <w:rPr>
                <w:rFonts w:ascii="Arial Narrow" w:hAnsi="Arial Narrow"/>
                <w:sz w:val="18"/>
                <w:szCs w:val="18"/>
                <w:u w:val="single"/>
              </w:rPr>
            </w:pPr>
            <w:hyperlink r:id="rId1652" w:history="1">
              <w:r w:rsidR="00A56EE9" w:rsidRPr="00E70A11">
                <w:rPr>
                  <w:rStyle w:val="Hyperlink"/>
                  <w:rFonts w:ascii="Arial Narrow" w:hAnsi="Arial Narrow"/>
                  <w:sz w:val="18"/>
                  <w:szCs w:val="18"/>
                </w:rPr>
                <w:t>Recreational Management Strategy (RMS) GBRMPA (2012)</w:t>
              </w:r>
            </w:hyperlink>
            <w:r w:rsidR="00A56EE9" w:rsidRPr="00E70A11">
              <w:rPr>
                <w:rFonts w:ascii="Arial Narrow" w:hAnsi="Arial Narrow"/>
                <w:sz w:val="18"/>
                <w:szCs w:val="18"/>
              </w:rPr>
              <w:t xml:space="preserve"> - has not been reviewed or updated since adoption </w:t>
            </w:r>
          </w:p>
          <w:p w14:paraId="576202E0" w14:textId="77777777" w:rsidR="00A56EE9" w:rsidRPr="00E70A11" w:rsidRDefault="00A56EE9" w:rsidP="00A11869">
            <w:pPr>
              <w:pStyle w:val="ListParagraph"/>
              <w:numPr>
                <w:ilvl w:val="0"/>
                <w:numId w:val="24"/>
              </w:numPr>
              <w:spacing w:after="200"/>
              <w:rPr>
                <w:rFonts w:ascii="Arial Narrow" w:hAnsi="Arial Narrow"/>
                <w:sz w:val="18"/>
                <w:szCs w:val="18"/>
                <w:u w:val="single"/>
              </w:rPr>
            </w:pPr>
            <w:r w:rsidRPr="00E70A11">
              <w:rPr>
                <w:rFonts w:ascii="Arial Narrow" w:hAnsi="Arial Narrow"/>
                <w:sz w:val="18"/>
                <w:szCs w:val="18"/>
              </w:rPr>
              <w:t>Queensland Assessment Bilateral Agreement – Amended in December 2014, the Assessment Bilateral Agreement between the Commonwealth and Queensland governments aims to reduce duplication of effort between the two governments</w:t>
            </w:r>
          </w:p>
          <w:p w14:paraId="576202E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Legislative requirements to publicly advertise amendments to POMs and MPA policy to have public consultation on all Great Barrier Reef policies.</w:t>
            </w:r>
          </w:p>
        </w:tc>
        <w:tc>
          <w:tcPr>
            <w:tcW w:w="4574" w:type="dxa"/>
            <w:tcBorders>
              <w:top w:val="single" w:sz="4" w:space="0" w:color="auto"/>
              <w:left w:val="single" w:sz="4" w:space="0" w:color="auto"/>
              <w:bottom w:val="single" w:sz="4" w:space="0" w:color="auto"/>
              <w:right w:val="single" w:sz="4" w:space="0" w:color="auto"/>
            </w:tcBorders>
          </w:tcPr>
          <w:p w14:paraId="576202E2"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653" w:history="1">
              <w:r w:rsidR="00A56EE9" w:rsidRPr="00E70A11">
                <w:rPr>
                  <w:rFonts w:ascii="Arial Narrow" w:hAnsi="Arial Narrow"/>
                  <w:sz w:val="18"/>
                  <w:szCs w:val="18"/>
                </w:rPr>
                <w:t>Reef 2050 Long-Term Sustainability Plan</w:t>
              </w:r>
            </w:hyperlink>
          </w:p>
          <w:p w14:paraId="576202E3" w14:textId="77777777" w:rsidR="00A56EE9" w:rsidRPr="00E70A11" w:rsidRDefault="008B5998" w:rsidP="00A11869">
            <w:pPr>
              <w:pStyle w:val="ListParagraph"/>
              <w:numPr>
                <w:ilvl w:val="0"/>
                <w:numId w:val="24"/>
              </w:numPr>
              <w:spacing w:after="0" w:line="276" w:lineRule="auto"/>
              <w:jc w:val="both"/>
              <w:rPr>
                <w:rFonts w:ascii="Arial Narrow" w:hAnsi="Arial Narrow"/>
                <w:sz w:val="18"/>
                <w:szCs w:val="18"/>
              </w:rPr>
            </w:pPr>
            <w:hyperlink r:id="rId1654" w:history="1">
              <w:r w:rsidR="00A56EE9" w:rsidRPr="00E70A11">
                <w:rPr>
                  <w:rFonts w:ascii="Arial Narrow" w:hAnsi="Arial Narrow"/>
                  <w:sz w:val="18"/>
                  <w:szCs w:val="18"/>
                </w:rPr>
                <w:t>Recreational Management Strategy (RMS) GBRMPA (2012)</w:t>
              </w:r>
            </w:hyperlink>
          </w:p>
          <w:p w14:paraId="576202E4" w14:textId="06EA06EB"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Queensland Assessment Bilateral Agreement –</w:t>
            </w:r>
            <w:r>
              <w:rPr>
                <w:rFonts w:ascii="Arial Narrow" w:hAnsi="Arial Narrow"/>
                <w:sz w:val="18"/>
                <w:szCs w:val="18"/>
              </w:rPr>
              <w:t xml:space="preserve"> </w:t>
            </w:r>
            <w:hyperlink r:id="rId1655" w:tooltip="document link" w:history="1">
              <w:r w:rsidRPr="00E70A11">
                <w:rPr>
                  <w:rFonts w:ascii="Arial Narrow" w:hAnsi="Arial Narrow"/>
                  <w:sz w:val="18"/>
                  <w:szCs w:val="18"/>
                </w:rPr>
                <w:t>http://www.environment.gov.au/protection/environment-assessments/bilateral-agreements/qld</w:t>
              </w:r>
            </w:hyperlink>
          </w:p>
        </w:tc>
        <w:tc>
          <w:tcPr>
            <w:tcW w:w="992" w:type="dxa"/>
            <w:tcBorders>
              <w:top w:val="single" w:sz="4" w:space="0" w:color="auto"/>
              <w:left w:val="single" w:sz="4" w:space="0" w:color="auto"/>
              <w:bottom w:val="single" w:sz="4" w:space="0" w:color="auto"/>
              <w:right w:val="single" w:sz="4" w:space="0" w:color="auto"/>
            </w:tcBorders>
          </w:tcPr>
          <w:p w14:paraId="576202E5"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E6"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2F2"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E8"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recreational use</w:t>
            </w:r>
          </w:p>
        </w:tc>
        <w:tc>
          <w:tcPr>
            <w:tcW w:w="709" w:type="dxa"/>
            <w:tcBorders>
              <w:top w:val="single" w:sz="4" w:space="0" w:color="auto"/>
              <w:left w:val="single" w:sz="4" w:space="0" w:color="auto"/>
              <w:bottom w:val="single" w:sz="4" w:space="0" w:color="auto"/>
              <w:right w:val="single" w:sz="4" w:space="0" w:color="auto"/>
            </w:tcBorders>
          </w:tcPr>
          <w:p w14:paraId="576202E9" w14:textId="77777777" w:rsidR="00A56EE9" w:rsidRPr="00E70A11" w:rsidRDefault="00A56EE9" w:rsidP="00BB6AD5">
            <w:pPr>
              <w:pStyle w:val="Tablebulletlist"/>
              <w:rPr>
                <w:rStyle w:val="BookTitle"/>
              </w:rPr>
            </w:pPr>
            <w:r w:rsidRPr="00E70A11">
              <w:rPr>
                <w:rStyle w:val="BookTitle"/>
              </w:rPr>
              <w:t>2</w:t>
            </w:r>
          </w:p>
        </w:tc>
        <w:tc>
          <w:tcPr>
            <w:tcW w:w="4552" w:type="dxa"/>
            <w:tcBorders>
              <w:top w:val="single" w:sz="4" w:space="0" w:color="auto"/>
              <w:left w:val="single" w:sz="4" w:space="0" w:color="auto"/>
              <w:bottom w:val="single" w:sz="4" w:space="0" w:color="auto"/>
              <w:right w:val="single" w:sz="4" w:space="0" w:color="auto"/>
            </w:tcBorders>
          </w:tcPr>
          <w:p w14:paraId="576202EA"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Reviews of Recreational Management Strategy due every five years however this has not been a resource priority</w:t>
            </w:r>
          </w:p>
          <w:p w14:paraId="576202EB"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There is no regular performance monitoring</w:t>
            </w:r>
          </w:p>
          <w:p w14:paraId="576202EC"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 xml:space="preserve">Performance monitoring achieved through Annual Reports and AOP reporting mechanisms. </w:t>
            </w:r>
          </w:p>
          <w:p w14:paraId="576202ED" w14:textId="77777777" w:rsidR="00A56EE9" w:rsidRPr="00E70A11" w:rsidRDefault="00A56EE9" w:rsidP="00A11869">
            <w:pPr>
              <w:pStyle w:val="ListParagraph"/>
              <w:numPr>
                <w:ilvl w:val="0"/>
                <w:numId w:val="24"/>
              </w:numPr>
              <w:spacing w:after="200"/>
              <w:rPr>
                <w:rStyle w:val="BookTitle"/>
                <w:rFonts w:ascii="Arial Narrow" w:hAnsi="Arial Narrow"/>
                <w:sz w:val="18"/>
                <w:szCs w:val="18"/>
              </w:rPr>
            </w:pPr>
            <w:r w:rsidRPr="00E70A11">
              <w:rPr>
                <w:rFonts w:ascii="Arial Narrow" w:hAnsi="Arial Narrow"/>
                <w:sz w:val="18"/>
                <w:szCs w:val="18"/>
              </w:rPr>
              <w:t>There are no specific Key Performance Indicators on recreation in GBRMPA Strategic Plan 2012-2016</w:t>
            </w:r>
          </w:p>
        </w:tc>
        <w:tc>
          <w:tcPr>
            <w:tcW w:w="4574" w:type="dxa"/>
            <w:tcBorders>
              <w:top w:val="single" w:sz="4" w:space="0" w:color="auto"/>
              <w:left w:val="single" w:sz="4" w:space="0" w:color="auto"/>
              <w:bottom w:val="single" w:sz="4" w:space="0" w:color="auto"/>
              <w:right w:val="single" w:sz="4" w:space="0" w:color="auto"/>
            </w:tcBorders>
          </w:tcPr>
          <w:p w14:paraId="576202EE"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1656" w:history="1">
              <w:r w:rsidR="00A56EE9" w:rsidRPr="00E70A11">
                <w:rPr>
                  <w:rStyle w:val="Hyperlink"/>
                  <w:rFonts w:ascii="Arial Narrow" w:hAnsi="Arial Narrow"/>
                  <w:sz w:val="18"/>
                  <w:szCs w:val="18"/>
                  <w:lang w:val="en-GB"/>
                </w:rPr>
                <w:t>Recreational Management Strategy (RMS) GBRMPA (2012)</w:t>
              </w:r>
            </w:hyperlink>
          </w:p>
          <w:p w14:paraId="576202E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GBRMPA Strategic Plan 2012-2016</w:t>
            </w:r>
          </w:p>
        </w:tc>
        <w:tc>
          <w:tcPr>
            <w:tcW w:w="992" w:type="dxa"/>
            <w:tcBorders>
              <w:top w:val="single" w:sz="4" w:space="0" w:color="auto"/>
              <w:left w:val="single" w:sz="4" w:space="0" w:color="auto"/>
              <w:bottom w:val="single" w:sz="4" w:space="0" w:color="auto"/>
              <w:right w:val="single" w:sz="4" w:space="0" w:color="auto"/>
            </w:tcBorders>
          </w:tcPr>
          <w:p w14:paraId="576202F0"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2F1"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202FA"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F3"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recreational use</w:t>
            </w:r>
          </w:p>
        </w:tc>
        <w:tc>
          <w:tcPr>
            <w:tcW w:w="709" w:type="dxa"/>
            <w:tcBorders>
              <w:top w:val="single" w:sz="4" w:space="0" w:color="auto"/>
              <w:left w:val="single" w:sz="4" w:space="0" w:color="auto"/>
              <w:bottom w:val="single" w:sz="4" w:space="0" w:color="auto"/>
              <w:right w:val="single" w:sz="4" w:space="0" w:color="auto"/>
            </w:tcBorders>
          </w:tcPr>
          <w:p w14:paraId="576202F4" w14:textId="77777777" w:rsidR="00A56EE9" w:rsidRPr="00E70A11" w:rsidRDefault="00A56EE9" w:rsidP="00BB6AD5">
            <w:pPr>
              <w:pStyle w:val="Tablebulletlist"/>
              <w:rPr>
                <w:rStyle w:val="BookTitle"/>
              </w:rPr>
            </w:pPr>
            <w:r w:rsidRPr="00E70A11">
              <w:rPr>
                <w:rStyle w:val="BookTitle"/>
              </w:rPr>
              <w:t>2</w:t>
            </w:r>
          </w:p>
        </w:tc>
        <w:tc>
          <w:tcPr>
            <w:tcW w:w="4552" w:type="dxa"/>
            <w:tcBorders>
              <w:top w:val="single" w:sz="4" w:space="0" w:color="auto"/>
              <w:left w:val="single" w:sz="4" w:space="0" w:color="auto"/>
              <w:bottom w:val="single" w:sz="4" w:space="0" w:color="auto"/>
              <w:right w:val="single" w:sz="4" w:space="0" w:color="auto"/>
            </w:tcBorders>
          </w:tcPr>
          <w:p w14:paraId="576202F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No </w:t>
            </w:r>
            <w:r>
              <w:rPr>
                <w:rStyle w:val="BookTitle"/>
                <w:rFonts w:ascii="Arial Narrow" w:hAnsi="Arial Narrow"/>
                <w:sz w:val="18"/>
                <w:szCs w:val="18"/>
              </w:rPr>
              <w:t xml:space="preserve">specific </w:t>
            </w:r>
            <w:r w:rsidRPr="00E70A11">
              <w:rPr>
                <w:rStyle w:val="BookTitle"/>
                <w:rFonts w:ascii="Arial Narrow" w:hAnsi="Arial Narrow"/>
                <w:sz w:val="18"/>
                <w:szCs w:val="18"/>
              </w:rPr>
              <w:t>training was identified by GBRMPA</w:t>
            </w:r>
            <w:r>
              <w:rPr>
                <w:rStyle w:val="BookTitle"/>
                <w:rFonts w:ascii="Arial Narrow" w:hAnsi="Arial Narrow"/>
                <w:sz w:val="18"/>
                <w:szCs w:val="18"/>
              </w:rPr>
              <w:t>, apart from on the job work experience. This has not been identified as a major capacity gap.</w:t>
            </w:r>
          </w:p>
        </w:tc>
        <w:tc>
          <w:tcPr>
            <w:tcW w:w="4574" w:type="dxa"/>
            <w:tcBorders>
              <w:top w:val="single" w:sz="4" w:space="0" w:color="auto"/>
              <w:left w:val="single" w:sz="4" w:space="0" w:color="auto"/>
              <w:bottom w:val="single" w:sz="4" w:space="0" w:color="auto"/>
              <w:right w:val="single" w:sz="4" w:space="0" w:color="auto"/>
            </w:tcBorders>
          </w:tcPr>
          <w:p w14:paraId="576202F6"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lang w:val="en-GB"/>
              </w:rPr>
              <w:t>GBRMPA discussions and workshops</w:t>
            </w:r>
          </w:p>
          <w:p w14:paraId="576202F7" w14:textId="77777777" w:rsidR="00A56EE9" w:rsidRPr="00E70A11" w:rsidRDefault="00A56EE9" w:rsidP="00BB6AD5">
            <w:pPr>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2F8"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2F9"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20304"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2FB"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recreational use is consistently implemented across the relevant jurisdictions</w:t>
            </w:r>
          </w:p>
        </w:tc>
        <w:tc>
          <w:tcPr>
            <w:tcW w:w="709" w:type="dxa"/>
            <w:tcBorders>
              <w:top w:val="single" w:sz="4" w:space="0" w:color="auto"/>
              <w:left w:val="single" w:sz="4" w:space="0" w:color="auto"/>
              <w:bottom w:val="single" w:sz="4" w:space="0" w:color="auto"/>
              <w:right w:val="single" w:sz="4" w:space="0" w:color="auto"/>
            </w:tcBorders>
          </w:tcPr>
          <w:p w14:paraId="576202FC" w14:textId="77777777" w:rsidR="00A56EE9" w:rsidRPr="00E70A11" w:rsidRDefault="00A56EE9" w:rsidP="00BB6AD5">
            <w:pPr>
              <w:pStyle w:val="Tablebulletlist"/>
              <w:rPr>
                <w:rStyle w:val="BookTitle"/>
              </w:rPr>
            </w:pPr>
            <w:r w:rsidRPr="00E70A11">
              <w:rPr>
                <w:rStyle w:val="BookTitle"/>
              </w:rPr>
              <w:t>4</w:t>
            </w:r>
          </w:p>
        </w:tc>
        <w:tc>
          <w:tcPr>
            <w:tcW w:w="4552" w:type="dxa"/>
            <w:tcBorders>
              <w:top w:val="single" w:sz="4" w:space="0" w:color="auto"/>
              <w:left w:val="single" w:sz="4" w:space="0" w:color="auto"/>
              <w:bottom w:val="single" w:sz="4" w:space="0" w:color="auto"/>
              <w:right w:val="single" w:sz="4" w:space="0" w:color="auto"/>
            </w:tcBorders>
          </w:tcPr>
          <w:p w14:paraId="576202FD" w14:textId="77777777" w:rsidR="00A56EE9" w:rsidRPr="00E70A11" w:rsidRDefault="00A56EE9" w:rsidP="00A11869">
            <w:pPr>
              <w:pStyle w:val="ListParagraph"/>
              <w:numPr>
                <w:ilvl w:val="0"/>
                <w:numId w:val="24"/>
              </w:numPr>
              <w:spacing w:after="200"/>
              <w:rPr>
                <w:rFonts w:ascii="Arial Narrow" w:hAnsi="Arial Narrow"/>
                <w:sz w:val="18"/>
                <w:szCs w:val="18"/>
                <w:u w:val="single"/>
              </w:rPr>
            </w:pPr>
            <w:r w:rsidRPr="00E70A11">
              <w:rPr>
                <w:rFonts w:ascii="Arial Narrow" w:hAnsi="Arial Narrow"/>
                <w:sz w:val="18"/>
                <w:szCs w:val="18"/>
              </w:rPr>
              <w:t>The Joint Field Management Program provides management and compliance relevant to recreation, including recreation on islands in the Region.</w:t>
            </w:r>
          </w:p>
          <w:p w14:paraId="576202FE" w14:textId="77777777" w:rsidR="00A56EE9" w:rsidRPr="00E70A11" w:rsidRDefault="00A56EE9" w:rsidP="00A11869">
            <w:pPr>
              <w:pStyle w:val="ListParagraph"/>
              <w:numPr>
                <w:ilvl w:val="0"/>
                <w:numId w:val="24"/>
              </w:numPr>
              <w:spacing w:after="200"/>
              <w:rPr>
                <w:rFonts w:ascii="Arial Narrow" w:hAnsi="Arial Narrow"/>
                <w:sz w:val="18"/>
                <w:szCs w:val="18"/>
                <w:u w:val="single"/>
              </w:rPr>
            </w:pPr>
            <w:r w:rsidRPr="00E70A11">
              <w:rPr>
                <w:rFonts w:ascii="Arial Narrow" w:hAnsi="Arial Narrow"/>
                <w:sz w:val="18"/>
                <w:szCs w:val="18"/>
              </w:rPr>
              <w:t>Coordination between relevant agencies (GBRMPA,</w:t>
            </w:r>
            <w:r>
              <w:rPr>
                <w:rFonts w:ascii="Arial Narrow" w:hAnsi="Arial Narrow"/>
                <w:sz w:val="18"/>
                <w:szCs w:val="18"/>
              </w:rPr>
              <w:t xml:space="preserve"> </w:t>
            </w:r>
            <w:r w:rsidRPr="00E70A11">
              <w:rPr>
                <w:rFonts w:ascii="Arial Narrow" w:hAnsi="Arial Narrow"/>
                <w:sz w:val="18"/>
                <w:szCs w:val="18"/>
              </w:rPr>
              <w:t xml:space="preserve">MSQ, Australian Water Police) to enforce Marine Park Acts, Regulations, Zoning Plans and Plans of Management is high although </w:t>
            </w:r>
            <w:r w:rsidRPr="00E70A11">
              <w:rPr>
                <w:rFonts w:ascii="Arial Narrow" w:hAnsi="Arial Narrow"/>
                <w:bCs/>
                <w:sz w:val="18"/>
                <w:szCs w:val="18"/>
              </w:rPr>
              <w:t xml:space="preserve">compliance </w:t>
            </w:r>
            <w:r w:rsidRPr="00E70A11">
              <w:rPr>
                <w:rFonts w:ascii="Arial Narrow" w:hAnsi="Arial Narrow"/>
                <w:sz w:val="18"/>
                <w:szCs w:val="18"/>
              </w:rPr>
              <w:t>of recreational use has an overall low priority</w:t>
            </w:r>
          </w:p>
          <w:p w14:paraId="576202FF"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bCs/>
                <w:sz w:val="18"/>
                <w:szCs w:val="18"/>
              </w:rPr>
              <w:t>Some products and services</w:t>
            </w:r>
            <w:r w:rsidRPr="00E70A11">
              <w:rPr>
                <w:rFonts w:ascii="Arial Narrow" w:hAnsi="Arial Narrow"/>
                <w:sz w:val="18"/>
                <w:szCs w:val="18"/>
              </w:rPr>
              <w:t xml:space="preserve"> jointly prepared/presented (e.g. maps, brochures)</w:t>
            </w:r>
          </w:p>
          <w:p w14:paraId="57620300" w14:textId="77777777" w:rsidR="00A56EE9" w:rsidRPr="00E70A11" w:rsidRDefault="00A56EE9" w:rsidP="00A11869">
            <w:pPr>
              <w:pStyle w:val="ListParagraph"/>
              <w:numPr>
                <w:ilvl w:val="0"/>
                <w:numId w:val="24"/>
              </w:numPr>
              <w:spacing w:after="200"/>
              <w:rPr>
                <w:rStyle w:val="BookTitle"/>
                <w:rFonts w:ascii="Arial Narrow" w:hAnsi="Arial Narrow"/>
                <w:sz w:val="18"/>
                <w:szCs w:val="18"/>
              </w:rPr>
            </w:pPr>
            <w:r w:rsidRPr="00E70A11">
              <w:rPr>
                <w:rFonts w:ascii="Arial Narrow" w:hAnsi="Arial Narrow"/>
                <w:bCs/>
                <w:sz w:val="18"/>
                <w:szCs w:val="18"/>
              </w:rPr>
              <w:t>Some data sharing</w:t>
            </w:r>
            <w:r w:rsidRPr="00E70A11">
              <w:rPr>
                <w:rFonts w:ascii="Arial Narrow" w:hAnsi="Arial Narrow"/>
                <w:sz w:val="18"/>
                <w:szCs w:val="18"/>
              </w:rPr>
              <w:t xml:space="preserve"> across jurisdictions (e.g. vessel registration)</w:t>
            </w:r>
          </w:p>
        </w:tc>
        <w:tc>
          <w:tcPr>
            <w:tcW w:w="4574" w:type="dxa"/>
            <w:tcBorders>
              <w:top w:val="single" w:sz="4" w:space="0" w:color="auto"/>
              <w:left w:val="single" w:sz="4" w:space="0" w:color="auto"/>
              <w:bottom w:val="single" w:sz="4" w:space="0" w:color="auto"/>
              <w:right w:val="single" w:sz="4" w:space="0" w:color="auto"/>
            </w:tcBorders>
          </w:tcPr>
          <w:p w14:paraId="5762030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Field Management Program </w:t>
            </w:r>
          </w:p>
        </w:tc>
        <w:tc>
          <w:tcPr>
            <w:tcW w:w="992" w:type="dxa"/>
            <w:tcBorders>
              <w:top w:val="single" w:sz="4" w:space="0" w:color="auto"/>
              <w:left w:val="single" w:sz="4" w:space="0" w:color="auto"/>
              <w:bottom w:val="single" w:sz="4" w:space="0" w:color="auto"/>
              <w:right w:val="single" w:sz="4" w:space="0" w:color="auto"/>
            </w:tcBorders>
          </w:tcPr>
          <w:p w14:paraId="57620302"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30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30D"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05"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recreational use</w:t>
            </w:r>
          </w:p>
        </w:tc>
        <w:tc>
          <w:tcPr>
            <w:tcW w:w="709" w:type="dxa"/>
            <w:tcBorders>
              <w:top w:val="single" w:sz="4" w:space="0" w:color="auto"/>
              <w:left w:val="single" w:sz="4" w:space="0" w:color="auto"/>
              <w:bottom w:val="single" w:sz="4" w:space="0" w:color="auto"/>
              <w:right w:val="single" w:sz="4" w:space="0" w:color="auto"/>
            </w:tcBorders>
          </w:tcPr>
          <w:p w14:paraId="57620306"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07"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Regular interaction with recreational stakeholders through TRAC, LMACs and regional offices staff, as well as public consultation processes and communication campaigns, help minimise conflicts and misunderstandings</w:t>
            </w:r>
          </w:p>
          <w:p w14:paraId="57620308" w14:textId="77777777" w:rsidR="00A56EE9" w:rsidRPr="00E70A11" w:rsidRDefault="00A56EE9" w:rsidP="00A11869">
            <w:pPr>
              <w:pStyle w:val="ListParagraph"/>
              <w:numPr>
                <w:ilvl w:val="0"/>
                <w:numId w:val="24"/>
              </w:numPr>
              <w:spacing w:after="200"/>
              <w:rPr>
                <w:rStyle w:val="BookTitle"/>
                <w:rFonts w:ascii="Arial Narrow" w:hAnsi="Arial Narrow"/>
                <w:sz w:val="18"/>
                <w:szCs w:val="18"/>
              </w:rPr>
            </w:pPr>
            <w:r w:rsidRPr="00E70A11">
              <w:rPr>
                <w:rFonts w:ascii="Arial Narrow" w:hAnsi="Arial Narrow"/>
                <w:sz w:val="18"/>
                <w:szCs w:val="18"/>
              </w:rPr>
              <w:t>However, as some recreation stakeholders groups are only broadly known (e.g. cruising yachts and grey nomads) the range of conflicts is not fully identified</w:t>
            </w:r>
          </w:p>
        </w:tc>
        <w:tc>
          <w:tcPr>
            <w:tcW w:w="4574" w:type="dxa"/>
            <w:tcBorders>
              <w:top w:val="single" w:sz="4" w:space="0" w:color="auto"/>
              <w:left w:val="single" w:sz="4" w:space="0" w:color="auto"/>
              <w:bottom w:val="single" w:sz="4" w:space="0" w:color="auto"/>
              <w:right w:val="single" w:sz="4" w:space="0" w:color="auto"/>
            </w:tcBorders>
          </w:tcPr>
          <w:p w14:paraId="57620309" w14:textId="4BC2B225"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TRRAC and LMACs, community associations, Reef Advisory Committee </w:t>
            </w:r>
            <w:hyperlink r:id="rId1657" w:tooltip="document link" w:history="1">
              <w:r w:rsidRPr="00E70A11">
                <w:rPr>
                  <w:rStyle w:val="Hyperlink"/>
                  <w:rFonts w:ascii="Arial Narrow" w:hAnsi="Arial Narrow"/>
                  <w:sz w:val="18"/>
                  <w:szCs w:val="18"/>
                </w:rPr>
                <w:t>http://www.gbrmpa.gov.au/about-us/local-marine-advisory-committees</w:t>
              </w:r>
            </w:hyperlink>
          </w:p>
          <w:p w14:paraId="5762030A"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30B"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0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318"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0E"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recreational use are appropriately considered.</w:t>
            </w:r>
          </w:p>
        </w:tc>
        <w:tc>
          <w:tcPr>
            <w:tcW w:w="709" w:type="dxa"/>
            <w:tcBorders>
              <w:top w:val="single" w:sz="4" w:space="0" w:color="auto"/>
              <w:left w:val="single" w:sz="4" w:space="0" w:color="auto"/>
              <w:bottom w:val="single" w:sz="4" w:space="0" w:color="auto"/>
              <w:right w:val="single" w:sz="4" w:space="0" w:color="auto"/>
            </w:tcBorders>
          </w:tcPr>
          <w:p w14:paraId="5762030F"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10"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Plans of Management</w:t>
            </w:r>
            <w:r>
              <w:rPr>
                <w:rFonts w:ascii="Arial Narrow" w:hAnsi="Arial Narrow"/>
                <w:sz w:val="18"/>
                <w:szCs w:val="18"/>
              </w:rPr>
              <w:t xml:space="preserve"> </w:t>
            </w:r>
            <w:r w:rsidRPr="00E70A11">
              <w:rPr>
                <w:rFonts w:ascii="Arial Narrow" w:hAnsi="Arial Narrow"/>
                <w:sz w:val="18"/>
                <w:szCs w:val="18"/>
              </w:rPr>
              <w:t>consider all impacts, including those for recreation</w:t>
            </w:r>
          </w:p>
          <w:p w14:paraId="57620311"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A </w:t>
            </w:r>
            <w:hyperlink r:id="rId1658" w:history="1">
              <w:r w:rsidRPr="00E70A11">
                <w:rPr>
                  <w:rFonts w:ascii="Arial Narrow" w:hAnsi="Arial Narrow"/>
                  <w:sz w:val="18"/>
                  <w:szCs w:val="18"/>
                </w:rPr>
                <w:t>statement of Management Arrangements in the GBRMP for Super-yacht Operations</w:t>
              </w:r>
            </w:hyperlink>
            <w:r w:rsidRPr="00E70A11">
              <w:rPr>
                <w:rFonts w:ascii="Arial Narrow" w:hAnsi="Arial Narrow"/>
                <w:sz w:val="18"/>
                <w:szCs w:val="18"/>
              </w:rPr>
              <w:t>. It summarises the current management arrangements and explains where super-yachts can go.</w:t>
            </w:r>
          </w:p>
          <w:p w14:paraId="5762031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Impacts area clearly articulated in Recreation Management Strategy, but little evidence of implementation</w:t>
            </w:r>
          </w:p>
        </w:tc>
        <w:tc>
          <w:tcPr>
            <w:tcW w:w="4574" w:type="dxa"/>
            <w:tcBorders>
              <w:top w:val="single" w:sz="4" w:space="0" w:color="auto"/>
              <w:left w:val="single" w:sz="4" w:space="0" w:color="auto"/>
              <w:bottom w:val="single" w:sz="4" w:space="0" w:color="auto"/>
              <w:right w:val="single" w:sz="4" w:space="0" w:color="auto"/>
            </w:tcBorders>
          </w:tcPr>
          <w:p w14:paraId="57620313" w14:textId="77777777" w:rsidR="00A56EE9" w:rsidRPr="00E70A11" w:rsidRDefault="00A56EE9" w:rsidP="00A11869">
            <w:pPr>
              <w:pStyle w:val="ListParagraph"/>
              <w:numPr>
                <w:ilvl w:val="0"/>
                <w:numId w:val="24"/>
              </w:numPr>
              <w:spacing w:after="0" w:line="276" w:lineRule="auto"/>
              <w:jc w:val="both"/>
              <w:rPr>
                <w:rFonts w:ascii="Arial Narrow" w:hAnsi="Arial Narrow"/>
                <w:sz w:val="18"/>
                <w:szCs w:val="18"/>
              </w:rPr>
            </w:pPr>
            <w:r w:rsidRPr="00E70A11">
              <w:rPr>
                <w:rFonts w:ascii="Arial Narrow" w:hAnsi="Arial Narrow"/>
                <w:sz w:val="18"/>
                <w:szCs w:val="18"/>
              </w:rPr>
              <w:t xml:space="preserve">A </w:t>
            </w:r>
            <w:hyperlink r:id="rId1659" w:history="1">
              <w:r w:rsidRPr="00E70A11">
                <w:rPr>
                  <w:rFonts w:ascii="Arial Narrow" w:hAnsi="Arial Narrow"/>
                  <w:sz w:val="18"/>
                  <w:szCs w:val="18"/>
                </w:rPr>
                <w:t>statement of Management Arrangements in the GBRMP for Super-yacht Operations</w:t>
              </w:r>
            </w:hyperlink>
          </w:p>
          <w:p w14:paraId="57620314" w14:textId="77777777" w:rsidR="00A56EE9" w:rsidRPr="00E70A11" w:rsidRDefault="008B5998" w:rsidP="00A11869">
            <w:pPr>
              <w:pStyle w:val="ListParagraph"/>
              <w:numPr>
                <w:ilvl w:val="0"/>
                <w:numId w:val="24"/>
              </w:numPr>
              <w:spacing w:after="0" w:line="276" w:lineRule="auto"/>
              <w:jc w:val="both"/>
              <w:rPr>
                <w:rFonts w:ascii="Arial Narrow" w:hAnsi="Arial Narrow"/>
                <w:sz w:val="18"/>
                <w:szCs w:val="18"/>
              </w:rPr>
            </w:pPr>
            <w:hyperlink r:id="rId1660" w:history="1">
              <w:r w:rsidR="00A56EE9" w:rsidRPr="00E70A11">
                <w:rPr>
                  <w:rFonts w:ascii="Arial Narrow" w:hAnsi="Arial Narrow"/>
                  <w:sz w:val="18"/>
                  <w:szCs w:val="18"/>
                </w:rPr>
                <w:t>Recreational Management Strategy (RMS) GBRMPA (2012)</w:t>
              </w:r>
            </w:hyperlink>
          </w:p>
          <w:p w14:paraId="57620315"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661" w:history="1">
              <w:r w:rsidR="00A56EE9" w:rsidRPr="00E70A11">
                <w:rPr>
                  <w:rFonts w:ascii="Arial Narrow" w:hAnsi="Arial Narrow"/>
                  <w:sz w:val="18"/>
                  <w:szCs w:val="18"/>
                </w:rPr>
                <w:t>Spearfishing in the Whitsundays</w:t>
              </w:r>
            </w:hyperlink>
          </w:p>
        </w:tc>
        <w:tc>
          <w:tcPr>
            <w:tcW w:w="992" w:type="dxa"/>
            <w:tcBorders>
              <w:top w:val="single" w:sz="4" w:space="0" w:color="auto"/>
              <w:left w:val="single" w:sz="4" w:space="0" w:color="auto"/>
              <w:bottom w:val="single" w:sz="4" w:space="0" w:color="auto"/>
              <w:right w:val="single" w:sz="4" w:space="0" w:color="auto"/>
            </w:tcBorders>
          </w:tcPr>
          <w:p w14:paraId="57620316"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1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320"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19"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recreational use</w:t>
            </w:r>
          </w:p>
        </w:tc>
        <w:tc>
          <w:tcPr>
            <w:tcW w:w="709" w:type="dxa"/>
            <w:tcBorders>
              <w:top w:val="single" w:sz="4" w:space="0" w:color="auto"/>
              <w:left w:val="single" w:sz="4" w:space="0" w:color="auto"/>
              <w:bottom w:val="single" w:sz="4" w:space="0" w:color="auto"/>
              <w:right w:val="single" w:sz="4" w:space="0" w:color="auto"/>
            </w:tcBorders>
          </w:tcPr>
          <w:p w14:paraId="5762031A" w14:textId="77777777" w:rsidR="00A56EE9" w:rsidRPr="00E70A11" w:rsidRDefault="00A56EE9" w:rsidP="00BB6AD5">
            <w:pPr>
              <w:pStyle w:val="Tablebulletlist"/>
              <w:rPr>
                <w:rStyle w:val="BookTitle"/>
              </w:rPr>
            </w:pPr>
            <w:r w:rsidRPr="00E70A11">
              <w:rPr>
                <w:rStyle w:val="BookTitle"/>
              </w:rPr>
              <w:t xml:space="preserve">3 </w:t>
            </w:r>
          </w:p>
        </w:tc>
        <w:tc>
          <w:tcPr>
            <w:tcW w:w="4552" w:type="dxa"/>
            <w:tcBorders>
              <w:top w:val="single" w:sz="4" w:space="0" w:color="auto"/>
              <w:left w:val="single" w:sz="4" w:space="0" w:color="auto"/>
              <w:bottom w:val="single" w:sz="4" w:space="0" w:color="auto"/>
              <w:right w:val="single" w:sz="4" w:space="0" w:color="auto"/>
            </w:tcBorders>
          </w:tcPr>
          <w:p w14:paraId="5762031B"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Recreation Management Strategy was based on latest biophysical research and monitoring information relevant to recreation, however this has not been up-dated since 2012</w:t>
            </w:r>
          </w:p>
          <w:p w14:paraId="5762031C"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Contemporary Biophysical data on Maritime Cultural Heritage sites is non-existent.</w:t>
            </w:r>
          </w:p>
        </w:tc>
        <w:tc>
          <w:tcPr>
            <w:tcW w:w="4574" w:type="dxa"/>
            <w:tcBorders>
              <w:top w:val="single" w:sz="4" w:space="0" w:color="auto"/>
              <w:left w:val="single" w:sz="4" w:space="0" w:color="auto"/>
              <w:bottom w:val="single" w:sz="4" w:space="0" w:color="auto"/>
              <w:right w:val="single" w:sz="4" w:space="0" w:color="auto"/>
            </w:tcBorders>
          </w:tcPr>
          <w:p w14:paraId="5762031D" w14:textId="616ED9EF"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 xml:space="preserve">Recreational Management Strategy (RMS) </w:t>
            </w:r>
            <w:hyperlink r:id="rId1662" w:tooltip="document link" w:history="1">
              <w:r w:rsidRPr="00E70A11">
                <w:rPr>
                  <w:rStyle w:val="Hyperlink"/>
                  <w:rFonts w:ascii="Arial Narrow" w:hAnsi="Arial Narrow"/>
                  <w:sz w:val="18"/>
                  <w:szCs w:val="18"/>
                  <w:lang w:val="en-GB"/>
                </w:rPr>
                <w:t>http://www.gbrmpa.gov.au/about-the-reef/how-the-reefs-managed/recreation-in-the-great-barrier-reef-marine-park</w:t>
              </w:r>
            </w:hyperlink>
          </w:p>
        </w:tc>
        <w:tc>
          <w:tcPr>
            <w:tcW w:w="992" w:type="dxa"/>
            <w:tcBorders>
              <w:top w:val="single" w:sz="4" w:space="0" w:color="auto"/>
              <w:left w:val="single" w:sz="4" w:space="0" w:color="auto"/>
              <w:bottom w:val="single" w:sz="4" w:space="0" w:color="auto"/>
              <w:right w:val="single" w:sz="4" w:space="0" w:color="auto"/>
            </w:tcBorders>
          </w:tcPr>
          <w:p w14:paraId="5762031E"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1F"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2032B"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21"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recreational use</w:t>
            </w:r>
          </w:p>
        </w:tc>
        <w:tc>
          <w:tcPr>
            <w:tcW w:w="709" w:type="dxa"/>
            <w:tcBorders>
              <w:top w:val="single" w:sz="4" w:space="0" w:color="auto"/>
              <w:left w:val="single" w:sz="4" w:space="0" w:color="auto"/>
              <w:bottom w:val="single" w:sz="4" w:space="0" w:color="auto"/>
              <w:right w:val="single" w:sz="4" w:space="0" w:color="auto"/>
            </w:tcBorders>
          </w:tcPr>
          <w:p w14:paraId="57620322"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23"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 Recreation Management Strategy was based on the latest socio-economic research and monitoring information relevant to recreation available at the time, but has not been updated with new information. </w:t>
            </w:r>
          </w:p>
          <w:p w14:paraId="57620324"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Deloitte Access Economics recently estimated the economic contribution of Reef-related recreation to the national economy. Regular monitoring of this economic contribution will help managers' respond appropriately to changes in recreational use, and enable the Authority to promote the importance of a healthy Reef ecosystem for recreation</w:t>
            </w:r>
          </w:p>
        </w:tc>
        <w:tc>
          <w:tcPr>
            <w:tcW w:w="4574" w:type="dxa"/>
            <w:tcBorders>
              <w:top w:val="single" w:sz="4" w:space="0" w:color="auto"/>
              <w:left w:val="single" w:sz="4" w:space="0" w:color="auto"/>
              <w:bottom w:val="single" w:sz="4" w:space="0" w:color="auto"/>
              <w:right w:val="single" w:sz="4" w:space="0" w:color="auto"/>
            </w:tcBorders>
          </w:tcPr>
          <w:p w14:paraId="57620325"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lang w:val="en"/>
              </w:rPr>
              <w:t xml:space="preserve">Deloitte Access Economics, </w:t>
            </w:r>
            <w:hyperlink r:id="rId1663" w:history="1">
              <w:proofErr w:type="gramStart"/>
              <w:r w:rsidRPr="00E70A11">
                <w:rPr>
                  <w:rStyle w:val="Hyperlink"/>
                  <w:rFonts w:ascii="Arial Narrow" w:hAnsi="Arial Narrow"/>
                  <w:sz w:val="18"/>
                  <w:szCs w:val="18"/>
                </w:rPr>
                <w:t>At</w:t>
              </w:r>
              <w:proofErr w:type="gramEnd"/>
              <w:r w:rsidRPr="00E70A11">
                <w:rPr>
                  <w:rStyle w:val="Hyperlink"/>
                  <w:rFonts w:ascii="Arial Narrow" w:hAnsi="Arial Narrow"/>
                  <w:sz w:val="18"/>
                  <w:szCs w:val="18"/>
                </w:rPr>
                <w:t xml:space="preserve"> what price? The economic, social and icon value of the Great Barrier Reef (2017)</w:t>
              </w:r>
            </w:hyperlink>
            <w:r w:rsidRPr="00E70A11">
              <w:rPr>
                <w:rFonts w:ascii="Arial Narrow" w:hAnsi="Arial Narrow"/>
                <w:sz w:val="18"/>
                <w:szCs w:val="18"/>
              </w:rPr>
              <w:t xml:space="preserve"> </w:t>
            </w:r>
          </w:p>
          <w:p w14:paraId="57620326"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lang w:val="en"/>
              </w:rPr>
              <w:t xml:space="preserve">Deloitte Access Economics, </w:t>
            </w:r>
            <w:hyperlink r:id="rId1664" w:history="1">
              <w:r w:rsidRPr="00E70A11">
                <w:rPr>
                  <w:rStyle w:val="Hyperlink"/>
                  <w:rFonts w:ascii="Arial Narrow" w:hAnsi="Arial Narrow"/>
                  <w:sz w:val="18"/>
                  <w:szCs w:val="18"/>
                </w:rPr>
                <w:t>Confidently Queensland Liveable communities, Diversified economy, Inclusive growth (2017)</w:t>
              </w:r>
            </w:hyperlink>
          </w:p>
          <w:p w14:paraId="57620327" w14:textId="42A61AA9"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 xml:space="preserve">Recreational Management Strategy (RMS) </w:t>
            </w:r>
            <w:hyperlink r:id="rId1665" w:tooltip="document link" w:history="1">
              <w:r w:rsidRPr="00E70A11">
                <w:rPr>
                  <w:rStyle w:val="Hyperlink"/>
                  <w:rFonts w:ascii="Arial Narrow" w:hAnsi="Arial Narrow"/>
                  <w:sz w:val="18"/>
                  <w:szCs w:val="18"/>
                </w:rPr>
                <w:t>http://www.gbrmpa.gov.au/about-the-reef/how-the-reefs-managed/recreation-in-the-great-barrier-reef-marine-park</w:t>
              </w:r>
            </w:hyperlink>
          </w:p>
          <w:p w14:paraId="5762032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329" w14:textId="77777777" w:rsidR="00A56EE9" w:rsidRPr="00E70A11" w:rsidRDefault="00A56EE9" w:rsidP="00BB6AD5">
            <w:pPr>
              <w:pStyle w:val="Tablebulletlist"/>
              <w:rPr>
                <w:rStyle w:val="BookTitle"/>
              </w:rPr>
            </w:pPr>
            <w:r w:rsidRPr="00E70A11">
              <w:rPr>
                <w:rStyle w:val="BookTitle"/>
              </w:rPr>
              <w:t xml:space="preserve">Adequate </w:t>
            </w:r>
          </w:p>
        </w:tc>
        <w:tc>
          <w:tcPr>
            <w:tcW w:w="955" w:type="dxa"/>
            <w:tcBorders>
              <w:top w:val="single" w:sz="4" w:space="0" w:color="auto"/>
              <w:left w:val="single" w:sz="4" w:space="0" w:color="auto"/>
              <w:bottom w:val="single" w:sz="4" w:space="0" w:color="auto"/>
              <w:right w:val="single" w:sz="4" w:space="0" w:color="auto"/>
            </w:tcBorders>
          </w:tcPr>
          <w:p w14:paraId="5762032A"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332"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2C"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recreational use</w:t>
            </w:r>
          </w:p>
        </w:tc>
        <w:tc>
          <w:tcPr>
            <w:tcW w:w="709" w:type="dxa"/>
            <w:tcBorders>
              <w:top w:val="single" w:sz="4" w:space="0" w:color="auto"/>
              <w:left w:val="single" w:sz="4" w:space="0" w:color="auto"/>
              <w:bottom w:val="single" w:sz="4" w:space="0" w:color="auto"/>
              <w:right w:val="single" w:sz="4" w:space="0" w:color="auto"/>
            </w:tcBorders>
          </w:tcPr>
          <w:p w14:paraId="5762032D"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2E"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rPr>
              <w:t>The Recreation Management Strategy clearly identified the need to improve Traditional Owners engagement and knowledge, but it does not indicate if this has occurred</w:t>
            </w:r>
          </w:p>
        </w:tc>
        <w:tc>
          <w:tcPr>
            <w:tcW w:w="4574" w:type="dxa"/>
            <w:tcBorders>
              <w:top w:val="single" w:sz="4" w:space="0" w:color="auto"/>
              <w:left w:val="single" w:sz="4" w:space="0" w:color="auto"/>
              <w:bottom w:val="single" w:sz="4" w:space="0" w:color="auto"/>
              <w:right w:val="single" w:sz="4" w:space="0" w:color="auto"/>
            </w:tcBorders>
          </w:tcPr>
          <w:p w14:paraId="5762032F" w14:textId="389A9032"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lang w:val="en-GB"/>
              </w:rPr>
              <w:t xml:space="preserve">Recreational Management Strategy (RMS) </w:t>
            </w:r>
            <w:hyperlink r:id="rId1666" w:tooltip="document link" w:history="1">
              <w:r w:rsidRPr="00E70A11">
                <w:rPr>
                  <w:rStyle w:val="Hyperlink"/>
                  <w:rFonts w:ascii="Arial Narrow" w:hAnsi="Arial Narrow"/>
                  <w:sz w:val="18"/>
                  <w:szCs w:val="18"/>
                  <w:lang w:val="en-GB"/>
                </w:rPr>
                <w:t>http://www.gbrmpa.gov.au/about-the-reef/how-the-reefs-managed/recreation-in-the-great-barrier-reef-marine-park</w:t>
              </w:r>
            </w:hyperlink>
          </w:p>
        </w:tc>
        <w:tc>
          <w:tcPr>
            <w:tcW w:w="992" w:type="dxa"/>
            <w:tcBorders>
              <w:top w:val="single" w:sz="4" w:space="0" w:color="auto"/>
              <w:left w:val="single" w:sz="4" w:space="0" w:color="auto"/>
              <w:bottom w:val="single" w:sz="4" w:space="0" w:color="auto"/>
              <w:right w:val="single" w:sz="4" w:space="0" w:color="auto"/>
            </w:tcBorders>
          </w:tcPr>
          <w:p w14:paraId="57620330"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33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339"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33"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recreational use</w:t>
            </w:r>
          </w:p>
        </w:tc>
        <w:tc>
          <w:tcPr>
            <w:tcW w:w="709" w:type="dxa"/>
            <w:tcBorders>
              <w:top w:val="single" w:sz="4" w:space="0" w:color="auto"/>
              <w:left w:val="single" w:sz="4" w:space="0" w:color="auto"/>
              <w:bottom w:val="single" w:sz="4" w:space="0" w:color="auto"/>
              <w:right w:val="single" w:sz="4" w:space="0" w:color="auto"/>
            </w:tcBorders>
          </w:tcPr>
          <w:p w14:paraId="57620334"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3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Managers uses existing knowledge especially of Commonwealth heritage listed properties </w:t>
            </w:r>
          </w:p>
        </w:tc>
        <w:tc>
          <w:tcPr>
            <w:tcW w:w="4574" w:type="dxa"/>
            <w:tcBorders>
              <w:top w:val="single" w:sz="4" w:space="0" w:color="auto"/>
              <w:left w:val="single" w:sz="4" w:space="0" w:color="auto"/>
              <w:bottom w:val="single" w:sz="4" w:space="0" w:color="auto"/>
              <w:right w:val="single" w:sz="4" w:space="0" w:color="auto"/>
            </w:tcBorders>
          </w:tcPr>
          <w:p w14:paraId="5762033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workshop discussions </w:t>
            </w:r>
          </w:p>
        </w:tc>
        <w:tc>
          <w:tcPr>
            <w:tcW w:w="992" w:type="dxa"/>
            <w:tcBorders>
              <w:top w:val="single" w:sz="4" w:space="0" w:color="auto"/>
              <w:left w:val="single" w:sz="4" w:space="0" w:color="auto"/>
              <w:bottom w:val="single" w:sz="4" w:space="0" w:color="auto"/>
              <w:right w:val="single" w:sz="4" w:space="0" w:color="auto"/>
            </w:tcBorders>
          </w:tcPr>
          <w:p w14:paraId="57620337" w14:textId="77777777" w:rsidR="00A56EE9" w:rsidRPr="00E70A11" w:rsidRDefault="00A56EE9" w:rsidP="00BB6AD5">
            <w:pPr>
              <w:pStyle w:val="Tablebulletlist"/>
              <w:rPr>
                <w:rStyle w:val="BookTitle"/>
              </w:rPr>
            </w:pPr>
            <w:r>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38" w14:textId="77777777" w:rsidR="00A56EE9" w:rsidRPr="00E70A11" w:rsidRDefault="00A56EE9" w:rsidP="00BB6AD5">
            <w:pPr>
              <w:pStyle w:val="Tablebulletlist"/>
              <w:rPr>
                <w:rStyle w:val="BookTitle"/>
              </w:rPr>
            </w:pPr>
            <w:r>
              <w:rPr>
                <w:rStyle w:val="BookTitle"/>
              </w:rPr>
              <w:t xml:space="preserve">Improving </w:t>
            </w:r>
          </w:p>
        </w:tc>
      </w:tr>
      <w:tr w:rsidR="00A56EE9" w:rsidRPr="00E70A11" w14:paraId="57620345"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shd w:val="clear" w:color="auto" w:fill="auto"/>
          </w:tcPr>
          <w:p w14:paraId="5762033A"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recreational use</w:t>
            </w:r>
          </w:p>
        </w:tc>
        <w:tc>
          <w:tcPr>
            <w:tcW w:w="709" w:type="dxa"/>
            <w:tcBorders>
              <w:top w:val="single" w:sz="4" w:space="0" w:color="auto"/>
              <w:left w:val="single" w:sz="4" w:space="0" w:color="auto"/>
              <w:bottom w:val="single" w:sz="4" w:space="0" w:color="auto"/>
              <w:right w:val="single" w:sz="4" w:space="0" w:color="auto"/>
            </w:tcBorders>
          </w:tcPr>
          <w:p w14:paraId="5762033B"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3C" w14:textId="77777777" w:rsidR="00A56EE9" w:rsidRPr="00E70A11" w:rsidRDefault="008B5998" w:rsidP="00A11869">
            <w:pPr>
              <w:pStyle w:val="ListParagraph"/>
              <w:numPr>
                <w:ilvl w:val="0"/>
                <w:numId w:val="24"/>
              </w:numPr>
              <w:spacing w:line="276" w:lineRule="auto"/>
              <w:rPr>
                <w:rFonts w:ascii="Arial Narrow" w:hAnsi="Arial Narrow"/>
                <w:sz w:val="18"/>
                <w:szCs w:val="18"/>
              </w:rPr>
            </w:pPr>
            <w:hyperlink r:id="rId1667" w:history="1">
              <w:r w:rsidR="00A56EE9" w:rsidRPr="00E70A11">
                <w:rPr>
                  <w:rStyle w:val="Hyperlink"/>
                  <w:rFonts w:ascii="Arial Narrow" w:hAnsi="Arial Narrow"/>
                  <w:sz w:val="18"/>
                  <w:szCs w:val="18"/>
                </w:rPr>
                <w:t>Responsible Reef Practices</w:t>
              </w:r>
            </w:hyperlink>
            <w:r w:rsidR="00A56EE9" w:rsidRPr="00E70A11">
              <w:rPr>
                <w:rFonts w:ascii="Arial Narrow" w:hAnsi="Arial Narrow"/>
                <w:sz w:val="18"/>
                <w:szCs w:val="18"/>
              </w:rPr>
              <w:t xml:space="preserve"> provide best practice guidelines for a range of recreational activities on the Reef including anchoring and mooring, bird watching, motorised water sports, visiting islands and cays and boating and yachting. In 2017, key aspects of Responsible Reef Practices have been converted into visual icons that are being promoted by the agency.</w:t>
            </w:r>
          </w:p>
          <w:p w14:paraId="5762033D"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bCs/>
                <w:sz w:val="18"/>
                <w:szCs w:val="18"/>
              </w:rPr>
              <w:t>Whale watching</w:t>
            </w:r>
            <w:r w:rsidRPr="00E70A11">
              <w:rPr>
                <w:rFonts w:ascii="Arial Narrow" w:hAnsi="Arial Narrow"/>
                <w:sz w:val="18"/>
                <w:szCs w:val="18"/>
              </w:rPr>
              <w:t xml:space="preserve"> guidelines (national). These are compulsory</w:t>
            </w:r>
          </w:p>
          <w:p w14:paraId="5762033E"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bCs/>
                <w:sz w:val="18"/>
                <w:szCs w:val="18"/>
              </w:rPr>
              <w:t>OH&amp;S</w:t>
            </w:r>
            <w:r w:rsidRPr="00E70A11">
              <w:rPr>
                <w:rFonts w:ascii="Arial Narrow" w:hAnsi="Arial Narrow"/>
                <w:sz w:val="18"/>
                <w:szCs w:val="18"/>
              </w:rPr>
              <w:t xml:space="preserve"> standards</w:t>
            </w:r>
          </w:p>
          <w:p w14:paraId="5762033F" w14:textId="77777777" w:rsidR="00A56EE9" w:rsidRPr="00E70A11" w:rsidRDefault="00A56EE9" w:rsidP="00A11869">
            <w:pPr>
              <w:pStyle w:val="ListParagraph"/>
              <w:numPr>
                <w:ilvl w:val="0"/>
                <w:numId w:val="24"/>
              </w:numPr>
              <w:rPr>
                <w:rStyle w:val="BookTitle"/>
                <w:rFonts w:ascii="Arial Narrow" w:hAnsi="Arial Narrow"/>
                <w:sz w:val="18"/>
                <w:szCs w:val="18"/>
              </w:rPr>
            </w:pPr>
            <w:r w:rsidRPr="00E70A11">
              <w:rPr>
                <w:rFonts w:ascii="Arial Narrow" w:hAnsi="Arial Narrow"/>
                <w:sz w:val="18"/>
                <w:szCs w:val="18"/>
              </w:rPr>
              <w:t>Vessel standards (MSQ)</w:t>
            </w:r>
          </w:p>
        </w:tc>
        <w:tc>
          <w:tcPr>
            <w:tcW w:w="4574" w:type="dxa"/>
            <w:tcBorders>
              <w:top w:val="single" w:sz="4" w:space="0" w:color="auto"/>
              <w:left w:val="single" w:sz="4" w:space="0" w:color="auto"/>
              <w:bottom w:val="single" w:sz="4" w:space="0" w:color="auto"/>
              <w:right w:val="single" w:sz="4" w:space="0" w:color="auto"/>
            </w:tcBorders>
          </w:tcPr>
          <w:p w14:paraId="57620340" w14:textId="77777777" w:rsidR="00A56EE9" w:rsidRPr="00E70A11" w:rsidRDefault="008B5998" w:rsidP="00A11869">
            <w:pPr>
              <w:pStyle w:val="ListParagraph"/>
              <w:numPr>
                <w:ilvl w:val="0"/>
                <w:numId w:val="24"/>
              </w:numPr>
              <w:spacing w:after="0" w:line="276" w:lineRule="auto"/>
              <w:jc w:val="both"/>
              <w:rPr>
                <w:rStyle w:val="BookTitle"/>
                <w:rFonts w:ascii="Arial Narrow" w:eastAsia="Times New Roman" w:hAnsi="Arial Narrow"/>
                <w:sz w:val="18"/>
                <w:szCs w:val="18"/>
              </w:rPr>
            </w:pPr>
            <w:hyperlink r:id="rId1668" w:history="1">
              <w:r w:rsidR="00A56EE9" w:rsidRPr="00E70A11">
                <w:rPr>
                  <w:rStyle w:val="BookTitle"/>
                  <w:rFonts w:ascii="Arial Narrow" w:eastAsia="Times New Roman" w:hAnsi="Arial Narrow"/>
                  <w:sz w:val="18"/>
                  <w:szCs w:val="18"/>
                </w:rPr>
                <w:t>Whale and Dolphin Watching Safety</w:t>
              </w:r>
            </w:hyperlink>
            <w:r w:rsidR="00A56EE9" w:rsidRPr="00E70A11">
              <w:rPr>
                <w:rStyle w:val="BookTitle"/>
                <w:rFonts w:ascii="Arial Narrow" w:eastAsia="Times New Roman" w:hAnsi="Arial Narrow"/>
                <w:sz w:val="18"/>
                <w:szCs w:val="18"/>
              </w:rPr>
              <w:t xml:space="preserve"> </w:t>
            </w:r>
          </w:p>
          <w:p w14:paraId="57620341" w14:textId="77777777" w:rsidR="00A56EE9" w:rsidRPr="00E70A11" w:rsidRDefault="00A56EE9" w:rsidP="00A11869">
            <w:pPr>
              <w:pStyle w:val="ListParagraph"/>
              <w:numPr>
                <w:ilvl w:val="0"/>
                <w:numId w:val="24"/>
              </w:numPr>
              <w:spacing w:after="0" w:line="276" w:lineRule="auto"/>
              <w:jc w:val="both"/>
              <w:rPr>
                <w:rStyle w:val="BookTitle"/>
                <w:rFonts w:ascii="Arial Narrow" w:eastAsia="Times New Roman" w:hAnsi="Arial Narrow"/>
                <w:sz w:val="18"/>
                <w:szCs w:val="18"/>
              </w:rPr>
            </w:pPr>
            <w:r w:rsidRPr="00E70A11">
              <w:rPr>
                <w:rStyle w:val="BookTitle"/>
                <w:rFonts w:ascii="Arial Narrow" w:eastAsia="Times New Roman" w:hAnsi="Arial Narrow"/>
                <w:sz w:val="18"/>
                <w:szCs w:val="18"/>
              </w:rPr>
              <w:t xml:space="preserve">Qld MSQ </w:t>
            </w:r>
            <w:hyperlink r:id="rId1669" w:history="1">
              <w:r w:rsidRPr="00E70A11">
                <w:rPr>
                  <w:rStyle w:val="BookTitle"/>
                  <w:rFonts w:ascii="Arial Narrow" w:eastAsia="Times New Roman" w:hAnsi="Arial Narrow"/>
                  <w:sz w:val="18"/>
                  <w:szCs w:val="18"/>
                </w:rPr>
                <w:t>Vessel standards</w:t>
              </w:r>
            </w:hyperlink>
            <w:r w:rsidRPr="00E70A11">
              <w:rPr>
                <w:rStyle w:val="BookTitle"/>
                <w:rFonts w:ascii="Arial Narrow" w:eastAsia="Times New Roman" w:hAnsi="Arial Narrow"/>
                <w:sz w:val="18"/>
                <w:szCs w:val="18"/>
              </w:rPr>
              <w:t xml:space="preserve"> </w:t>
            </w:r>
          </w:p>
          <w:p w14:paraId="5762034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eastAsia="Times New Roman" w:hAnsi="Arial Narrow"/>
                <w:sz w:val="18"/>
                <w:szCs w:val="18"/>
              </w:rPr>
              <w:t xml:space="preserve">GBRMPA </w:t>
            </w:r>
            <w:hyperlink r:id="rId1670" w:history="1">
              <w:r w:rsidRPr="00E70A11">
                <w:rPr>
                  <w:rStyle w:val="BookTitle"/>
                  <w:rFonts w:ascii="Arial Narrow" w:eastAsia="Times New Roman" w:hAnsi="Arial Narrow"/>
                  <w:sz w:val="18"/>
                  <w:szCs w:val="18"/>
                </w:rPr>
                <w:t>Responsible Reef Practice</w:t>
              </w:r>
            </w:hyperlink>
            <w:r w:rsidRPr="00E70A11">
              <w:rPr>
                <w:rFonts w:ascii="Arial Narrow" w:hAnsi="Arial Narrow"/>
                <w:sz w:val="18"/>
                <w:szCs w:val="18"/>
              </w:rPr>
              <w:t xml:space="preserve"> http://www.gbrmpa.gov.au/visit-the-reef/responsible-reef-practices</w:t>
            </w:r>
          </w:p>
        </w:tc>
        <w:tc>
          <w:tcPr>
            <w:tcW w:w="992" w:type="dxa"/>
            <w:tcBorders>
              <w:top w:val="single" w:sz="4" w:space="0" w:color="auto"/>
              <w:left w:val="single" w:sz="4" w:space="0" w:color="auto"/>
              <w:bottom w:val="single" w:sz="4" w:space="0" w:color="auto"/>
              <w:right w:val="single" w:sz="4" w:space="0" w:color="auto"/>
            </w:tcBorders>
          </w:tcPr>
          <w:p w14:paraId="57620343"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4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34C"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46"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Targets have been established to benchmark management performance for recreational use</w:t>
            </w:r>
          </w:p>
        </w:tc>
        <w:tc>
          <w:tcPr>
            <w:tcW w:w="709" w:type="dxa"/>
            <w:tcBorders>
              <w:top w:val="single" w:sz="4" w:space="0" w:color="auto"/>
              <w:left w:val="single" w:sz="4" w:space="0" w:color="auto"/>
              <w:bottom w:val="single" w:sz="4" w:space="0" w:color="auto"/>
              <w:right w:val="single" w:sz="4" w:space="0" w:color="auto"/>
            </w:tcBorders>
          </w:tcPr>
          <w:p w14:paraId="57620347" w14:textId="77777777" w:rsidR="00A56EE9" w:rsidRPr="00E70A11" w:rsidRDefault="00A56EE9" w:rsidP="00BB6AD5">
            <w:pPr>
              <w:pStyle w:val="Tablebulletlist"/>
              <w:rPr>
                <w:rStyle w:val="BookTitle"/>
              </w:rPr>
            </w:pPr>
            <w:r w:rsidRPr="00E70A11">
              <w:rPr>
                <w:rStyle w:val="BookTitle"/>
              </w:rPr>
              <w:t>1</w:t>
            </w:r>
          </w:p>
        </w:tc>
        <w:tc>
          <w:tcPr>
            <w:tcW w:w="4552" w:type="dxa"/>
            <w:tcBorders>
              <w:top w:val="single" w:sz="4" w:space="0" w:color="auto"/>
              <w:left w:val="single" w:sz="4" w:space="0" w:color="auto"/>
              <w:bottom w:val="single" w:sz="4" w:space="0" w:color="auto"/>
              <w:right w:val="single" w:sz="4" w:space="0" w:color="auto"/>
            </w:tcBorders>
          </w:tcPr>
          <w:p w14:paraId="5762034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No targets have been established</w:t>
            </w:r>
          </w:p>
        </w:tc>
        <w:tc>
          <w:tcPr>
            <w:tcW w:w="4574" w:type="dxa"/>
            <w:tcBorders>
              <w:top w:val="single" w:sz="4" w:space="0" w:color="auto"/>
              <w:left w:val="single" w:sz="4" w:space="0" w:color="auto"/>
              <w:bottom w:val="single" w:sz="4" w:space="0" w:color="auto"/>
              <w:right w:val="single" w:sz="4" w:space="0" w:color="auto"/>
            </w:tcBorders>
          </w:tcPr>
          <w:p w14:paraId="5762034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discussions and workshops</w:t>
            </w:r>
          </w:p>
        </w:tc>
        <w:tc>
          <w:tcPr>
            <w:tcW w:w="992" w:type="dxa"/>
            <w:tcBorders>
              <w:top w:val="single" w:sz="4" w:space="0" w:color="auto"/>
              <w:left w:val="single" w:sz="4" w:space="0" w:color="auto"/>
              <w:bottom w:val="single" w:sz="4" w:space="0" w:color="auto"/>
              <w:right w:val="single" w:sz="4" w:space="0" w:color="auto"/>
            </w:tcBorders>
          </w:tcPr>
          <w:p w14:paraId="5762034A"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4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353"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4D" w14:textId="77777777" w:rsidR="00A56EE9" w:rsidRPr="00E70A11" w:rsidRDefault="00A56EE9" w:rsidP="00BB6AD5">
            <w:pPr>
              <w:pStyle w:val="Tablebulletlist"/>
              <w:rPr>
                <w:rStyle w:val="BookTitle"/>
              </w:rPr>
            </w:pPr>
            <w:r w:rsidRPr="00E70A11">
              <w:rPr>
                <w:rStyle w:val="BookTitle"/>
              </w:rPr>
              <w:t>OUTPUTS</w:t>
            </w:r>
          </w:p>
        </w:tc>
        <w:tc>
          <w:tcPr>
            <w:tcW w:w="70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4E" w14:textId="77777777" w:rsidR="00A56EE9" w:rsidRPr="00E70A11" w:rsidRDefault="00A56EE9" w:rsidP="00BB6AD5">
            <w:pPr>
              <w:pStyle w:val="Tablebulletlist"/>
              <w:rPr>
                <w:rStyle w:val="BookTitle"/>
              </w:rPr>
            </w:pPr>
          </w:p>
        </w:tc>
        <w:tc>
          <w:tcPr>
            <w:tcW w:w="455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4F" w14:textId="77777777" w:rsidR="00A56EE9" w:rsidRPr="00E70A11" w:rsidRDefault="00A56EE9" w:rsidP="00BB6AD5">
            <w:pPr>
              <w:pStyle w:val="ListParagraph"/>
              <w:ind w:left="360"/>
              <w:rPr>
                <w:rStyle w:val="BookTitle"/>
                <w:rFonts w:ascii="Arial Narrow" w:hAnsi="Arial Narrow"/>
                <w:sz w:val="18"/>
                <w:szCs w:val="18"/>
              </w:rPr>
            </w:pPr>
          </w:p>
        </w:tc>
        <w:tc>
          <w:tcPr>
            <w:tcW w:w="457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50"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51" w14:textId="77777777" w:rsidR="00A56EE9" w:rsidRPr="00E70A11" w:rsidRDefault="00A56EE9" w:rsidP="00BB6AD5">
            <w:pPr>
              <w:pStyle w:val="Tablebulletlist"/>
              <w:rPr>
                <w:rStyle w:val="BookTitle"/>
              </w:rPr>
            </w:pPr>
          </w:p>
        </w:tc>
        <w:tc>
          <w:tcPr>
            <w:tcW w:w="95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52" w14:textId="77777777" w:rsidR="00A56EE9" w:rsidRPr="00E70A11" w:rsidRDefault="00A56EE9" w:rsidP="00BB6AD5">
            <w:pPr>
              <w:pStyle w:val="Tablebulletlist"/>
              <w:rPr>
                <w:rStyle w:val="BookTitle"/>
              </w:rPr>
            </w:pPr>
          </w:p>
        </w:tc>
      </w:tr>
      <w:tr w:rsidR="00A56EE9" w:rsidRPr="00E70A11" w14:paraId="57620363"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54"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recreational use </w:t>
            </w:r>
          </w:p>
        </w:tc>
        <w:tc>
          <w:tcPr>
            <w:tcW w:w="709" w:type="dxa"/>
            <w:tcBorders>
              <w:top w:val="single" w:sz="4" w:space="0" w:color="auto"/>
              <w:left w:val="single" w:sz="4" w:space="0" w:color="auto"/>
              <w:bottom w:val="single" w:sz="4" w:space="0" w:color="auto"/>
              <w:right w:val="single" w:sz="4" w:space="0" w:color="auto"/>
            </w:tcBorders>
          </w:tcPr>
          <w:p w14:paraId="57620355"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56" w14:textId="77777777" w:rsidR="00A56EE9" w:rsidRPr="00E70A11" w:rsidRDefault="008B5998" w:rsidP="00A11869">
            <w:pPr>
              <w:pStyle w:val="ListParagraph"/>
              <w:numPr>
                <w:ilvl w:val="0"/>
                <w:numId w:val="24"/>
              </w:numPr>
              <w:spacing w:after="0" w:line="276" w:lineRule="auto"/>
              <w:jc w:val="both"/>
              <w:rPr>
                <w:rStyle w:val="BookTitle"/>
                <w:rFonts w:ascii="Arial Narrow" w:eastAsia="Times New Roman" w:hAnsi="Arial Narrow"/>
                <w:sz w:val="18"/>
                <w:szCs w:val="18"/>
              </w:rPr>
            </w:pPr>
            <w:hyperlink r:id="rId1671" w:history="1">
              <w:r w:rsidR="00A56EE9" w:rsidRPr="00E70A11">
                <w:rPr>
                  <w:rStyle w:val="BookTitle"/>
                  <w:rFonts w:ascii="Arial Narrow" w:eastAsia="Times New Roman" w:hAnsi="Arial Narrow"/>
                  <w:sz w:val="18"/>
                  <w:szCs w:val="18"/>
                </w:rPr>
                <w:t>Recreational Management Strategy (RMS) GBRMPA (2012)</w:t>
              </w:r>
            </w:hyperlink>
            <w:r w:rsidR="00A56EE9" w:rsidRPr="00E70A11">
              <w:rPr>
                <w:rStyle w:val="BookTitle"/>
                <w:rFonts w:ascii="Arial Narrow" w:eastAsia="Times New Roman" w:hAnsi="Arial Narrow"/>
                <w:sz w:val="18"/>
                <w:szCs w:val="18"/>
              </w:rPr>
              <w:t xml:space="preserve"> - was due to be updated in 2017. This has not occurred.</w:t>
            </w:r>
          </w:p>
          <w:p w14:paraId="57620357" w14:textId="77777777" w:rsidR="00A56EE9" w:rsidRPr="00E70A11" w:rsidRDefault="00A56EE9" w:rsidP="00A11869">
            <w:pPr>
              <w:pStyle w:val="ListParagraph"/>
              <w:numPr>
                <w:ilvl w:val="0"/>
                <w:numId w:val="24"/>
              </w:numPr>
              <w:spacing w:after="0" w:line="276" w:lineRule="auto"/>
              <w:jc w:val="both"/>
              <w:rPr>
                <w:rStyle w:val="BookTitle"/>
                <w:rFonts w:ascii="Arial Narrow" w:eastAsia="Times New Roman" w:hAnsi="Arial Narrow"/>
                <w:sz w:val="18"/>
                <w:szCs w:val="18"/>
              </w:rPr>
            </w:pPr>
            <w:r w:rsidRPr="00E70A11">
              <w:rPr>
                <w:rStyle w:val="BookTitle"/>
                <w:rFonts w:ascii="Arial Narrow" w:eastAsia="Times New Roman" w:hAnsi="Arial Narrow"/>
                <w:sz w:val="18"/>
                <w:szCs w:val="18"/>
              </w:rPr>
              <w:t xml:space="preserve">The Field Management Program continues to ensure that public moorings are in good order and operational. The fine-tuning of reef protection marker locations continues to raise awareness of and protect coral communities under threat from coral damage. </w:t>
            </w:r>
          </w:p>
          <w:p w14:paraId="57620358" w14:textId="77777777" w:rsidR="00A56EE9" w:rsidRPr="00E70A11" w:rsidRDefault="00A56EE9" w:rsidP="00A11869">
            <w:pPr>
              <w:pStyle w:val="ListParagraph"/>
              <w:numPr>
                <w:ilvl w:val="0"/>
                <w:numId w:val="24"/>
              </w:numPr>
              <w:spacing w:after="0" w:line="276" w:lineRule="auto"/>
              <w:jc w:val="both"/>
              <w:rPr>
                <w:rStyle w:val="BookTitle"/>
                <w:rFonts w:ascii="Arial Narrow" w:eastAsia="Times New Roman" w:hAnsi="Arial Narrow"/>
                <w:sz w:val="18"/>
                <w:szCs w:val="18"/>
              </w:rPr>
            </w:pPr>
            <w:r w:rsidRPr="00E70A11">
              <w:rPr>
                <w:rStyle w:val="BookTitle"/>
                <w:rFonts w:ascii="Arial Narrow" w:eastAsia="Times New Roman" w:hAnsi="Arial Narrow"/>
                <w:sz w:val="18"/>
                <w:szCs w:val="18"/>
              </w:rPr>
              <w:t>The Whitsundays Plan of Management has occurred</w:t>
            </w:r>
          </w:p>
          <w:p w14:paraId="57620359" w14:textId="77777777" w:rsidR="00A56EE9" w:rsidRPr="00E70A11" w:rsidRDefault="00A56EE9" w:rsidP="00A11869">
            <w:pPr>
              <w:pStyle w:val="ListParagraph"/>
              <w:numPr>
                <w:ilvl w:val="0"/>
                <w:numId w:val="24"/>
              </w:numPr>
              <w:spacing w:after="0" w:line="276" w:lineRule="auto"/>
              <w:jc w:val="both"/>
              <w:rPr>
                <w:rStyle w:val="BookTitle"/>
                <w:rFonts w:ascii="Arial Narrow" w:eastAsia="Times New Roman" w:hAnsi="Arial Narrow"/>
                <w:sz w:val="18"/>
                <w:szCs w:val="18"/>
              </w:rPr>
            </w:pPr>
            <w:r w:rsidRPr="00E70A11">
              <w:rPr>
                <w:rStyle w:val="BookTitle"/>
                <w:rFonts w:ascii="Arial Narrow" w:eastAsia="Times New Roman" w:hAnsi="Arial Narrow"/>
                <w:sz w:val="18"/>
                <w:szCs w:val="18"/>
              </w:rPr>
              <w:t>Cairns and Hinchinbrook POMs and site planning applied</w:t>
            </w:r>
          </w:p>
        </w:tc>
        <w:tc>
          <w:tcPr>
            <w:tcW w:w="4574" w:type="dxa"/>
            <w:tcBorders>
              <w:top w:val="single" w:sz="4" w:space="0" w:color="auto"/>
              <w:left w:val="single" w:sz="4" w:space="0" w:color="auto"/>
              <w:bottom w:val="single" w:sz="4" w:space="0" w:color="auto"/>
              <w:right w:val="single" w:sz="4" w:space="0" w:color="auto"/>
            </w:tcBorders>
          </w:tcPr>
          <w:p w14:paraId="5762035A" w14:textId="77777777" w:rsidR="00A56EE9" w:rsidRPr="00E70A11" w:rsidRDefault="00A56EE9" w:rsidP="00A11869">
            <w:pPr>
              <w:pStyle w:val="ListParagraph"/>
              <w:numPr>
                <w:ilvl w:val="0"/>
                <w:numId w:val="24"/>
              </w:numPr>
              <w:spacing w:after="0" w:line="276" w:lineRule="auto"/>
              <w:jc w:val="both"/>
              <w:rPr>
                <w:rStyle w:val="BookTitle"/>
                <w:rFonts w:ascii="Arial Narrow" w:hAnsi="Arial Narrow"/>
                <w:sz w:val="18"/>
                <w:szCs w:val="18"/>
              </w:rPr>
            </w:pPr>
            <w:r w:rsidRPr="00E70A11">
              <w:rPr>
                <w:rStyle w:val="BookTitle"/>
                <w:rFonts w:ascii="Arial Narrow" w:hAnsi="Arial Narrow"/>
                <w:sz w:val="18"/>
                <w:szCs w:val="18"/>
              </w:rPr>
              <w:t>GBRMPA discussions and workshops</w:t>
            </w:r>
          </w:p>
          <w:p w14:paraId="5762035B" w14:textId="77777777" w:rsidR="00A56EE9" w:rsidRPr="00E70A11" w:rsidRDefault="00A56EE9" w:rsidP="00A11869">
            <w:pPr>
              <w:pStyle w:val="ListParagraph"/>
              <w:numPr>
                <w:ilvl w:val="0"/>
                <w:numId w:val="24"/>
              </w:numPr>
              <w:spacing w:after="0" w:line="276" w:lineRule="auto"/>
              <w:jc w:val="both"/>
              <w:rPr>
                <w:rStyle w:val="BookTitle"/>
                <w:rFonts w:ascii="Arial Narrow" w:hAnsi="Arial Narrow"/>
                <w:sz w:val="18"/>
                <w:szCs w:val="18"/>
              </w:rPr>
            </w:pPr>
            <w:r w:rsidRPr="00E70A11">
              <w:rPr>
                <w:rStyle w:val="BookTitle"/>
                <w:rFonts w:ascii="Arial Narrow" w:hAnsi="Arial Narrow"/>
                <w:sz w:val="18"/>
                <w:szCs w:val="18"/>
              </w:rPr>
              <w:t>FMP annual report</w:t>
            </w:r>
          </w:p>
          <w:p w14:paraId="5762035C" w14:textId="77777777" w:rsidR="00A56EE9" w:rsidRPr="00E70A11" w:rsidRDefault="008B5998" w:rsidP="00A11869">
            <w:pPr>
              <w:pStyle w:val="ListParagraph"/>
              <w:numPr>
                <w:ilvl w:val="0"/>
                <w:numId w:val="24"/>
              </w:numPr>
              <w:spacing w:after="0" w:line="276" w:lineRule="auto"/>
              <w:jc w:val="both"/>
              <w:rPr>
                <w:rStyle w:val="BookTitle"/>
                <w:rFonts w:ascii="Arial Narrow" w:hAnsi="Arial Narrow"/>
                <w:sz w:val="18"/>
                <w:szCs w:val="18"/>
              </w:rPr>
            </w:pPr>
            <w:hyperlink r:id="rId1672" w:history="1">
              <w:r w:rsidR="00A56EE9" w:rsidRPr="00E70A11">
                <w:rPr>
                  <w:rStyle w:val="BookTitle"/>
                  <w:rFonts w:ascii="Arial Narrow" w:hAnsi="Arial Narrow"/>
                  <w:sz w:val="18"/>
                  <w:szCs w:val="18"/>
                </w:rPr>
                <w:t>GBRMPA Annual Reports 2014-2017</w:t>
              </w:r>
            </w:hyperlink>
          </w:p>
          <w:p w14:paraId="5762035D" w14:textId="77777777" w:rsidR="00A56EE9" w:rsidRPr="00E70A11" w:rsidRDefault="00A56EE9" w:rsidP="00A11869">
            <w:pPr>
              <w:pStyle w:val="ListParagraph"/>
              <w:numPr>
                <w:ilvl w:val="0"/>
                <w:numId w:val="24"/>
              </w:numPr>
              <w:spacing w:after="0" w:line="276" w:lineRule="auto"/>
              <w:jc w:val="both"/>
              <w:rPr>
                <w:rStyle w:val="BookTitle"/>
                <w:rFonts w:ascii="Arial Narrow" w:hAnsi="Arial Narrow"/>
                <w:sz w:val="18"/>
                <w:szCs w:val="18"/>
              </w:rPr>
            </w:pPr>
            <w:r w:rsidRPr="00E70A11">
              <w:rPr>
                <w:rStyle w:val="BookTitle"/>
                <w:rFonts w:ascii="Arial Narrow" w:hAnsi="Arial Narrow"/>
                <w:sz w:val="18"/>
                <w:szCs w:val="18"/>
              </w:rPr>
              <w:t xml:space="preserve"> </w:t>
            </w:r>
            <w:hyperlink r:id="rId1673" w:history="1">
              <w:r w:rsidRPr="00E70A11">
                <w:rPr>
                  <w:rStyle w:val="BookTitle"/>
                  <w:rFonts w:ascii="Arial Narrow" w:hAnsi="Arial Narrow"/>
                  <w:sz w:val="18"/>
                  <w:szCs w:val="18"/>
                </w:rPr>
                <w:t>Recreational Management Strategy (RMS) GBRMPA (2012)</w:t>
              </w:r>
            </w:hyperlink>
          </w:p>
          <w:p w14:paraId="5762035E" w14:textId="77777777" w:rsidR="00A56EE9" w:rsidRPr="00E70A11" w:rsidRDefault="008B5998" w:rsidP="00A11869">
            <w:pPr>
              <w:pStyle w:val="ListParagraph"/>
              <w:numPr>
                <w:ilvl w:val="0"/>
                <w:numId w:val="24"/>
              </w:numPr>
              <w:spacing w:after="0" w:line="276" w:lineRule="auto"/>
              <w:jc w:val="both"/>
              <w:rPr>
                <w:rStyle w:val="BookTitle"/>
                <w:rFonts w:ascii="Arial Narrow" w:hAnsi="Arial Narrow"/>
                <w:sz w:val="18"/>
                <w:szCs w:val="18"/>
              </w:rPr>
            </w:pPr>
            <w:hyperlink r:id="rId1674" w:history="1">
              <w:r w:rsidR="00A56EE9" w:rsidRPr="00E70A11">
                <w:rPr>
                  <w:rStyle w:val="BookTitle"/>
                  <w:rFonts w:ascii="Arial Narrow" w:hAnsi="Arial Narrow"/>
                  <w:sz w:val="18"/>
                  <w:szCs w:val="18"/>
                </w:rPr>
                <w:t>Whitsundays Plan of Management</w:t>
              </w:r>
            </w:hyperlink>
          </w:p>
          <w:p w14:paraId="5762035F" w14:textId="77777777" w:rsidR="00A56EE9" w:rsidRPr="00E70A11" w:rsidRDefault="00A56EE9" w:rsidP="00A11869">
            <w:pPr>
              <w:pStyle w:val="ListParagraph"/>
              <w:numPr>
                <w:ilvl w:val="0"/>
                <w:numId w:val="24"/>
              </w:numPr>
              <w:spacing w:after="0" w:line="276" w:lineRule="auto"/>
              <w:jc w:val="both"/>
              <w:rPr>
                <w:rStyle w:val="BookTitle"/>
                <w:rFonts w:ascii="Arial Narrow" w:hAnsi="Arial Narrow"/>
                <w:sz w:val="18"/>
                <w:szCs w:val="18"/>
              </w:rPr>
            </w:pPr>
            <w:r w:rsidRPr="00E70A11">
              <w:rPr>
                <w:rStyle w:val="BookTitle"/>
                <w:rFonts w:ascii="Arial Narrow" w:hAnsi="Arial Narrow"/>
                <w:sz w:val="18"/>
                <w:szCs w:val="18"/>
              </w:rPr>
              <w:t>Cairns Area Plan of Management</w:t>
            </w:r>
          </w:p>
          <w:p w14:paraId="57620360" w14:textId="77777777" w:rsidR="00A56EE9" w:rsidRPr="00E70A11" w:rsidRDefault="00A56EE9" w:rsidP="00A11869">
            <w:pPr>
              <w:pStyle w:val="ListParagraph"/>
              <w:numPr>
                <w:ilvl w:val="0"/>
                <w:numId w:val="24"/>
              </w:numPr>
              <w:spacing w:after="0" w:line="276" w:lineRule="auto"/>
              <w:jc w:val="both"/>
              <w:rPr>
                <w:rStyle w:val="BookTitle"/>
                <w:rFonts w:ascii="Arial Narrow" w:hAnsi="Arial Narrow"/>
                <w:sz w:val="18"/>
                <w:szCs w:val="18"/>
              </w:rPr>
            </w:pPr>
            <w:r w:rsidRPr="00E70A11">
              <w:rPr>
                <w:rStyle w:val="BookTitle"/>
                <w:rFonts w:ascii="Arial Narrow" w:hAnsi="Arial Narrow"/>
                <w:sz w:val="18"/>
                <w:szCs w:val="18"/>
              </w:rPr>
              <w:t>Hinchinbrook Plan of Management</w:t>
            </w:r>
          </w:p>
        </w:tc>
        <w:tc>
          <w:tcPr>
            <w:tcW w:w="992" w:type="dxa"/>
            <w:tcBorders>
              <w:top w:val="single" w:sz="4" w:space="0" w:color="auto"/>
              <w:left w:val="single" w:sz="4" w:space="0" w:color="auto"/>
              <w:bottom w:val="single" w:sz="4" w:space="0" w:color="auto"/>
              <w:right w:val="single" w:sz="4" w:space="0" w:color="auto"/>
            </w:tcBorders>
          </w:tcPr>
          <w:p w14:paraId="57620361"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62"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2036C"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64"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recreational use have progressed in accordance with timeframes specified in those documents</w:t>
            </w:r>
          </w:p>
        </w:tc>
        <w:tc>
          <w:tcPr>
            <w:tcW w:w="709" w:type="dxa"/>
            <w:tcBorders>
              <w:top w:val="single" w:sz="4" w:space="0" w:color="auto"/>
              <w:left w:val="single" w:sz="4" w:space="0" w:color="auto"/>
              <w:bottom w:val="single" w:sz="4" w:space="0" w:color="auto"/>
              <w:right w:val="single" w:sz="4" w:space="0" w:color="auto"/>
            </w:tcBorders>
          </w:tcPr>
          <w:p w14:paraId="57620365" w14:textId="77777777" w:rsidR="00A56EE9" w:rsidRPr="00E70A11" w:rsidRDefault="00A56EE9" w:rsidP="00BB6AD5">
            <w:pPr>
              <w:pStyle w:val="Tablebulletlist"/>
              <w:rPr>
                <w:rStyle w:val="BookTitle"/>
              </w:rPr>
            </w:pPr>
            <w:r w:rsidRPr="00E70A11">
              <w:rPr>
                <w:rStyle w:val="BookTitle"/>
              </w:rPr>
              <w:t>2</w:t>
            </w:r>
          </w:p>
        </w:tc>
        <w:tc>
          <w:tcPr>
            <w:tcW w:w="4552" w:type="dxa"/>
            <w:tcBorders>
              <w:top w:val="single" w:sz="4" w:space="0" w:color="auto"/>
              <w:left w:val="single" w:sz="4" w:space="0" w:color="auto"/>
              <w:bottom w:val="single" w:sz="4" w:space="0" w:color="auto"/>
              <w:right w:val="single" w:sz="4" w:space="0" w:color="auto"/>
            </w:tcBorders>
          </w:tcPr>
          <w:p w14:paraId="5762036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Recreation Management Strategy does not include specific timeframes for implementation of the key management components listed, and has not been reviewed</w:t>
            </w:r>
          </w:p>
          <w:p w14:paraId="5762036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Whitsunday Plan of Management has been reviewed, but Plans of Management for the Cairns area and Hinchinbrook have not been reviewed</w:t>
            </w:r>
          </w:p>
        </w:tc>
        <w:tc>
          <w:tcPr>
            <w:tcW w:w="4574" w:type="dxa"/>
            <w:tcBorders>
              <w:top w:val="single" w:sz="4" w:space="0" w:color="auto"/>
              <w:left w:val="single" w:sz="4" w:space="0" w:color="auto"/>
              <w:bottom w:val="single" w:sz="4" w:space="0" w:color="auto"/>
              <w:right w:val="single" w:sz="4" w:space="0" w:color="auto"/>
            </w:tcBorders>
          </w:tcPr>
          <w:p w14:paraId="57620368"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1675" w:history="1">
              <w:r w:rsidR="00A56EE9" w:rsidRPr="00E70A11">
                <w:rPr>
                  <w:rStyle w:val="Hyperlink"/>
                  <w:rFonts w:ascii="Arial Narrow" w:hAnsi="Arial Narrow"/>
                  <w:sz w:val="18"/>
                  <w:szCs w:val="18"/>
                  <w:lang w:val="en-GB"/>
                </w:rPr>
                <w:t>Recreational Management Strategy (RMS) GBRMPA (2012)</w:t>
              </w:r>
            </w:hyperlink>
          </w:p>
          <w:p w14:paraId="5762036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Hyperlink"/>
                <w:rFonts w:ascii="Arial Narrow" w:hAnsi="Arial Narrow"/>
                <w:sz w:val="18"/>
                <w:szCs w:val="18"/>
                <w:lang w:val="en-GB"/>
              </w:rPr>
              <w:t xml:space="preserve">Whitsunday Plan of Management </w:t>
            </w:r>
          </w:p>
        </w:tc>
        <w:tc>
          <w:tcPr>
            <w:tcW w:w="992" w:type="dxa"/>
            <w:tcBorders>
              <w:top w:val="single" w:sz="4" w:space="0" w:color="auto"/>
              <w:left w:val="single" w:sz="4" w:space="0" w:color="auto"/>
              <w:bottom w:val="single" w:sz="4" w:space="0" w:color="auto"/>
              <w:right w:val="single" w:sz="4" w:space="0" w:color="auto"/>
            </w:tcBorders>
          </w:tcPr>
          <w:p w14:paraId="5762036A"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6B"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20375"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6D"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recreational use</w:t>
            </w:r>
          </w:p>
        </w:tc>
        <w:tc>
          <w:tcPr>
            <w:tcW w:w="709" w:type="dxa"/>
            <w:tcBorders>
              <w:top w:val="single" w:sz="4" w:space="0" w:color="auto"/>
              <w:left w:val="single" w:sz="4" w:space="0" w:color="auto"/>
              <w:bottom w:val="single" w:sz="4" w:space="0" w:color="auto"/>
              <w:right w:val="single" w:sz="4" w:space="0" w:color="auto"/>
            </w:tcBorders>
          </w:tcPr>
          <w:p w14:paraId="5762036E" w14:textId="77777777" w:rsidR="00A56EE9" w:rsidRPr="00E70A11" w:rsidRDefault="00A56EE9" w:rsidP="00BB6AD5">
            <w:pPr>
              <w:pStyle w:val="Tablebulletlist"/>
              <w:rPr>
                <w:rStyle w:val="BookTitle"/>
              </w:rPr>
            </w:pPr>
            <w:r w:rsidRPr="00E70A11">
              <w:rPr>
                <w:rStyle w:val="BookTitle"/>
              </w:rPr>
              <w:t>2</w:t>
            </w:r>
          </w:p>
        </w:tc>
        <w:tc>
          <w:tcPr>
            <w:tcW w:w="4552" w:type="dxa"/>
            <w:tcBorders>
              <w:top w:val="single" w:sz="4" w:space="0" w:color="auto"/>
              <w:left w:val="single" w:sz="4" w:space="0" w:color="auto"/>
              <w:bottom w:val="single" w:sz="4" w:space="0" w:color="auto"/>
              <w:right w:val="single" w:sz="4" w:space="0" w:color="auto"/>
            </w:tcBorders>
          </w:tcPr>
          <w:p w14:paraId="5762036F" w14:textId="77777777" w:rsidR="00A56EE9" w:rsidRPr="00E70A11" w:rsidRDefault="00A56EE9" w:rsidP="00A11869">
            <w:pPr>
              <w:pStyle w:val="Tablebulletlist"/>
              <w:numPr>
                <w:ilvl w:val="0"/>
                <w:numId w:val="199"/>
              </w:numPr>
              <w:rPr>
                <w:rFonts w:eastAsiaTheme="minorHAnsi" w:cs="Arial"/>
                <w:u w:val="single"/>
              </w:rPr>
            </w:pPr>
            <w:r w:rsidRPr="00E70A11">
              <w:rPr>
                <w:rFonts w:eastAsiaTheme="minorHAnsi" w:cs="Arial"/>
              </w:rPr>
              <w:t>13 new moorings have been installed in Cairns, 7 new moorings and 20 reef protection markers have been installed near Keppel Island and 60 new moorings and 45 reef protection markers have been installed in the Whitsundays,</w:t>
            </w:r>
          </w:p>
          <w:p w14:paraId="5762037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It is not possible to determine if the management objective of the RMS have been achieved as there has been no review. </w:t>
            </w:r>
          </w:p>
        </w:tc>
        <w:tc>
          <w:tcPr>
            <w:tcW w:w="4574" w:type="dxa"/>
            <w:tcBorders>
              <w:top w:val="single" w:sz="4" w:space="0" w:color="auto"/>
              <w:left w:val="single" w:sz="4" w:space="0" w:color="auto"/>
              <w:bottom w:val="single" w:sz="4" w:space="0" w:color="auto"/>
              <w:right w:val="single" w:sz="4" w:space="0" w:color="auto"/>
            </w:tcBorders>
          </w:tcPr>
          <w:p w14:paraId="57620371" w14:textId="77777777" w:rsidR="00A56EE9" w:rsidRPr="00E70A11" w:rsidRDefault="008B5998" w:rsidP="00A11869">
            <w:pPr>
              <w:pStyle w:val="ListParagraph"/>
              <w:numPr>
                <w:ilvl w:val="0"/>
                <w:numId w:val="24"/>
              </w:numPr>
              <w:spacing w:after="200" w:line="276" w:lineRule="auto"/>
              <w:rPr>
                <w:rStyle w:val="Hyperlink"/>
                <w:rFonts w:ascii="Arial Narrow" w:hAnsi="Arial Narrow"/>
                <w:sz w:val="18"/>
                <w:szCs w:val="18"/>
              </w:rPr>
            </w:pPr>
            <w:hyperlink r:id="rId1676" w:history="1">
              <w:r w:rsidR="00A56EE9" w:rsidRPr="00E70A11">
                <w:rPr>
                  <w:rStyle w:val="Hyperlink"/>
                  <w:rFonts w:ascii="Arial Narrow" w:hAnsi="Arial Narrow"/>
                  <w:sz w:val="18"/>
                  <w:szCs w:val="18"/>
                  <w:lang w:val="en-GB"/>
                </w:rPr>
                <w:t>Recreational Management Strategy (RMS) GBRMPA (2012)</w:t>
              </w:r>
            </w:hyperlink>
          </w:p>
          <w:p w14:paraId="5762037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GBRMPA discussions</w:t>
            </w:r>
          </w:p>
        </w:tc>
        <w:tc>
          <w:tcPr>
            <w:tcW w:w="992" w:type="dxa"/>
            <w:tcBorders>
              <w:top w:val="single" w:sz="4" w:space="0" w:color="auto"/>
              <w:left w:val="single" w:sz="4" w:space="0" w:color="auto"/>
              <w:bottom w:val="single" w:sz="4" w:space="0" w:color="auto"/>
              <w:right w:val="single" w:sz="4" w:space="0" w:color="auto"/>
            </w:tcBorders>
          </w:tcPr>
          <w:p w14:paraId="57620373"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374"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20382"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76"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recreational use</w:t>
            </w:r>
          </w:p>
        </w:tc>
        <w:tc>
          <w:tcPr>
            <w:tcW w:w="709" w:type="dxa"/>
            <w:tcBorders>
              <w:top w:val="single" w:sz="4" w:space="0" w:color="auto"/>
              <w:left w:val="single" w:sz="4" w:space="0" w:color="auto"/>
              <w:bottom w:val="single" w:sz="4" w:space="0" w:color="auto"/>
              <w:right w:val="single" w:sz="4" w:space="0" w:color="auto"/>
            </w:tcBorders>
          </w:tcPr>
          <w:p w14:paraId="57620377" w14:textId="77777777" w:rsidR="00A56EE9" w:rsidRPr="00E70A11" w:rsidRDefault="00A56EE9" w:rsidP="00BB6AD5">
            <w:pPr>
              <w:pStyle w:val="Tablebulletlist"/>
              <w:rPr>
                <w:rStyle w:val="BookTitle"/>
              </w:rPr>
            </w:pPr>
            <w:r w:rsidRPr="00E70A11">
              <w:rPr>
                <w:rStyle w:val="BookTitle"/>
              </w:rPr>
              <w:t>2</w:t>
            </w:r>
          </w:p>
        </w:tc>
        <w:tc>
          <w:tcPr>
            <w:tcW w:w="4552" w:type="dxa"/>
            <w:tcBorders>
              <w:top w:val="single" w:sz="4" w:space="0" w:color="auto"/>
              <w:left w:val="single" w:sz="4" w:space="0" w:color="auto"/>
              <w:bottom w:val="single" w:sz="4" w:space="0" w:color="auto"/>
              <w:right w:val="single" w:sz="4" w:space="0" w:color="auto"/>
            </w:tcBorders>
          </w:tcPr>
          <w:p w14:paraId="57620378"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Field Management Program maintain asset register and monitoring program. The Field Management Program maintains a visitor facilities asset base for public moorings, reef protection markers, island campgrounds.</w:t>
            </w:r>
          </w:p>
          <w:p w14:paraId="57620379"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 xml:space="preserve">Maintenance of visitor facilities is carried out but the capital funding requirements for new or replacement visitor facilities and cultural heritage protection have not been accommodated within the current five year Business Strategy. </w:t>
            </w:r>
          </w:p>
          <w:p w14:paraId="5762037A" w14:textId="77777777" w:rsidR="00A56EE9" w:rsidRPr="00E70A11" w:rsidRDefault="00A56EE9" w:rsidP="00A11869">
            <w:pPr>
              <w:pStyle w:val="ListParagraph"/>
              <w:numPr>
                <w:ilvl w:val="0"/>
                <w:numId w:val="24"/>
              </w:numPr>
              <w:spacing w:after="200"/>
              <w:rPr>
                <w:rStyle w:val="BookTitle"/>
                <w:rFonts w:ascii="Arial Narrow" w:hAnsi="Arial Narrow"/>
                <w:sz w:val="18"/>
                <w:szCs w:val="18"/>
              </w:rPr>
            </w:pPr>
            <w:r w:rsidRPr="00E70A11">
              <w:rPr>
                <w:rFonts w:ascii="Arial Narrow" w:hAnsi="Arial Narrow"/>
                <w:sz w:val="18"/>
                <w:szCs w:val="18"/>
              </w:rPr>
              <w:t xml:space="preserve">New mooring and protection markers have been installed </w:t>
            </w:r>
          </w:p>
        </w:tc>
        <w:tc>
          <w:tcPr>
            <w:tcW w:w="4574" w:type="dxa"/>
            <w:tcBorders>
              <w:top w:val="single" w:sz="4" w:space="0" w:color="auto"/>
              <w:left w:val="single" w:sz="4" w:space="0" w:color="auto"/>
              <w:bottom w:val="single" w:sz="4" w:space="0" w:color="auto"/>
              <w:right w:val="single" w:sz="4" w:space="0" w:color="auto"/>
            </w:tcBorders>
          </w:tcPr>
          <w:p w14:paraId="5762037B" w14:textId="77777777" w:rsidR="00A56EE9" w:rsidRPr="00E70A11" w:rsidRDefault="008B5998" w:rsidP="00A11869">
            <w:pPr>
              <w:pStyle w:val="ListParagraph"/>
              <w:numPr>
                <w:ilvl w:val="0"/>
                <w:numId w:val="24"/>
              </w:numPr>
              <w:spacing w:after="0" w:line="276" w:lineRule="auto"/>
              <w:jc w:val="both"/>
              <w:rPr>
                <w:rFonts w:ascii="Arial Narrow" w:hAnsi="Arial Narrow"/>
                <w:sz w:val="18"/>
                <w:szCs w:val="18"/>
              </w:rPr>
            </w:pPr>
            <w:hyperlink r:id="rId1677" w:history="1">
              <w:r w:rsidR="00A56EE9" w:rsidRPr="00E70A11">
                <w:rPr>
                  <w:rFonts w:ascii="Arial Narrow" w:hAnsi="Arial Narrow"/>
                  <w:sz w:val="18"/>
                  <w:szCs w:val="18"/>
                </w:rPr>
                <w:t>Recreational Management Strategy (RMS) GBRMPA (2012)</w:t>
              </w:r>
            </w:hyperlink>
          </w:p>
          <w:p w14:paraId="5762037C" w14:textId="77777777" w:rsidR="00A56EE9" w:rsidRPr="00E70A11" w:rsidRDefault="008B5998" w:rsidP="00A11869">
            <w:pPr>
              <w:pStyle w:val="ListParagraph"/>
              <w:numPr>
                <w:ilvl w:val="0"/>
                <w:numId w:val="24"/>
              </w:numPr>
              <w:spacing w:after="0" w:line="276" w:lineRule="auto"/>
              <w:jc w:val="both"/>
              <w:rPr>
                <w:rFonts w:ascii="Arial Narrow" w:hAnsi="Arial Narrow"/>
                <w:sz w:val="18"/>
                <w:szCs w:val="18"/>
              </w:rPr>
            </w:pPr>
            <w:hyperlink r:id="rId1678" w:history="1">
              <w:r w:rsidR="00A56EE9" w:rsidRPr="00E70A11">
                <w:rPr>
                  <w:rFonts w:ascii="Arial Narrow" w:hAnsi="Arial Narrow"/>
                  <w:sz w:val="18"/>
                  <w:szCs w:val="18"/>
                </w:rPr>
                <w:t>GBRMPA Annual Reports 2014-2017</w:t>
              </w:r>
            </w:hyperlink>
          </w:p>
          <w:p w14:paraId="5762037D" w14:textId="77777777" w:rsidR="00A56EE9" w:rsidRPr="00E70A11" w:rsidRDefault="008B5998" w:rsidP="00A11869">
            <w:pPr>
              <w:pStyle w:val="ListParagraph"/>
              <w:numPr>
                <w:ilvl w:val="0"/>
                <w:numId w:val="24"/>
              </w:numPr>
              <w:spacing w:after="200" w:line="276" w:lineRule="auto"/>
              <w:rPr>
                <w:rFonts w:ascii="Arial Narrow" w:hAnsi="Arial Narrow"/>
                <w:sz w:val="18"/>
                <w:szCs w:val="18"/>
                <w:lang w:val="en-GB"/>
              </w:rPr>
            </w:pPr>
            <w:hyperlink r:id="rId1679" w:history="1">
              <w:r w:rsidR="00A56EE9" w:rsidRPr="00E70A11">
                <w:rPr>
                  <w:rFonts w:ascii="Arial Narrow" w:hAnsi="Arial Narrow"/>
                  <w:sz w:val="18"/>
                  <w:szCs w:val="18"/>
                  <w:lang w:val="en-GB"/>
                </w:rPr>
                <w:t>Field Management Program annual report</w:t>
              </w:r>
            </w:hyperlink>
            <w:r w:rsidR="00A56EE9" w:rsidRPr="00E70A11">
              <w:rPr>
                <w:rFonts w:ascii="Arial Narrow" w:hAnsi="Arial Narrow"/>
                <w:sz w:val="18"/>
                <w:szCs w:val="18"/>
                <w:lang w:val="en-GB"/>
              </w:rPr>
              <w:t xml:space="preserve"> (2016-17 summary)</w:t>
            </w:r>
          </w:p>
          <w:p w14:paraId="5762037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Qld Significant Regional Infrastructure Projects Program</w:t>
            </w:r>
          </w:p>
        </w:tc>
        <w:tc>
          <w:tcPr>
            <w:tcW w:w="992" w:type="dxa"/>
            <w:tcBorders>
              <w:top w:val="single" w:sz="4" w:space="0" w:color="auto"/>
              <w:left w:val="single" w:sz="4" w:space="0" w:color="auto"/>
              <w:bottom w:val="single" w:sz="4" w:space="0" w:color="auto"/>
              <w:right w:val="single" w:sz="4" w:space="0" w:color="auto"/>
            </w:tcBorders>
          </w:tcPr>
          <w:p w14:paraId="5762037F"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380" w14:textId="77777777" w:rsidR="00A56EE9" w:rsidRPr="00E70A11" w:rsidRDefault="00A56EE9" w:rsidP="00BB6AD5">
            <w:pPr>
              <w:pStyle w:val="Tablebulletlist"/>
              <w:rPr>
                <w:rStyle w:val="BookTitle"/>
              </w:rPr>
            </w:pPr>
            <w:r w:rsidRPr="00E70A11">
              <w:rPr>
                <w:rStyle w:val="BookTitle"/>
              </w:rPr>
              <w:t>Stable</w:t>
            </w:r>
          </w:p>
          <w:p w14:paraId="57620381" w14:textId="77777777" w:rsidR="00A56EE9" w:rsidRPr="00E70A11" w:rsidRDefault="00A56EE9" w:rsidP="00BB6AD5">
            <w:pPr>
              <w:pStyle w:val="Tablebulletlist"/>
              <w:rPr>
                <w:rStyle w:val="BookTitle"/>
              </w:rPr>
            </w:pPr>
          </w:p>
        </w:tc>
      </w:tr>
      <w:tr w:rsidR="00A56EE9" w:rsidRPr="00E70A11" w14:paraId="5762038A"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shd w:val="clear" w:color="auto" w:fill="auto"/>
          </w:tcPr>
          <w:p w14:paraId="57620383"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recreational use are in place within agencies</w:t>
            </w:r>
          </w:p>
        </w:tc>
        <w:tc>
          <w:tcPr>
            <w:tcW w:w="709" w:type="dxa"/>
            <w:tcBorders>
              <w:top w:val="single" w:sz="4" w:space="0" w:color="auto"/>
              <w:left w:val="single" w:sz="4" w:space="0" w:color="auto"/>
              <w:bottom w:val="single" w:sz="4" w:space="0" w:color="auto"/>
              <w:right w:val="single" w:sz="4" w:space="0" w:color="auto"/>
            </w:tcBorders>
          </w:tcPr>
          <w:p w14:paraId="57620384"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8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SELTMP technical report on recreation presents a snapshot of socio-economic data and indicators in the GBR region. It details how people use and depend on the GBR, human and community wellbeing and drivers of change. </w:t>
            </w:r>
          </w:p>
        </w:tc>
        <w:tc>
          <w:tcPr>
            <w:tcW w:w="4574" w:type="dxa"/>
            <w:tcBorders>
              <w:top w:val="single" w:sz="4" w:space="0" w:color="auto"/>
              <w:left w:val="single" w:sz="4" w:space="0" w:color="auto"/>
              <w:bottom w:val="single" w:sz="4" w:space="0" w:color="auto"/>
              <w:right w:val="single" w:sz="4" w:space="0" w:color="auto"/>
            </w:tcBorders>
          </w:tcPr>
          <w:p w14:paraId="5762038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Tobin, R., Bohenshy, E., Curnock, m&gt; Goldberg, J&gt;, Gooch, M. Marshall, N., Nicotra, B. Pert, P., Scherl, L., Stone-Jovicich, S. (2014) The Social and Economic Long Term Monitoring Program (SELTMP) 2014 Recreation in the Great Barrier </w:t>
            </w:r>
            <w:proofErr w:type="gramStart"/>
            <w:r w:rsidRPr="00E70A11">
              <w:rPr>
                <w:rFonts w:ascii="Arial Narrow" w:hAnsi="Arial Narrow"/>
                <w:sz w:val="18"/>
                <w:szCs w:val="18"/>
              </w:rPr>
              <w:t>Reef .</w:t>
            </w:r>
            <w:proofErr w:type="gramEnd"/>
            <w:r w:rsidRPr="00E70A11">
              <w:rPr>
                <w:rFonts w:ascii="Arial Narrow" w:eastAsia="Times New Roman" w:hAnsi="Arial Narrow" w:cs="Times New Roman"/>
                <w:sz w:val="18"/>
                <w:szCs w:val="18"/>
              </w:rPr>
              <w:t xml:space="preserve"> </w:t>
            </w:r>
            <w:r w:rsidRPr="00E70A11">
              <w:rPr>
                <w:rFonts w:ascii="Arial Narrow" w:hAnsi="Arial Narrow"/>
                <w:sz w:val="18"/>
                <w:szCs w:val="18"/>
              </w:rPr>
              <w:t xml:space="preserve">Report to the National Environmental Research Program. Reef and Rainforest Research Centre Limited CSIRO. </w:t>
            </w:r>
          </w:p>
          <w:p w14:paraId="57620387"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Style w:val="BookTitle"/>
                <w:rFonts w:ascii="Arial Narrow" w:hAnsi="Arial Narrow"/>
                <w:sz w:val="18"/>
                <w:szCs w:val="18"/>
              </w:rPr>
              <w:t>GBRMPA discussions and workshops</w:t>
            </w:r>
          </w:p>
        </w:tc>
        <w:tc>
          <w:tcPr>
            <w:tcW w:w="992" w:type="dxa"/>
            <w:tcBorders>
              <w:top w:val="single" w:sz="4" w:space="0" w:color="auto"/>
              <w:left w:val="single" w:sz="4" w:space="0" w:color="auto"/>
              <w:bottom w:val="single" w:sz="4" w:space="0" w:color="auto"/>
              <w:right w:val="single" w:sz="4" w:space="0" w:color="auto"/>
            </w:tcBorders>
          </w:tcPr>
          <w:p w14:paraId="57620388"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389"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3A3"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8B"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recreational use with the community</w:t>
            </w:r>
          </w:p>
        </w:tc>
        <w:tc>
          <w:tcPr>
            <w:tcW w:w="709" w:type="dxa"/>
            <w:tcBorders>
              <w:top w:val="single" w:sz="4" w:space="0" w:color="auto"/>
              <w:left w:val="single" w:sz="4" w:space="0" w:color="auto"/>
              <w:bottom w:val="single" w:sz="4" w:space="0" w:color="auto"/>
              <w:right w:val="single" w:sz="4" w:space="0" w:color="auto"/>
            </w:tcBorders>
          </w:tcPr>
          <w:p w14:paraId="5762038C"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8D"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bCs/>
                <w:sz w:val="18"/>
                <w:szCs w:val="18"/>
              </w:rPr>
              <w:t>More information</w:t>
            </w:r>
            <w:r w:rsidRPr="00E70A11">
              <w:rPr>
                <w:rFonts w:ascii="Arial Narrow" w:hAnsi="Arial Narrow"/>
                <w:sz w:val="18"/>
                <w:szCs w:val="18"/>
              </w:rPr>
              <w:t xml:space="preserve"> for recreational users developed and available through various mediums (e.g. TV community announcements, billboards, boat shows, publications, websites, hashtags, social media)</w:t>
            </w:r>
          </w:p>
          <w:p w14:paraId="5762038E"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bCs/>
                <w:sz w:val="18"/>
                <w:szCs w:val="18"/>
              </w:rPr>
              <w:t>LMACs</w:t>
            </w:r>
            <w:r w:rsidRPr="00E70A11">
              <w:rPr>
                <w:rFonts w:ascii="Arial Narrow" w:hAnsi="Arial Narrow"/>
                <w:sz w:val="18"/>
                <w:szCs w:val="18"/>
              </w:rPr>
              <w:t xml:space="preserve"> informed about recreational issues for their region</w:t>
            </w:r>
          </w:p>
          <w:p w14:paraId="5762038F"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bCs/>
                <w:sz w:val="18"/>
                <w:szCs w:val="18"/>
              </w:rPr>
              <w:t>Regional based staff</w:t>
            </w:r>
            <w:r w:rsidRPr="00E70A11">
              <w:rPr>
                <w:rFonts w:ascii="Arial Narrow" w:hAnsi="Arial Narrow"/>
                <w:sz w:val="18"/>
                <w:szCs w:val="18"/>
              </w:rPr>
              <w:t xml:space="preserve"> have provided stakeholders and local communities with easier access to management issues.</w:t>
            </w:r>
          </w:p>
          <w:p w14:paraId="57620390" w14:textId="77777777" w:rsidR="00A56EE9" w:rsidRPr="00E70A11" w:rsidRDefault="008B5998" w:rsidP="00A11869">
            <w:pPr>
              <w:pStyle w:val="ListParagraph"/>
              <w:numPr>
                <w:ilvl w:val="0"/>
                <w:numId w:val="24"/>
              </w:numPr>
              <w:rPr>
                <w:rFonts w:ascii="Arial Narrow" w:hAnsi="Arial Narrow"/>
                <w:sz w:val="18"/>
                <w:szCs w:val="18"/>
              </w:rPr>
            </w:pPr>
            <w:hyperlink r:id="rId1680" w:history="1">
              <w:r w:rsidR="00A56EE9" w:rsidRPr="00E70A11">
                <w:rPr>
                  <w:rStyle w:val="Hyperlink"/>
                  <w:rFonts w:ascii="Arial Narrow" w:hAnsi="Arial Narrow"/>
                  <w:color w:val="000000" w:themeColor="text1"/>
                  <w:sz w:val="18"/>
                  <w:szCs w:val="18"/>
                </w:rPr>
                <w:t>The</w:t>
              </w:r>
            </w:hyperlink>
            <w:r w:rsidR="00A56EE9" w:rsidRPr="00E70A11">
              <w:rPr>
                <w:rStyle w:val="Hyperlink"/>
                <w:rFonts w:ascii="Arial Narrow" w:hAnsi="Arial Narrow"/>
                <w:color w:val="000000" w:themeColor="text1"/>
                <w:sz w:val="18"/>
                <w:szCs w:val="18"/>
              </w:rPr>
              <w:t xml:space="preserve"> GBRMPA web site includes</w:t>
            </w:r>
            <w:r w:rsidR="00A56EE9" w:rsidRPr="00E70A11">
              <w:rPr>
                <w:rFonts w:ascii="Arial Narrow" w:hAnsi="Arial Narrow"/>
                <w:color w:val="000000" w:themeColor="text1"/>
                <w:sz w:val="18"/>
                <w:szCs w:val="18"/>
              </w:rPr>
              <w:t xml:space="preserve"> </w:t>
            </w:r>
            <w:r w:rsidR="00A56EE9" w:rsidRPr="00E70A11">
              <w:rPr>
                <w:rFonts w:ascii="Arial Narrow" w:hAnsi="Arial Narrow"/>
                <w:sz w:val="18"/>
                <w:szCs w:val="18"/>
              </w:rPr>
              <w:t>details about how to manage bilge, greywater, litter and chemicals</w:t>
            </w:r>
          </w:p>
          <w:p w14:paraId="57620391" w14:textId="77777777" w:rsidR="00A56EE9" w:rsidRPr="00E70A11" w:rsidRDefault="008B5998" w:rsidP="00A11869">
            <w:pPr>
              <w:pStyle w:val="ListParagraph"/>
              <w:numPr>
                <w:ilvl w:val="0"/>
                <w:numId w:val="24"/>
              </w:numPr>
              <w:rPr>
                <w:rFonts w:ascii="Arial Narrow" w:hAnsi="Arial Narrow"/>
                <w:sz w:val="18"/>
                <w:szCs w:val="18"/>
              </w:rPr>
            </w:pPr>
            <w:hyperlink r:id="rId1681" w:history="1">
              <w:r w:rsidR="00A56EE9" w:rsidRPr="00E70A11">
                <w:rPr>
                  <w:rStyle w:val="Hyperlink"/>
                  <w:rFonts w:ascii="Arial Narrow" w:hAnsi="Arial Narrow"/>
                  <w:sz w:val="18"/>
                  <w:szCs w:val="18"/>
                </w:rPr>
                <w:t>Spearfishing in the Whitsundays</w:t>
              </w:r>
            </w:hyperlink>
            <w:r w:rsidR="00A56EE9">
              <w:rPr>
                <w:rFonts w:ascii="Arial Narrow" w:hAnsi="Arial Narrow"/>
                <w:sz w:val="18"/>
                <w:szCs w:val="18"/>
              </w:rPr>
              <w:t xml:space="preserve"> </w:t>
            </w:r>
            <w:r w:rsidR="00A56EE9" w:rsidRPr="00E70A11">
              <w:rPr>
                <w:rFonts w:ascii="Arial Narrow" w:hAnsi="Arial Narrow"/>
                <w:sz w:val="18"/>
                <w:szCs w:val="18"/>
              </w:rPr>
              <w:t>web site details where spearfishing in the Whitsunday planning area is permitted</w:t>
            </w:r>
          </w:p>
          <w:p w14:paraId="5762039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The Eye on the Reef program enables anyone who visits the Great Barrier Reef to contribute to its long-term protection by collecting valuable information about reef health, marine animals and incidents especially through Sightings Network</w:t>
            </w:r>
          </w:p>
          <w:p w14:paraId="57620393" w14:textId="77777777" w:rsidR="00A56EE9" w:rsidRPr="00E70A11" w:rsidRDefault="00A56EE9" w:rsidP="00A11869">
            <w:pPr>
              <w:pStyle w:val="ListParagraph"/>
              <w:numPr>
                <w:ilvl w:val="0"/>
                <w:numId w:val="24"/>
              </w:numPr>
              <w:spacing w:after="200"/>
              <w:rPr>
                <w:rStyle w:val="BookTitle"/>
                <w:rFonts w:ascii="Arial Narrow" w:hAnsi="Arial Narrow"/>
                <w:sz w:val="18"/>
                <w:szCs w:val="18"/>
              </w:rPr>
            </w:pPr>
            <w:r w:rsidRPr="00E70A11">
              <w:rPr>
                <w:rFonts w:ascii="Arial Narrow" w:hAnsi="Arial Narrow"/>
                <w:sz w:val="18"/>
                <w:szCs w:val="18"/>
              </w:rPr>
              <w:t xml:space="preserve">Responsible Reef Practices </w:t>
            </w:r>
          </w:p>
        </w:tc>
        <w:tc>
          <w:tcPr>
            <w:tcW w:w="4574" w:type="dxa"/>
            <w:tcBorders>
              <w:top w:val="single" w:sz="4" w:space="0" w:color="auto"/>
              <w:left w:val="single" w:sz="4" w:space="0" w:color="auto"/>
              <w:bottom w:val="single" w:sz="4" w:space="0" w:color="auto"/>
              <w:right w:val="single" w:sz="4" w:space="0" w:color="auto"/>
            </w:tcBorders>
          </w:tcPr>
          <w:p w14:paraId="57620394" w14:textId="77777777" w:rsidR="00A56EE9" w:rsidRPr="00E70A11" w:rsidRDefault="00A56EE9" w:rsidP="00A11869">
            <w:pPr>
              <w:pStyle w:val="ListParagraph"/>
              <w:numPr>
                <w:ilvl w:val="0"/>
                <w:numId w:val="24"/>
              </w:numPr>
              <w:rPr>
                <w:rFonts w:ascii="Arial Narrow" w:hAnsi="Arial Narrow"/>
                <w:sz w:val="18"/>
                <w:szCs w:val="18"/>
                <w:lang w:val="en"/>
              </w:rPr>
            </w:pPr>
            <w:r w:rsidRPr="00E70A11">
              <w:rPr>
                <w:rFonts w:ascii="Arial Narrow" w:hAnsi="Arial Narrow"/>
                <w:sz w:val="18"/>
                <w:szCs w:val="18"/>
                <w:lang w:val="en"/>
              </w:rPr>
              <w:t xml:space="preserve">GBRMPA </w:t>
            </w:r>
            <w:hyperlink r:id="rId1682" w:history="1">
              <w:r w:rsidRPr="00E70A11">
                <w:rPr>
                  <w:rStyle w:val="Hyperlink"/>
                  <w:rFonts w:ascii="Arial Narrow" w:hAnsi="Arial Narrow"/>
                  <w:sz w:val="18"/>
                  <w:szCs w:val="18"/>
                  <w:lang w:val="en"/>
                </w:rPr>
                <w:t>Visit the Reef</w:t>
              </w:r>
            </w:hyperlink>
            <w:r w:rsidRPr="00E70A11">
              <w:rPr>
                <w:rFonts w:ascii="Arial Narrow" w:hAnsi="Arial Narrow"/>
                <w:sz w:val="18"/>
                <w:szCs w:val="18"/>
                <w:lang w:val="en"/>
              </w:rPr>
              <w:t xml:space="preserve"> webpage </w:t>
            </w:r>
          </w:p>
          <w:p w14:paraId="57620395"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bCs/>
                <w:sz w:val="18"/>
                <w:szCs w:val="18"/>
                <w:lang w:val="en"/>
              </w:rPr>
              <w:t xml:space="preserve">Qld </w:t>
            </w:r>
            <w:hyperlink r:id="rId1683" w:history="1">
              <w:r w:rsidRPr="00E70A11">
                <w:rPr>
                  <w:rStyle w:val="Hyperlink"/>
                  <w:rFonts w:ascii="Arial Narrow" w:hAnsi="Arial Narrow"/>
                  <w:sz w:val="18"/>
                  <w:szCs w:val="18"/>
                  <w:lang w:val="en"/>
                </w:rPr>
                <w:t xml:space="preserve">QPWS </w:t>
              </w:r>
              <w:r w:rsidRPr="00E70A11">
                <w:rPr>
                  <w:rStyle w:val="Hyperlink"/>
                  <w:rFonts w:ascii="Arial Narrow" w:hAnsi="Arial Narrow"/>
                  <w:sz w:val="18"/>
                  <w:szCs w:val="18"/>
                </w:rPr>
                <w:t>Protecting the Great Barrier Reef</w:t>
              </w:r>
            </w:hyperlink>
            <w:r w:rsidRPr="00E70A11">
              <w:rPr>
                <w:rFonts w:ascii="Arial Narrow" w:hAnsi="Arial Narrow"/>
                <w:bCs/>
                <w:sz w:val="18"/>
                <w:szCs w:val="18"/>
                <w:lang w:val="en"/>
              </w:rPr>
              <w:t xml:space="preserve">; </w:t>
            </w:r>
          </w:p>
          <w:p w14:paraId="57620396" w14:textId="77777777" w:rsidR="00A56EE9" w:rsidRPr="00E70A11" w:rsidRDefault="008B5998" w:rsidP="00A11869">
            <w:pPr>
              <w:pStyle w:val="ListParagraph"/>
              <w:numPr>
                <w:ilvl w:val="0"/>
                <w:numId w:val="24"/>
              </w:numPr>
              <w:rPr>
                <w:rFonts w:ascii="Arial Narrow" w:hAnsi="Arial Narrow"/>
                <w:sz w:val="18"/>
                <w:szCs w:val="18"/>
              </w:rPr>
            </w:pPr>
            <w:hyperlink r:id="rId1684" w:history="1">
              <w:r w:rsidR="00A56EE9" w:rsidRPr="00E70A11">
                <w:rPr>
                  <w:rStyle w:val="Hyperlink"/>
                  <w:rFonts w:ascii="Arial Narrow" w:hAnsi="Arial Narrow"/>
                  <w:sz w:val="18"/>
                  <w:szCs w:val="18"/>
                </w:rPr>
                <w:t>Great Barrier Reef Coast Marine Park</w:t>
              </w:r>
            </w:hyperlink>
            <w:r w:rsidR="00A56EE9" w:rsidRPr="00E70A11">
              <w:rPr>
                <w:rFonts w:ascii="Arial Narrow" w:hAnsi="Arial Narrow"/>
                <w:sz w:val="18"/>
                <w:szCs w:val="18"/>
              </w:rPr>
              <w:t xml:space="preserve">; </w:t>
            </w:r>
          </w:p>
          <w:p w14:paraId="57620397" w14:textId="77777777" w:rsidR="00A56EE9" w:rsidRPr="00E70A11" w:rsidRDefault="008B5998" w:rsidP="00A11869">
            <w:pPr>
              <w:pStyle w:val="ListParagraph"/>
              <w:numPr>
                <w:ilvl w:val="0"/>
                <w:numId w:val="24"/>
              </w:numPr>
              <w:rPr>
                <w:rFonts w:ascii="Arial Narrow" w:hAnsi="Arial Narrow"/>
                <w:sz w:val="18"/>
                <w:szCs w:val="18"/>
              </w:rPr>
            </w:pPr>
            <w:hyperlink r:id="rId1685" w:history="1">
              <w:r w:rsidR="00A56EE9" w:rsidRPr="00E70A11">
                <w:rPr>
                  <w:rStyle w:val="Hyperlink"/>
                  <w:rFonts w:ascii="Arial Narrow" w:hAnsi="Arial Narrow"/>
                  <w:sz w:val="18"/>
                  <w:szCs w:val="18"/>
                </w:rPr>
                <w:t>Marine park activities</w:t>
              </w:r>
            </w:hyperlink>
            <w:r w:rsidR="00A56EE9" w:rsidRPr="00E70A11">
              <w:rPr>
                <w:rFonts w:ascii="Arial Narrow" w:hAnsi="Arial Narrow"/>
                <w:sz w:val="18"/>
                <w:szCs w:val="18"/>
              </w:rPr>
              <w:t xml:space="preserve"> </w:t>
            </w:r>
          </w:p>
          <w:p w14:paraId="57620398" w14:textId="18CCA178"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lang w:val="es-ES"/>
              </w:rPr>
              <w:t xml:space="preserve">GBRMPA </w:t>
            </w:r>
            <w:r w:rsidRPr="00E70A11">
              <w:rPr>
                <w:rFonts w:ascii="Arial Narrow" w:hAnsi="Arial Narrow"/>
                <w:sz w:val="18"/>
                <w:szCs w:val="18"/>
              </w:rPr>
              <w:t xml:space="preserve">Newsletters - </w:t>
            </w:r>
            <w:hyperlink r:id="rId1686" w:tooltip="document link" w:history="1">
              <w:r w:rsidRPr="00E70A11">
                <w:rPr>
                  <w:rStyle w:val="Hyperlink"/>
                  <w:rFonts w:ascii="Arial Narrow" w:hAnsi="Arial Narrow"/>
                  <w:sz w:val="18"/>
                  <w:szCs w:val="18"/>
                </w:rPr>
                <w:t>http://www.gbrmpa.gov.au/corp_site/info_services/publications/newsletters/searead2</w:t>
              </w:r>
            </w:hyperlink>
          </w:p>
          <w:p w14:paraId="57620399"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QPWS fact sheet - </w:t>
            </w:r>
            <w:hyperlink r:id="rId1687" w:history="1">
              <w:r w:rsidRPr="00E70A11">
                <w:rPr>
                  <w:rStyle w:val="Hyperlink"/>
                  <w:rFonts w:ascii="Arial Narrow" w:hAnsi="Arial Narrow"/>
                  <w:sz w:val="18"/>
                  <w:szCs w:val="18"/>
                </w:rPr>
                <w:t>Be pest-free! when you visit the Great Barrier Reef islands</w:t>
              </w:r>
            </w:hyperlink>
            <w:r w:rsidRPr="00E70A11">
              <w:rPr>
                <w:rFonts w:ascii="Arial Narrow" w:hAnsi="Arial Narrow"/>
                <w:bCs/>
                <w:sz w:val="18"/>
                <w:szCs w:val="18"/>
              </w:rPr>
              <w:t xml:space="preserve"> </w:t>
            </w:r>
          </w:p>
          <w:p w14:paraId="5762039A" w14:textId="77777777" w:rsidR="00A56EE9" w:rsidRPr="00E70A11" w:rsidRDefault="008B5998" w:rsidP="00A11869">
            <w:pPr>
              <w:pStyle w:val="ListParagraph"/>
              <w:numPr>
                <w:ilvl w:val="0"/>
                <w:numId w:val="24"/>
              </w:numPr>
              <w:rPr>
                <w:rFonts w:ascii="Arial Narrow" w:hAnsi="Arial Narrow"/>
                <w:sz w:val="18"/>
                <w:szCs w:val="18"/>
              </w:rPr>
            </w:pPr>
            <w:hyperlink r:id="rId1688" w:history="1">
              <w:r w:rsidR="00A56EE9" w:rsidRPr="00E70A11">
                <w:rPr>
                  <w:rStyle w:val="Hyperlink"/>
                  <w:rFonts w:ascii="Arial Narrow" w:hAnsi="Arial Narrow"/>
                  <w:sz w:val="18"/>
                  <w:szCs w:val="18"/>
                </w:rPr>
                <w:t>Great Barrier Reef camping</w:t>
              </w:r>
            </w:hyperlink>
          </w:p>
          <w:p w14:paraId="5762039B" w14:textId="77777777" w:rsidR="00A56EE9" w:rsidRPr="00E70A11" w:rsidRDefault="008B5998" w:rsidP="00A11869">
            <w:pPr>
              <w:pStyle w:val="ListParagraph"/>
              <w:numPr>
                <w:ilvl w:val="0"/>
                <w:numId w:val="24"/>
              </w:numPr>
              <w:rPr>
                <w:rFonts w:ascii="Arial Narrow" w:hAnsi="Arial Narrow"/>
                <w:sz w:val="18"/>
                <w:szCs w:val="18"/>
              </w:rPr>
            </w:pPr>
            <w:hyperlink r:id="rId1689" w:history="1">
              <w:r w:rsidR="00A56EE9" w:rsidRPr="00E70A11">
                <w:rPr>
                  <w:rStyle w:val="Hyperlink"/>
                  <w:rFonts w:ascii="Arial Narrow" w:hAnsi="Arial Narrow"/>
                  <w:sz w:val="18"/>
                  <w:szCs w:val="18"/>
                </w:rPr>
                <w:t>Waste (including sewage), chemicals and litter</w:t>
              </w:r>
            </w:hyperlink>
          </w:p>
          <w:p w14:paraId="5762039C" w14:textId="77777777" w:rsidR="00A56EE9" w:rsidRPr="00E70A11" w:rsidRDefault="008B5998" w:rsidP="00A11869">
            <w:pPr>
              <w:pStyle w:val="ListParagraph"/>
              <w:numPr>
                <w:ilvl w:val="0"/>
                <w:numId w:val="24"/>
              </w:numPr>
              <w:rPr>
                <w:rFonts w:ascii="Arial Narrow" w:hAnsi="Arial Narrow"/>
                <w:sz w:val="18"/>
                <w:szCs w:val="18"/>
              </w:rPr>
            </w:pPr>
            <w:hyperlink r:id="rId1690" w:history="1">
              <w:r w:rsidR="00A56EE9" w:rsidRPr="00E70A11">
                <w:rPr>
                  <w:rStyle w:val="Hyperlink"/>
                  <w:rFonts w:ascii="Arial Narrow" w:hAnsi="Arial Narrow"/>
                  <w:sz w:val="18"/>
                  <w:szCs w:val="18"/>
                </w:rPr>
                <w:t>Spearfishing in the Whitsundays</w:t>
              </w:r>
            </w:hyperlink>
          </w:p>
          <w:p w14:paraId="5762039D"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Webpages providing detailed guidance to recreational users visiting the Cairns and Whitsundays Planning Areas</w:t>
            </w:r>
          </w:p>
          <w:p w14:paraId="5762039E" w14:textId="77777777" w:rsidR="00A56EE9" w:rsidRPr="00E70A11" w:rsidRDefault="008B5998" w:rsidP="00A11869">
            <w:pPr>
              <w:pStyle w:val="ListParagraph"/>
              <w:numPr>
                <w:ilvl w:val="0"/>
                <w:numId w:val="24"/>
              </w:numPr>
              <w:rPr>
                <w:rFonts w:ascii="Arial Narrow" w:hAnsi="Arial Narrow"/>
                <w:sz w:val="18"/>
                <w:szCs w:val="18"/>
              </w:rPr>
            </w:pPr>
            <w:hyperlink r:id="rId1691" w:history="1">
              <w:r w:rsidR="00A56EE9" w:rsidRPr="00E70A11">
                <w:rPr>
                  <w:rStyle w:val="Hyperlink"/>
                  <w:rFonts w:ascii="Arial Narrow" w:hAnsi="Arial Narrow"/>
                  <w:sz w:val="18"/>
                  <w:szCs w:val="18"/>
                </w:rPr>
                <w:t>Eye on the Reef</w:t>
              </w:r>
            </w:hyperlink>
          </w:p>
          <w:p w14:paraId="5762039F" w14:textId="77777777" w:rsidR="00A56EE9" w:rsidRPr="00E70A11" w:rsidRDefault="008B5998" w:rsidP="00A11869">
            <w:pPr>
              <w:pStyle w:val="ListParagraph"/>
              <w:numPr>
                <w:ilvl w:val="0"/>
                <w:numId w:val="24"/>
              </w:numPr>
              <w:rPr>
                <w:rFonts w:ascii="Arial Narrow" w:hAnsi="Arial Narrow"/>
                <w:sz w:val="18"/>
                <w:szCs w:val="18"/>
              </w:rPr>
            </w:pPr>
            <w:hyperlink r:id="rId1692" w:history="1">
              <w:r w:rsidR="00A56EE9" w:rsidRPr="00E70A11">
                <w:rPr>
                  <w:rStyle w:val="Hyperlink"/>
                  <w:rFonts w:ascii="Arial Narrow" w:hAnsi="Arial Narrow"/>
                  <w:sz w:val="18"/>
                  <w:szCs w:val="18"/>
                </w:rPr>
                <w:t>Order of Underwater Coral Heroes</w:t>
              </w:r>
            </w:hyperlink>
          </w:p>
          <w:p w14:paraId="576203A0" w14:textId="77777777" w:rsidR="00A56EE9" w:rsidRPr="00E70A11" w:rsidRDefault="008B5998" w:rsidP="00A11869">
            <w:pPr>
              <w:pStyle w:val="ListParagraph"/>
              <w:numPr>
                <w:ilvl w:val="0"/>
                <w:numId w:val="24"/>
              </w:numPr>
              <w:spacing w:after="200"/>
              <w:rPr>
                <w:rStyle w:val="BookTitle"/>
                <w:rFonts w:ascii="Arial Narrow" w:hAnsi="Arial Narrow"/>
                <w:sz w:val="18"/>
                <w:szCs w:val="18"/>
              </w:rPr>
            </w:pPr>
            <w:hyperlink r:id="rId1693" w:history="1">
              <w:r w:rsidR="00A56EE9" w:rsidRPr="00E70A11">
                <w:rPr>
                  <w:rStyle w:val="Hyperlink"/>
                  <w:rFonts w:ascii="Arial Narrow" w:hAnsi="Arial Narrow"/>
                  <w:sz w:val="18"/>
                  <w:szCs w:val="18"/>
                </w:rPr>
                <w:t>Marine Debris Project</w:t>
              </w:r>
            </w:hyperlink>
          </w:p>
        </w:tc>
        <w:tc>
          <w:tcPr>
            <w:tcW w:w="992" w:type="dxa"/>
            <w:tcBorders>
              <w:top w:val="single" w:sz="4" w:space="0" w:color="auto"/>
              <w:left w:val="single" w:sz="4" w:space="0" w:color="auto"/>
              <w:bottom w:val="single" w:sz="4" w:space="0" w:color="auto"/>
              <w:right w:val="single" w:sz="4" w:space="0" w:color="auto"/>
            </w:tcBorders>
          </w:tcPr>
          <w:p w14:paraId="576203A1"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A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3AA"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A4" w14:textId="77777777" w:rsidR="00A56EE9" w:rsidRPr="00E70A11" w:rsidRDefault="00A56EE9" w:rsidP="00BB6AD5">
            <w:pPr>
              <w:pStyle w:val="Tablebulletlist"/>
              <w:rPr>
                <w:rStyle w:val="BookTitle"/>
              </w:rPr>
            </w:pPr>
            <w:r w:rsidRPr="00E70A11">
              <w:rPr>
                <w:rStyle w:val="BookTitle"/>
              </w:rPr>
              <w:t>OUTCOMES</w:t>
            </w:r>
          </w:p>
        </w:tc>
        <w:tc>
          <w:tcPr>
            <w:tcW w:w="70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A5" w14:textId="77777777" w:rsidR="00A56EE9" w:rsidRPr="00E70A11" w:rsidRDefault="00A56EE9" w:rsidP="00BB6AD5">
            <w:pPr>
              <w:pStyle w:val="Tablebulletlist"/>
              <w:rPr>
                <w:rStyle w:val="BookTitle"/>
              </w:rPr>
            </w:pPr>
          </w:p>
        </w:tc>
        <w:tc>
          <w:tcPr>
            <w:tcW w:w="455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A6" w14:textId="77777777" w:rsidR="00A56EE9" w:rsidRPr="00E70A11" w:rsidRDefault="00A56EE9" w:rsidP="00BB6AD5">
            <w:pPr>
              <w:pStyle w:val="ListParagraph"/>
              <w:ind w:left="360"/>
              <w:rPr>
                <w:rStyle w:val="BookTitle"/>
                <w:rFonts w:ascii="Arial Narrow" w:hAnsi="Arial Narrow"/>
                <w:sz w:val="18"/>
                <w:szCs w:val="18"/>
              </w:rPr>
            </w:pPr>
          </w:p>
        </w:tc>
        <w:tc>
          <w:tcPr>
            <w:tcW w:w="4574"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A7"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A8" w14:textId="77777777" w:rsidR="00A56EE9" w:rsidRPr="00E70A11" w:rsidRDefault="00A56EE9" w:rsidP="00BB6AD5">
            <w:pPr>
              <w:pStyle w:val="Tablebulletlist"/>
              <w:rPr>
                <w:rStyle w:val="BookTitle"/>
              </w:rPr>
            </w:pPr>
          </w:p>
        </w:tc>
        <w:tc>
          <w:tcPr>
            <w:tcW w:w="955"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3A9" w14:textId="77777777" w:rsidR="00A56EE9" w:rsidRPr="00E70A11" w:rsidRDefault="00A56EE9" w:rsidP="00BB6AD5">
            <w:pPr>
              <w:pStyle w:val="Tablebulletlist"/>
              <w:rPr>
                <w:rStyle w:val="BookTitle"/>
              </w:rPr>
            </w:pPr>
          </w:p>
        </w:tc>
      </w:tr>
      <w:tr w:rsidR="00A56EE9" w:rsidRPr="00E70A11" w14:paraId="576203B4"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AB"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recreational use and moving towards the attainment of the desired outcomes.</w:t>
            </w:r>
          </w:p>
        </w:tc>
        <w:tc>
          <w:tcPr>
            <w:tcW w:w="709" w:type="dxa"/>
            <w:tcBorders>
              <w:top w:val="single" w:sz="4" w:space="0" w:color="auto"/>
              <w:left w:val="single" w:sz="4" w:space="0" w:color="auto"/>
              <w:bottom w:val="single" w:sz="4" w:space="0" w:color="auto"/>
              <w:right w:val="single" w:sz="4" w:space="0" w:color="auto"/>
            </w:tcBorders>
          </w:tcPr>
          <w:p w14:paraId="576203AC"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A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implementation of the Recreation Management Strategy was expected to ensure progress towards attainment of outcomes identified in the document. </w:t>
            </w:r>
          </w:p>
          <w:p w14:paraId="576203A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 xml:space="preserve">Actions in the Reef 2050 Plan include </w:t>
            </w:r>
            <w:r w:rsidRPr="00E70A11">
              <w:rPr>
                <w:rFonts w:ascii="Arial Narrow" w:hAnsi="Arial Narrow"/>
                <w:i/>
                <w:sz w:val="18"/>
                <w:szCs w:val="18"/>
                <w:lang w:val="en-GB"/>
              </w:rPr>
              <w:t>ensuring recreational activities are ecologically sustainable</w:t>
            </w:r>
          </w:p>
        </w:tc>
        <w:tc>
          <w:tcPr>
            <w:tcW w:w="4574" w:type="dxa"/>
            <w:tcBorders>
              <w:top w:val="single" w:sz="4" w:space="0" w:color="auto"/>
              <w:left w:val="single" w:sz="4" w:space="0" w:color="auto"/>
              <w:bottom w:val="single" w:sz="4" w:space="0" w:color="auto"/>
              <w:right w:val="single" w:sz="4" w:space="0" w:color="auto"/>
            </w:tcBorders>
          </w:tcPr>
          <w:p w14:paraId="576203AF"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694" w:history="1">
              <w:r w:rsidR="00A56EE9" w:rsidRPr="00E70A11">
                <w:rPr>
                  <w:rStyle w:val="Hyperlink"/>
                  <w:rFonts w:ascii="Arial Narrow" w:hAnsi="Arial Narrow"/>
                  <w:sz w:val="18"/>
                  <w:szCs w:val="18"/>
                </w:rPr>
                <w:t>Recreational Management Strategy (RMS) GBRMPA (2012)</w:t>
              </w:r>
            </w:hyperlink>
          </w:p>
          <w:p w14:paraId="576203B0" w14:textId="77777777" w:rsidR="00A56EE9" w:rsidRPr="00E70A11" w:rsidRDefault="008B5998" w:rsidP="00A11869">
            <w:pPr>
              <w:pStyle w:val="ListParagraph"/>
              <w:numPr>
                <w:ilvl w:val="0"/>
                <w:numId w:val="24"/>
              </w:numPr>
              <w:rPr>
                <w:rFonts w:ascii="Arial Narrow" w:hAnsi="Arial Narrow"/>
                <w:sz w:val="18"/>
                <w:szCs w:val="18"/>
              </w:rPr>
            </w:pPr>
            <w:hyperlink r:id="rId1695" w:history="1">
              <w:r w:rsidR="00A56EE9" w:rsidRPr="00E70A11">
                <w:rPr>
                  <w:rStyle w:val="Hyperlink"/>
                  <w:rFonts w:ascii="Arial Narrow" w:hAnsi="Arial Narrow"/>
                  <w:sz w:val="18"/>
                  <w:szCs w:val="18"/>
                </w:rPr>
                <w:t>Reef 2050 Long-Term Sustainability Plan</w:t>
              </w:r>
            </w:hyperlink>
          </w:p>
          <w:p w14:paraId="576203B1"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3B2"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3B3" w14:textId="77777777" w:rsidR="00A56EE9" w:rsidRPr="00E70A11" w:rsidRDefault="00A56EE9" w:rsidP="00BB6AD5">
            <w:pPr>
              <w:pStyle w:val="Tablebulletlist"/>
              <w:rPr>
                <w:rStyle w:val="BookTitle"/>
              </w:rPr>
            </w:pPr>
            <w:r w:rsidRPr="00E70A11">
              <w:rPr>
                <w:rStyle w:val="BookTitle"/>
              </w:rPr>
              <w:t>Stable/declining</w:t>
            </w:r>
          </w:p>
        </w:tc>
      </w:tr>
      <w:tr w:rsidR="00A56EE9" w:rsidRPr="00E70A11" w14:paraId="576203BE"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B5"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recreational use are on track to ensure the values of the Great Barrier Reef are protected (refer CO1)</w:t>
            </w:r>
          </w:p>
        </w:tc>
        <w:tc>
          <w:tcPr>
            <w:tcW w:w="709" w:type="dxa"/>
            <w:tcBorders>
              <w:top w:val="single" w:sz="4" w:space="0" w:color="auto"/>
              <w:left w:val="single" w:sz="4" w:space="0" w:color="auto"/>
              <w:bottom w:val="single" w:sz="4" w:space="0" w:color="auto"/>
              <w:right w:val="single" w:sz="4" w:space="0" w:color="auto"/>
            </w:tcBorders>
          </w:tcPr>
          <w:p w14:paraId="576203B6"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B7"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 xml:space="preserve">The implementation of the Recreation Management Strategy was expected to ensure progress towards attainment of outcomes identified in the document. </w:t>
            </w:r>
          </w:p>
          <w:p w14:paraId="576203B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 xml:space="preserve">Actions in the Reef 2050 Plan include </w:t>
            </w:r>
            <w:r w:rsidRPr="00E70A11">
              <w:rPr>
                <w:rFonts w:ascii="Arial Narrow" w:hAnsi="Arial Narrow"/>
                <w:i/>
                <w:sz w:val="18"/>
                <w:szCs w:val="18"/>
                <w:lang w:val="en-GB"/>
              </w:rPr>
              <w:t xml:space="preserve">ensuring recreational activities are ecologically sustainable </w:t>
            </w:r>
            <w:r w:rsidRPr="00E70A11">
              <w:rPr>
                <w:rFonts w:ascii="Arial Narrow" w:hAnsi="Arial Narrow"/>
                <w:sz w:val="18"/>
                <w:szCs w:val="18"/>
                <w:lang w:val="en-GB"/>
              </w:rPr>
              <w:t>are on track.</w:t>
            </w:r>
          </w:p>
        </w:tc>
        <w:tc>
          <w:tcPr>
            <w:tcW w:w="4574" w:type="dxa"/>
            <w:tcBorders>
              <w:top w:val="single" w:sz="4" w:space="0" w:color="auto"/>
              <w:left w:val="single" w:sz="4" w:space="0" w:color="auto"/>
              <w:bottom w:val="single" w:sz="4" w:space="0" w:color="auto"/>
              <w:right w:val="single" w:sz="4" w:space="0" w:color="auto"/>
            </w:tcBorders>
          </w:tcPr>
          <w:p w14:paraId="576203B9" w14:textId="77777777" w:rsidR="00A56EE9" w:rsidRPr="00E70A11" w:rsidRDefault="008B5998" w:rsidP="00A11869">
            <w:pPr>
              <w:pStyle w:val="ListParagraph"/>
              <w:numPr>
                <w:ilvl w:val="0"/>
                <w:numId w:val="24"/>
              </w:numPr>
              <w:spacing w:line="276" w:lineRule="auto"/>
              <w:rPr>
                <w:rFonts w:ascii="Arial Narrow" w:hAnsi="Arial Narrow"/>
                <w:sz w:val="18"/>
                <w:szCs w:val="18"/>
              </w:rPr>
            </w:pPr>
            <w:hyperlink r:id="rId1696" w:history="1">
              <w:r w:rsidR="00A56EE9" w:rsidRPr="00E70A11">
                <w:rPr>
                  <w:rStyle w:val="Hyperlink"/>
                  <w:rFonts w:ascii="Arial Narrow" w:hAnsi="Arial Narrow"/>
                  <w:sz w:val="18"/>
                  <w:szCs w:val="18"/>
                </w:rPr>
                <w:t>Recreational Management Strategy (RMS) GBRMPA (2012)</w:t>
              </w:r>
            </w:hyperlink>
          </w:p>
          <w:p w14:paraId="576203BA"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697" w:history="1">
              <w:r w:rsidR="00A56EE9" w:rsidRPr="00E70A11">
                <w:rPr>
                  <w:rStyle w:val="Hyperlink"/>
                  <w:rFonts w:ascii="Arial Narrow" w:hAnsi="Arial Narrow"/>
                  <w:sz w:val="18"/>
                  <w:szCs w:val="18"/>
                </w:rPr>
                <w:t>Reef 2050 Long-Term Sustainability Plan</w:t>
              </w:r>
            </w:hyperlink>
          </w:p>
          <w:p w14:paraId="576203BB"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3BC"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3BD" w14:textId="77777777" w:rsidR="00A56EE9" w:rsidRPr="00E70A11" w:rsidRDefault="00A56EE9" w:rsidP="00BB6AD5">
            <w:pPr>
              <w:pStyle w:val="Tablebulletlist"/>
              <w:rPr>
                <w:rStyle w:val="BookTitle"/>
              </w:rPr>
            </w:pPr>
            <w:r w:rsidRPr="00E70A11">
              <w:rPr>
                <w:rStyle w:val="BookTitle"/>
              </w:rPr>
              <w:t>Stable/declining</w:t>
            </w:r>
          </w:p>
        </w:tc>
      </w:tr>
      <w:tr w:rsidR="00A56EE9" w:rsidRPr="00E70A11" w14:paraId="576203CB"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BF"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recreational use are reducing the major risks and the threats to the Great Barrier Reef</w:t>
            </w:r>
          </w:p>
        </w:tc>
        <w:tc>
          <w:tcPr>
            <w:tcW w:w="709" w:type="dxa"/>
            <w:tcBorders>
              <w:top w:val="single" w:sz="4" w:space="0" w:color="auto"/>
              <w:left w:val="single" w:sz="4" w:space="0" w:color="auto"/>
              <w:bottom w:val="single" w:sz="4" w:space="0" w:color="auto"/>
              <w:right w:val="single" w:sz="4" w:space="0" w:color="auto"/>
            </w:tcBorders>
          </w:tcPr>
          <w:p w14:paraId="576203C0"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C1"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Most of the identified impacts are likely to only have minor effects; and be concentrated close to the coast, in popular areas</w:t>
            </w:r>
          </w:p>
          <w:p w14:paraId="576203C2"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For activities such as snorkelling and diving, the impacts are most likely to be minor localised damage to corals and disturbance to wildlife. These issues are addressed in Responsible Reef Practices</w:t>
            </w:r>
          </w:p>
          <w:p w14:paraId="576203C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investment in new moorings and reef protection markers have contributed to reducing threats to the reef from recreational users</w:t>
            </w:r>
          </w:p>
          <w:p w14:paraId="576203C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lang w:val="en-GB"/>
              </w:rPr>
              <w:t xml:space="preserve">Actions in the Reef 2050 Plan include </w:t>
            </w:r>
            <w:r w:rsidRPr="00E70A11">
              <w:rPr>
                <w:rFonts w:ascii="Arial Narrow" w:hAnsi="Arial Narrow"/>
                <w:i/>
                <w:sz w:val="18"/>
                <w:szCs w:val="18"/>
                <w:lang w:val="en-GB"/>
              </w:rPr>
              <w:t>ensuring recreational activities are ecologically sustainable</w:t>
            </w:r>
          </w:p>
        </w:tc>
        <w:tc>
          <w:tcPr>
            <w:tcW w:w="4574" w:type="dxa"/>
            <w:tcBorders>
              <w:top w:val="single" w:sz="4" w:space="0" w:color="auto"/>
              <w:left w:val="single" w:sz="4" w:space="0" w:color="auto"/>
              <w:bottom w:val="single" w:sz="4" w:space="0" w:color="auto"/>
              <w:right w:val="single" w:sz="4" w:space="0" w:color="auto"/>
            </w:tcBorders>
          </w:tcPr>
          <w:p w14:paraId="576203C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Responsible Reef Practices</w:t>
            </w:r>
          </w:p>
          <w:p w14:paraId="576203C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Significant Regional Infrastructure Projects Program (SKIPP)</w:t>
            </w:r>
          </w:p>
          <w:p w14:paraId="576203C7" w14:textId="77777777" w:rsidR="00A56EE9" w:rsidRPr="00E70A11" w:rsidRDefault="008B5998" w:rsidP="00A11869">
            <w:pPr>
              <w:pStyle w:val="ListParagraph"/>
              <w:numPr>
                <w:ilvl w:val="0"/>
                <w:numId w:val="24"/>
              </w:numPr>
              <w:spacing w:after="200"/>
              <w:rPr>
                <w:rFonts w:ascii="Arial Narrow" w:hAnsi="Arial Narrow"/>
                <w:sz w:val="18"/>
                <w:szCs w:val="18"/>
              </w:rPr>
            </w:pPr>
            <w:hyperlink r:id="rId1698" w:history="1">
              <w:r w:rsidR="00A56EE9" w:rsidRPr="00E70A11">
                <w:rPr>
                  <w:rStyle w:val="Hyperlink"/>
                  <w:rFonts w:ascii="Arial Narrow" w:hAnsi="Arial Narrow"/>
                  <w:sz w:val="18"/>
                  <w:szCs w:val="18"/>
                </w:rPr>
                <w:t>Recreational Management Strategy (RMS) GBRMPA (2012)</w:t>
              </w:r>
            </w:hyperlink>
          </w:p>
          <w:p w14:paraId="576203C8"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3C9"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3CA"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3D3"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CC"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recreational use is demonstrably environmentally sustainable</w:t>
            </w:r>
          </w:p>
        </w:tc>
        <w:tc>
          <w:tcPr>
            <w:tcW w:w="709" w:type="dxa"/>
            <w:tcBorders>
              <w:top w:val="single" w:sz="4" w:space="0" w:color="auto"/>
              <w:left w:val="single" w:sz="4" w:space="0" w:color="auto"/>
              <w:bottom w:val="single" w:sz="4" w:space="0" w:color="auto"/>
              <w:right w:val="single" w:sz="4" w:space="0" w:color="auto"/>
            </w:tcBorders>
          </w:tcPr>
          <w:p w14:paraId="576203CD"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C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Recreational users contribute to protection and management of the Region’s values through programs such as Clean Up Australia Day, Order of Underwater Coral Heroes Volunteers (OUCH), Tangaroa Blue, Eco-Barge, the Strandings Hotline and the Sightings Network</w:t>
            </w:r>
          </w:p>
          <w:p w14:paraId="576203C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There has been limited monitoring and published papers on the sustainability of recreational use</w:t>
            </w:r>
          </w:p>
        </w:tc>
        <w:tc>
          <w:tcPr>
            <w:tcW w:w="4574" w:type="dxa"/>
            <w:tcBorders>
              <w:top w:val="single" w:sz="4" w:space="0" w:color="auto"/>
              <w:left w:val="single" w:sz="4" w:space="0" w:color="auto"/>
              <w:bottom w:val="single" w:sz="4" w:space="0" w:color="auto"/>
              <w:right w:val="single" w:sz="4" w:space="0" w:color="auto"/>
            </w:tcBorders>
          </w:tcPr>
          <w:p w14:paraId="576203D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discussions and workshops</w:t>
            </w:r>
          </w:p>
        </w:tc>
        <w:tc>
          <w:tcPr>
            <w:tcW w:w="992" w:type="dxa"/>
            <w:tcBorders>
              <w:top w:val="single" w:sz="4" w:space="0" w:color="auto"/>
              <w:left w:val="single" w:sz="4" w:space="0" w:color="auto"/>
              <w:bottom w:val="single" w:sz="4" w:space="0" w:color="auto"/>
              <w:right w:val="single" w:sz="4" w:space="0" w:color="auto"/>
            </w:tcBorders>
          </w:tcPr>
          <w:p w14:paraId="576203D1" w14:textId="77777777" w:rsidR="00A56EE9" w:rsidRPr="00E70A11" w:rsidRDefault="00A56EE9" w:rsidP="00BB6AD5">
            <w:pPr>
              <w:pStyle w:val="Tablebulletlist"/>
              <w:rPr>
                <w:rStyle w:val="BookTitle"/>
              </w:rPr>
            </w:pPr>
            <w:r w:rsidRPr="00E70A11">
              <w:rPr>
                <w:rStyle w:val="BookTitle"/>
              </w:rPr>
              <w:t>Limited</w:t>
            </w:r>
          </w:p>
        </w:tc>
        <w:tc>
          <w:tcPr>
            <w:tcW w:w="955" w:type="dxa"/>
            <w:tcBorders>
              <w:top w:val="single" w:sz="4" w:space="0" w:color="auto"/>
              <w:left w:val="single" w:sz="4" w:space="0" w:color="auto"/>
              <w:bottom w:val="single" w:sz="4" w:space="0" w:color="auto"/>
              <w:right w:val="single" w:sz="4" w:space="0" w:color="auto"/>
            </w:tcBorders>
          </w:tcPr>
          <w:p w14:paraId="576203D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3DB"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D4"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recreational use is demonstrably economically sustainable</w:t>
            </w:r>
          </w:p>
        </w:tc>
        <w:tc>
          <w:tcPr>
            <w:tcW w:w="709" w:type="dxa"/>
            <w:tcBorders>
              <w:top w:val="single" w:sz="4" w:space="0" w:color="auto"/>
              <w:left w:val="single" w:sz="4" w:space="0" w:color="auto"/>
              <w:bottom w:val="single" w:sz="4" w:space="0" w:color="auto"/>
              <w:right w:val="single" w:sz="4" w:space="0" w:color="auto"/>
            </w:tcBorders>
          </w:tcPr>
          <w:p w14:paraId="576203D5"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D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Deloitte Access Economics recently estimated the economic contribution of Reef-related recreation to the national economy.</w:t>
            </w:r>
          </w:p>
        </w:tc>
        <w:tc>
          <w:tcPr>
            <w:tcW w:w="4574" w:type="dxa"/>
            <w:tcBorders>
              <w:top w:val="single" w:sz="4" w:space="0" w:color="auto"/>
              <w:left w:val="single" w:sz="4" w:space="0" w:color="auto"/>
              <w:bottom w:val="single" w:sz="4" w:space="0" w:color="auto"/>
              <w:right w:val="single" w:sz="4" w:space="0" w:color="auto"/>
            </w:tcBorders>
          </w:tcPr>
          <w:p w14:paraId="576203D7"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lang w:val="en"/>
              </w:rPr>
              <w:t xml:space="preserve">Deloitte Access Economics, </w:t>
            </w:r>
            <w:hyperlink r:id="rId1699" w:history="1">
              <w:proofErr w:type="gramStart"/>
              <w:r w:rsidRPr="00E70A11">
                <w:rPr>
                  <w:rStyle w:val="Hyperlink"/>
                  <w:rFonts w:ascii="Arial Narrow" w:hAnsi="Arial Narrow"/>
                  <w:sz w:val="18"/>
                  <w:szCs w:val="18"/>
                </w:rPr>
                <w:t>At</w:t>
              </w:r>
              <w:proofErr w:type="gramEnd"/>
              <w:r w:rsidRPr="00E70A11">
                <w:rPr>
                  <w:rStyle w:val="Hyperlink"/>
                  <w:rFonts w:ascii="Arial Narrow" w:hAnsi="Arial Narrow"/>
                  <w:sz w:val="18"/>
                  <w:szCs w:val="18"/>
                </w:rPr>
                <w:t xml:space="preserve"> what price? The economic, social and icon value of the Great Barrier Reef (2017)</w:t>
              </w:r>
            </w:hyperlink>
            <w:r w:rsidRPr="00E70A11">
              <w:rPr>
                <w:rFonts w:ascii="Arial Narrow" w:hAnsi="Arial Narrow"/>
                <w:sz w:val="18"/>
                <w:szCs w:val="18"/>
              </w:rPr>
              <w:t xml:space="preserve"> </w:t>
            </w:r>
          </w:p>
          <w:p w14:paraId="576203D8" w14:textId="77777777" w:rsidR="00A56EE9" w:rsidRPr="00E70A11" w:rsidRDefault="00A56EE9" w:rsidP="00BB6AD5">
            <w:pPr>
              <w:pStyle w:val="ListParagraph"/>
              <w:ind w:left="360"/>
              <w:rPr>
                <w:rStyle w:val="BookTitle"/>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3D9" w14:textId="77777777" w:rsidR="00A56EE9" w:rsidRPr="00E70A11" w:rsidRDefault="00A56EE9" w:rsidP="00BB6AD5">
            <w:pPr>
              <w:pStyle w:val="Tablebulletlist"/>
              <w:rPr>
                <w:rStyle w:val="BookTitle"/>
              </w:rPr>
            </w:pPr>
            <w:r>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DA" w14:textId="77777777" w:rsidR="00A56EE9" w:rsidRPr="00E70A11" w:rsidRDefault="00A56EE9" w:rsidP="00BB6AD5">
            <w:pPr>
              <w:pStyle w:val="Tablebulletlist"/>
              <w:rPr>
                <w:rStyle w:val="BookTitle"/>
              </w:rPr>
            </w:pPr>
            <w:r>
              <w:rPr>
                <w:rStyle w:val="BookTitle"/>
              </w:rPr>
              <w:t>Stable</w:t>
            </w:r>
          </w:p>
        </w:tc>
      </w:tr>
      <w:tr w:rsidR="00A56EE9" w:rsidRPr="00E70A11" w14:paraId="576203E2"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DC"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recreational use is demonstrably socially sustainable</w:t>
            </w:r>
            <w:r w:rsidRPr="00E70A11">
              <w:t>, in terms of</w:t>
            </w:r>
            <w:r w:rsidRPr="00E70A11">
              <w:rPr>
                <w:rStyle w:val="BookTitle"/>
              </w:rPr>
              <w:t xml:space="preserve"> understanding and/or enjoyment</w:t>
            </w:r>
          </w:p>
        </w:tc>
        <w:tc>
          <w:tcPr>
            <w:tcW w:w="709" w:type="dxa"/>
            <w:tcBorders>
              <w:top w:val="single" w:sz="4" w:space="0" w:color="auto"/>
              <w:left w:val="single" w:sz="4" w:space="0" w:color="auto"/>
              <w:bottom w:val="single" w:sz="4" w:space="0" w:color="auto"/>
              <w:right w:val="single" w:sz="4" w:space="0" w:color="auto"/>
            </w:tcBorders>
          </w:tcPr>
          <w:p w14:paraId="576203DD" w14:textId="77777777" w:rsidR="00A56EE9" w:rsidRPr="00E70A11" w:rsidRDefault="00A56EE9" w:rsidP="00BB6AD5">
            <w:pPr>
              <w:pStyle w:val="Tablebulletlist"/>
              <w:rPr>
                <w:rStyle w:val="BookTitle"/>
              </w:rPr>
            </w:pPr>
            <w:r w:rsidRPr="00E70A11">
              <w:rPr>
                <w:rStyle w:val="BookTitle"/>
              </w:rPr>
              <w:t>4</w:t>
            </w:r>
          </w:p>
        </w:tc>
        <w:tc>
          <w:tcPr>
            <w:tcW w:w="4552" w:type="dxa"/>
            <w:tcBorders>
              <w:top w:val="single" w:sz="4" w:space="0" w:color="auto"/>
              <w:left w:val="single" w:sz="4" w:space="0" w:color="auto"/>
              <w:bottom w:val="single" w:sz="4" w:space="0" w:color="auto"/>
              <w:right w:val="single" w:sz="4" w:space="0" w:color="auto"/>
            </w:tcBorders>
          </w:tcPr>
          <w:p w14:paraId="576203DE" w14:textId="77777777" w:rsidR="00A56EE9" w:rsidRPr="00E70A11" w:rsidRDefault="00A56EE9" w:rsidP="00A11869">
            <w:pPr>
              <w:pStyle w:val="ListParagraph"/>
              <w:numPr>
                <w:ilvl w:val="0"/>
                <w:numId w:val="24"/>
              </w:numPr>
              <w:spacing w:after="200"/>
              <w:rPr>
                <w:rStyle w:val="BookTitle"/>
                <w:rFonts w:ascii="Arial Narrow" w:hAnsi="Arial Narrow"/>
                <w:sz w:val="18"/>
                <w:szCs w:val="18"/>
              </w:rPr>
            </w:pPr>
            <w:r w:rsidRPr="00E70A11">
              <w:rPr>
                <w:rFonts w:ascii="Arial Narrow" w:hAnsi="Arial Narrow"/>
                <w:sz w:val="18"/>
                <w:szCs w:val="18"/>
              </w:rPr>
              <w:t xml:space="preserve">SELTMP technical report on recreation presents a snapshot of socio-economic data and indicators in the GBR region. It details how people use and depend on the GBR, human and community wellbeing and drivers of change. </w:t>
            </w:r>
          </w:p>
        </w:tc>
        <w:tc>
          <w:tcPr>
            <w:tcW w:w="4574" w:type="dxa"/>
            <w:tcBorders>
              <w:top w:val="single" w:sz="4" w:space="0" w:color="auto"/>
              <w:left w:val="single" w:sz="4" w:space="0" w:color="auto"/>
              <w:bottom w:val="single" w:sz="4" w:space="0" w:color="auto"/>
              <w:right w:val="single" w:sz="4" w:space="0" w:color="auto"/>
            </w:tcBorders>
          </w:tcPr>
          <w:p w14:paraId="576203DF"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rPr>
              <w:t xml:space="preserve">Tobin, R., Bohenshy, E., Curnock, m&gt; Goldberg, J&gt;, Gooch, M. Marshall, N., Nicotra, B. Pert, P., Scherl, L., Stone-Jovicich, S. (2014) The Social and Economic Long Term Monitoring Program (SELTMP) 2014 Recreation in the Great Barrier </w:t>
            </w:r>
            <w:proofErr w:type="gramStart"/>
            <w:r w:rsidRPr="00E70A11">
              <w:rPr>
                <w:rFonts w:ascii="Arial Narrow" w:hAnsi="Arial Narrow"/>
                <w:sz w:val="18"/>
                <w:szCs w:val="18"/>
              </w:rPr>
              <w:t>Reef .</w:t>
            </w:r>
            <w:proofErr w:type="gramEnd"/>
            <w:r w:rsidRPr="00E70A11">
              <w:rPr>
                <w:rFonts w:ascii="Arial Narrow" w:eastAsia="Times New Roman" w:hAnsi="Arial Narrow" w:cs="Times New Roman"/>
                <w:sz w:val="18"/>
                <w:szCs w:val="18"/>
              </w:rPr>
              <w:t xml:space="preserve"> </w:t>
            </w:r>
            <w:r w:rsidRPr="00E70A11">
              <w:rPr>
                <w:rFonts w:ascii="Arial Narrow" w:hAnsi="Arial Narrow"/>
                <w:sz w:val="18"/>
                <w:szCs w:val="18"/>
              </w:rPr>
              <w:t>Report to the National Environmental Research Program. Reef and Rainforest Research Centre Limited CSIRO.</w:t>
            </w:r>
          </w:p>
        </w:tc>
        <w:tc>
          <w:tcPr>
            <w:tcW w:w="992" w:type="dxa"/>
            <w:tcBorders>
              <w:top w:val="single" w:sz="4" w:space="0" w:color="auto"/>
              <w:left w:val="single" w:sz="4" w:space="0" w:color="auto"/>
              <w:bottom w:val="single" w:sz="4" w:space="0" w:color="auto"/>
              <w:right w:val="single" w:sz="4" w:space="0" w:color="auto"/>
            </w:tcBorders>
          </w:tcPr>
          <w:p w14:paraId="576203E0" w14:textId="77777777" w:rsidR="00A56EE9" w:rsidRPr="00E70A11" w:rsidRDefault="00A56EE9" w:rsidP="00BB6AD5">
            <w:pPr>
              <w:pStyle w:val="Tablebulletlist"/>
              <w:rPr>
                <w:rStyle w:val="BookTitle"/>
              </w:rPr>
            </w:pPr>
            <w:r>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E1" w14:textId="77777777" w:rsidR="00A56EE9" w:rsidRPr="00E70A11" w:rsidRDefault="00A56EE9" w:rsidP="00BB6AD5">
            <w:pPr>
              <w:pStyle w:val="Tablebulletlist"/>
              <w:rPr>
                <w:rStyle w:val="BookTitle"/>
              </w:rPr>
            </w:pPr>
            <w:r>
              <w:rPr>
                <w:rStyle w:val="BookTitle"/>
              </w:rPr>
              <w:t>Improving</w:t>
            </w:r>
          </w:p>
        </w:tc>
      </w:tr>
      <w:tr w:rsidR="00A56EE9" w:rsidRPr="00E70A11" w14:paraId="576203EC" w14:textId="77777777" w:rsidTr="00BB6AD5">
        <w:trPr>
          <w:trHeight w:val="170"/>
        </w:trPr>
        <w:tc>
          <w:tcPr>
            <w:tcW w:w="2830" w:type="dxa"/>
            <w:tcBorders>
              <w:top w:val="single" w:sz="4" w:space="0" w:color="auto"/>
              <w:left w:val="single" w:sz="4" w:space="0" w:color="auto"/>
              <w:bottom w:val="single" w:sz="4" w:space="0" w:color="auto"/>
              <w:right w:val="single" w:sz="4" w:space="0" w:color="auto"/>
            </w:tcBorders>
          </w:tcPr>
          <w:p w14:paraId="576203E3"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recreational use </w:t>
            </w:r>
          </w:p>
        </w:tc>
        <w:tc>
          <w:tcPr>
            <w:tcW w:w="709" w:type="dxa"/>
            <w:tcBorders>
              <w:top w:val="single" w:sz="4" w:space="0" w:color="auto"/>
              <w:left w:val="single" w:sz="4" w:space="0" w:color="auto"/>
              <w:bottom w:val="single" w:sz="4" w:space="0" w:color="auto"/>
              <w:right w:val="single" w:sz="4" w:space="0" w:color="auto"/>
            </w:tcBorders>
          </w:tcPr>
          <w:p w14:paraId="576203E4" w14:textId="77777777" w:rsidR="00A56EE9" w:rsidRPr="00E70A11" w:rsidRDefault="00A56EE9" w:rsidP="00BB6AD5">
            <w:pPr>
              <w:pStyle w:val="Tablebulletlist"/>
              <w:rPr>
                <w:rStyle w:val="BookTitle"/>
              </w:rPr>
            </w:pPr>
            <w:r w:rsidRPr="00E70A11">
              <w:rPr>
                <w:rStyle w:val="BookTitle"/>
              </w:rPr>
              <w:t>3</w:t>
            </w:r>
          </w:p>
        </w:tc>
        <w:tc>
          <w:tcPr>
            <w:tcW w:w="4552" w:type="dxa"/>
            <w:tcBorders>
              <w:top w:val="single" w:sz="4" w:space="0" w:color="auto"/>
              <w:left w:val="single" w:sz="4" w:space="0" w:color="auto"/>
              <w:bottom w:val="single" w:sz="4" w:space="0" w:color="auto"/>
              <w:right w:val="single" w:sz="4" w:space="0" w:color="auto"/>
            </w:tcBorders>
          </w:tcPr>
          <w:p w14:paraId="576203E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Partnerships are maintained in various ways including through TRAC and LMACs but also via specific partnership programs. </w:t>
            </w:r>
          </w:p>
          <w:p w14:paraId="576203E6" w14:textId="77777777" w:rsidR="00A56EE9" w:rsidRPr="00E70A11" w:rsidRDefault="00A56EE9" w:rsidP="00A11869">
            <w:pPr>
              <w:pStyle w:val="ListParagraph"/>
              <w:numPr>
                <w:ilvl w:val="0"/>
                <w:numId w:val="24"/>
              </w:numPr>
              <w:spacing w:after="200"/>
              <w:rPr>
                <w:rFonts w:ascii="Arial Narrow" w:hAnsi="Arial Narrow"/>
                <w:sz w:val="18"/>
                <w:szCs w:val="18"/>
              </w:rPr>
            </w:pPr>
            <w:r w:rsidRPr="00E70A11">
              <w:rPr>
                <w:rFonts w:ascii="Arial Narrow" w:hAnsi="Arial Narrow"/>
                <w:sz w:val="18"/>
                <w:szCs w:val="18"/>
              </w:rPr>
              <w:t>Effective partnerships need to be maintained and further developed with recreational stakeholders groups that are not well known (e.g. grey nomads)</w:t>
            </w:r>
          </w:p>
          <w:p w14:paraId="576203E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Reef Guardians Program often involves people who are also recreational users of the Reef</w:t>
            </w:r>
          </w:p>
        </w:tc>
        <w:tc>
          <w:tcPr>
            <w:tcW w:w="4574" w:type="dxa"/>
            <w:tcBorders>
              <w:top w:val="single" w:sz="4" w:space="0" w:color="auto"/>
              <w:left w:val="single" w:sz="4" w:space="0" w:color="auto"/>
              <w:bottom w:val="single" w:sz="4" w:space="0" w:color="auto"/>
              <w:right w:val="single" w:sz="4" w:space="0" w:color="auto"/>
            </w:tcBorders>
          </w:tcPr>
          <w:p w14:paraId="576203E8" w14:textId="77777777" w:rsidR="00A56EE9" w:rsidRPr="00E70A11" w:rsidRDefault="00A56EE9" w:rsidP="00A11869">
            <w:pPr>
              <w:pStyle w:val="ListParagraph"/>
              <w:numPr>
                <w:ilvl w:val="0"/>
                <w:numId w:val="24"/>
              </w:numPr>
              <w:rPr>
                <w:rFonts w:ascii="Arial Narrow" w:hAnsi="Arial Narrow"/>
                <w:sz w:val="18"/>
                <w:szCs w:val="18"/>
              </w:rPr>
            </w:pPr>
            <w:r w:rsidRPr="00E70A11">
              <w:rPr>
                <w:rFonts w:ascii="Arial Narrow" w:hAnsi="Arial Narrow"/>
                <w:sz w:val="18"/>
                <w:szCs w:val="18"/>
              </w:rPr>
              <w:t>http://www.gbrmpa.gov.au/about-us/reef-advisory-committee/tourism-and-recreation-reef-advisory-committee</w:t>
            </w:r>
          </w:p>
          <w:p w14:paraId="576203E9" w14:textId="49FFBFFB" w:rsidR="00A56EE9" w:rsidRPr="00E70A11" w:rsidRDefault="008B5998" w:rsidP="00A11869">
            <w:pPr>
              <w:pStyle w:val="ListParagraph"/>
              <w:numPr>
                <w:ilvl w:val="0"/>
                <w:numId w:val="24"/>
              </w:numPr>
              <w:rPr>
                <w:rStyle w:val="BookTitle"/>
                <w:rFonts w:ascii="Arial Narrow" w:hAnsi="Arial Narrow"/>
                <w:sz w:val="18"/>
                <w:szCs w:val="18"/>
              </w:rPr>
            </w:pPr>
            <w:hyperlink r:id="rId1700" w:tooltip="document link" w:history="1">
              <w:r w:rsidR="00A56EE9" w:rsidRPr="00E70A11">
                <w:rPr>
                  <w:rStyle w:val="Hyperlink"/>
                  <w:rFonts w:ascii="Arial Narrow" w:hAnsi="Arial Narrow"/>
                  <w:sz w:val="18"/>
                  <w:szCs w:val="18"/>
                </w:rPr>
                <w:t>http://www.gbrmpa.gov.au/about-us/local-marine-advisory-committees</w:t>
              </w:r>
            </w:hyperlink>
          </w:p>
        </w:tc>
        <w:tc>
          <w:tcPr>
            <w:tcW w:w="992" w:type="dxa"/>
            <w:tcBorders>
              <w:top w:val="single" w:sz="4" w:space="0" w:color="auto"/>
              <w:left w:val="single" w:sz="4" w:space="0" w:color="auto"/>
              <w:bottom w:val="single" w:sz="4" w:space="0" w:color="auto"/>
              <w:right w:val="single" w:sz="4" w:space="0" w:color="auto"/>
            </w:tcBorders>
          </w:tcPr>
          <w:p w14:paraId="576203EA" w14:textId="77777777" w:rsidR="00A56EE9" w:rsidRPr="00E70A11" w:rsidRDefault="00A56EE9" w:rsidP="00BB6AD5">
            <w:pPr>
              <w:pStyle w:val="Tablebulletlist"/>
              <w:rPr>
                <w:rStyle w:val="BookTitle"/>
              </w:rPr>
            </w:pPr>
            <w:r w:rsidRPr="00E70A11">
              <w:rPr>
                <w:rStyle w:val="BookTitle"/>
              </w:rPr>
              <w:t>Adequate</w:t>
            </w:r>
          </w:p>
        </w:tc>
        <w:tc>
          <w:tcPr>
            <w:tcW w:w="955" w:type="dxa"/>
            <w:tcBorders>
              <w:top w:val="single" w:sz="4" w:space="0" w:color="auto"/>
              <w:left w:val="single" w:sz="4" w:space="0" w:color="auto"/>
              <w:bottom w:val="single" w:sz="4" w:space="0" w:color="auto"/>
              <w:right w:val="single" w:sz="4" w:space="0" w:color="auto"/>
            </w:tcBorders>
          </w:tcPr>
          <w:p w14:paraId="576203EB" w14:textId="77777777" w:rsidR="00A56EE9" w:rsidRPr="00E70A11" w:rsidRDefault="00A56EE9" w:rsidP="00BB6AD5">
            <w:pPr>
              <w:pStyle w:val="Tablebulletlist"/>
              <w:rPr>
                <w:rStyle w:val="BookTitle"/>
              </w:rPr>
            </w:pPr>
            <w:r w:rsidRPr="00E70A11">
              <w:rPr>
                <w:rStyle w:val="BookTitle"/>
              </w:rPr>
              <w:t>Stable</w:t>
            </w:r>
          </w:p>
        </w:tc>
      </w:tr>
    </w:tbl>
    <w:p w14:paraId="576203ED" w14:textId="77777777" w:rsidR="00A56EE9" w:rsidRPr="00E70A11" w:rsidRDefault="00A56EE9" w:rsidP="00BB6AD5">
      <w:pPr>
        <w:rPr>
          <w:rFonts w:ascii="Arial Narrow" w:hAnsi="Arial Narrow"/>
          <w:b/>
          <w:sz w:val="18"/>
          <w:szCs w:val="18"/>
        </w:rPr>
      </w:pPr>
      <w:r w:rsidRPr="00E70A11">
        <w:rPr>
          <w:rFonts w:ascii="Arial Narrow" w:hAnsi="Arial Narrow"/>
          <w:sz w:val="18"/>
          <w:szCs w:val="18"/>
        </w:rPr>
        <w:br w:type="page"/>
      </w:r>
    </w:p>
    <w:p w14:paraId="576203EE" w14:textId="21B8202B" w:rsidR="00A56EE9" w:rsidRPr="00E70A11" w:rsidRDefault="00A56EE9" w:rsidP="009C7D6F">
      <w:pPr>
        <w:pStyle w:val="Heading4"/>
      </w:pPr>
      <w:bookmarkStart w:id="225" w:name="_Toc522532012"/>
      <w:bookmarkStart w:id="226" w:name="_Toc525654479"/>
      <w:r>
        <w:t xml:space="preserve">Table </w:t>
      </w:r>
      <w:r>
        <w:rPr>
          <w:noProof/>
        </w:rPr>
        <w:fldChar w:fldCharType="begin"/>
      </w:r>
      <w:r>
        <w:rPr>
          <w:noProof/>
        </w:rPr>
        <w:instrText xml:space="preserve"> SEQ Table \* ARABIC </w:instrText>
      </w:r>
      <w:r>
        <w:rPr>
          <w:noProof/>
        </w:rPr>
        <w:fldChar w:fldCharType="separate"/>
      </w:r>
      <w:r w:rsidR="00A4170C">
        <w:rPr>
          <w:noProof/>
        </w:rPr>
        <w:t>34</w:t>
      </w:r>
      <w:r>
        <w:rPr>
          <w:noProof/>
        </w:rPr>
        <w:fldChar w:fldCharType="end"/>
      </w:r>
      <w:r>
        <w:t xml:space="preserve"> </w:t>
      </w:r>
      <w:r w:rsidRPr="00E70A11">
        <w:t xml:space="preserve">Calculation of grades for </w:t>
      </w:r>
      <w:r>
        <w:t xml:space="preserve">research </w:t>
      </w:r>
      <w:bookmarkEnd w:id="224"/>
      <w:r>
        <w:t>activities</w:t>
      </w:r>
      <w:bookmarkEnd w:id="225"/>
      <w:bookmarkEnd w:id="226"/>
      <w:r w:rsidRPr="00E70A11">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4 Calculation of grades for research activities "/>
        <w:tblDescription w:val="Table showing the ratings,  justificaiton and evidence for each of the components for the management effectiveness for research activities.   Confidence in the assessment and trend since Outlook 2014 is also provided."/>
      </w:tblPr>
      <w:tblGrid>
        <w:gridCol w:w="2091"/>
        <w:gridCol w:w="1471"/>
        <w:gridCol w:w="3688"/>
        <w:gridCol w:w="4860"/>
        <w:gridCol w:w="982"/>
        <w:gridCol w:w="856"/>
      </w:tblGrid>
      <w:tr w:rsidR="00A56EE9" w:rsidRPr="00E70A11" w14:paraId="576203F5"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3EF" w14:textId="77777777" w:rsidR="00A56EE9" w:rsidRPr="00E70A11" w:rsidRDefault="00A56EE9" w:rsidP="00BB6AD5">
            <w:pPr>
              <w:pStyle w:val="Tablebulletlist"/>
              <w:rPr>
                <w:rStyle w:val="BookTitle"/>
              </w:rPr>
            </w:pPr>
            <w:r w:rsidRPr="00E70A11">
              <w:rPr>
                <w:rStyle w:val="BookTitle"/>
              </w:rPr>
              <w:t>Component of Management</w:t>
            </w:r>
          </w:p>
        </w:tc>
        <w:tc>
          <w:tcPr>
            <w:tcW w:w="1672" w:type="dxa"/>
            <w:tcBorders>
              <w:top w:val="single" w:sz="4" w:space="0" w:color="auto"/>
              <w:left w:val="single" w:sz="4" w:space="0" w:color="auto"/>
              <w:bottom w:val="single" w:sz="4" w:space="0" w:color="auto"/>
              <w:right w:val="single" w:sz="4" w:space="0" w:color="auto"/>
            </w:tcBorders>
          </w:tcPr>
          <w:p w14:paraId="576203F0" w14:textId="77777777" w:rsidR="00A56EE9" w:rsidRPr="00E70A11" w:rsidRDefault="00A56EE9" w:rsidP="00BB6AD5">
            <w:pPr>
              <w:pStyle w:val="Tablebulletlist"/>
              <w:rPr>
                <w:rStyle w:val="BookTitle"/>
              </w:rPr>
            </w:pPr>
            <w:r w:rsidRPr="00E70A11">
              <w:rPr>
                <w:rStyle w:val="BookTitle"/>
              </w:rPr>
              <w:t>Rating</w:t>
            </w:r>
          </w:p>
        </w:tc>
        <w:tc>
          <w:tcPr>
            <w:tcW w:w="3899" w:type="dxa"/>
            <w:tcBorders>
              <w:top w:val="single" w:sz="4" w:space="0" w:color="auto"/>
              <w:left w:val="single" w:sz="4" w:space="0" w:color="auto"/>
              <w:bottom w:val="single" w:sz="4" w:space="0" w:color="auto"/>
              <w:right w:val="single" w:sz="4" w:space="0" w:color="auto"/>
            </w:tcBorders>
          </w:tcPr>
          <w:p w14:paraId="576203F1" w14:textId="77777777" w:rsidR="00A56EE9" w:rsidRPr="00E70A11" w:rsidRDefault="00A56EE9" w:rsidP="00BB6AD5">
            <w:pPr>
              <w:pStyle w:val="Tablebulletlist"/>
              <w:rPr>
                <w:rStyle w:val="BookTitle"/>
              </w:rPr>
            </w:pPr>
            <w:r w:rsidRPr="00E70A11">
              <w:rPr>
                <w:rStyle w:val="BookTitle"/>
              </w:rPr>
              <w:t>Justification</w:t>
            </w:r>
          </w:p>
        </w:tc>
        <w:tc>
          <w:tcPr>
            <w:tcW w:w="4860" w:type="dxa"/>
            <w:tcBorders>
              <w:top w:val="single" w:sz="4" w:space="0" w:color="auto"/>
              <w:left w:val="single" w:sz="4" w:space="0" w:color="auto"/>
              <w:bottom w:val="single" w:sz="4" w:space="0" w:color="auto"/>
              <w:right w:val="single" w:sz="4" w:space="0" w:color="auto"/>
            </w:tcBorders>
          </w:tcPr>
          <w:p w14:paraId="576203F2" w14:textId="77777777" w:rsidR="00A56EE9" w:rsidRPr="00E70A11" w:rsidRDefault="00A56EE9" w:rsidP="00BB6AD5">
            <w:pPr>
              <w:pStyle w:val="Tablebulletlist"/>
              <w:rPr>
                <w:rStyle w:val="BookTitle"/>
              </w:rPr>
            </w:pPr>
            <w:r w:rsidRPr="00E70A11">
              <w:rPr>
                <w:rStyle w:val="BookTitle"/>
              </w:rPr>
              <w:t>Evidence/sources</w:t>
            </w:r>
          </w:p>
        </w:tc>
        <w:tc>
          <w:tcPr>
            <w:tcW w:w="987" w:type="dxa"/>
            <w:tcBorders>
              <w:top w:val="single" w:sz="4" w:space="0" w:color="auto"/>
              <w:left w:val="single" w:sz="4" w:space="0" w:color="auto"/>
              <w:bottom w:val="single" w:sz="4" w:space="0" w:color="auto"/>
              <w:right w:val="single" w:sz="4" w:space="0" w:color="auto"/>
            </w:tcBorders>
          </w:tcPr>
          <w:p w14:paraId="576203F3" w14:textId="77777777" w:rsidR="00A56EE9" w:rsidRPr="00E70A11" w:rsidRDefault="00A56EE9" w:rsidP="00BB6AD5">
            <w:pPr>
              <w:pStyle w:val="Tablebulletlist"/>
              <w:rPr>
                <w:rStyle w:val="BookTitle"/>
              </w:rPr>
            </w:pPr>
            <w:r w:rsidRPr="00E70A11">
              <w:rPr>
                <w:rStyle w:val="BookTitle"/>
              </w:rPr>
              <w:t>Confidence</w:t>
            </w:r>
          </w:p>
        </w:tc>
        <w:tc>
          <w:tcPr>
            <w:tcW w:w="856" w:type="dxa"/>
            <w:tcBorders>
              <w:top w:val="single" w:sz="4" w:space="0" w:color="auto"/>
              <w:left w:val="single" w:sz="4" w:space="0" w:color="auto"/>
              <w:bottom w:val="single" w:sz="4" w:space="0" w:color="auto"/>
              <w:right w:val="single" w:sz="4" w:space="0" w:color="auto"/>
            </w:tcBorders>
          </w:tcPr>
          <w:p w14:paraId="576203F4"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203FC"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shd w:val="clear" w:color="auto" w:fill="EEECE1"/>
          </w:tcPr>
          <w:p w14:paraId="576203F6" w14:textId="77777777" w:rsidR="00A56EE9" w:rsidRPr="00E70A11" w:rsidRDefault="00A56EE9" w:rsidP="00BB6AD5">
            <w:pPr>
              <w:pStyle w:val="Tablebulletlist"/>
              <w:rPr>
                <w:rStyle w:val="BookTitle"/>
              </w:rPr>
            </w:pPr>
            <w:r w:rsidRPr="00E70A11">
              <w:rPr>
                <w:rStyle w:val="BookTitle"/>
              </w:rPr>
              <w:t>CONTEXT</w:t>
            </w:r>
          </w:p>
        </w:tc>
        <w:tc>
          <w:tcPr>
            <w:tcW w:w="1672" w:type="dxa"/>
            <w:tcBorders>
              <w:top w:val="single" w:sz="4" w:space="0" w:color="auto"/>
              <w:left w:val="single" w:sz="4" w:space="0" w:color="auto"/>
              <w:bottom w:val="single" w:sz="4" w:space="0" w:color="auto"/>
              <w:right w:val="single" w:sz="4" w:space="0" w:color="auto"/>
            </w:tcBorders>
            <w:shd w:val="clear" w:color="auto" w:fill="EEECE1"/>
          </w:tcPr>
          <w:p w14:paraId="576203F7" w14:textId="77777777" w:rsidR="00A56EE9" w:rsidRPr="00E70A11" w:rsidRDefault="00A56EE9" w:rsidP="00BB6AD5">
            <w:pPr>
              <w:pStyle w:val="Tablebulletlist"/>
              <w:rPr>
                <w:rStyle w:val="BookTitle"/>
              </w:rPr>
            </w:pPr>
          </w:p>
        </w:tc>
        <w:tc>
          <w:tcPr>
            <w:tcW w:w="3899" w:type="dxa"/>
            <w:tcBorders>
              <w:top w:val="single" w:sz="4" w:space="0" w:color="auto"/>
              <w:left w:val="single" w:sz="4" w:space="0" w:color="auto"/>
              <w:bottom w:val="single" w:sz="4" w:space="0" w:color="auto"/>
              <w:right w:val="single" w:sz="4" w:space="0" w:color="auto"/>
            </w:tcBorders>
            <w:shd w:val="clear" w:color="auto" w:fill="EEECE1"/>
          </w:tcPr>
          <w:p w14:paraId="576203F8" w14:textId="77777777" w:rsidR="00A56EE9" w:rsidRPr="00E70A11" w:rsidRDefault="00A56EE9" w:rsidP="00BB6AD5">
            <w:pPr>
              <w:pStyle w:val="Tablebulletlist"/>
              <w:rPr>
                <w:rStyle w:val="BookTitle"/>
              </w:rPr>
            </w:pPr>
          </w:p>
        </w:tc>
        <w:tc>
          <w:tcPr>
            <w:tcW w:w="4860" w:type="dxa"/>
            <w:tcBorders>
              <w:top w:val="single" w:sz="4" w:space="0" w:color="auto"/>
              <w:left w:val="single" w:sz="4" w:space="0" w:color="auto"/>
              <w:bottom w:val="single" w:sz="4" w:space="0" w:color="auto"/>
              <w:right w:val="single" w:sz="4" w:space="0" w:color="auto"/>
            </w:tcBorders>
            <w:shd w:val="clear" w:color="auto" w:fill="EEECE1"/>
          </w:tcPr>
          <w:p w14:paraId="576203F9" w14:textId="77777777" w:rsidR="00A56EE9" w:rsidRPr="00E70A11" w:rsidRDefault="00A56EE9" w:rsidP="00BB6AD5">
            <w:pPr>
              <w:pStyle w:val="Tablebulletlist"/>
              <w:rPr>
                <w:rStyle w:val="BookTitle"/>
              </w:rPr>
            </w:pPr>
          </w:p>
        </w:tc>
        <w:tc>
          <w:tcPr>
            <w:tcW w:w="987" w:type="dxa"/>
            <w:tcBorders>
              <w:top w:val="single" w:sz="4" w:space="0" w:color="auto"/>
              <w:left w:val="single" w:sz="4" w:space="0" w:color="auto"/>
              <w:bottom w:val="single" w:sz="4" w:space="0" w:color="auto"/>
              <w:right w:val="single" w:sz="4" w:space="0" w:color="auto"/>
            </w:tcBorders>
            <w:shd w:val="clear" w:color="auto" w:fill="EEECE1"/>
          </w:tcPr>
          <w:p w14:paraId="576203FA" w14:textId="77777777" w:rsidR="00A56EE9" w:rsidRPr="00E70A11" w:rsidRDefault="00A56EE9" w:rsidP="00BB6AD5">
            <w:pPr>
              <w:pStyle w:val="Tablebulletlist"/>
              <w:rPr>
                <w:rStyle w:val="BookTitle"/>
              </w:rPr>
            </w:pPr>
          </w:p>
        </w:tc>
        <w:tc>
          <w:tcPr>
            <w:tcW w:w="856" w:type="dxa"/>
            <w:tcBorders>
              <w:top w:val="single" w:sz="4" w:space="0" w:color="auto"/>
              <w:left w:val="single" w:sz="4" w:space="0" w:color="auto"/>
              <w:bottom w:val="single" w:sz="4" w:space="0" w:color="auto"/>
              <w:right w:val="single" w:sz="4" w:space="0" w:color="auto"/>
            </w:tcBorders>
            <w:shd w:val="clear" w:color="auto" w:fill="EEECE1"/>
          </w:tcPr>
          <w:p w14:paraId="576203FB" w14:textId="77777777" w:rsidR="00A56EE9" w:rsidRPr="00E70A11" w:rsidRDefault="00A56EE9" w:rsidP="00BB6AD5">
            <w:pPr>
              <w:pStyle w:val="Tablebulletlist"/>
              <w:rPr>
                <w:rStyle w:val="BookTitle"/>
              </w:rPr>
            </w:pPr>
          </w:p>
        </w:tc>
      </w:tr>
      <w:tr w:rsidR="00A56EE9" w:rsidRPr="00E70A11" w14:paraId="5762040E"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3FD" w14:textId="77777777" w:rsidR="00A56EE9" w:rsidRPr="00E70A11" w:rsidRDefault="00A56EE9" w:rsidP="00BB6AD5">
            <w:pPr>
              <w:pStyle w:val="Tablebulletlist"/>
              <w:rPr>
                <w:rStyle w:val="BookTitle"/>
              </w:rPr>
            </w:pPr>
            <w:r w:rsidRPr="00E70A11">
              <w:rPr>
                <w:rStyle w:val="BookTitle"/>
              </w:rPr>
              <w:t xml:space="preserve">CO1 The values of the Great Barrier Reef relevant to </w:t>
            </w:r>
            <w:r>
              <w:rPr>
                <w:rStyle w:val="BookTitle"/>
              </w:rPr>
              <w:t xml:space="preserve">research activities </w:t>
            </w:r>
            <w:r w:rsidRPr="00E70A11">
              <w:rPr>
                <w:rStyle w:val="BookTitle"/>
              </w:rPr>
              <w:t>are understood by managers</w:t>
            </w:r>
          </w:p>
        </w:tc>
        <w:tc>
          <w:tcPr>
            <w:tcW w:w="1672" w:type="dxa"/>
            <w:tcBorders>
              <w:top w:val="single" w:sz="4" w:space="0" w:color="auto"/>
              <w:left w:val="single" w:sz="4" w:space="0" w:color="auto"/>
              <w:bottom w:val="single" w:sz="4" w:space="0" w:color="auto"/>
              <w:right w:val="single" w:sz="4" w:space="0" w:color="auto"/>
            </w:tcBorders>
          </w:tcPr>
          <w:p w14:paraId="576203FE"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3F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Scientific research has made a substantial contribution to the way the Reef is understood, managed and used. Monitoring by AIMS and other researchers also plays a key role in tracking trends in the Region’s values and effects on those values managers are well connected to this work</w:t>
            </w:r>
          </w:p>
          <w:p w14:paraId="5762040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importance of research to better understand the values of the GBR and inform management to protect these values is well understood by managers</w:t>
            </w:r>
          </w:p>
          <w:p w14:paraId="5762040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Most research has focused on coral reefs and high profile species (e.g. protected, threatened, </w:t>
            </w:r>
            <w:proofErr w:type="gramStart"/>
            <w:r w:rsidRPr="00E70A11">
              <w:rPr>
                <w:rStyle w:val="BookTitle"/>
                <w:rFonts w:ascii="Arial Narrow" w:hAnsi="Arial Narrow"/>
                <w:sz w:val="18"/>
                <w:szCs w:val="18"/>
              </w:rPr>
              <w:t>commercially</w:t>
            </w:r>
            <w:proofErr w:type="gramEnd"/>
            <w:r w:rsidRPr="00E70A11">
              <w:rPr>
                <w:rStyle w:val="BookTitle"/>
                <w:rFonts w:ascii="Arial Narrow" w:hAnsi="Arial Narrow"/>
                <w:sz w:val="18"/>
                <w:szCs w:val="18"/>
              </w:rPr>
              <w:t xml:space="preserve"> important). </w:t>
            </w:r>
          </w:p>
          <w:p w14:paraId="5762040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Modelling is being sought and used by management agencies to begin to systematically understand the effects of cumulative impacts at a range of spatial scales in the GBR Region</w:t>
            </w:r>
          </w:p>
          <w:p w14:paraId="5762040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There continues to be an increase in focus on research relating to social/economic drivers of various activities associated with the GBR </w:t>
            </w:r>
          </w:p>
          <w:p w14:paraId="5762040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Science Strategy and Information Needs 2014-2019 sets out future scientific information needs. It aims to ensure scientific activities are relevant, targeted to address critical management issues, and that scientific outputs are easily accessible.</w:t>
            </w:r>
          </w:p>
          <w:p w14:paraId="5762040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Recognition of the importance of research and conducting it in ways that limit impacts on values of the Reef is noted in GBRMPA’s Guidelines: Management of research in the Great Barrier Reef Marine Park released in October 2017 (replaced the 2004 policy on managing scientific research)</w:t>
            </w:r>
          </w:p>
          <w:p w14:paraId="5762040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 synthesis of the most recent research (since 2013) relating to the condition of coastal and marine ecosystems of the Great Barrier Reef and their responses to water quality and disturbances was undertaken in 2017 as a chapter (Chapter 1) of the 2017 Scientific Consensus Statement. The chapter also presented the existing research gaps for marine and coastal ecosystems in relation to water quality.</w:t>
            </w:r>
          </w:p>
        </w:tc>
        <w:tc>
          <w:tcPr>
            <w:tcW w:w="4860" w:type="dxa"/>
            <w:tcBorders>
              <w:top w:val="single" w:sz="4" w:space="0" w:color="auto"/>
              <w:left w:val="single" w:sz="4" w:space="0" w:color="auto"/>
              <w:bottom w:val="single" w:sz="4" w:space="0" w:color="auto"/>
              <w:right w:val="single" w:sz="4" w:space="0" w:color="auto"/>
            </w:tcBorders>
          </w:tcPr>
          <w:p w14:paraId="5762040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Social &amp; Economic Long-Term Monitoring Program (SELTMP) analysis of social survey data collected in 2017</w:t>
            </w:r>
          </w:p>
          <w:p w14:paraId="5762040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2017 Scientific Consensus Statement (http://www.reefplan.qld.gov.au/about/scientific-consensus-statement.aspx)</w:t>
            </w:r>
          </w:p>
          <w:p w14:paraId="5762040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Science Strategy and Information Needs 2014-2019 and searchable register of detailed questions </w:t>
            </w:r>
          </w:p>
          <w:p w14:paraId="5762040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Guidelines: Management of research in the Great Barrier Reef Marine Park</w:t>
            </w:r>
          </w:p>
          <w:p w14:paraId="5762040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Science for management page on GBRMPA website</w:t>
            </w:r>
            <w:r>
              <w:rPr>
                <w:rFonts w:ascii="Arial Narrow" w:hAnsi="Arial Narrow"/>
                <w:sz w:val="18"/>
                <w:szCs w:val="18"/>
              </w:rPr>
              <w:t xml:space="preserve"> </w:t>
            </w:r>
          </w:p>
        </w:tc>
        <w:tc>
          <w:tcPr>
            <w:tcW w:w="987" w:type="dxa"/>
            <w:tcBorders>
              <w:top w:val="single" w:sz="4" w:space="0" w:color="auto"/>
              <w:left w:val="single" w:sz="4" w:space="0" w:color="auto"/>
              <w:bottom w:val="single" w:sz="4" w:space="0" w:color="auto"/>
              <w:right w:val="single" w:sz="4" w:space="0" w:color="auto"/>
            </w:tcBorders>
          </w:tcPr>
          <w:p w14:paraId="5762040C"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0D"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41C"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0F"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 xml:space="preserve">The current condition and trend of values relevant to </w:t>
            </w:r>
            <w:r>
              <w:rPr>
                <w:rStyle w:val="BookTitle"/>
              </w:rPr>
              <w:t>research activities</w:t>
            </w:r>
            <w:r w:rsidRPr="00E70A11">
              <w:rPr>
                <w:rStyle w:val="BookTitle"/>
              </w:rPr>
              <w:t xml:space="preserve"> are known by managers</w:t>
            </w:r>
          </w:p>
        </w:tc>
        <w:tc>
          <w:tcPr>
            <w:tcW w:w="1672" w:type="dxa"/>
            <w:tcBorders>
              <w:top w:val="single" w:sz="4" w:space="0" w:color="auto"/>
              <w:left w:val="single" w:sz="4" w:space="0" w:color="auto"/>
              <w:bottom w:val="single" w:sz="4" w:space="0" w:color="auto"/>
              <w:right w:val="single" w:sz="4" w:space="0" w:color="auto"/>
            </w:tcBorders>
          </w:tcPr>
          <w:p w14:paraId="57620410"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41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There is a strong history of research programs which inform and help improve management of the Region. </w:t>
            </w:r>
          </w:p>
          <w:p w14:paraId="5762041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Although past research focused primarily on studying the biophysical environment, there is also a history of social and economic studies. This recognises that effective natural resource management requires an understanding of social and economic systems as well as natural systems.</w:t>
            </w:r>
          </w:p>
          <w:p w14:paraId="5762041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eReefs is very well regarded by users </w:t>
            </w:r>
          </w:p>
          <w:p w14:paraId="5762041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Science Strategy and Information Needs 2014-2019 sets out future scientific information needs. It aims to ensure scientific activities are relevant, targeted to address critical management issues, and that scientific outputs are easily accessible.</w:t>
            </w:r>
          </w:p>
          <w:p w14:paraId="5762041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 Reef Integrated Monitoring and Reporting Program (RIMReP) is currently being developed and aims to provide a coordinated monitoring program for many Reef values. RIMReP has commenced but has been slow to develop and deliver products</w:t>
            </w:r>
          </w:p>
        </w:tc>
        <w:tc>
          <w:tcPr>
            <w:tcW w:w="4860" w:type="dxa"/>
            <w:tcBorders>
              <w:top w:val="single" w:sz="4" w:space="0" w:color="auto"/>
              <w:left w:val="single" w:sz="4" w:space="0" w:color="auto"/>
              <w:bottom w:val="single" w:sz="4" w:space="0" w:color="auto"/>
              <w:right w:val="single" w:sz="4" w:space="0" w:color="auto"/>
            </w:tcBorders>
          </w:tcPr>
          <w:p w14:paraId="5762041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Science Strategy and Information Needs 2014-2019 and</w:t>
            </w:r>
            <w:r>
              <w:rPr>
                <w:rFonts w:ascii="Arial Narrow" w:hAnsi="Arial Narrow"/>
                <w:sz w:val="18"/>
                <w:szCs w:val="18"/>
              </w:rPr>
              <w:t xml:space="preserve"> </w:t>
            </w:r>
            <w:r w:rsidRPr="00E70A11">
              <w:rPr>
                <w:rFonts w:ascii="Arial Narrow" w:hAnsi="Arial Narrow"/>
                <w:sz w:val="18"/>
                <w:szCs w:val="18"/>
              </w:rPr>
              <w:t xml:space="preserve">searchable register of detailed questions </w:t>
            </w:r>
          </w:p>
          <w:p w14:paraId="5762041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Integrated Monitoring and reporting program (RIMReP) GBRMPA webpage and RIMReP Strategy</w:t>
            </w:r>
          </w:p>
          <w:p w14:paraId="5762041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E-Reefs http://ereefs.org.au/ereefs http://www.bom.gov.au/environment/activities/coastal-info.shtml</w:t>
            </w:r>
          </w:p>
          <w:p w14:paraId="5762041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p>
        </w:tc>
        <w:tc>
          <w:tcPr>
            <w:tcW w:w="987" w:type="dxa"/>
            <w:tcBorders>
              <w:top w:val="single" w:sz="4" w:space="0" w:color="auto"/>
              <w:left w:val="single" w:sz="4" w:space="0" w:color="auto"/>
              <w:bottom w:val="single" w:sz="4" w:space="0" w:color="auto"/>
              <w:right w:val="single" w:sz="4" w:space="0" w:color="auto"/>
            </w:tcBorders>
          </w:tcPr>
          <w:p w14:paraId="5762041A"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1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42C"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1D"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 xml:space="preserve">Impacts (direct, indirect and cumulative) associated with </w:t>
            </w:r>
            <w:r>
              <w:rPr>
                <w:rStyle w:val="BookTitle"/>
              </w:rPr>
              <w:t>research activities</w:t>
            </w:r>
            <w:r w:rsidRPr="00E70A11">
              <w:rPr>
                <w:rStyle w:val="BookTitle"/>
              </w:rPr>
              <w:t xml:space="preserve"> are understood by managers.</w:t>
            </w:r>
          </w:p>
        </w:tc>
        <w:tc>
          <w:tcPr>
            <w:tcW w:w="1672" w:type="dxa"/>
            <w:tcBorders>
              <w:top w:val="single" w:sz="4" w:space="0" w:color="auto"/>
              <w:left w:val="single" w:sz="4" w:space="0" w:color="auto"/>
              <w:bottom w:val="single" w:sz="4" w:space="0" w:color="auto"/>
              <w:right w:val="single" w:sz="4" w:space="0" w:color="auto"/>
            </w:tcBorders>
          </w:tcPr>
          <w:p w14:paraId="5762041E"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41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majority of research occurs at the four major research stations located at: Lizard Island, Orpheus Island, One Tree Island and Heron Island. There is diffuse research conducted at other locations throughout the GBRMP however this is much lower than the four research stations</w:t>
            </w:r>
          </w:p>
          <w:p w14:paraId="5762042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concentration of research activities, such as sampling, around research stations, has the potential to contribute to local depletion of some species and some minor, localised impacts on habitats but this is managed in conjunction with research station staff. Any impacts have been dwarfed by bleaching and cyclone related impacts.</w:t>
            </w:r>
          </w:p>
          <w:p w14:paraId="5762042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Little is known about the cumulative impacts of research activities at any particular location, however, given the scale of activities, overall impacts are likely to have only localised effects.</w:t>
            </w:r>
          </w:p>
          <w:p w14:paraId="5762042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GBRMPA’s Guidelines: Management of research in the Great Barrier Reef Marine Park (released in October 2017 to replace the 2004 policy on managing scientific research) incorporate recognition of impacts associated with research activities.</w:t>
            </w:r>
          </w:p>
          <w:p w14:paraId="5762042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Assessment of research permit applications are often referred to the relevant Research Station for site specific advice on the current status of species proposed for collection in that Scientific Research Zone.</w:t>
            </w:r>
            <w:r>
              <w:rPr>
                <w:rFonts w:ascii="Arial Narrow" w:hAnsi="Arial Narrow"/>
                <w:sz w:val="18"/>
                <w:szCs w:val="18"/>
              </w:rPr>
              <w:t xml:space="preserve"> </w:t>
            </w:r>
            <w:r w:rsidRPr="00E70A11">
              <w:rPr>
                <w:rFonts w:ascii="Arial Narrow" w:hAnsi="Arial Narrow"/>
                <w:sz w:val="18"/>
                <w:szCs w:val="18"/>
              </w:rPr>
              <w:t xml:space="preserve">Permit conditions require researchers to discuss study sites for collections and equipment installation with the Research Station directors and abide by any site selection advice given by the Station directors. Lizard Island Research Station have developed a spatially referenced collections database which helps them understand what is taken from where and influence the location of future research projects. </w:t>
            </w:r>
          </w:p>
          <w:p w14:paraId="5762042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Permissions System has adopted a new risk assessment procedure, effective 4 October 2017</w:t>
            </w:r>
          </w:p>
          <w:p w14:paraId="5762042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Increased awareness among managers of need for focus on managing for a resilient Reef, i.e. particularly given climate change context, recent mass coral bleaching</w:t>
            </w:r>
          </w:p>
          <w:p w14:paraId="5762042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Single project research permits generally have a permit term of 3-4 years with a requirement to submit a specimen collection form and map detailing collection sites prior to expiry of the permit.</w:t>
            </w:r>
            <w:r>
              <w:rPr>
                <w:rFonts w:ascii="Arial Narrow" w:hAnsi="Arial Narrow"/>
                <w:sz w:val="18"/>
                <w:szCs w:val="18"/>
              </w:rPr>
              <w:t xml:space="preserve"> </w:t>
            </w:r>
            <w:r w:rsidRPr="00E70A11">
              <w:rPr>
                <w:rFonts w:ascii="Arial Narrow" w:hAnsi="Arial Narrow"/>
                <w:sz w:val="18"/>
                <w:szCs w:val="18"/>
              </w:rPr>
              <w:t>Certain long-term monitoring programs have 6-10 year permit terms.</w:t>
            </w:r>
            <w:r>
              <w:rPr>
                <w:rFonts w:ascii="Arial Narrow" w:hAnsi="Arial Narrow"/>
                <w:sz w:val="18"/>
                <w:szCs w:val="18"/>
              </w:rPr>
              <w:t xml:space="preserve"> </w:t>
            </w:r>
            <w:r w:rsidRPr="00E70A11">
              <w:rPr>
                <w:rFonts w:ascii="Arial Narrow" w:hAnsi="Arial Narrow"/>
                <w:sz w:val="18"/>
                <w:szCs w:val="18"/>
              </w:rPr>
              <w:t>Several ‘umbrella’ permits have been granted that cover many smaller research projects conducted within a Lab or Supervisor’s Group. These applications are assessed relative to the approximate number of projects and students/staff covered by the application. These broader permits are generally for 6 years and require annual reporting of specimen collection and sites.</w:t>
            </w:r>
          </w:p>
        </w:tc>
        <w:tc>
          <w:tcPr>
            <w:tcW w:w="4860" w:type="dxa"/>
            <w:tcBorders>
              <w:top w:val="single" w:sz="4" w:space="0" w:color="auto"/>
              <w:left w:val="single" w:sz="4" w:space="0" w:color="auto"/>
              <w:bottom w:val="single" w:sz="4" w:space="0" w:color="auto"/>
              <w:right w:val="single" w:sz="4" w:space="0" w:color="auto"/>
            </w:tcBorders>
          </w:tcPr>
          <w:p w14:paraId="5762042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Workshops and interviews</w:t>
            </w:r>
          </w:p>
          <w:p w14:paraId="5762042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Guidelines: Management of research in the Great Barrier Reef Marine Park</w:t>
            </w:r>
          </w:p>
          <w:p w14:paraId="5762042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Permission System – Risk Assessment Procedure</w:t>
            </w:r>
          </w:p>
        </w:tc>
        <w:tc>
          <w:tcPr>
            <w:tcW w:w="987" w:type="dxa"/>
            <w:tcBorders>
              <w:top w:val="single" w:sz="4" w:space="0" w:color="auto"/>
              <w:left w:val="single" w:sz="4" w:space="0" w:color="auto"/>
              <w:bottom w:val="single" w:sz="4" w:space="0" w:color="auto"/>
              <w:right w:val="single" w:sz="4" w:space="0" w:color="auto"/>
            </w:tcBorders>
          </w:tcPr>
          <w:p w14:paraId="5762042A"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42B"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43F"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2D"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 xml:space="preserve">The broader (national and international) level influences relevant to </w:t>
            </w:r>
            <w:r>
              <w:rPr>
                <w:rStyle w:val="BookTitle"/>
              </w:rPr>
              <w:t>research activities</w:t>
            </w:r>
            <w:r w:rsidRPr="00E70A11">
              <w:rPr>
                <w:rStyle w:val="BookTitle"/>
              </w:rPr>
              <w:t xml:space="preserve"> are understood by managers.</w:t>
            </w:r>
          </w:p>
        </w:tc>
        <w:tc>
          <w:tcPr>
            <w:tcW w:w="1672" w:type="dxa"/>
            <w:tcBorders>
              <w:top w:val="single" w:sz="4" w:space="0" w:color="auto"/>
              <w:left w:val="single" w:sz="4" w:space="0" w:color="auto"/>
              <w:bottom w:val="single" w:sz="4" w:space="0" w:color="auto"/>
              <w:right w:val="single" w:sz="4" w:space="0" w:color="auto"/>
            </w:tcBorders>
          </w:tcPr>
          <w:p w14:paraId="5762042E"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42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amount of research conducted in the Region and the focus of that research is determined by a number of variables including: the priorities of funding bodies such as the National Environmental Science Programme (NESP) and the Australian Research Council; the priorities of research end-users such as government agencies; and the interests and capacities of researchers in universities and other research institutions. </w:t>
            </w:r>
          </w:p>
          <w:p w14:paraId="5762043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Targeted and effective research and monitoring programs for addressing management needs require strong partnerships between research providers and the relevant management agencies</w:t>
            </w:r>
          </w:p>
          <w:p w14:paraId="5762043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International and National concern about condition and trends of values in GBR, climate change and its impacts on marine and coastal ecosystems and related matters has been driving a significant increase in research activity in the GBR, especially applied research relevant to policy and management responses</w:t>
            </w:r>
          </w:p>
          <w:p w14:paraId="5762043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Link between research and on-going monitoring has strengthened, as has concern for understanding and addressing cumulative impacts</w:t>
            </w:r>
          </w:p>
          <w:p w14:paraId="5762043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Concerns over the condition of the GBR and Australia’s responsibilities under the World Heritage Convention and EPBC Act have led to a greater research, monitoring and educational focus on MNES and the information needed to support management of MNES</w:t>
            </w:r>
          </w:p>
          <w:p w14:paraId="5762043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Increasing global attention to social and economic aspects of environmental management reflected in development of the SELMTP</w:t>
            </w:r>
            <w:r>
              <w:rPr>
                <w:rFonts w:ascii="Arial Narrow" w:hAnsi="Arial Narrow"/>
                <w:sz w:val="18"/>
                <w:szCs w:val="18"/>
              </w:rPr>
              <w:t xml:space="preserve"> </w:t>
            </w:r>
          </w:p>
          <w:p w14:paraId="5762043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Decline in overall condition of the GBR is directing research towards possible approaches to restoration and more interventionist approaches (i.e. Blueprint for Reef Resilience). International and national concern for the GBR is, in part, driving this change in research direction.</w:t>
            </w:r>
          </w:p>
        </w:tc>
        <w:tc>
          <w:tcPr>
            <w:tcW w:w="4860" w:type="dxa"/>
            <w:tcBorders>
              <w:top w:val="single" w:sz="4" w:space="0" w:color="auto"/>
              <w:left w:val="single" w:sz="4" w:space="0" w:color="auto"/>
              <w:bottom w:val="single" w:sz="4" w:space="0" w:color="auto"/>
              <w:right w:val="single" w:sz="4" w:space="0" w:color="auto"/>
            </w:tcBorders>
          </w:tcPr>
          <w:p w14:paraId="5762043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http://www.environment.gov.au/marine/gbr/publications/factsheet-science-and-great-barrier-reef </w:t>
            </w:r>
          </w:p>
          <w:p w14:paraId="5762043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National Environmental Science Programme</w:t>
            </w:r>
          </w:p>
          <w:p w14:paraId="5762043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NERP Fact sheet - Science informing environmental policy </w:t>
            </w:r>
          </w:p>
          <w:p w14:paraId="5762043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Cost-effective indicators and metrics for monitoring the human dimensions of the Great Barrier Reef: current NESP project underway.</w:t>
            </w:r>
          </w:p>
          <w:p w14:paraId="5762043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Monitoring and adaptively reducing system-wide governance risks facing the GBR</w:t>
            </w:r>
          </w:p>
          <w:p w14:paraId="5762043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Plan Annual Report and Implementation Strategy – 2016</w:t>
            </w:r>
          </w:p>
          <w:p w14:paraId="5762043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Trust Supporting Science and Evidence-Base - 2016</w:t>
            </w:r>
          </w:p>
        </w:tc>
        <w:tc>
          <w:tcPr>
            <w:tcW w:w="987" w:type="dxa"/>
            <w:tcBorders>
              <w:top w:val="single" w:sz="4" w:space="0" w:color="auto"/>
              <w:left w:val="single" w:sz="4" w:space="0" w:color="auto"/>
              <w:bottom w:val="single" w:sz="4" w:space="0" w:color="auto"/>
              <w:right w:val="single" w:sz="4" w:space="0" w:color="auto"/>
            </w:tcBorders>
          </w:tcPr>
          <w:p w14:paraId="5762043D"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3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44E"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40"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 xml:space="preserve">The stakeholders relevant to </w:t>
            </w:r>
            <w:r>
              <w:rPr>
                <w:rStyle w:val="BookTitle"/>
              </w:rPr>
              <w:t>research activities</w:t>
            </w:r>
            <w:r w:rsidRPr="00E70A11">
              <w:rPr>
                <w:rStyle w:val="BookTitle"/>
              </w:rPr>
              <w:t xml:space="preserve"> are well known by managers.</w:t>
            </w:r>
          </w:p>
        </w:tc>
        <w:tc>
          <w:tcPr>
            <w:tcW w:w="1672" w:type="dxa"/>
            <w:tcBorders>
              <w:top w:val="single" w:sz="4" w:space="0" w:color="auto"/>
              <w:left w:val="single" w:sz="4" w:space="0" w:color="auto"/>
              <w:bottom w:val="single" w:sz="4" w:space="0" w:color="auto"/>
              <w:right w:val="single" w:sz="4" w:space="0" w:color="auto"/>
            </w:tcBorders>
          </w:tcPr>
          <w:p w14:paraId="57620441"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44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Research providers include research institutions where research and monitoring is carried out by scientists and technicians highly trained in the relevant fields. Major institutions include the Australian Institute of Marine Sciences, James Cook University,</w:t>
            </w:r>
            <w:r>
              <w:rPr>
                <w:rFonts w:ascii="Arial Narrow" w:hAnsi="Arial Narrow"/>
                <w:sz w:val="18"/>
                <w:szCs w:val="18"/>
              </w:rPr>
              <w:t xml:space="preserve"> University of Sydney,</w:t>
            </w:r>
            <w:r w:rsidRPr="00E70A11">
              <w:rPr>
                <w:rFonts w:ascii="Arial Narrow" w:hAnsi="Arial Narrow"/>
                <w:sz w:val="18"/>
                <w:szCs w:val="18"/>
              </w:rPr>
              <w:t xml:space="preserve"> the University of Queensland, the University of Central Queensland, the University of the Sunshine Coast, CSIRO, and government agencies such as the Authority and Queensland Government departments</w:t>
            </w:r>
          </w:p>
          <w:p w14:paraId="5762044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Officer-to-officer engagement is widespread between GBRMPA and AIMS and JCU in Townsville on research activities and outcomes, and is facilitated through conference attendances, workshops, forums and seminars</w:t>
            </w:r>
          </w:p>
          <w:p w14:paraId="5762044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Some researchers indicated that the level of engagement between GBRMPA staff and researchers has declined in recent times, primarily as a result of loss of staff from GBRMPA and pressures of other work</w:t>
            </w:r>
          </w:p>
          <w:p w14:paraId="5762044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GBRMPA’s new Research Guidelines recognise researchers and also management agencies as users of research findings (both stakeholders in research activities)</w:t>
            </w:r>
          </w:p>
          <w:p w14:paraId="5762044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RIMReP 2017 stakeholder survey/analysis report </w:t>
            </w:r>
          </w:p>
        </w:tc>
        <w:tc>
          <w:tcPr>
            <w:tcW w:w="4860" w:type="dxa"/>
            <w:tcBorders>
              <w:top w:val="single" w:sz="4" w:space="0" w:color="auto"/>
              <w:left w:val="single" w:sz="4" w:space="0" w:color="auto"/>
              <w:bottom w:val="single" w:sz="4" w:space="0" w:color="auto"/>
              <w:right w:val="single" w:sz="4" w:space="0" w:color="auto"/>
            </w:tcBorders>
          </w:tcPr>
          <w:p w14:paraId="5762044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Workshops and stakeholder interviews</w:t>
            </w:r>
          </w:p>
          <w:p w14:paraId="5762044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Science Strategy and Information Needs 2014-2019 and</w:t>
            </w:r>
            <w:r>
              <w:rPr>
                <w:rFonts w:ascii="Arial Narrow" w:hAnsi="Arial Narrow"/>
                <w:sz w:val="18"/>
                <w:szCs w:val="18"/>
              </w:rPr>
              <w:t xml:space="preserve"> </w:t>
            </w:r>
            <w:r w:rsidRPr="00E70A11">
              <w:rPr>
                <w:rFonts w:ascii="Arial Narrow" w:hAnsi="Arial Narrow"/>
                <w:sz w:val="18"/>
                <w:szCs w:val="18"/>
              </w:rPr>
              <w:t xml:space="preserve">searchable register of detailed questions </w:t>
            </w:r>
          </w:p>
          <w:p w14:paraId="5762044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 2050 Integrated Monitoring and reporting program (RIMReP) GBRMPA webpage and RIMReP Strategy</w:t>
            </w:r>
          </w:p>
          <w:p w14:paraId="5762044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Great Barrier Reef – ‘RD&amp;I Strategy’ and ‘Supporting science and dependencies’ summary text https://www.ehp.qld.gov.au/management/science-priorities/statements.html </w:t>
            </w:r>
          </w:p>
          <w:p w14:paraId="5762044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RIMReP 2017 stakeholder survey/analysis report – Identifying management information needs: informing the program design of the Reef 2050 Reef Integrated Monitoring program.</w:t>
            </w:r>
          </w:p>
        </w:tc>
        <w:tc>
          <w:tcPr>
            <w:tcW w:w="987" w:type="dxa"/>
            <w:tcBorders>
              <w:top w:val="single" w:sz="4" w:space="0" w:color="auto"/>
              <w:left w:val="single" w:sz="4" w:space="0" w:color="auto"/>
              <w:bottom w:val="single" w:sz="4" w:space="0" w:color="auto"/>
              <w:right w:val="single" w:sz="4" w:space="0" w:color="auto"/>
            </w:tcBorders>
          </w:tcPr>
          <w:p w14:paraId="5762044C"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4D"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455"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4F" w14:textId="77777777" w:rsidR="00A56EE9" w:rsidRPr="00E70A11" w:rsidRDefault="00A56EE9" w:rsidP="00BB6AD5">
            <w:pPr>
              <w:pStyle w:val="Tablebulletlist"/>
              <w:rPr>
                <w:rStyle w:val="BookTitle"/>
              </w:rPr>
            </w:pPr>
            <w:r w:rsidRPr="00E70A11">
              <w:rPr>
                <w:rStyle w:val="BookTitle"/>
              </w:rPr>
              <w:t>PLANNING</w:t>
            </w:r>
          </w:p>
        </w:tc>
        <w:tc>
          <w:tcPr>
            <w:tcW w:w="167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50" w14:textId="77777777" w:rsidR="00A56EE9" w:rsidRPr="00E70A11" w:rsidRDefault="00A56EE9" w:rsidP="00BB6AD5">
            <w:pPr>
              <w:pStyle w:val="Tablebulletlist"/>
              <w:rPr>
                <w:rStyle w:val="BookTitle"/>
              </w:rPr>
            </w:pPr>
          </w:p>
        </w:tc>
        <w:tc>
          <w:tcPr>
            <w:tcW w:w="38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51" w14:textId="77777777" w:rsidR="00A56EE9" w:rsidRPr="00E70A11" w:rsidRDefault="00A56EE9" w:rsidP="00BB6AD5">
            <w:pPr>
              <w:pStyle w:val="ListParagraph"/>
              <w:ind w:left="360"/>
              <w:rPr>
                <w:rStyle w:val="BookTitle"/>
                <w:rFonts w:ascii="Arial Narrow" w:hAnsi="Arial Narrow"/>
                <w:sz w:val="18"/>
                <w:szCs w:val="18"/>
              </w:rPr>
            </w:pPr>
          </w:p>
        </w:tc>
        <w:tc>
          <w:tcPr>
            <w:tcW w:w="486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52" w14:textId="77777777" w:rsidR="00A56EE9" w:rsidRPr="00E70A11" w:rsidRDefault="00A56EE9" w:rsidP="00BB6AD5">
            <w:pPr>
              <w:pStyle w:val="ListParagraph"/>
              <w:ind w:left="360"/>
              <w:rPr>
                <w:rStyle w:val="BookTitle"/>
                <w:rFonts w:ascii="Arial Narrow" w:hAnsi="Arial Narrow"/>
                <w:sz w:val="18"/>
                <w:szCs w:val="18"/>
              </w:rPr>
            </w:pPr>
          </w:p>
        </w:tc>
        <w:tc>
          <w:tcPr>
            <w:tcW w:w="98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53" w14:textId="77777777" w:rsidR="00A56EE9" w:rsidRPr="00E70A11" w:rsidRDefault="00A56EE9" w:rsidP="00BB6AD5">
            <w:pPr>
              <w:pStyle w:val="Tablebulletlist"/>
              <w:rPr>
                <w:rStyle w:val="BookTitle"/>
              </w:rPr>
            </w:pPr>
          </w:p>
        </w:tc>
        <w:tc>
          <w:tcPr>
            <w:tcW w:w="8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54" w14:textId="77777777" w:rsidR="00A56EE9" w:rsidRPr="00E70A11" w:rsidRDefault="00A56EE9" w:rsidP="00BB6AD5">
            <w:pPr>
              <w:pStyle w:val="Tablebulletlist"/>
              <w:rPr>
                <w:rStyle w:val="BookTitle"/>
              </w:rPr>
            </w:pPr>
          </w:p>
        </w:tc>
      </w:tr>
      <w:tr w:rsidR="00A56EE9" w:rsidRPr="00E70A11" w14:paraId="5762046C"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56"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w:t>
            </w:r>
            <w:r>
              <w:rPr>
                <w:rStyle w:val="BookTitle"/>
              </w:rPr>
              <w:t>research activities</w:t>
            </w:r>
            <w:r w:rsidRPr="00E70A11">
              <w:rPr>
                <w:rStyle w:val="BookTitle"/>
              </w:rPr>
              <w:t xml:space="preserve"> </w:t>
            </w:r>
          </w:p>
        </w:tc>
        <w:tc>
          <w:tcPr>
            <w:tcW w:w="1672" w:type="dxa"/>
            <w:tcBorders>
              <w:top w:val="single" w:sz="4" w:space="0" w:color="auto"/>
              <w:left w:val="single" w:sz="4" w:space="0" w:color="auto"/>
              <w:bottom w:val="single" w:sz="4" w:space="0" w:color="auto"/>
              <w:right w:val="single" w:sz="4" w:space="0" w:color="auto"/>
            </w:tcBorders>
          </w:tcPr>
          <w:p w14:paraId="57620457"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45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Science Strategy and Information Needs 2014-2019 sets out future scientific information needs. The strategy draws on the Great Barrier Reef Outlook Report 2014 and strategic assessment that outline the Reef’s health, management and likely future, and is supported by a searchable register of detailed questions.</w:t>
            </w:r>
            <w:r>
              <w:rPr>
                <w:rStyle w:val="BookTitle"/>
                <w:rFonts w:ascii="Arial Narrow" w:hAnsi="Arial Narrow"/>
                <w:sz w:val="18"/>
                <w:szCs w:val="18"/>
              </w:rPr>
              <w:t xml:space="preserve"> </w:t>
            </w:r>
            <w:r w:rsidRPr="00E70A11">
              <w:rPr>
                <w:rStyle w:val="BookTitle"/>
                <w:rFonts w:ascii="Arial Narrow" w:hAnsi="Arial Narrow"/>
                <w:sz w:val="18"/>
                <w:szCs w:val="18"/>
              </w:rPr>
              <w:t>The strategy and register have been a key input to the development of an integrated monitoring framework and program for the GBRWHA (RIMReP).</w:t>
            </w:r>
          </w:p>
          <w:p w14:paraId="5762045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has increased attention to research priorities through SELTEMP and RIMREP programs. </w:t>
            </w:r>
          </w:p>
          <w:p w14:paraId="5762045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has been slow to develop as operational program and stakeholders have mixed views about its development – some consider it overly complex and ambitious</w:t>
            </w:r>
          </w:p>
          <w:p w14:paraId="5762045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Divided views on GBRMPAs influence on research directions with some stakeholders seeing an improvement and others indicating declining engagement and influence</w:t>
            </w:r>
          </w:p>
          <w:p w14:paraId="5762045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Additional research priorities for the Great Barrier Reef include: NESP research Priorities, Reef Plan Research Development and Innovation Strategy, Sustainable Fisheries Monitoring and Research Plan 2017-18.</w:t>
            </w:r>
          </w:p>
          <w:p w14:paraId="5762045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GBRMPA’s Guidelines: Management of research in the Great Barrier Reef Marine Park (released in October 2017 to replace the 2004 policy on managing scientific research) outlines expectations for researchers to meet certain environmental best practices. The guidelines provide clearer and more comprehensive information than previously publically available on what is allowed where and some considerations for researchers and GBRMPA permissions application assessors to be aware of. This includes reference to cumulative impacts and levels of local environmental stress. The Guidelines complement amendments to the GBRMPA Regulations that (a) allows the use of some extra (commonly used, low risk) minor research aids and (b) removed details better addressed in policy and placed them into the Guidelines. </w:t>
            </w:r>
          </w:p>
          <w:p w14:paraId="5762045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From 4 October 2017 improvements to the way GBRMPA manage all new Marine Parks permission applications, including continuations of existing permissions, come into effect. The changes, which are based on two rounds of</w:t>
            </w:r>
            <w:r>
              <w:rPr>
                <w:rStyle w:val="BookTitle"/>
                <w:rFonts w:ascii="Arial Narrow" w:hAnsi="Arial Narrow"/>
                <w:sz w:val="18"/>
                <w:szCs w:val="18"/>
              </w:rPr>
              <w:t xml:space="preserve"> </w:t>
            </w:r>
            <w:r w:rsidRPr="00E70A11">
              <w:rPr>
                <w:rStyle w:val="BookTitle"/>
                <w:rFonts w:ascii="Arial Narrow" w:hAnsi="Arial Narrow"/>
                <w:sz w:val="18"/>
                <w:szCs w:val="18"/>
              </w:rPr>
              <w:t>consultation with permit holders and o</w:t>
            </w:r>
            <w:r>
              <w:rPr>
                <w:rStyle w:val="BookTitle"/>
                <w:rFonts w:ascii="Arial Narrow" w:hAnsi="Arial Narrow"/>
                <w:sz w:val="18"/>
                <w:szCs w:val="18"/>
              </w:rPr>
              <w:t>ther key stakeholders, include:</w:t>
            </w:r>
          </w:p>
          <w:p w14:paraId="5762045F" w14:textId="77777777" w:rsidR="00A56EE9" w:rsidRPr="00E70A11" w:rsidRDefault="00A56EE9" w:rsidP="00A11869">
            <w:pPr>
              <w:pStyle w:val="ListParagraph"/>
              <w:numPr>
                <w:ilvl w:val="0"/>
                <w:numId w:val="24"/>
              </w:numPr>
              <w:spacing w:after="200" w:line="276" w:lineRule="auto"/>
              <w:ind w:left="644"/>
              <w:rPr>
                <w:rStyle w:val="BookTitle"/>
                <w:rFonts w:ascii="Arial Narrow" w:hAnsi="Arial Narrow"/>
                <w:sz w:val="18"/>
                <w:szCs w:val="18"/>
              </w:rPr>
            </w:pPr>
            <w:r w:rsidRPr="00E70A11">
              <w:rPr>
                <w:rStyle w:val="BookTitle"/>
                <w:rFonts w:ascii="Arial Narrow" w:hAnsi="Arial Narrow"/>
                <w:sz w:val="18"/>
                <w:szCs w:val="18"/>
              </w:rPr>
              <w:t>Permits Online - a new online portal to submit applications and manage all permissions and contact details</w:t>
            </w:r>
          </w:p>
          <w:p w14:paraId="57620460" w14:textId="77777777" w:rsidR="00A56EE9" w:rsidRPr="00E70A11" w:rsidRDefault="00A56EE9" w:rsidP="00A11869">
            <w:pPr>
              <w:pStyle w:val="ListParagraph"/>
              <w:numPr>
                <w:ilvl w:val="0"/>
                <w:numId w:val="24"/>
              </w:numPr>
              <w:spacing w:after="200" w:line="276" w:lineRule="auto"/>
              <w:ind w:left="644"/>
              <w:rPr>
                <w:rStyle w:val="BookTitle"/>
                <w:rFonts w:ascii="Arial Narrow" w:hAnsi="Arial Narrow"/>
                <w:sz w:val="18"/>
                <w:szCs w:val="18"/>
              </w:rPr>
            </w:pPr>
            <w:r w:rsidRPr="00E70A11">
              <w:rPr>
                <w:rStyle w:val="BookTitle"/>
                <w:rFonts w:ascii="Arial Narrow" w:hAnsi="Arial Narrow"/>
                <w:sz w:val="18"/>
                <w:szCs w:val="18"/>
              </w:rPr>
              <w:t>Improved assessment guidelines</w:t>
            </w:r>
          </w:p>
          <w:p w14:paraId="57620461" w14:textId="77777777" w:rsidR="00A56EE9" w:rsidRPr="00E70A11" w:rsidRDefault="00A56EE9" w:rsidP="00A11869">
            <w:pPr>
              <w:pStyle w:val="ListParagraph"/>
              <w:numPr>
                <w:ilvl w:val="0"/>
                <w:numId w:val="24"/>
              </w:numPr>
              <w:spacing w:after="200" w:line="276" w:lineRule="auto"/>
              <w:ind w:left="644"/>
              <w:rPr>
                <w:rStyle w:val="BookTitle"/>
                <w:rFonts w:ascii="Arial Narrow" w:hAnsi="Arial Narrow"/>
                <w:sz w:val="18"/>
                <w:szCs w:val="18"/>
              </w:rPr>
            </w:pPr>
            <w:r w:rsidRPr="00E70A11">
              <w:rPr>
                <w:rStyle w:val="BookTitle"/>
                <w:rFonts w:ascii="Arial Narrow" w:hAnsi="Arial Narrow"/>
                <w:sz w:val="18"/>
                <w:szCs w:val="18"/>
              </w:rPr>
              <w:t>A checklist of information required at the time of application</w:t>
            </w:r>
          </w:p>
          <w:p w14:paraId="57620462" w14:textId="77777777" w:rsidR="00A56EE9" w:rsidRPr="00E70A11" w:rsidRDefault="00A56EE9" w:rsidP="00A11869">
            <w:pPr>
              <w:pStyle w:val="ListParagraph"/>
              <w:numPr>
                <w:ilvl w:val="0"/>
                <w:numId w:val="24"/>
              </w:numPr>
              <w:spacing w:after="200" w:line="276" w:lineRule="auto"/>
              <w:ind w:left="644"/>
              <w:rPr>
                <w:rStyle w:val="BookTitle"/>
                <w:rFonts w:ascii="Arial Narrow" w:hAnsi="Arial Narrow"/>
                <w:sz w:val="18"/>
                <w:szCs w:val="18"/>
              </w:rPr>
            </w:pPr>
            <w:r w:rsidRPr="00E70A11">
              <w:rPr>
                <w:rStyle w:val="BookTitle"/>
                <w:rFonts w:ascii="Arial Narrow" w:hAnsi="Arial Narrow"/>
                <w:sz w:val="18"/>
                <w:szCs w:val="18"/>
              </w:rPr>
              <w:t>Updated permission system policy and new guidance documents.</w:t>
            </w:r>
          </w:p>
        </w:tc>
        <w:tc>
          <w:tcPr>
            <w:tcW w:w="4860" w:type="dxa"/>
            <w:tcBorders>
              <w:top w:val="single" w:sz="4" w:space="0" w:color="auto"/>
              <w:left w:val="single" w:sz="4" w:space="0" w:color="auto"/>
              <w:bottom w:val="single" w:sz="4" w:space="0" w:color="auto"/>
              <w:right w:val="single" w:sz="4" w:space="0" w:color="auto"/>
            </w:tcBorders>
          </w:tcPr>
          <w:p w14:paraId="5762046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Guidelines: Managing research in the Great Barrier Reef Marine Park </w:t>
            </w:r>
          </w:p>
          <w:p w14:paraId="5762046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Explanatory statement section for limited impact research related to permissions system GBRMP Regulations amendments 2017</w:t>
            </w:r>
          </w:p>
          <w:p w14:paraId="5762046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Integrated Monitoring and reporting program (RIMReP) GBRMPA webpage and RIMReP Strategy</w:t>
            </w:r>
          </w:p>
          <w:p w14:paraId="5762046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New or updated documents via the</w:t>
            </w:r>
            <w:r>
              <w:rPr>
                <w:rStyle w:val="BookTitle"/>
                <w:rFonts w:ascii="Arial Narrow" w:hAnsi="Arial Narrow"/>
                <w:sz w:val="18"/>
                <w:szCs w:val="18"/>
              </w:rPr>
              <w:t xml:space="preserve"> </w:t>
            </w:r>
            <w:r w:rsidRPr="00E70A11">
              <w:rPr>
                <w:rStyle w:val="BookTitle"/>
                <w:rFonts w:ascii="Arial Narrow" w:hAnsi="Arial Narrow"/>
                <w:sz w:val="18"/>
                <w:szCs w:val="18"/>
              </w:rPr>
              <w:t>GBRMPA’s permissions system webpage</w:t>
            </w:r>
          </w:p>
          <w:p w14:paraId="5762046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NESP research Priorities, </w:t>
            </w:r>
          </w:p>
          <w:p w14:paraId="5762046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Plan Research Development and Innovation Strategy, </w:t>
            </w:r>
          </w:p>
          <w:p w14:paraId="5762046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Sustainable Fisheries Monitoring and Research Plan 2017-18</w:t>
            </w:r>
          </w:p>
        </w:tc>
        <w:tc>
          <w:tcPr>
            <w:tcW w:w="987" w:type="dxa"/>
            <w:tcBorders>
              <w:top w:val="single" w:sz="4" w:space="0" w:color="auto"/>
              <w:left w:val="single" w:sz="4" w:space="0" w:color="auto"/>
              <w:bottom w:val="single" w:sz="4" w:space="0" w:color="auto"/>
              <w:right w:val="single" w:sz="4" w:space="0" w:color="auto"/>
            </w:tcBorders>
          </w:tcPr>
          <w:p w14:paraId="5762046A"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6B"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479"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6D"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 xml:space="preserve">The planning system for </w:t>
            </w:r>
            <w:r>
              <w:rPr>
                <w:rStyle w:val="BookTitle"/>
              </w:rPr>
              <w:t>research activities</w:t>
            </w:r>
            <w:r w:rsidRPr="00E70A11">
              <w:rPr>
                <w:rStyle w:val="BookTitle"/>
              </w:rPr>
              <w:t xml:space="preserve"> addresses the major factors influencing the Great Barrier Reef Region’s values.</w:t>
            </w:r>
          </w:p>
        </w:tc>
        <w:tc>
          <w:tcPr>
            <w:tcW w:w="1672" w:type="dxa"/>
            <w:tcBorders>
              <w:top w:val="single" w:sz="4" w:space="0" w:color="auto"/>
              <w:left w:val="single" w:sz="4" w:space="0" w:color="auto"/>
              <w:bottom w:val="single" w:sz="4" w:space="0" w:color="auto"/>
              <w:right w:val="single" w:sz="4" w:space="0" w:color="auto"/>
            </w:tcBorders>
          </w:tcPr>
          <w:p w14:paraId="5762046E"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46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Marine Park Zoning Plan came into effect on the 1 July 2004 and specific provisions for research activities are incorporated. The Guidelines: Managing research in the Great Barrier Reef Marine Park (which replace the 2004 policy) provides a good summary of the GBRMPA’s support for, and management of, research. Some consideration of climate change impacts (e.g. coral bleaching) and other stressors and cumulative impacts is included.</w:t>
            </w:r>
          </w:p>
          <w:p w14:paraId="5762047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Best environmental practices and standards form part of the Memorandum of Understanding (MOU) between the GBRMPA and accredited educational and research institutions. A summary of best environmental practices have been prepared for a range of activities including Anchoring, Bird watching, Boating, Diving and snorkelling.</w:t>
            </w:r>
          </w:p>
          <w:p w14:paraId="5762047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2015 an EMP was approved for the management of the Scientific Research Zone (SRZ) associated with Heron Island Research Station. Resources are not dedicated to negotiating and approving SRZ EMPs, however, this was done in conjunction with an assessment process for the permit renewal of the facilities associated with the operation of the Research Station. The EMP covers both the ongoing maintenance of these permitted facilities as well as management of the SRZ.</w:t>
            </w:r>
          </w:p>
          <w:p w14:paraId="5762047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Although Lizard Island Research Station does not have a single approved MOU for operation of its SRZ, the Station Directors manage the area comprehensively with documented procedures for best practice, mandatory collection reports for all researchers staying at the station, which is maintained in a searchable electronic database, an approved EMP for operation of the open system aquaria with sweater intake and discharge pipelines both within the SRZ, and active consultation and direction given to all researchers by the Station Director with respect to collection types, quantities and sites.</w:t>
            </w:r>
            <w:r>
              <w:rPr>
                <w:rStyle w:val="BookTitle"/>
                <w:rFonts w:ascii="Arial Narrow" w:hAnsi="Arial Narrow"/>
                <w:sz w:val="18"/>
                <w:szCs w:val="18"/>
              </w:rPr>
              <w:t xml:space="preserve"> </w:t>
            </w:r>
            <w:r w:rsidRPr="00E70A11">
              <w:rPr>
                <w:rStyle w:val="BookTitle"/>
                <w:rFonts w:ascii="Arial Narrow" w:hAnsi="Arial Narrow"/>
                <w:sz w:val="18"/>
                <w:szCs w:val="18"/>
              </w:rPr>
              <w:t>Discussions with the Research Station Directors and a site visit conducted in 2016 concluded that duplication of the management of the SRZ into a single EMP was unnecessary at this time given the management strategies and procedures were already documented albeit in various separate forms.</w:t>
            </w:r>
          </w:p>
        </w:tc>
        <w:tc>
          <w:tcPr>
            <w:tcW w:w="4860" w:type="dxa"/>
            <w:tcBorders>
              <w:top w:val="single" w:sz="4" w:space="0" w:color="auto"/>
              <w:left w:val="single" w:sz="4" w:space="0" w:color="auto"/>
              <w:bottom w:val="single" w:sz="4" w:space="0" w:color="auto"/>
              <w:right w:val="single" w:sz="4" w:space="0" w:color="auto"/>
            </w:tcBorders>
          </w:tcPr>
          <w:p w14:paraId="5762047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47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 Zoning Plan &amp; Maps of Scientific Research Zones</w:t>
            </w:r>
          </w:p>
          <w:p w14:paraId="5762047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Guidelines: Managing research in the Great Barrier Reef Marine Park </w:t>
            </w:r>
          </w:p>
          <w:p w14:paraId="57620476" w14:textId="77777777" w:rsidR="00A56EE9" w:rsidRPr="00857DB2"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Scientific Consensus Statement (the previous edition was 2013)</w:t>
            </w:r>
          </w:p>
        </w:tc>
        <w:tc>
          <w:tcPr>
            <w:tcW w:w="987" w:type="dxa"/>
            <w:tcBorders>
              <w:top w:val="single" w:sz="4" w:space="0" w:color="auto"/>
              <w:left w:val="single" w:sz="4" w:space="0" w:color="auto"/>
              <w:bottom w:val="single" w:sz="4" w:space="0" w:color="auto"/>
              <w:right w:val="single" w:sz="4" w:space="0" w:color="auto"/>
            </w:tcBorders>
          </w:tcPr>
          <w:p w14:paraId="57620477"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7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489"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7A"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w:t>
            </w:r>
            <w:r>
              <w:rPr>
                <w:rStyle w:val="BookTitle"/>
              </w:rPr>
              <w:t>research activities</w:t>
            </w:r>
            <w:r w:rsidRPr="00E70A11">
              <w:rPr>
                <w:rStyle w:val="BookTitle"/>
              </w:rPr>
              <w:t xml:space="preserve"> are clearly identified within the plan </w:t>
            </w:r>
          </w:p>
        </w:tc>
        <w:tc>
          <w:tcPr>
            <w:tcW w:w="1672" w:type="dxa"/>
            <w:tcBorders>
              <w:top w:val="single" w:sz="4" w:space="0" w:color="auto"/>
              <w:left w:val="single" w:sz="4" w:space="0" w:color="auto"/>
              <w:bottom w:val="single" w:sz="4" w:space="0" w:color="auto"/>
              <w:right w:val="single" w:sz="4" w:space="0" w:color="auto"/>
            </w:tcBorders>
          </w:tcPr>
          <w:p w14:paraId="5762047B"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47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From 4 October 2017 improvements to the way GBRMPA manage all new Marine Parks permission applications, including continuations of existing permissions, come into effect. The changes include:</w:t>
            </w:r>
            <w:r>
              <w:rPr>
                <w:rStyle w:val="BookTitle"/>
                <w:rFonts w:ascii="Arial Narrow" w:hAnsi="Arial Narrow"/>
                <w:sz w:val="18"/>
                <w:szCs w:val="18"/>
              </w:rPr>
              <w:t xml:space="preserve"> </w:t>
            </w:r>
          </w:p>
          <w:p w14:paraId="5762047D"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Permits Online - a new online portal to submit applications and manage all permissions and contact details</w:t>
            </w:r>
          </w:p>
          <w:p w14:paraId="5762047E"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Improved assessment guidelines</w:t>
            </w:r>
          </w:p>
          <w:p w14:paraId="5762047F"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checklist of information required at the time of application</w:t>
            </w:r>
          </w:p>
          <w:p w14:paraId="57620480" w14:textId="77777777" w:rsidR="00A56EE9" w:rsidRPr="00E70A11" w:rsidRDefault="00A56EE9" w:rsidP="00A11869">
            <w:pPr>
              <w:pStyle w:val="ListParagraph"/>
              <w:numPr>
                <w:ilvl w:val="1"/>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Updated permission system policy and new guidance documents.</w:t>
            </w:r>
          </w:p>
          <w:p w14:paraId="5762048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information needs document developed provides a more structured approach to identifying and planning for research.</w:t>
            </w:r>
          </w:p>
          <w:p w14:paraId="5762048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includes a number of actions relevant to research directions and management (e.g. EHA15, EHA16, EHA29, EHA30, BA17-21, GT5)</w:t>
            </w:r>
          </w:p>
        </w:tc>
        <w:tc>
          <w:tcPr>
            <w:tcW w:w="4860" w:type="dxa"/>
            <w:tcBorders>
              <w:top w:val="single" w:sz="4" w:space="0" w:color="auto"/>
              <w:left w:val="single" w:sz="4" w:space="0" w:color="auto"/>
              <w:bottom w:val="single" w:sz="4" w:space="0" w:color="auto"/>
              <w:right w:val="single" w:sz="4" w:space="0" w:color="auto"/>
            </w:tcBorders>
          </w:tcPr>
          <w:p w14:paraId="5762048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Strategy and Information Needs 2014-2019 and</w:t>
            </w:r>
            <w:r>
              <w:rPr>
                <w:rStyle w:val="BookTitle"/>
                <w:rFonts w:ascii="Arial Narrow" w:hAnsi="Arial Narrow"/>
                <w:sz w:val="18"/>
                <w:szCs w:val="18"/>
              </w:rPr>
              <w:t xml:space="preserve"> </w:t>
            </w:r>
            <w:r w:rsidRPr="00E70A11">
              <w:rPr>
                <w:rStyle w:val="BookTitle"/>
                <w:rFonts w:ascii="Arial Narrow" w:hAnsi="Arial Narrow"/>
                <w:sz w:val="18"/>
                <w:szCs w:val="18"/>
              </w:rPr>
              <w:t xml:space="preserve">searchable register of detailed questions </w:t>
            </w:r>
          </w:p>
          <w:p w14:paraId="5762048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Integrated Monitoring and reporting program (RIMReP) GBRMPA webpage and RIMReP Strategy</w:t>
            </w:r>
          </w:p>
          <w:p w14:paraId="5762048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Great Barrier Reef – ‘RD&amp;I Strategy’ and ‘Supporting science and dependencies’ summary text https://www.ehp.qld.gov.au/management/science-priorities/statements.html </w:t>
            </w:r>
          </w:p>
          <w:p w14:paraId="5762048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tc>
        <w:tc>
          <w:tcPr>
            <w:tcW w:w="987" w:type="dxa"/>
            <w:tcBorders>
              <w:top w:val="single" w:sz="4" w:space="0" w:color="auto"/>
              <w:left w:val="single" w:sz="4" w:space="0" w:color="auto"/>
              <w:bottom w:val="single" w:sz="4" w:space="0" w:color="auto"/>
              <w:right w:val="single" w:sz="4" w:space="0" w:color="auto"/>
            </w:tcBorders>
          </w:tcPr>
          <w:p w14:paraId="57620487"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8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496"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8A"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 xml:space="preserve">Clear, measurable and appropriate objectives for management of </w:t>
            </w:r>
            <w:r>
              <w:rPr>
                <w:rStyle w:val="BookTitle"/>
              </w:rPr>
              <w:t>research activities</w:t>
            </w:r>
            <w:r w:rsidRPr="00E70A11">
              <w:rPr>
                <w:rStyle w:val="BookTitle"/>
              </w:rPr>
              <w:t xml:space="preserve"> have been documented</w:t>
            </w:r>
          </w:p>
        </w:tc>
        <w:tc>
          <w:tcPr>
            <w:tcW w:w="1672" w:type="dxa"/>
            <w:tcBorders>
              <w:top w:val="single" w:sz="4" w:space="0" w:color="auto"/>
              <w:left w:val="single" w:sz="4" w:space="0" w:color="auto"/>
              <w:bottom w:val="single" w:sz="4" w:space="0" w:color="auto"/>
              <w:right w:val="single" w:sz="4" w:space="0" w:color="auto"/>
            </w:tcBorders>
          </w:tcPr>
          <w:p w14:paraId="5762048B"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48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targets and actions relevant to research</w:t>
            </w:r>
          </w:p>
          <w:p w14:paraId="5762048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information needs document developed provides a more structured approach to identifying and planning for research.</w:t>
            </w:r>
          </w:p>
          <w:p w14:paraId="5762048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Other sources of research priorities and objectives include: NESP research Priorities, Reef Plan Research Development and Innovation Strategy, Sustainable Fisheries Monitoring and Research Plan 2017-18.</w:t>
            </w:r>
          </w:p>
          <w:p w14:paraId="5762048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New GBRMPA permissions policy – has objective overarching for managing activities in the Marine Park</w:t>
            </w:r>
          </w:p>
          <w:p w14:paraId="5762049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Service level standards for tailored assessments apply to research permit applications although there are only apply to applications received after 4 October 2017</w:t>
            </w:r>
          </w:p>
          <w:p w14:paraId="5762049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QPWS has a prioritised research prospectus which is prioritised and mapped across all NPSR projects. This assists with performance monitoring and gap analysis for national parks</w:t>
            </w:r>
          </w:p>
        </w:tc>
        <w:tc>
          <w:tcPr>
            <w:tcW w:w="4860" w:type="dxa"/>
            <w:tcBorders>
              <w:top w:val="single" w:sz="4" w:space="0" w:color="auto"/>
              <w:left w:val="single" w:sz="4" w:space="0" w:color="auto"/>
              <w:bottom w:val="single" w:sz="4" w:space="0" w:color="auto"/>
              <w:right w:val="single" w:sz="4" w:space="0" w:color="auto"/>
            </w:tcBorders>
          </w:tcPr>
          <w:p w14:paraId="5762049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w:t>
            </w:r>
          </w:p>
          <w:p w14:paraId="5762049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Permission System Service Charter Oct 2017</w:t>
            </w:r>
          </w:p>
        </w:tc>
        <w:tc>
          <w:tcPr>
            <w:tcW w:w="987" w:type="dxa"/>
            <w:tcBorders>
              <w:top w:val="single" w:sz="4" w:space="0" w:color="auto"/>
              <w:left w:val="single" w:sz="4" w:space="0" w:color="auto"/>
              <w:bottom w:val="single" w:sz="4" w:space="0" w:color="auto"/>
              <w:right w:val="single" w:sz="4" w:space="0" w:color="auto"/>
            </w:tcBorders>
          </w:tcPr>
          <w:p w14:paraId="57620494"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9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4A5"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97"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 xml:space="preserve">There are plans and systems in place to ensure appropriate and adequate monitoring information is gathered in relation to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498"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49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is no monitoring of the actual effort or impact associated with research activity in the GBR</w:t>
            </w:r>
          </w:p>
          <w:p w14:paraId="5762049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Researchers should submit to the GBRMPA a species collection form at the cessation of their permit which is usually after a 3 year period although this has not always happened.</w:t>
            </w:r>
            <w:r>
              <w:rPr>
                <w:rStyle w:val="BookTitle"/>
                <w:rFonts w:ascii="Arial Narrow" w:hAnsi="Arial Narrow"/>
                <w:sz w:val="18"/>
                <w:szCs w:val="18"/>
              </w:rPr>
              <w:t xml:space="preserve"> Approximately 70 per cent non-compliance</w:t>
            </w:r>
          </w:p>
          <w:p w14:paraId="5762049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Accredited institutions must, each and every 12 months forward to GBRMPA a report detailing the research projects conducted under the relevant MOU, including specimen collection records.</w:t>
            </w:r>
            <w:r>
              <w:rPr>
                <w:rStyle w:val="BookTitle"/>
                <w:rFonts w:ascii="Arial Narrow" w:hAnsi="Arial Narrow"/>
                <w:sz w:val="18"/>
                <w:szCs w:val="18"/>
              </w:rPr>
              <w:t xml:space="preserve"> </w:t>
            </w:r>
          </w:p>
          <w:p w14:paraId="5762049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Some research stations collect information on what is taken by each researcher. </w:t>
            </w:r>
          </w:p>
          <w:p w14:paraId="5762049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remains no mechanism for recording specimen collection numbers in electronic form that is searchable or able to inform cumulative impact monitoring/assessment.</w:t>
            </w:r>
          </w:p>
          <w:p w14:paraId="5762049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Development and implementation of RMS upgrades and new Permits Online system include researchers.</w:t>
            </w:r>
            <w:r>
              <w:rPr>
                <w:rStyle w:val="BookTitle"/>
                <w:rFonts w:ascii="Arial Narrow" w:hAnsi="Arial Narrow"/>
                <w:sz w:val="18"/>
                <w:szCs w:val="18"/>
              </w:rPr>
              <w:t xml:space="preserve"> </w:t>
            </w:r>
          </w:p>
          <w:p w14:paraId="5762049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Authority has in place a dedicated permission compliance plan that is reviewed annual and addresses the risk of compliance against all permission types.</w:t>
            </w:r>
          </w:p>
          <w:p w14:paraId="576204A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Planned enhancements in 2018 to Reef Management System database will allow researchers to submit their research reports online in a manner that will allow for considerations of cumulative use on a location and or species bases.</w:t>
            </w:r>
          </w:p>
        </w:tc>
        <w:tc>
          <w:tcPr>
            <w:tcW w:w="4860" w:type="dxa"/>
            <w:tcBorders>
              <w:top w:val="single" w:sz="4" w:space="0" w:color="auto"/>
              <w:left w:val="single" w:sz="4" w:space="0" w:color="auto"/>
              <w:bottom w:val="single" w:sz="4" w:space="0" w:color="auto"/>
              <w:right w:val="single" w:sz="4" w:space="0" w:color="auto"/>
            </w:tcBorders>
          </w:tcPr>
          <w:p w14:paraId="576204A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4A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Permits online system</w:t>
            </w:r>
          </w:p>
        </w:tc>
        <w:tc>
          <w:tcPr>
            <w:tcW w:w="987" w:type="dxa"/>
            <w:tcBorders>
              <w:top w:val="single" w:sz="4" w:space="0" w:color="auto"/>
              <w:left w:val="single" w:sz="4" w:space="0" w:color="auto"/>
              <w:bottom w:val="single" w:sz="4" w:space="0" w:color="auto"/>
              <w:right w:val="single" w:sz="4" w:space="0" w:color="auto"/>
            </w:tcBorders>
          </w:tcPr>
          <w:p w14:paraId="576204A3"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A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4B1"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A6"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 xml:space="preserve">The main stakeholders &amp;/or the local community are effectively engaged in planning to address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4A7"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4A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GBRMPA's Science Strategy and Information Needs 2014-2019 aims to facilitate discussion between scientists and Marine Park managers about scientific projects that will help inform Marine Park management, especially high priorities. It guides the research priorities for the agency.</w:t>
            </w:r>
          </w:p>
          <w:p w14:paraId="576204A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Guidelines: Managing research in the Great Barrier Reef Marine Park express GBRMPA’s expectations regarding communication between researchers and other Reef users, research stations and Traditional Owners. Additional or more specific requirements may be included in permission conditions.</w:t>
            </w:r>
          </w:p>
          <w:p w14:paraId="576204A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is no longer a GBRMPA Ecological Reef Advisory Committee</w:t>
            </w:r>
          </w:p>
          <w:p w14:paraId="576204A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Some stakeholders report that GBRMPA is less engaged in research discussions and priority setting, which they attribute to loss of relevant staff within GBRMPA. They report that GBRMPA staff are not present at many relevant meetings whereas in the past they would have been there</w:t>
            </w:r>
          </w:p>
          <w:p w14:paraId="576204A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Some researchers report feeling more dis-engaged from GBRMPA and decision making around management of the GBRMP than ever before</w:t>
            </w:r>
          </w:p>
        </w:tc>
        <w:tc>
          <w:tcPr>
            <w:tcW w:w="4860" w:type="dxa"/>
            <w:tcBorders>
              <w:top w:val="single" w:sz="4" w:space="0" w:color="auto"/>
              <w:left w:val="single" w:sz="4" w:space="0" w:color="auto"/>
              <w:bottom w:val="single" w:sz="4" w:space="0" w:color="auto"/>
              <w:right w:val="single" w:sz="4" w:space="0" w:color="auto"/>
            </w:tcBorders>
          </w:tcPr>
          <w:p w14:paraId="576204A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4AE" w14:textId="77777777" w:rsidR="00A56EE9" w:rsidRPr="00857DB2"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Strategy and Information Needs 2014-2019’</w:t>
            </w:r>
          </w:p>
        </w:tc>
        <w:tc>
          <w:tcPr>
            <w:tcW w:w="987" w:type="dxa"/>
            <w:tcBorders>
              <w:top w:val="single" w:sz="4" w:space="0" w:color="auto"/>
              <w:left w:val="single" w:sz="4" w:space="0" w:color="auto"/>
              <w:bottom w:val="single" w:sz="4" w:space="0" w:color="auto"/>
              <w:right w:val="single" w:sz="4" w:space="0" w:color="auto"/>
            </w:tcBorders>
          </w:tcPr>
          <w:p w14:paraId="576204AF"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B0"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204BC"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B2"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 xml:space="preserve">Sufficient policy currently exists to effectively address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4B3"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4B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A permission (permit) is not required in some zones if the activity falls under limited impact research and the researcher is associated with </w:t>
            </w:r>
            <w:proofErr w:type="gramStart"/>
            <w:r w:rsidRPr="00E70A11">
              <w:rPr>
                <w:rStyle w:val="BookTitle"/>
                <w:rFonts w:ascii="Arial Narrow" w:hAnsi="Arial Narrow"/>
                <w:sz w:val="18"/>
                <w:szCs w:val="18"/>
              </w:rPr>
              <w:t>an</w:t>
            </w:r>
            <w:proofErr w:type="gramEnd"/>
            <w:r w:rsidRPr="00E70A11">
              <w:rPr>
                <w:rStyle w:val="BookTitle"/>
                <w:rFonts w:ascii="Arial Narrow" w:hAnsi="Arial Narrow"/>
                <w:sz w:val="18"/>
                <w:szCs w:val="18"/>
              </w:rPr>
              <w:t xml:space="preserve"> research institution accredited by the GBRMPA. </w:t>
            </w:r>
          </w:p>
          <w:p w14:paraId="576204B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Universities have Codes of Conduct for conducting research and require comprehensive animal and human ethics approval for all research involving animals and people</w:t>
            </w:r>
          </w:p>
          <w:p w14:paraId="576204B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Best environmental practices and legal requirements for limited impact research in the Marine Park are outlined in the GBRMPA’s Guidelines: Management of research in the Great Barrier Reef Marine Park (‘Research Guidelines’ released in October 2017 to replace the 2004 policy on managing scientific research).</w:t>
            </w:r>
          </w:p>
          <w:p w14:paraId="576204B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draft position statement is being developed on reef interventions, particularly focussing on the assessment of permit applications with respect to coral reef intervention proposals.</w:t>
            </w:r>
          </w:p>
        </w:tc>
        <w:tc>
          <w:tcPr>
            <w:tcW w:w="4860" w:type="dxa"/>
            <w:tcBorders>
              <w:top w:val="single" w:sz="4" w:space="0" w:color="auto"/>
              <w:left w:val="single" w:sz="4" w:space="0" w:color="auto"/>
              <w:bottom w:val="single" w:sz="4" w:space="0" w:color="auto"/>
              <w:right w:val="single" w:sz="4" w:space="0" w:color="auto"/>
            </w:tcBorders>
          </w:tcPr>
          <w:p w14:paraId="576204B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4B9" w14:textId="77777777" w:rsidR="00A56EE9" w:rsidRPr="00857DB2"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Strategy and Information Needs 2014-2019’</w:t>
            </w:r>
          </w:p>
        </w:tc>
        <w:tc>
          <w:tcPr>
            <w:tcW w:w="987" w:type="dxa"/>
            <w:tcBorders>
              <w:top w:val="single" w:sz="4" w:space="0" w:color="auto"/>
              <w:left w:val="single" w:sz="4" w:space="0" w:color="auto"/>
              <w:bottom w:val="single" w:sz="4" w:space="0" w:color="auto"/>
              <w:right w:val="single" w:sz="4" w:space="0" w:color="auto"/>
            </w:tcBorders>
          </w:tcPr>
          <w:p w14:paraId="576204BA"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B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4CB"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shd w:val="clear" w:color="auto" w:fill="FFFFFF"/>
          </w:tcPr>
          <w:p w14:paraId="576204BD" w14:textId="77777777" w:rsidR="00A56EE9" w:rsidRPr="00E70A11" w:rsidRDefault="00A56EE9" w:rsidP="00BB6AD5">
            <w:pPr>
              <w:pStyle w:val="Tablebulletlist"/>
              <w:rPr>
                <w:rStyle w:val="BookTitle"/>
              </w:rPr>
            </w:pPr>
            <w:r w:rsidRPr="00E70A11">
              <w:rPr>
                <w:rStyle w:val="BookTitle"/>
              </w:rPr>
              <w:t xml:space="preserve">PL8 There is consistency across jurisdictions when planning for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shd w:val="clear" w:color="auto" w:fill="FFFFFF"/>
          </w:tcPr>
          <w:p w14:paraId="576204BE"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shd w:val="clear" w:color="auto" w:fill="FFFFFF"/>
          </w:tcPr>
          <w:p w14:paraId="576204BF"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Research activities that require a permit in the Marine Park may also require a similar permit under Queensland Marine Parks Legislation. The GBRMPA and the relevant Queensland agency, the Queensland Parks and Wildlife Service (QPWS), cooperate to assess and issue joint permits, where necessary. </w:t>
            </w:r>
          </w:p>
          <w:p w14:paraId="576204C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B7EAB">
              <w:rPr>
                <w:rStyle w:val="BookTitle"/>
                <w:rFonts w:ascii="Arial Narrow" w:hAnsi="Arial Narrow"/>
                <w:sz w:val="18"/>
                <w:szCs w:val="18"/>
              </w:rPr>
              <w:t>Researchers also generally need Q</w:t>
            </w:r>
            <w:r>
              <w:rPr>
                <w:rStyle w:val="BookTitle"/>
                <w:rFonts w:ascii="Arial Narrow" w:hAnsi="Arial Narrow"/>
                <w:sz w:val="18"/>
                <w:szCs w:val="18"/>
              </w:rPr>
              <w:t>ueensland</w:t>
            </w:r>
            <w:r w:rsidRPr="009B7EAB">
              <w:rPr>
                <w:rStyle w:val="BookTitle"/>
                <w:rFonts w:ascii="Arial Narrow" w:hAnsi="Arial Narrow"/>
                <w:sz w:val="18"/>
                <w:szCs w:val="18"/>
              </w:rPr>
              <w:t xml:space="preserve"> </w:t>
            </w:r>
            <w:r>
              <w:rPr>
                <w:rStyle w:val="BookTitle"/>
                <w:rFonts w:ascii="Arial Narrow" w:hAnsi="Arial Narrow"/>
                <w:sz w:val="18"/>
                <w:szCs w:val="18"/>
              </w:rPr>
              <w:t>F</w:t>
            </w:r>
            <w:r w:rsidRPr="009B7EAB">
              <w:rPr>
                <w:rStyle w:val="BookTitle"/>
                <w:rFonts w:ascii="Arial Narrow" w:hAnsi="Arial Narrow"/>
                <w:sz w:val="18"/>
                <w:szCs w:val="18"/>
              </w:rPr>
              <w:t>isheries permits for collections.</w:t>
            </w:r>
          </w:p>
          <w:p w14:paraId="576204C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Note that Queensland legislation may require a permit where the GBRMPA does not. Permits required under the Queensland Biodiscovery Act 2004 are issued by the Department of Environment and Heritage Protection (EHP). </w:t>
            </w:r>
          </w:p>
          <w:p w14:paraId="576204C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Researchers that intend to use marine products collected within the GBRMP for biodiscovery purposes are also required to contact both the State and Commonwealth departments as a ‘benefits sharing agreement’ may be required. http://www.gbrmpa.gov.au/zoning-permits-and-plans/permits/research-permissions </w:t>
            </w:r>
          </w:p>
          <w:p w14:paraId="576204C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2005 Queensland co-accredited the 8 research institutions that are currently accredited by the GBRMPA. This removes the need for researchers to get an additional Qld permit when they are conducting limited research’ as per the GBRMP Regulations (see Gazette notice in evidence).</w:t>
            </w:r>
          </w:p>
          <w:p w14:paraId="576204C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If researchers plan to export/take out of the country certain specimens then they may also require an export permit from the Department of Environment and Energy.</w:t>
            </w:r>
          </w:p>
        </w:tc>
        <w:tc>
          <w:tcPr>
            <w:tcW w:w="4860" w:type="dxa"/>
            <w:tcBorders>
              <w:top w:val="single" w:sz="4" w:space="0" w:color="auto"/>
              <w:left w:val="single" w:sz="4" w:space="0" w:color="auto"/>
              <w:bottom w:val="single" w:sz="4" w:space="0" w:color="auto"/>
              <w:right w:val="single" w:sz="4" w:space="0" w:color="auto"/>
            </w:tcBorders>
            <w:shd w:val="clear" w:color="auto" w:fill="FFFFFF"/>
          </w:tcPr>
          <w:p w14:paraId="576204C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Managing research in the Great Barrier Reef Marine Park (2017)</w:t>
            </w:r>
          </w:p>
          <w:p w14:paraId="576204C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webpage on research permissions http://www.gbrmpa.gov.au/zoning-permits-and-plans/permits/research-permissions</w:t>
            </w:r>
          </w:p>
          <w:p w14:paraId="576204C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Monitoring and adaptively reducing system-wide governance risks facing the GBR</w:t>
            </w:r>
          </w:p>
          <w:p w14:paraId="576204C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Co-accreditation Gazette – Research institutions</w:t>
            </w:r>
          </w:p>
        </w:tc>
        <w:tc>
          <w:tcPr>
            <w:tcW w:w="987" w:type="dxa"/>
            <w:tcBorders>
              <w:top w:val="single" w:sz="4" w:space="0" w:color="auto"/>
              <w:left w:val="single" w:sz="4" w:space="0" w:color="auto"/>
              <w:bottom w:val="single" w:sz="4" w:space="0" w:color="auto"/>
              <w:right w:val="single" w:sz="4" w:space="0" w:color="auto"/>
            </w:tcBorders>
            <w:shd w:val="clear" w:color="auto" w:fill="FFFFFF"/>
          </w:tcPr>
          <w:p w14:paraId="576204C9"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shd w:val="clear" w:color="auto" w:fill="FFFFFF"/>
          </w:tcPr>
          <w:p w14:paraId="576204C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4D4"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shd w:val="clear" w:color="auto" w:fill="auto"/>
          </w:tcPr>
          <w:p w14:paraId="576204CC"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 xml:space="preserve">Plans relevant to </w:t>
            </w:r>
            <w:r>
              <w:rPr>
                <w:rStyle w:val="BookTitle"/>
              </w:rPr>
              <w:t>research activities</w:t>
            </w:r>
            <w:r w:rsidRPr="00E70A11">
              <w:rPr>
                <w:rStyle w:val="BookTitle"/>
              </w:rPr>
              <w:t xml:space="preserve"> provide certainty regarding where uses may occur, the type of activities allowed, conditions under which activities may proceed and circumstances where impacts are likely to be acceptable.</w:t>
            </w:r>
          </w:p>
        </w:tc>
        <w:tc>
          <w:tcPr>
            <w:tcW w:w="1672" w:type="dxa"/>
            <w:tcBorders>
              <w:top w:val="single" w:sz="4" w:space="0" w:color="auto"/>
              <w:left w:val="single" w:sz="4" w:space="0" w:color="auto"/>
              <w:bottom w:val="single" w:sz="4" w:space="0" w:color="auto"/>
              <w:right w:val="single" w:sz="4" w:space="0" w:color="auto"/>
            </w:tcBorders>
          </w:tcPr>
          <w:p w14:paraId="576204CD"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4C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sites are clearly defined and zoning controls permissible activities</w:t>
            </w:r>
          </w:p>
          <w:p w14:paraId="576204C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Understanding of cumulative impacts of research is limited but given the scale of activities and limited number of sites, overall impacts are likely to have only localised effects although some permits do involve larger scale collection and should be more carefully assessed and monitored</w:t>
            </w:r>
          </w:p>
        </w:tc>
        <w:tc>
          <w:tcPr>
            <w:tcW w:w="4860" w:type="dxa"/>
            <w:tcBorders>
              <w:top w:val="single" w:sz="4" w:space="0" w:color="auto"/>
              <w:left w:val="single" w:sz="4" w:space="0" w:color="auto"/>
              <w:bottom w:val="single" w:sz="4" w:space="0" w:color="auto"/>
              <w:right w:val="single" w:sz="4" w:space="0" w:color="auto"/>
            </w:tcBorders>
          </w:tcPr>
          <w:p w14:paraId="576204D0"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Pr>
                <w:rStyle w:val="BookTitle"/>
                <w:rFonts w:ascii="Arial Narrow" w:hAnsi="Arial Narrow"/>
                <w:sz w:val="18"/>
                <w:szCs w:val="18"/>
              </w:rPr>
              <w:t>Workshop discussions</w:t>
            </w:r>
          </w:p>
          <w:p w14:paraId="576204D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Pr>
                <w:rStyle w:val="BookTitle"/>
                <w:rFonts w:ascii="Arial Narrow" w:hAnsi="Arial Narrow"/>
                <w:sz w:val="18"/>
                <w:szCs w:val="18"/>
              </w:rPr>
              <w:t>P</w:t>
            </w:r>
            <w:r w:rsidRPr="009B7EAB">
              <w:rPr>
                <w:rStyle w:val="BookTitle"/>
                <w:rFonts w:ascii="Arial Narrow" w:hAnsi="Arial Narrow"/>
                <w:sz w:val="18"/>
                <w:szCs w:val="18"/>
              </w:rPr>
              <w:t>ermits available through permits online</w:t>
            </w:r>
          </w:p>
        </w:tc>
        <w:tc>
          <w:tcPr>
            <w:tcW w:w="987" w:type="dxa"/>
            <w:tcBorders>
              <w:top w:val="single" w:sz="4" w:space="0" w:color="auto"/>
              <w:left w:val="single" w:sz="4" w:space="0" w:color="auto"/>
              <w:bottom w:val="single" w:sz="4" w:space="0" w:color="auto"/>
              <w:right w:val="single" w:sz="4" w:space="0" w:color="auto"/>
            </w:tcBorders>
          </w:tcPr>
          <w:p w14:paraId="576204D2"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D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4DB"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D5" w14:textId="77777777" w:rsidR="00A56EE9" w:rsidRPr="00E70A11" w:rsidRDefault="00A56EE9" w:rsidP="00BB6AD5">
            <w:pPr>
              <w:pStyle w:val="Tablebulletlist"/>
              <w:rPr>
                <w:rStyle w:val="BookTitle"/>
              </w:rPr>
            </w:pPr>
            <w:r w:rsidRPr="00E70A11">
              <w:rPr>
                <w:rStyle w:val="BookTitle"/>
              </w:rPr>
              <w:t>INPUTS</w:t>
            </w:r>
          </w:p>
        </w:tc>
        <w:tc>
          <w:tcPr>
            <w:tcW w:w="167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D6" w14:textId="77777777" w:rsidR="00A56EE9" w:rsidRPr="00E70A11" w:rsidRDefault="00A56EE9" w:rsidP="00BB6AD5">
            <w:pPr>
              <w:pStyle w:val="Tablebulletlist"/>
              <w:rPr>
                <w:rStyle w:val="BookTitle"/>
              </w:rPr>
            </w:pPr>
          </w:p>
        </w:tc>
        <w:tc>
          <w:tcPr>
            <w:tcW w:w="38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D7" w14:textId="77777777" w:rsidR="00A56EE9" w:rsidRPr="00E70A11" w:rsidRDefault="00A56EE9" w:rsidP="00BB6AD5">
            <w:pPr>
              <w:pStyle w:val="ListParagraph"/>
              <w:ind w:left="360"/>
              <w:rPr>
                <w:rStyle w:val="BookTitle"/>
                <w:rFonts w:ascii="Arial Narrow" w:hAnsi="Arial Narrow"/>
                <w:sz w:val="18"/>
                <w:szCs w:val="18"/>
              </w:rPr>
            </w:pPr>
          </w:p>
        </w:tc>
        <w:tc>
          <w:tcPr>
            <w:tcW w:w="486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D8" w14:textId="77777777" w:rsidR="00A56EE9" w:rsidRPr="00E70A11" w:rsidRDefault="00A56EE9" w:rsidP="00BB6AD5">
            <w:pPr>
              <w:pStyle w:val="ListParagraph"/>
              <w:ind w:left="360"/>
              <w:rPr>
                <w:rStyle w:val="BookTitle"/>
                <w:rFonts w:ascii="Arial Narrow" w:hAnsi="Arial Narrow"/>
                <w:sz w:val="18"/>
                <w:szCs w:val="18"/>
              </w:rPr>
            </w:pPr>
          </w:p>
        </w:tc>
        <w:tc>
          <w:tcPr>
            <w:tcW w:w="98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D9" w14:textId="77777777" w:rsidR="00A56EE9" w:rsidRPr="00E70A11" w:rsidRDefault="00A56EE9" w:rsidP="00BB6AD5">
            <w:pPr>
              <w:pStyle w:val="Tablebulletlist"/>
              <w:rPr>
                <w:rStyle w:val="BookTitle"/>
              </w:rPr>
            </w:pPr>
          </w:p>
        </w:tc>
        <w:tc>
          <w:tcPr>
            <w:tcW w:w="8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4DA" w14:textId="77777777" w:rsidR="00A56EE9" w:rsidRPr="00E70A11" w:rsidRDefault="00A56EE9" w:rsidP="00BB6AD5">
            <w:pPr>
              <w:pStyle w:val="Tablebulletlist"/>
              <w:rPr>
                <w:rStyle w:val="BookTitle"/>
              </w:rPr>
            </w:pPr>
          </w:p>
        </w:tc>
      </w:tr>
      <w:tr w:rsidR="00A56EE9" w:rsidRPr="00E70A11" w14:paraId="576204ED"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DC"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w:t>
            </w:r>
            <w:r>
              <w:rPr>
                <w:rStyle w:val="BookTitle"/>
              </w:rPr>
              <w:t>research activities</w:t>
            </w:r>
            <w:r w:rsidRPr="00E70A11">
              <w:rPr>
                <w:rStyle w:val="BookTitle"/>
              </w:rPr>
              <w:t xml:space="preserve"> </w:t>
            </w:r>
          </w:p>
        </w:tc>
        <w:tc>
          <w:tcPr>
            <w:tcW w:w="1672" w:type="dxa"/>
            <w:tcBorders>
              <w:top w:val="single" w:sz="4" w:space="0" w:color="auto"/>
              <w:left w:val="single" w:sz="4" w:space="0" w:color="auto"/>
              <w:bottom w:val="single" w:sz="4" w:space="0" w:color="auto"/>
              <w:right w:val="single" w:sz="4" w:space="0" w:color="auto"/>
            </w:tcBorders>
          </w:tcPr>
          <w:p w14:paraId="576204DD"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4D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Investment around research activities occurs in two ways. (1) Investment in the management of how research activities occur in the GBR, and (2) investment in facilitating research relevant to the GBR.</w:t>
            </w:r>
          </w:p>
          <w:p w14:paraId="576204D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Investment in Great Barrier Reef science is delivered through a range of programs and government initiatives, as well as through co-investment from the private sector. Apart from the ongoing funding of the Australian Institute of Marine Science, none of the major monitoring programs for the Great Barrier Reef currently have secure ongoing funding. Most rely, at least partly, on time-limited funding programs such as the National Environmental Science Program (NESP) and the Australian Government Reef Programme and Reef Trust for their continuation.</w:t>
            </w:r>
          </w:p>
          <w:p w14:paraId="576204E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also recognises scientific research undertaken by postgraduate students that addresses management information gaps through funding for Science for Management Awards (now Reef Guardians Research Grants) </w:t>
            </w:r>
          </w:p>
          <w:p w14:paraId="576204E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After the initial pilot project in 2013, the Social &amp; Economic Long Term Monitoring Program (SELTMP) implemented by CSIRO received funding for a second iteration of data collection (2017, $314,777) under the auspices of the Reef 2050 Plan Integrated Monitoring and Reporting Program (RIMReP). However, no long-term funding commitment has yet been established. </w:t>
            </w:r>
          </w:p>
          <w:p w14:paraId="576204E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RIMReP is investing $3.6 million (March 2016 to June 2019) to directly address monitoring gaps. This includes the 2017 SELTMP work, zoning plan monitoring, dugong population monitoring, shoals monitoring and integration work for the Marine Monitoring Program.</w:t>
            </w:r>
          </w:p>
          <w:p w14:paraId="576204E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also contracted CSIRO to provide expert advice and undertake social and economic-related tasks</w:t>
            </w:r>
            <w:r>
              <w:rPr>
                <w:rStyle w:val="BookTitle"/>
                <w:rFonts w:ascii="Arial Narrow" w:hAnsi="Arial Narrow"/>
                <w:sz w:val="18"/>
                <w:szCs w:val="18"/>
              </w:rPr>
              <w:t xml:space="preserve"> </w:t>
            </w:r>
            <w:r w:rsidRPr="00E70A11">
              <w:rPr>
                <w:rStyle w:val="BookTitle"/>
                <w:rFonts w:ascii="Arial Narrow" w:hAnsi="Arial Narrow"/>
                <w:sz w:val="18"/>
                <w:szCs w:val="18"/>
              </w:rPr>
              <w:t>($194,000)</w:t>
            </w:r>
          </w:p>
          <w:p w14:paraId="576204E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Foundation spent $22M on science and conservation activities for the Great Barrier Reef between January 2014 and the end of Dec 2018 (calculated using actual figures to end of 2017 and contracted amounts for 2018).</w:t>
            </w:r>
          </w:p>
          <w:p w14:paraId="576204E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of how to address climate change impacts in the GBR is in its infancy and could be supported by further targeted funding</w:t>
            </w:r>
          </w:p>
        </w:tc>
        <w:tc>
          <w:tcPr>
            <w:tcW w:w="4860" w:type="dxa"/>
            <w:tcBorders>
              <w:top w:val="single" w:sz="4" w:space="0" w:color="auto"/>
              <w:left w:val="single" w:sz="4" w:space="0" w:color="auto"/>
              <w:bottom w:val="single" w:sz="4" w:space="0" w:color="auto"/>
              <w:right w:val="single" w:sz="4" w:space="0" w:color="auto"/>
            </w:tcBorders>
          </w:tcPr>
          <w:p w14:paraId="576204E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Science for management awards </w:t>
            </w:r>
          </w:p>
          <w:p w14:paraId="576204E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Annual Reports </w:t>
            </w:r>
          </w:p>
          <w:p w14:paraId="576204E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2050 Plan: Investment framework and</w:t>
            </w:r>
            <w:r>
              <w:rPr>
                <w:rStyle w:val="BookTitle"/>
                <w:rFonts w:ascii="Arial Narrow" w:hAnsi="Arial Narrow"/>
                <w:sz w:val="18"/>
                <w:szCs w:val="18"/>
              </w:rPr>
              <w:t xml:space="preserve"> </w:t>
            </w:r>
            <w:r w:rsidRPr="00E70A11">
              <w:rPr>
                <w:rStyle w:val="BookTitle"/>
                <w:rFonts w:ascii="Arial Narrow" w:hAnsi="Arial Narrow"/>
                <w:sz w:val="18"/>
                <w:szCs w:val="18"/>
              </w:rPr>
              <w:t>2016</w:t>
            </w:r>
            <w:r>
              <w:rPr>
                <w:rStyle w:val="BookTitle"/>
                <w:rFonts w:ascii="Arial Narrow" w:hAnsi="Arial Narrow"/>
                <w:sz w:val="18"/>
                <w:szCs w:val="18"/>
              </w:rPr>
              <w:t xml:space="preserve"> </w:t>
            </w:r>
            <w:r w:rsidRPr="00E70A11">
              <w:rPr>
                <w:rStyle w:val="BookTitle"/>
                <w:rFonts w:ascii="Arial Narrow" w:hAnsi="Arial Narrow"/>
                <w:sz w:val="18"/>
                <w:szCs w:val="18"/>
              </w:rPr>
              <w:t>Annual Report and Implementation Strategy and Addendum document (prioritisation of actions)</w:t>
            </w:r>
          </w:p>
          <w:p w14:paraId="576204E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project management documents</w:t>
            </w:r>
          </w:p>
          <w:p w14:paraId="576204EA" w14:textId="77777777" w:rsidR="00A56EE9" w:rsidRPr="00857DB2"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2015</w:t>
            </w:r>
            <w:r>
              <w:rPr>
                <w:rStyle w:val="BookTitle"/>
                <w:rFonts w:ascii="Arial Narrow" w:hAnsi="Arial Narrow"/>
                <w:sz w:val="18"/>
                <w:szCs w:val="18"/>
              </w:rPr>
              <w:t xml:space="preserve"> </w:t>
            </w:r>
            <w:r w:rsidRPr="00E70A11">
              <w:rPr>
                <w:rStyle w:val="BookTitle"/>
                <w:rFonts w:ascii="Arial Narrow" w:hAnsi="Arial Narrow"/>
                <w:sz w:val="18"/>
                <w:szCs w:val="18"/>
              </w:rPr>
              <w:t>State Party Report</w:t>
            </w:r>
          </w:p>
        </w:tc>
        <w:tc>
          <w:tcPr>
            <w:tcW w:w="987" w:type="dxa"/>
            <w:tcBorders>
              <w:top w:val="single" w:sz="4" w:space="0" w:color="auto"/>
              <w:left w:val="single" w:sz="4" w:space="0" w:color="auto"/>
              <w:bottom w:val="single" w:sz="4" w:space="0" w:color="auto"/>
              <w:right w:val="single" w:sz="4" w:space="0" w:color="auto"/>
            </w:tcBorders>
          </w:tcPr>
          <w:p w14:paraId="576204EB"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EC"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4FC"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EE"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w:t>
            </w:r>
            <w:r>
              <w:rPr>
                <w:rStyle w:val="BookTitle"/>
              </w:rPr>
              <w:t>research activities</w:t>
            </w:r>
            <w:r w:rsidRPr="00E70A11">
              <w:rPr>
                <w:rStyle w:val="BookTitle"/>
              </w:rPr>
              <w:t xml:space="preserve"> </w:t>
            </w:r>
          </w:p>
        </w:tc>
        <w:tc>
          <w:tcPr>
            <w:tcW w:w="1672" w:type="dxa"/>
            <w:tcBorders>
              <w:top w:val="single" w:sz="4" w:space="0" w:color="auto"/>
              <w:left w:val="single" w:sz="4" w:space="0" w:color="auto"/>
              <w:bottom w:val="single" w:sz="4" w:space="0" w:color="auto"/>
              <w:right w:val="single" w:sz="4" w:space="0" w:color="auto"/>
            </w:tcBorders>
          </w:tcPr>
          <w:p w14:paraId="576204EF"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4F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Staff and Senior Management are represented on a number of steering committees (e.g. NESP projects and high level bodies such as the Intergovernmental Operational Committee and Partnership Committee, Reef 2050 Plan Independent Expert Panel, Reef 2050 Plan Reef Advisory Committee, Reef 2050 Water Quality Improvement Plan Partnership Committee</w:t>
            </w:r>
            <w:r>
              <w:rPr>
                <w:rStyle w:val="BookTitle"/>
                <w:rFonts w:ascii="Arial Narrow" w:hAnsi="Arial Narrow"/>
                <w:sz w:val="18"/>
                <w:szCs w:val="18"/>
              </w:rPr>
              <w:t xml:space="preserve"> </w:t>
            </w:r>
            <w:r w:rsidRPr="00E70A11">
              <w:rPr>
                <w:rStyle w:val="BookTitle"/>
                <w:rFonts w:ascii="Arial Narrow" w:hAnsi="Arial Narrow"/>
                <w:sz w:val="18"/>
                <w:szCs w:val="18"/>
              </w:rPr>
              <w:t>etc)</w:t>
            </w:r>
          </w:p>
          <w:p w14:paraId="576204F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is little capacity within the Authority to assist institutions monitor their MOUs or develop their Environmental Management Plans for the Scientific Research Zones.</w:t>
            </w:r>
          </w:p>
          <w:p w14:paraId="576204F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Permit renewals for research can be very slow (Lizard Island &gt;1 year, AIMS</w:t>
            </w:r>
            <w:r>
              <w:rPr>
                <w:rStyle w:val="BookTitle"/>
                <w:rFonts w:ascii="Arial Narrow" w:hAnsi="Arial Narrow"/>
                <w:sz w:val="18"/>
                <w:szCs w:val="18"/>
              </w:rPr>
              <w:t xml:space="preserve"> </w:t>
            </w:r>
            <w:r w:rsidRPr="00E70A11">
              <w:rPr>
                <w:rStyle w:val="BookTitle"/>
                <w:rFonts w:ascii="Arial Narrow" w:hAnsi="Arial Narrow"/>
                <w:sz w:val="18"/>
                <w:szCs w:val="18"/>
              </w:rPr>
              <w:t>&gt;1 year)</w:t>
            </w:r>
          </w:p>
          <w:p w14:paraId="576204F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Within the GBRMPA there is 1 APS5 FTE, 2 APS4 FTE and 0.3 APS6 FTE allocated to assess all </w:t>
            </w:r>
            <w:r>
              <w:rPr>
                <w:rStyle w:val="BookTitle"/>
                <w:rFonts w:ascii="Arial Narrow" w:hAnsi="Arial Narrow"/>
                <w:sz w:val="18"/>
                <w:szCs w:val="18"/>
              </w:rPr>
              <w:t>research activities</w:t>
            </w:r>
            <w:r w:rsidRPr="00E70A11">
              <w:rPr>
                <w:rStyle w:val="BookTitle"/>
                <w:rFonts w:ascii="Arial Narrow" w:hAnsi="Arial Narrow"/>
                <w:sz w:val="18"/>
                <w:szCs w:val="18"/>
              </w:rPr>
              <w:t xml:space="preserve"> permits, including any infrastructure within the Marine Parks needed for operation of the research stations.</w:t>
            </w:r>
          </w:p>
          <w:p w14:paraId="576204F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Within GBRMPA staff in a range of sections contribute to activities regarding activities related to managing </w:t>
            </w:r>
            <w:r>
              <w:rPr>
                <w:rStyle w:val="BookTitle"/>
                <w:rFonts w:ascii="Arial Narrow" w:hAnsi="Arial Narrow"/>
                <w:sz w:val="18"/>
                <w:szCs w:val="18"/>
              </w:rPr>
              <w:t>research activities</w:t>
            </w:r>
            <w:r w:rsidRPr="00E70A11">
              <w:rPr>
                <w:rStyle w:val="BookTitle"/>
                <w:rFonts w:ascii="Arial Narrow" w:hAnsi="Arial Narrow"/>
                <w:sz w:val="18"/>
                <w:szCs w:val="18"/>
              </w:rPr>
              <w:t xml:space="preserve"> and using the outputs of research. Commonly contributing areas (and the FTE in them from which contributions can come) include Science Coordination (1 FTE); Library/Resource Centre (2 FTE); MMP Coordination (1.5 FTE); Permits (3 FTE); Reef Guardians Schools (1 FTE); and activities involving reef health surveys and the Eye on the Reef program. Staffing requirements of high priority activities within the GBRMPA and reduced overall number of total staff since 2013 means there is slightly less FTE available overall for </w:t>
            </w:r>
            <w:r>
              <w:rPr>
                <w:rStyle w:val="BookTitle"/>
                <w:rFonts w:ascii="Arial Narrow" w:hAnsi="Arial Narrow"/>
                <w:sz w:val="18"/>
                <w:szCs w:val="18"/>
              </w:rPr>
              <w:t>research activities</w:t>
            </w:r>
            <w:r w:rsidRPr="00E70A11">
              <w:rPr>
                <w:rStyle w:val="BookTitle"/>
                <w:rFonts w:ascii="Arial Narrow" w:hAnsi="Arial Narrow"/>
                <w:sz w:val="18"/>
                <w:szCs w:val="18"/>
              </w:rPr>
              <w:t xml:space="preserve"> management than in the past. </w:t>
            </w:r>
          </w:p>
          <w:p w14:paraId="576204F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number of staff with strong scientific credentials and connections to the research community have left the agency and not been replaced. This has reduced capacity for engagement with the research community. While some stakeholders report that this has had a negative impact on GBRMPA engagement in this area GBRMPA continues to be represented on all major reef related research bodies.</w:t>
            </w:r>
          </w:p>
        </w:tc>
        <w:tc>
          <w:tcPr>
            <w:tcW w:w="4860" w:type="dxa"/>
            <w:tcBorders>
              <w:top w:val="single" w:sz="4" w:space="0" w:color="auto"/>
              <w:left w:val="single" w:sz="4" w:space="0" w:color="auto"/>
              <w:bottom w:val="single" w:sz="4" w:space="0" w:color="auto"/>
              <w:right w:val="single" w:sz="4" w:space="0" w:color="auto"/>
            </w:tcBorders>
          </w:tcPr>
          <w:p w14:paraId="576204F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Annual Reports </w:t>
            </w:r>
          </w:p>
          <w:p w14:paraId="576204F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 Addison et al. 2017 Towards quantitative condition assessment of biodiversity outcomes: Insights from Australian marine protected areas</w:t>
            </w:r>
          </w:p>
          <w:p w14:paraId="576204F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Management of research in the Great Barrier Reef Marine Park</w:t>
            </w:r>
          </w:p>
          <w:p w14:paraId="576204F9" w14:textId="77777777" w:rsidR="00A56EE9" w:rsidRPr="00E70A11" w:rsidRDefault="00A56EE9" w:rsidP="00BB6AD5">
            <w:pPr>
              <w:pStyle w:val="ListParagraph"/>
              <w:ind w:left="360"/>
              <w:rPr>
                <w:rStyle w:val="BookTitle"/>
                <w:rFonts w:ascii="Arial Narrow" w:hAnsi="Arial Narrow"/>
                <w:sz w:val="18"/>
                <w:szCs w:val="18"/>
              </w:rPr>
            </w:pPr>
          </w:p>
        </w:tc>
        <w:tc>
          <w:tcPr>
            <w:tcW w:w="987" w:type="dxa"/>
            <w:tcBorders>
              <w:top w:val="single" w:sz="4" w:space="0" w:color="auto"/>
              <w:left w:val="single" w:sz="4" w:space="0" w:color="auto"/>
              <w:bottom w:val="single" w:sz="4" w:space="0" w:color="auto"/>
              <w:right w:val="single" w:sz="4" w:space="0" w:color="auto"/>
            </w:tcBorders>
          </w:tcPr>
          <w:p w14:paraId="576204FA"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4F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07"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4FD"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 xml:space="preserve">The right skill sets and expertise are currently available to the managing organisations to address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4FE"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4F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number of staff with string scientific credentials and connections to the research community have left the agency and not been replaced. This has reduced capacity for engagement with the research community and some stakeholders report that this has had a negative impact on GBRMPA engagement in this area</w:t>
            </w:r>
          </w:p>
          <w:p w14:paraId="5762050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Nevertheless, science capacity within GBRMPA remains relatively high given that their role is to engage with science rather than to do science</w:t>
            </w:r>
          </w:p>
          <w:p w14:paraId="5762050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2017 Addison et al. research paper on Marine Protected Area management noted ‘increase agency capacity’ was identified by management agency interviewees most commonly as a top three most important changes necessary to implement quantitative condition assessment of biodiversity outcomes. GBRMPA represented in the sample. “Management agencies around the world are commonly under-resourced, even in relatively wealthy countries…Therefore, it is not surprising that a lack of agency capacity (staff numbers and money) was the most frequently cited challenge to implementing quantitative condition assessment</w:t>
            </w:r>
          </w:p>
        </w:tc>
        <w:tc>
          <w:tcPr>
            <w:tcW w:w="4860" w:type="dxa"/>
            <w:tcBorders>
              <w:top w:val="single" w:sz="4" w:space="0" w:color="auto"/>
              <w:left w:val="single" w:sz="4" w:space="0" w:color="auto"/>
              <w:bottom w:val="single" w:sz="4" w:space="0" w:color="auto"/>
              <w:right w:val="single" w:sz="4" w:space="0" w:color="auto"/>
            </w:tcBorders>
          </w:tcPr>
          <w:p w14:paraId="5762050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 Addison et al. 2017 Towards quantitative condition assessment of biodiversity outcomes: Insights from Australian marine protected areas</w:t>
            </w:r>
          </w:p>
          <w:p w14:paraId="5762050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Management of research in the Great Barrier Reef Marine Park</w:t>
            </w:r>
          </w:p>
          <w:p w14:paraId="5762050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87" w:type="dxa"/>
            <w:tcBorders>
              <w:top w:val="single" w:sz="4" w:space="0" w:color="auto"/>
              <w:left w:val="single" w:sz="4" w:space="0" w:color="auto"/>
              <w:bottom w:val="single" w:sz="4" w:space="0" w:color="auto"/>
              <w:right w:val="single" w:sz="4" w:space="0" w:color="auto"/>
            </w:tcBorders>
          </w:tcPr>
          <w:p w14:paraId="57620505"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506"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13"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08"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 xml:space="preserve">The necessary biophysical information is currently available to address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09"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50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Vulnerability assessments, Science Information Needs documents and Strategic Assessment Reports identify critical information gaps</w:t>
            </w:r>
          </w:p>
          <w:p w14:paraId="5762050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Collaborative research program design with major research institutions ensures that the best available biophysical knowledge is used in research planning and design</w:t>
            </w:r>
          </w:p>
          <w:p w14:paraId="5762050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At times there are gaps in knowledge about local abundance/density levels of particular species and hence knowledge about how a proposed research activity might impact upon the local area. A precautionary approach is generally applied in line with the limits in the GBRMP Regulations for limited impact research.</w:t>
            </w:r>
          </w:p>
          <w:p w14:paraId="5762050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Lack of comprehensive habitat map for the GBR is seen by some stakeholders as an important gap that is not being effectively addressed</w:t>
            </w:r>
          </w:p>
        </w:tc>
        <w:tc>
          <w:tcPr>
            <w:tcW w:w="4860" w:type="dxa"/>
            <w:tcBorders>
              <w:top w:val="single" w:sz="4" w:space="0" w:color="auto"/>
              <w:left w:val="single" w:sz="4" w:space="0" w:color="auto"/>
              <w:bottom w:val="single" w:sz="4" w:space="0" w:color="auto"/>
              <w:right w:val="single" w:sz="4" w:space="0" w:color="auto"/>
            </w:tcBorders>
          </w:tcPr>
          <w:p w14:paraId="5762050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Vulnerability assessments</w:t>
            </w:r>
          </w:p>
          <w:p w14:paraId="5762050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station research plans</w:t>
            </w:r>
          </w:p>
          <w:p w14:paraId="5762051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consultations</w:t>
            </w:r>
          </w:p>
        </w:tc>
        <w:tc>
          <w:tcPr>
            <w:tcW w:w="987" w:type="dxa"/>
            <w:tcBorders>
              <w:top w:val="single" w:sz="4" w:space="0" w:color="auto"/>
              <w:left w:val="single" w:sz="4" w:space="0" w:color="auto"/>
              <w:bottom w:val="single" w:sz="4" w:space="0" w:color="auto"/>
              <w:right w:val="single" w:sz="4" w:space="0" w:color="auto"/>
            </w:tcBorders>
          </w:tcPr>
          <w:p w14:paraId="57620511"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51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29"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14"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 xml:space="preserve">The necessary socio-economic information is currently available to address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15"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51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is little socio-economic information available upon which address management of research, although social and economic research in general is becoming more available (e.g. SELTMP, ABS Environmental-Economic Accounts). Research projects funded under programs such as NERP (and now NESP) are helping to address this gap</w:t>
            </w:r>
          </w:p>
          <w:p w14:paraId="5762051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most recent economic valuation of the Reef’s goods and services includes consideration of research jobs etc., as did the 2013 analysis. (Deloitte Access Economics)</w:t>
            </w:r>
          </w:p>
          <w:p w14:paraId="5762051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Human dimensions RIMReP group including a NESP project to determine social and economic indicators and monitoring for the Reef.</w:t>
            </w:r>
          </w:p>
          <w:p w14:paraId="5762051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SELTMP sampling continued in 2017</w:t>
            </w:r>
          </w:p>
          <w:p w14:paraId="5762051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June 2017 Guidelines were approved by the MPA Board for Woppaburra Traditional Owner Heritage Assessement. The objectives of the guidelines are to provide agency staff and applicants with guidance on permission applications that may impact on Aboriginal heritage values within the Woppaburra Traditional Use of Marine Resources Agreement (TUMRA) boundaries and to provide Woppaburra Traditional Owners with a framework for informing assessments that may impact on their values.</w:t>
            </w:r>
          </w:p>
          <w:p w14:paraId="5762051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As part of the Enhancing Permissions System project, new guidelines have been developed to provide guidance on assessing impacts to other places of historic and social significance within the permission system</w:t>
            </w:r>
          </w:p>
        </w:tc>
        <w:tc>
          <w:tcPr>
            <w:tcW w:w="4860" w:type="dxa"/>
            <w:tcBorders>
              <w:top w:val="single" w:sz="4" w:space="0" w:color="auto"/>
              <w:left w:val="single" w:sz="4" w:space="0" w:color="auto"/>
              <w:bottom w:val="single" w:sz="4" w:space="0" w:color="auto"/>
              <w:right w:val="single" w:sz="4" w:space="0" w:color="auto"/>
            </w:tcBorders>
          </w:tcPr>
          <w:p w14:paraId="5762051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Outlook Report 2014 section 5.7</w:t>
            </w:r>
            <w:r>
              <w:rPr>
                <w:rStyle w:val="BookTitle"/>
                <w:rFonts w:ascii="Arial Narrow" w:hAnsi="Arial Narrow"/>
                <w:sz w:val="18"/>
                <w:szCs w:val="18"/>
              </w:rPr>
              <w:t xml:space="preserve"> </w:t>
            </w:r>
            <w:r w:rsidRPr="00E70A11">
              <w:rPr>
                <w:rStyle w:val="BookTitle"/>
                <w:rFonts w:ascii="Arial Narrow" w:hAnsi="Arial Narrow"/>
                <w:sz w:val="18"/>
                <w:szCs w:val="18"/>
              </w:rPr>
              <w:t>‘Research and education’</w:t>
            </w:r>
          </w:p>
          <w:p w14:paraId="5762051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Deloitte Access Economics (2017) </w:t>
            </w:r>
            <w:proofErr w:type="gramStart"/>
            <w:r w:rsidRPr="00E70A11">
              <w:rPr>
                <w:rStyle w:val="BookTitle"/>
                <w:rFonts w:ascii="Arial Narrow" w:hAnsi="Arial Narrow"/>
                <w:sz w:val="18"/>
                <w:szCs w:val="18"/>
              </w:rPr>
              <w:t>At</w:t>
            </w:r>
            <w:proofErr w:type="gramEnd"/>
            <w:r w:rsidRPr="00E70A11">
              <w:rPr>
                <w:rStyle w:val="BookTitle"/>
                <w:rFonts w:ascii="Arial Narrow" w:hAnsi="Arial Narrow"/>
                <w:sz w:val="18"/>
                <w:szCs w:val="18"/>
              </w:rPr>
              <w:t xml:space="preserve"> what price? The economic, social and icon values of the Great Barrier Reef (e.g. Appendix B, Table B.1, B.4, B.5 and B.7)</w:t>
            </w:r>
          </w:p>
          <w:p w14:paraId="5762051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Australian Bureau of Statistics EE-EA info page</w:t>
            </w:r>
            <w:r>
              <w:rPr>
                <w:rStyle w:val="BookTitle"/>
                <w:rFonts w:ascii="Arial Narrow" w:hAnsi="Arial Narrow"/>
                <w:sz w:val="18"/>
                <w:szCs w:val="18"/>
              </w:rPr>
              <w:t xml:space="preserve"> </w:t>
            </w:r>
            <w:r w:rsidRPr="00E70A11">
              <w:rPr>
                <w:rStyle w:val="BookTitle"/>
                <w:rFonts w:ascii="Arial Narrow" w:hAnsi="Arial Narrow"/>
                <w:sz w:val="18"/>
                <w:szCs w:val="18"/>
              </w:rPr>
              <w:t>and Experimental Environmental-Economic Accounts for the Great Barrier Reef, 2017</w:t>
            </w:r>
          </w:p>
          <w:p w14:paraId="5762051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SELTMP 2017 community surveys work funded short term under RIMReP program in 2017</w:t>
            </w:r>
          </w:p>
          <w:p w14:paraId="5762052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 Cost-effective indicators and metrics for monitoring the human dimensions of the Great Barrier Reef: current NESP project underway.</w:t>
            </w:r>
          </w:p>
          <w:p w14:paraId="5762052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New papers on human dimensions such as Marshall et al (in press) The dependency of people on the Great Barrier Reef, Australia and Gooch et al (in press) Assessment and promotion of the Great Barrier Reef's human dimensions through collaboration.</w:t>
            </w:r>
          </w:p>
          <w:p w14:paraId="5762052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2050 Integrated Monitoring and Reporting Program (RIMReP) GBRMPA webpage and RIMReP Strategy </w:t>
            </w:r>
          </w:p>
          <w:p w14:paraId="5762052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Strategy and Information Needs 2014-2019 and</w:t>
            </w:r>
            <w:r>
              <w:rPr>
                <w:rStyle w:val="BookTitle"/>
                <w:rFonts w:ascii="Arial Narrow" w:hAnsi="Arial Narrow"/>
                <w:sz w:val="18"/>
                <w:szCs w:val="18"/>
              </w:rPr>
              <w:t xml:space="preserve"> </w:t>
            </w:r>
            <w:r w:rsidRPr="00E70A11">
              <w:rPr>
                <w:rStyle w:val="BookTitle"/>
                <w:rFonts w:ascii="Arial Narrow" w:hAnsi="Arial Narrow"/>
                <w:sz w:val="18"/>
                <w:szCs w:val="18"/>
              </w:rPr>
              <w:t xml:space="preserve">searchable register of detailed questions </w:t>
            </w:r>
          </w:p>
          <w:p w14:paraId="5762052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New or updated documents via the GBRMPA’s permissions system webpage for example the new ‘value assessment guidelines’ around social value assessment </w:t>
            </w:r>
          </w:p>
          <w:p w14:paraId="5762052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 Historic heritage assessment: other places of historic and social significance</w:t>
            </w:r>
          </w:p>
          <w:p w14:paraId="5762052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 Woppaburra Traditional Owner heritage assessment</w:t>
            </w:r>
          </w:p>
        </w:tc>
        <w:tc>
          <w:tcPr>
            <w:tcW w:w="987" w:type="dxa"/>
            <w:tcBorders>
              <w:top w:val="single" w:sz="4" w:space="0" w:color="auto"/>
              <w:left w:val="single" w:sz="4" w:space="0" w:color="auto"/>
              <w:bottom w:val="single" w:sz="4" w:space="0" w:color="auto"/>
              <w:right w:val="single" w:sz="4" w:space="0" w:color="auto"/>
            </w:tcBorders>
          </w:tcPr>
          <w:p w14:paraId="57620527"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52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538"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2A"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 xml:space="preserve">The necessary Indigenous heritage information is currently available to address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2B"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52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is little traditional knowledge available upon which to address management of research.</w:t>
            </w:r>
          </w:p>
          <w:p w14:paraId="5762052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GBRMPA’s improved policy guidance around conduct of research activities (released in 2017) includes encouragement for researchers and managers to seek Indigenous heritage information when planning research and applying for permissions </w:t>
            </w:r>
          </w:p>
          <w:p w14:paraId="5762052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GBRMPA’s Woppaburra Traditional Owner heritage guidelines provide information pertaining to a specific area of the GBR. Research Permits applications specifically requesting access to Woppaburra sea country undergo additional tailored consultation with the TUMRA body.</w:t>
            </w:r>
          </w:p>
          <w:p w14:paraId="5762052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has engaged a consultant to help develop a protocol for approaching indigenous groups and data sharing agreements for culturally sensitive information.</w:t>
            </w:r>
          </w:p>
          <w:p w14:paraId="5762053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Indigenous Heritage Expert Group convened in November 2017 to develop indicators for RIMReP long term monitoring</w:t>
            </w:r>
          </w:p>
        </w:tc>
        <w:tc>
          <w:tcPr>
            <w:tcW w:w="4860" w:type="dxa"/>
            <w:tcBorders>
              <w:top w:val="single" w:sz="4" w:space="0" w:color="auto"/>
              <w:left w:val="single" w:sz="4" w:space="0" w:color="auto"/>
              <w:bottom w:val="single" w:sz="4" w:space="0" w:color="auto"/>
              <w:right w:val="single" w:sz="4" w:space="0" w:color="auto"/>
            </w:tcBorders>
          </w:tcPr>
          <w:p w14:paraId="5762053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GBRMPA’s Guidelines: Management of research in the Great Barrier Reef Marine Park</w:t>
            </w:r>
          </w:p>
          <w:p w14:paraId="5762053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New papers on human dimensions such as Marshall et al (in press) The dependency of people on the Great Barrier Reef, Australia and Gooch et al (in press) Assessment and promotion of the Great Barrier Reef's human dimensions through collaboration.</w:t>
            </w:r>
          </w:p>
          <w:p w14:paraId="5762053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2050 Integrated Monitoring and Reporting Program (RIMReP) GBRMPA webpage and RIMReP Strategy </w:t>
            </w:r>
          </w:p>
          <w:p w14:paraId="5762053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Strategy and Information Needs 2014-2019 and</w:t>
            </w:r>
            <w:r>
              <w:rPr>
                <w:rStyle w:val="BookTitle"/>
                <w:rFonts w:ascii="Arial Narrow" w:hAnsi="Arial Narrow"/>
                <w:sz w:val="18"/>
                <w:szCs w:val="18"/>
              </w:rPr>
              <w:t xml:space="preserve"> </w:t>
            </w:r>
            <w:r w:rsidRPr="00E70A11">
              <w:rPr>
                <w:rStyle w:val="BookTitle"/>
                <w:rFonts w:ascii="Arial Narrow" w:hAnsi="Arial Narrow"/>
                <w:sz w:val="18"/>
                <w:szCs w:val="18"/>
              </w:rPr>
              <w:t xml:space="preserve">searchable register of detailed questions </w:t>
            </w:r>
          </w:p>
          <w:p w14:paraId="5762053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 Woppaburra Traditional Owner heritage assessment</w:t>
            </w:r>
          </w:p>
        </w:tc>
        <w:tc>
          <w:tcPr>
            <w:tcW w:w="987" w:type="dxa"/>
            <w:tcBorders>
              <w:top w:val="single" w:sz="4" w:space="0" w:color="auto"/>
              <w:left w:val="single" w:sz="4" w:space="0" w:color="auto"/>
              <w:bottom w:val="single" w:sz="4" w:space="0" w:color="auto"/>
              <w:right w:val="single" w:sz="4" w:space="0" w:color="auto"/>
            </w:tcBorders>
          </w:tcPr>
          <w:p w14:paraId="57620536"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53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546"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39"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 xml:space="preserve">The necessary historic heritage information is currently available to address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3A"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53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Significant improvement in guidelines in this area.</w:t>
            </w:r>
          </w:p>
          <w:p w14:paraId="5762053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On 14 May 2015 the Great Barrier Reef Marine Park Regulations 1983 were amended to add a new type of Special Management Area, the Maritime Cultural Heritage Protection Special Management Area. The purpose of the regulation is to protect cultural heritage in general, and in particular, the heritage value of two Royal Australian Air Force (RAAF) Catalina air wrecks (RAAF Catalina A24-24 and RAAF A24-25) located in the Marine Park. The regulation includes specific management provisions for the Maritime Cultural Heritage Protection Special Management Area regulating entering and approaching the wrecks, operating and anchoring vessels, fishing and collecting.</w:t>
            </w:r>
          </w:p>
          <w:p w14:paraId="5762053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Sufficient information was available to establish two Special Management Areas to protect the two WWII Catalina aircraft wrecks.</w:t>
            </w:r>
          </w:p>
          <w:p w14:paraId="5762053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new GBRMPA Research Guidelines and other permissions policy documents contain informative and helpful guidance on the need to consider historic heritage and some suggestions for where to get further information</w:t>
            </w:r>
          </w:p>
          <w:p w14:paraId="5762053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As part of the Enhancing Permissions System project, new guidelines have been developed to provide guidance on assessing impacts to other places of historic and social significance within the permission system</w:t>
            </w:r>
          </w:p>
        </w:tc>
        <w:tc>
          <w:tcPr>
            <w:tcW w:w="4860" w:type="dxa"/>
            <w:tcBorders>
              <w:top w:val="single" w:sz="4" w:space="0" w:color="auto"/>
              <w:left w:val="single" w:sz="4" w:space="0" w:color="auto"/>
              <w:bottom w:val="single" w:sz="4" w:space="0" w:color="auto"/>
              <w:right w:val="single" w:sz="4" w:space="0" w:color="auto"/>
            </w:tcBorders>
          </w:tcPr>
          <w:p w14:paraId="5762054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Management of research in the Great Barrier Reef Marine Park</w:t>
            </w:r>
          </w:p>
          <w:p w14:paraId="5762054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Historic heritage assessment: Maritime cultural heritage protection special management area</w:t>
            </w:r>
          </w:p>
          <w:p w14:paraId="5762054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Guidelines Historic heritage assessment: WWII features, sites, and voyages and shipwrecks </w:t>
            </w:r>
          </w:p>
          <w:p w14:paraId="5762054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Historic heritage assessment: other places of historic and social significance</w:t>
            </w:r>
          </w:p>
        </w:tc>
        <w:tc>
          <w:tcPr>
            <w:tcW w:w="987" w:type="dxa"/>
            <w:tcBorders>
              <w:top w:val="single" w:sz="4" w:space="0" w:color="auto"/>
              <w:left w:val="single" w:sz="4" w:space="0" w:color="auto"/>
              <w:bottom w:val="single" w:sz="4" w:space="0" w:color="auto"/>
              <w:right w:val="single" w:sz="4" w:space="0" w:color="auto"/>
            </w:tcBorders>
          </w:tcPr>
          <w:p w14:paraId="57620544"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54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554"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shd w:val="clear" w:color="auto" w:fill="auto"/>
          </w:tcPr>
          <w:p w14:paraId="57620547"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 xml:space="preserve">There are additional sources of non-government input (e.g. volunteers) contributing to address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48"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54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Accredited research/educational institutions contribute to the management of research as part of their MOU requirements.</w:t>
            </w:r>
          </w:p>
          <w:p w14:paraId="5762054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stations also manage local use of the Scientific Research Zones</w:t>
            </w:r>
          </w:p>
          <w:p w14:paraId="5762054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Volunteers and community members are involved in a range of monitoring activities (e.g. reef health surveys, seagrass monitoring, water quality monitoring). E.g. in 2016-17 GBRMPA received more than 4500 surveys of reef health and 2859 sightings of protected species and reports of significant events.</w:t>
            </w:r>
          </w:p>
          <w:p w14:paraId="5762054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participat</w:t>
            </w:r>
            <w:r>
              <w:rPr>
                <w:rStyle w:val="BookTitle"/>
                <w:rFonts w:ascii="Arial Narrow" w:hAnsi="Arial Narrow"/>
                <w:sz w:val="18"/>
                <w:szCs w:val="18"/>
              </w:rPr>
              <w:t>ed</w:t>
            </w:r>
            <w:r w:rsidRPr="00E70A11">
              <w:rPr>
                <w:rStyle w:val="BookTitle"/>
                <w:rFonts w:ascii="Arial Narrow" w:hAnsi="Arial Narrow"/>
                <w:sz w:val="18"/>
                <w:szCs w:val="18"/>
              </w:rPr>
              <w:t xml:space="preserve"> in pilot internship program over August-December 2017, with two JCU interns; this program is expected to be established nationally in 2018.</w:t>
            </w:r>
          </w:p>
          <w:p w14:paraId="5762054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Foundation has arrangements such as their partnership with Rio Tinto to use the vessel the RTM Wakmatha as a ‘ship of opportunity’ for collecting water quality data via mounted sensors</w:t>
            </w:r>
          </w:p>
        </w:tc>
        <w:tc>
          <w:tcPr>
            <w:tcW w:w="4860" w:type="dxa"/>
            <w:tcBorders>
              <w:top w:val="single" w:sz="4" w:space="0" w:color="auto"/>
              <w:left w:val="single" w:sz="4" w:space="0" w:color="auto"/>
              <w:bottom w:val="single" w:sz="4" w:space="0" w:color="auto"/>
              <w:right w:val="single" w:sz="4" w:space="0" w:color="auto"/>
            </w:tcBorders>
          </w:tcPr>
          <w:p w14:paraId="5762054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Outlook Report 2014 – e.g. case study on Eye on the Reef p216</w:t>
            </w:r>
          </w:p>
          <w:p w14:paraId="5762054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Annual Report 2016-17 – Reef HQ and Eye on the Reef </w:t>
            </w:r>
          </w:p>
          <w:p w14:paraId="5762055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GBRF website – ship of opportunity</w:t>
            </w:r>
          </w:p>
          <w:p w14:paraId="5762055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citizen science alliance website</w:t>
            </w:r>
          </w:p>
        </w:tc>
        <w:tc>
          <w:tcPr>
            <w:tcW w:w="987" w:type="dxa"/>
            <w:tcBorders>
              <w:top w:val="single" w:sz="4" w:space="0" w:color="auto"/>
              <w:left w:val="single" w:sz="4" w:space="0" w:color="auto"/>
              <w:bottom w:val="single" w:sz="4" w:space="0" w:color="auto"/>
              <w:right w:val="single" w:sz="4" w:space="0" w:color="auto"/>
            </w:tcBorders>
          </w:tcPr>
          <w:p w14:paraId="57620552"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55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5B"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555" w14:textId="77777777" w:rsidR="00A56EE9" w:rsidRPr="00E70A11" w:rsidRDefault="00A56EE9" w:rsidP="00BB6AD5">
            <w:pPr>
              <w:pStyle w:val="Tablebulletlist"/>
              <w:rPr>
                <w:rStyle w:val="BookTitle"/>
              </w:rPr>
            </w:pPr>
            <w:r w:rsidRPr="00E70A11">
              <w:rPr>
                <w:rStyle w:val="BookTitle"/>
              </w:rPr>
              <w:t>PROCESSES</w:t>
            </w:r>
          </w:p>
        </w:tc>
        <w:tc>
          <w:tcPr>
            <w:tcW w:w="167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556" w14:textId="77777777" w:rsidR="00A56EE9" w:rsidRPr="00E70A11" w:rsidRDefault="00A56EE9" w:rsidP="00BB6AD5">
            <w:pPr>
              <w:pStyle w:val="Tablebulletlist"/>
              <w:rPr>
                <w:rStyle w:val="BookTitle"/>
              </w:rPr>
            </w:pPr>
          </w:p>
        </w:tc>
        <w:tc>
          <w:tcPr>
            <w:tcW w:w="38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557" w14:textId="77777777" w:rsidR="00A56EE9" w:rsidRPr="00E70A11" w:rsidRDefault="00A56EE9" w:rsidP="00BB6AD5">
            <w:pPr>
              <w:pStyle w:val="ListParagraph"/>
              <w:ind w:left="360"/>
              <w:rPr>
                <w:rStyle w:val="BookTitle"/>
                <w:rFonts w:ascii="Arial Narrow" w:hAnsi="Arial Narrow"/>
                <w:sz w:val="18"/>
                <w:szCs w:val="18"/>
              </w:rPr>
            </w:pPr>
          </w:p>
        </w:tc>
        <w:tc>
          <w:tcPr>
            <w:tcW w:w="486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558" w14:textId="77777777" w:rsidR="00A56EE9" w:rsidRPr="00E70A11" w:rsidRDefault="00A56EE9" w:rsidP="00BB6AD5">
            <w:pPr>
              <w:pStyle w:val="ListParagraph"/>
              <w:ind w:left="360"/>
              <w:rPr>
                <w:rStyle w:val="BookTitle"/>
                <w:rFonts w:ascii="Arial Narrow" w:hAnsi="Arial Narrow"/>
                <w:sz w:val="18"/>
                <w:szCs w:val="18"/>
              </w:rPr>
            </w:pPr>
          </w:p>
        </w:tc>
        <w:tc>
          <w:tcPr>
            <w:tcW w:w="98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559" w14:textId="77777777" w:rsidR="00A56EE9" w:rsidRPr="00E70A11" w:rsidRDefault="00A56EE9" w:rsidP="00BB6AD5">
            <w:pPr>
              <w:pStyle w:val="Tablebulletlist"/>
              <w:rPr>
                <w:rStyle w:val="BookTitle"/>
              </w:rPr>
            </w:pPr>
          </w:p>
        </w:tc>
        <w:tc>
          <w:tcPr>
            <w:tcW w:w="8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55A" w14:textId="77777777" w:rsidR="00A56EE9" w:rsidRPr="00E70A11" w:rsidRDefault="00A56EE9" w:rsidP="00BB6AD5">
            <w:pPr>
              <w:pStyle w:val="Tablebulletlist"/>
              <w:rPr>
                <w:rStyle w:val="BookTitle"/>
              </w:rPr>
            </w:pPr>
          </w:p>
        </w:tc>
      </w:tr>
      <w:tr w:rsidR="00A56EE9" w:rsidRPr="00E70A11" w14:paraId="57620569"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5C"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 xml:space="preserve">The main stakeholders &amp;/or industry(ies) are effectively engaged in the ongoing management of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5D"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55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Researchers/ universities/ research stations are regularly consulted with respect to research, particularly the management of the Accreditation Program.</w:t>
            </w:r>
          </w:p>
          <w:p w14:paraId="5762055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Accreditation of research institutions is managed through the Regulations.</w:t>
            </w:r>
          </w:p>
          <w:p w14:paraId="5762056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NESP Tropical Water Quality Hub Steering Committee includes representation from GBR management, Industry and community.</w:t>
            </w:r>
          </w:p>
          <w:p w14:paraId="5762056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Great Barrier Reef Foundation governance committees have representation from GBR management, research and industry.</w:t>
            </w:r>
          </w:p>
          <w:p w14:paraId="5762056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Guardians http://www.gbrmpa.gov.au/our-partners/reef-guardians</w:t>
            </w:r>
          </w:p>
          <w:p w14:paraId="5762056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Collaborative arrangements in place with major research institutions and programs such as NERP</w:t>
            </w:r>
          </w:p>
        </w:tc>
        <w:tc>
          <w:tcPr>
            <w:tcW w:w="4860" w:type="dxa"/>
            <w:tcBorders>
              <w:top w:val="single" w:sz="4" w:space="0" w:color="auto"/>
              <w:left w:val="single" w:sz="4" w:space="0" w:color="auto"/>
              <w:bottom w:val="single" w:sz="4" w:space="0" w:color="auto"/>
              <w:right w:val="single" w:sz="4" w:space="0" w:color="auto"/>
            </w:tcBorders>
          </w:tcPr>
          <w:p w14:paraId="5762056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workshop discussions</w:t>
            </w:r>
          </w:p>
          <w:p w14:paraId="5762056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MoU and agreements with CSIRO, Universities</w:t>
            </w:r>
          </w:p>
          <w:p w14:paraId="5762056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p>
        </w:tc>
        <w:tc>
          <w:tcPr>
            <w:tcW w:w="987" w:type="dxa"/>
            <w:tcBorders>
              <w:top w:val="single" w:sz="4" w:space="0" w:color="auto"/>
              <w:left w:val="single" w:sz="4" w:space="0" w:color="auto"/>
              <w:bottom w:val="single" w:sz="4" w:space="0" w:color="auto"/>
              <w:right w:val="single" w:sz="4" w:space="0" w:color="auto"/>
            </w:tcBorders>
          </w:tcPr>
          <w:p w14:paraId="57620567"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56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74"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6A"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 xml:space="preserve">The local community is effectively engaged in the ongoing management of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6B"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56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Local communities are engaged through public awareness and education programs as well as through consultative processes of LMACs etc. </w:t>
            </w:r>
          </w:p>
          <w:p w14:paraId="5762056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are a number of ‘Citizen Science’ programs operating in the GBR mostly monitoring aspects of coral reefs, seagrass beds, mangroves, birds and turtles.</w:t>
            </w:r>
          </w:p>
          <w:p w14:paraId="5762056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General and targeted stakeholder consultation was undertaken during development of the GBRMPA’s regulation amendments regarding limited impact research and new Research Guidelines</w:t>
            </w:r>
          </w:p>
        </w:tc>
        <w:tc>
          <w:tcPr>
            <w:tcW w:w="4860" w:type="dxa"/>
            <w:tcBorders>
              <w:top w:val="single" w:sz="4" w:space="0" w:color="auto"/>
              <w:left w:val="single" w:sz="4" w:space="0" w:color="auto"/>
              <w:bottom w:val="single" w:sz="4" w:space="0" w:color="auto"/>
              <w:right w:val="single" w:sz="4" w:space="0" w:color="auto"/>
            </w:tcBorders>
          </w:tcPr>
          <w:p w14:paraId="5762056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Guidelines: Managing research in the Great Barrier Reef Marine Park </w:t>
            </w:r>
          </w:p>
          <w:p w14:paraId="5762057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GBRMPA’s permissions system webpage</w:t>
            </w:r>
          </w:p>
          <w:p w14:paraId="5762057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Guardians, schools, fishers, farmers and councils</w:t>
            </w:r>
          </w:p>
        </w:tc>
        <w:tc>
          <w:tcPr>
            <w:tcW w:w="987" w:type="dxa"/>
            <w:tcBorders>
              <w:top w:val="single" w:sz="4" w:space="0" w:color="auto"/>
              <w:left w:val="single" w:sz="4" w:space="0" w:color="auto"/>
              <w:bottom w:val="single" w:sz="4" w:space="0" w:color="auto"/>
              <w:right w:val="single" w:sz="4" w:space="0" w:color="auto"/>
            </w:tcBorders>
          </w:tcPr>
          <w:p w14:paraId="57620572"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57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80"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75"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 xml:space="preserve">There is a sound governance system in place to address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76"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57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Each research application is assessed against a set of criteria listed in the GBRMP Regulations 88Q and R.</w:t>
            </w:r>
          </w:p>
          <w:p w14:paraId="5762057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Accreditation of research institutions is managed through the Regulations.</w:t>
            </w:r>
          </w:p>
          <w:p w14:paraId="5762057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GBRMP Zoning Plan provides for permitted research and limited impact research (without a permit) provided the research institution is accredited and the researchers carry a letter of authorisation from their institution (for compliance purposes). A MOU and code of conduct agreed with the GBRMPA underpins this accreditation program. </w:t>
            </w:r>
          </w:p>
          <w:p w14:paraId="5762057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Staff and Senior Management are represented on a number of steering committees (e.g. NERP NESP projects, Australian Government Reef Programme – Intergovernmental Operational Committee and Partnership Committee etc)</w:t>
            </w:r>
          </w:p>
        </w:tc>
        <w:tc>
          <w:tcPr>
            <w:tcW w:w="4860" w:type="dxa"/>
            <w:tcBorders>
              <w:top w:val="single" w:sz="4" w:space="0" w:color="auto"/>
              <w:left w:val="single" w:sz="4" w:space="0" w:color="auto"/>
              <w:bottom w:val="single" w:sz="4" w:space="0" w:color="auto"/>
              <w:right w:val="single" w:sz="4" w:space="0" w:color="auto"/>
            </w:tcBorders>
          </w:tcPr>
          <w:p w14:paraId="5762057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57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Great Barrier Reef Foundation governance</w:t>
            </w:r>
          </w:p>
          <w:p w14:paraId="5762057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REF 1 - NESP Agenda and meeting minutes</w:t>
            </w:r>
          </w:p>
        </w:tc>
        <w:tc>
          <w:tcPr>
            <w:tcW w:w="987" w:type="dxa"/>
            <w:tcBorders>
              <w:top w:val="single" w:sz="4" w:space="0" w:color="auto"/>
              <w:left w:val="single" w:sz="4" w:space="0" w:color="auto"/>
              <w:bottom w:val="single" w:sz="4" w:space="0" w:color="auto"/>
              <w:right w:val="single" w:sz="4" w:space="0" w:color="auto"/>
            </w:tcBorders>
          </w:tcPr>
          <w:p w14:paraId="5762057E"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57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8E"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81"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 xml:space="preserve">There is effective performance monitoring, including. regular assessment of appropriateness and effectiveness of tools, to gauge progress towards the objective(s) for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82"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58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Limited monitoring of performance of researchers in terms of permit conditions</w:t>
            </w:r>
          </w:p>
          <w:p w14:paraId="5762058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Regular and intensive interaction between Agency staff and researchers in relation to planning of major research means that there is generally good basis for assessing research activity</w:t>
            </w:r>
          </w:p>
          <w:p w14:paraId="5762058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Annual reporting requirements are included in MOUs with research institutions</w:t>
            </w:r>
          </w:p>
          <w:p w14:paraId="5762058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Major programs, such as the NESP, undergo evaluation assessments against their stated objectives.</w:t>
            </w:r>
          </w:p>
          <w:p w14:paraId="5762058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SELTMP will provide one means to track community perceptions but targeted monitoring and performance assessment of educational programs is limited</w:t>
            </w:r>
          </w:p>
          <w:p w14:paraId="5762058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Upgrades to RMS include a post-permit section that allows due dates to be entered for requirements that are due after the permit is granted, including annual research reports. This is then used by Permits Compliance team to prompt follow up requests for overdue deliverables.</w:t>
            </w:r>
          </w:p>
          <w:p w14:paraId="5762058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Some institutional research permits are expired and slow to be renewed</w:t>
            </w:r>
          </w:p>
          <w:p w14:paraId="5762058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permits can be slow to issue – meaning that many researchers especially students have uncertainty about planning research</w:t>
            </w:r>
            <w:r>
              <w:rPr>
                <w:rStyle w:val="BookTitle"/>
                <w:rFonts w:ascii="Arial Narrow" w:hAnsi="Arial Narrow"/>
                <w:sz w:val="18"/>
                <w:szCs w:val="18"/>
              </w:rPr>
              <w:t xml:space="preserve"> although recent changes have improved permit processing times</w:t>
            </w:r>
          </w:p>
        </w:tc>
        <w:tc>
          <w:tcPr>
            <w:tcW w:w="4860" w:type="dxa"/>
            <w:tcBorders>
              <w:top w:val="single" w:sz="4" w:space="0" w:color="auto"/>
              <w:left w:val="single" w:sz="4" w:space="0" w:color="auto"/>
              <w:bottom w:val="single" w:sz="4" w:space="0" w:color="auto"/>
              <w:right w:val="single" w:sz="4" w:space="0" w:color="auto"/>
            </w:tcBorders>
          </w:tcPr>
          <w:p w14:paraId="5762058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87" w:type="dxa"/>
            <w:tcBorders>
              <w:top w:val="single" w:sz="4" w:space="0" w:color="auto"/>
              <w:left w:val="single" w:sz="4" w:space="0" w:color="auto"/>
              <w:bottom w:val="single" w:sz="4" w:space="0" w:color="auto"/>
              <w:right w:val="single" w:sz="4" w:space="0" w:color="auto"/>
            </w:tcBorders>
          </w:tcPr>
          <w:p w14:paraId="5762058C"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58D"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96"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8F"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 xml:space="preserve">Appropriate training is available to the managing agencies to address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90"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59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No training programs are established specifically for managing research. Rather, GBRMPA permit assessors are trained in understanding the requirements of the Zoning Plan and associated regulations. They seek additional assistance from other internal and external experts as required.</w:t>
            </w:r>
          </w:p>
          <w:p w14:paraId="5762059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No overall training needs assessment has been completed by GBRMPA.</w:t>
            </w:r>
          </w:p>
        </w:tc>
        <w:tc>
          <w:tcPr>
            <w:tcW w:w="4860" w:type="dxa"/>
            <w:tcBorders>
              <w:top w:val="single" w:sz="4" w:space="0" w:color="auto"/>
              <w:left w:val="single" w:sz="4" w:space="0" w:color="auto"/>
              <w:bottom w:val="single" w:sz="4" w:space="0" w:color="auto"/>
              <w:right w:val="single" w:sz="4" w:space="0" w:color="auto"/>
            </w:tcBorders>
          </w:tcPr>
          <w:p w14:paraId="5762059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87" w:type="dxa"/>
            <w:tcBorders>
              <w:top w:val="single" w:sz="4" w:space="0" w:color="auto"/>
              <w:left w:val="single" w:sz="4" w:space="0" w:color="auto"/>
              <w:bottom w:val="single" w:sz="4" w:space="0" w:color="auto"/>
              <w:right w:val="single" w:sz="4" w:space="0" w:color="auto"/>
            </w:tcBorders>
          </w:tcPr>
          <w:p w14:paraId="57620594"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59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A1"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97"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 xml:space="preserve">Management of </w:t>
            </w:r>
            <w:r>
              <w:rPr>
                <w:rStyle w:val="BookTitle"/>
              </w:rPr>
              <w:t>research activities</w:t>
            </w:r>
            <w:r w:rsidRPr="00E70A11">
              <w:rPr>
                <w:rStyle w:val="BookTitle"/>
              </w:rPr>
              <w:t xml:space="preserve"> is consistently implemented across the relevant jurisdictions</w:t>
            </w:r>
          </w:p>
        </w:tc>
        <w:tc>
          <w:tcPr>
            <w:tcW w:w="1672" w:type="dxa"/>
            <w:tcBorders>
              <w:top w:val="single" w:sz="4" w:space="0" w:color="auto"/>
              <w:left w:val="single" w:sz="4" w:space="0" w:color="auto"/>
              <w:bottom w:val="single" w:sz="4" w:space="0" w:color="auto"/>
              <w:right w:val="single" w:sz="4" w:space="0" w:color="auto"/>
            </w:tcBorders>
          </w:tcPr>
          <w:p w14:paraId="57620598"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59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Research activities that require a permit in the Marine Park may also require a similar permit under Queensland Marine Parks Legislation. The GBRMPA and the relevant Queensland agency, the Queensland Parks and Wildlife Service (QPWS), cooperate to assess and issue joint permits, where necessary, whereby the research assessor at the GBRMPA undertakes one assessment process in consultation with the QPWS. </w:t>
            </w:r>
          </w:p>
          <w:p w14:paraId="5762059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Note that Queensland legislation may require a permit where the GBRMPA does not. Also there may be other Queensland Government approvals (e.g. from Fisheries Qld) required before researchers can conduct their activities in the GBRMP.</w:t>
            </w:r>
          </w:p>
          <w:p w14:paraId="5762059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QPWS is involved in the assessment of applications through joint permitting process with the GBRMPA. </w:t>
            </w:r>
          </w:p>
          <w:p w14:paraId="5762059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GBRMPA and DoEE have an agreement that research involving access to biological resources will only require a permit from the GBRMPA, whilst benefit sharing agreements required under the EPBC Act will be dealt with by DoEE. </w:t>
            </w:r>
          </w:p>
          <w:p w14:paraId="5762059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Updated Great Barrier Reef Intergovernmental agreement 2015 supports joint-permit management</w:t>
            </w:r>
          </w:p>
        </w:tc>
        <w:tc>
          <w:tcPr>
            <w:tcW w:w="4860" w:type="dxa"/>
            <w:tcBorders>
              <w:top w:val="single" w:sz="4" w:space="0" w:color="auto"/>
              <w:left w:val="single" w:sz="4" w:space="0" w:color="auto"/>
              <w:bottom w:val="single" w:sz="4" w:space="0" w:color="auto"/>
              <w:right w:val="single" w:sz="4" w:space="0" w:color="auto"/>
            </w:tcBorders>
          </w:tcPr>
          <w:p w14:paraId="5762059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87" w:type="dxa"/>
            <w:tcBorders>
              <w:top w:val="single" w:sz="4" w:space="0" w:color="auto"/>
              <w:left w:val="single" w:sz="4" w:space="0" w:color="auto"/>
              <w:bottom w:val="single" w:sz="4" w:space="0" w:color="auto"/>
              <w:right w:val="single" w:sz="4" w:space="0" w:color="auto"/>
            </w:tcBorders>
          </w:tcPr>
          <w:p w14:paraId="5762059F" w14:textId="77777777" w:rsidR="00A56EE9" w:rsidRPr="00E70A11" w:rsidRDefault="00A56EE9" w:rsidP="00BB6AD5">
            <w:pPr>
              <w:pStyle w:val="Tablebulletlist"/>
              <w:rPr>
                <w:rStyle w:val="BookTitle"/>
              </w:rPr>
            </w:pPr>
            <w:r w:rsidRPr="00E70A11">
              <w:rPr>
                <w:rStyle w:val="BookTitle"/>
              </w:rPr>
              <w:t xml:space="preserve">Adequate </w:t>
            </w:r>
          </w:p>
        </w:tc>
        <w:tc>
          <w:tcPr>
            <w:tcW w:w="856" w:type="dxa"/>
            <w:tcBorders>
              <w:top w:val="single" w:sz="4" w:space="0" w:color="auto"/>
              <w:left w:val="single" w:sz="4" w:space="0" w:color="auto"/>
              <w:bottom w:val="single" w:sz="4" w:space="0" w:color="auto"/>
              <w:right w:val="single" w:sz="4" w:space="0" w:color="auto"/>
            </w:tcBorders>
          </w:tcPr>
          <w:p w14:paraId="576205A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AB"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A2"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 xml:space="preserve">There are effective processes applied to resolve differing views/ conflicts regarding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A3"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5A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Upgrades to RMS include a post-permit section that allows due dates to be entered for requirements that are due after the permit is granted, including annual research reports.</w:t>
            </w:r>
            <w:r>
              <w:rPr>
                <w:rStyle w:val="BookTitle"/>
                <w:rFonts w:ascii="Arial Narrow" w:hAnsi="Arial Narrow"/>
                <w:sz w:val="18"/>
                <w:szCs w:val="18"/>
              </w:rPr>
              <w:t xml:space="preserve"> </w:t>
            </w:r>
            <w:r w:rsidRPr="00E70A11">
              <w:rPr>
                <w:rStyle w:val="BookTitle"/>
                <w:rFonts w:ascii="Arial Narrow" w:hAnsi="Arial Narrow"/>
                <w:sz w:val="18"/>
                <w:szCs w:val="18"/>
              </w:rPr>
              <w:t>This is then used by Permits Compliance team to prompt follow up requests for overdue deliverables.</w:t>
            </w:r>
          </w:p>
          <w:p w14:paraId="576205A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All permit decisions are subject to review rights.</w:t>
            </w:r>
            <w:r>
              <w:rPr>
                <w:rStyle w:val="BookTitle"/>
                <w:rFonts w:ascii="Arial Narrow" w:hAnsi="Arial Narrow"/>
                <w:sz w:val="18"/>
                <w:szCs w:val="18"/>
              </w:rPr>
              <w:t xml:space="preserve"> </w:t>
            </w:r>
            <w:r w:rsidRPr="00E70A11">
              <w:rPr>
                <w:rStyle w:val="BookTitle"/>
                <w:rFonts w:ascii="Arial Narrow" w:hAnsi="Arial Narrow"/>
                <w:sz w:val="18"/>
                <w:szCs w:val="18"/>
              </w:rPr>
              <w:t>An applicant has the right to request a reconsideration of any decision made about a permit application. Third parties can also seek a reconsideration.</w:t>
            </w:r>
          </w:p>
        </w:tc>
        <w:tc>
          <w:tcPr>
            <w:tcW w:w="4860" w:type="dxa"/>
            <w:tcBorders>
              <w:top w:val="single" w:sz="4" w:space="0" w:color="auto"/>
              <w:left w:val="single" w:sz="4" w:space="0" w:color="auto"/>
              <w:bottom w:val="single" w:sz="4" w:space="0" w:color="auto"/>
              <w:right w:val="single" w:sz="4" w:space="0" w:color="auto"/>
            </w:tcBorders>
          </w:tcPr>
          <w:p w14:paraId="576205A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5A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Service Charter for the permissions system (see also performance framework)</w:t>
            </w:r>
          </w:p>
          <w:p w14:paraId="576205A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Permit review rights</w:t>
            </w:r>
          </w:p>
        </w:tc>
        <w:tc>
          <w:tcPr>
            <w:tcW w:w="987" w:type="dxa"/>
            <w:tcBorders>
              <w:top w:val="single" w:sz="4" w:space="0" w:color="auto"/>
              <w:left w:val="single" w:sz="4" w:space="0" w:color="auto"/>
              <w:bottom w:val="single" w:sz="4" w:space="0" w:color="auto"/>
              <w:right w:val="single" w:sz="4" w:space="0" w:color="auto"/>
            </w:tcBorders>
          </w:tcPr>
          <w:p w14:paraId="576205A9"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5A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B8"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AC"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 xml:space="preserve">Impacts (direct, indirect and cumulative) of activities associated with </w:t>
            </w:r>
            <w:r>
              <w:rPr>
                <w:rStyle w:val="BookTitle"/>
              </w:rPr>
              <w:t>research activities</w:t>
            </w:r>
            <w:r w:rsidRPr="00E70A11">
              <w:rPr>
                <w:rStyle w:val="BookTitle"/>
              </w:rPr>
              <w:t xml:space="preserve"> are appropriately considered.</w:t>
            </w:r>
          </w:p>
        </w:tc>
        <w:tc>
          <w:tcPr>
            <w:tcW w:w="1672" w:type="dxa"/>
            <w:tcBorders>
              <w:top w:val="single" w:sz="4" w:space="0" w:color="auto"/>
              <w:left w:val="single" w:sz="4" w:space="0" w:color="auto"/>
              <w:bottom w:val="single" w:sz="4" w:space="0" w:color="auto"/>
              <w:right w:val="single" w:sz="4" w:space="0" w:color="auto"/>
            </w:tcBorders>
          </w:tcPr>
          <w:p w14:paraId="576205AD"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5A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cumulative impacts of scientific research activities cannot be currently assessed in detail. </w:t>
            </w:r>
          </w:p>
          <w:p w14:paraId="576205A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Environmental Management Plans for high use Scientific Research Zones can assist in cumulative impact assessments in certain locations.</w:t>
            </w:r>
          </w:p>
          <w:p w14:paraId="576205B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Direct and indirect impacts are well considered at the permit application assessment stage, but there is limited follow up on performance reporting</w:t>
            </w:r>
          </w:p>
          <w:p w14:paraId="576205B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Reef Cumulative Impact Management Policy has been drafted and is undergoing public consultation and revision.</w:t>
            </w:r>
            <w:r>
              <w:rPr>
                <w:rStyle w:val="BookTitle"/>
                <w:rFonts w:ascii="Arial Narrow" w:hAnsi="Arial Narrow"/>
                <w:sz w:val="18"/>
                <w:szCs w:val="18"/>
              </w:rPr>
              <w:t xml:space="preserve"> </w:t>
            </w:r>
          </w:p>
          <w:p w14:paraId="576205B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New Permit Risk Assessment Procedure implemented post 4 October 2017</w:t>
            </w:r>
          </w:p>
        </w:tc>
        <w:tc>
          <w:tcPr>
            <w:tcW w:w="4860" w:type="dxa"/>
            <w:tcBorders>
              <w:top w:val="single" w:sz="4" w:space="0" w:color="auto"/>
              <w:left w:val="single" w:sz="4" w:space="0" w:color="auto"/>
              <w:bottom w:val="single" w:sz="4" w:space="0" w:color="auto"/>
              <w:right w:val="single" w:sz="4" w:space="0" w:color="auto"/>
            </w:tcBorders>
          </w:tcPr>
          <w:p w14:paraId="576205B3"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5B4" w14:textId="77777777" w:rsidR="00A56EE9" w:rsidRPr="009B7EAB" w:rsidRDefault="00A56EE9" w:rsidP="00A11869">
            <w:pPr>
              <w:pStyle w:val="ListParagraph"/>
              <w:numPr>
                <w:ilvl w:val="0"/>
                <w:numId w:val="24"/>
              </w:numPr>
              <w:spacing w:after="200" w:line="276" w:lineRule="auto"/>
              <w:rPr>
                <w:rStyle w:val="BookTitle"/>
                <w:rFonts w:ascii="Arial Narrow" w:hAnsi="Arial Narrow"/>
                <w:sz w:val="18"/>
                <w:szCs w:val="18"/>
              </w:rPr>
            </w:pPr>
            <w:r w:rsidRPr="009B7EAB">
              <w:rPr>
                <w:rStyle w:val="BookTitle"/>
                <w:rFonts w:ascii="Arial Narrow" w:hAnsi="Arial Narrow"/>
                <w:sz w:val="18"/>
                <w:szCs w:val="18"/>
              </w:rPr>
              <w:t>E</w:t>
            </w:r>
            <w:r>
              <w:rPr>
                <w:rStyle w:val="BookTitle"/>
                <w:rFonts w:ascii="Arial Narrow" w:hAnsi="Arial Narrow"/>
                <w:sz w:val="18"/>
                <w:szCs w:val="18"/>
              </w:rPr>
              <w:t xml:space="preserve">nvironmental </w:t>
            </w:r>
            <w:r w:rsidRPr="009B7EAB">
              <w:rPr>
                <w:rStyle w:val="BookTitle"/>
                <w:rFonts w:ascii="Arial Narrow" w:hAnsi="Arial Narrow"/>
                <w:sz w:val="18"/>
                <w:szCs w:val="18"/>
              </w:rPr>
              <w:t>M</w:t>
            </w:r>
            <w:r>
              <w:rPr>
                <w:rStyle w:val="BookTitle"/>
                <w:rFonts w:ascii="Arial Narrow" w:hAnsi="Arial Narrow"/>
                <w:sz w:val="18"/>
                <w:szCs w:val="18"/>
              </w:rPr>
              <w:t xml:space="preserve">anagement </w:t>
            </w:r>
            <w:r w:rsidRPr="009B7EAB">
              <w:rPr>
                <w:rStyle w:val="BookTitle"/>
                <w:rFonts w:ascii="Arial Narrow" w:hAnsi="Arial Narrow"/>
                <w:sz w:val="18"/>
                <w:szCs w:val="18"/>
              </w:rPr>
              <w:t>P</w:t>
            </w:r>
            <w:r>
              <w:rPr>
                <w:rStyle w:val="BookTitle"/>
                <w:rFonts w:ascii="Arial Narrow" w:hAnsi="Arial Narrow"/>
                <w:sz w:val="18"/>
                <w:szCs w:val="18"/>
              </w:rPr>
              <w:t>lans</w:t>
            </w:r>
          </w:p>
          <w:p w14:paraId="576205B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9B7EAB">
              <w:rPr>
                <w:rStyle w:val="BookTitle"/>
                <w:rFonts w:ascii="Arial Narrow" w:hAnsi="Arial Narrow"/>
                <w:sz w:val="18"/>
                <w:szCs w:val="18"/>
              </w:rPr>
              <w:t>Cumulative Impact Management Policy</w:t>
            </w:r>
          </w:p>
        </w:tc>
        <w:tc>
          <w:tcPr>
            <w:tcW w:w="987" w:type="dxa"/>
            <w:tcBorders>
              <w:top w:val="single" w:sz="4" w:space="0" w:color="auto"/>
              <w:left w:val="single" w:sz="4" w:space="0" w:color="auto"/>
              <w:bottom w:val="single" w:sz="4" w:space="0" w:color="auto"/>
              <w:right w:val="single" w:sz="4" w:space="0" w:color="auto"/>
            </w:tcBorders>
          </w:tcPr>
          <w:p w14:paraId="576205B6" w14:textId="77777777" w:rsidR="00A56EE9" w:rsidRPr="00E70A11" w:rsidRDefault="00A56EE9" w:rsidP="00BB6AD5">
            <w:pPr>
              <w:pStyle w:val="Tablebulletlist"/>
              <w:rPr>
                <w:rStyle w:val="BookTitle"/>
              </w:rPr>
            </w:pPr>
            <w:r w:rsidRPr="00E70A11">
              <w:rPr>
                <w:rStyle w:val="BookTitle"/>
              </w:rPr>
              <w:t xml:space="preserve">limited </w:t>
            </w:r>
          </w:p>
        </w:tc>
        <w:tc>
          <w:tcPr>
            <w:tcW w:w="856" w:type="dxa"/>
            <w:tcBorders>
              <w:top w:val="single" w:sz="4" w:space="0" w:color="auto"/>
              <w:left w:val="single" w:sz="4" w:space="0" w:color="auto"/>
              <w:bottom w:val="single" w:sz="4" w:space="0" w:color="auto"/>
              <w:right w:val="single" w:sz="4" w:space="0" w:color="auto"/>
            </w:tcBorders>
          </w:tcPr>
          <w:p w14:paraId="576205B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C5"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B9"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 xml:space="preserve">The best available biophysical research and/or monitoring information is applied appropriately to make relevant management decisions regarding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BA"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5B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Generally there is enough known about the biophysical requirements associated with species proposed to be studied and this information is applied in permit assessment decisions.</w:t>
            </w:r>
          </w:p>
          <w:p w14:paraId="576205B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At times there are gaps in knowledge about local abundance/density levels of particular species and hence knowledge about how the proposed research activity might impact upon the local area. A precautionary approach is generally applied in line with the limits in the GBRMP Regulations for limited impact research.</w:t>
            </w:r>
          </w:p>
          <w:p w14:paraId="576205B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Development and implementation of new Assessment Guidelines and location specific and activity specific assessment guidelines</w:t>
            </w:r>
          </w:p>
          <w:p w14:paraId="576205B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information needs document provides a more structured approach to identifying and planning for research – primarily relating to biophysical aspects of the Reef.</w:t>
            </w:r>
          </w:p>
        </w:tc>
        <w:tc>
          <w:tcPr>
            <w:tcW w:w="4860" w:type="dxa"/>
            <w:tcBorders>
              <w:top w:val="single" w:sz="4" w:space="0" w:color="auto"/>
              <w:left w:val="single" w:sz="4" w:space="0" w:color="auto"/>
              <w:bottom w:val="single" w:sz="4" w:space="0" w:color="auto"/>
              <w:right w:val="single" w:sz="4" w:space="0" w:color="auto"/>
            </w:tcBorders>
          </w:tcPr>
          <w:p w14:paraId="576205B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Assessment guidelines</w:t>
            </w:r>
          </w:p>
          <w:p w14:paraId="576205C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location specific assessment guidelines</w:t>
            </w:r>
          </w:p>
          <w:p w14:paraId="576205C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activity specific guidelines</w:t>
            </w:r>
          </w:p>
          <w:p w14:paraId="576205C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Strategy and Information needs 2014-2019</w:t>
            </w:r>
          </w:p>
        </w:tc>
        <w:tc>
          <w:tcPr>
            <w:tcW w:w="987" w:type="dxa"/>
            <w:tcBorders>
              <w:top w:val="single" w:sz="4" w:space="0" w:color="auto"/>
              <w:left w:val="single" w:sz="4" w:space="0" w:color="auto"/>
              <w:bottom w:val="single" w:sz="4" w:space="0" w:color="auto"/>
              <w:right w:val="single" w:sz="4" w:space="0" w:color="auto"/>
            </w:tcBorders>
          </w:tcPr>
          <w:p w14:paraId="576205C3"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5C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5CE"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C6"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 xml:space="preserve">The best available socio-economic research and/or monitoring information is applied appropriately to make relevant management decisions regarding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C7"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5C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is little socio-economic information available upon which address management of research; however, RIMREP human dimensions program design includes prioritisation of research and monitoring needs for management.</w:t>
            </w:r>
          </w:p>
          <w:p w14:paraId="576205C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GBRMPA’s 2017 Guidelines on social value assessment provides some suggestions on sources of relevant information and considerations for activities conducted in the Marine Park.</w:t>
            </w:r>
          </w:p>
        </w:tc>
        <w:tc>
          <w:tcPr>
            <w:tcW w:w="4860" w:type="dxa"/>
            <w:tcBorders>
              <w:top w:val="single" w:sz="4" w:space="0" w:color="auto"/>
              <w:left w:val="single" w:sz="4" w:space="0" w:color="auto"/>
              <w:bottom w:val="single" w:sz="4" w:space="0" w:color="auto"/>
              <w:right w:val="single" w:sz="4" w:space="0" w:color="auto"/>
            </w:tcBorders>
          </w:tcPr>
          <w:p w14:paraId="576205C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5C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t>
            </w:r>
            <w:r w:rsidRPr="00E70A11">
              <w:rPr>
                <w:rStyle w:val="BookTitle"/>
                <w:rFonts w:ascii="Arial Narrow" w:hAnsi="Arial Narrow"/>
                <w:sz w:val="18"/>
                <w:szCs w:val="18"/>
              </w:rPr>
              <w:tab/>
              <w:t>Guidelines: Social value assessment</w:t>
            </w:r>
          </w:p>
        </w:tc>
        <w:tc>
          <w:tcPr>
            <w:tcW w:w="987" w:type="dxa"/>
            <w:tcBorders>
              <w:top w:val="single" w:sz="4" w:space="0" w:color="auto"/>
              <w:left w:val="single" w:sz="4" w:space="0" w:color="auto"/>
              <w:bottom w:val="single" w:sz="4" w:space="0" w:color="auto"/>
              <w:right w:val="single" w:sz="4" w:space="0" w:color="auto"/>
            </w:tcBorders>
          </w:tcPr>
          <w:p w14:paraId="576205CC"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5C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5D9"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CF"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 xml:space="preserve">The best available Indigenous heritage information is applied appropriately to make relevant management decisions regarding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D0"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5D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is little traditional knowledge available upon which to address management of scientific research.</w:t>
            </w:r>
          </w:p>
          <w:p w14:paraId="576205D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GBRMPA’s guidance on Indigenous heritage value assessment provides some suggestions on sources of relevant information and considerations for activities conducted in the Marine Park.</w:t>
            </w:r>
          </w:p>
          <w:p w14:paraId="576205D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RIMREP project DMS4 - Cultural Protocol and Guidelines </w:t>
            </w:r>
          </w:p>
        </w:tc>
        <w:tc>
          <w:tcPr>
            <w:tcW w:w="4860" w:type="dxa"/>
            <w:tcBorders>
              <w:top w:val="single" w:sz="4" w:space="0" w:color="auto"/>
              <w:left w:val="single" w:sz="4" w:space="0" w:color="auto"/>
              <w:bottom w:val="single" w:sz="4" w:space="0" w:color="auto"/>
              <w:right w:val="single" w:sz="4" w:space="0" w:color="auto"/>
            </w:tcBorders>
          </w:tcPr>
          <w:p w14:paraId="576205D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5D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Guidelines: Woppaburra Traditional Owner heritage assessment </w:t>
            </w:r>
          </w:p>
          <w:p w14:paraId="576205D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DMS4 – Cultural Protocol/Guidelines and Data Sharing Agreements</w:t>
            </w:r>
          </w:p>
        </w:tc>
        <w:tc>
          <w:tcPr>
            <w:tcW w:w="987" w:type="dxa"/>
            <w:tcBorders>
              <w:top w:val="single" w:sz="4" w:space="0" w:color="auto"/>
              <w:left w:val="single" w:sz="4" w:space="0" w:color="auto"/>
              <w:bottom w:val="single" w:sz="4" w:space="0" w:color="auto"/>
              <w:right w:val="single" w:sz="4" w:space="0" w:color="auto"/>
            </w:tcBorders>
          </w:tcPr>
          <w:p w14:paraId="576205D7"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5D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5E3"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DA"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 xml:space="preserve">The best available historic heritage information is applied appropriately to make relevant management decisions regarding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DB"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5D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GBRMPA’s 2017 Guidelines on historic heritage value assessment provides some suggestions on sources of relevant information and considerations for activities conducted in the Marine Park.</w:t>
            </w:r>
          </w:p>
          <w:p w14:paraId="576205DD" w14:textId="77777777" w:rsidR="00A56EE9" w:rsidRPr="00E70A11" w:rsidRDefault="00A56EE9" w:rsidP="00BB6AD5">
            <w:pPr>
              <w:pStyle w:val="ListParagraph"/>
              <w:ind w:left="360"/>
              <w:rPr>
                <w:rStyle w:val="BookTitle"/>
                <w:rFonts w:ascii="Arial Narrow" w:hAnsi="Arial Narrow"/>
                <w:sz w:val="18"/>
                <w:szCs w:val="18"/>
              </w:rPr>
            </w:pPr>
          </w:p>
        </w:tc>
        <w:tc>
          <w:tcPr>
            <w:tcW w:w="4860" w:type="dxa"/>
            <w:tcBorders>
              <w:top w:val="single" w:sz="4" w:space="0" w:color="auto"/>
              <w:left w:val="single" w:sz="4" w:space="0" w:color="auto"/>
              <w:bottom w:val="single" w:sz="4" w:space="0" w:color="auto"/>
              <w:right w:val="single" w:sz="4" w:space="0" w:color="auto"/>
            </w:tcBorders>
          </w:tcPr>
          <w:p w14:paraId="576205D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Historic heritage assessment: Maritime cultural heritage protection special management area</w:t>
            </w:r>
          </w:p>
          <w:p w14:paraId="576205D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Guidelines Historic heritage assessment: WWII features, sites, and voyages and shipwrecks </w:t>
            </w:r>
          </w:p>
          <w:p w14:paraId="576205E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Historic heritage assessment: other places of historic and social significance</w:t>
            </w:r>
          </w:p>
        </w:tc>
        <w:tc>
          <w:tcPr>
            <w:tcW w:w="987" w:type="dxa"/>
            <w:tcBorders>
              <w:top w:val="single" w:sz="4" w:space="0" w:color="auto"/>
              <w:left w:val="single" w:sz="4" w:space="0" w:color="auto"/>
              <w:bottom w:val="single" w:sz="4" w:space="0" w:color="auto"/>
              <w:right w:val="single" w:sz="4" w:space="0" w:color="auto"/>
            </w:tcBorders>
          </w:tcPr>
          <w:p w14:paraId="576205E1"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5E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5F1"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shd w:val="clear" w:color="auto" w:fill="auto"/>
          </w:tcPr>
          <w:p w14:paraId="576205E4"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 xml:space="preserve">Relevant standards are identified and being met regarding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E5"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5E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Australian Government adheres to Convention on Biological Diversity requirements in relation to access to biological resources. </w:t>
            </w:r>
          </w:p>
          <w:p w14:paraId="576205E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Ethical approval requirements are considered in permit applications.</w:t>
            </w:r>
          </w:p>
          <w:p w14:paraId="576205E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GBRMPA’s new Service Charter for the permissions system provides information on expected standards and processes.</w:t>
            </w:r>
          </w:p>
          <w:p w14:paraId="576205E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GBRMPA Research Guidelines provide a range of information on standards and expectations. </w:t>
            </w:r>
          </w:p>
          <w:p w14:paraId="576205E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Relevant international conventions are mentioned in a range of GBRMPA permissions-related policy guidance documents</w:t>
            </w:r>
          </w:p>
        </w:tc>
        <w:tc>
          <w:tcPr>
            <w:tcW w:w="4860" w:type="dxa"/>
            <w:tcBorders>
              <w:top w:val="single" w:sz="4" w:space="0" w:color="auto"/>
              <w:left w:val="single" w:sz="4" w:space="0" w:color="auto"/>
              <w:bottom w:val="single" w:sz="4" w:space="0" w:color="auto"/>
              <w:right w:val="single" w:sz="4" w:space="0" w:color="auto"/>
            </w:tcBorders>
          </w:tcPr>
          <w:p w14:paraId="576205E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Permits service charter</w:t>
            </w:r>
          </w:p>
          <w:p w14:paraId="576205ED"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Pr>
                <w:rStyle w:val="BookTitle"/>
                <w:rFonts w:ascii="Arial Narrow" w:hAnsi="Arial Narrow"/>
                <w:sz w:val="18"/>
                <w:szCs w:val="18"/>
              </w:rPr>
              <w:t>GBRMPA research guidelines</w:t>
            </w:r>
          </w:p>
          <w:p w14:paraId="576205E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permissions-related policy guidance documents</w:t>
            </w:r>
          </w:p>
        </w:tc>
        <w:tc>
          <w:tcPr>
            <w:tcW w:w="987" w:type="dxa"/>
            <w:tcBorders>
              <w:top w:val="single" w:sz="4" w:space="0" w:color="auto"/>
              <w:left w:val="single" w:sz="4" w:space="0" w:color="auto"/>
              <w:bottom w:val="single" w:sz="4" w:space="0" w:color="auto"/>
              <w:right w:val="single" w:sz="4" w:space="0" w:color="auto"/>
            </w:tcBorders>
          </w:tcPr>
          <w:p w14:paraId="576205EF"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5F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5FC"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5F2"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 xml:space="preserve">Targets have been established to benchmark management performance for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5F3" w14:textId="77777777" w:rsidR="00A56EE9" w:rsidRPr="00E70A11" w:rsidRDefault="00A56EE9" w:rsidP="00BB6AD5">
            <w:pPr>
              <w:pStyle w:val="Tablebulletlist"/>
              <w:rPr>
                <w:rStyle w:val="BookTitle"/>
              </w:rPr>
            </w:pPr>
            <w:r w:rsidRPr="00E70A11">
              <w:rPr>
                <w:rStyle w:val="BookTitle"/>
              </w:rPr>
              <w:t>3</w:t>
            </w:r>
          </w:p>
        </w:tc>
        <w:tc>
          <w:tcPr>
            <w:tcW w:w="3899" w:type="dxa"/>
            <w:tcBorders>
              <w:top w:val="single" w:sz="4" w:space="0" w:color="auto"/>
              <w:left w:val="single" w:sz="4" w:space="0" w:color="auto"/>
              <w:bottom w:val="single" w:sz="4" w:space="0" w:color="auto"/>
              <w:right w:val="single" w:sz="4" w:space="0" w:color="auto"/>
            </w:tcBorders>
          </w:tcPr>
          <w:p w14:paraId="576205F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Service charter standards set for permit</w:t>
            </w:r>
          </w:p>
          <w:p w14:paraId="576205F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No other formal benchmarks and targets for management of research have not been set.</w:t>
            </w:r>
          </w:p>
          <w:p w14:paraId="576205F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Performance indicators, reporting mechanisms and review processes specified in the Orpheus Island Environmental Management Plan</w:t>
            </w:r>
          </w:p>
        </w:tc>
        <w:tc>
          <w:tcPr>
            <w:tcW w:w="4860" w:type="dxa"/>
            <w:tcBorders>
              <w:top w:val="single" w:sz="4" w:space="0" w:color="auto"/>
              <w:left w:val="single" w:sz="4" w:space="0" w:color="auto"/>
              <w:bottom w:val="single" w:sz="4" w:space="0" w:color="auto"/>
              <w:right w:val="single" w:sz="4" w:space="0" w:color="auto"/>
            </w:tcBorders>
          </w:tcPr>
          <w:p w14:paraId="576205F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Permits service charter</w:t>
            </w:r>
          </w:p>
          <w:p w14:paraId="576205F8"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Environmental Management Plan</w:t>
            </w:r>
            <w:r w:rsidRPr="00E70A11" w:rsidDel="00857DB2">
              <w:rPr>
                <w:rStyle w:val="BookTitle"/>
                <w:rFonts w:ascii="Arial Narrow" w:hAnsi="Arial Narrow"/>
                <w:sz w:val="18"/>
                <w:szCs w:val="18"/>
              </w:rPr>
              <w:t xml:space="preserve"> </w:t>
            </w:r>
          </w:p>
          <w:p w14:paraId="576205F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stakeholder interviews</w:t>
            </w:r>
          </w:p>
        </w:tc>
        <w:tc>
          <w:tcPr>
            <w:tcW w:w="987" w:type="dxa"/>
            <w:tcBorders>
              <w:top w:val="single" w:sz="4" w:space="0" w:color="auto"/>
              <w:left w:val="single" w:sz="4" w:space="0" w:color="auto"/>
              <w:bottom w:val="single" w:sz="4" w:space="0" w:color="auto"/>
              <w:right w:val="single" w:sz="4" w:space="0" w:color="auto"/>
            </w:tcBorders>
          </w:tcPr>
          <w:p w14:paraId="576205FA"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5F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603"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5FD" w14:textId="77777777" w:rsidR="00A56EE9" w:rsidRPr="00E70A11" w:rsidRDefault="00A56EE9" w:rsidP="00BB6AD5">
            <w:pPr>
              <w:pStyle w:val="Tablebulletlist"/>
              <w:rPr>
                <w:rStyle w:val="BookTitle"/>
              </w:rPr>
            </w:pPr>
            <w:r w:rsidRPr="00E70A11">
              <w:rPr>
                <w:rStyle w:val="BookTitle"/>
              </w:rPr>
              <w:t>OUTPUTS</w:t>
            </w:r>
          </w:p>
        </w:tc>
        <w:tc>
          <w:tcPr>
            <w:tcW w:w="167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5FE" w14:textId="77777777" w:rsidR="00A56EE9" w:rsidRPr="00E70A11" w:rsidRDefault="00A56EE9" w:rsidP="00BB6AD5">
            <w:pPr>
              <w:pStyle w:val="Tablebulletlist"/>
              <w:rPr>
                <w:rStyle w:val="BookTitle"/>
              </w:rPr>
            </w:pPr>
          </w:p>
        </w:tc>
        <w:tc>
          <w:tcPr>
            <w:tcW w:w="38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5FF" w14:textId="77777777" w:rsidR="00A56EE9" w:rsidRPr="00E70A11" w:rsidRDefault="00A56EE9" w:rsidP="00BB6AD5">
            <w:pPr>
              <w:pStyle w:val="ListParagraph"/>
              <w:ind w:left="360"/>
              <w:rPr>
                <w:rStyle w:val="BookTitle"/>
                <w:rFonts w:ascii="Arial Narrow" w:hAnsi="Arial Narrow"/>
                <w:sz w:val="18"/>
                <w:szCs w:val="18"/>
              </w:rPr>
            </w:pPr>
          </w:p>
        </w:tc>
        <w:tc>
          <w:tcPr>
            <w:tcW w:w="486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600" w14:textId="77777777" w:rsidR="00A56EE9" w:rsidRPr="00E70A11" w:rsidRDefault="00A56EE9" w:rsidP="00BB6AD5">
            <w:pPr>
              <w:pStyle w:val="ListParagraph"/>
              <w:ind w:left="360"/>
              <w:rPr>
                <w:rStyle w:val="BookTitle"/>
                <w:rFonts w:ascii="Arial Narrow" w:hAnsi="Arial Narrow"/>
                <w:sz w:val="18"/>
                <w:szCs w:val="18"/>
              </w:rPr>
            </w:pPr>
          </w:p>
        </w:tc>
        <w:tc>
          <w:tcPr>
            <w:tcW w:w="98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601" w14:textId="77777777" w:rsidR="00A56EE9" w:rsidRPr="00E70A11" w:rsidRDefault="00A56EE9" w:rsidP="00BB6AD5">
            <w:pPr>
              <w:pStyle w:val="Tablebulletlist"/>
              <w:rPr>
                <w:rStyle w:val="BookTitle"/>
              </w:rPr>
            </w:pPr>
          </w:p>
        </w:tc>
        <w:tc>
          <w:tcPr>
            <w:tcW w:w="8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602" w14:textId="77777777" w:rsidR="00A56EE9" w:rsidRPr="00E70A11" w:rsidRDefault="00A56EE9" w:rsidP="00BB6AD5">
            <w:pPr>
              <w:pStyle w:val="Tablebulletlist"/>
              <w:rPr>
                <w:rStyle w:val="BookTitle"/>
              </w:rPr>
            </w:pPr>
          </w:p>
        </w:tc>
      </w:tr>
      <w:tr w:rsidR="00A56EE9" w:rsidRPr="00E70A11" w14:paraId="5762060F"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04"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w:t>
            </w:r>
            <w:r>
              <w:rPr>
                <w:rStyle w:val="BookTitle"/>
              </w:rPr>
              <w:t>research activities</w:t>
            </w:r>
            <w:r w:rsidRPr="00E70A11">
              <w:rPr>
                <w:rStyle w:val="BookTitle"/>
              </w:rPr>
              <w:t xml:space="preserve"> </w:t>
            </w:r>
          </w:p>
        </w:tc>
        <w:tc>
          <w:tcPr>
            <w:tcW w:w="1672" w:type="dxa"/>
            <w:tcBorders>
              <w:top w:val="single" w:sz="4" w:space="0" w:color="auto"/>
              <w:left w:val="single" w:sz="4" w:space="0" w:color="auto"/>
              <w:bottom w:val="single" w:sz="4" w:space="0" w:color="auto"/>
              <w:right w:val="single" w:sz="4" w:space="0" w:color="auto"/>
            </w:tcBorders>
          </w:tcPr>
          <w:p w14:paraId="57620605"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0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Development and implementation of the Permissions System Enhancement Project</w:t>
            </w:r>
          </w:p>
          <w:p w14:paraId="5762060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Development and implementation of RMS upgrades and new Permits Online system.</w:t>
            </w:r>
          </w:p>
          <w:p w14:paraId="5762060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Assessment timeframes for permit applications average 16 weeks for standard activities. As of 4 October 2017, a Permission System Service Charter has been adopted.</w:t>
            </w:r>
          </w:p>
          <w:p w14:paraId="5762060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Uptake from research programs into management is limited and could be improved</w:t>
            </w:r>
          </w:p>
          <w:p w14:paraId="5762060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number of researchers report that GBPMPA is more disconnected from research planning than in the past</w:t>
            </w:r>
          </w:p>
        </w:tc>
        <w:tc>
          <w:tcPr>
            <w:tcW w:w="4860" w:type="dxa"/>
            <w:tcBorders>
              <w:top w:val="single" w:sz="4" w:space="0" w:color="auto"/>
              <w:left w:val="single" w:sz="4" w:space="0" w:color="auto"/>
              <w:bottom w:val="single" w:sz="4" w:space="0" w:color="auto"/>
              <w:right w:val="single" w:sz="4" w:space="0" w:color="auto"/>
            </w:tcBorders>
          </w:tcPr>
          <w:p w14:paraId="5762060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60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Permission System Service Charter</w:t>
            </w:r>
          </w:p>
        </w:tc>
        <w:tc>
          <w:tcPr>
            <w:tcW w:w="987" w:type="dxa"/>
            <w:tcBorders>
              <w:top w:val="single" w:sz="4" w:space="0" w:color="auto"/>
              <w:left w:val="single" w:sz="4" w:space="0" w:color="auto"/>
              <w:bottom w:val="single" w:sz="4" w:space="0" w:color="auto"/>
              <w:right w:val="single" w:sz="4" w:space="0" w:color="auto"/>
            </w:tcBorders>
          </w:tcPr>
          <w:p w14:paraId="5762060D"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60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61A"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10"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 xml:space="preserve">Implementation of management documents and/or programs relevant to </w:t>
            </w:r>
            <w:r>
              <w:rPr>
                <w:rStyle w:val="BookTitle"/>
              </w:rPr>
              <w:t>research activities</w:t>
            </w:r>
            <w:r w:rsidRPr="00E70A11">
              <w:rPr>
                <w:rStyle w:val="BookTitle"/>
              </w:rPr>
              <w:t xml:space="preserve"> have progressed in accordance with timeframes specified in those documents</w:t>
            </w:r>
          </w:p>
        </w:tc>
        <w:tc>
          <w:tcPr>
            <w:tcW w:w="1672" w:type="dxa"/>
            <w:tcBorders>
              <w:top w:val="single" w:sz="4" w:space="0" w:color="auto"/>
              <w:left w:val="single" w:sz="4" w:space="0" w:color="auto"/>
              <w:bottom w:val="single" w:sz="4" w:space="0" w:color="auto"/>
              <w:right w:val="single" w:sz="4" w:space="0" w:color="auto"/>
            </w:tcBorders>
          </w:tcPr>
          <w:p w14:paraId="57620611"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1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Some research permit approvals and renewals are taking longer than expected or is reasonable</w:t>
            </w:r>
          </w:p>
          <w:p w14:paraId="5762061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GBRMPA Research Guidelines resulting from the review of the original 2004 policy on managing research were completed on time for the Oct 2017 coming into force of amended GBRMPA regulations and updated GBRMPA permissions system.</w:t>
            </w:r>
          </w:p>
          <w:p w14:paraId="5762061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number of researchers report that GBPMPA is more disconnected from research planning than in the past</w:t>
            </w:r>
          </w:p>
          <w:p w14:paraId="5762061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Collaborative research programs where GBRMPA is providing advice and participating in steering committees are generally proceeding in accordance with planned timeframes but some are considerably delayed (RIMREP)</w:t>
            </w:r>
          </w:p>
        </w:tc>
        <w:tc>
          <w:tcPr>
            <w:tcW w:w="4860" w:type="dxa"/>
            <w:tcBorders>
              <w:top w:val="single" w:sz="4" w:space="0" w:color="auto"/>
              <w:left w:val="single" w:sz="4" w:space="0" w:color="auto"/>
              <w:bottom w:val="single" w:sz="4" w:space="0" w:color="auto"/>
              <w:right w:val="single" w:sz="4" w:space="0" w:color="auto"/>
            </w:tcBorders>
          </w:tcPr>
          <w:p w14:paraId="5762061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61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Permission System Service Charter</w:t>
            </w:r>
          </w:p>
        </w:tc>
        <w:tc>
          <w:tcPr>
            <w:tcW w:w="987" w:type="dxa"/>
            <w:tcBorders>
              <w:top w:val="single" w:sz="4" w:space="0" w:color="auto"/>
              <w:left w:val="single" w:sz="4" w:space="0" w:color="auto"/>
              <w:bottom w:val="single" w:sz="4" w:space="0" w:color="auto"/>
              <w:right w:val="single" w:sz="4" w:space="0" w:color="auto"/>
            </w:tcBorders>
          </w:tcPr>
          <w:p w14:paraId="57620618"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619" w14:textId="77777777" w:rsidR="00A56EE9" w:rsidRPr="00E70A11" w:rsidRDefault="00A56EE9" w:rsidP="00BB6AD5">
            <w:pPr>
              <w:pStyle w:val="Tablebulletlist"/>
              <w:rPr>
                <w:rStyle w:val="BookTitle"/>
              </w:rPr>
            </w:pPr>
            <w:r w:rsidRPr="00E70A11">
              <w:rPr>
                <w:rStyle w:val="BookTitle"/>
              </w:rPr>
              <w:t>declining</w:t>
            </w:r>
          </w:p>
        </w:tc>
      </w:tr>
      <w:tr w:rsidR="00A56EE9" w:rsidRPr="00E70A11" w14:paraId="57620625"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1B" w14:textId="77777777" w:rsidR="00A56EE9" w:rsidRPr="00E70A11" w:rsidRDefault="00A56EE9" w:rsidP="00BB6AD5">
            <w:pPr>
              <w:pStyle w:val="Tablebulletlist"/>
              <w:rPr>
                <w:rStyle w:val="BookTitle"/>
              </w:rPr>
            </w:pPr>
            <w:r w:rsidRPr="00E70A11">
              <w:rPr>
                <w:rStyle w:val="BookTitle"/>
              </w:rPr>
              <w:t xml:space="preserve">OP3 The results (in OP1 above) have achieved their stated management objectives for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61C"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1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Research and monitoring of the Great Barrier Reef environment continues to contribute to global knowledge about individual species, coral reef systems and tropical marine ecology. </w:t>
            </w:r>
          </w:p>
          <w:p w14:paraId="5762061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to guide responses to climate change and current challenges facing the GBR are not yet well developed according to many researchers in the field</w:t>
            </w:r>
          </w:p>
          <w:p w14:paraId="5762061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number of researchers report that GBPMPA is more disconnected from research planning than in the past however GBRMPA continues to be represented on all major reef research advisory bodies and committees</w:t>
            </w:r>
          </w:p>
          <w:p w14:paraId="5762062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There is an improved GBRMPA online system for researchers to submit applications for research permits and manage their existing permits and contact details – Permits Online</w:t>
            </w:r>
          </w:p>
          <w:p w14:paraId="5762062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2015 an EMP was approved for the management of the Scientific Research Zone (SRZ) associated with Heron Island Research Station. Resources are not dedicated to negotiating and approving SRZ EMPs, however, this was done in conjunction with an assessment process for the permit renewal of the facilities associated with the operation of the Research Station. The EMP covers both the ongoing maintenance of these permitted facilities as well as management of the SRZ.</w:t>
            </w:r>
          </w:p>
        </w:tc>
        <w:tc>
          <w:tcPr>
            <w:tcW w:w="4860" w:type="dxa"/>
            <w:tcBorders>
              <w:top w:val="single" w:sz="4" w:space="0" w:color="auto"/>
              <w:left w:val="single" w:sz="4" w:space="0" w:color="auto"/>
              <w:bottom w:val="single" w:sz="4" w:space="0" w:color="auto"/>
              <w:right w:val="single" w:sz="4" w:space="0" w:color="auto"/>
            </w:tcBorders>
          </w:tcPr>
          <w:p w14:paraId="5762062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87" w:type="dxa"/>
            <w:tcBorders>
              <w:top w:val="single" w:sz="4" w:space="0" w:color="auto"/>
              <w:left w:val="single" w:sz="4" w:space="0" w:color="auto"/>
              <w:bottom w:val="single" w:sz="4" w:space="0" w:color="auto"/>
              <w:right w:val="single" w:sz="4" w:space="0" w:color="auto"/>
            </w:tcBorders>
          </w:tcPr>
          <w:p w14:paraId="57620623" w14:textId="77777777" w:rsidR="00A56EE9" w:rsidRPr="00E70A11" w:rsidRDefault="00A56EE9" w:rsidP="00BB6AD5">
            <w:pPr>
              <w:pStyle w:val="Tablebulletlist"/>
              <w:rPr>
                <w:rStyle w:val="BookTitle"/>
              </w:rPr>
            </w:pPr>
            <w:r w:rsidRPr="00E70A11">
              <w:rPr>
                <w:rStyle w:val="BookTitle"/>
              </w:rPr>
              <w:t>limited</w:t>
            </w:r>
          </w:p>
        </w:tc>
        <w:tc>
          <w:tcPr>
            <w:tcW w:w="856" w:type="dxa"/>
            <w:tcBorders>
              <w:top w:val="single" w:sz="4" w:space="0" w:color="auto"/>
              <w:left w:val="single" w:sz="4" w:space="0" w:color="auto"/>
              <w:bottom w:val="single" w:sz="4" w:space="0" w:color="auto"/>
              <w:right w:val="single" w:sz="4" w:space="0" w:color="auto"/>
            </w:tcBorders>
          </w:tcPr>
          <w:p w14:paraId="5762062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631"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26"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 xml:space="preserve">To date, products or services have been produced in accordance with the stated management objectives for </w:t>
            </w:r>
            <w:r>
              <w:rPr>
                <w:rStyle w:val="BookTitle"/>
              </w:rPr>
              <w:t>research activities</w:t>
            </w:r>
          </w:p>
        </w:tc>
        <w:tc>
          <w:tcPr>
            <w:tcW w:w="1672" w:type="dxa"/>
            <w:tcBorders>
              <w:top w:val="single" w:sz="4" w:space="0" w:color="auto"/>
              <w:left w:val="single" w:sz="4" w:space="0" w:color="auto"/>
              <w:bottom w:val="single" w:sz="4" w:space="0" w:color="auto"/>
              <w:right w:val="single" w:sz="4" w:space="0" w:color="auto"/>
            </w:tcBorders>
          </w:tcPr>
          <w:p w14:paraId="57620627"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2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is playing its role in informing management of the GBRMP</w:t>
            </w:r>
          </w:p>
          <w:p w14:paraId="5762062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RIMREP has been slow to develop and it seems uncertain in the mind of many researchers whether it will deliver the many expectations that have been set for it.</w:t>
            </w:r>
          </w:p>
          <w:p w14:paraId="5762062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GBRMPA’s Research Guidelines were produced and approved in time for the 4 Oct 2017 coming into force of amended GBRMP Regulations.</w:t>
            </w:r>
          </w:p>
          <w:p w14:paraId="5762062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SELTMP is continuing to provide relevant social information for management</w:t>
            </w:r>
          </w:p>
          <w:p w14:paraId="5762062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number of researchers report that GBPMPA is more disconnected from research planning than in the past</w:t>
            </w:r>
          </w:p>
        </w:tc>
        <w:tc>
          <w:tcPr>
            <w:tcW w:w="4860" w:type="dxa"/>
            <w:tcBorders>
              <w:top w:val="single" w:sz="4" w:space="0" w:color="auto"/>
              <w:left w:val="single" w:sz="4" w:space="0" w:color="auto"/>
              <w:bottom w:val="single" w:sz="4" w:space="0" w:color="auto"/>
              <w:right w:val="single" w:sz="4" w:space="0" w:color="auto"/>
            </w:tcBorders>
          </w:tcPr>
          <w:p w14:paraId="5762062D"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62E" w14:textId="77777777" w:rsidR="00A56EE9" w:rsidRPr="00857DB2" w:rsidRDefault="00A56EE9" w:rsidP="00A11869">
            <w:pPr>
              <w:pStyle w:val="ListParagraph"/>
              <w:numPr>
                <w:ilvl w:val="0"/>
                <w:numId w:val="24"/>
              </w:numPr>
              <w:spacing w:after="200" w:line="276" w:lineRule="auto"/>
              <w:rPr>
                <w:rStyle w:val="BookTitle"/>
                <w:rFonts w:ascii="Arial Narrow" w:hAnsi="Arial Narrow"/>
                <w:sz w:val="18"/>
                <w:szCs w:val="18"/>
              </w:rPr>
            </w:pPr>
            <w:r w:rsidRPr="009B7EAB">
              <w:rPr>
                <w:rStyle w:val="BookTitle"/>
                <w:rFonts w:ascii="Arial Narrow" w:hAnsi="Arial Narrow"/>
                <w:sz w:val="18"/>
                <w:szCs w:val="18"/>
              </w:rPr>
              <w:t>Permits available through permits online</w:t>
            </w:r>
          </w:p>
        </w:tc>
        <w:tc>
          <w:tcPr>
            <w:tcW w:w="987" w:type="dxa"/>
            <w:tcBorders>
              <w:top w:val="single" w:sz="4" w:space="0" w:color="auto"/>
              <w:left w:val="single" w:sz="4" w:space="0" w:color="auto"/>
              <w:bottom w:val="single" w:sz="4" w:space="0" w:color="auto"/>
              <w:right w:val="single" w:sz="4" w:space="0" w:color="auto"/>
            </w:tcBorders>
          </w:tcPr>
          <w:p w14:paraId="5762062F" w14:textId="77777777" w:rsidR="00A56EE9" w:rsidRPr="00E70A11" w:rsidRDefault="00A56EE9" w:rsidP="00BB6AD5">
            <w:pPr>
              <w:pStyle w:val="Tablebulletlist"/>
              <w:rPr>
                <w:rStyle w:val="BookTitle"/>
              </w:rPr>
            </w:pPr>
            <w:r w:rsidRPr="00E70A11">
              <w:rPr>
                <w:rStyle w:val="BookTitle"/>
              </w:rPr>
              <w:t xml:space="preserve">Limited </w:t>
            </w:r>
          </w:p>
        </w:tc>
        <w:tc>
          <w:tcPr>
            <w:tcW w:w="856" w:type="dxa"/>
            <w:tcBorders>
              <w:top w:val="single" w:sz="4" w:space="0" w:color="auto"/>
              <w:left w:val="single" w:sz="4" w:space="0" w:color="auto"/>
              <w:bottom w:val="single" w:sz="4" w:space="0" w:color="auto"/>
              <w:right w:val="single" w:sz="4" w:space="0" w:color="auto"/>
            </w:tcBorders>
          </w:tcPr>
          <w:p w14:paraId="5762063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643"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shd w:val="clear" w:color="auto" w:fill="auto"/>
          </w:tcPr>
          <w:p w14:paraId="57620632"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 xml:space="preserve">Effective knowledge management systems regarding </w:t>
            </w:r>
            <w:r>
              <w:rPr>
                <w:rStyle w:val="BookTitle"/>
              </w:rPr>
              <w:t>research activities</w:t>
            </w:r>
            <w:r w:rsidRPr="00E70A11">
              <w:rPr>
                <w:rStyle w:val="BookTitle"/>
              </w:rPr>
              <w:t xml:space="preserve"> are in place within agencies</w:t>
            </w:r>
          </w:p>
        </w:tc>
        <w:tc>
          <w:tcPr>
            <w:tcW w:w="1672" w:type="dxa"/>
            <w:tcBorders>
              <w:top w:val="single" w:sz="4" w:space="0" w:color="auto"/>
              <w:left w:val="single" w:sz="4" w:space="0" w:color="auto"/>
              <w:bottom w:val="single" w:sz="4" w:space="0" w:color="auto"/>
              <w:right w:val="single" w:sz="4" w:space="0" w:color="auto"/>
            </w:tcBorders>
          </w:tcPr>
          <w:p w14:paraId="57620633"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3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Tools to disseminate information about values and impacts on them are available within GBRMPA – e.g. the integrated Eye on the Reef program provides a centralised database for Reef health information, and Reef Explorer is an interactive tool for displaying spatial information. </w:t>
            </w:r>
          </w:p>
          <w:p w14:paraId="5762063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Management of scientific information procedures are in place and are delivered at whole-of-GBRMPA using RefWorks as its database and citation management tool</w:t>
            </w:r>
          </w:p>
          <w:p w14:paraId="5762063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National Environmental Science Programme commenced in 2015. It built on its predecessors — the National Environmental Research Program and the Australian Climate Change Science Programme — to support decision-makers to understand, manage and conserve Australia’s environment with the best available information, based on world-class science. </w:t>
            </w:r>
          </w:p>
          <w:p w14:paraId="5762063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and other agencies are involved in directing priority research areas through the NESP hubs. </w:t>
            </w:r>
          </w:p>
          <w:p w14:paraId="5762063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Management agencies would benefit from research outcomes to a much greater extent if the pathway to adoption was explicit in all of the NESP projects, and fully costed within it. While precise in-water management activities may not be known at the start of the project, it is potentially feasible that as a minimum, each proposal include the cost of an end-of-project workshop with management agencies, and complete a project planning template which specifically scopes the pathway to adoption by management of the research findings. To facilitate this, GBRMPA has initiated a process whereby at the end of each NESP research project, it will ask researchers to complete a future project plan to articulate how the research can be integrated and used by management. While this is embryonic at this stage, it demonstrates an effective system to support use of the research by management. </w:t>
            </w:r>
          </w:p>
          <w:p w14:paraId="5762063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Permits Online (public) and the permission system’s Reef Management System permits database (internal) are useful tools that have been significantly improved in recent years.</w:t>
            </w:r>
          </w:p>
          <w:p w14:paraId="5762063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Spatial information and datasets arising from research conducted on in the Marine Park continue to be housed and managed by the GBRMPA Spatial Data Centre. Over time more of these datasets are becoming readily accessible to GBRMPA staff, however assistance from SDC staff is still generally required to view them spatially.</w:t>
            </w:r>
          </w:p>
          <w:p w14:paraId="5762063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It is currently not possible to quickly extract and display spatial information on research permits and activities from the Reef Management System (permits database).</w:t>
            </w:r>
          </w:p>
        </w:tc>
        <w:tc>
          <w:tcPr>
            <w:tcW w:w="4860" w:type="dxa"/>
            <w:tcBorders>
              <w:top w:val="single" w:sz="4" w:space="0" w:color="auto"/>
              <w:left w:val="single" w:sz="4" w:space="0" w:color="auto"/>
              <w:bottom w:val="single" w:sz="4" w:space="0" w:color="auto"/>
              <w:right w:val="single" w:sz="4" w:space="0" w:color="auto"/>
            </w:tcBorders>
          </w:tcPr>
          <w:p w14:paraId="5762063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63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 database</w:t>
            </w:r>
          </w:p>
          <w:p w14:paraId="5762063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Explorer </w:t>
            </w:r>
          </w:p>
          <w:p w14:paraId="5762063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Management System permits database</w:t>
            </w:r>
          </w:p>
          <w:p w14:paraId="5762064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Permits system</w:t>
            </w:r>
          </w:p>
        </w:tc>
        <w:tc>
          <w:tcPr>
            <w:tcW w:w="987" w:type="dxa"/>
            <w:tcBorders>
              <w:top w:val="single" w:sz="4" w:space="0" w:color="auto"/>
              <w:left w:val="single" w:sz="4" w:space="0" w:color="auto"/>
              <w:bottom w:val="single" w:sz="4" w:space="0" w:color="auto"/>
              <w:right w:val="single" w:sz="4" w:space="0" w:color="auto"/>
            </w:tcBorders>
          </w:tcPr>
          <w:p w14:paraId="57620641"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64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658"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44"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 xml:space="preserve">Effective systems are in place to share knowledge on </w:t>
            </w:r>
            <w:r>
              <w:rPr>
                <w:rStyle w:val="BookTitle"/>
              </w:rPr>
              <w:t>research activities</w:t>
            </w:r>
            <w:r w:rsidRPr="00E70A11">
              <w:rPr>
                <w:rStyle w:val="BookTitle"/>
              </w:rPr>
              <w:t xml:space="preserve"> with the community</w:t>
            </w:r>
          </w:p>
        </w:tc>
        <w:tc>
          <w:tcPr>
            <w:tcW w:w="1672" w:type="dxa"/>
            <w:tcBorders>
              <w:top w:val="single" w:sz="4" w:space="0" w:color="auto"/>
              <w:left w:val="single" w:sz="4" w:space="0" w:color="auto"/>
              <w:bottom w:val="single" w:sz="4" w:space="0" w:color="auto"/>
              <w:right w:val="single" w:sz="4" w:space="0" w:color="auto"/>
            </w:tcBorders>
          </w:tcPr>
          <w:p w14:paraId="57620645"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4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Communication through plain-English products summarising outcomes of scientific research is undertaken to some extent, but not systematically</w:t>
            </w:r>
          </w:p>
          <w:p w14:paraId="5762064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makes its publications available publically via its e-Library</w:t>
            </w:r>
            <w:r>
              <w:rPr>
                <w:rStyle w:val="BookTitle"/>
                <w:rFonts w:ascii="Arial Narrow" w:hAnsi="Arial Narrow"/>
                <w:sz w:val="18"/>
                <w:szCs w:val="18"/>
              </w:rPr>
              <w:t xml:space="preserve"> </w:t>
            </w:r>
          </w:p>
          <w:p w14:paraId="5762064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proofErr w:type="gramStart"/>
            <w:r w:rsidRPr="00E70A11">
              <w:rPr>
                <w:rStyle w:val="BookTitle"/>
                <w:rFonts w:ascii="Arial Narrow" w:hAnsi="Arial Narrow"/>
                <w:sz w:val="18"/>
                <w:szCs w:val="18"/>
              </w:rPr>
              <w:t>eResearch</w:t>
            </w:r>
            <w:proofErr w:type="gramEnd"/>
            <w:r w:rsidRPr="00E70A11">
              <w:rPr>
                <w:rStyle w:val="BookTitle"/>
                <w:rFonts w:ascii="Arial Narrow" w:hAnsi="Arial Narrow"/>
                <w:sz w:val="18"/>
                <w:szCs w:val="18"/>
              </w:rPr>
              <w:t xml:space="preserve"> Archive is a digital repository of scientific and research publications, and datasets authored by Qld DAFF staff, including journal articles, book chapters, conference papers, theses and raw data collected in the course of research.</w:t>
            </w:r>
          </w:p>
          <w:p w14:paraId="5762064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non-scientific community is engaged via the GBRMPA’s LMACs, magazines – e.g. Reef Beat, media releases etc</w:t>
            </w:r>
          </w:p>
          <w:p w14:paraId="5762064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scientific community is engaged in issues-specific workshops and forums and RACs by GBRMPA</w:t>
            </w:r>
          </w:p>
          <w:p w14:paraId="5762064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 is a monitoring program that enables anyone who visits the Great Barrier Reef to contribute to its long-term protection. Eye on the Reef self-guided online and interactive training packages completed and available to the public. The information collected is combined in a single data management and reporting system which enables participants to access their own data and reporting online. This data contributes to Marine Park managers and researchers’ understanding of reef health status and trends, the distribution of protected and iconic species, and early warnings of environmental impacts. The Eye on the Reef program is run by the Great Barrier Reef Marine Park Authority. The Reef Health and Impact Survey sub-program is run in partnership with the Queensland Parks and Wildlife Service.</w:t>
            </w:r>
          </w:p>
          <w:p w14:paraId="5762064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runs education programs at its Reef HQ Aquarium and through mechanisms such as the Reef Guardians program (Reef videoconferencing, schools, councils, Reef Beat etc.)</w:t>
            </w:r>
          </w:p>
          <w:p w14:paraId="5762064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GBRMPA maintains a searchable database accessible on the website of recent decisions, current and expired permissions and current applications.</w:t>
            </w:r>
          </w:p>
        </w:tc>
        <w:tc>
          <w:tcPr>
            <w:tcW w:w="4860" w:type="dxa"/>
            <w:tcBorders>
              <w:top w:val="single" w:sz="4" w:space="0" w:color="auto"/>
              <w:left w:val="single" w:sz="4" w:space="0" w:color="auto"/>
              <w:bottom w:val="single" w:sz="4" w:space="0" w:color="auto"/>
              <w:right w:val="single" w:sz="4" w:space="0" w:color="auto"/>
            </w:tcBorders>
          </w:tcPr>
          <w:p w14:paraId="5762064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e-Library </w:t>
            </w:r>
          </w:p>
          <w:p w14:paraId="5762064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Qld DAFF eResearch Archive</w:t>
            </w:r>
          </w:p>
          <w:p w14:paraId="5762065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Science seminar series</w:t>
            </w:r>
          </w:p>
          <w:p w14:paraId="5762065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w:t>
            </w:r>
          </w:p>
          <w:p w14:paraId="5762065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ReefHQ education</w:t>
            </w:r>
          </w:p>
          <w:p w14:paraId="5762065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Reef Guardians </w:t>
            </w:r>
          </w:p>
          <w:p w14:paraId="5762065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Reef Beat (last issued in 2016)</w:t>
            </w:r>
          </w:p>
          <w:p w14:paraId="5762065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Permit enquiry database</w:t>
            </w:r>
          </w:p>
        </w:tc>
        <w:tc>
          <w:tcPr>
            <w:tcW w:w="987" w:type="dxa"/>
            <w:tcBorders>
              <w:top w:val="single" w:sz="4" w:space="0" w:color="auto"/>
              <w:left w:val="single" w:sz="4" w:space="0" w:color="auto"/>
              <w:bottom w:val="single" w:sz="4" w:space="0" w:color="auto"/>
              <w:right w:val="single" w:sz="4" w:space="0" w:color="auto"/>
            </w:tcBorders>
          </w:tcPr>
          <w:p w14:paraId="57620656"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65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65F"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659" w14:textId="77777777" w:rsidR="00A56EE9" w:rsidRPr="00E70A11" w:rsidRDefault="00A56EE9" w:rsidP="00BB6AD5">
            <w:pPr>
              <w:pStyle w:val="Tablebulletlist"/>
              <w:rPr>
                <w:rStyle w:val="BookTitle"/>
              </w:rPr>
            </w:pPr>
            <w:r w:rsidRPr="00E70A11">
              <w:rPr>
                <w:rStyle w:val="BookTitle"/>
              </w:rPr>
              <w:t>OUTCOMES</w:t>
            </w:r>
          </w:p>
        </w:tc>
        <w:tc>
          <w:tcPr>
            <w:tcW w:w="1672"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65A" w14:textId="77777777" w:rsidR="00A56EE9" w:rsidRPr="00E70A11" w:rsidRDefault="00A56EE9" w:rsidP="00BB6AD5">
            <w:pPr>
              <w:pStyle w:val="Tablebulletlist"/>
              <w:rPr>
                <w:rStyle w:val="BookTitle"/>
              </w:rPr>
            </w:pPr>
          </w:p>
        </w:tc>
        <w:tc>
          <w:tcPr>
            <w:tcW w:w="3899"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65B" w14:textId="77777777" w:rsidR="00A56EE9" w:rsidRPr="00E70A11" w:rsidRDefault="00A56EE9" w:rsidP="00BB6AD5">
            <w:pPr>
              <w:pStyle w:val="ListParagraph"/>
              <w:ind w:left="360"/>
              <w:rPr>
                <w:rStyle w:val="BookTitle"/>
                <w:rFonts w:ascii="Arial Narrow" w:hAnsi="Arial Narrow"/>
                <w:sz w:val="18"/>
                <w:szCs w:val="18"/>
              </w:rPr>
            </w:pPr>
          </w:p>
        </w:tc>
        <w:tc>
          <w:tcPr>
            <w:tcW w:w="4860"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65C" w14:textId="77777777" w:rsidR="00A56EE9" w:rsidRPr="00E70A11" w:rsidRDefault="00A56EE9" w:rsidP="00BB6AD5">
            <w:pPr>
              <w:pStyle w:val="ListParagraph"/>
              <w:ind w:left="360"/>
              <w:rPr>
                <w:rStyle w:val="BookTitle"/>
                <w:rFonts w:ascii="Arial Narrow" w:hAnsi="Arial Narrow"/>
                <w:sz w:val="18"/>
                <w:szCs w:val="18"/>
              </w:rPr>
            </w:pPr>
          </w:p>
        </w:tc>
        <w:tc>
          <w:tcPr>
            <w:tcW w:w="987"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65D" w14:textId="77777777" w:rsidR="00A56EE9" w:rsidRPr="00E70A11" w:rsidRDefault="00A56EE9" w:rsidP="00BB6AD5">
            <w:pPr>
              <w:pStyle w:val="Tablebulletlist"/>
              <w:rPr>
                <w:rStyle w:val="BookTitle"/>
              </w:rPr>
            </w:pPr>
          </w:p>
        </w:tc>
        <w:tc>
          <w:tcPr>
            <w:tcW w:w="856" w:type="dxa"/>
            <w:tcBorders>
              <w:top w:val="single" w:sz="4" w:space="0" w:color="auto"/>
              <w:left w:val="single" w:sz="4" w:space="0" w:color="auto"/>
              <w:bottom w:val="single" w:sz="4" w:space="0" w:color="auto"/>
              <w:right w:val="single" w:sz="4" w:space="0" w:color="auto"/>
            </w:tcBorders>
            <w:shd w:val="clear" w:color="auto" w:fill="E7E6E6" w:themeFill="background2"/>
          </w:tcPr>
          <w:p w14:paraId="5762065E" w14:textId="77777777" w:rsidR="00A56EE9" w:rsidRPr="00E70A11" w:rsidRDefault="00A56EE9" w:rsidP="00BB6AD5">
            <w:pPr>
              <w:pStyle w:val="Tablebulletlist"/>
              <w:rPr>
                <w:rStyle w:val="BookTitle"/>
              </w:rPr>
            </w:pPr>
          </w:p>
        </w:tc>
      </w:tr>
      <w:tr w:rsidR="00A56EE9" w:rsidRPr="00E70A11" w14:paraId="5762066C"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60"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 xml:space="preserve">The relevant managing agencies are to date effectively addressing </w:t>
            </w:r>
            <w:r>
              <w:rPr>
                <w:rStyle w:val="BookTitle"/>
              </w:rPr>
              <w:t>research activities</w:t>
            </w:r>
            <w:r w:rsidRPr="00E70A11">
              <w:rPr>
                <w:rStyle w:val="BookTitle"/>
              </w:rPr>
              <w:t xml:space="preserve"> and moving towards the attainment of the desired outcomes.</w:t>
            </w:r>
          </w:p>
        </w:tc>
        <w:tc>
          <w:tcPr>
            <w:tcW w:w="1672" w:type="dxa"/>
            <w:tcBorders>
              <w:top w:val="single" w:sz="4" w:space="0" w:color="auto"/>
              <w:left w:val="single" w:sz="4" w:space="0" w:color="auto"/>
              <w:bottom w:val="single" w:sz="4" w:space="0" w:color="auto"/>
              <w:right w:val="single" w:sz="4" w:space="0" w:color="auto"/>
            </w:tcBorders>
          </w:tcPr>
          <w:p w14:paraId="57620661"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6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Researchers are able to gain access to the GBRMP through a structured permit process. This process aims to manage the impact of the research via permit conditions.</w:t>
            </w:r>
          </w:p>
          <w:p w14:paraId="5762066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Currently there is emphasis on understanding cumulative impacts and integrated monitoring to support and inform management </w:t>
            </w:r>
          </w:p>
          <w:p w14:paraId="5762066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Much of the research conducted in the GBRMP provides information that is important to the management of the GBRMP.</w:t>
            </w:r>
          </w:p>
          <w:p w14:paraId="5762066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Various significant research projects have been undertaken on the GBR, including those supported by funding programs such as NESP.</w:t>
            </w:r>
          </w:p>
          <w:p w14:paraId="5762066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new Research Guidelines were released in October 2017 – it is too soon to tell how useful and effective they are in practice</w:t>
            </w:r>
          </w:p>
          <w:p w14:paraId="5762066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Some stakeholders have raised concerns about the impact of what they see as a decline in the influence of GBRMPA in the research planning space. Some see the extent of influence as having dipped but now increasing again.</w:t>
            </w:r>
          </w:p>
        </w:tc>
        <w:tc>
          <w:tcPr>
            <w:tcW w:w="4860" w:type="dxa"/>
            <w:tcBorders>
              <w:top w:val="single" w:sz="4" w:space="0" w:color="auto"/>
              <w:left w:val="single" w:sz="4" w:space="0" w:color="auto"/>
              <w:bottom w:val="single" w:sz="4" w:space="0" w:color="auto"/>
              <w:right w:val="single" w:sz="4" w:space="0" w:color="auto"/>
            </w:tcBorders>
          </w:tcPr>
          <w:p w14:paraId="5762066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discussions</w:t>
            </w:r>
          </w:p>
          <w:p w14:paraId="57620669" w14:textId="77777777" w:rsidR="00A56EE9" w:rsidRPr="00857DB2"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Guidelines: Managing research in the Great Barrier Reef Marine Park</w:t>
            </w:r>
          </w:p>
        </w:tc>
        <w:tc>
          <w:tcPr>
            <w:tcW w:w="987" w:type="dxa"/>
            <w:tcBorders>
              <w:top w:val="single" w:sz="4" w:space="0" w:color="auto"/>
              <w:left w:val="single" w:sz="4" w:space="0" w:color="auto"/>
              <w:bottom w:val="single" w:sz="4" w:space="0" w:color="auto"/>
              <w:right w:val="single" w:sz="4" w:space="0" w:color="auto"/>
            </w:tcBorders>
          </w:tcPr>
          <w:p w14:paraId="5762066A"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66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67F"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6D"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 xml:space="preserve">The outputs relating to </w:t>
            </w:r>
            <w:r>
              <w:rPr>
                <w:rStyle w:val="BookTitle"/>
              </w:rPr>
              <w:t>research activities</w:t>
            </w:r>
            <w:r w:rsidRPr="00E70A11">
              <w:rPr>
                <w:rStyle w:val="BookTitle"/>
              </w:rPr>
              <w:t xml:space="preserve"> are on track to ensure the values of the Great Barrier Reef are protected (refer CO1)</w:t>
            </w:r>
          </w:p>
        </w:tc>
        <w:tc>
          <w:tcPr>
            <w:tcW w:w="1672" w:type="dxa"/>
            <w:tcBorders>
              <w:top w:val="single" w:sz="4" w:space="0" w:color="auto"/>
              <w:left w:val="single" w:sz="4" w:space="0" w:color="auto"/>
              <w:bottom w:val="single" w:sz="4" w:space="0" w:color="auto"/>
              <w:right w:val="single" w:sz="4" w:space="0" w:color="auto"/>
            </w:tcBorders>
          </w:tcPr>
          <w:p w14:paraId="5762066E"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6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The system of accreditation, codes of conduct and environmental management plans has reduced the number of research projects requiring a specific permit, thereby reducing administrative workloads for scientists and Marine Park managers. </w:t>
            </w:r>
          </w:p>
          <w:p w14:paraId="57620670"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is increasingly targeted on addressing issues of key management concern and the publication of GBR Research Needs is likely to continue this trend</w:t>
            </w:r>
          </w:p>
          <w:p w14:paraId="57620671"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More research is being undertaken through partnerships between management agencies and researchers and research institutions although some concerns have been raised about the need to ensure the extent/speed of translation of this research into management</w:t>
            </w:r>
          </w:p>
          <w:p w14:paraId="5762067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Marine Monitoring Program reports continue to provide valuable information for management agencies and others.</w:t>
            </w:r>
          </w:p>
          <w:p w14:paraId="5762067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wide range of Vulnerability Assessments are available on GBRMPA’s website, including several new ones</w:t>
            </w:r>
          </w:p>
          <w:p w14:paraId="5762067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GBRMPA’s new Research Guidelines provide clearer and additional guidance for researchers and permissions assessors regarding expectations and requirements regarding research and impact management, .e.g. when considering research locations and activities being cognisant of awareness of recent environmental disturbances such as coral bleaching.</w:t>
            </w:r>
          </w:p>
          <w:p w14:paraId="5762067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2016-17 saw mass coral bleaching across large sections of the Reef and there is current focus among researchers and management agencies on exploring reef restoration and resilience techniques.</w:t>
            </w:r>
          </w:p>
          <w:p w14:paraId="5762067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 National Bleaching Taskforce (GBRMPA, JCU, AIMS) was formed to coordinate research in relation to the bleaching event.</w:t>
            </w:r>
          </w:p>
          <w:p w14:paraId="5762067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During 2016 and 2017 the Zoning Plan Part 5(4) provisions were used by GBRMPA to enable research by AIMS/JCU/GBRMPA as part of the coral bleaching response and work by other research institution on coral larval re-seeding technique development.</w:t>
            </w:r>
          </w:p>
          <w:p w14:paraId="5762067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2017 GBRMPA issued a research permission for trial of regrowing coral fragments on artificial tree structures at Fitzroy Island.</w:t>
            </w:r>
            <w:r>
              <w:rPr>
                <w:rStyle w:val="BookTitle"/>
                <w:rFonts w:ascii="Arial Narrow" w:hAnsi="Arial Narrow"/>
                <w:sz w:val="18"/>
                <w:szCs w:val="18"/>
              </w:rPr>
              <w:t xml:space="preserve"> </w:t>
            </w:r>
            <w:r w:rsidRPr="00EE767E">
              <w:rPr>
                <w:rStyle w:val="BookTitle"/>
                <w:rFonts w:ascii="Arial Narrow" w:hAnsi="Arial Narrow"/>
                <w:sz w:val="18"/>
                <w:szCs w:val="18"/>
              </w:rPr>
              <w:t>In 2018 a permit was issued for a coral gardening pilot study at Opal Reef. This is a collaboration between researchers and a tourism operator.</w:t>
            </w:r>
          </w:p>
        </w:tc>
        <w:tc>
          <w:tcPr>
            <w:tcW w:w="4860" w:type="dxa"/>
            <w:tcBorders>
              <w:top w:val="single" w:sz="4" w:space="0" w:color="auto"/>
              <w:left w:val="single" w:sz="4" w:space="0" w:color="auto"/>
              <w:bottom w:val="single" w:sz="4" w:space="0" w:color="auto"/>
              <w:right w:val="single" w:sz="4" w:space="0" w:color="auto"/>
            </w:tcBorders>
          </w:tcPr>
          <w:p w14:paraId="57620679"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 discussions and stakeholder interviews</w:t>
            </w:r>
          </w:p>
          <w:p w14:paraId="5762067A"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Marine Monitoring Program reports</w:t>
            </w:r>
          </w:p>
          <w:p w14:paraId="5762067B"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GBRMPA’s new Research Guidelines</w:t>
            </w:r>
          </w:p>
          <w:p w14:paraId="5762067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National Bleaching Taskforce</w:t>
            </w:r>
          </w:p>
        </w:tc>
        <w:tc>
          <w:tcPr>
            <w:tcW w:w="987" w:type="dxa"/>
            <w:tcBorders>
              <w:top w:val="single" w:sz="4" w:space="0" w:color="auto"/>
              <w:left w:val="single" w:sz="4" w:space="0" w:color="auto"/>
              <w:bottom w:val="single" w:sz="4" w:space="0" w:color="auto"/>
              <w:right w:val="single" w:sz="4" w:space="0" w:color="auto"/>
            </w:tcBorders>
          </w:tcPr>
          <w:p w14:paraId="5762067D"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67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689"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80"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 xml:space="preserve">the outputs (refer OP1 and 3) for </w:t>
            </w:r>
            <w:r>
              <w:rPr>
                <w:rStyle w:val="BookTitle"/>
              </w:rPr>
              <w:t>research activities</w:t>
            </w:r>
            <w:r w:rsidRPr="00E70A11">
              <w:rPr>
                <w:rStyle w:val="BookTitle"/>
              </w:rPr>
              <w:t xml:space="preserve"> are reducing the major risks and the threats to the Great Barrier Reef</w:t>
            </w:r>
          </w:p>
        </w:tc>
        <w:tc>
          <w:tcPr>
            <w:tcW w:w="1672" w:type="dxa"/>
            <w:tcBorders>
              <w:top w:val="single" w:sz="4" w:space="0" w:color="auto"/>
              <w:left w:val="single" w:sz="4" w:space="0" w:color="auto"/>
              <w:bottom w:val="single" w:sz="4" w:space="0" w:color="auto"/>
              <w:right w:val="single" w:sz="4" w:space="0" w:color="auto"/>
            </w:tcBorders>
          </w:tcPr>
          <w:p w14:paraId="57620681"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8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general, research is not seen to have a large and detrimental impact on the reef ecosystem. However around research stations – cumulative use should be understood – even if it is potentially a low risk.</w:t>
            </w:r>
          </w:p>
          <w:p w14:paraId="57620683"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Much of the research that occur in the Region makes a positive contribution to managers’ understanding of ecosystems, process and impacts.</w:t>
            </w:r>
          </w:p>
          <w:p w14:paraId="5762068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Online research permit collection reports are being scoped in the new RMS.</w:t>
            </w:r>
          </w:p>
          <w:p w14:paraId="5762068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Research on its own has limited impact on major risks and threats</w:t>
            </w:r>
          </w:p>
        </w:tc>
        <w:tc>
          <w:tcPr>
            <w:tcW w:w="4860" w:type="dxa"/>
            <w:tcBorders>
              <w:top w:val="single" w:sz="4" w:space="0" w:color="auto"/>
              <w:left w:val="single" w:sz="4" w:space="0" w:color="auto"/>
              <w:bottom w:val="single" w:sz="4" w:space="0" w:color="auto"/>
              <w:right w:val="single" w:sz="4" w:space="0" w:color="auto"/>
            </w:tcBorders>
          </w:tcPr>
          <w:p w14:paraId="57620686" w14:textId="77777777" w:rsidR="00A56EE9" w:rsidRPr="00857DB2"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87" w:type="dxa"/>
            <w:tcBorders>
              <w:top w:val="single" w:sz="4" w:space="0" w:color="auto"/>
              <w:left w:val="single" w:sz="4" w:space="0" w:color="auto"/>
              <w:bottom w:val="single" w:sz="4" w:space="0" w:color="auto"/>
              <w:right w:val="single" w:sz="4" w:space="0" w:color="auto"/>
            </w:tcBorders>
          </w:tcPr>
          <w:p w14:paraId="57620687"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68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692"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8A"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 xml:space="preserve">Use of the Great Barrier Reef relating to </w:t>
            </w:r>
            <w:r>
              <w:rPr>
                <w:rStyle w:val="BookTitle"/>
              </w:rPr>
              <w:t>research activities</w:t>
            </w:r>
            <w:r w:rsidRPr="00E70A11">
              <w:rPr>
                <w:rStyle w:val="BookTitle"/>
              </w:rPr>
              <w:t xml:space="preserve"> is demonstrably environmentally sustainable</w:t>
            </w:r>
          </w:p>
        </w:tc>
        <w:tc>
          <w:tcPr>
            <w:tcW w:w="1672" w:type="dxa"/>
            <w:tcBorders>
              <w:top w:val="single" w:sz="4" w:space="0" w:color="auto"/>
              <w:left w:val="single" w:sz="4" w:space="0" w:color="auto"/>
              <w:bottom w:val="single" w:sz="4" w:space="0" w:color="auto"/>
              <w:right w:val="single" w:sz="4" w:space="0" w:color="auto"/>
            </w:tcBorders>
          </w:tcPr>
          <w:p w14:paraId="5762068B"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8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 general, research is not seen to have a large and detrimental impact on the reef ecosystem.</w:t>
            </w:r>
          </w:p>
          <w:p w14:paraId="5762068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Collaboration between management agencies and researcher organisations means that there is greater awareness of potential research impacts.</w:t>
            </w:r>
          </w:p>
          <w:p w14:paraId="5762068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Following the 2016-17 bleaching events, the Permits section at GBRMPA wrote to every researchers which had a permit to collect coral – asking them to minimise coral collection</w:t>
            </w:r>
          </w:p>
        </w:tc>
        <w:tc>
          <w:tcPr>
            <w:tcW w:w="4860" w:type="dxa"/>
            <w:tcBorders>
              <w:top w:val="single" w:sz="4" w:space="0" w:color="auto"/>
              <w:left w:val="single" w:sz="4" w:space="0" w:color="auto"/>
              <w:bottom w:val="single" w:sz="4" w:space="0" w:color="auto"/>
              <w:right w:val="single" w:sz="4" w:space="0" w:color="auto"/>
            </w:tcBorders>
          </w:tcPr>
          <w:p w14:paraId="5762068F" w14:textId="77777777" w:rsidR="00A56EE9" w:rsidRPr="00857DB2"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tc>
        <w:tc>
          <w:tcPr>
            <w:tcW w:w="987" w:type="dxa"/>
            <w:tcBorders>
              <w:top w:val="single" w:sz="4" w:space="0" w:color="auto"/>
              <w:left w:val="single" w:sz="4" w:space="0" w:color="auto"/>
              <w:bottom w:val="single" w:sz="4" w:space="0" w:color="auto"/>
              <w:right w:val="single" w:sz="4" w:space="0" w:color="auto"/>
            </w:tcBorders>
          </w:tcPr>
          <w:p w14:paraId="57620690" w14:textId="3DC840EA" w:rsidR="00A56EE9" w:rsidRPr="00E70A11" w:rsidRDefault="00E931E7" w:rsidP="00BB6AD5">
            <w:pPr>
              <w:pStyle w:val="Tablebulletlist"/>
              <w:rPr>
                <w:rStyle w:val="BookTitle"/>
              </w:rPr>
            </w:pPr>
            <w:r>
              <w:rPr>
                <w:rStyle w:val="BookTitle"/>
              </w:rPr>
              <w:t xml:space="preserve">adequate </w:t>
            </w:r>
          </w:p>
        </w:tc>
        <w:tc>
          <w:tcPr>
            <w:tcW w:w="856" w:type="dxa"/>
            <w:tcBorders>
              <w:top w:val="single" w:sz="4" w:space="0" w:color="auto"/>
              <w:left w:val="single" w:sz="4" w:space="0" w:color="auto"/>
              <w:bottom w:val="single" w:sz="4" w:space="0" w:color="auto"/>
              <w:right w:val="single" w:sz="4" w:space="0" w:color="auto"/>
            </w:tcBorders>
          </w:tcPr>
          <w:p w14:paraId="57620691" w14:textId="3B6C8A55" w:rsidR="00A56EE9" w:rsidRPr="00E70A11" w:rsidRDefault="00E931E7" w:rsidP="00BB6AD5">
            <w:pPr>
              <w:pStyle w:val="Tablebulletlist"/>
              <w:rPr>
                <w:rStyle w:val="BookTitle"/>
              </w:rPr>
            </w:pPr>
            <w:r>
              <w:rPr>
                <w:rStyle w:val="BookTitle"/>
              </w:rPr>
              <w:t>stable</w:t>
            </w:r>
          </w:p>
        </w:tc>
      </w:tr>
      <w:tr w:rsidR="00A56EE9" w:rsidRPr="00E70A11" w14:paraId="57620699"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93"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 xml:space="preserve">Use of the Great Barrier Reef relating to </w:t>
            </w:r>
            <w:r>
              <w:rPr>
                <w:rStyle w:val="BookTitle"/>
              </w:rPr>
              <w:t>research activities</w:t>
            </w:r>
            <w:r w:rsidRPr="00E70A11">
              <w:rPr>
                <w:rStyle w:val="BookTitle"/>
              </w:rPr>
              <w:t xml:space="preserve"> is demonstrably economically sustainable</w:t>
            </w:r>
          </w:p>
        </w:tc>
        <w:tc>
          <w:tcPr>
            <w:tcW w:w="1672" w:type="dxa"/>
            <w:tcBorders>
              <w:top w:val="single" w:sz="4" w:space="0" w:color="auto"/>
              <w:left w:val="single" w:sz="4" w:space="0" w:color="auto"/>
              <w:bottom w:val="single" w:sz="4" w:space="0" w:color="auto"/>
              <w:right w:val="single" w:sz="4" w:space="0" w:color="auto"/>
            </w:tcBorders>
          </w:tcPr>
          <w:p w14:paraId="57620694" w14:textId="77777777" w:rsidR="00A56EE9" w:rsidRPr="00E70A11" w:rsidRDefault="00A56EE9" w:rsidP="00BB6AD5">
            <w:pPr>
              <w:pStyle w:val="Tablebulletlist"/>
              <w:rPr>
                <w:rStyle w:val="BookTitle"/>
              </w:rPr>
            </w:pPr>
            <w:r w:rsidRPr="00E70A11">
              <w:rPr>
                <w:rStyle w:val="BookTitle"/>
              </w:rPr>
              <w:t>N/A</w:t>
            </w:r>
          </w:p>
        </w:tc>
        <w:tc>
          <w:tcPr>
            <w:tcW w:w="3899" w:type="dxa"/>
            <w:tcBorders>
              <w:top w:val="single" w:sz="4" w:space="0" w:color="auto"/>
              <w:left w:val="single" w:sz="4" w:space="0" w:color="auto"/>
              <w:bottom w:val="single" w:sz="4" w:space="0" w:color="auto"/>
              <w:right w:val="single" w:sz="4" w:space="0" w:color="auto"/>
            </w:tcBorders>
          </w:tcPr>
          <w:p w14:paraId="57620695" w14:textId="77777777" w:rsidR="00A56EE9" w:rsidRPr="00E70A11" w:rsidRDefault="00A56EE9" w:rsidP="00BB6AD5">
            <w:pPr>
              <w:pStyle w:val="ListParagraph"/>
              <w:ind w:left="360"/>
              <w:rPr>
                <w:rStyle w:val="BookTitle"/>
                <w:rFonts w:ascii="Arial Narrow" w:hAnsi="Arial Narrow"/>
                <w:sz w:val="18"/>
                <w:szCs w:val="18"/>
              </w:rPr>
            </w:pPr>
          </w:p>
        </w:tc>
        <w:tc>
          <w:tcPr>
            <w:tcW w:w="4860" w:type="dxa"/>
            <w:tcBorders>
              <w:top w:val="single" w:sz="4" w:space="0" w:color="auto"/>
              <w:left w:val="single" w:sz="4" w:space="0" w:color="auto"/>
              <w:bottom w:val="single" w:sz="4" w:space="0" w:color="auto"/>
              <w:right w:val="single" w:sz="4" w:space="0" w:color="auto"/>
            </w:tcBorders>
          </w:tcPr>
          <w:p w14:paraId="57620696" w14:textId="77777777" w:rsidR="00A56EE9" w:rsidRPr="00E70A11" w:rsidRDefault="00A56EE9" w:rsidP="00BB6AD5">
            <w:pPr>
              <w:pStyle w:val="ListParagraph"/>
              <w:ind w:left="360"/>
              <w:rPr>
                <w:rStyle w:val="BookTitle"/>
                <w:rFonts w:ascii="Arial Narrow" w:hAnsi="Arial Narrow"/>
                <w:sz w:val="18"/>
                <w:szCs w:val="18"/>
              </w:rPr>
            </w:pPr>
          </w:p>
        </w:tc>
        <w:tc>
          <w:tcPr>
            <w:tcW w:w="987" w:type="dxa"/>
            <w:tcBorders>
              <w:top w:val="single" w:sz="4" w:space="0" w:color="auto"/>
              <w:left w:val="single" w:sz="4" w:space="0" w:color="auto"/>
              <w:bottom w:val="single" w:sz="4" w:space="0" w:color="auto"/>
              <w:right w:val="single" w:sz="4" w:space="0" w:color="auto"/>
            </w:tcBorders>
          </w:tcPr>
          <w:p w14:paraId="57620697" w14:textId="77777777" w:rsidR="00A56EE9" w:rsidRPr="00E70A11" w:rsidRDefault="00A56EE9" w:rsidP="00BB6AD5">
            <w:pPr>
              <w:pStyle w:val="Tablebulletlist"/>
              <w:rPr>
                <w:rStyle w:val="BookTitle"/>
              </w:rPr>
            </w:pPr>
          </w:p>
        </w:tc>
        <w:tc>
          <w:tcPr>
            <w:tcW w:w="856" w:type="dxa"/>
            <w:tcBorders>
              <w:top w:val="single" w:sz="4" w:space="0" w:color="auto"/>
              <w:left w:val="single" w:sz="4" w:space="0" w:color="auto"/>
              <w:bottom w:val="single" w:sz="4" w:space="0" w:color="auto"/>
              <w:right w:val="single" w:sz="4" w:space="0" w:color="auto"/>
            </w:tcBorders>
          </w:tcPr>
          <w:p w14:paraId="57620698" w14:textId="77777777" w:rsidR="00A56EE9" w:rsidRPr="00E70A11" w:rsidRDefault="00A56EE9" w:rsidP="00BB6AD5">
            <w:pPr>
              <w:pStyle w:val="Tablebulletlist"/>
              <w:rPr>
                <w:rStyle w:val="BookTitle"/>
              </w:rPr>
            </w:pPr>
          </w:p>
        </w:tc>
      </w:tr>
      <w:tr w:rsidR="00A56EE9" w:rsidRPr="00E70A11" w14:paraId="576206A5"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9A"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 xml:space="preserve">Use of the Great Barrier Reef relating to </w:t>
            </w:r>
            <w:r>
              <w:rPr>
                <w:rStyle w:val="BookTitle"/>
              </w:rPr>
              <w:t>research activities</w:t>
            </w:r>
            <w:r w:rsidRPr="00E70A11">
              <w:rPr>
                <w:rStyle w:val="BookTitle"/>
              </w:rPr>
              <w:t xml:space="preserve"> is demonstrably socially sustainable understanding and/or enjoyment</w:t>
            </w:r>
          </w:p>
        </w:tc>
        <w:tc>
          <w:tcPr>
            <w:tcW w:w="1672" w:type="dxa"/>
            <w:tcBorders>
              <w:top w:val="single" w:sz="4" w:space="0" w:color="auto"/>
              <w:left w:val="single" w:sz="4" w:space="0" w:color="auto"/>
              <w:bottom w:val="single" w:sz="4" w:space="0" w:color="auto"/>
              <w:right w:val="single" w:sz="4" w:space="0" w:color="auto"/>
            </w:tcBorders>
          </w:tcPr>
          <w:p w14:paraId="5762069B"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9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GBRMPA does very little of its own research, however it uses published research to inform its management decisions and to help educate the public. The GBRMPA works closely with research institutions such as the ARC Centre of Excellence for Coral Reef Studies, AIMS, etc. which publish research results, provide public fora about their research and disseminate it through the media so that it enhances community understanding and/or enjoyment.</w:t>
            </w:r>
          </w:p>
          <w:p w14:paraId="5762069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Dissemination of research through a variety of channels (Outlook Online, GBRMPA website etc) improves community understanding of GBR issues</w:t>
            </w:r>
          </w:p>
          <w:p w14:paraId="5762069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The Scientific Research (Orange) Zone makes up less than one per cent of the Marine Park so exclusion of other use for scientific research has minimal impact on other reef users</w:t>
            </w:r>
          </w:p>
        </w:tc>
        <w:tc>
          <w:tcPr>
            <w:tcW w:w="4860" w:type="dxa"/>
            <w:tcBorders>
              <w:top w:val="single" w:sz="4" w:space="0" w:color="auto"/>
              <w:left w:val="single" w:sz="4" w:space="0" w:color="auto"/>
              <w:bottom w:val="single" w:sz="4" w:space="0" w:color="auto"/>
              <w:right w:val="single" w:sz="4" w:space="0" w:color="auto"/>
            </w:tcBorders>
          </w:tcPr>
          <w:p w14:paraId="5762069F"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6A0"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Outlook Online, </w:t>
            </w:r>
          </w:p>
          <w:p w14:paraId="576206A1"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website</w:t>
            </w:r>
          </w:p>
          <w:p w14:paraId="576206A2"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ARC Centre of Excellence for Coral Reef Studies, AIMS</w:t>
            </w:r>
          </w:p>
        </w:tc>
        <w:tc>
          <w:tcPr>
            <w:tcW w:w="987" w:type="dxa"/>
            <w:tcBorders>
              <w:top w:val="single" w:sz="4" w:space="0" w:color="auto"/>
              <w:left w:val="single" w:sz="4" w:space="0" w:color="auto"/>
              <w:bottom w:val="single" w:sz="4" w:space="0" w:color="auto"/>
              <w:right w:val="single" w:sz="4" w:space="0" w:color="auto"/>
            </w:tcBorders>
          </w:tcPr>
          <w:p w14:paraId="576206A3"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6A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6B7" w14:textId="77777777" w:rsidTr="00BB6AD5">
        <w:trPr>
          <w:trHeight w:val="170"/>
        </w:trPr>
        <w:tc>
          <w:tcPr>
            <w:tcW w:w="2288" w:type="dxa"/>
            <w:tcBorders>
              <w:top w:val="single" w:sz="4" w:space="0" w:color="auto"/>
              <w:left w:val="single" w:sz="4" w:space="0" w:color="auto"/>
              <w:bottom w:val="single" w:sz="4" w:space="0" w:color="auto"/>
              <w:right w:val="single" w:sz="4" w:space="0" w:color="auto"/>
            </w:tcBorders>
          </w:tcPr>
          <w:p w14:paraId="576206A6"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w:t>
            </w:r>
            <w:r>
              <w:rPr>
                <w:rStyle w:val="BookTitle"/>
              </w:rPr>
              <w:t>research activities</w:t>
            </w:r>
            <w:r w:rsidRPr="00E70A11">
              <w:rPr>
                <w:rStyle w:val="BookTitle"/>
              </w:rPr>
              <w:t xml:space="preserve"> </w:t>
            </w:r>
          </w:p>
        </w:tc>
        <w:tc>
          <w:tcPr>
            <w:tcW w:w="1672" w:type="dxa"/>
            <w:tcBorders>
              <w:top w:val="single" w:sz="4" w:space="0" w:color="auto"/>
              <w:left w:val="single" w:sz="4" w:space="0" w:color="auto"/>
              <w:bottom w:val="single" w:sz="4" w:space="0" w:color="auto"/>
              <w:right w:val="single" w:sz="4" w:space="0" w:color="auto"/>
            </w:tcBorders>
          </w:tcPr>
          <w:p w14:paraId="576206A7" w14:textId="77777777" w:rsidR="00A56EE9" w:rsidRPr="00E70A11" w:rsidRDefault="00A56EE9" w:rsidP="00BB6AD5">
            <w:pPr>
              <w:pStyle w:val="Tablebulletlist"/>
              <w:rPr>
                <w:rStyle w:val="BookTitle"/>
              </w:rPr>
            </w:pPr>
            <w:r w:rsidRPr="00E70A11">
              <w:rPr>
                <w:rStyle w:val="BookTitle"/>
              </w:rPr>
              <w:t>4</w:t>
            </w:r>
          </w:p>
        </w:tc>
        <w:tc>
          <w:tcPr>
            <w:tcW w:w="3899" w:type="dxa"/>
            <w:tcBorders>
              <w:top w:val="single" w:sz="4" w:space="0" w:color="auto"/>
              <w:left w:val="single" w:sz="4" w:space="0" w:color="auto"/>
              <w:bottom w:val="single" w:sz="4" w:space="0" w:color="auto"/>
              <w:right w:val="single" w:sz="4" w:space="0" w:color="auto"/>
            </w:tcBorders>
          </w:tcPr>
          <w:p w14:paraId="576206A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DoEE and others (such as the Great Barrier Reef Foundation) help facilitate the delivery of the science needed to protect and manage the World Heritage Area through strategic funding programs and close working relationships with researchers from organisations such as AIMS, CSIRO, JCU, UQ etc. (e.g. NESP and Science for Management Awards).</w:t>
            </w:r>
          </w:p>
          <w:p w14:paraId="576206A9"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 program has established effective research and monitoring partnership with stakeholders and the reef users</w:t>
            </w:r>
          </w:p>
          <w:p w14:paraId="576206AA"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GBRMPA has a close relationship with the key research/educational institutions in relation to how scientific research is managed in the GBR. </w:t>
            </w:r>
          </w:p>
          <w:p w14:paraId="576206AB"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GBRMPA is represented on the JCU Centre of Excellence for Coral Reef Studies’ Advisory Board and its Science Management Committee</w:t>
            </w:r>
          </w:p>
          <w:p w14:paraId="576206A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Under the CYPAL the QPWS follow a ‘Permits to take, use, keep or interfere with Natural Resources Protocol’ (PTUKI) where researchers want to take things within a Traditional Owners land/sea country. This protocol implements a respectful governance arrangements where there is formal notification, involvement and data sharing between western s</w:t>
            </w:r>
            <w:r>
              <w:rPr>
                <w:rStyle w:val="BookTitle"/>
                <w:rFonts w:ascii="Arial Narrow" w:hAnsi="Arial Narrow"/>
                <w:sz w:val="18"/>
                <w:szCs w:val="18"/>
              </w:rPr>
              <w:t xml:space="preserve">cience and Traditional owners. </w:t>
            </w:r>
            <w:r w:rsidRPr="00E70A11">
              <w:rPr>
                <w:rStyle w:val="BookTitle"/>
                <w:rFonts w:ascii="Arial Narrow" w:hAnsi="Arial Narrow"/>
                <w:sz w:val="18"/>
                <w:szCs w:val="18"/>
              </w:rPr>
              <w:t xml:space="preserve">– </w:t>
            </w:r>
            <w:proofErr w:type="gramStart"/>
            <w:r w:rsidRPr="00E70A11">
              <w:rPr>
                <w:rStyle w:val="BookTitle"/>
                <w:rFonts w:ascii="Arial Narrow" w:hAnsi="Arial Narrow"/>
                <w:sz w:val="18"/>
                <w:szCs w:val="18"/>
              </w:rPr>
              <w:t>the</w:t>
            </w:r>
            <w:proofErr w:type="gramEnd"/>
            <w:r w:rsidRPr="00E70A11">
              <w:rPr>
                <w:rStyle w:val="BookTitle"/>
                <w:rFonts w:ascii="Arial Narrow" w:hAnsi="Arial Narrow"/>
                <w:sz w:val="18"/>
                <w:szCs w:val="18"/>
              </w:rPr>
              <w:t xml:space="preserve"> Shelburne Bay agreement was put in place in 2016 with the Wuthathi Traditional Owners.</w:t>
            </w:r>
          </w:p>
          <w:p w14:paraId="576206AD"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 xml:space="preserve">Information Sheets produced by Traditional Owner groups (in partnership with QPWS) advice visitors and researchers on how to conduct their activities within their land and sea country (See REF 4 – Stanley Islands). </w:t>
            </w:r>
          </w:p>
          <w:p w14:paraId="576206AE"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Woppaburra Guidelines is the first of its kind and was built form developing effective partnerships with Woppaburra Traditional Owners. It is currently being implemented throughout the permit system for any activities that meet the trigger points for referral in the Keppel Island group.</w:t>
            </w:r>
          </w:p>
          <w:p w14:paraId="576206AF"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Raine Island Management Plan sets out governance arrangements, partnerships and is leading to collaborative outcomes regarding science, monitoring and restoration.</w:t>
            </w:r>
          </w:p>
        </w:tc>
        <w:tc>
          <w:tcPr>
            <w:tcW w:w="4860" w:type="dxa"/>
            <w:tcBorders>
              <w:top w:val="single" w:sz="4" w:space="0" w:color="auto"/>
              <w:left w:val="single" w:sz="4" w:space="0" w:color="auto"/>
              <w:bottom w:val="single" w:sz="4" w:space="0" w:color="auto"/>
              <w:right w:val="single" w:sz="4" w:space="0" w:color="auto"/>
            </w:tcBorders>
          </w:tcPr>
          <w:p w14:paraId="576206B0"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Workshops and stakeholder interviews</w:t>
            </w:r>
          </w:p>
          <w:p w14:paraId="576206B1"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Eye on the Reef</w:t>
            </w:r>
          </w:p>
          <w:p w14:paraId="576206B2"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Information Sheets produced by Traditional Owner groups</w:t>
            </w:r>
          </w:p>
          <w:p w14:paraId="576206B3" w14:textId="77777777" w:rsidR="00A56EE9"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Woppaburra Guidelines</w:t>
            </w:r>
          </w:p>
          <w:p w14:paraId="576206B4"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Style w:val="BookTitle"/>
                <w:rFonts w:ascii="Arial Narrow" w:hAnsi="Arial Narrow"/>
                <w:sz w:val="18"/>
                <w:szCs w:val="18"/>
              </w:rPr>
              <w:t>Raine Island Management Plan</w:t>
            </w:r>
          </w:p>
        </w:tc>
        <w:tc>
          <w:tcPr>
            <w:tcW w:w="987" w:type="dxa"/>
            <w:tcBorders>
              <w:top w:val="single" w:sz="4" w:space="0" w:color="auto"/>
              <w:left w:val="single" w:sz="4" w:space="0" w:color="auto"/>
              <w:bottom w:val="single" w:sz="4" w:space="0" w:color="auto"/>
              <w:right w:val="single" w:sz="4" w:space="0" w:color="auto"/>
            </w:tcBorders>
          </w:tcPr>
          <w:p w14:paraId="576206B5" w14:textId="77777777" w:rsidR="00A56EE9" w:rsidRPr="00E70A11" w:rsidRDefault="00A56EE9" w:rsidP="00BB6AD5">
            <w:pPr>
              <w:pStyle w:val="Tablebulletlist"/>
              <w:rPr>
                <w:rStyle w:val="BookTitle"/>
              </w:rPr>
            </w:pPr>
            <w:r w:rsidRPr="00E70A11">
              <w:rPr>
                <w:rStyle w:val="BookTitle"/>
              </w:rPr>
              <w:t>adequate</w:t>
            </w:r>
          </w:p>
        </w:tc>
        <w:tc>
          <w:tcPr>
            <w:tcW w:w="856" w:type="dxa"/>
            <w:tcBorders>
              <w:top w:val="single" w:sz="4" w:space="0" w:color="auto"/>
              <w:left w:val="single" w:sz="4" w:space="0" w:color="auto"/>
              <w:bottom w:val="single" w:sz="4" w:space="0" w:color="auto"/>
              <w:right w:val="single" w:sz="4" w:space="0" w:color="auto"/>
            </w:tcBorders>
          </w:tcPr>
          <w:p w14:paraId="576206B6" w14:textId="77777777" w:rsidR="00A56EE9" w:rsidRPr="00E70A11" w:rsidRDefault="00A56EE9" w:rsidP="00BB6AD5">
            <w:pPr>
              <w:pStyle w:val="Tablebulletlist"/>
              <w:rPr>
                <w:rStyle w:val="BookTitle"/>
              </w:rPr>
            </w:pPr>
            <w:r w:rsidRPr="00E70A11">
              <w:rPr>
                <w:rStyle w:val="BookTitle"/>
              </w:rPr>
              <w:t>improving</w:t>
            </w:r>
          </w:p>
        </w:tc>
      </w:tr>
    </w:tbl>
    <w:p w14:paraId="576206B8" w14:textId="77777777" w:rsidR="00A56EE9" w:rsidRPr="00E70A11" w:rsidRDefault="00A56EE9" w:rsidP="00BB6AD5">
      <w:pPr>
        <w:rPr>
          <w:rFonts w:ascii="Arial Narrow" w:hAnsi="Arial Narrow"/>
          <w:sz w:val="18"/>
          <w:szCs w:val="18"/>
        </w:rPr>
      </w:pPr>
    </w:p>
    <w:p w14:paraId="576206B9" w14:textId="77777777" w:rsidR="00A56EE9" w:rsidRPr="00E70A11" w:rsidRDefault="00A56EE9" w:rsidP="00BB6AD5">
      <w:pPr>
        <w:rPr>
          <w:rFonts w:ascii="Arial Narrow" w:hAnsi="Arial Narrow"/>
          <w:sz w:val="18"/>
          <w:szCs w:val="18"/>
        </w:rPr>
      </w:pPr>
    </w:p>
    <w:p w14:paraId="576206BA" w14:textId="77777777" w:rsidR="00A56EE9" w:rsidRPr="00E70A11" w:rsidRDefault="00A56EE9" w:rsidP="00BB6AD5">
      <w:pPr>
        <w:rPr>
          <w:rFonts w:ascii="Arial Narrow" w:eastAsia="Calibri" w:hAnsi="Arial Narrow"/>
          <w:b/>
          <w:sz w:val="18"/>
          <w:szCs w:val="18"/>
        </w:rPr>
      </w:pPr>
      <w:bookmarkStart w:id="227" w:name="_Toc369686757"/>
      <w:r w:rsidRPr="00E70A11">
        <w:rPr>
          <w:rFonts w:ascii="Arial Narrow" w:eastAsia="Calibri" w:hAnsi="Arial Narrow"/>
          <w:b/>
          <w:sz w:val="18"/>
          <w:szCs w:val="18"/>
        </w:rPr>
        <w:br w:type="page"/>
      </w:r>
    </w:p>
    <w:p w14:paraId="576206BB" w14:textId="4D50336F" w:rsidR="00A56EE9" w:rsidRPr="00E70A11" w:rsidRDefault="00A56EE9" w:rsidP="009C7D6F">
      <w:pPr>
        <w:pStyle w:val="Heading4"/>
      </w:pPr>
      <w:bookmarkStart w:id="228" w:name="_Toc369686756"/>
      <w:bookmarkStart w:id="229" w:name="_Toc522532013"/>
      <w:bookmarkStart w:id="230" w:name="_Toc525654480"/>
      <w:r>
        <w:t xml:space="preserve">Table </w:t>
      </w:r>
      <w:r>
        <w:rPr>
          <w:noProof/>
        </w:rPr>
        <w:fldChar w:fldCharType="begin"/>
      </w:r>
      <w:r>
        <w:rPr>
          <w:noProof/>
        </w:rPr>
        <w:instrText xml:space="preserve"> SEQ Table \* ARABIC </w:instrText>
      </w:r>
      <w:r>
        <w:rPr>
          <w:noProof/>
        </w:rPr>
        <w:fldChar w:fldCharType="separate"/>
      </w:r>
      <w:r w:rsidR="00A4170C">
        <w:rPr>
          <w:noProof/>
        </w:rPr>
        <w:t>35</w:t>
      </w:r>
      <w:r>
        <w:rPr>
          <w:noProof/>
        </w:rPr>
        <w:fldChar w:fldCharType="end"/>
      </w:r>
      <w:r>
        <w:t xml:space="preserve"> </w:t>
      </w:r>
      <w:r w:rsidRPr="00E70A11">
        <w:t>Calculation of grades for shipping</w:t>
      </w:r>
      <w:bookmarkEnd w:id="228"/>
      <w:bookmarkEnd w:id="229"/>
      <w:bookmarkEnd w:id="230"/>
    </w:p>
    <w:tbl>
      <w:tblPr>
        <w:tblW w:w="14579" w:type="dxa"/>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5 Calculation of grades for shipping"/>
        <w:tblDescription w:val="Table showing the ratings,  justificaiton and evidence for each of the components for the management effectiveness for shipping.    Confidence in the assessment and trend since Outlook 2014 is also provided."/>
      </w:tblPr>
      <w:tblGrid>
        <w:gridCol w:w="17"/>
        <w:gridCol w:w="3047"/>
        <w:gridCol w:w="17"/>
        <w:gridCol w:w="792"/>
        <w:gridCol w:w="17"/>
        <w:gridCol w:w="3776"/>
        <w:gridCol w:w="17"/>
        <w:gridCol w:w="5028"/>
        <w:gridCol w:w="17"/>
        <w:gridCol w:w="969"/>
        <w:gridCol w:w="17"/>
        <w:gridCol w:w="848"/>
        <w:gridCol w:w="17"/>
      </w:tblGrid>
      <w:tr w:rsidR="00A56EE9" w:rsidRPr="00E70A11" w14:paraId="576206C2"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6BC" w14:textId="77777777" w:rsidR="00A56EE9" w:rsidRPr="00E70A11" w:rsidRDefault="00A56EE9" w:rsidP="00BB6AD5">
            <w:pPr>
              <w:pStyle w:val="Tablebulletlist"/>
              <w:rPr>
                <w:rStyle w:val="BookTitle"/>
              </w:rPr>
            </w:pPr>
            <w:r w:rsidRPr="00E70A11">
              <w:rPr>
                <w:rStyle w:val="BookTitle"/>
              </w:rPr>
              <w:t>Component of Management</w:t>
            </w:r>
          </w:p>
        </w:tc>
        <w:tc>
          <w:tcPr>
            <w:tcW w:w="809" w:type="dxa"/>
            <w:gridSpan w:val="2"/>
            <w:tcBorders>
              <w:top w:val="single" w:sz="4" w:space="0" w:color="auto"/>
              <w:left w:val="single" w:sz="4" w:space="0" w:color="auto"/>
              <w:bottom w:val="single" w:sz="4" w:space="0" w:color="auto"/>
              <w:right w:val="single" w:sz="4" w:space="0" w:color="auto"/>
            </w:tcBorders>
          </w:tcPr>
          <w:p w14:paraId="576206BD" w14:textId="77777777" w:rsidR="00A56EE9" w:rsidRPr="00E70A11" w:rsidRDefault="00A56EE9" w:rsidP="00BB6AD5">
            <w:pPr>
              <w:pStyle w:val="Tablebulletlist"/>
              <w:rPr>
                <w:rStyle w:val="BookTitle"/>
              </w:rPr>
            </w:pPr>
            <w:r w:rsidRPr="00E70A11">
              <w:rPr>
                <w:rStyle w:val="BookTitle"/>
              </w:rPr>
              <w:t>Rating</w:t>
            </w:r>
          </w:p>
        </w:tc>
        <w:tc>
          <w:tcPr>
            <w:tcW w:w="3793" w:type="dxa"/>
            <w:gridSpan w:val="2"/>
            <w:tcBorders>
              <w:top w:val="single" w:sz="4" w:space="0" w:color="auto"/>
              <w:left w:val="single" w:sz="4" w:space="0" w:color="auto"/>
              <w:bottom w:val="single" w:sz="4" w:space="0" w:color="auto"/>
              <w:right w:val="single" w:sz="4" w:space="0" w:color="auto"/>
            </w:tcBorders>
          </w:tcPr>
          <w:p w14:paraId="576206BE" w14:textId="77777777" w:rsidR="00A56EE9" w:rsidRPr="00E70A11" w:rsidRDefault="00A56EE9" w:rsidP="00BB6AD5">
            <w:pPr>
              <w:pStyle w:val="Tablebulletlist"/>
              <w:rPr>
                <w:rStyle w:val="BookTitle"/>
              </w:rPr>
            </w:pPr>
            <w:r w:rsidRPr="00E70A11">
              <w:rPr>
                <w:rStyle w:val="BookTitle"/>
              </w:rPr>
              <w:t>Justification</w:t>
            </w:r>
          </w:p>
        </w:tc>
        <w:tc>
          <w:tcPr>
            <w:tcW w:w="5045" w:type="dxa"/>
            <w:gridSpan w:val="2"/>
            <w:tcBorders>
              <w:top w:val="single" w:sz="4" w:space="0" w:color="auto"/>
              <w:left w:val="single" w:sz="4" w:space="0" w:color="auto"/>
              <w:bottom w:val="single" w:sz="4" w:space="0" w:color="auto"/>
              <w:right w:val="single" w:sz="4" w:space="0" w:color="auto"/>
            </w:tcBorders>
          </w:tcPr>
          <w:p w14:paraId="576206BF" w14:textId="77777777" w:rsidR="00A56EE9" w:rsidRPr="00E70A11" w:rsidRDefault="00A56EE9" w:rsidP="00BB6AD5">
            <w:pPr>
              <w:pStyle w:val="Tablebulletlist"/>
              <w:rPr>
                <w:rStyle w:val="BookTitle"/>
              </w:rPr>
            </w:pPr>
            <w:r w:rsidRPr="00E70A11">
              <w:rPr>
                <w:rStyle w:val="BookTitle"/>
              </w:rPr>
              <w:t>Evidence/sources</w:t>
            </w:r>
          </w:p>
        </w:tc>
        <w:tc>
          <w:tcPr>
            <w:tcW w:w="986" w:type="dxa"/>
            <w:gridSpan w:val="2"/>
            <w:tcBorders>
              <w:top w:val="single" w:sz="4" w:space="0" w:color="auto"/>
              <w:left w:val="single" w:sz="4" w:space="0" w:color="auto"/>
              <w:bottom w:val="single" w:sz="4" w:space="0" w:color="auto"/>
              <w:right w:val="single" w:sz="4" w:space="0" w:color="auto"/>
            </w:tcBorders>
          </w:tcPr>
          <w:p w14:paraId="576206C0" w14:textId="77777777" w:rsidR="00A56EE9" w:rsidRPr="00E70A11" w:rsidRDefault="00A56EE9" w:rsidP="00BB6AD5">
            <w:pPr>
              <w:pStyle w:val="Tablebulletlist"/>
              <w:rPr>
                <w:rStyle w:val="BookTitle"/>
              </w:rPr>
            </w:pPr>
            <w:r w:rsidRPr="00E70A11">
              <w:rPr>
                <w:rStyle w:val="BookTitle"/>
              </w:rPr>
              <w:t>Confidence</w:t>
            </w:r>
          </w:p>
        </w:tc>
        <w:tc>
          <w:tcPr>
            <w:tcW w:w="865" w:type="dxa"/>
            <w:gridSpan w:val="2"/>
            <w:tcBorders>
              <w:top w:val="single" w:sz="4" w:space="0" w:color="auto"/>
              <w:left w:val="single" w:sz="4" w:space="0" w:color="auto"/>
              <w:bottom w:val="single" w:sz="4" w:space="0" w:color="auto"/>
              <w:right w:val="single" w:sz="4" w:space="0" w:color="auto"/>
            </w:tcBorders>
          </w:tcPr>
          <w:p w14:paraId="576206C1" w14:textId="77777777" w:rsidR="00A56EE9" w:rsidRPr="00E70A11" w:rsidRDefault="00A56EE9" w:rsidP="00BB6AD5">
            <w:pPr>
              <w:pStyle w:val="Tablebulletlist"/>
              <w:rPr>
                <w:rStyle w:val="BookTitle"/>
              </w:rPr>
            </w:pPr>
            <w:r w:rsidRPr="00E70A11">
              <w:rPr>
                <w:rStyle w:val="BookTitle"/>
              </w:rPr>
              <w:t>Trend</w:t>
            </w:r>
          </w:p>
        </w:tc>
      </w:tr>
      <w:tr w:rsidR="00A56EE9" w:rsidRPr="00E70A11" w14:paraId="576206C9"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shd w:val="clear" w:color="auto" w:fill="EEECE1"/>
          </w:tcPr>
          <w:p w14:paraId="576206C3" w14:textId="77777777" w:rsidR="00A56EE9" w:rsidRPr="00E70A11" w:rsidRDefault="00A56EE9" w:rsidP="00BB6AD5">
            <w:pPr>
              <w:pStyle w:val="Tablebulletlist"/>
              <w:rPr>
                <w:rStyle w:val="BookTitle"/>
              </w:rPr>
            </w:pPr>
            <w:r w:rsidRPr="00E70A11">
              <w:rPr>
                <w:rStyle w:val="BookTitle"/>
              </w:rPr>
              <w:t>CONTEXT</w:t>
            </w:r>
          </w:p>
        </w:tc>
        <w:tc>
          <w:tcPr>
            <w:tcW w:w="809" w:type="dxa"/>
            <w:gridSpan w:val="2"/>
            <w:tcBorders>
              <w:top w:val="single" w:sz="4" w:space="0" w:color="auto"/>
              <w:left w:val="single" w:sz="4" w:space="0" w:color="auto"/>
              <w:bottom w:val="single" w:sz="4" w:space="0" w:color="auto"/>
              <w:right w:val="single" w:sz="4" w:space="0" w:color="auto"/>
            </w:tcBorders>
            <w:shd w:val="clear" w:color="auto" w:fill="EEECE1"/>
          </w:tcPr>
          <w:p w14:paraId="576206C4" w14:textId="77777777" w:rsidR="00A56EE9" w:rsidRPr="00E70A11" w:rsidRDefault="00A56EE9" w:rsidP="00BB6AD5">
            <w:pPr>
              <w:pStyle w:val="Tablebulletlist"/>
              <w:rPr>
                <w:rStyle w:val="BookTitle"/>
              </w:rPr>
            </w:pPr>
          </w:p>
        </w:tc>
        <w:tc>
          <w:tcPr>
            <w:tcW w:w="3793" w:type="dxa"/>
            <w:gridSpan w:val="2"/>
            <w:tcBorders>
              <w:top w:val="single" w:sz="4" w:space="0" w:color="auto"/>
              <w:left w:val="single" w:sz="4" w:space="0" w:color="auto"/>
              <w:bottom w:val="single" w:sz="4" w:space="0" w:color="auto"/>
              <w:right w:val="single" w:sz="4" w:space="0" w:color="auto"/>
            </w:tcBorders>
            <w:shd w:val="clear" w:color="auto" w:fill="EEECE1"/>
          </w:tcPr>
          <w:p w14:paraId="576206C5" w14:textId="77777777" w:rsidR="00A56EE9" w:rsidRPr="00E70A11" w:rsidRDefault="00A56EE9" w:rsidP="00BB6AD5">
            <w:pPr>
              <w:pStyle w:val="Tablebulletlist"/>
              <w:rPr>
                <w:rStyle w:val="BookTitle"/>
              </w:rPr>
            </w:pPr>
          </w:p>
        </w:tc>
        <w:tc>
          <w:tcPr>
            <w:tcW w:w="5045" w:type="dxa"/>
            <w:gridSpan w:val="2"/>
            <w:tcBorders>
              <w:top w:val="single" w:sz="4" w:space="0" w:color="auto"/>
              <w:left w:val="single" w:sz="4" w:space="0" w:color="auto"/>
              <w:bottom w:val="single" w:sz="4" w:space="0" w:color="auto"/>
              <w:right w:val="single" w:sz="4" w:space="0" w:color="auto"/>
            </w:tcBorders>
            <w:shd w:val="clear" w:color="auto" w:fill="EEECE1"/>
          </w:tcPr>
          <w:p w14:paraId="576206C6" w14:textId="77777777" w:rsidR="00A56EE9" w:rsidRPr="00E70A11" w:rsidRDefault="00A56EE9" w:rsidP="00BB6AD5">
            <w:pPr>
              <w:pStyle w:val="Tablebulletlist"/>
              <w:rPr>
                <w:rStyle w:val="BookTitle"/>
              </w:rPr>
            </w:pPr>
          </w:p>
        </w:tc>
        <w:tc>
          <w:tcPr>
            <w:tcW w:w="986" w:type="dxa"/>
            <w:gridSpan w:val="2"/>
            <w:tcBorders>
              <w:top w:val="single" w:sz="4" w:space="0" w:color="auto"/>
              <w:left w:val="single" w:sz="4" w:space="0" w:color="auto"/>
              <w:bottom w:val="single" w:sz="4" w:space="0" w:color="auto"/>
              <w:right w:val="single" w:sz="4" w:space="0" w:color="auto"/>
            </w:tcBorders>
            <w:shd w:val="clear" w:color="auto" w:fill="EEECE1"/>
          </w:tcPr>
          <w:p w14:paraId="576206C7" w14:textId="77777777" w:rsidR="00A56EE9" w:rsidRPr="00E70A11" w:rsidRDefault="00A56EE9" w:rsidP="00BB6AD5">
            <w:pPr>
              <w:pStyle w:val="Tablebulletlist"/>
              <w:rPr>
                <w:rStyle w:val="BookTitle"/>
              </w:rPr>
            </w:pPr>
          </w:p>
        </w:tc>
        <w:tc>
          <w:tcPr>
            <w:tcW w:w="865" w:type="dxa"/>
            <w:gridSpan w:val="2"/>
            <w:tcBorders>
              <w:top w:val="single" w:sz="4" w:space="0" w:color="auto"/>
              <w:left w:val="single" w:sz="4" w:space="0" w:color="auto"/>
              <w:bottom w:val="single" w:sz="4" w:space="0" w:color="auto"/>
              <w:right w:val="single" w:sz="4" w:space="0" w:color="auto"/>
            </w:tcBorders>
            <w:shd w:val="clear" w:color="auto" w:fill="EEECE1"/>
          </w:tcPr>
          <w:p w14:paraId="576206C8" w14:textId="77777777" w:rsidR="00A56EE9" w:rsidRPr="00E70A11" w:rsidRDefault="00A56EE9" w:rsidP="00BB6AD5">
            <w:pPr>
              <w:pStyle w:val="Tablebulletlist"/>
              <w:rPr>
                <w:rStyle w:val="BookTitle"/>
              </w:rPr>
            </w:pPr>
          </w:p>
        </w:tc>
      </w:tr>
      <w:tr w:rsidR="00A56EE9" w:rsidRPr="00E70A11" w14:paraId="576206E2"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6CA" w14:textId="77777777" w:rsidR="00A56EE9" w:rsidRPr="00E70A11" w:rsidRDefault="00A56EE9" w:rsidP="00BB6AD5">
            <w:pPr>
              <w:pStyle w:val="Tablebulletlist"/>
              <w:rPr>
                <w:rStyle w:val="BookTitle"/>
              </w:rPr>
            </w:pPr>
            <w:r w:rsidRPr="00E70A11">
              <w:rPr>
                <w:rStyle w:val="BookTitle"/>
              </w:rPr>
              <w:t>CO1</w:t>
            </w:r>
            <w:r>
              <w:rPr>
                <w:rStyle w:val="BookTitle"/>
              </w:rPr>
              <w:t xml:space="preserve"> </w:t>
            </w:r>
            <w:r w:rsidRPr="00E70A11">
              <w:rPr>
                <w:rStyle w:val="BookTitle"/>
              </w:rPr>
              <w:t>The values of the Great Barrier Reef relevant to shipping are understood by managers</w:t>
            </w:r>
          </w:p>
        </w:tc>
        <w:tc>
          <w:tcPr>
            <w:tcW w:w="809" w:type="dxa"/>
            <w:gridSpan w:val="2"/>
            <w:tcBorders>
              <w:top w:val="single" w:sz="4" w:space="0" w:color="auto"/>
              <w:left w:val="single" w:sz="4" w:space="0" w:color="auto"/>
              <w:bottom w:val="single" w:sz="4" w:space="0" w:color="auto"/>
              <w:right w:val="single" w:sz="4" w:space="0" w:color="auto"/>
            </w:tcBorders>
          </w:tcPr>
          <w:p w14:paraId="576206CB"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6CC" w14:textId="77777777" w:rsidR="00A56EE9" w:rsidRPr="00A5547A" w:rsidRDefault="00A56EE9" w:rsidP="00A11869">
            <w:pPr>
              <w:numPr>
                <w:ilvl w:val="0"/>
                <w:numId w:val="91"/>
              </w:numPr>
              <w:spacing w:before="40" w:after="40" w:line="240" w:lineRule="auto"/>
              <w:rPr>
                <w:rFonts w:ascii="Arial Narrow" w:hAnsi="Arial Narrow" w:cs="Arial"/>
                <w:sz w:val="18"/>
                <w:szCs w:val="18"/>
                <w:lang w:val="en"/>
              </w:rPr>
            </w:pPr>
            <w:r w:rsidRPr="00A5547A">
              <w:rPr>
                <w:rFonts w:ascii="Arial Narrow" w:hAnsi="Arial Narrow" w:cs="Arial"/>
                <w:sz w:val="18"/>
                <w:szCs w:val="18"/>
                <w:lang w:val="en"/>
              </w:rPr>
              <w:t>Development and implementation of North East Shipping Management Plan is considered to provide robust foundation for effective, ongoing, coordinated management of shipping in the GBR Region.</w:t>
            </w:r>
          </w:p>
          <w:p w14:paraId="576206CD" w14:textId="77777777" w:rsidR="00A56EE9" w:rsidRPr="00E70A11" w:rsidRDefault="00A56EE9" w:rsidP="00A11869">
            <w:pPr>
              <w:pStyle w:val="ListBullet"/>
              <w:numPr>
                <w:ilvl w:val="0"/>
                <w:numId w:val="91"/>
              </w:numPr>
              <w:jc w:val="both"/>
            </w:pPr>
            <w:r w:rsidRPr="00E70A11">
              <w:t>In general terms the values of the Great Barrier Reef relevant to shipping are understood by managers (primarily AMSA and MSQ). While the specific knowledge of GBRMPA staff concerning shipping and ship operations has improved since 2013, it is considered that this could be further enhanced, in order to ensure appropriate prioritisation and allocation of management resources.</w:t>
            </w:r>
          </w:p>
          <w:p w14:paraId="576206CE" w14:textId="2954D05C" w:rsidR="00A56EE9" w:rsidRPr="00E70A11" w:rsidRDefault="00A56EE9" w:rsidP="00A11869">
            <w:pPr>
              <w:numPr>
                <w:ilvl w:val="0"/>
                <w:numId w:val="91"/>
              </w:numPr>
              <w:spacing w:after="0" w:line="240" w:lineRule="auto"/>
              <w:rPr>
                <w:rFonts w:ascii="Arial Narrow" w:hAnsi="Arial Narrow"/>
                <w:color w:val="000000" w:themeColor="text1"/>
                <w:sz w:val="18"/>
                <w:szCs w:val="18"/>
              </w:rPr>
            </w:pPr>
            <w:r w:rsidRPr="00E70A11">
              <w:rPr>
                <w:rFonts w:ascii="Arial Narrow" w:hAnsi="Arial Narrow"/>
                <w:sz w:val="18"/>
                <w:szCs w:val="18"/>
              </w:rPr>
              <w:t xml:space="preserve">GBRMPA considers EIS /PER port development proposals </w:t>
            </w:r>
            <w:r>
              <w:rPr>
                <w:rFonts w:ascii="Arial Narrow" w:hAnsi="Arial Narrow"/>
                <w:sz w:val="18"/>
                <w:szCs w:val="18"/>
              </w:rPr>
              <w:t xml:space="preserve">(that are in its jurisdiction) </w:t>
            </w:r>
            <w:r w:rsidRPr="00E70A11">
              <w:rPr>
                <w:rFonts w:ascii="Arial Narrow" w:hAnsi="Arial Narrow"/>
                <w:sz w:val="18"/>
                <w:szCs w:val="18"/>
              </w:rPr>
              <w:t xml:space="preserve">to assess the impacts of increased shipping under EPBC Act GBRMPA guidelines. Such assessments consider individual port development proposals which in the absence of a strategic focus would result in </w:t>
            </w:r>
            <w:r w:rsidRPr="00E70A11">
              <w:rPr>
                <w:rFonts w:ascii="Arial Narrow" w:hAnsi="Arial Narrow"/>
                <w:i/>
                <w:sz w:val="18"/>
                <w:szCs w:val="18"/>
              </w:rPr>
              <w:t>ad hoc</w:t>
            </w:r>
            <w:r w:rsidRPr="00E70A11">
              <w:rPr>
                <w:rFonts w:ascii="Arial Narrow" w:hAnsi="Arial Narrow"/>
                <w:sz w:val="18"/>
                <w:szCs w:val="18"/>
              </w:rPr>
              <w:t>, potentially disconnected assessments of resultant shipping risks. Accordingly, it is better to undertake periodic, umbrella reviews of shipping traffic densities and associated risks and management in GBR Region, and to keep these up-to-date by regular review, and then link individual port assessments to these over-arching assessments.</w:t>
            </w:r>
            <w:r w:rsidR="00D1702B">
              <w:rPr>
                <w:rFonts w:ascii="Arial Narrow" w:hAnsi="Arial Narrow"/>
                <w:sz w:val="18"/>
                <w:szCs w:val="18"/>
              </w:rPr>
              <w:t xml:space="preserve"> </w:t>
            </w:r>
            <w:r>
              <w:rPr>
                <w:rFonts w:ascii="Arial Narrow" w:hAnsi="Arial Narrow"/>
                <w:sz w:val="18"/>
                <w:szCs w:val="18"/>
              </w:rPr>
              <w:t xml:space="preserve">MSQ/AMSA undertake this work in the Region. </w:t>
            </w:r>
          </w:p>
          <w:p w14:paraId="576206CF" w14:textId="77777777" w:rsidR="00A56EE9" w:rsidRPr="00E70A11" w:rsidRDefault="00A56EE9" w:rsidP="00A11869">
            <w:pPr>
              <w:numPr>
                <w:ilvl w:val="0"/>
                <w:numId w:val="91"/>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Australia’s state party reports to the World Heritage Committee in 2014 and 2015 include sections on shipping.</w:t>
            </w:r>
          </w:p>
          <w:p w14:paraId="576206D0" w14:textId="77777777" w:rsidR="00A56EE9" w:rsidRPr="00E70A11" w:rsidRDefault="00A56EE9" w:rsidP="00A11869">
            <w:pPr>
              <w:numPr>
                <w:ilvl w:val="0"/>
                <w:numId w:val="91"/>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The </w:t>
            </w:r>
            <w:hyperlink r:id="rId1701" w:history="1">
              <w:r w:rsidRPr="00E70A11">
                <w:rPr>
                  <w:rStyle w:val="Hyperlink"/>
                  <w:rFonts w:ascii="Arial Narrow" w:hAnsi="Arial Narrow"/>
                  <w:color w:val="000000" w:themeColor="text1"/>
                  <w:sz w:val="18"/>
                  <w:szCs w:val="18"/>
                </w:rPr>
                <w:t>North-East Shipping Management Plan</w:t>
              </w:r>
            </w:hyperlink>
            <w:r w:rsidRPr="00E70A11">
              <w:rPr>
                <w:rFonts w:ascii="Arial Narrow" w:hAnsi="Arial Narrow"/>
                <w:color w:val="000000" w:themeColor="text1"/>
                <w:sz w:val="18"/>
                <w:szCs w:val="18"/>
              </w:rPr>
              <w:t xml:space="preserve"> (NESMP) was released on October 2014 and explicitly considers the Outstanding Universal Value and integrity of the GBRWHA.</w:t>
            </w:r>
          </w:p>
          <w:p w14:paraId="576206D1" w14:textId="77777777" w:rsidR="00A56EE9" w:rsidRPr="00E70A11" w:rsidRDefault="00A56EE9" w:rsidP="00A11869">
            <w:pPr>
              <w:pStyle w:val="ListBullet"/>
              <w:numPr>
                <w:ilvl w:val="0"/>
                <w:numId w:val="91"/>
              </w:numPr>
              <w:jc w:val="both"/>
            </w:pPr>
            <w:r w:rsidRPr="00E70A11">
              <w:t>Within the GBR’s Designated Shipping Area, anchoring a ship does not require a permit from the Authority. Maritime Safety Queensland has designated ship anchorages adjacent to some of the ports along the Region’s coast. All but a few are within the Marine Park. Including swing room, the anchorages cover about 940 square kilometres. Use of designated anchorages confine the impacts arising from anchoring to these port areas, such as disturbance to wildlife, physical damage to benthos, light pollution, waste discharges, introduced marine species, noise effects, user conflict and aesthetic effects.</w:t>
            </w:r>
          </w:p>
        </w:tc>
        <w:tc>
          <w:tcPr>
            <w:tcW w:w="5045" w:type="dxa"/>
            <w:gridSpan w:val="2"/>
            <w:tcBorders>
              <w:top w:val="single" w:sz="4" w:space="0" w:color="auto"/>
              <w:left w:val="single" w:sz="4" w:space="0" w:color="auto"/>
              <w:bottom w:val="single" w:sz="4" w:space="0" w:color="auto"/>
              <w:right w:val="single" w:sz="4" w:space="0" w:color="auto"/>
            </w:tcBorders>
          </w:tcPr>
          <w:p w14:paraId="576206D2"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rPr>
              <w:t xml:space="preserve">Carter, A.B., Chartrand, K.M. and Rasheed, M.A. 2012, </w:t>
            </w:r>
            <w:hyperlink r:id="rId1702" w:history="1">
              <w:r w:rsidRPr="00E70A11">
                <w:rPr>
                  <w:rStyle w:val="Hyperlink"/>
                  <w:rFonts w:ascii="Arial Narrow" w:hAnsi="Arial Narrow"/>
                  <w:i/>
                  <w:iCs/>
                  <w:color w:val="000000" w:themeColor="text1"/>
                  <w:sz w:val="18"/>
                  <w:szCs w:val="18"/>
                </w:rPr>
                <w:t>Critical marine habitats in high risk areas, Princess Charlotte Bay region - 2011 Atlas.</w:t>
              </w:r>
              <w:r w:rsidRPr="00E70A11">
                <w:rPr>
                  <w:rStyle w:val="Hyperlink"/>
                  <w:rFonts w:ascii="Arial Narrow" w:hAnsi="Arial Narrow"/>
                  <w:color w:val="000000" w:themeColor="text1"/>
                  <w:sz w:val="18"/>
                  <w:szCs w:val="18"/>
                </w:rPr>
                <w:t>,</w:t>
              </w:r>
            </w:hyperlink>
            <w:r w:rsidRPr="00E70A11">
              <w:rPr>
                <w:rFonts w:ascii="Arial Narrow" w:hAnsi="Arial Narrow"/>
                <w:sz w:val="18"/>
                <w:szCs w:val="18"/>
              </w:rPr>
              <w:t xml:space="preserve"> The State of Queensland, Department of Agriculture, Fisheries and Forestry, Northern Fisheries Centre, Cairns.</w:t>
            </w:r>
          </w:p>
          <w:p w14:paraId="576206D3"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rPr>
              <w:t xml:space="preserve">AMSA webpage on </w:t>
            </w:r>
            <w:hyperlink r:id="rId1703" w:history="1">
              <w:r w:rsidRPr="00E70A11">
                <w:rPr>
                  <w:rStyle w:val="Hyperlink"/>
                  <w:rFonts w:ascii="Arial Narrow" w:hAnsi="Arial Narrow"/>
                  <w:color w:val="000000" w:themeColor="text1"/>
                  <w:sz w:val="18"/>
                  <w:szCs w:val="18"/>
                </w:rPr>
                <w:t>Particularly Sensitive Sea Areas</w:t>
              </w:r>
            </w:hyperlink>
            <w:r w:rsidRPr="00E70A11">
              <w:rPr>
                <w:rFonts w:ascii="Arial Narrow" w:hAnsi="Arial Narrow"/>
                <w:color w:val="000000" w:themeColor="text1"/>
                <w:sz w:val="18"/>
                <w:szCs w:val="18"/>
              </w:rPr>
              <w:t xml:space="preserve">, including the GBR/TorresStrait/CoralSea PSSA and </w:t>
            </w:r>
            <w:hyperlink r:id="rId1704" w:history="1">
              <w:r w:rsidRPr="00E70A11">
                <w:rPr>
                  <w:rStyle w:val="Hyperlink"/>
                  <w:rFonts w:ascii="Arial Narrow" w:hAnsi="Arial Narrow"/>
                  <w:color w:val="000000" w:themeColor="text1"/>
                  <w:sz w:val="18"/>
                  <w:szCs w:val="18"/>
                </w:rPr>
                <w:t>PSSA factsheet</w:t>
              </w:r>
            </w:hyperlink>
            <w:r w:rsidRPr="00E70A11">
              <w:rPr>
                <w:rFonts w:ascii="Arial Narrow" w:hAnsi="Arial Narrow"/>
                <w:color w:val="000000" w:themeColor="text1"/>
                <w:sz w:val="18"/>
                <w:szCs w:val="18"/>
              </w:rPr>
              <w:t xml:space="preserve"> </w:t>
            </w:r>
          </w:p>
          <w:p w14:paraId="576206D4"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lang w:val="en"/>
              </w:rPr>
              <w:t xml:space="preserve">AMSA </w:t>
            </w:r>
            <w:hyperlink r:id="rId1705" w:history="1">
              <w:r w:rsidRPr="00E70A11">
                <w:rPr>
                  <w:rStyle w:val="Hyperlink"/>
                  <w:rFonts w:ascii="Arial Narrow" w:hAnsi="Arial Narrow"/>
                  <w:color w:val="000000" w:themeColor="text1"/>
                  <w:sz w:val="18"/>
                  <w:szCs w:val="18"/>
                </w:rPr>
                <w:t>legislation</w:t>
              </w:r>
            </w:hyperlink>
            <w:r w:rsidRPr="00E70A11">
              <w:rPr>
                <w:rFonts w:ascii="Arial Narrow" w:hAnsi="Arial Narrow"/>
                <w:color w:val="000000" w:themeColor="text1"/>
                <w:sz w:val="18"/>
                <w:szCs w:val="18"/>
                <w:lang w:val="en"/>
              </w:rPr>
              <w:t xml:space="preserve"> webpage </w:t>
            </w:r>
          </w:p>
          <w:p w14:paraId="576206D5"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706" w:tgtFrame="_blank" w:history="1">
              <w:r w:rsidR="00A56EE9" w:rsidRPr="00E70A11">
                <w:rPr>
                  <w:rStyle w:val="Hyperlink"/>
                  <w:rFonts w:ascii="Arial Narrow" w:hAnsi="Arial Narrow"/>
                  <w:color w:val="000000" w:themeColor="text1"/>
                  <w:sz w:val="18"/>
                  <w:szCs w:val="18"/>
                  <w:lang w:val="en"/>
                </w:rPr>
                <w:t>Ship Anchorage Management Report in the Great Barrier Reef World Heritage Area</w:t>
              </w:r>
            </w:hyperlink>
            <w:r w:rsidR="00A56EE9" w:rsidRPr="00E70A11">
              <w:rPr>
                <w:rStyle w:val="Hyperlink"/>
                <w:rFonts w:ascii="Arial Narrow" w:hAnsi="Arial Narrow"/>
                <w:color w:val="000000" w:themeColor="text1"/>
                <w:sz w:val="18"/>
                <w:szCs w:val="18"/>
                <w:lang w:val="en"/>
              </w:rPr>
              <w:t xml:space="preserve"> 2013</w:t>
            </w:r>
          </w:p>
          <w:p w14:paraId="576206D6"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Chapter 4 </w:t>
            </w:r>
            <w:hyperlink r:id="rId1707" w:history="1">
              <w:r w:rsidRPr="00E70A11">
                <w:rPr>
                  <w:rStyle w:val="Hyperlink"/>
                  <w:rFonts w:ascii="Arial Narrow" w:hAnsi="Arial Narrow"/>
                  <w:color w:val="000000" w:themeColor="text1"/>
                  <w:sz w:val="18"/>
                  <w:szCs w:val="18"/>
                </w:rPr>
                <w:t>Great Barrier Reef Region Strategic Assessment Report</w:t>
              </w:r>
            </w:hyperlink>
            <w:r w:rsidRPr="00E70A11">
              <w:rPr>
                <w:rFonts w:ascii="Arial Narrow" w:hAnsi="Arial Narrow"/>
                <w:color w:val="000000" w:themeColor="text1"/>
                <w:sz w:val="18"/>
                <w:szCs w:val="18"/>
              </w:rPr>
              <w:t xml:space="preserve">, and </w:t>
            </w:r>
            <w:hyperlink r:id="rId1708" w:history="1">
              <w:r w:rsidRPr="00E70A11">
                <w:rPr>
                  <w:rStyle w:val="Hyperlink"/>
                  <w:rFonts w:ascii="Arial Narrow" w:hAnsi="Arial Narrow"/>
                  <w:color w:val="000000" w:themeColor="text1"/>
                  <w:sz w:val="18"/>
                  <w:szCs w:val="18"/>
                </w:rPr>
                <w:t>Great Barrier Reef Coastal Zone Strategic Assessment Report</w:t>
              </w:r>
            </w:hyperlink>
            <w:r w:rsidRPr="00E70A11">
              <w:rPr>
                <w:rFonts w:ascii="Arial Narrow" w:hAnsi="Arial Narrow"/>
                <w:color w:val="000000" w:themeColor="text1"/>
                <w:sz w:val="18"/>
                <w:szCs w:val="18"/>
              </w:rPr>
              <w:t>, noting information gaps were identified.</w:t>
            </w:r>
          </w:p>
          <w:p w14:paraId="576206D7"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709" w:history="1">
              <w:r w:rsidR="00A56EE9" w:rsidRPr="00E70A11">
                <w:rPr>
                  <w:rStyle w:val="Hyperlink"/>
                  <w:rFonts w:ascii="Arial Narrow" w:hAnsi="Arial Narrow"/>
                  <w:color w:val="000000" w:themeColor="text1"/>
                  <w:sz w:val="18"/>
                  <w:szCs w:val="18"/>
                </w:rPr>
                <w:t>Outlook Report 2014</w:t>
              </w:r>
            </w:hyperlink>
            <w:r w:rsidR="00A56EE9" w:rsidRPr="00E70A11">
              <w:rPr>
                <w:rFonts w:ascii="Arial Narrow" w:hAnsi="Arial Narrow"/>
                <w:sz w:val="18"/>
                <w:szCs w:val="18"/>
              </w:rPr>
              <w:t xml:space="preserve"> sections 5.8 and 6.6 etc.</w:t>
            </w:r>
          </w:p>
          <w:p w14:paraId="576206D8"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 xml:space="preserve">State Party Reports on the state of conservation of the Great Barrier Reef World Heritage Area (Australia) </w:t>
            </w:r>
            <w:hyperlink r:id="rId1710" w:history="1">
              <w:r w:rsidRPr="00E70A11">
                <w:rPr>
                  <w:rStyle w:val="Hyperlink"/>
                  <w:rFonts w:ascii="Arial Narrow" w:hAnsi="Arial Narrow"/>
                  <w:color w:val="000000" w:themeColor="text1"/>
                  <w:sz w:val="18"/>
                  <w:szCs w:val="18"/>
                  <w:lang w:val="en"/>
                </w:rPr>
                <w:t>2013</w:t>
              </w:r>
              <w:r w:rsidRPr="00E70A11">
                <w:rPr>
                  <w:rStyle w:val="Hyperlink"/>
                  <w:rFonts w:ascii="Arial Narrow" w:hAnsi="Arial Narrow"/>
                  <w:color w:val="000000" w:themeColor="text1"/>
                  <w:sz w:val="18"/>
                  <w:szCs w:val="18"/>
                </w:rPr>
                <w:t>, 2014, 2015</w:t>
              </w:r>
            </w:hyperlink>
            <w:r w:rsidRPr="00E70A11">
              <w:rPr>
                <w:rFonts w:ascii="Arial Narrow" w:hAnsi="Arial Narrow"/>
                <w:sz w:val="18"/>
                <w:szCs w:val="18"/>
                <w:lang w:val="en"/>
              </w:rPr>
              <w:t>. The reports demonstrate Australia's progress on a wide range of work including the Great Barrier Reef comprehensive strategic assessment, development of the North-East shipping plan as well as important research projects and ongoing adaptive management activities.</w:t>
            </w:r>
          </w:p>
          <w:p w14:paraId="576206D9"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711" w:history="1">
              <w:r w:rsidR="00A56EE9" w:rsidRPr="00E70A11">
                <w:rPr>
                  <w:rStyle w:val="Hyperlink"/>
                  <w:rFonts w:ascii="Arial Narrow" w:hAnsi="Arial Narrow"/>
                  <w:color w:val="000000" w:themeColor="text1"/>
                  <w:sz w:val="18"/>
                  <w:szCs w:val="18"/>
                </w:rPr>
                <w:t>North-East Shipping Management Plan</w:t>
              </w:r>
            </w:hyperlink>
          </w:p>
          <w:p w14:paraId="576206DA"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lang w:val="en"/>
              </w:rPr>
              <w:t>AMSA</w:t>
            </w:r>
            <w:hyperlink r:id="rId1712" w:history="1">
              <w:r w:rsidRPr="00E70A11">
                <w:rPr>
                  <w:rStyle w:val="Hyperlink"/>
                  <w:rFonts w:ascii="Arial Narrow" w:hAnsi="Arial Narrow"/>
                  <w:color w:val="000000" w:themeColor="text1"/>
                  <w:sz w:val="18"/>
                  <w:szCs w:val="18"/>
                  <w:lang w:val="en"/>
                </w:rPr>
                <w:t xml:space="preserve"> North East Shipping Management webpage</w:t>
              </w:r>
            </w:hyperlink>
          </w:p>
          <w:p w14:paraId="576206DB"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 xml:space="preserve">Permissions system sections of the GBRMPA </w:t>
            </w:r>
            <w:hyperlink r:id="rId1713" w:history="1">
              <w:r w:rsidRPr="00E70A11">
                <w:rPr>
                  <w:rStyle w:val="Hyperlink"/>
                  <w:rFonts w:ascii="Arial Narrow" w:hAnsi="Arial Narrow"/>
                  <w:color w:val="000000" w:themeColor="text1"/>
                  <w:sz w:val="18"/>
                  <w:szCs w:val="18"/>
                </w:rPr>
                <w:t>website</w:t>
              </w:r>
            </w:hyperlink>
            <w:r w:rsidRPr="00E70A11">
              <w:rPr>
                <w:rStyle w:val="Hyperlink"/>
                <w:rFonts w:ascii="Arial Narrow" w:hAnsi="Arial Narrow"/>
                <w:color w:val="000000" w:themeColor="text1"/>
                <w:sz w:val="18"/>
                <w:szCs w:val="18"/>
              </w:rPr>
              <w:t xml:space="preserve"> </w:t>
            </w:r>
            <w:r w:rsidRPr="00E70A11">
              <w:rPr>
                <w:rFonts w:ascii="Arial Narrow" w:hAnsi="Arial Narrow"/>
                <w:sz w:val="18"/>
                <w:szCs w:val="18"/>
                <w:lang w:val="en"/>
              </w:rPr>
              <w:t>and associated policy documents.</w:t>
            </w:r>
            <w:r w:rsidRPr="00E70A11">
              <w:rPr>
                <w:rFonts w:ascii="Arial Narrow" w:hAnsi="Arial Narrow"/>
                <w:sz w:val="18"/>
                <w:szCs w:val="18"/>
              </w:rPr>
              <w:t xml:space="preserve"> The 2017 changes include improved </w:t>
            </w:r>
            <w:hyperlink r:id="rId1714" w:history="1">
              <w:r w:rsidRPr="00E70A11">
                <w:rPr>
                  <w:rStyle w:val="Hyperlink"/>
                  <w:rFonts w:ascii="Arial Narrow" w:hAnsi="Arial Narrow"/>
                  <w:color w:val="000000" w:themeColor="text1"/>
                  <w:sz w:val="18"/>
                  <w:szCs w:val="18"/>
                </w:rPr>
                <w:t>assessment guidelines</w:t>
              </w:r>
            </w:hyperlink>
            <w:r w:rsidRPr="00E70A11">
              <w:rPr>
                <w:rStyle w:val="Hyperlink"/>
                <w:rFonts w:ascii="Arial Narrow" w:hAnsi="Arial Narrow"/>
                <w:color w:val="000000" w:themeColor="text1"/>
                <w:sz w:val="18"/>
                <w:szCs w:val="18"/>
              </w:rPr>
              <w:t>, a</w:t>
            </w:r>
            <w:r w:rsidRPr="00E70A11">
              <w:rPr>
                <w:rFonts w:ascii="Arial Narrow" w:hAnsi="Arial Narrow"/>
                <w:sz w:val="18"/>
                <w:szCs w:val="18"/>
              </w:rPr>
              <w:t xml:space="preserve"> </w:t>
            </w:r>
            <w:hyperlink r:id="rId1715" w:history="1">
              <w:r w:rsidRPr="00E70A11">
                <w:rPr>
                  <w:rStyle w:val="Hyperlink"/>
                  <w:rFonts w:ascii="Arial Narrow" w:hAnsi="Arial Narrow"/>
                  <w:color w:val="000000" w:themeColor="text1"/>
                  <w:sz w:val="18"/>
                  <w:szCs w:val="18"/>
                </w:rPr>
                <w:t>checklist of information</w:t>
              </w:r>
            </w:hyperlink>
            <w:r w:rsidRPr="00E70A11">
              <w:rPr>
                <w:rFonts w:ascii="Arial Narrow" w:hAnsi="Arial Narrow"/>
                <w:sz w:val="18"/>
                <w:szCs w:val="18"/>
              </w:rPr>
              <w:t xml:space="preserve"> required at the time of application and updated </w:t>
            </w:r>
            <w:hyperlink r:id="rId1716" w:history="1">
              <w:r w:rsidRPr="00E70A11">
                <w:rPr>
                  <w:rStyle w:val="Hyperlink"/>
                  <w:rFonts w:ascii="Arial Narrow" w:hAnsi="Arial Narrow"/>
                  <w:color w:val="000000" w:themeColor="text1"/>
                  <w:sz w:val="18"/>
                  <w:szCs w:val="18"/>
                </w:rPr>
                <w:t>permission system policy</w:t>
              </w:r>
            </w:hyperlink>
            <w:r w:rsidRPr="00E70A11">
              <w:rPr>
                <w:rFonts w:ascii="Arial Narrow" w:hAnsi="Arial Narrow"/>
                <w:sz w:val="18"/>
                <w:szCs w:val="18"/>
              </w:rPr>
              <w:t xml:space="preserve"> and </w:t>
            </w:r>
            <w:hyperlink r:id="rId1717" w:history="1">
              <w:r w:rsidRPr="00E70A11">
                <w:rPr>
                  <w:rStyle w:val="Hyperlink"/>
                  <w:rFonts w:ascii="Arial Narrow" w:hAnsi="Arial Narrow"/>
                  <w:color w:val="000000" w:themeColor="text1"/>
                  <w:sz w:val="18"/>
                  <w:szCs w:val="18"/>
                </w:rPr>
                <w:t>new guidance documents</w:t>
              </w:r>
            </w:hyperlink>
            <w:r w:rsidRPr="00E70A11">
              <w:rPr>
                <w:rFonts w:ascii="Arial Narrow" w:hAnsi="Arial Narrow"/>
                <w:sz w:val="18"/>
                <w:szCs w:val="18"/>
              </w:rPr>
              <w:t xml:space="preserve">. </w:t>
            </w:r>
          </w:p>
          <w:p w14:paraId="576206DC"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rPr>
              <w:t xml:space="preserve">AMSA </w:t>
            </w:r>
            <w:hyperlink r:id="rId1718" w:history="1">
              <w:r w:rsidRPr="00E70A11">
                <w:rPr>
                  <w:rStyle w:val="Hyperlink"/>
                  <w:rFonts w:ascii="Arial Narrow" w:hAnsi="Arial Narrow"/>
                  <w:color w:val="000000" w:themeColor="text1"/>
                  <w:sz w:val="18"/>
                  <w:szCs w:val="18"/>
                </w:rPr>
                <w:t>annual report 2014-15</w:t>
              </w:r>
            </w:hyperlink>
            <w:r w:rsidRPr="00E70A11">
              <w:rPr>
                <w:rFonts w:ascii="Arial Narrow" w:hAnsi="Arial Narrow"/>
                <w:color w:val="000000" w:themeColor="text1"/>
                <w:sz w:val="18"/>
                <w:szCs w:val="18"/>
              </w:rPr>
              <w:t xml:space="preserve"> p 59</w:t>
            </w:r>
          </w:p>
          <w:p w14:paraId="576206D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Australian Government </w:t>
            </w:r>
            <w:r w:rsidRPr="00E70A11">
              <w:rPr>
                <w:rFonts w:ascii="Arial Narrow" w:hAnsi="Arial Narrow"/>
                <w:i/>
                <w:sz w:val="18"/>
                <w:szCs w:val="18"/>
              </w:rPr>
              <w:t>State Party Report on the State of Conservation of the Great Barrier Reef World Heritage Area (Australia) (</w:t>
            </w:r>
            <w:r w:rsidRPr="00E70A11">
              <w:rPr>
                <w:rFonts w:ascii="Arial Narrow" w:hAnsi="Arial Narrow" w:cstheme="minorHAnsi"/>
                <w:i/>
                <w:sz w:val="18"/>
                <w:szCs w:val="18"/>
              </w:rPr>
              <w:t>Property ID N154</w:t>
            </w:r>
            <w:r w:rsidRPr="00E70A11">
              <w:rPr>
                <w:rFonts w:ascii="Arial Narrow" w:hAnsi="Arial Narrow"/>
                <w:i/>
                <w:sz w:val="18"/>
                <w:szCs w:val="18"/>
              </w:rPr>
              <w:t>), for submission by 31 January 2014</w:t>
            </w:r>
            <w:r w:rsidRPr="00E70A11">
              <w:rPr>
                <w:rFonts w:ascii="Arial Narrow" w:hAnsi="Arial Narrow"/>
                <w:sz w:val="18"/>
                <w:szCs w:val="18"/>
              </w:rPr>
              <w:t>.</w:t>
            </w:r>
          </w:p>
          <w:p w14:paraId="576206DE" w14:textId="77777777" w:rsidR="00A56EE9"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Australian Government </w:t>
            </w:r>
            <w:r w:rsidRPr="00E70A11">
              <w:rPr>
                <w:rFonts w:ascii="Arial Narrow" w:hAnsi="Arial Narrow"/>
                <w:i/>
                <w:sz w:val="18"/>
                <w:szCs w:val="18"/>
              </w:rPr>
              <w:t>State Party Report on the State of Conservation of the Great Barrier Reef World Heritage Area (Australia) (</w:t>
            </w:r>
            <w:r w:rsidRPr="00E70A11">
              <w:rPr>
                <w:rFonts w:ascii="Arial Narrow" w:hAnsi="Arial Narrow" w:cstheme="minorHAnsi"/>
                <w:i/>
                <w:sz w:val="18"/>
                <w:szCs w:val="18"/>
              </w:rPr>
              <w:t>Property ID N154</w:t>
            </w:r>
            <w:r w:rsidRPr="00E70A11">
              <w:rPr>
                <w:rFonts w:ascii="Arial Narrow" w:hAnsi="Arial Narrow"/>
                <w:i/>
                <w:sz w:val="18"/>
                <w:szCs w:val="18"/>
              </w:rPr>
              <w:t>), for submission by 30 January 2015</w:t>
            </w:r>
            <w:r w:rsidRPr="00E70A11">
              <w:rPr>
                <w:rFonts w:ascii="Arial Narrow" w:hAnsi="Arial Narrow"/>
                <w:sz w:val="18"/>
                <w:szCs w:val="18"/>
              </w:rPr>
              <w:t>.</w:t>
            </w:r>
          </w:p>
          <w:p w14:paraId="576206DF" w14:textId="77777777" w:rsidR="00A56EE9" w:rsidRPr="00AC4AB4" w:rsidRDefault="00A56EE9" w:rsidP="00A11869">
            <w:pPr>
              <w:pStyle w:val="ListParagraph"/>
              <w:numPr>
                <w:ilvl w:val="0"/>
                <w:numId w:val="24"/>
              </w:numPr>
              <w:spacing w:after="200" w:line="276" w:lineRule="auto"/>
              <w:rPr>
                <w:rFonts w:ascii="Arial Narrow" w:hAnsi="Arial Narrow"/>
                <w:sz w:val="18"/>
                <w:szCs w:val="18"/>
              </w:rPr>
            </w:pPr>
            <w:r w:rsidRPr="00EF643D">
              <w:rPr>
                <w:rStyle w:val="Hyperlink"/>
                <w:rFonts w:ascii="Arial Narrow" w:hAnsi="Arial Narrow"/>
                <w:color w:val="000000" w:themeColor="text1"/>
                <w:sz w:val="18"/>
                <w:szCs w:val="18"/>
              </w:rPr>
              <w:t>Kegler, P., Baum, G., Indriana, L.F., Wild, C. and Kunzmann, A., 2015. Physiological response of the hard coral Pocillopora verrucosa from Lombok, Indonesia, to two common pollutants in combination with high temperature. PloS one</w:t>
            </w:r>
            <w:r>
              <w:rPr>
                <w:rStyle w:val="Hyperlink"/>
                <w:rFonts w:ascii="Arial Narrow" w:hAnsi="Arial Narrow"/>
                <w:color w:val="000000" w:themeColor="text1"/>
                <w:sz w:val="18"/>
                <w:szCs w:val="18"/>
              </w:rPr>
              <w:t>, 10(11), p.e0142744.</w:t>
            </w:r>
          </w:p>
        </w:tc>
        <w:tc>
          <w:tcPr>
            <w:tcW w:w="986" w:type="dxa"/>
            <w:gridSpan w:val="2"/>
            <w:tcBorders>
              <w:top w:val="single" w:sz="4" w:space="0" w:color="auto"/>
              <w:left w:val="single" w:sz="4" w:space="0" w:color="auto"/>
              <w:bottom w:val="single" w:sz="4" w:space="0" w:color="auto"/>
              <w:right w:val="single" w:sz="4" w:space="0" w:color="auto"/>
            </w:tcBorders>
          </w:tcPr>
          <w:p w14:paraId="576206E0"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6E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6F0"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6E3" w14:textId="77777777" w:rsidR="00A56EE9" w:rsidRPr="00E70A11" w:rsidRDefault="00A56EE9" w:rsidP="00BB6AD5">
            <w:pPr>
              <w:pStyle w:val="Tablebulletlist"/>
              <w:rPr>
                <w:rStyle w:val="BookTitle"/>
              </w:rPr>
            </w:pPr>
            <w:r w:rsidRPr="00E70A11">
              <w:rPr>
                <w:rStyle w:val="BookTitle"/>
              </w:rPr>
              <w:t>CO2</w:t>
            </w:r>
            <w:r>
              <w:rPr>
                <w:rStyle w:val="BookTitle"/>
              </w:rPr>
              <w:t xml:space="preserve"> </w:t>
            </w:r>
            <w:r w:rsidRPr="00E70A11">
              <w:rPr>
                <w:rStyle w:val="BookTitle"/>
              </w:rPr>
              <w:t>The current condition and trend of values relevant to shipping are known by managers</w:t>
            </w:r>
          </w:p>
        </w:tc>
        <w:tc>
          <w:tcPr>
            <w:tcW w:w="809" w:type="dxa"/>
            <w:gridSpan w:val="2"/>
            <w:tcBorders>
              <w:top w:val="single" w:sz="4" w:space="0" w:color="auto"/>
              <w:left w:val="single" w:sz="4" w:space="0" w:color="auto"/>
              <w:bottom w:val="single" w:sz="4" w:space="0" w:color="auto"/>
              <w:right w:val="single" w:sz="4" w:space="0" w:color="auto"/>
            </w:tcBorders>
          </w:tcPr>
          <w:p w14:paraId="576206E4"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6E5" w14:textId="77777777" w:rsidR="00A56EE9" w:rsidRPr="00E70A11" w:rsidRDefault="00A56EE9" w:rsidP="00A11869">
            <w:pPr>
              <w:pStyle w:val="ListBullet"/>
              <w:numPr>
                <w:ilvl w:val="0"/>
                <w:numId w:val="90"/>
              </w:numPr>
              <w:jc w:val="both"/>
            </w:pPr>
            <w:r w:rsidRPr="00E70A11">
              <w:rPr>
                <w:color w:val="000000" w:themeColor="text1"/>
              </w:rPr>
              <w:t>From 2015-25 the Great Barrier Reef is forecast to see a 5.5% consolidated annual growth rate in ship movements, primarily driven by bulk carriers visiting North Queensland coal ports.</w:t>
            </w:r>
          </w:p>
          <w:p w14:paraId="576206E6" w14:textId="77777777" w:rsidR="00A56EE9" w:rsidRPr="00E70A11" w:rsidRDefault="00A56EE9" w:rsidP="00A11869">
            <w:pPr>
              <w:pStyle w:val="ListBullet"/>
              <w:numPr>
                <w:ilvl w:val="0"/>
                <w:numId w:val="90"/>
              </w:numPr>
              <w:jc w:val="both"/>
            </w:pPr>
            <w:r w:rsidRPr="00E70A11">
              <w:t>The 2014 Outlook Report anticipated a significant increase in the volume of shipping plying the GBR in the short to medium term, with implications for effective forecasting of demands on shipping support and safety services. While the forecast increase since the 2014 Outlook Report has not been fully realised, the need to gather and collate better records of actual ship movements within the GBR Region and to tie these with forecasts for future levels of activity, as the basis for pre-emptive management, remains. Notwithstanding any inherent difficulties in the collation of such data, this is necessary to ensure that control, response and regulatory capacities are commensurate with ship traffic levels for the effective management of shipping in the GBR Region (eg. REEFVTS monitoring capacity, navigation aids, availability of pilots, oil/chemical spill response capabilities, and similar). Recent experience with assessment work in this domain has indicated the difficulty of gathering such records, and the disparate results gained when comparing various available records and forecasts.</w:t>
            </w:r>
          </w:p>
          <w:p w14:paraId="576206E7" w14:textId="77777777" w:rsidR="00A56EE9" w:rsidRPr="00E70A11" w:rsidRDefault="00A56EE9" w:rsidP="00A11869">
            <w:pPr>
              <w:pStyle w:val="ListBullet"/>
              <w:numPr>
                <w:ilvl w:val="0"/>
                <w:numId w:val="90"/>
              </w:numPr>
              <w:jc w:val="both"/>
            </w:pPr>
            <w:r w:rsidRPr="00E70A11">
              <w:rPr>
                <w:lang w:val="en-GB"/>
              </w:rPr>
              <w:t xml:space="preserve">Whilst outside the GBR Region and World Heritage Area, the </w:t>
            </w:r>
            <w:hyperlink r:id="rId1719" w:history="1">
              <w:r w:rsidRPr="00E70A11">
                <w:rPr>
                  <w:rStyle w:val="Hyperlink"/>
                  <w:color w:val="000000" w:themeColor="text1"/>
                  <w:lang w:val="en-GB"/>
                </w:rPr>
                <w:t>Bundaberg State Development Area</w:t>
              </w:r>
            </w:hyperlink>
            <w:r w:rsidRPr="00E70A11">
              <w:rPr>
                <w:lang w:val="en-GB"/>
              </w:rPr>
              <w:t xml:space="preserve"> (SDA), declared on 10 February 2017, will likely result in an increase in ship traffic transiting the GBR Region.</w:t>
            </w:r>
          </w:p>
          <w:p w14:paraId="576206E8" w14:textId="77777777" w:rsidR="00A56EE9" w:rsidRPr="00E70A11" w:rsidRDefault="00A56EE9" w:rsidP="00A11869">
            <w:pPr>
              <w:pStyle w:val="ListBullet"/>
              <w:numPr>
                <w:ilvl w:val="0"/>
                <w:numId w:val="90"/>
              </w:numPr>
              <w:jc w:val="both"/>
            </w:pPr>
            <w:r w:rsidRPr="00E70A11">
              <w:t>Some concern exists about the status and trend of the aesthetic value of the GBRWHA in relation to shipping activities. Aesthetic considerations, however, need to be taken in the context that ships within and anchored off a port will be visible and that this is an inevitable effect of the approval of a port development or expansion. Where evaluation of aesthetic issues may have some merit would be in isolated areas of the Reef where shipping sails through with some frequency.</w:t>
            </w:r>
          </w:p>
          <w:p w14:paraId="576206E9" w14:textId="77777777" w:rsidR="00A56EE9" w:rsidRPr="00E70A11" w:rsidRDefault="00A56EE9" w:rsidP="00A11869">
            <w:pPr>
              <w:pStyle w:val="ListBullet"/>
              <w:numPr>
                <w:ilvl w:val="0"/>
                <w:numId w:val="90"/>
              </w:numPr>
              <w:jc w:val="both"/>
            </w:pPr>
            <w:r w:rsidRPr="00E70A11">
              <w:t>Maintenance of appropriate standards of crew training and competency, as well as adequate fatigue management processes, continue to underpin safe shipping within the GBR Region. It is critical that these issues remain adequately addressed at the international level through the IMO, and at a regional level by effective, comprehensive Australian Port State Control procedures.</w:t>
            </w:r>
          </w:p>
        </w:tc>
        <w:tc>
          <w:tcPr>
            <w:tcW w:w="5045" w:type="dxa"/>
            <w:gridSpan w:val="2"/>
            <w:tcBorders>
              <w:top w:val="single" w:sz="4" w:space="0" w:color="auto"/>
              <w:left w:val="single" w:sz="4" w:space="0" w:color="auto"/>
              <w:bottom w:val="single" w:sz="4" w:space="0" w:color="auto"/>
              <w:right w:val="single" w:sz="4" w:space="0" w:color="auto"/>
            </w:tcBorders>
          </w:tcPr>
          <w:p w14:paraId="576206EA"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720" w:tgtFrame="_blank" w:history="1">
              <w:r w:rsidR="00A56EE9" w:rsidRPr="00E70A11">
                <w:rPr>
                  <w:rStyle w:val="Hyperlink"/>
                  <w:rFonts w:ascii="Arial Narrow" w:hAnsi="Arial Narrow"/>
                  <w:color w:val="000000" w:themeColor="text1"/>
                  <w:sz w:val="18"/>
                  <w:szCs w:val="18"/>
                  <w:lang w:val="en"/>
                </w:rPr>
                <w:t>Defining the aesthetic values of the Great Barrier Reef World Heritage Area:</w:t>
              </w:r>
            </w:hyperlink>
            <w:r w:rsidR="00A56EE9" w:rsidRPr="00E70A11">
              <w:rPr>
                <w:rFonts w:ascii="Arial Narrow" w:hAnsi="Arial Narrow"/>
                <w:color w:val="000000" w:themeColor="text1"/>
                <w:sz w:val="18"/>
                <w:szCs w:val="18"/>
                <w:lang w:val="en"/>
              </w:rPr>
              <w:t xml:space="preserve"> 2013. Identified and mapped aesthetic values of outstanding universal value and analysed the sensitivity of those values to particular impacts. Further work on this matter underway.</w:t>
            </w:r>
          </w:p>
          <w:p w14:paraId="576206EB"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721" w:history="1">
              <w:r w:rsidR="00A56EE9" w:rsidRPr="00E70A11">
                <w:rPr>
                  <w:rStyle w:val="Hyperlink"/>
                  <w:rFonts w:ascii="Arial Narrow" w:hAnsi="Arial Narrow"/>
                  <w:color w:val="000000" w:themeColor="text1"/>
                  <w:sz w:val="18"/>
                  <w:szCs w:val="18"/>
                </w:rPr>
                <w:t>Outlook Report 2014</w:t>
              </w:r>
            </w:hyperlink>
            <w:r w:rsidR="00A56EE9" w:rsidRPr="00E70A11">
              <w:rPr>
                <w:rFonts w:ascii="Arial Narrow" w:hAnsi="Arial Narrow"/>
                <w:color w:val="000000" w:themeColor="text1"/>
                <w:sz w:val="18"/>
                <w:szCs w:val="18"/>
              </w:rPr>
              <w:t xml:space="preserve"> chapters 2 &amp; 3, </w:t>
            </w:r>
            <w:r w:rsidR="00A56EE9" w:rsidRPr="00E70A11">
              <w:rPr>
                <w:rFonts w:ascii="Arial Narrow" w:hAnsi="Arial Narrow"/>
                <w:b/>
                <w:color w:val="000000" w:themeColor="text1"/>
                <w:sz w:val="18"/>
                <w:szCs w:val="18"/>
              </w:rPr>
              <w:t>section 5.8</w:t>
            </w:r>
            <w:r w:rsidR="00A56EE9" w:rsidRPr="00E70A11">
              <w:rPr>
                <w:rFonts w:ascii="Arial Narrow" w:hAnsi="Arial Narrow"/>
                <w:color w:val="000000" w:themeColor="text1"/>
                <w:sz w:val="18"/>
                <w:szCs w:val="18"/>
              </w:rPr>
              <w:t xml:space="preserve"> etc.</w:t>
            </w:r>
          </w:p>
          <w:p w14:paraId="576206EC"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Chapter 7 </w:t>
            </w:r>
            <w:hyperlink r:id="rId1722" w:history="1">
              <w:r w:rsidRPr="00E70A11">
                <w:rPr>
                  <w:rStyle w:val="Hyperlink"/>
                  <w:rFonts w:ascii="Arial Narrow" w:hAnsi="Arial Narrow"/>
                  <w:color w:val="000000" w:themeColor="text1"/>
                  <w:sz w:val="18"/>
                  <w:szCs w:val="18"/>
                </w:rPr>
                <w:t>Great Barrier Reef Region Strategic Assessment Report</w:t>
              </w:r>
            </w:hyperlink>
            <w:r w:rsidRPr="00E70A11">
              <w:rPr>
                <w:rFonts w:ascii="Arial Narrow" w:hAnsi="Arial Narrow"/>
                <w:color w:val="000000" w:themeColor="text1"/>
                <w:sz w:val="18"/>
                <w:szCs w:val="18"/>
              </w:rPr>
              <w:t xml:space="preserve">, and </w:t>
            </w:r>
            <w:hyperlink r:id="rId1723" w:history="1">
              <w:r w:rsidRPr="00E70A11">
                <w:rPr>
                  <w:rStyle w:val="Hyperlink"/>
                  <w:rFonts w:ascii="Arial Narrow" w:hAnsi="Arial Narrow"/>
                  <w:color w:val="000000" w:themeColor="text1"/>
                  <w:sz w:val="18"/>
                  <w:szCs w:val="18"/>
                </w:rPr>
                <w:t>Great Barrier Reef Coastal Zone Strategic Assessment Report</w:t>
              </w:r>
            </w:hyperlink>
            <w:r w:rsidRPr="00E70A11">
              <w:rPr>
                <w:rFonts w:ascii="Arial Narrow" w:hAnsi="Arial Narrow"/>
                <w:color w:val="000000" w:themeColor="text1"/>
                <w:sz w:val="18"/>
                <w:szCs w:val="18"/>
              </w:rPr>
              <w:t>, noting information gaps were identified.</w:t>
            </w:r>
          </w:p>
          <w:p w14:paraId="576206ED" w14:textId="77777777" w:rsidR="00A56EE9" w:rsidRPr="00AC4AB4"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724" w:history="1">
              <w:r w:rsidR="00A56EE9" w:rsidRPr="00E70A11">
                <w:rPr>
                  <w:rStyle w:val="Hyperlink"/>
                  <w:rFonts w:ascii="Arial Narrow" w:hAnsi="Arial Narrow"/>
                  <w:color w:val="000000" w:themeColor="text1"/>
                  <w:sz w:val="18"/>
                  <w:szCs w:val="18"/>
                </w:rPr>
                <w:t>AMSA Corporate Plan 2</w:t>
              </w:r>
              <w:r w:rsidR="00A56EE9">
                <w:rPr>
                  <w:rStyle w:val="Hyperlink"/>
                  <w:rFonts w:ascii="Arial Narrow" w:hAnsi="Arial Narrow"/>
                  <w:color w:val="000000" w:themeColor="text1"/>
                  <w:sz w:val="18"/>
                  <w:szCs w:val="18"/>
                </w:rPr>
                <w:t>01</w:t>
              </w:r>
              <w:r w:rsidR="00A56EE9" w:rsidRPr="00E70A11">
                <w:rPr>
                  <w:rStyle w:val="Hyperlink"/>
                  <w:rFonts w:ascii="Arial Narrow" w:hAnsi="Arial Narrow"/>
                  <w:color w:val="000000" w:themeColor="text1"/>
                  <w:sz w:val="18"/>
                  <w:szCs w:val="18"/>
                </w:rPr>
                <w:t>7-18</w:t>
              </w:r>
            </w:hyperlink>
            <w:r w:rsidR="00A56EE9" w:rsidRPr="00E70A11">
              <w:rPr>
                <w:rFonts w:ascii="Arial Narrow" w:hAnsi="Arial Narrow"/>
                <w:color w:val="000000" w:themeColor="text1"/>
                <w:sz w:val="18"/>
                <w:szCs w:val="18"/>
              </w:rPr>
              <w:t xml:space="preserve"> </w:t>
            </w:r>
          </w:p>
        </w:tc>
        <w:tc>
          <w:tcPr>
            <w:tcW w:w="986" w:type="dxa"/>
            <w:gridSpan w:val="2"/>
            <w:tcBorders>
              <w:top w:val="single" w:sz="4" w:space="0" w:color="auto"/>
              <w:left w:val="single" w:sz="4" w:space="0" w:color="auto"/>
              <w:bottom w:val="single" w:sz="4" w:space="0" w:color="auto"/>
              <w:right w:val="single" w:sz="4" w:space="0" w:color="auto"/>
            </w:tcBorders>
          </w:tcPr>
          <w:p w14:paraId="576206EE"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6E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725"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6F1" w14:textId="77777777" w:rsidR="00A56EE9" w:rsidRPr="00E70A11" w:rsidRDefault="00A56EE9" w:rsidP="00BB6AD5">
            <w:pPr>
              <w:pStyle w:val="Tablebulletlist"/>
              <w:rPr>
                <w:rStyle w:val="BookTitle"/>
              </w:rPr>
            </w:pPr>
            <w:r w:rsidRPr="00E70A11">
              <w:rPr>
                <w:rStyle w:val="BookTitle"/>
              </w:rPr>
              <w:t>CO3</w:t>
            </w:r>
            <w:r>
              <w:rPr>
                <w:rStyle w:val="BookTitle"/>
              </w:rPr>
              <w:t xml:space="preserve"> </w:t>
            </w:r>
            <w:r w:rsidRPr="00E70A11">
              <w:rPr>
                <w:rStyle w:val="BookTitle"/>
              </w:rPr>
              <w:t>Impacts (direct, indirect and cumulative) associated with shipping are understood by managers.</w:t>
            </w:r>
          </w:p>
        </w:tc>
        <w:tc>
          <w:tcPr>
            <w:tcW w:w="809" w:type="dxa"/>
            <w:gridSpan w:val="2"/>
            <w:tcBorders>
              <w:top w:val="single" w:sz="4" w:space="0" w:color="auto"/>
              <w:left w:val="single" w:sz="4" w:space="0" w:color="auto"/>
              <w:bottom w:val="single" w:sz="4" w:space="0" w:color="auto"/>
              <w:right w:val="single" w:sz="4" w:space="0" w:color="auto"/>
            </w:tcBorders>
          </w:tcPr>
          <w:p w14:paraId="576206F2"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6F3" w14:textId="77777777" w:rsidR="00A56EE9" w:rsidRPr="00E70A11" w:rsidRDefault="00A56EE9" w:rsidP="00A11869">
            <w:pPr>
              <w:pStyle w:val="ListBullet"/>
              <w:numPr>
                <w:ilvl w:val="0"/>
                <w:numId w:val="90"/>
              </w:numPr>
              <w:jc w:val="both"/>
            </w:pPr>
            <w:r w:rsidRPr="00E70A11">
              <w:t>Effective management of shipping in the GBR requires a good understanding of types and numbers of ships plying its waters, in order that effort and resources may be appropriately allocated. In particular, indications of increased shipping traffic need to be thoroughly understood so that pre-emptive action can be taken to ensure that the level and capacity of management services remains commensurate with traffic levels</w:t>
            </w:r>
            <w:r>
              <w:t xml:space="preserve"> </w:t>
            </w:r>
            <w:r w:rsidRPr="00E70A11">
              <w:t xml:space="preserve">(eg. REEFVTS monitoring capacity, navigation aids, availability of pilots, oil/chemical spill response capabilities, and similar). This indicates the need to collate effective records of actual ship movements within the GBR Region and to tie these with forecasts for future levels of activity, although the difficulty of gathering such records is recognised. </w:t>
            </w:r>
          </w:p>
          <w:p w14:paraId="576206F4" w14:textId="77777777" w:rsidR="00A56EE9" w:rsidRPr="00E70A11" w:rsidRDefault="00A56EE9" w:rsidP="00A11869">
            <w:pPr>
              <w:pStyle w:val="ListBullet"/>
              <w:numPr>
                <w:ilvl w:val="0"/>
                <w:numId w:val="90"/>
              </w:numPr>
              <w:jc w:val="both"/>
            </w:pPr>
            <w:r w:rsidRPr="00E70A11">
              <w:t>Work has commenced to examine the status and trend of the aesthetic value of the GBRWHA in relation to shipping activities, noting that previously there has been no regular monitoring of the aesthetic value undertaken in the World Heritage Area. Aesthetic considerations, however, need to be taken in the context that ships within and anchored off a port will be visible and that this is an inevitable effect of the approval of a port development or expansion. Where evaluation of aesthetic issues may have particular merit would be in isolated areas of the Reef where shipping sails through with some frequency.</w:t>
            </w:r>
          </w:p>
          <w:p w14:paraId="576206F5" w14:textId="77777777" w:rsidR="00A56EE9" w:rsidRPr="00E70A11" w:rsidRDefault="00A56EE9" w:rsidP="00A11869">
            <w:pPr>
              <w:pStyle w:val="ListBullet"/>
              <w:numPr>
                <w:ilvl w:val="0"/>
                <w:numId w:val="90"/>
              </w:numPr>
              <w:jc w:val="both"/>
            </w:pPr>
            <w:r w:rsidRPr="00E70A11">
              <w:t>Continued maintenance of appropriate standards of crew training and competency, for ships’ staff and pilots, as well as adequate fatigue management processes, underpin safe shipping within the GBR Region. It is important that these issues are adequately addressed at the international level through the IMO, and at a regional level by effective, comprehensive Australian Port State Control procedures.</w:t>
            </w:r>
          </w:p>
          <w:p w14:paraId="576206F6" w14:textId="77777777" w:rsidR="00A56EE9" w:rsidRPr="00E70A11" w:rsidRDefault="00A56EE9" w:rsidP="00A11869">
            <w:pPr>
              <w:numPr>
                <w:ilvl w:val="0"/>
                <w:numId w:val="90"/>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The potential risks associated with groundings, oil and chemical spills, collisions, marine pest introductions, and similar are widely recognised.</w:t>
            </w:r>
          </w:p>
          <w:p w14:paraId="576206F7" w14:textId="77777777" w:rsidR="00A56EE9" w:rsidRPr="00E70A11" w:rsidRDefault="00A56EE9" w:rsidP="00A11869">
            <w:pPr>
              <w:numPr>
                <w:ilvl w:val="0"/>
                <w:numId w:val="90"/>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The cumulative effects of potential impacts associated with shipping need to be further examined in the context of the GBR. This includes potential for damage to benthos from anchoring, wake wash, leaching of anti-fouling biocides, underwater noise effects, and similar. Some evaluation work is underway, but this is mostly in its formative stages.</w:t>
            </w:r>
          </w:p>
          <w:p w14:paraId="576206F8" w14:textId="77777777" w:rsidR="00A56EE9" w:rsidRPr="00E70A11" w:rsidRDefault="00A56EE9" w:rsidP="00A11869">
            <w:pPr>
              <w:numPr>
                <w:ilvl w:val="0"/>
                <w:numId w:val="90"/>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Since September 2017, new legislation and requirements apply to ballast water management in Australian waters.</w:t>
            </w:r>
          </w:p>
          <w:p w14:paraId="576206F9" w14:textId="08B2023C" w:rsidR="00A56EE9" w:rsidRPr="00E70A11" w:rsidRDefault="00A56EE9" w:rsidP="00A11869">
            <w:pPr>
              <w:numPr>
                <w:ilvl w:val="0"/>
                <w:numId w:val="90"/>
              </w:numPr>
              <w:spacing w:before="40" w:after="40" w:line="240" w:lineRule="auto"/>
              <w:rPr>
                <w:rFonts w:ascii="Arial Narrow" w:hAnsi="Arial Narrow"/>
                <w:color w:val="000000" w:themeColor="text1"/>
                <w:sz w:val="18"/>
                <w:szCs w:val="18"/>
              </w:rPr>
            </w:pPr>
            <w:r w:rsidRPr="00834647">
              <w:rPr>
                <w:rFonts w:ascii="Arial Narrow" w:hAnsi="Arial Narrow"/>
                <w:sz w:val="18"/>
                <w:szCs w:val="18"/>
              </w:rPr>
              <w:t>Interest in the impacts and management of underwater noise is increasing. GBRMPA commissioned a discussion and options paper on the topic and there is also a NESP project on shipping risk underway whose researchers have intentions to look at shipping noise aspects further. There is a research action on underwater noise in the North East Shipping Management Plan and an action to produce guidelines on underwater noise for the GBR in the Reef 2050 Plan. It is considered to be essential</w:t>
            </w:r>
            <w:r w:rsidR="00D1702B">
              <w:rPr>
                <w:rFonts w:ascii="Arial Narrow" w:hAnsi="Arial Narrow"/>
                <w:sz w:val="18"/>
                <w:szCs w:val="18"/>
              </w:rPr>
              <w:t xml:space="preserve"> </w:t>
            </w:r>
            <w:r w:rsidRPr="00834647">
              <w:rPr>
                <w:rFonts w:ascii="Arial Narrow" w:hAnsi="Arial Narrow"/>
                <w:sz w:val="18"/>
                <w:szCs w:val="18"/>
              </w:rPr>
              <w:t xml:space="preserve">that ship-generated noise be properly </w:t>
            </w:r>
            <w:r w:rsidRPr="00E70A11">
              <w:rPr>
                <w:rFonts w:ascii="Arial Narrow" w:hAnsi="Arial Narrow"/>
                <w:color w:val="000000" w:themeColor="text1"/>
                <w:sz w:val="18"/>
                <w:szCs w:val="18"/>
              </w:rPr>
              <w:t>understood in the context of the GBR before any premature or precipitate controls are imposed.</w:t>
            </w:r>
          </w:p>
          <w:p w14:paraId="576206FA" w14:textId="77777777" w:rsidR="00A56EE9" w:rsidRPr="00E70A11" w:rsidRDefault="00A56EE9" w:rsidP="00A11869">
            <w:pPr>
              <w:numPr>
                <w:ilvl w:val="0"/>
                <w:numId w:val="90"/>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Vessel strike on fauna is an area of growing interest. NESP project C5 explores ship strike analysis for large marine fauna – particularly cetaceans. To reduce the risk of vessel strikes and the impacts they may have on marine fauna, the Australian government has developed a National Strategy for Mitigating Vessel Strike of Marine Mega-fauna.</w:t>
            </w:r>
          </w:p>
          <w:p w14:paraId="576206FB" w14:textId="77777777" w:rsidR="00A56EE9" w:rsidRPr="00E70A11" w:rsidRDefault="00A56EE9" w:rsidP="00A11869">
            <w:pPr>
              <w:numPr>
                <w:ilvl w:val="0"/>
                <w:numId w:val="90"/>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In 2014 the revised National Plan for Marine Environmental Emergencies was endorsed, and was updated and approved for implementation in November 2016. It recognises and deals with pollution, potential pollution of the sea, or harm to the marine environment by oil or hazardous and noxious substances. It does not deal with ballast water, marine pests, or marine pollutants other than oil and hazardous and noxious substances, general marine debris and rubbish. These areas are managed under other regimes and agreements.</w:t>
            </w:r>
          </w:p>
          <w:p w14:paraId="576206FC" w14:textId="77777777" w:rsidR="00A56EE9" w:rsidRPr="00E70A11" w:rsidRDefault="00A56EE9" w:rsidP="00A11869">
            <w:pPr>
              <w:pStyle w:val="CommentText"/>
              <w:numPr>
                <w:ilvl w:val="0"/>
                <w:numId w:val="90"/>
              </w:numPr>
              <w:spacing w:after="0"/>
              <w:rPr>
                <w:rFonts w:ascii="Arial Narrow" w:hAnsi="Arial Narrow"/>
                <w:color w:val="000000" w:themeColor="text1"/>
                <w:sz w:val="18"/>
                <w:szCs w:val="18"/>
              </w:rPr>
            </w:pPr>
            <w:r w:rsidRPr="00E70A11">
              <w:rPr>
                <w:rFonts w:ascii="Arial Narrow" w:hAnsi="Arial Narrow"/>
                <w:color w:val="000000" w:themeColor="text1"/>
                <w:sz w:val="18"/>
                <w:szCs w:val="18"/>
              </w:rPr>
              <w:t xml:space="preserve">Research funded under the NESP Tropical Water Quality Hub is addressing cumulative impacts, which includes impacts from shipping related activities. Projects with direct relevance include: </w:t>
            </w:r>
          </w:p>
          <w:p w14:paraId="576206FD" w14:textId="77777777" w:rsidR="00A56EE9" w:rsidRPr="00E70A11" w:rsidRDefault="00A56EE9" w:rsidP="00A11869">
            <w:pPr>
              <w:pStyle w:val="CommentText"/>
              <w:numPr>
                <w:ilvl w:val="1"/>
                <w:numId w:val="90"/>
              </w:numPr>
              <w:spacing w:after="0"/>
              <w:rPr>
                <w:rFonts w:ascii="Arial Narrow" w:hAnsi="Arial Narrow"/>
                <w:color w:val="000000" w:themeColor="text1"/>
                <w:sz w:val="18"/>
                <w:szCs w:val="18"/>
              </w:rPr>
            </w:pPr>
            <w:r w:rsidRPr="00E70A11">
              <w:rPr>
                <w:rFonts w:ascii="Arial Narrow" w:hAnsi="Arial Narrow"/>
                <w:color w:val="000000" w:themeColor="text1"/>
                <w:sz w:val="18"/>
                <w:szCs w:val="18"/>
              </w:rPr>
              <w:t>Project 1.6—Multiple and cumulative impacts on the GBR: assessment of current status and development of improved approaches for management;</w:t>
            </w:r>
          </w:p>
          <w:p w14:paraId="576206FE" w14:textId="77777777" w:rsidR="00A56EE9" w:rsidRPr="00E70A11" w:rsidRDefault="00A56EE9" w:rsidP="00A11869">
            <w:pPr>
              <w:pStyle w:val="CommentText"/>
              <w:numPr>
                <w:ilvl w:val="1"/>
                <w:numId w:val="90"/>
              </w:numPr>
              <w:spacing w:after="0"/>
              <w:rPr>
                <w:rFonts w:ascii="Arial Narrow" w:hAnsi="Arial Narrow"/>
                <w:color w:val="000000" w:themeColor="text1"/>
                <w:sz w:val="18"/>
                <w:szCs w:val="18"/>
              </w:rPr>
            </w:pPr>
            <w:r w:rsidRPr="00E70A11">
              <w:rPr>
                <w:rFonts w:ascii="Arial Narrow" w:hAnsi="Arial Narrow"/>
                <w:color w:val="000000" w:themeColor="text1"/>
                <w:sz w:val="18"/>
                <w:szCs w:val="18"/>
              </w:rPr>
              <w:t xml:space="preserve">Project 1.10—Identification, impacts, and prioritization of emerging contaminants present in the Great Barrier Reef and Torres Strait marine environments; </w:t>
            </w:r>
          </w:p>
          <w:p w14:paraId="576206FF" w14:textId="77777777" w:rsidR="00A56EE9" w:rsidRPr="00E70A11" w:rsidRDefault="00A56EE9" w:rsidP="00A11869">
            <w:pPr>
              <w:pStyle w:val="CommentText"/>
              <w:numPr>
                <w:ilvl w:val="1"/>
                <w:numId w:val="90"/>
              </w:numPr>
              <w:spacing w:after="0"/>
              <w:rPr>
                <w:rFonts w:ascii="Arial Narrow" w:hAnsi="Arial Narrow"/>
                <w:color w:val="000000" w:themeColor="text1"/>
                <w:sz w:val="18"/>
                <w:szCs w:val="18"/>
              </w:rPr>
            </w:pPr>
            <w:r w:rsidRPr="00E70A11">
              <w:rPr>
                <w:rFonts w:ascii="Arial Narrow" w:hAnsi="Arial Narrow"/>
                <w:color w:val="000000" w:themeColor="text1"/>
                <w:sz w:val="18"/>
                <w:szCs w:val="18"/>
              </w:rPr>
              <w:t>Project 2.1.6—</w:t>
            </w:r>
            <w:proofErr w:type="gramStart"/>
            <w:r w:rsidRPr="00E70A11">
              <w:rPr>
                <w:rFonts w:ascii="Arial Narrow" w:hAnsi="Arial Narrow"/>
                <w:color w:val="000000" w:themeColor="text1"/>
                <w:sz w:val="18"/>
                <w:szCs w:val="18"/>
              </w:rPr>
              <w:t>From</w:t>
            </w:r>
            <w:proofErr w:type="gramEnd"/>
            <w:r w:rsidRPr="00E70A11">
              <w:rPr>
                <w:rFonts w:ascii="Arial Narrow" w:hAnsi="Arial Narrow"/>
                <w:color w:val="000000" w:themeColor="text1"/>
                <w:sz w:val="18"/>
                <w:szCs w:val="18"/>
              </w:rPr>
              <w:t xml:space="preserve"> exposure to risk: novel experimental approaches to analyse cumulative impacts and determine thresholds in the GBRWHA.</w:t>
            </w:r>
          </w:p>
        </w:tc>
        <w:tc>
          <w:tcPr>
            <w:tcW w:w="5045" w:type="dxa"/>
            <w:gridSpan w:val="2"/>
            <w:tcBorders>
              <w:top w:val="single" w:sz="4" w:space="0" w:color="auto"/>
              <w:left w:val="single" w:sz="4" w:space="0" w:color="auto"/>
              <w:bottom w:val="single" w:sz="4" w:space="0" w:color="auto"/>
              <w:right w:val="single" w:sz="4" w:space="0" w:color="auto"/>
            </w:tcBorders>
          </w:tcPr>
          <w:p w14:paraId="57620700"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rPr>
              <w:t xml:space="preserve">AMSA webpage on </w:t>
            </w:r>
            <w:hyperlink r:id="rId1725" w:history="1">
              <w:r w:rsidRPr="00E70A11">
                <w:rPr>
                  <w:rStyle w:val="Hyperlink"/>
                  <w:rFonts w:ascii="Arial Narrow" w:hAnsi="Arial Narrow"/>
                  <w:color w:val="000000" w:themeColor="text1"/>
                  <w:sz w:val="18"/>
                  <w:szCs w:val="18"/>
                </w:rPr>
                <w:t>Particularly Sensitive Sea Areas</w:t>
              </w:r>
            </w:hyperlink>
            <w:r w:rsidRPr="00E70A11">
              <w:rPr>
                <w:rFonts w:ascii="Arial Narrow" w:hAnsi="Arial Narrow"/>
                <w:color w:val="000000" w:themeColor="text1"/>
                <w:sz w:val="18"/>
                <w:szCs w:val="18"/>
              </w:rPr>
              <w:t xml:space="preserve">, including the GBR/TorresStrait/CoralSea PSSA and </w:t>
            </w:r>
            <w:hyperlink r:id="rId1726" w:history="1">
              <w:r w:rsidRPr="00E70A11">
                <w:rPr>
                  <w:rStyle w:val="Hyperlink"/>
                  <w:rFonts w:ascii="Arial Narrow" w:hAnsi="Arial Narrow"/>
                  <w:color w:val="000000" w:themeColor="text1"/>
                  <w:sz w:val="18"/>
                  <w:szCs w:val="18"/>
                </w:rPr>
                <w:t>PSSA factsheet</w:t>
              </w:r>
            </w:hyperlink>
            <w:r w:rsidRPr="00E70A11">
              <w:rPr>
                <w:rFonts w:ascii="Arial Narrow" w:hAnsi="Arial Narrow"/>
                <w:color w:val="000000" w:themeColor="text1"/>
                <w:sz w:val="18"/>
                <w:szCs w:val="18"/>
              </w:rPr>
              <w:t xml:space="preserve"> </w:t>
            </w:r>
          </w:p>
          <w:p w14:paraId="57620701" w14:textId="77777777" w:rsidR="00A56EE9" w:rsidRPr="00E70A11" w:rsidRDefault="00A56EE9" w:rsidP="00A11869">
            <w:pPr>
              <w:pStyle w:val="ListParagraph"/>
              <w:numPr>
                <w:ilvl w:val="0"/>
                <w:numId w:val="90"/>
              </w:numPr>
              <w:spacing w:after="200" w:line="276" w:lineRule="auto"/>
              <w:rPr>
                <w:rStyle w:val="Hyperlink"/>
                <w:rFonts w:ascii="Arial Narrow" w:hAnsi="Arial Narrow"/>
                <w:color w:val="000000" w:themeColor="text1"/>
                <w:sz w:val="18"/>
                <w:szCs w:val="18"/>
                <w:lang w:val="en"/>
              </w:rPr>
            </w:pPr>
            <w:r w:rsidRPr="00E70A11">
              <w:rPr>
                <w:rFonts w:ascii="Arial Narrow" w:hAnsi="Arial Narrow"/>
                <w:color w:val="000000" w:themeColor="text1"/>
                <w:sz w:val="18"/>
                <w:szCs w:val="18"/>
                <w:lang w:val="en"/>
              </w:rPr>
              <w:t xml:space="preserve">2013 </w:t>
            </w:r>
            <w:hyperlink r:id="rId1727" w:tgtFrame="_blank" w:history="1">
              <w:r w:rsidRPr="00E70A11">
                <w:rPr>
                  <w:rStyle w:val="Hyperlink"/>
                  <w:rFonts w:ascii="Arial Narrow" w:hAnsi="Arial Narrow"/>
                  <w:color w:val="000000" w:themeColor="text1"/>
                  <w:sz w:val="18"/>
                  <w:szCs w:val="18"/>
                  <w:lang w:val="en"/>
                </w:rPr>
                <w:t>Ship Anchorage Management Report in the Great Barrier Reef World Heritage Area</w:t>
              </w:r>
            </w:hyperlink>
          </w:p>
          <w:p w14:paraId="57620702"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As part of the Australian Government's Sustainable Regional Development program, the GBRMPA managed a targeted research project to identify the impacts and effective management strategies associated with offshore ship anchorages in the World Heritage Area (see ref 16). It informed the Strategic Assessment.</w:t>
            </w:r>
          </w:p>
          <w:p w14:paraId="57620703"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rPr>
              <w:t xml:space="preserve">PGM Environment (2012), </w:t>
            </w:r>
            <w:hyperlink r:id="rId1728" w:history="1">
              <w:r w:rsidRPr="00E70A11">
                <w:rPr>
                  <w:rStyle w:val="Hyperlink"/>
                  <w:rFonts w:ascii="Arial Narrow" w:hAnsi="Arial Narrow"/>
                  <w:color w:val="000000" w:themeColor="text1"/>
                  <w:sz w:val="18"/>
                  <w:szCs w:val="18"/>
                </w:rPr>
                <w:t>Great Barrier Reef Shipping: Review of Environmental Implications</w:t>
              </w:r>
            </w:hyperlink>
          </w:p>
          <w:p w14:paraId="57620704"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Statements regarding risks to habitats and species from Ports &amp; Shipping are included in the </w:t>
            </w:r>
            <w:hyperlink r:id="rId1729" w:history="1">
              <w:r w:rsidRPr="00E70A11">
                <w:rPr>
                  <w:rStyle w:val="Hyperlink"/>
                  <w:rFonts w:ascii="Arial Narrow" w:hAnsi="Arial Narrow"/>
                  <w:color w:val="000000" w:themeColor="text1"/>
                  <w:sz w:val="18"/>
                  <w:szCs w:val="18"/>
                </w:rPr>
                <w:t>Great Barrier Reef Biodiversity Conservation Strategy 2013</w:t>
              </w:r>
            </w:hyperlink>
            <w:r w:rsidRPr="00E70A11">
              <w:rPr>
                <w:rFonts w:ascii="Arial Narrow" w:hAnsi="Arial Narrow"/>
                <w:color w:val="000000" w:themeColor="text1"/>
                <w:sz w:val="18"/>
                <w:szCs w:val="18"/>
              </w:rPr>
              <w:t xml:space="preserve"> </w:t>
            </w:r>
          </w:p>
          <w:p w14:paraId="57620705"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rPr>
            </w:pPr>
            <w:hyperlink r:id="rId1730" w:history="1">
              <w:r w:rsidR="00A56EE9" w:rsidRPr="00E70A11">
                <w:rPr>
                  <w:rStyle w:val="Hyperlink"/>
                  <w:rFonts w:ascii="Arial Narrow" w:hAnsi="Arial Narrow"/>
                  <w:color w:val="000000" w:themeColor="text1"/>
                  <w:sz w:val="18"/>
                  <w:szCs w:val="18"/>
                </w:rPr>
                <w:t>Shen Neng 1 Grounding Impact Assessment</w:t>
              </w:r>
            </w:hyperlink>
            <w:r w:rsidR="00A56EE9" w:rsidRPr="00E70A11">
              <w:rPr>
                <w:rFonts w:ascii="Arial Narrow" w:hAnsi="Arial Narrow"/>
                <w:color w:val="000000" w:themeColor="text1"/>
                <w:sz w:val="18"/>
                <w:szCs w:val="18"/>
              </w:rPr>
              <w:t xml:space="preserve"> </w:t>
            </w:r>
          </w:p>
          <w:p w14:paraId="57620706"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Great Barrier Reef Shipping Review Steering Committee 2001. Review of Ship Safety and Pollution Prevention measures in the Great Barrier Reef.</w:t>
            </w:r>
          </w:p>
          <w:p w14:paraId="57620707"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Australian Maritime Safety Authority 2010. Improving Safe Navigation in the Great Barrier Reef. </w:t>
            </w:r>
          </w:p>
          <w:p w14:paraId="57620708"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Australian Maritime Safety Authority 2011. Strengthening the protection of the Great Barrier Reef.</w:t>
            </w:r>
          </w:p>
          <w:p w14:paraId="57620709"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lang w:val="en"/>
              </w:rPr>
              <w:t>North Eas</w:t>
            </w:r>
            <w:bookmarkStart w:id="231" w:name="_Hlt370211757"/>
            <w:bookmarkStart w:id="232" w:name="_Hlt370211758"/>
            <w:r w:rsidRPr="00E70A11">
              <w:rPr>
                <w:rFonts w:ascii="Arial Narrow" w:hAnsi="Arial Narrow"/>
                <w:color w:val="000000" w:themeColor="text1"/>
                <w:sz w:val="18"/>
                <w:szCs w:val="18"/>
                <w:lang w:val="en"/>
              </w:rPr>
              <w:t>t</w:t>
            </w:r>
            <w:bookmarkEnd w:id="231"/>
            <w:bookmarkEnd w:id="232"/>
            <w:r w:rsidRPr="00E70A11">
              <w:rPr>
                <w:rFonts w:ascii="Arial Narrow" w:hAnsi="Arial Narrow"/>
                <w:color w:val="000000" w:themeColor="text1"/>
                <w:sz w:val="18"/>
                <w:szCs w:val="18"/>
                <w:lang w:val="en"/>
              </w:rPr>
              <w:t xml:space="preserve"> Shipping Risk Assessment (prepared by Det Norske Veritas)</w:t>
            </w:r>
            <w:r>
              <w:rPr>
                <w:rFonts w:ascii="Arial Narrow" w:hAnsi="Arial Narrow"/>
                <w:color w:val="000000" w:themeColor="text1"/>
                <w:sz w:val="18"/>
                <w:szCs w:val="18"/>
                <w:lang w:val="en"/>
              </w:rPr>
              <w:t xml:space="preserve"> </w:t>
            </w:r>
            <w:r w:rsidRPr="00E70A11">
              <w:rPr>
                <w:rFonts w:ascii="Arial Narrow" w:hAnsi="Arial Narrow"/>
                <w:i/>
                <w:color w:val="000000" w:themeColor="text1"/>
                <w:sz w:val="18"/>
                <w:szCs w:val="18"/>
                <w:lang w:val="en"/>
              </w:rPr>
              <w:t>[can’t find an online version of this anymore]</w:t>
            </w:r>
            <w:r w:rsidRPr="00E70A11">
              <w:rPr>
                <w:rFonts w:ascii="Arial Narrow" w:hAnsi="Arial Narrow"/>
                <w:color w:val="000000" w:themeColor="text1"/>
                <w:sz w:val="18"/>
                <w:szCs w:val="18"/>
                <w:lang w:val="en"/>
              </w:rPr>
              <w:t xml:space="preserve"> </w:t>
            </w:r>
          </w:p>
          <w:p w14:paraId="5762070A"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lang w:val="en"/>
              </w:rPr>
              <w:t xml:space="preserve">Report by Det Norske Veritas 2011: </w:t>
            </w:r>
            <w:hyperlink r:id="rId1731" w:history="1">
              <w:r w:rsidRPr="00E70A11">
                <w:rPr>
                  <w:rStyle w:val="Hyperlink"/>
                  <w:rFonts w:ascii="Arial Narrow" w:hAnsi="Arial Narrow"/>
                  <w:color w:val="000000" w:themeColor="text1"/>
                  <w:sz w:val="18"/>
                  <w:szCs w:val="18"/>
                  <w:lang w:val="en"/>
                </w:rPr>
                <w:t>Assessment of the Risk of Pollution from Marine Oil Spills in Australian Ports and Waters</w:t>
              </w:r>
            </w:hyperlink>
          </w:p>
          <w:p w14:paraId="5762070B"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lang w:val="en"/>
              </w:rPr>
            </w:pPr>
            <w:hyperlink r:id="rId1732" w:history="1">
              <w:r w:rsidR="00A56EE9" w:rsidRPr="00E70A11">
                <w:rPr>
                  <w:rStyle w:val="Hyperlink"/>
                  <w:rFonts w:ascii="Arial Narrow" w:hAnsi="Arial Narrow"/>
                  <w:color w:val="000000" w:themeColor="text1"/>
                  <w:sz w:val="18"/>
                  <w:szCs w:val="18"/>
                  <w:lang w:val="en"/>
                </w:rPr>
                <w:t>Report on the 2011/12 Review of the National Plan to Combat Pollution of the Sea by Oil and Other Hazardous and Noxious Substances and the National Maritime Emergency Response Arrangements</w:t>
              </w:r>
            </w:hyperlink>
          </w:p>
          <w:p w14:paraId="5762070C"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rPr>
            </w:pPr>
            <w:hyperlink r:id="rId1733" w:history="1">
              <w:r w:rsidR="00A56EE9" w:rsidRPr="00E70A11">
                <w:rPr>
                  <w:rStyle w:val="Hyperlink"/>
                  <w:rFonts w:ascii="Arial Narrow" w:hAnsi="Arial Narrow"/>
                  <w:color w:val="000000" w:themeColor="text1"/>
                  <w:sz w:val="18"/>
                  <w:szCs w:val="18"/>
                </w:rPr>
                <w:t>Cumulative Impacts Assessment</w:t>
              </w:r>
              <w:r w:rsidR="00A56EE9">
                <w:rPr>
                  <w:rStyle w:val="Hyperlink"/>
                  <w:rFonts w:ascii="Arial Narrow" w:hAnsi="Arial Narrow"/>
                  <w:color w:val="000000" w:themeColor="text1"/>
                  <w:sz w:val="18"/>
                  <w:szCs w:val="18"/>
                </w:rPr>
                <w:t xml:space="preserve"> </w:t>
              </w:r>
              <w:r w:rsidR="00A56EE9" w:rsidRPr="00E70A11">
                <w:rPr>
                  <w:rStyle w:val="Hyperlink"/>
                  <w:rFonts w:ascii="Arial Narrow" w:hAnsi="Arial Narrow"/>
                  <w:color w:val="000000" w:themeColor="text1"/>
                  <w:sz w:val="18"/>
                  <w:szCs w:val="18"/>
                </w:rPr>
                <w:t>(Abbot Point</w:t>
              </w:r>
            </w:hyperlink>
            <w:r w:rsidR="00A56EE9" w:rsidRPr="00E70A11">
              <w:rPr>
                <w:rFonts w:ascii="Arial Narrow" w:hAnsi="Arial Narrow"/>
                <w:color w:val="000000" w:themeColor="text1"/>
                <w:sz w:val="18"/>
                <w:szCs w:val="18"/>
              </w:rPr>
              <w:t>)</w:t>
            </w:r>
            <w:r w:rsidR="00A56EE9" w:rsidRPr="00E70A11">
              <w:rPr>
                <w:rFonts w:ascii="Arial Narrow" w:hAnsi="Arial Narrow"/>
                <w:i/>
                <w:color w:val="000000" w:themeColor="text1"/>
                <w:sz w:val="18"/>
                <w:szCs w:val="18"/>
              </w:rPr>
              <w:t xml:space="preserve"> </w:t>
            </w:r>
          </w:p>
          <w:p w14:paraId="5762070D"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Qld Dept Agriculture and Fisheries’ </w:t>
            </w:r>
            <w:hyperlink r:id="rId1734" w:history="1">
              <w:r w:rsidRPr="00E70A11">
                <w:rPr>
                  <w:rStyle w:val="Hyperlink"/>
                  <w:rFonts w:ascii="Arial Narrow" w:hAnsi="Arial Narrow"/>
                  <w:color w:val="000000" w:themeColor="text1"/>
                  <w:sz w:val="18"/>
                  <w:szCs w:val="18"/>
                </w:rPr>
                <w:t>marine pests</w:t>
              </w:r>
            </w:hyperlink>
            <w:r w:rsidRPr="00E70A11">
              <w:rPr>
                <w:rFonts w:ascii="Arial Narrow" w:hAnsi="Arial Narrow"/>
                <w:color w:val="000000" w:themeColor="text1"/>
                <w:sz w:val="18"/>
                <w:szCs w:val="18"/>
              </w:rPr>
              <w:t xml:space="preserve"> webpages and </w:t>
            </w:r>
            <w:hyperlink r:id="rId1735" w:history="1">
              <w:r w:rsidRPr="00E70A11">
                <w:rPr>
                  <w:rStyle w:val="Hyperlink"/>
                  <w:rFonts w:ascii="Arial Narrow" w:hAnsi="Arial Narrow"/>
                  <w:color w:val="000000" w:themeColor="text1"/>
                  <w:sz w:val="18"/>
                  <w:szCs w:val="18"/>
                </w:rPr>
                <w:t>National system for the prevention and management of marine pest incursions</w:t>
              </w:r>
            </w:hyperlink>
            <w:r w:rsidRPr="00E70A11">
              <w:rPr>
                <w:rFonts w:ascii="Arial Narrow" w:hAnsi="Arial Narrow"/>
                <w:color w:val="000000" w:themeColor="text1"/>
                <w:sz w:val="18"/>
                <w:szCs w:val="18"/>
              </w:rPr>
              <w:t xml:space="preserve"> website</w:t>
            </w:r>
          </w:p>
          <w:p w14:paraId="5762070E" w14:textId="77777777" w:rsidR="00A56EE9" w:rsidRPr="00E70A11" w:rsidRDefault="00A56EE9" w:rsidP="00A11869">
            <w:pPr>
              <w:pStyle w:val="ListParagraph"/>
              <w:numPr>
                <w:ilvl w:val="0"/>
                <w:numId w:val="90"/>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Biosecurity Capability Review - Final Report, September 2015.</w:t>
            </w:r>
          </w:p>
          <w:p w14:paraId="5762070F"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Biosecurity Capability Review Interim Response, Department of Agriculture and Fisheries, 2016.</w:t>
            </w:r>
          </w:p>
          <w:p w14:paraId="57620710"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Grech et al 2013 </w:t>
            </w:r>
            <w:hyperlink r:id="rId1736" w:history="1">
              <w:r w:rsidRPr="00E70A11">
                <w:rPr>
                  <w:rStyle w:val="Hyperlink"/>
                  <w:rFonts w:ascii="Arial Narrow" w:hAnsi="Arial Narrow"/>
                  <w:color w:val="000000" w:themeColor="text1"/>
                  <w:sz w:val="18"/>
                  <w:szCs w:val="18"/>
                </w:rPr>
                <w:t>Guiding principles for the improved governance of port and shipping impacts for the Great Barrier Reef</w:t>
              </w:r>
            </w:hyperlink>
          </w:p>
          <w:p w14:paraId="57620711"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lang w:val="en"/>
              </w:rPr>
            </w:pPr>
            <w:hyperlink r:id="rId1737" w:history="1">
              <w:r w:rsidR="00A56EE9" w:rsidRPr="00E70A11">
                <w:rPr>
                  <w:rStyle w:val="Hyperlink"/>
                  <w:rFonts w:ascii="Arial Narrow" w:hAnsi="Arial Narrow"/>
                  <w:color w:val="000000" w:themeColor="text1"/>
                  <w:sz w:val="18"/>
                  <w:szCs w:val="18"/>
                </w:rPr>
                <w:t>North-East Shipping Management Plan</w:t>
              </w:r>
            </w:hyperlink>
          </w:p>
          <w:p w14:paraId="57620712"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Chapter 6 </w:t>
            </w:r>
            <w:hyperlink r:id="rId1738" w:history="1">
              <w:r w:rsidRPr="00E70A11">
                <w:rPr>
                  <w:rStyle w:val="Hyperlink"/>
                  <w:rFonts w:ascii="Arial Narrow" w:hAnsi="Arial Narrow"/>
                  <w:color w:val="000000" w:themeColor="text1"/>
                  <w:sz w:val="18"/>
                  <w:szCs w:val="18"/>
                </w:rPr>
                <w:t>Great Barrier Reef Region Strategic Assessment Report</w:t>
              </w:r>
            </w:hyperlink>
            <w:r w:rsidRPr="00E70A11">
              <w:rPr>
                <w:rFonts w:ascii="Arial Narrow" w:hAnsi="Arial Narrow"/>
                <w:color w:val="000000" w:themeColor="text1"/>
                <w:sz w:val="18"/>
                <w:szCs w:val="18"/>
              </w:rPr>
              <w:t xml:space="preserve">, and </w:t>
            </w:r>
            <w:hyperlink r:id="rId1739" w:history="1">
              <w:r w:rsidRPr="00E70A11">
                <w:rPr>
                  <w:rStyle w:val="Hyperlink"/>
                  <w:rFonts w:ascii="Arial Narrow" w:hAnsi="Arial Narrow"/>
                  <w:color w:val="000000" w:themeColor="text1"/>
                  <w:sz w:val="18"/>
                  <w:szCs w:val="18"/>
                </w:rPr>
                <w:t>Great Barrier Reef Coastal Zone Strategic Assessment Report</w:t>
              </w:r>
            </w:hyperlink>
            <w:r w:rsidRPr="00E70A11">
              <w:rPr>
                <w:rFonts w:ascii="Arial Narrow" w:hAnsi="Arial Narrow"/>
                <w:color w:val="000000" w:themeColor="text1"/>
                <w:sz w:val="18"/>
                <w:szCs w:val="18"/>
              </w:rPr>
              <w:t>, noting information gaps were identified.</w:t>
            </w:r>
          </w:p>
          <w:p w14:paraId="57620713"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rPr>
            </w:pPr>
            <w:hyperlink r:id="rId1740" w:history="1">
              <w:r w:rsidR="00A56EE9" w:rsidRPr="00E70A11">
                <w:rPr>
                  <w:rStyle w:val="Hyperlink"/>
                  <w:rFonts w:ascii="Arial Narrow" w:hAnsi="Arial Narrow"/>
                  <w:color w:val="000000" w:themeColor="text1"/>
                  <w:sz w:val="18"/>
                  <w:szCs w:val="18"/>
                </w:rPr>
                <w:t>Outlook Report 2014</w:t>
              </w:r>
            </w:hyperlink>
            <w:r w:rsidR="00A56EE9" w:rsidRPr="00E70A11">
              <w:rPr>
                <w:rFonts w:ascii="Arial Narrow" w:hAnsi="Arial Narrow"/>
                <w:color w:val="000000" w:themeColor="text1"/>
                <w:sz w:val="18"/>
                <w:szCs w:val="18"/>
              </w:rPr>
              <w:t xml:space="preserve"> sections 5.8 and 6.6 etc.</w:t>
            </w:r>
          </w:p>
          <w:p w14:paraId="57620714"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rPr>
            </w:pPr>
            <w:hyperlink r:id="rId1741" w:history="1">
              <w:r w:rsidR="00A56EE9" w:rsidRPr="00E70A11">
                <w:rPr>
                  <w:rStyle w:val="Hyperlink"/>
                  <w:rFonts w:ascii="Arial Narrow" w:hAnsi="Arial Narrow"/>
                  <w:color w:val="000000" w:themeColor="text1"/>
                  <w:sz w:val="18"/>
                  <w:szCs w:val="18"/>
                </w:rPr>
                <w:t>Abbot Point Growth Gateway project</w:t>
              </w:r>
            </w:hyperlink>
            <w:r w:rsidR="00A56EE9" w:rsidRPr="00E70A11">
              <w:rPr>
                <w:rFonts w:ascii="Arial Narrow" w:hAnsi="Arial Narrow"/>
                <w:color w:val="000000" w:themeColor="text1"/>
                <w:sz w:val="18"/>
                <w:szCs w:val="18"/>
              </w:rPr>
              <w:t xml:space="preserve"> assessment documents. In 2015, the Minister for the Environment approved the project with 29 strict environmental conditions. </w:t>
            </w:r>
          </w:p>
          <w:p w14:paraId="57620715"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lang w:val="en"/>
              </w:rPr>
            </w:pPr>
            <w:hyperlink r:id="rId1742" w:history="1">
              <w:r w:rsidR="00A56EE9" w:rsidRPr="00E70A11">
                <w:rPr>
                  <w:rStyle w:val="Hyperlink"/>
                  <w:rFonts w:ascii="Arial Narrow" w:hAnsi="Arial Narrow"/>
                  <w:color w:val="000000" w:themeColor="text1"/>
                  <w:sz w:val="18"/>
                  <w:szCs w:val="18"/>
                </w:rPr>
                <w:t>North-East Shipping Management Plan</w:t>
              </w:r>
            </w:hyperlink>
            <w:r w:rsidR="00A56EE9" w:rsidRPr="00E70A11">
              <w:rPr>
                <w:rStyle w:val="Hyperlink"/>
                <w:rFonts w:ascii="Arial Narrow" w:hAnsi="Arial Narrow"/>
                <w:color w:val="000000" w:themeColor="text1"/>
                <w:sz w:val="18"/>
                <w:szCs w:val="18"/>
              </w:rPr>
              <w:t xml:space="preserve"> </w:t>
            </w:r>
            <w:r w:rsidR="00A56EE9" w:rsidRPr="00E70A11">
              <w:rPr>
                <w:rFonts w:ascii="Arial Narrow" w:hAnsi="Arial Narrow"/>
                <w:color w:val="000000" w:themeColor="text1"/>
                <w:sz w:val="18"/>
                <w:szCs w:val="18"/>
                <w:lang w:val="en"/>
              </w:rPr>
              <w:t>and AMSA</w:t>
            </w:r>
            <w:hyperlink r:id="rId1743" w:history="1">
              <w:r w:rsidR="00A56EE9" w:rsidRPr="00E70A11">
                <w:rPr>
                  <w:rStyle w:val="Hyperlink"/>
                  <w:rFonts w:ascii="Arial Narrow" w:hAnsi="Arial Narrow"/>
                  <w:color w:val="000000" w:themeColor="text1"/>
                  <w:sz w:val="18"/>
                  <w:szCs w:val="18"/>
                  <w:lang w:val="en"/>
                </w:rPr>
                <w:t xml:space="preserve"> North East Shipping Management webpage</w:t>
              </w:r>
            </w:hyperlink>
            <w:r w:rsidR="00A56EE9" w:rsidRPr="00E70A11">
              <w:rPr>
                <w:rStyle w:val="Hyperlink"/>
                <w:rFonts w:ascii="Arial Narrow" w:hAnsi="Arial Narrow"/>
                <w:color w:val="000000" w:themeColor="text1"/>
                <w:sz w:val="18"/>
                <w:szCs w:val="18"/>
                <w:lang w:val="en"/>
              </w:rPr>
              <w:t xml:space="preserve">. </w:t>
            </w:r>
            <w:r w:rsidR="00A56EE9" w:rsidRPr="00E70A11">
              <w:rPr>
                <w:rFonts w:ascii="Arial Narrow" w:hAnsi="Arial Narrow"/>
                <w:color w:val="000000" w:themeColor="text1"/>
                <w:sz w:val="18"/>
                <w:szCs w:val="18"/>
              </w:rPr>
              <w:t>Plan identifies additional or enhanced needed actions (in light of cumulative impacts), focusses on issues directly related to the safety of shipping such as navigation, routeing, water space management, and issues that prevent or mitigate ship-sourced pollution.</w:t>
            </w:r>
          </w:p>
          <w:p w14:paraId="57620716"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GBRMPA’s </w:t>
            </w:r>
            <w:hyperlink r:id="rId1744" w:history="1">
              <w:r w:rsidRPr="00E70A11">
                <w:rPr>
                  <w:rStyle w:val="Hyperlink"/>
                  <w:rFonts w:ascii="Arial Narrow" w:hAnsi="Arial Narrow"/>
                  <w:color w:val="000000" w:themeColor="text1"/>
                  <w:sz w:val="18"/>
                  <w:szCs w:val="18"/>
                </w:rPr>
                <w:t>Great Barrier Reef underwater noise guidelines: discussion and options paper</w:t>
              </w:r>
            </w:hyperlink>
            <w:r w:rsidRPr="00E70A11">
              <w:rPr>
                <w:rFonts w:ascii="Arial Narrow" w:hAnsi="Arial Narrow"/>
                <w:color w:val="000000" w:themeColor="text1"/>
                <w:sz w:val="18"/>
                <w:szCs w:val="18"/>
              </w:rPr>
              <w:t xml:space="preserve"> </w:t>
            </w:r>
          </w:p>
          <w:p w14:paraId="57620717"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NESP Marine Biodiversity Hub </w:t>
            </w:r>
            <w:hyperlink r:id="rId1745" w:history="1">
              <w:r w:rsidRPr="00E70A11">
                <w:rPr>
                  <w:rStyle w:val="Hyperlink"/>
                  <w:rFonts w:ascii="Arial Narrow" w:hAnsi="Arial Narrow"/>
                  <w:color w:val="000000" w:themeColor="text1"/>
                  <w:sz w:val="18"/>
                  <w:szCs w:val="18"/>
                </w:rPr>
                <w:t>C5 quantification of national shipping risk</w:t>
              </w:r>
            </w:hyperlink>
            <w:r w:rsidRPr="00E70A11">
              <w:rPr>
                <w:rFonts w:ascii="Arial Narrow" w:hAnsi="Arial Narrow"/>
                <w:color w:val="000000" w:themeColor="text1"/>
                <w:sz w:val="18"/>
                <w:szCs w:val="18"/>
              </w:rPr>
              <w:t xml:space="preserve"> project</w:t>
            </w:r>
            <w:r>
              <w:rPr>
                <w:rFonts w:ascii="Arial Narrow" w:hAnsi="Arial Narrow"/>
                <w:color w:val="000000" w:themeColor="text1"/>
                <w:sz w:val="18"/>
                <w:szCs w:val="18"/>
              </w:rPr>
              <w:t xml:space="preserve"> </w:t>
            </w:r>
            <w:r w:rsidRPr="00E70A11">
              <w:rPr>
                <w:rFonts w:ascii="Arial Narrow" w:hAnsi="Arial Narrow"/>
                <w:color w:val="000000" w:themeColor="text1"/>
                <w:sz w:val="18"/>
                <w:szCs w:val="18"/>
              </w:rPr>
              <w:t xml:space="preserve">(David Peel), see also </w:t>
            </w:r>
            <w:hyperlink r:id="rId1746" w:history="1">
              <w:r w:rsidRPr="00E70A11">
                <w:rPr>
                  <w:rStyle w:val="Hyperlink"/>
                  <w:rFonts w:ascii="Arial Narrow" w:hAnsi="Arial Narrow"/>
                  <w:color w:val="000000" w:themeColor="text1"/>
                  <w:sz w:val="18"/>
                  <w:szCs w:val="18"/>
                </w:rPr>
                <w:t>marine vessel activity section</w:t>
              </w:r>
            </w:hyperlink>
            <w:r w:rsidRPr="00E70A11">
              <w:rPr>
                <w:rFonts w:ascii="Arial Narrow" w:hAnsi="Arial Narrow"/>
                <w:color w:val="000000" w:themeColor="text1"/>
                <w:sz w:val="18"/>
                <w:szCs w:val="18"/>
              </w:rPr>
              <w:t xml:space="preserve"> in the national State of the Environment Report 2016 </w:t>
            </w:r>
          </w:p>
          <w:p w14:paraId="57620718"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Research and review papers such as 2015 Grech &amp; McCook </w:t>
            </w:r>
            <w:hyperlink r:id="rId1747" w:history="1">
              <w:r w:rsidRPr="00E70A11">
                <w:rPr>
                  <w:rStyle w:val="Hyperlink"/>
                  <w:rFonts w:ascii="Arial Narrow" w:hAnsi="Arial Narrow"/>
                  <w:color w:val="000000" w:themeColor="text1"/>
                  <w:sz w:val="18"/>
                  <w:szCs w:val="18"/>
                </w:rPr>
                <w:t>Shipping in the Great Barrier Reef: the miner’s highway</w:t>
              </w:r>
            </w:hyperlink>
            <w:r w:rsidRPr="00E70A11">
              <w:rPr>
                <w:rFonts w:ascii="Arial Narrow" w:hAnsi="Arial Narrow"/>
                <w:color w:val="000000" w:themeColor="text1"/>
                <w:sz w:val="18"/>
                <w:szCs w:val="18"/>
              </w:rPr>
              <w:t xml:space="preserve"> and a 2014 conference paper </w:t>
            </w:r>
            <w:hyperlink r:id="rId1748" w:history="1">
              <w:r w:rsidRPr="00E70A11">
                <w:rPr>
                  <w:rStyle w:val="Hyperlink"/>
                  <w:rFonts w:ascii="Arial Narrow" w:hAnsi="Arial Narrow"/>
                  <w:color w:val="000000" w:themeColor="text1"/>
                  <w:sz w:val="18"/>
                  <w:szCs w:val="18"/>
                </w:rPr>
                <w:t>Modelling underwater shipping noise in the Great Barrier Reef using AIS vessel track data</w:t>
              </w:r>
            </w:hyperlink>
            <w:r w:rsidRPr="00E70A11">
              <w:rPr>
                <w:rFonts w:ascii="Arial Narrow" w:hAnsi="Arial Narrow"/>
                <w:color w:val="000000" w:themeColor="text1"/>
                <w:sz w:val="18"/>
                <w:szCs w:val="18"/>
              </w:rPr>
              <w:t xml:space="preserve"> – as examples</w:t>
            </w:r>
          </w:p>
          <w:p w14:paraId="57620719"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Draft </w:t>
            </w:r>
            <w:hyperlink r:id="rId1749" w:history="1">
              <w:r w:rsidRPr="00E70A11">
                <w:rPr>
                  <w:rStyle w:val="Hyperlink"/>
                  <w:rFonts w:ascii="Arial Narrow" w:hAnsi="Arial Narrow"/>
                  <w:color w:val="000000" w:themeColor="text1"/>
                  <w:sz w:val="18"/>
                  <w:szCs w:val="18"/>
                </w:rPr>
                <w:t>National Strategy for Mitigating Vessel Strike of Marine Mega-fauna</w:t>
              </w:r>
            </w:hyperlink>
          </w:p>
          <w:p w14:paraId="5762071A" w14:textId="77777777" w:rsidR="00A56EE9" w:rsidRPr="00E70A11" w:rsidRDefault="008B5998" w:rsidP="00A11869">
            <w:pPr>
              <w:pStyle w:val="ListParagraph"/>
              <w:numPr>
                <w:ilvl w:val="0"/>
                <w:numId w:val="90"/>
              </w:numPr>
              <w:spacing w:after="200" w:line="276" w:lineRule="auto"/>
              <w:rPr>
                <w:rStyle w:val="Hyperlink"/>
                <w:rFonts w:ascii="Arial Narrow" w:hAnsi="Arial Narrow"/>
                <w:color w:val="000000" w:themeColor="text1"/>
                <w:sz w:val="18"/>
                <w:szCs w:val="18"/>
              </w:rPr>
            </w:pPr>
            <w:hyperlink r:id="rId1750" w:history="1">
              <w:r w:rsidR="00A56EE9" w:rsidRPr="00E70A11">
                <w:rPr>
                  <w:rStyle w:val="Hyperlink"/>
                  <w:rFonts w:ascii="Arial Narrow" w:hAnsi="Arial Narrow"/>
                  <w:color w:val="000000" w:themeColor="text1"/>
                  <w:sz w:val="18"/>
                  <w:szCs w:val="18"/>
                </w:rPr>
                <w:t>National Plan for Marine Environmental Emergencies</w:t>
              </w:r>
            </w:hyperlink>
          </w:p>
          <w:p w14:paraId="5762071B"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Maritime Safety Qld webpage on </w:t>
            </w:r>
            <w:hyperlink r:id="rId1751" w:history="1">
              <w:r w:rsidRPr="00E70A11">
                <w:rPr>
                  <w:rStyle w:val="Hyperlink"/>
                  <w:rFonts w:ascii="Arial Narrow" w:hAnsi="Arial Narrow"/>
                  <w:color w:val="000000" w:themeColor="text1"/>
                  <w:sz w:val="18"/>
                  <w:szCs w:val="18"/>
                </w:rPr>
                <w:t>marine pollution</w:t>
              </w:r>
            </w:hyperlink>
            <w:r w:rsidRPr="00E70A11">
              <w:rPr>
                <w:rFonts w:ascii="Arial Narrow" w:hAnsi="Arial Narrow"/>
                <w:color w:val="000000" w:themeColor="text1"/>
                <w:sz w:val="18"/>
                <w:szCs w:val="18"/>
              </w:rPr>
              <w:t xml:space="preserve"> and </w:t>
            </w:r>
            <w:hyperlink r:id="rId1752" w:history="1">
              <w:r w:rsidRPr="00E70A11">
                <w:rPr>
                  <w:rStyle w:val="Hyperlink"/>
                  <w:rFonts w:ascii="Arial Narrow" w:hAnsi="Arial Narrow"/>
                  <w:color w:val="000000" w:themeColor="text1"/>
                  <w:sz w:val="18"/>
                  <w:szCs w:val="18"/>
                </w:rPr>
                <w:t>Queensland Coastal Contingency Action Plan</w:t>
              </w:r>
            </w:hyperlink>
          </w:p>
          <w:p w14:paraId="5762071C"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Dept Agriculture and Water Resources webpages on </w:t>
            </w:r>
            <w:hyperlink r:id="rId1753" w:anchor="fact-sheets" w:history="1">
              <w:r w:rsidRPr="00E70A11">
                <w:rPr>
                  <w:rStyle w:val="Hyperlink"/>
                  <w:rFonts w:ascii="Arial Narrow" w:hAnsi="Arial Narrow"/>
                  <w:color w:val="000000" w:themeColor="text1"/>
                  <w:sz w:val="18"/>
                  <w:szCs w:val="18"/>
                </w:rPr>
                <w:t>ballast water</w:t>
              </w:r>
            </w:hyperlink>
            <w:r w:rsidRPr="00E70A11">
              <w:rPr>
                <w:rFonts w:ascii="Arial Narrow" w:hAnsi="Arial Narrow"/>
                <w:color w:val="000000" w:themeColor="text1"/>
                <w:sz w:val="18"/>
                <w:szCs w:val="18"/>
              </w:rPr>
              <w:t xml:space="preserve"> and </w:t>
            </w:r>
            <w:hyperlink r:id="rId1754" w:history="1">
              <w:r w:rsidRPr="00E70A11">
                <w:rPr>
                  <w:rStyle w:val="Hyperlink"/>
                  <w:rFonts w:ascii="Arial Narrow" w:hAnsi="Arial Narrow"/>
                  <w:color w:val="000000" w:themeColor="text1"/>
                  <w:sz w:val="18"/>
                  <w:szCs w:val="18"/>
                </w:rPr>
                <w:t>Australian Ballast Water Management Requirements</w:t>
              </w:r>
            </w:hyperlink>
            <w:r w:rsidRPr="00E70A11">
              <w:rPr>
                <w:rFonts w:ascii="Arial Narrow" w:hAnsi="Arial Narrow"/>
                <w:color w:val="000000" w:themeColor="text1"/>
                <w:sz w:val="18"/>
                <w:szCs w:val="18"/>
              </w:rPr>
              <w:t xml:space="preserve"> 2017</w:t>
            </w:r>
          </w:p>
          <w:p w14:paraId="5762071D"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rPr>
            </w:pPr>
            <w:hyperlink r:id="rId1755" w:history="1">
              <w:r w:rsidR="00A56EE9" w:rsidRPr="00E70A11">
                <w:rPr>
                  <w:rStyle w:val="Hyperlink"/>
                  <w:rFonts w:ascii="Arial Narrow" w:hAnsi="Arial Narrow"/>
                  <w:color w:val="000000" w:themeColor="text1"/>
                  <w:sz w:val="18"/>
                  <w:szCs w:val="18"/>
                </w:rPr>
                <w:t>Biosecurity (Ballast Water and Sediment) Determination 2017</w:t>
              </w:r>
            </w:hyperlink>
            <w:r w:rsidR="00A56EE9" w:rsidRPr="00E70A11">
              <w:rPr>
                <w:rFonts w:ascii="Arial Narrow" w:hAnsi="Arial Narrow"/>
                <w:color w:val="000000" w:themeColor="text1"/>
                <w:sz w:val="18"/>
                <w:szCs w:val="18"/>
              </w:rPr>
              <w:t xml:space="preserve"> (including Explanatory Statement)</w:t>
            </w:r>
          </w:p>
          <w:p w14:paraId="5762071E" w14:textId="77777777" w:rsidR="00A56EE9" w:rsidRPr="00E70A11" w:rsidRDefault="008B5998" w:rsidP="00A11869">
            <w:pPr>
              <w:pStyle w:val="ListParagraph"/>
              <w:numPr>
                <w:ilvl w:val="0"/>
                <w:numId w:val="90"/>
              </w:numPr>
              <w:spacing w:after="200" w:line="276" w:lineRule="auto"/>
              <w:rPr>
                <w:rStyle w:val="BookTitle"/>
                <w:rFonts w:ascii="Arial Narrow" w:hAnsi="Arial Narrow"/>
                <w:color w:val="000000" w:themeColor="text1"/>
                <w:sz w:val="18"/>
                <w:szCs w:val="18"/>
              </w:rPr>
            </w:pPr>
            <w:hyperlink r:id="rId1756" w:history="1">
              <w:r w:rsidR="00A56EE9" w:rsidRPr="00E70A11">
                <w:rPr>
                  <w:rStyle w:val="Hyperlink"/>
                  <w:rFonts w:ascii="Arial Narrow" w:hAnsi="Arial Narrow"/>
                  <w:color w:val="000000" w:themeColor="text1"/>
                  <w:sz w:val="18"/>
                  <w:szCs w:val="18"/>
                </w:rPr>
                <w:t>GBRMPA Annual Report 2015-16</w:t>
              </w:r>
            </w:hyperlink>
            <w:r w:rsidR="00A56EE9" w:rsidRPr="00E70A11">
              <w:rPr>
                <w:rStyle w:val="Hyperlink"/>
                <w:rFonts w:ascii="Arial Narrow" w:hAnsi="Arial Narrow"/>
                <w:color w:val="000000" w:themeColor="text1"/>
                <w:sz w:val="18"/>
                <w:szCs w:val="18"/>
              </w:rPr>
              <w:t>, p73</w:t>
            </w:r>
          </w:p>
          <w:p w14:paraId="5762071F"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rPr>
            </w:pPr>
            <w:hyperlink r:id="rId1757" w:history="1">
              <w:r w:rsidR="00A56EE9" w:rsidRPr="00E70A11">
                <w:rPr>
                  <w:rStyle w:val="Hyperlink"/>
                  <w:rFonts w:ascii="Arial Narrow" w:hAnsi="Arial Narrow"/>
                  <w:color w:val="000000" w:themeColor="text1"/>
                  <w:sz w:val="18"/>
                  <w:szCs w:val="18"/>
                </w:rPr>
                <w:t>Anchors away? The impacts of anchor scour by ocean-going vessels and potential response options</w:t>
              </w:r>
            </w:hyperlink>
            <w:r w:rsidR="00A56EE9" w:rsidRPr="00E70A11">
              <w:rPr>
                <w:rFonts w:ascii="Arial Narrow" w:hAnsi="Arial Narrow"/>
                <w:color w:val="000000" w:themeColor="text1"/>
                <w:sz w:val="18"/>
                <w:szCs w:val="18"/>
              </w:rPr>
              <w:t>, Marine Policy 73: 1-7 (Nov 2016)</w:t>
            </w:r>
          </w:p>
          <w:p w14:paraId="57620720"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rPr>
            </w:pPr>
            <w:hyperlink r:id="rId1758" w:history="1">
              <w:r w:rsidR="00A56EE9" w:rsidRPr="00E70A11">
                <w:rPr>
                  <w:rStyle w:val="Hyperlink"/>
                  <w:rFonts w:ascii="Arial Narrow" w:hAnsi="Arial Narrow"/>
                  <w:color w:val="000000" w:themeColor="text1"/>
                  <w:sz w:val="18"/>
                  <w:szCs w:val="18"/>
                </w:rPr>
                <w:t>Environment: Curb anchor scour for green shipping</w:t>
              </w:r>
            </w:hyperlink>
            <w:r w:rsidR="00A56EE9" w:rsidRPr="00E70A11">
              <w:rPr>
                <w:rFonts w:ascii="Arial Narrow" w:hAnsi="Arial Narrow"/>
                <w:color w:val="000000" w:themeColor="text1"/>
                <w:sz w:val="18"/>
                <w:szCs w:val="18"/>
              </w:rPr>
              <w:t>, Nature 533: 36 (05 May 2016)</w:t>
            </w:r>
          </w:p>
          <w:p w14:paraId="57620721"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NESP project 1.10 </w:t>
            </w:r>
            <w:hyperlink r:id="rId1759" w:history="1">
              <w:r w:rsidRPr="00E70A11">
                <w:rPr>
                  <w:rStyle w:val="Hyperlink"/>
                  <w:rFonts w:ascii="Arial Narrow" w:hAnsi="Arial Narrow"/>
                  <w:color w:val="000000" w:themeColor="text1"/>
                  <w:sz w:val="18"/>
                  <w:szCs w:val="18"/>
                </w:rPr>
                <w:t>Identification, impacts, and prioritization of emerging contaminants present in the Great Barrier Reef and Torres Strait marine environments</w:t>
              </w:r>
            </w:hyperlink>
            <w:r w:rsidRPr="00E70A11">
              <w:rPr>
                <w:rStyle w:val="Hyperlink"/>
                <w:rFonts w:ascii="Arial Narrow" w:hAnsi="Arial Narrow"/>
                <w:color w:val="000000" w:themeColor="text1"/>
                <w:sz w:val="18"/>
                <w:szCs w:val="18"/>
              </w:rPr>
              <w:t xml:space="preserve"> </w:t>
            </w:r>
            <w:r w:rsidRPr="00E70A11">
              <w:rPr>
                <w:rFonts w:ascii="Arial Narrow" w:hAnsi="Arial Narrow"/>
                <w:color w:val="000000" w:themeColor="text1"/>
                <w:sz w:val="18"/>
                <w:szCs w:val="18"/>
              </w:rPr>
              <w:t xml:space="preserve">and </w:t>
            </w:r>
            <w:hyperlink r:id="rId1760" w:history="1">
              <w:r w:rsidRPr="00E70A11">
                <w:rPr>
                  <w:rStyle w:val="Hyperlink"/>
                  <w:rFonts w:ascii="Arial Narrow" w:hAnsi="Arial Narrow"/>
                  <w:color w:val="000000" w:themeColor="text1"/>
                  <w:sz w:val="18"/>
                  <w:szCs w:val="18"/>
                </w:rPr>
                <w:t xml:space="preserve">Final Report </w:t>
              </w:r>
            </w:hyperlink>
            <w:r w:rsidRPr="00E70A11">
              <w:rPr>
                <w:rFonts w:ascii="Arial Narrow" w:hAnsi="Arial Narrow"/>
                <w:color w:val="000000" w:themeColor="text1"/>
                <w:sz w:val="18"/>
                <w:szCs w:val="18"/>
              </w:rPr>
              <w:t xml:space="preserve"> </w:t>
            </w:r>
          </w:p>
          <w:p w14:paraId="57620722" w14:textId="77777777" w:rsidR="00A56EE9" w:rsidRPr="00AC4AB4" w:rsidRDefault="008B5998" w:rsidP="00A11869">
            <w:pPr>
              <w:pStyle w:val="ListParagraph"/>
              <w:numPr>
                <w:ilvl w:val="0"/>
                <w:numId w:val="90"/>
              </w:numPr>
              <w:spacing w:after="200" w:line="276" w:lineRule="auto"/>
              <w:rPr>
                <w:rFonts w:ascii="Arial Narrow" w:hAnsi="Arial Narrow"/>
                <w:color w:val="000000" w:themeColor="text1"/>
                <w:sz w:val="18"/>
                <w:szCs w:val="18"/>
              </w:rPr>
            </w:pPr>
            <w:hyperlink r:id="rId1761" w:history="1">
              <w:r w:rsidR="00A56EE9" w:rsidRPr="00E70A11">
                <w:rPr>
                  <w:rStyle w:val="Hyperlink"/>
                  <w:rFonts w:ascii="Arial Narrow" w:hAnsi="Arial Narrow"/>
                  <w:color w:val="000000" w:themeColor="text1"/>
                  <w:sz w:val="18"/>
                  <w:szCs w:val="18"/>
                </w:rPr>
                <w:t>IALA</w:t>
              </w:r>
            </w:hyperlink>
            <w:r w:rsidR="00A56EE9" w:rsidRPr="00E70A11">
              <w:rPr>
                <w:rFonts w:ascii="Arial Narrow" w:hAnsi="Arial Narrow"/>
                <w:color w:val="000000" w:themeColor="text1"/>
                <w:sz w:val="18"/>
                <w:szCs w:val="18"/>
              </w:rPr>
              <w:t xml:space="preserve"> website </w:t>
            </w:r>
          </w:p>
        </w:tc>
        <w:tc>
          <w:tcPr>
            <w:tcW w:w="986" w:type="dxa"/>
            <w:gridSpan w:val="2"/>
            <w:tcBorders>
              <w:top w:val="single" w:sz="4" w:space="0" w:color="auto"/>
              <w:left w:val="single" w:sz="4" w:space="0" w:color="auto"/>
              <w:bottom w:val="single" w:sz="4" w:space="0" w:color="auto"/>
              <w:right w:val="single" w:sz="4" w:space="0" w:color="auto"/>
            </w:tcBorders>
          </w:tcPr>
          <w:p w14:paraId="57620723"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724"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740"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726" w14:textId="77777777" w:rsidR="00A56EE9" w:rsidRPr="00E70A11" w:rsidRDefault="00A56EE9" w:rsidP="00BB6AD5">
            <w:pPr>
              <w:pStyle w:val="Tablebulletlist"/>
              <w:rPr>
                <w:rStyle w:val="BookTitle"/>
              </w:rPr>
            </w:pPr>
            <w:r w:rsidRPr="00E70A11">
              <w:rPr>
                <w:rStyle w:val="BookTitle"/>
              </w:rPr>
              <w:t>CO4</w:t>
            </w:r>
            <w:r>
              <w:rPr>
                <w:rStyle w:val="BookTitle"/>
              </w:rPr>
              <w:t xml:space="preserve"> </w:t>
            </w:r>
            <w:r w:rsidRPr="00E70A11">
              <w:rPr>
                <w:rStyle w:val="BookTitle"/>
              </w:rPr>
              <w:t>The broader (national and international) level influences relevant to shipping are understood by managers.</w:t>
            </w:r>
          </w:p>
        </w:tc>
        <w:tc>
          <w:tcPr>
            <w:tcW w:w="809" w:type="dxa"/>
            <w:gridSpan w:val="2"/>
            <w:tcBorders>
              <w:top w:val="single" w:sz="4" w:space="0" w:color="auto"/>
              <w:left w:val="single" w:sz="4" w:space="0" w:color="auto"/>
              <w:bottom w:val="single" w:sz="4" w:space="0" w:color="auto"/>
              <w:right w:val="single" w:sz="4" w:space="0" w:color="auto"/>
            </w:tcBorders>
          </w:tcPr>
          <w:p w14:paraId="57620727"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72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clearly recognised that the environmental risk profile of shipping within the GBR Region, and its overall management, is fundamentally controlled by an international regime, encompassing ship safety and marine environment protection, coordinated through the IMO, of which Australia is a Member. Consequently, incremental improvements in shipping risk profiles are realised via IMO mechanisms.</w:t>
            </w:r>
            <w:r>
              <w:rPr>
                <w:rFonts w:ascii="Arial Narrow" w:hAnsi="Arial Narrow"/>
                <w:sz w:val="18"/>
                <w:szCs w:val="18"/>
              </w:rPr>
              <w:t xml:space="preserve"> </w:t>
            </w:r>
            <w:r w:rsidRPr="00E70A11">
              <w:rPr>
                <w:rFonts w:ascii="Arial Narrow" w:hAnsi="Arial Narrow"/>
                <w:sz w:val="18"/>
                <w:szCs w:val="18"/>
              </w:rPr>
              <w:t>By extension GBRMPA needs to continue to leverage its effective links with AMSA, as the primary Australian representative body in the IMO (although other Commonwealth agencies also have representative roles on certain issues).</w:t>
            </w:r>
          </w:p>
          <w:p w14:paraId="57620729" w14:textId="77777777" w:rsidR="00A56EE9" w:rsidRPr="00E70A11" w:rsidRDefault="00A56EE9" w:rsidP="00A11869">
            <w:pPr>
              <w:pStyle w:val="ListParagraph"/>
              <w:numPr>
                <w:ilvl w:val="0"/>
                <w:numId w:val="24"/>
              </w:numPr>
              <w:spacing w:after="200" w:line="276" w:lineRule="auto"/>
              <w:rPr>
                <w:rFonts w:ascii="Arial Narrow" w:hAnsi="Arial Narrow"/>
                <w:sz w:val="18"/>
                <w:szCs w:val="18"/>
                <w:lang w:val="en"/>
              </w:rPr>
            </w:pPr>
            <w:r w:rsidRPr="00E70A11">
              <w:rPr>
                <w:rFonts w:ascii="Arial Narrow" w:hAnsi="Arial Narrow"/>
                <w:sz w:val="18"/>
                <w:szCs w:val="18"/>
                <w:lang w:val="en"/>
              </w:rPr>
              <w:t>Australian agencies have a good understanding of the relevance of international agreements and guidance relevant to shipping. Australia is an active participant in IMO processes, particular in terms of marine environment protection.</w:t>
            </w:r>
          </w:p>
          <w:p w14:paraId="5762072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is a global trend towards longer, deeper draught ships, and the profile of the world fleet has changed, with ship size increasing and average carrying capacity rising by 4% per annum. Although requiring deeper channels and basins, larger individual ships can also lead to an improvement in the overall environmental risk profile of a given volume of shipping cargo when compared with smaller individual ships moving the same total volume of cargo.</w:t>
            </w:r>
          </w:p>
          <w:p w14:paraId="5762072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As a result of market and regulatory forces, there has been a significant turnover in the fleet of ships visiting GBR ports. This is largely due to the high number of new ships launched worldwide in recent years and the scrapping of older ships, such that the average age of ships has fallen from 9.5 years in 2008-09 to 7.8 years in 2012-13.</w:t>
            </w:r>
            <w:r>
              <w:rPr>
                <w:rFonts w:ascii="Arial Narrow" w:hAnsi="Arial Narrow"/>
                <w:sz w:val="18"/>
                <w:szCs w:val="18"/>
              </w:rPr>
              <w:t xml:space="preserve"> </w:t>
            </w:r>
            <w:r w:rsidRPr="00E70A11">
              <w:rPr>
                <w:rFonts w:ascii="Arial Narrow" w:hAnsi="Arial Narrow"/>
                <w:sz w:val="18"/>
                <w:szCs w:val="18"/>
              </w:rPr>
              <w:t>This represents a clear improvement in ship safety, as ship age is statistically important in respect of the risk of ships being detained when inspected, and also indicates greater presence of more recent IMO-mandated ship safety and marine environment protection fittings and design features.</w:t>
            </w:r>
          </w:p>
          <w:p w14:paraId="5762072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Australia has a robust system of Port State Control in place to deter and eliminate substandard ships from traversing the GBR. This is supplemented by strategies and systems to improve maritime domain awareness and compliance of shipping standards in the Reef. </w:t>
            </w:r>
          </w:p>
          <w:p w14:paraId="5762072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By international standards, Australia has a high rate and high standard of Port State inspections.</w:t>
            </w:r>
            <w:r>
              <w:rPr>
                <w:rFonts w:ascii="Arial Narrow" w:hAnsi="Arial Narrow"/>
                <w:sz w:val="18"/>
                <w:szCs w:val="18"/>
              </w:rPr>
              <w:t xml:space="preserve"> </w:t>
            </w:r>
            <w:r w:rsidRPr="00E70A11">
              <w:rPr>
                <w:rFonts w:ascii="Arial Narrow" w:hAnsi="Arial Narrow"/>
                <w:sz w:val="18"/>
                <w:szCs w:val="18"/>
              </w:rPr>
              <w:t>Ships with defects are detained in port until rectified, and detentions result in significant cost to ship owners and charterers. Consequently, Australian ports are typically visited by newer and better ships in comparison with ports in other nations.</w:t>
            </w:r>
          </w:p>
          <w:p w14:paraId="5762072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Review of national marine pest biosecurity and then national strategy conducted in 2014. Updates to Australia’s National System for the Prevention and Management of Marine Pest Incursions including series of technical manuals such as rapid response manuals under the Emergency Marine Pest Plan. Relevant to ballast water, shipping ports etc. </w:t>
            </w:r>
          </w:p>
          <w:p w14:paraId="5762072F" w14:textId="77777777" w:rsidR="00A56EE9" w:rsidRPr="00E70A11" w:rsidRDefault="00A56EE9" w:rsidP="00A11869">
            <w:pPr>
              <w:pStyle w:val="ListParagraph"/>
              <w:numPr>
                <w:ilvl w:val="0"/>
                <w:numId w:val="24"/>
              </w:numPr>
              <w:spacing w:after="200" w:line="276" w:lineRule="auto"/>
              <w:rPr>
                <w:rFonts w:ascii="Arial Narrow" w:hAnsi="Arial Narrow" w:cs="Times New Roman"/>
                <w:color w:val="000000" w:themeColor="text1"/>
                <w:sz w:val="18"/>
                <w:szCs w:val="18"/>
                <w:u w:val="single"/>
              </w:rPr>
            </w:pPr>
            <w:r w:rsidRPr="00E70A11">
              <w:rPr>
                <w:rFonts w:ascii="Arial Narrow" w:hAnsi="Arial Narrow"/>
                <w:sz w:val="18"/>
                <w:szCs w:val="18"/>
              </w:rPr>
              <w:t xml:space="preserve">In 2015 the IMO adopted two new two-way routes and an associated Area to be </w:t>
            </w:r>
            <w:proofErr w:type="gramStart"/>
            <w:r w:rsidRPr="00E70A11">
              <w:rPr>
                <w:rFonts w:ascii="Arial Narrow" w:hAnsi="Arial Narrow"/>
                <w:sz w:val="18"/>
                <w:szCs w:val="18"/>
              </w:rPr>
              <w:t>Avoided</w:t>
            </w:r>
            <w:proofErr w:type="gramEnd"/>
            <w:r w:rsidRPr="00E70A11">
              <w:rPr>
                <w:rFonts w:ascii="Arial Narrow" w:hAnsi="Arial Narrow"/>
                <w:sz w:val="18"/>
                <w:szCs w:val="18"/>
              </w:rPr>
              <w:t xml:space="preserve"> in the Coral Sea. These measures came into effect on 1 January 2016. The routeing systems serve as associated protective measures for the Great Barrier Reef and the Torres Strait Particularly Sensitive Sea Area in the Coral Sea. The ships’ routeing systems and the Area to be </w:t>
            </w:r>
            <w:proofErr w:type="gramStart"/>
            <w:r w:rsidRPr="00E70A11">
              <w:rPr>
                <w:rFonts w:ascii="Arial Narrow" w:hAnsi="Arial Narrow"/>
                <w:sz w:val="18"/>
                <w:szCs w:val="18"/>
              </w:rPr>
              <w:t>Avoided</w:t>
            </w:r>
            <w:proofErr w:type="gramEnd"/>
            <w:r w:rsidRPr="00E70A11">
              <w:rPr>
                <w:rFonts w:ascii="Arial Narrow" w:hAnsi="Arial Narrow"/>
                <w:sz w:val="18"/>
                <w:szCs w:val="18"/>
              </w:rPr>
              <w:t xml:space="preserve"> are recommended for use by all SOLAS ships. </w:t>
            </w:r>
          </w:p>
          <w:p w14:paraId="57620730" w14:textId="77777777" w:rsidR="00A56EE9" w:rsidRPr="00E70A11" w:rsidRDefault="00A56EE9" w:rsidP="00A11869">
            <w:pPr>
              <w:pStyle w:val="ListParagraph"/>
              <w:numPr>
                <w:ilvl w:val="0"/>
                <w:numId w:val="24"/>
              </w:numPr>
              <w:spacing w:after="200" w:line="276" w:lineRule="auto"/>
              <w:rPr>
                <w:rFonts w:ascii="Arial Narrow" w:hAnsi="Arial Narrow" w:cs="Times New Roman"/>
                <w:color w:val="000000" w:themeColor="text1"/>
                <w:sz w:val="18"/>
                <w:szCs w:val="18"/>
              </w:rPr>
            </w:pPr>
            <w:r w:rsidRPr="00E70A11">
              <w:rPr>
                <w:rFonts w:ascii="Arial Narrow" w:hAnsi="Arial Narrow" w:cs="Times New Roman"/>
                <w:color w:val="000000" w:themeColor="text1"/>
                <w:sz w:val="18"/>
                <w:szCs w:val="18"/>
              </w:rPr>
              <w:t>The international growth in cruise ship activities is replicated in the GBR, with growth in the number ship visits as well as demands to access new areas of the GBR.</w:t>
            </w:r>
          </w:p>
        </w:tc>
        <w:tc>
          <w:tcPr>
            <w:tcW w:w="5045" w:type="dxa"/>
            <w:gridSpan w:val="2"/>
            <w:tcBorders>
              <w:top w:val="single" w:sz="4" w:space="0" w:color="auto"/>
              <w:left w:val="single" w:sz="4" w:space="0" w:color="auto"/>
              <w:bottom w:val="single" w:sz="4" w:space="0" w:color="auto"/>
              <w:right w:val="single" w:sz="4" w:space="0" w:color="auto"/>
            </w:tcBorders>
          </w:tcPr>
          <w:p w14:paraId="57620731"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lang w:val="en"/>
              </w:rPr>
              <w:t xml:space="preserve">North Queensland Ship Traffic Growth Study - Supplementary Report (prepared by Braemar Seascope) </w:t>
            </w:r>
            <w:r w:rsidRPr="00E70A11">
              <w:rPr>
                <w:rFonts w:ascii="Arial Narrow" w:hAnsi="Arial Narrow"/>
                <w:i/>
                <w:color w:val="000000" w:themeColor="text1"/>
                <w:sz w:val="18"/>
                <w:szCs w:val="18"/>
                <w:lang w:val="en"/>
              </w:rPr>
              <w:t>[can’t find online anymore]</w:t>
            </w:r>
          </w:p>
          <w:p w14:paraId="57620732"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lang w:val="en"/>
              </w:rPr>
              <w:t xml:space="preserve">2013 </w:t>
            </w:r>
            <w:hyperlink r:id="rId1762" w:tgtFrame="_blank" w:history="1">
              <w:r w:rsidRPr="00E70A11">
                <w:rPr>
                  <w:rStyle w:val="Hyperlink"/>
                  <w:rFonts w:ascii="Arial Narrow" w:hAnsi="Arial Narrow"/>
                  <w:color w:val="000000" w:themeColor="text1"/>
                  <w:sz w:val="18"/>
                  <w:szCs w:val="18"/>
                  <w:lang w:val="en"/>
                </w:rPr>
                <w:t>Ship Anchorage Management Report in the Great Barrier Reef World Heritage Area</w:t>
              </w:r>
            </w:hyperlink>
          </w:p>
          <w:p w14:paraId="57620733"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rPr>
              <w:t xml:space="preserve">PGM Environment (2012), Great Barrier Reef Shipping: Review of Environmental Implications </w:t>
            </w:r>
          </w:p>
          <w:p w14:paraId="57620734"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lang w:val="en"/>
              </w:rPr>
            </w:pPr>
            <w:hyperlink r:id="rId1763" w:history="1">
              <w:r w:rsidR="00A56EE9" w:rsidRPr="00E70A11">
                <w:rPr>
                  <w:rStyle w:val="Hyperlink"/>
                  <w:rFonts w:ascii="Arial Narrow" w:hAnsi="Arial Narrow"/>
                  <w:color w:val="000000" w:themeColor="text1"/>
                  <w:sz w:val="18"/>
                  <w:szCs w:val="18"/>
                  <w:lang w:val="en"/>
                </w:rPr>
                <w:t>Review of Maritime Transport</w:t>
              </w:r>
            </w:hyperlink>
            <w:r w:rsidR="00A56EE9" w:rsidRPr="00E70A11">
              <w:rPr>
                <w:rFonts w:ascii="Arial Narrow" w:hAnsi="Arial Narrow"/>
                <w:color w:val="000000" w:themeColor="text1"/>
                <w:sz w:val="18"/>
                <w:szCs w:val="18"/>
                <w:lang w:val="en"/>
              </w:rPr>
              <w:t xml:space="preserve"> series</w:t>
            </w:r>
          </w:p>
          <w:p w14:paraId="57620735"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lang w:val="en"/>
              </w:rPr>
            </w:pPr>
            <w:hyperlink r:id="rId1764" w:history="1">
              <w:r w:rsidR="00A56EE9" w:rsidRPr="00E70A11">
                <w:rPr>
                  <w:rStyle w:val="Hyperlink"/>
                  <w:rFonts w:ascii="Arial Narrow" w:hAnsi="Arial Narrow"/>
                  <w:color w:val="000000" w:themeColor="text1"/>
                  <w:sz w:val="18"/>
                  <w:szCs w:val="18"/>
                  <w:lang w:val="en"/>
                </w:rPr>
                <w:t>Waterline</w:t>
              </w:r>
            </w:hyperlink>
            <w:r w:rsidR="00A56EE9" w:rsidRPr="00E70A11">
              <w:rPr>
                <w:rFonts w:ascii="Arial Narrow" w:hAnsi="Arial Narrow"/>
                <w:color w:val="000000" w:themeColor="text1"/>
                <w:sz w:val="18"/>
                <w:szCs w:val="18"/>
                <w:lang w:val="en"/>
              </w:rPr>
              <w:t xml:space="preserve"> series</w:t>
            </w:r>
          </w:p>
          <w:p w14:paraId="57620736"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Chapter 5 </w:t>
            </w:r>
            <w:hyperlink r:id="rId1765" w:history="1">
              <w:r w:rsidRPr="00E70A11">
                <w:rPr>
                  <w:rStyle w:val="Hyperlink"/>
                  <w:rFonts w:ascii="Arial Narrow" w:hAnsi="Arial Narrow"/>
                  <w:color w:val="000000" w:themeColor="text1"/>
                  <w:sz w:val="18"/>
                  <w:szCs w:val="18"/>
                </w:rPr>
                <w:t>Great Barrier Reef Region Strategic Assessment Report</w:t>
              </w:r>
            </w:hyperlink>
            <w:r w:rsidRPr="00E70A11">
              <w:rPr>
                <w:rFonts w:ascii="Arial Narrow" w:hAnsi="Arial Narrow"/>
                <w:color w:val="000000" w:themeColor="text1"/>
                <w:sz w:val="18"/>
                <w:szCs w:val="18"/>
              </w:rPr>
              <w:t xml:space="preserve">, and </w:t>
            </w:r>
            <w:hyperlink r:id="rId1766" w:history="1">
              <w:r w:rsidRPr="00E70A11">
                <w:rPr>
                  <w:rStyle w:val="Hyperlink"/>
                  <w:rFonts w:ascii="Arial Narrow" w:hAnsi="Arial Narrow"/>
                  <w:color w:val="000000" w:themeColor="text1"/>
                  <w:sz w:val="18"/>
                  <w:szCs w:val="18"/>
                </w:rPr>
                <w:t>Great Barrier Reef Coastal Zone Strategic Assessment Report</w:t>
              </w:r>
            </w:hyperlink>
            <w:r w:rsidRPr="00E70A11">
              <w:rPr>
                <w:rFonts w:ascii="Arial Narrow" w:hAnsi="Arial Narrow"/>
                <w:color w:val="000000" w:themeColor="text1"/>
                <w:sz w:val="18"/>
                <w:szCs w:val="18"/>
              </w:rPr>
              <w:t>, noting information gaps were identified.</w:t>
            </w:r>
          </w:p>
          <w:p w14:paraId="57620737"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GBRMPA’s </w:t>
            </w:r>
            <w:hyperlink r:id="rId1767" w:history="1">
              <w:r w:rsidRPr="00E70A11">
                <w:rPr>
                  <w:rStyle w:val="Hyperlink"/>
                  <w:rFonts w:ascii="Arial Narrow" w:hAnsi="Arial Narrow"/>
                  <w:color w:val="000000" w:themeColor="text1"/>
                  <w:sz w:val="18"/>
                  <w:szCs w:val="18"/>
                </w:rPr>
                <w:t>Great Barrier Reef underwater noise guidelines: discussion and options paper</w:t>
              </w:r>
            </w:hyperlink>
            <w:r w:rsidRPr="00E70A11">
              <w:rPr>
                <w:rFonts w:ascii="Arial Narrow" w:hAnsi="Arial Narrow"/>
                <w:color w:val="000000" w:themeColor="text1"/>
                <w:sz w:val="18"/>
                <w:szCs w:val="18"/>
              </w:rPr>
              <w:t xml:space="preserve"> </w:t>
            </w:r>
          </w:p>
          <w:p w14:paraId="57620738"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lang w:val="en"/>
              </w:rPr>
              <w:t xml:space="preserve">Dept Agriculture and Water Resources </w:t>
            </w:r>
            <w:hyperlink r:id="rId1768" w:history="1">
              <w:r w:rsidRPr="00E70A11">
                <w:rPr>
                  <w:rStyle w:val="Hyperlink"/>
                  <w:rFonts w:ascii="Arial Narrow" w:hAnsi="Arial Narrow"/>
                  <w:color w:val="000000" w:themeColor="text1"/>
                  <w:sz w:val="18"/>
                  <w:szCs w:val="18"/>
                  <w:lang w:val="en"/>
                </w:rPr>
                <w:t xml:space="preserve">marine </w:t>
              </w:r>
              <w:proofErr w:type="gramStart"/>
              <w:r w:rsidRPr="00E70A11">
                <w:rPr>
                  <w:rStyle w:val="Hyperlink"/>
                  <w:rFonts w:ascii="Arial Narrow" w:hAnsi="Arial Narrow"/>
                  <w:color w:val="000000" w:themeColor="text1"/>
                  <w:sz w:val="18"/>
                  <w:szCs w:val="18"/>
                  <w:lang w:val="en"/>
                </w:rPr>
                <w:t>pests</w:t>
              </w:r>
              <w:proofErr w:type="gramEnd"/>
            </w:hyperlink>
            <w:r w:rsidRPr="00E70A11">
              <w:rPr>
                <w:rFonts w:ascii="Arial Narrow" w:hAnsi="Arial Narrow"/>
                <w:color w:val="000000" w:themeColor="text1"/>
                <w:sz w:val="18"/>
                <w:szCs w:val="18"/>
                <w:lang w:val="en"/>
              </w:rPr>
              <w:t xml:space="preserve"> webpage. </w:t>
            </w:r>
            <w:hyperlink r:id="rId1769" w:history="1">
              <w:r w:rsidRPr="00E70A11">
                <w:rPr>
                  <w:rStyle w:val="Hyperlink"/>
                  <w:rFonts w:ascii="Arial Narrow" w:hAnsi="Arial Narrow"/>
                  <w:color w:val="000000" w:themeColor="text1"/>
                  <w:sz w:val="18"/>
                  <w:szCs w:val="18"/>
                  <w:lang w:val="en"/>
                </w:rPr>
                <w:t>Review of National Marine Pest Biosecurity</w:t>
              </w:r>
            </w:hyperlink>
            <w:r w:rsidRPr="00E70A11">
              <w:rPr>
                <w:rFonts w:ascii="Arial Narrow" w:hAnsi="Arial Narrow"/>
                <w:color w:val="000000" w:themeColor="text1"/>
                <w:sz w:val="18"/>
                <w:szCs w:val="18"/>
                <w:lang w:val="en"/>
              </w:rPr>
              <w:t xml:space="preserve"> page, including effectiveness and cost report, and review of the national strategy report </w:t>
            </w:r>
            <w:hyperlink r:id="rId1770" w:history="1">
              <w:proofErr w:type="gramStart"/>
              <w:r w:rsidRPr="00E70A11">
                <w:rPr>
                  <w:rStyle w:val="Hyperlink"/>
                  <w:rFonts w:ascii="Arial Narrow" w:hAnsi="Arial Narrow"/>
                  <w:color w:val="000000" w:themeColor="text1"/>
                  <w:sz w:val="18"/>
                  <w:szCs w:val="18"/>
                  <w:lang w:val="en"/>
                </w:rPr>
                <w:t>Monitoring</w:t>
              </w:r>
              <w:proofErr w:type="gramEnd"/>
              <w:r w:rsidRPr="00E70A11">
                <w:rPr>
                  <w:rStyle w:val="Hyperlink"/>
                  <w:rFonts w:ascii="Arial Narrow" w:hAnsi="Arial Narrow"/>
                  <w:color w:val="000000" w:themeColor="text1"/>
                  <w:sz w:val="18"/>
                  <w:szCs w:val="18"/>
                  <w:lang w:val="en"/>
                </w:rPr>
                <w:t xml:space="preserve"> for marine pests 2015.</w:t>
              </w:r>
            </w:hyperlink>
          </w:p>
          <w:p w14:paraId="57620739"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Dept Agriculture and Water Resources webpages on </w:t>
            </w:r>
            <w:hyperlink r:id="rId1771" w:anchor="fact-sheets" w:history="1">
              <w:r w:rsidRPr="00E70A11">
                <w:rPr>
                  <w:rStyle w:val="Hyperlink"/>
                  <w:rFonts w:ascii="Arial Narrow" w:hAnsi="Arial Narrow"/>
                  <w:color w:val="000000" w:themeColor="text1"/>
                  <w:sz w:val="18"/>
                  <w:szCs w:val="18"/>
                </w:rPr>
                <w:t>ballast water</w:t>
              </w:r>
            </w:hyperlink>
            <w:r w:rsidRPr="00E70A11">
              <w:rPr>
                <w:rFonts w:ascii="Arial Narrow" w:hAnsi="Arial Narrow"/>
                <w:color w:val="000000" w:themeColor="text1"/>
                <w:sz w:val="18"/>
                <w:szCs w:val="18"/>
              </w:rPr>
              <w:t xml:space="preserve"> and </w:t>
            </w:r>
            <w:hyperlink r:id="rId1772" w:history="1">
              <w:r w:rsidRPr="00E70A11">
                <w:rPr>
                  <w:rStyle w:val="Hyperlink"/>
                  <w:rFonts w:ascii="Arial Narrow" w:hAnsi="Arial Narrow"/>
                  <w:color w:val="000000" w:themeColor="text1"/>
                  <w:sz w:val="18"/>
                  <w:szCs w:val="18"/>
                </w:rPr>
                <w:t>Australian Ballast Water Management Requirements</w:t>
              </w:r>
            </w:hyperlink>
            <w:r w:rsidRPr="00E70A11">
              <w:rPr>
                <w:rFonts w:ascii="Arial Narrow" w:hAnsi="Arial Narrow"/>
                <w:color w:val="000000" w:themeColor="text1"/>
                <w:sz w:val="18"/>
                <w:szCs w:val="18"/>
              </w:rPr>
              <w:t xml:space="preserve"> 2017</w:t>
            </w:r>
          </w:p>
          <w:p w14:paraId="5762073A" w14:textId="77777777" w:rsidR="00A56EE9" w:rsidRPr="00E70A11" w:rsidRDefault="008B5998" w:rsidP="00A11869">
            <w:pPr>
              <w:pStyle w:val="ListParagraph"/>
              <w:numPr>
                <w:ilvl w:val="0"/>
                <w:numId w:val="90"/>
              </w:numPr>
              <w:spacing w:after="200" w:line="276" w:lineRule="auto"/>
              <w:rPr>
                <w:rFonts w:ascii="Arial Narrow" w:hAnsi="Arial Narrow"/>
                <w:color w:val="000000" w:themeColor="text1"/>
                <w:sz w:val="18"/>
                <w:szCs w:val="18"/>
              </w:rPr>
            </w:pPr>
            <w:hyperlink r:id="rId1773" w:history="1">
              <w:r w:rsidR="00A56EE9" w:rsidRPr="00E70A11">
                <w:rPr>
                  <w:rStyle w:val="Hyperlink"/>
                  <w:rFonts w:ascii="Arial Narrow" w:hAnsi="Arial Narrow"/>
                  <w:color w:val="000000" w:themeColor="text1"/>
                  <w:sz w:val="18"/>
                  <w:szCs w:val="18"/>
                </w:rPr>
                <w:t>Biosecurity (Ballast Water and Sediment) Determination 2017</w:t>
              </w:r>
            </w:hyperlink>
            <w:r w:rsidR="00A56EE9" w:rsidRPr="00E70A11">
              <w:rPr>
                <w:rFonts w:ascii="Arial Narrow" w:hAnsi="Arial Narrow"/>
                <w:color w:val="000000" w:themeColor="text1"/>
                <w:sz w:val="18"/>
                <w:szCs w:val="18"/>
              </w:rPr>
              <w:t xml:space="preserve"> (including Explanatory Statement)</w:t>
            </w:r>
          </w:p>
          <w:p w14:paraId="5762073B" w14:textId="77777777" w:rsidR="00A56EE9" w:rsidRPr="00E70A11" w:rsidRDefault="00A56EE9" w:rsidP="00A11869">
            <w:pPr>
              <w:pStyle w:val="ListParagraph"/>
              <w:numPr>
                <w:ilvl w:val="0"/>
                <w:numId w:val="90"/>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AMSA </w:t>
            </w:r>
            <w:hyperlink r:id="rId1774" w:history="1">
              <w:r w:rsidRPr="00E70A11">
                <w:rPr>
                  <w:rStyle w:val="Hyperlink"/>
                  <w:rFonts w:ascii="Arial Narrow" w:hAnsi="Arial Narrow"/>
                  <w:color w:val="000000" w:themeColor="text1"/>
                  <w:sz w:val="18"/>
                  <w:szCs w:val="18"/>
                </w:rPr>
                <w:t>annual report 2015-16</w:t>
              </w:r>
            </w:hyperlink>
            <w:r w:rsidRPr="00E70A11">
              <w:rPr>
                <w:rFonts w:ascii="Arial Narrow" w:hAnsi="Arial Narrow"/>
                <w:color w:val="000000" w:themeColor="text1"/>
                <w:sz w:val="18"/>
                <w:szCs w:val="18"/>
              </w:rPr>
              <w:t xml:space="preserve"> p 137</w:t>
            </w:r>
          </w:p>
          <w:p w14:paraId="5762073C" w14:textId="77777777" w:rsidR="00A56EE9" w:rsidRPr="00E70A11" w:rsidRDefault="00A56EE9" w:rsidP="00A11869">
            <w:pPr>
              <w:pStyle w:val="ListParagraph"/>
              <w:numPr>
                <w:ilvl w:val="0"/>
                <w:numId w:val="90"/>
              </w:numPr>
              <w:spacing w:after="200" w:line="276" w:lineRule="auto"/>
              <w:rPr>
                <w:rStyle w:val="Hyperlink"/>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Vessel/Whale collisions </w:t>
            </w:r>
            <w:hyperlink r:id="rId1775" w:history="1">
              <w:r w:rsidRPr="00E70A11">
                <w:rPr>
                  <w:rStyle w:val="Hyperlink"/>
                  <w:rFonts w:ascii="Arial Narrow" w:hAnsi="Arial Narrow"/>
                  <w:color w:val="000000" w:themeColor="text1"/>
                  <w:sz w:val="18"/>
                  <w:szCs w:val="18"/>
                </w:rPr>
                <w:t>– national ship strike database</w:t>
              </w:r>
            </w:hyperlink>
          </w:p>
          <w:p w14:paraId="5762073D" w14:textId="77777777" w:rsidR="00A56EE9" w:rsidRPr="00AC4AB4" w:rsidRDefault="008B5998" w:rsidP="00A11869">
            <w:pPr>
              <w:pStyle w:val="ListParagraph"/>
              <w:numPr>
                <w:ilvl w:val="0"/>
                <w:numId w:val="90"/>
              </w:numPr>
              <w:spacing w:after="200" w:line="276" w:lineRule="auto"/>
              <w:rPr>
                <w:rFonts w:ascii="Arial Narrow" w:hAnsi="Arial Narrow"/>
                <w:color w:val="000000" w:themeColor="text1"/>
                <w:sz w:val="18"/>
                <w:szCs w:val="18"/>
              </w:rPr>
            </w:pPr>
            <w:hyperlink r:id="rId1776" w:history="1">
              <w:r w:rsidR="00A56EE9" w:rsidRPr="00E70A11">
                <w:rPr>
                  <w:rStyle w:val="Hyperlink"/>
                  <w:rFonts w:ascii="Arial Narrow" w:hAnsi="Arial Narrow"/>
                  <w:color w:val="000000" w:themeColor="text1"/>
                  <w:sz w:val="18"/>
                  <w:szCs w:val="18"/>
                </w:rPr>
                <w:t>IMO</w:t>
              </w:r>
            </w:hyperlink>
            <w:r w:rsidR="00A56EE9" w:rsidRPr="00E70A11">
              <w:rPr>
                <w:rStyle w:val="Hyperlink"/>
                <w:rFonts w:ascii="Arial Narrow" w:hAnsi="Arial Narrow"/>
                <w:color w:val="000000" w:themeColor="text1"/>
                <w:sz w:val="18"/>
                <w:szCs w:val="18"/>
              </w:rPr>
              <w:t xml:space="preserve"> convention on limitation of liability</w:t>
            </w:r>
          </w:p>
        </w:tc>
        <w:tc>
          <w:tcPr>
            <w:tcW w:w="986" w:type="dxa"/>
            <w:gridSpan w:val="2"/>
            <w:tcBorders>
              <w:top w:val="single" w:sz="4" w:space="0" w:color="auto"/>
              <w:left w:val="single" w:sz="4" w:space="0" w:color="auto"/>
              <w:bottom w:val="single" w:sz="4" w:space="0" w:color="auto"/>
              <w:right w:val="single" w:sz="4" w:space="0" w:color="auto"/>
            </w:tcBorders>
          </w:tcPr>
          <w:p w14:paraId="5762073E"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73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74F"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741" w14:textId="77777777" w:rsidR="00A56EE9" w:rsidRPr="00E70A11" w:rsidRDefault="00A56EE9" w:rsidP="00BB6AD5">
            <w:pPr>
              <w:pStyle w:val="Tablebulletlist"/>
              <w:rPr>
                <w:rStyle w:val="BookTitle"/>
              </w:rPr>
            </w:pPr>
            <w:r w:rsidRPr="00E70A11">
              <w:rPr>
                <w:rStyle w:val="BookTitle"/>
              </w:rPr>
              <w:t>CO5</w:t>
            </w:r>
            <w:r>
              <w:rPr>
                <w:rStyle w:val="BookTitle"/>
              </w:rPr>
              <w:t xml:space="preserve"> </w:t>
            </w:r>
            <w:r w:rsidRPr="00E70A11">
              <w:rPr>
                <w:rStyle w:val="BookTitle"/>
              </w:rPr>
              <w:t>The stakeholders relevant to shipping are well known by managers.</w:t>
            </w:r>
          </w:p>
        </w:tc>
        <w:tc>
          <w:tcPr>
            <w:tcW w:w="809" w:type="dxa"/>
            <w:gridSpan w:val="2"/>
            <w:tcBorders>
              <w:top w:val="single" w:sz="4" w:space="0" w:color="auto"/>
              <w:left w:val="single" w:sz="4" w:space="0" w:color="auto"/>
              <w:bottom w:val="single" w:sz="4" w:space="0" w:color="auto"/>
              <w:right w:val="single" w:sz="4" w:space="0" w:color="auto"/>
            </w:tcBorders>
          </w:tcPr>
          <w:p w14:paraId="57620742"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74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Australian Maritime Safety Authority (AMSA), the Great Barrier Reef Marine Park Authority (GBRMPA) and Maritime Safety Queensland (MSQ) work closely together to protect the marine environment from adverse consequences of shipping operations and providing for the safety of life of ships' crew, passengers and other users of the Great Barrier Reef.</w:t>
            </w:r>
          </w:p>
          <w:p w14:paraId="5762074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Other shipping management stakeholders include the Commonwealth Department of Agriculture and Water Resources (DAWR: particularly in relation to introduced marine pests and ballast water issues), and the Australian Border Force (in regard to surveillance and enforcement measures); the Queensland Department of Environment and Heritage Protection and Department of National Parks, Sport and Racing (in relation to marine pollution in GBR Coast Marine Park waters and wildlife response); and Queensland Department of Agriculture and Fisheries (in relation to marine pests; and port industry representatives).</w:t>
            </w:r>
          </w:p>
          <w:p w14:paraId="5762074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are annual GBRMPA/Defence meetings under the joint MoU providing opportunity to discuss with Defence any matters related to the operation of ships and vessels in the GBR region. Note Defence activities, including use of ships, are covered under a separate evidence table.</w:t>
            </w:r>
          </w:p>
          <w:p w14:paraId="5762074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Environmental NGOs have an interest in shipping and its impacts, and are able to contribute via GBRMPA and GBR ports consultative groups. </w:t>
            </w:r>
          </w:p>
          <w:p w14:paraId="5762074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The North East Water Space Management Working Group is an advisement body under the North East Shipping Management Group. This working group provides a forum for members to discuss and resolve complex or difficult issues of common interest and concern in relation to the use of water space in the GBR, Torres Strait and the Coral Sea. The group meets bi-annually to consider and implement activities under the plan. </w:t>
            </w:r>
          </w:p>
        </w:tc>
        <w:tc>
          <w:tcPr>
            <w:tcW w:w="5045" w:type="dxa"/>
            <w:gridSpan w:val="2"/>
            <w:tcBorders>
              <w:top w:val="single" w:sz="4" w:space="0" w:color="auto"/>
              <w:left w:val="single" w:sz="4" w:space="0" w:color="auto"/>
              <w:bottom w:val="single" w:sz="4" w:space="0" w:color="auto"/>
              <w:right w:val="single" w:sz="4" w:space="0" w:color="auto"/>
            </w:tcBorders>
          </w:tcPr>
          <w:p w14:paraId="57620748" w14:textId="5D80E50F"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GBRMPA webpage on Defence activities and 2016-20 MoU and other documents attached on right side of page. </w:t>
            </w:r>
            <w:hyperlink r:id="rId1777" w:tooltip="document link" w:history="1">
              <w:r w:rsidRPr="00E70A11">
                <w:rPr>
                  <w:rStyle w:val="Hyperlink"/>
                  <w:rFonts w:ascii="Arial Narrow" w:hAnsi="Arial Narrow"/>
                  <w:color w:val="000000" w:themeColor="text1"/>
                  <w:sz w:val="18"/>
                  <w:szCs w:val="18"/>
                </w:rPr>
                <w:t>http://www.gbrmpa.gov.au/managing-the-reef/how-the-reefs-managed/Managing-multiple-uses/defence</w:t>
              </w:r>
            </w:hyperlink>
            <w:r w:rsidRPr="00E70A11">
              <w:rPr>
                <w:rFonts w:ascii="Arial Narrow" w:hAnsi="Arial Narrow"/>
                <w:color w:val="000000" w:themeColor="text1"/>
                <w:sz w:val="18"/>
                <w:szCs w:val="18"/>
              </w:rPr>
              <w:t xml:space="preserve"> </w:t>
            </w:r>
          </w:p>
          <w:p w14:paraId="57620749" w14:textId="77777777" w:rsidR="00A56EE9" w:rsidRPr="00E70A11" w:rsidRDefault="00A56EE9" w:rsidP="00A11869">
            <w:pPr>
              <w:pStyle w:val="ListParagraph"/>
              <w:numPr>
                <w:ilvl w:val="0"/>
                <w:numId w:val="24"/>
              </w:numPr>
              <w:spacing w:after="200" w:line="276" w:lineRule="auto"/>
              <w:rPr>
                <w:rStyle w:val="BookTitle"/>
                <w:rFonts w:ascii="Arial Narrow" w:hAnsi="Arial Narrow" w:cs="Times New Roman"/>
                <w:color w:val="000000" w:themeColor="text1"/>
                <w:sz w:val="18"/>
                <w:szCs w:val="18"/>
              </w:rPr>
            </w:pPr>
            <w:r w:rsidRPr="00E70A11">
              <w:rPr>
                <w:rStyle w:val="BookTitle"/>
                <w:rFonts w:ascii="Arial Narrow" w:hAnsi="Arial Narrow"/>
                <w:color w:val="000000" w:themeColor="text1"/>
                <w:sz w:val="18"/>
                <w:szCs w:val="18"/>
              </w:rPr>
              <w:t>Australian Marine Conservation Society presentation at AMSA’s Natship12 conference 2012 ‘</w:t>
            </w:r>
            <w:hyperlink r:id="rId1778" w:history="1">
              <w:r w:rsidRPr="00E70A11">
                <w:rPr>
                  <w:rStyle w:val="Hyperlink"/>
                  <w:rFonts w:ascii="Arial Narrow" w:hAnsi="Arial Narrow"/>
                  <w:color w:val="000000" w:themeColor="text1"/>
                  <w:sz w:val="18"/>
                  <w:szCs w:val="18"/>
                </w:rPr>
                <w:t>What environmentalists expect from the shipping industry’</w:t>
              </w:r>
            </w:hyperlink>
            <w:r w:rsidRPr="00E70A11">
              <w:rPr>
                <w:rStyle w:val="BookTitle"/>
                <w:rFonts w:ascii="Arial Narrow" w:hAnsi="Arial Narrow"/>
                <w:color w:val="000000" w:themeColor="text1"/>
                <w:sz w:val="18"/>
                <w:szCs w:val="18"/>
              </w:rPr>
              <w:t xml:space="preserve"> </w:t>
            </w:r>
          </w:p>
          <w:p w14:paraId="5762074A"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Fonts w:ascii="Arial Narrow" w:hAnsi="Arial Narrow"/>
                <w:color w:val="000000" w:themeColor="text1"/>
                <w:sz w:val="18"/>
                <w:szCs w:val="18"/>
              </w:rPr>
              <w:t xml:space="preserve">IFAW Australia 2011 </w:t>
            </w:r>
            <w:hyperlink r:id="rId1779" w:history="1">
              <w:r w:rsidRPr="00E70A11">
                <w:rPr>
                  <w:rStyle w:val="Hyperlink"/>
                  <w:rFonts w:ascii="Arial Narrow" w:hAnsi="Arial Narrow"/>
                  <w:color w:val="000000" w:themeColor="text1"/>
                  <w:sz w:val="18"/>
                  <w:szCs w:val="18"/>
                </w:rPr>
                <w:t>Breaking the Silence: how our noise pollution is harming whales</w:t>
              </w:r>
            </w:hyperlink>
          </w:p>
          <w:p w14:paraId="5762074B"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North-East Shipping Management Plan</w:t>
            </w:r>
          </w:p>
          <w:p w14:paraId="5762074C"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AMSA North East Shipping Management webpage</w:t>
            </w:r>
          </w:p>
        </w:tc>
        <w:tc>
          <w:tcPr>
            <w:tcW w:w="986" w:type="dxa"/>
            <w:gridSpan w:val="2"/>
            <w:tcBorders>
              <w:top w:val="single" w:sz="4" w:space="0" w:color="auto"/>
              <w:left w:val="single" w:sz="4" w:space="0" w:color="auto"/>
              <w:bottom w:val="single" w:sz="4" w:space="0" w:color="auto"/>
              <w:right w:val="single" w:sz="4" w:space="0" w:color="auto"/>
            </w:tcBorders>
          </w:tcPr>
          <w:p w14:paraId="5762074D"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74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756"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750" w14:textId="77777777" w:rsidR="00A56EE9" w:rsidRPr="00E70A11" w:rsidRDefault="00A56EE9" w:rsidP="00BB6AD5">
            <w:pPr>
              <w:pStyle w:val="Tablebulletlist"/>
              <w:rPr>
                <w:rStyle w:val="BookTitle"/>
              </w:rPr>
            </w:pPr>
            <w:r w:rsidRPr="00E70A11">
              <w:rPr>
                <w:rStyle w:val="BookTitle"/>
              </w:rPr>
              <w:t>PLANNING</w:t>
            </w:r>
          </w:p>
        </w:tc>
        <w:tc>
          <w:tcPr>
            <w:tcW w:w="809"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751" w14:textId="77777777" w:rsidR="00A56EE9" w:rsidRPr="00E70A11" w:rsidRDefault="00A56EE9" w:rsidP="00BB6AD5">
            <w:pPr>
              <w:pStyle w:val="Tablebulletlist"/>
              <w:rPr>
                <w:rStyle w:val="BookTitle"/>
              </w:rPr>
            </w:pPr>
          </w:p>
        </w:tc>
        <w:tc>
          <w:tcPr>
            <w:tcW w:w="3793"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752"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45"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753"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6"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754" w14:textId="77777777" w:rsidR="00A56EE9" w:rsidRPr="00E70A11" w:rsidRDefault="00A56EE9" w:rsidP="00BB6AD5">
            <w:pPr>
              <w:pStyle w:val="Tablebulletlist"/>
              <w:rPr>
                <w:rStyle w:val="BookTitle"/>
              </w:rPr>
            </w:pPr>
          </w:p>
        </w:tc>
        <w:tc>
          <w:tcPr>
            <w:tcW w:w="865"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755" w14:textId="77777777" w:rsidR="00A56EE9" w:rsidRPr="00E70A11" w:rsidRDefault="00A56EE9" w:rsidP="00BB6AD5">
            <w:pPr>
              <w:pStyle w:val="Tablebulletlist"/>
              <w:rPr>
                <w:rStyle w:val="BookTitle"/>
              </w:rPr>
            </w:pPr>
          </w:p>
        </w:tc>
      </w:tr>
      <w:tr w:rsidR="00A56EE9" w:rsidRPr="00E70A11" w14:paraId="576207A8"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757" w14:textId="77777777" w:rsidR="00A56EE9" w:rsidRPr="00E70A11" w:rsidRDefault="00A56EE9" w:rsidP="00BB6AD5">
            <w:pPr>
              <w:pStyle w:val="Tablebulletlist"/>
              <w:rPr>
                <w:rStyle w:val="BookTitle"/>
              </w:rPr>
            </w:pPr>
            <w:r w:rsidRPr="00E70A11">
              <w:rPr>
                <w:rStyle w:val="BookTitle"/>
              </w:rPr>
              <w:t>PL1</w:t>
            </w:r>
            <w:r>
              <w:rPr>
                <w:rStyle w:val="BookTitle"/>
              </w:rPr>
              <w:t xml:space="preserve"> </w:t>
            </w:r>
            <w:r w:rsidRPr="00E70A11">
              <w:rPr>
                <w:rStyle w:val="BookTitle"/>
              </w:rPr>
              <w:t xml:space="preserve">There is a planning system in place that effectively addresses shipping </w:t>
            </w:r>
          </w:p>
        </w:tc>
        <w:tc>
          <w:tcPr>
            <w:tcW w:w="809" w:type="dxa"/>
            <w:gridSpan w:val="2"/>
            <w:tcBorders>
              <w:top w:val="single" w:sz="4" w:space="0" w:color="auto"/>
              <w:left w:val="single" w:sz="4" w:space="0" w:color="auto"/>
              <w:bottom w:val="single" w:sz="4" w:space="0" w:color="auto"/>
              <w:right w:val="single" w:sz="4" w:space="0" w:color="auto"/>
            </w:tcBorders>
          </w:tcPr>
          <w:p w14:paraId="57620758"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759"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The Region is one of the world's most regulated shipping areas. The Authority, together with the Australian Maritime Safety Authority and Maritime Safety Queensland, works closely to protect the marine environment from the potential adverse consequences of shipping operations.</w:t>
            </w:r>
          </w:p>
          <w:p w14:paraId="5762075A"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The Reef was designated a Particularly Sensitive Sea Area by the IMO in 1990, with this area (effectively) extended to include the Torres Strait (2005) and Coral Sea (2015).</w:t>
            </w:r>
          </w:p>
          <w:p w14:paraId="5762075B"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The GBR Zoning Plan regulates where ships can transit, with shipping traffic confined to Designated Shipping Areas unless otherwise permitted by GBRMPA.</w:t>
            </w:r>
          </w:p>
          <w:p w14:paraId="5762075C" w14:textId="77777777" w:rsidR="00A56EE9"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In 2011 REEFVTS coverage was extended to the southern boundary of GBR PSSA.</w:t>
            </w:r>
          </w:p>
          <w:p w14:paraId="5762075D" w14:textId="4362B348" w:rsidR="00A56EE9" w:rsidRPr="00E70A11" w:rsidRDefault="00A80228" w:rsidP="00A11869">
            <w:pPr>
              <w:pStyle w:val="ListParagraph"/>
              <w:numPr>
                <w:ilvl w:val="0"/>
                <w:numId w:val="24"/>
              </w:numPr>
              <w:spacing w:after="200" w:line="240" w:lineRule="auto"/>
              <w:rPr>
                <w:rFonts w:ascii="Arial Narrow" w:hAnsi="Arial Narrow" w:cstheme="minorHAnsi"/>
                <w:sz w:val="18"/>
                <w:szCs w:val="18"/>
              </w:rPr>
            </w:pPr>
            <w:r>
              <w:rPr>
                <w:rFonts w:ascii="Arial Narrow" w:hAnsi="Arial Narrow" w:cstheme="minorHAnsi"/>
                <w:sz w:val="18"/>
                <w:szCs w:val="18"/>
              </w:rPr>
              <w:t>Compulsory</w:t>
            </w:r>
            <w:r w:rsidR="00A56EE9">
              <w:rPr>
                <w:rFonts w:ascii="Arial Narrow" w:hAnsi="Arial Narrow" w:cstheme="minorHAnsi"/>
                <w:sz w:val="18"/>
                <w:szCs w:val="18"/>
              </w:rPr>
              <w:t xml:space="preserve"> pilotage has also been introduced. </w:t>
            </w:r>
          </w:p>
          <w:p w14:paraId="5762075E"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Maritime Safety Queensland has a range of controls in place to ensure safe ship movements in Queensland ports. These include the provision of physical and electronic aids to navigation, a pilotage regime, Vessel Traffic Services and detailed port procedure manuals for ship operations.</w:t>
            </w:r>
          </w:p>
          <w:p w14:paraId="5762075F"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Planning and management appear generally to be well in-hand, but it remains important for these efforts to be effective into the future that good records and forecasts are maintained of actual and projected future ship movements through the GBR Region, so that management controls may anticipate, and respond, in advance of any new or accentuated risks.</w:t>
            </w:r>
          </w:p>
          <w:p w14:paraId="57620760"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 xml:space="preserve">The </w:t>
            </w:r>
            <w:hyperlink r:id="rId1780" w:tgtFrame="_blank" w:history="1">
              <w:r w:rsidRPr="00E70A11">
                <w:rPr>
                  <w:rFonts w:ascii="Arial Narrow" w:hAnsi="Arial Narrow" w:cstheme="minorHAnsi"/>
                  <w:sz w:val="18"/>
                  <w:szCs w:val="18"/>
                </w:rPr>
                <w:t>North-East Shipping Management Plan</w:t>
              </w:r>
            </w:hyperlink>
            <w:r w:rsidRPr="00E70A11">
              <w:rPr>
                <w:rFonts w:ascii="Arial Narrow" w:hAnsi="Arial Narrow" w:cstheme="minorHAnsi"/>
                <w:sz w:val="18"/>
                <w:szCs w:val="18"/>
              </w:rPr>
              <w:t xml:space="preserve"> (NESMP) sets out the Australian Government’s intentions to enhance ship safety in the Great Barrier Reef, Torres Strait and Coral Sea regions. It establishes a multi-agency cooperative implementation plan for the effective management of shipping in the GBR and nearby waters.</w:t>
            </w:r>
          </w:p>
          <w:p w14:paraId="57620761" w14:textId="77777777" w:rsidR="00A56EE9" w:rsidRPr="00E70A11" w:rsidRDefault="00A56EE9" w:rsidP="00A11869">
            <w:pPr>
              <w:pStyle w:val="ListParagraph"/>
              <w:numPr>
                <w:ilvl w:val="0"/>
                <w:numId w:val="24"/>
              </w:numPr>
              <w:spacing w:after="0" w:line="240" w:lineRule="auto"/>
              <w:ind w:left="357" w:hanging="357"/>
              <w:rPr>
                <w:rFonts w:ascii="Arial Narrow" w:hAnsi="Arial Narrow" w:cstheme="minorHAnsi"/>
                <w:sz w:val="18"/>
                <w:szCs w:val="18"/>
              </w:rPr>
            </w:pPr>
            <w:r w:rsidRPr="00E70A11">
              <w:rPr>
                <w:rFonts w:ascii="Arial Narrow" w:hAnsi="Arial Narrow" w:cstheme="minorHAnsi"/>
                <w:sz w:val="18"/>
                <w:szCs w:val="18"/>
              </w:rPr>
              <w:t>The Plan outlines the safety and environmental standards that need maintaining or improving, and identifies a number of measures to reduce risks from shipping, including:</w:t>
            </w:r>
          </w:p>
          <w:p w14:paraId="57620762" w14:textId="77777777" w:rsidR="00A56EE9" w:rsidRPr="00D1702B" w:rsidRDefault="00A56EE9" w:rsidP="00D1702B">
            <w:pPr>
              <w:pStyle w:val="ListBullet2"/>
              <w:numPr>
                <w:ilvl w:val="1"/>
                <w:numId w:val="24"/>
              </w:numPr>
              <w:spacing w:after="0" w:line="240" w:lineRule="auto"/>
              <w:ind w:left="831"/>
              <w:rPr>
                <w:rFonts w:ascii="Arial Narrow" w:hAnsi="Arial Narrow" w:cstheme="minorHAnsi"/>
                <w:sz w:val="18"/>
                <w:szCs w:val="18"/>
              </w:rPr>
            </w:pPr>
            <w:r w:rsidRPr="00D1702B">
              <w:rPr>
                <w:rFonts w:ascii="Arial Narrow" w:hAnsi="Arial Narrow" w:cstheme="minorHAnsi"/>
                <w:sz w:val="18"/>
                <w:szCs w:val="18"/>
              </w:rPr>
              <w:t xml:space="preserve">additional areas for consideration of pilotage requirements; </w:t>
            </w:r>
          </w:p>
          <w:p w14:paraId="57620763" w14:textId="77777777" w:rsidR="00A56EE9" w:rsidRPr="00D1702B" w:rsidRDefault="00A56EE9" w:rsidP="00D1702B">
            <w:pPr>
              <w:pStyle w:val="ListBullet2"/>
              <w:numPr>
                <w:ilvl w:val="1"/>
                <w:numId w:val="24"/>
              </w:numPr>
              <w:spacing w:after="0" w:line="240" w:lineRule="auto"/>
              <w:ind w:left="831"/>
              <w:rPr>
                <w:rFonts w:ascii="Arial Narrow" w:hAnsi="Arial Narrow" w:cstheme="minorHAnsi"/>
                <w:sz w:val="18"/>
                <w:szCs w:val="18"/>
              </w:rPr>
            </w:pPr>
            <w:r w:rsidRPr="00D1702B">
              <w:rPr>
                <w:rFonts w:ascii="Arial Narrow" w:hAnsi="Arial Narrow" w:cstheme="minorHAnsi"/>
                <w:sz w:val="18"/>
                <w:szCs w:val="18"/>
              </w:rPr>
              <w:t>increased resources for Port State Control inspections to ensure all ships meet the applicable standards;</w:t>
            </w:r>
          </w:p>
          <w:p w14:paraId="57620764" w14:textId="77777777" w:rsidR="00A56EE9" w:rsidRPr="00D1702B" w:rsidRDefault="00A56EE9" w:rsidP="00D1702B">
            <w:pPr>
              <w:pStyle w:val="ListBullet2"/>
              <w:numPr>
                <w:ilvl w:val="1"/>
                <w:numId w:val="24"/>
              </w:numPr>
              <w:spacing w:after="0" w:line="240" w:lineRule="auto"/>
              <w:ind w:left="831"/>
              <w:rPr>
                <w:rFonts w:ascii="Arial Narrow" w:hAnsi="Arial Narrow" w:cstheme="minorHAnsi"/>
                <w:sz w:val="18"/>
                <w:szCs w:val="18"/>
              </w:rPr>
            </w:pPr>
            <w:r w:rsidRPr="00D1702B">
              <w:rPr>
                <w:rFonts w:ascii="Arial Narrow" w:hAnsi="Arial Narrow" w:cstheme="minorHAnsi"/>
                <w:sz w:val="18"/>
                <w:szCs w:val="18"/>
              </w:rPr>
              <w:t>increased focus on areas related to navigational risk (such as fatigue, passage planning and navigational equipment);</w:t>
            </w:r>
          </w:p>
          <w:p w14:paraId="57620765" w14:textId="77777777" w:rsidR="00A56EE9" w:rsidRPr="00D1702B" w:rsidRDefault="00A56EE9" w:rsidP="00D1702B">
            <w:pPr>
              <w:pStyle w:val="ListBullet2"/>
              <w:numPr>
                <w:ilvl w:val="1"/>
                <w:numId w:val="24"/>
              </w:numPr>
              <w:spacing w:after="0" w:line="240" w:lineRule="auto"/>
              <w:ind w:left="831"/>
              <w:rPr>
                <w:rFonts w:ascii="Arial Narrow" w:hAnsi="Arial Narrow" w:cstheme="minorHAnsi"/>
                <w:sz w:val="18"/>
                <w:szCs w:val="18"/>
              </w:rPr>
            </w:pPr>
            <w:r w:rsidRPr="00D1702B">
              <w:rPr>
                <w:rFonts w:ascii="Arial Narrow" w:hAnsi="Arial Narrow" w:cstheme="minorHAnsi"/>
                <w:sz w:val="18"/>
                <w:szCs w:val="18"/>
              </w:rPr>
              <w:t xml:space="preserve">additional protection for the Coral Sea through seeking categorisation as a PSSA with Associated Protective Measures; </w:t>
            </w:r>
          </w:p>
          <w:p w14:paraId="57620766" w14:textId="77777777" w:rsidR="00A56EE9" w:rsidRPr="00D1702B" w:rsidRDefault="00A56EE9" w:rsidP="00D1702B">
            <w:pPr>
              <w:pStyle w:val="ListBullet2"/>
              <w:numPr>
                <w:ilvl w:val="1"/>
                <w:numId w:val="24"/>
              </w:numPr>
              <w:spacing w:after="0" w:line="240" w:lineRule="auto"/>
              <w:ind w:left="831"/>
              <w:rPr>
                <w:rFonts w:ascii="Arial Narrow" w:hAnsi="Arial Narrow" w:cstheme="minorHAnsi"/>
                <w:sz w:val="18"/>
                <w:szCs w:val="18"/>
              </w:rPr>
            </w:pPr>
            <w:r w:rsidRPr="00D1702B">
              <w:rPr>
                <w:rFonts w:ascii="Arial Narrow" w:hAnsi="Arial Narrow" w:cstheme="minorHAnsi"/>
                <w:sz w:val="18"/>
                <w:szCs w:val="18"/>
              </w:rPr>
              <w:t xml:space="preserve">using emerging ship tracking technology to improve awareness of shipping movements in the Coral Sea and to provide early alert of ship breakdowns; </w:t>
            </w:r>
          </w:p>
          <w:p w14:paraId="57620767" w14:textId="77777777" w:rsidR="00A56EE9" w:rsidRPr="00D1702B" w:rsidRDefault="00A56EE9" w:rsidP="00D1702B">
            <w:pPr>
              <w:pStyle w:val="ListBullet2"/>
              <w:numPr>
                <w:ilvl w:val="1"/>
                <w:numId w:val="24"/>
              </w:numPr>
              <w:spacing w:after="0" w:line="240" w:lineRule="auto"/>
              <w:ind w:left="831"/>
              <w:rPr>
                <w:rFonts w:ascii="Arial Narrow" w:hAnsi="Arial Narrow" w:cstheme="minorHAnsi"/>
                <w:sz w:val="18"/>
                <w:szCs w:val="18"/>
              </w:rPr>
            </w:pPr>
            <w:r w:rsidRPr="00D1702B">
              <w:rPr>
                <w:rFonts w:ascii="Arial Narrow" w:hAnsi="Arial Narrow" w:cstheme="minorHAnsi"/>
                <w:sz w:val="18"/>
                <w:szCs w:val="18"/>
              </w:rPr>
              <w:t>more active management of traffic such as a ‘traffic organisation service’ to minimise collision risk, particularly in confined waters such as Hydrographers Passage;</w:t>
            </w:r>
          </w:p>
          <w:p w14:paraId="57620768" w14:textId="77777777" w:rsidR="00A56EE9" w:rsidRPr="00D1702B" w:rsidRDefault="00A56EE9" w:rsidP="00D1702B">
            <w:pPr>
              <w:pStyle w:val="ListBullet2"/>
              <w:numPr>
                <w:ilvl w:val="1"/>
                <w:numId w:val="24"/>
              </w:numPr>
              <w:spacing w:after="0" w:line="240" w:lineRule="auto"/>
              <w:ind w:left="831"/>
              <w:rPr>
                <w:rFonts w:ascii="Arial Narrow" w:hAnsi="Arial Narrow" w:cstheme="minorHAnsi"/>
                <w:sz w:val="18"/>
                <w:szCs w:val="18"/>
              </w:rPr>
            </w:pPr>
            <w:r w:rsidRPr="00D1702B">
              <w:rPr>
                <w:rFonts w:ascii="Arial Narrow" w:hAnsi="Arial Narrow" w:cstheme="minorHAnsi"/>
                <w:sz w:val="18"/>
                <w:szCs w:val="18"/>
              </w:rPr>
              <w:t xml:space="preserve">further adoption of Electronic Chart Display and Information Systems (ECDIS); </w:t>
            </w:r>
          </w:p>
          <w:p w14:paraId="57620769" w14:textId="77777777" w:rsidR="00A56EE9" w:rsidRPr="00D1702B" w:rsidRDefault="00A56EE9" w:rsidP="00D1702B">
            <w:pPr>
              <w:pStyle w:val="ListBullet2"/>
              <w:numPr>
                <w:ilvl w:val="1"/>
                <w:numId w:val="24"/>
              </w:numPr>
              <w:spacing w:after="0" w:line="240" w:lineRule="auto"/>
              <w:ind w:left="831"/>
              <w:rPr>
                <w:rFonts w:ascii="Arial Narrow" w:hAnsi="Arial Narrow" w:cstheme="minorHAnsi"/>
                <w:sz w:val="18"/>
                <w:szCs w:val="18"/>
              </w:rPr>
            </w:pPr>
            <w:r w:rsidRPr="00D1702B">
              <w:rPr>
                <w:rFonts w:ascii="Arial Narrow" w:hAnsi="Arial Narrow" w:cstheme="minorHAnsi"/>
                <w:sz w:val="18"/>
                <w:szCs w:val="18"/>
              </w:rPr>
              <w:t>promoting the design and use of protected fuel tanks in ships;</w:t>
            </w:r>
          </w:p>
          <w:p w14:paraId="5762076A" w14:textId="77777777" w:rsidR="00A56EE9" w:rsidRPr="00D1702B" w:rsidRDefault="00A56EE9" w:rsidP="00D1702B">
            <w:pPr>
              <w:pStyle w:val="ListBullet2"/>
              <w:numPr>
                <w:ilvl w:val="1"/>
                <w:numId w:val="24"/>
              </w:numPr>
              <w:spacing w:after="0" w:line="240" w:lineRule="auto"/>
              <w:ind w:left="831"/>
              <w:rPr>
                <w:rFonts w:ascii="Arial Narrow" w:hAnsi="Arial Narrow" w:cstheme="minorHAnsi"/>
                <w:sz w:val="18"/>
                <w:szCs w:val="18"/>
              </w:rPr>
            </w:pPr>
            <w:r w:rsidRPr="00D1702B">
              <w:rPr>
                <w:rFonts w:ascii="Arial Narrow" w:hAnsi="Arial Narrow" w:cstheme="minorHAnsi"/>
                <w:sz w:val="18"/>
                <w:szCs w:val="18"/>
              </w:rPr>
              <w:t>ongoing review, test, update and support of the National Plan to Combat Pollution of the Sea by Oil and other Noxious and Hazardous Substances (National Plan), with subsidiary linkages with the Queensland Plan;</w:t>
            </w:r>
          </w:p>
          <w:p w14:paraId="5762076B" w14:textId="77777777" w:rsidR="00A56EE9" w:rsidRPr="00D1702B" w:rsidRDefault="00A56EE9" w:rsidP="00D1702B">
            <w:pPr>
              <w:pStyle w:val="ListBullet2"/>
              <w:numPr>
                <w:ilvl w:val="1"/>
                <w:numId w:val="24"/>
              </w:numPr>
              <w:spacing w:after="0" w:line="240" w:lineRule="auto"/>
              <w:ind w:left="831"/>
              <w:rPr>
                <w:rFonts w:ascii="Arial Narrow" w:hAnsi="Arial Narrow" w:cstheme="minorHAnsi"/>
                <w:sz w:val="18"/>
                <w:szCs w:val="18"/>
              </w:rPr>
            </w:pPr>
            <w:r w:rsidRPr="00D1702B">
              <w:rPr>
                <w:rFonts w:ascii="Arial Narrow" w:hAnsi="Arial Narrow" w:cstheme="minorHAnsi"/>
                <w:sz w:val="18"/>
                <w:szCs w:val="18"/>
              </w:rPr>
              <w:t>Emergency Towing Vessel (ETV) capability in the GBR; and</w:t>
            </w:r>
          </w:p>
          <w:p w14:paraId="5762076C" w14:textId="77777777" w:rsidR="00A56EE9" w:rsidRPr="00D1702B" w:rsidRDefault="00A56EE9" w:rsidP="00D1702B">
            <w:pPr>
              <w:pStyle w:val="ListBullet2"/>
              <w:numPr>
                <w:ilvl w:val="1"/>
                <w:numId w:val="24"/>
              </w:numPr>
              <w:spacing w:after="0" w:line="240" w:lineRule="auto"/>
              <w:ind w:left="831"/>
              <w:rPr>
                <w:rFonts w:ascii="Arial Narrow" w:hAnsi="Arial Narrow" w:cstheme="minorHAnsi"/>
                <w:sz w:val="18"/>
                <w:szCs w:val="18"/>
              </w:rPr>
            </w:pPr>
            <w:proofErr w:type="gramStart"/>
            <w:r w:rsidRPr="00D1702B">
              <w:rPr>
                <w:rFonts w:ascii="Arial Narrow" w:hAnsi="Arial Narrow" w:cstheme="minorHAnsi"/>
                <w:sz w:val="18"/>
                <w:szCs w:val="18"/>
              </w:rPr>
              <w:t>a</w:t>
            </w:r>
            <w:proofErr w:type="gramEnd"/>
            <w:r w:rsidRPr="00D1702B">
              <w:rPr>
                <w:rFonts w:ascii="Arial Narrow" w:hAnsi="Arial Narrow" w:cstheme="minorHAnsi"/>
                <w:sz w:val="18"/>
                <w:szCs w:val="18"/>
              </w:rPr>
              <w:t xml:space="preserve"> </w:t>
            </w:r>
            <w:hyperlink r:id="rId1781" w:history="1">
              <w:r w:rsidRPr="00D1702B">
                <w:rPr>
                  <w:rFonts w:ascii="Arial Narrow" w:hAnsi="Arial Narrow" w:cstheme="minorHAnsi"/>
                  <w:sz w:val="18"/>
                  <w:szCs w:val="18"/>
                </w:rPr>
                <w:t>response plan for introduced marine pests</w:t>
              </w:r>
            </w:hyperlink>
            <w:r w:rsidRPr="00D1702B">
              <w:rPr>
                <w:rFonts w:ascii="Arial Narrow" w:hAnsi="Arial Narrow" w:cstheme="minorHAnsi"/>
                <w:sz w:val="18"/>
                <w:szCs w:val="18"/>
              </w:rPr>
              <w:t xml:space="preserve"> (but not for surveillance, management, prevention).</w:t>
            </w:r>
          </w:p>
          <w:p w14:paraId="5762076D"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Current marine pest management arrangements for the GBR Region are considered inadequate. This is due to absence of coordinated, routine surveillance, and lack of comprehensive biofouling risk management framework management for vessels operating within GBR Region. These matters are being addressed.</w:t>
            </w:r>
          </w:p>
          <w:p w14:paraId="5762076E"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2017 version of the Queensland Coastal Contingency Action Plan released by Maritime Safety Qld recognises risks of marine pollution events such as oil spills.</w:t>
            </w:r>
          </w:p>
          <w:p w14:paraId="5762076F"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MSQ is finalising a guideline on anchorage management and design. Jurisdictional issues to consider when designating and managing anchorages in Queensland are outlined in the paper ‘Anchorage – Jurisdictional Responsibility for Anchorages in Queensland’.</w:t>
            </w:r>
          </w:p>
          <w:p w14:paraId="57620770"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In 2014-15 AMSA and MSQ revised the governance and operational arrangements for REEFVTS. A new memorandum of understanding commenced on 1 July 2015. Under this new arrangement, AMSA are the Competent Authority, and MSQ is the day-to-day operator of the service. In 2015-16 AMSA released two policy documents: a VTS Compliance and Enforcement Framework and Guidance on the qualifications and training of Vessel Traffic Service Operators.</w:t>
            </w:r>
          </w:p>
          <w:p w14:paraId="57620771"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In 2014 the IMO adopted a new two-way route in the Great Barrier Reef and Torres Strait. The ship routeing measure, arguably the world’s longest, aims to reduce the risk of collisions and groundings by encouraging ships to follow well-defined lanes. It will help ensure ships keep clear of shoals, reefs and islands that lie close outside the two-way route. The route will also provide greater certainty to small vessels as to where they can expect to encounter large vessels.</w:t>
            </w:r>
          </w:p>
          <w:p w14:paraId="57620772"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 xml:space="preserve">Introduction of new Under Keel Clearance Management (UKCM) System for large ships in the Torres Strait. UKCM is an advanced web-based system for enhancing the safety of those large vessels whose keel is close to the seabed in the shallow Torres Strait region. </w:t>
            </w:r>
            <w:r w:rsidRPr="00E70A11">
              <w:rPr>
                <w:rFonts w:ascii="Arial Narrow" w:hAnsi="Arial Narrow" w:cstheme="minorHAnsi"/>
                <w:sz w:val="18"/>
                <w:szCs w:val="18"/>
                <w:lang w:val="en"/>
              </w:rPr>
              <w:t>The requirements affect ships that approach Torres Strait through the shipping routes passing through the GBR</w:t>
            </w:r>
            <w:r w:rsidRPr="00E70A11">
              <w:rPr>
                <w:rFonts w:ascii="Arial Narrow" w:hAnsi="Arial Narrow" w:cstheme="minorHAnsi"/>
                <w:sz w:val="18"/>
                <w:szCs w:val="18"/>
              </w:rPr>
              <w:t xml:space="preserve"> or adjacent to the northern GBR and has the consequential benefit of also reducing risk in the GBR</w:t>
            </w:r>
            <w:r w:rsidRPr="00E70A11">
              <w:rPr>
                <w:rFonts w:ascii="Arial Narrow" w:hAnsi="Arial Narrow" w:cstheme="minorHAnsi"/>
                <w:sz w:val="18"/>
                <w:szCs w:val="18"/>
                <w:lang w:val="en"/>
              </w:rPr>
              <w:t>. The requirement to use the UKCM system was included in Marine Order 54 (Coastal Pilotage), which came into effect on 1 July 2014.</w:t>
            </w:r>
          </w:p>
          <w:p w14:paraId="57620773"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In 2014 a revised National Plan for Marine Environmental Emergencies was endorsed, and was updated and approved for implementation in November 2016. New GBR aspects include GBRMPA now responsible for non-SOLAS groundings (i.e. management of incident).</w:t>
            </w:r>
          </w:p>
          <w:p w14:paraId="57620774"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The 2017 version of the Queensland Coastal Contingency Action Plan was released by MSQ. This version is a result of a review of previous versions of the plan and addresses recommendations arising from the Cape Upstart oil spill in 2015. It also reflects the changes to the Queensland State Disaster Management Plan. In line with the National Plan, the scope of QCCAP has been extended to include arrangements for dealing with maritime casualties.</w:t>
            </w:r>
          </w:p>
          <w:p w14:paraId="57620775"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MSQ run an annual pollution response training program for responders and conducts regular exercises to test response capability.</w:t>
            </w:r>
          </w:p>
          <w:p w14:paraId="57620776" w14:textId="77777777" w:rsidR="00A56EE9" w:rsidRPr="00E70A11" w:rsidRDefault="00A56EE9" w:rsidP="00A11869">
            <w:pPr>
              <w:pStyle w:val="ListParagraph"/>
              <w:numPr>
                <w:ilvl w:val="0"/>
                <w:numId w:val="24"/>
              </w:numPr>
              <w:spacing w:after="200" w:line="240" w:lineRule="auto"/>
              <w:rPr>
                <w:rStyle w:val="BookTitle"/>
                <w:rFonts w:ascii="Arial Narrow" w:hAnsi="Arial Narrow" w:cstheme="minorHAnsi"/>
                <w:color w:val="000000" w:themeColor="text1"/>
                <w:sz w:val="18"/>
                <w:szCs w:val="18"/>
              </w:rPr>
            </w:pPr>
            <w:r w:rsidRPr="00E70A11">
              <w:rPr>
                <w:rStyle w:val="BookTitle"/>
                <w:rFonts w:ascii="Arial Narrow" w:hAnsi="Arial Narrow" w:cstheme="minorHAnsi"/>
                <w:color w:val="000000" w:themeColor="text1"/>
                <w:sz w:val="18"/>
                <w:szCs w:val="18"/>
              </w:rPr>
              <w:t>2017 updated guidance for Great Barrier Reef coastal pilots on restrictions on vessel-sourced discharge in the GBR &amp; Torres Strait -- reflects MARPOL. The Pilot Advisory Note (PAN) provides more detailed guidance for coastal pilots given they receive queries from both masters and crew regarding the relevant discharge restrictions.</w:t>
            </w:r>
          </w:p>
          <w:p w14:paraId="57620777" w14:textId="77777777" w:rsidR="00A56EE9" w:rsidRPr="00E70A11" w:rsidRDefault="00A56EE9" w:rsidP="00A11869">
            <w:pPr>
              <w:pStyle w:val="ListParagraph"/>
              <w:numPr>
                <w:ilvl w:val="0"/>
                <w:numId w:val="24"/>
              </w:numPr>
              <w:spacing w:after="200" w:line="240" w:lineRule="auto"/>
              <w:rPr>
                <w:rFonts w:ascii="Arial Narrow" w:hAnsi="Arial Narrow" w:cstheme="minorHAnsi"/>
                <w:sz w:val="18"/>
                <w:szCs w:val="18"/>
              </w:rPr>
            </w:pPr>
            <w:r w:rsidRPr="00E70A11">
              <w:rPr>
                <w:rFonts w:ascii="Arial Narrow" w:hAnsi="Arial Narrow" w:cstheme="minorHAnsi"/>
                <w:sz w:val="18"/>
                <w:szCs w:val="18"/>
              </w:rPr>
              <w:t>AMSA continually updates Marine Notices, providing advice and guidance to ships. Examples of new/updated Marine Notices.</w:t>
            </w:r>
          </w:p>
          <w:p w14:paraId="57620778" w14:textId="77777777" w:rsidR="00A56EE9" w:rsidRPr="00E70A11" w:rsidRDefault="00A56EE9" w:rsidP="00A80228">
            <w:pPr>
              <w:pStyle w:val="ListParagraph"/>
              <w:numPr>
                <w:ilvl w:val="1"/>
                <w:numId w:val="24"/>
              </w:numPr>
              <w:spacing w:after="200" w:line="240" w:lineRule="auto"/>
              <w:ind w:left="689" w:hanging="142"/>
              <w:rPr>
                <w:rFonts w:ascii="Arial Narrow" w:hAnsi="Arial Narrow" w:cstheme="minorHAnsi"/>
                <w:sz w:val="18"/>
                <w:szCs w:val="18"/>
              </w:rPr>
            </w:pPr>
            <w:r w:rsidRPr="00E70A11">
              <w:rPr>
                <w:rFonts w:ascii="Arial Narrow" w:hAnsi="Arial Narrow" w:cstheme="minorHAnsi"/>
                <w:sz w:val="18"/>
                <w:szCs w:val="18"/>
              </w:rPr>
              <w:t>2017/05 Regulations for air emissions from ships. This confirmed the reduction in the sulphur content of fuel oil to come into effect 1 January 2020.</w:t>
            </w:r>
          </w:p>
          <w:p w14:paraId="57620779" w14:textId="77777777" w:rsidR="00A56EE9" w:rsidRPr="00E70A11" w:rsidRDefault="00A56EE9" w:rsidP="00A80228">
            <w:pPr>
              <w:pStyle w:val="ListParagraph"/>
              <w:numPr>
                <w:ilvl w:val="1"/>
                <w:numId w:val="24"/>
              </w:numPr>
              <w:spacing w:after="200" w:line="240" w:lineRule="auto"/>
              <w:ind w:left="689" w:hanging="142"/>
              <w:rPr>
                <w:rFonts w:ascii="Arial Narrow" w:hAnsi="Arial Narrow" w:cstheme="minorHAnsi"/>
                <w:sz w:val="18"/>
                <w:szCs w:val="18"/>
              </w:rPr>
            </w:pPr>
            <w:r w:rsidRPr="00E70A11">
              <w:rPr>
                <w:rFonts w:ascii="Arial Narrow" w:hAnsi="Arial Narrow" w:cstheme="minorHAnsi"/>
                <w:sz w:val="18"/>
                <w:szCs w:val="18"/>
              </w:rPr>
              <w:t>2017/04 MARPOL Annex V discharges. This provided updated information and links to further information on the amendments to MARPOL Annex V which came into force 1 March 2018 (related to the management of cargo residues; and the new format of the Garbage Record Book).</w:t>
            </w:r>
          </w:p>
          <w:p w14:paraId="5762077A" w14:textId="77777777" w:rsidR="00A56EE9" w:rsidRPr="00E70A11" w:rsidRDefault="00A56EE9" w:rsidP="00A80228">
            <w:pPr>
              <w:pStyle w:val="ListParagraph"/>
              <w:numPr>
                <w:ilvl w:val="1"/>
                <w:numId w:val="24"/>
              </w:numPr>
              <w:spacing w:after="200" w:line="240" w:lineRule="auto"/>
              <w:ind w:left="689" w:hanging="142"/>
              <w:rPr>
                <w:rFonts w:ascii="Arial Narrow" w:hAnsi="Arial Narrow" w:cstheme="minorHAnsi"/>
                <w:sz w:val="18"/>
                <w:szCs w:val="18"/>
              </w:rPr>
            </w:pPr>
            <w:r w:rsidRPr="00E70A11">
              <w:rPr>
                <w:rFonts w:ascii="Arial Narrow" w:hAnsi="Arial Narrow" w:cstheme="minorHAnsi"/>
                <w:sz w:val="18"/>
                <w:szCs w:val="18"/>
              </w:rPr>
              <w:t>2015/10 Coastal pilotage. These updated requirements facilitate consistency in the quality and integrity of service-delivery, the ongoing management of relevant information systems and interaction with coastal pilotage customers, stakeholders and end-users.</w:t>
            </w:r>
          </w:p>
          <w:p w14:paraId="5762077B" w14:textId="77777777" w:rsidR="00A56EE9" w:rsidRPr="00E70A11" w:rsidRDefault="00A56EE9" w:rsidP="00A80228">
            <w:pPr>
              <w:pStyle w:val="ListParagraph"/>
              <w:numPr>
                <w:ilvl w:val="1"/>
                <w:numId w:val="24"/>
              </w:numPr>
              <w:spacing w:after="200" w:line="240" w:lineRule="auto"/>
              <w:ind w:left="689" w:hanging="142"/>
              <w:rPr>
                <w:rFonts w:ascii="Arial Narrow" w:hAnsi="Arial Narrow" w:cstheme="minorHAnsi"/>
                <w:sz w:val="18"/>
                <w:szCs w:val="18"/>
              </w:rPr>
            </w:pPr>
            <w:r w:rsidRPr="00E70A11">
              <w:rPr>
                <w:rFonts w:ascii="Arial Narrow" w:hAnsi="Arial Narrow" w:cstheme="minorHAnsi"/>
                <w:sz w:val="18"/>
                <w:szCs w:val="18"/>
              </w:rPr>
              <w:t>2016/15 Minimising the risk of ships colliding with cetaceans</w:t>
            </w:r>
          </w:p>
          <w:p w14:paraId="5762077C" w14:textId="77777777" w:rsidR="00A56EE9" w:rsidRPr="00E70A11" w:rsidRDefault="00A56EE9" w:rsidP="00A80228">
            <w:pPr>
              <w:pStyle w:val="ListParagraph"/>
              <w:numPr>
                <w:ilvl w:val="1"/>
                <w:numId w:val="24"/>
              </w:numPr>
              <w:spacing w:after="200" w:line="240" w:lineRule="auto"/>
              <w:ind w:left="689" w:hanging="142"/>
              <w:rPr>
                <w:rFonts w:ascii="Arial Narrow" w:hAnsi="Arial Narrow" w:cstheme="minorHAnsi"/>
                <w:sz w:val="18"/>
                <w:szCs w:val="18"/>
              </w:rPr>
            </w:pPr>
            <w:r w:rsidRPr="00E70A11">
              <w:rPr>
                <w:rFonts w:ascii="Arial Narrow" w:hAnsi="Arial Narrow" w:cstheme="minorHAnsi"/>
                <w:sz w:val="18"/>
                <w:szCs w:val="18"/>
              </w:rPr>
              <w:t>2016/03 Under keel clearance management system</w:t>
            </w:r>
          </w:p>
          <w:p w14:paraId="5762077D" w14:textId="77777777" w:rsidR="00A56EE9" w:rsidRPr="00E70A11" w:rsidRDefault="00A56EE9" w:rsidP="00A80228">
            <w:pPr>
              <w:pStyle w:val="ListParagraph"/>
              <w:numPr>
                <w:ilvl w:val="1"/>
                <w:numId w:val="24"/>
              </w:numPr>
              <w:spacing w:after="200" w:line="240" w:lineRule="auto"/>
              <w:ind w:left="689" w:hanging="142"/>
              <w:rPr>
                <w:rFonts w:ascii="Arial Narrow" w:hAnsi="Arial Narrow" w:cstheme="minorHAnsi"/>
                <w:sz w:val="18"/>
                <w:szCs w:val="18"/>
              </w:rPr>
            </w:pPr>
            <w:r w:rsidRPr="00E70A11">
              <w:rPr>
                <w:rFonts w:ascii="Arial Narrow" w:hAnsi="Arial Narrow" w:cstheme="minorHAnsi"/>
                <w:sz w:val="18"/>
                <w:szCs w:val="18"/>
              </w:rPr>
              <w:t>2015/11 Measures to reduce greenhouse gas emissions from international shipping</w:t>
            </w:r>
          </w:p>
          <w:p w14:paraId="5762077E" w14:textId="77777777" w:rsidR="00A56EE9" w:rsidRPr="00E70A11" w:rsidRDefault="00A56EE9" w:rsidP="00A80228">
            <w:pPr>
              <w:pStyle w:val="ListParagraph"/>
              <w:numPr>
                <w:ilvl w:val="1"/>
                <w:numId w:val="24"/>
              </w:numPr>
              <w:spacing w:after="200" w:line="240" w:lineRule="auto"/>
              <w:ind w:left="689" w:hanging="142"/>
              <w:rPr>
                <w:rStyle w:val="BookTitle"/>
                <w:rFonts w:ascii="Arial Narrow" w:hAnsi="Arial Narrow" w:cstheme="minorHAnsi"/>
                <w:color w:val="000000" w:themeColor="text1"/>
                <w:sz w:val="18"/>
                <w:szCs w:val="18"/>
              </w:rPr>
            </w:pPr>
            <w:r w:rsidRPr="00E70A11">
              <w:rPr>
                <w:rFonts w:ascii="Arial Narrow" w:hAnsi="Arial Narrow" w:cstheme="minorHAnsi"/>
                <w:sz w:val="18"/>
                <w:szCs w:val="18"/>
              </w:rPr>
              <w:t>2015/05 quick guide: navigation through the Great Barrier Reef and Torres Strait</w:t>
            </w:r>
          </w:p>
          <w:p w14:paraId="5762077F" w14:textId="77777777" w:rsidR="00A56EE9" w:rsidRPr="00E70A11" w:rsidRDefault="00A56EE9" w:rsidP="00A11869">
            <w:pPr>
              <w:pStyle w:val="ListParagraph"/>
              <w:numPr>
                <w:ilvl w:val="0"/>
                <w:numId w:val="24"/>
              </w:numPr>
              <w:spacing w:after="200" w:line="240" w:lineRule="auto"/>
              <w:rPr>
                <w:rStyle w:val="BookTitle"/>
                <w:rFonts w:ascii="Arial Narrow" w:hAnsi="Arial Narrow" w:cstheme="minorHAnsi"/>
                <w:color w:val="000000" w:themeColor="text1"/>
                <w:sz w:val="18"/>
                <w:szCs w:val="18"/>
              </w:rPr>
            </w:pPr>
            <w:r w:rsidRPr="00E70A11">
              <w:rPr>
                <w:rStyle w:val="BookTitle"/>
                <w:rFonts w:ascii="Arial Narrow" w:hAnsi="Arial Narrow" w:cstheme="minorHAnsi"/>
                <w:color w:val="000000" w:themeColor="text1"/>
                <w:sz w:val="18"/>
                <w:szCs w:val="18"/>
              </w:rPr>
              <w:t xml:space="preserve">REEFVTS protocols involve the broadcast of information during the cetacean migration season to create awareness and </w:t>
            </w:r>
            <w:proofErr w:type="gramStart"/>
            <w:r w:rsidRPr="00E70A11">
              <w:rPr>
                <w:rStyle w:val="BookTitle"/>
                <w:rFonts w:ascii="Arial Narrow" w:hAnsi="Arial Narrow" w:cstheme="minorHAnsi"/>
                <w:color w:val="000000" w:themeColor="text1"/>
                <w:sz w:val="18"/>
                <w:szCs w:val="18"/>
              </w:rPr>
              <w:t>advise</w:t>
            </w:r>
            <w:proofErr w:type="gramEnd"/>
            <w:r w:rsidRPr="00E70A11">
              <w:rPr>
                <w:rStyle w:val="BookTitle"/>
                <w:rFonts w:ascii="Arial Narrow" w:hAnsi="Arial Narrow" w:cstheme="minorHAnsi"/>
                <w:color w:val="000000" w:themeColor="text1"/>
                <w:sz w:val="18"/>
                <w:szCs w:val="18"/>
              </w:rPr>
              <w:t xml:space="preserve"> actions requested of ships to minimise risks, eg. </w:t>
            </w:r>
            <w:proofErr w:type="gramStart"/>
            <w:r w:rsidRPr="00E70A11">
              <w:rPr>
                <w:rStyle w:val="BookTitle"/>
                <w:rFonts w:ascii="Arial Narrow" w:hAnsi="Arial Narrow" w:cstheme="minorHAnsi"/>
                <w:color w:val="000000" w:themeColor="text1"/>
                <w:sz w:val="18"/>
                <w:szCs w:val="18"/>
              </w:rPr>
              <w:t>take</w:t>
            </w:r>
            <w:proofErr w:type="gramEnd"/>
            <w:r w:rsidRPr="00E70A11">
              <w:rPr>
                <w:rStyle w:val="BookTitle"/>
                <w:rFonts w:ascii="Arial Narrow" w:hAnsi="Arial Narrow" w:cstheme="minorHAnsi"/>
                <w:color w:val="000000" w:themeColor="text1"/>
                <w:sz w:val="18"/>
                <w:szCs w:val="18"/>
              </w:rPr>
              <w:t xml:space="preserve"> action to avoid collision.</w:t>
            </w:r>
          </w:p>
          <w:p w14:paraId="57620780" w14:textId="77777777" w:rsidR="00A56EE9" w:rsidRPr="00E70A11" w:rsidRDefault="00A56EE9" w:rsidP="00A11869">
            <w:pPr>
              <w:pStyle w:val="ListParagraph"/>
              <w:numPr>
                <w:ilvl w:val="0"/>
                <w:numId w:val="24"/>
              </w:numPr>
              <w:spacing w:after="200" w:line="240" w:lineRule="auto"/>
              <w:rPr>
                <w:rStyle w:val="BookTitle"/>
                <w:rFonts w:ascii="Arial Narrow" w:hAnsi="Arial Narrow" w:cstheme="minorHAnsi"/>
                <w:color w:val="000000" w:themeColor="text1"/>
                <w:sz w:val="18"/>
                <w:szCs w:val="18"/>
              </w:rPr>
            </w:pPr>
            <w:r w:rsidRPr="00E70A11">
              <w:rPr>
                <w:rStyle w:val="BookTitle"/>
                <w:rFonts w:ascii="Arial Narrow" w:hAnsi="Arial Narrow" w:cstheme="minorHAnsi"/>
                <w:color w:val="000000" w:themeColor="text1"/>
                <w:sz w:val="18"/>
                <w:szCs w:val="18"/>
              </w:rPr>
              <w:t xml:space="preserve">In 2017, the Queensland draft trans-shipping policy was released for public comment (closed October 2017). Amendments are proposed to the Queensland </w:t>
            </w:r>
            <w:r w:rsidRPr="00E70A11">
              <w:rPr>
                <w:rStyle w:val="BookTitle"/>
                <w:rFonts w:ascii="Arial Narrow" w:hAnsi="Arial Narrow" w:cstheme="minorHAnsi"/>
                <w:i/>
                <w:color w:val="000000" w:themeColor="text1"/>
                <w:sz w:val="18"/>
                <w:szCs w:val="18"/>
              </w:rPr>
              <w:t>Environmental Protection Act 1994</w:t>
            </w:r>
            <w:r w:rsidRPr="00E70A11">
              <w:rPr>
                <w:rStyle w:val="BookTitle"/>
                <w:rFonts w:ascii="Arial Narrow" w:hAnsi="Arial Narrow" w:cstheme="minorHAnsi"/>
                <w:color w:val="000000" w:themeColor="text1"/>
                <w:sz w:val="18"/>
                <w:szCs w:val="18"/>
              </w:rPr>
              <w:t xml:space="preserve"> and its associated regulations to ensure that trans-shipping activities are:</w:t>
            </w:r>
            <w:r>
              <w:rPr>
                <w:rStyle w:val="BookTitle"/>
                <w:rFonts w:ascii="Arial Narrow" w:hAnsi="Arial Narrow" w:cstheme="minorHAnsi"/>
                <w:color w:val="000000" w:themeColor="text1"/>
                <w:sz w:val="18"/>
                <w:szCs w:val="18"/>
              </w:rPr>
              <w:t xml:space="preserve"> </w:t>
            </w:r>
            <w:r w:rsidRPr="00E70A11">
              <w:rPr>
                <w:rStyle w:val="BookTitle"/>
                <w:rFonts w:ascii="Arial Narrow" w:hAnsi="Arial Narrow" w:cstheme="minorHAnsi"/>
                <w:color w:val="000000" w:themeColor="text1"/>
                <w:sz w:val="18"/>
                <w:szCs w:val="18"/>
              </w:rPr>
              <w:t xml:space="preserve">subject to consistent environmental assessment and oversight where they are carried out in Queensland Waters and the Great Barrier Reef region; not permitted in the Great Barrier Reef region unless the activity occurs in association with a declared port. In the Reef 2050 Long-term Sustainability Plan, the Queensland Government committed to not supporting trans-shipping operations which adversely affect the GBRMP. This commitment is due to be reviewed after nine years and complements the policy delivered in the Queensland </w:t>
            </w:r>
            <w:r w:rsidRPr="00E70A11">
              <w:rPr>
                <w:rStyle w:val="BookTitle"/>
                <w:rFonts w:ascii="Arial Narrow" w:hAnsi="Arial Narrow" w:cstheme="minorHAnsi"/>
                <w:i/>
                <w:color w:val="000000" w:themeColor="text1"/>
                <w:sz w:val="18"/>
                <w:szCs w:val="18"/>
              </w:rPr>
              <w:t>Sustainable Ports Development Act 2015</w:t>
            </w:r>
            <w:r w:rsidRPr="00E70A11">
              <w:rPr>
                <w:rStyle w:val="BookTitle"/>
                <w:rFonts w:ascii="Arial Narrow" w:hAnsi="Arial Narrow" w:cstheme="minorHAnsi"/>
                <w:color w:val="000000" w:themeColor="text1"/>
                <w:sz w:val="18"/>
                <w:szCs w:val="18"/>
              </w:rPr>
              <w:t>, which confines port development in the Great Barrier Reef Region to declared port areas.</w:t>
            </w:r>
          </w:p>
          <w:p w14:paraId="57620781" w14:textId="77777777" w:rsidR="00A56EE9" w:rsidRPr="00E70A11" w:rsidRDefault="00A56EE9" w:rsidP="00A11869">
            <w:pPr>
              <w:pStyle w:val="ListParagraph"/>
              <w:numPr>
                <w:ilvl w:val="0"/>
                <w:numId w:val="24"/>
              </w:numPr>
              <w:spacing w:after="200" w:line="240" w:lineRule="auto"/>
              <w:rPr>
                <w:rStyle w:val="BookTitle"/>
                <w:rFonts w:ascii="Arial Narrow" w:hAnsi="Arial Narrow" w:cstheme="minorHAnsi"/>
                <w:color w:val="000000" w:themeColor="text1"/>
                <w:sz w:val="18"/>
                <w:szCs w:val="18"/>
              </w:rPr>
            </w:pPr>
            <w:r w:rsidRPr="00E70A11">
              <w:rPr>
                <w:rStyle w:val="BookTitle"/>
                <w:rFonts w:ascii="Arial Narrow" w:hAnsi="Arial Narrow" w:cstheme="minorHAnsi"/>
                <w:color w:val="000000" w:themeColor="text1"/>
                <w:sz w:val="18"/>
                <w:szCs w:val="18"/>
              </w:rPr>
              <w:t>Australia is considering the development of a new classification for bulk vessels travelling through the GBR World Heritage Area. The value of such pursuit is unclear, and whether this is a realistic goal is questionable. Investigations to date indicate the limited benefit in developing a new vessel class given that the IMO has already implemented significant safety standards via existing IMO Conventions. There may be potential for an incremental increase in safety by adopting ship vetting practices that target newer ships with good ship management practices. Investigations are continuing.</w:t>
            </w:r>
          </w:p>
          <w:p w14:paraId="57620782" w14:textId="77777777" w:rsidR="00A56EE9" w:rsidRPr="00E70A11" w:rsidRDefault="00A56EE9" w:rsidP="00A11869">
            <w:pPr>
              <w:pStyle w:val="ListParagraph"/>
              <w:numPr>
                <w:ilvl w:val="0"/>
                <w:numId w:val="24"/>
              </w:numPr>
              <w:spacing w:after="200" w:line="240" w:lineRule="auto"/>
              <w:rPr>
                <w:rStyle w:val="BookTitle"/>
                <w:rFonts w:ascii="Arial Narrow" w:hAnsi="Arial Narrow" w:cstheme="minorHAnsi"/>
                <w:sz w:val="18"/>
                <w:szCs w:val="18"/>
              </w:rPr>
            </w:pPr>
            <w:r w:rsidRPr="00E70A11">
              <w:rPr>
                <w:rStyle w:val="BookTitle"/>
                <w:rFonts w:ascii="Arial Narrow" w:hAnsi="Arial Narrow" w:cstheme="minorHAnsi"/>
                <w:color w:val="000000" w:themeColor="text1"/>
                <w:sz w:val="18"/>
                <w:szCs w:val="18"/>
              </w:rPr>
              <w:t>Reef 2050 Plan was released in 2015 and has various associated prioritisation and investment strategy documents. Several of the actions in the plan are directly related to shipping and there are also some related to ports (and associated industry).</w:t>
            </w:r>
          </w:p>
        </w:tc>
        <w:tc>
          <w:tcPr>
            <w:tcW w:w="5045" w:type="dxa"/>
            <w:gridSpan w:val="2"/>
            <w:tcBorders>
              <w:top w:val="single" w:sz="4" w:space="0" w:color="auto"/>
              <w:left w:val="single" w:sz="4" w:space="0" w:color="auto"/>
              <w:bottom w:val="single" w:sz="4" w:space="0" w:color="auto"/>
              <w:right w:val="single" w:sz="4" w:space="0" w:color="auto"/>
            </w:tcBorders>
          </w:tcPr>
          <w:p w14:paraId="57620783"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The GBRMPA website provides information on the </w:t>
            </w:r>
            <w:hyperlink r:id="rId1782" w:history="1">
              <w:r w:rsidRPr="00E70A11">
                <w:rPr>
                  <w:rStyle w:val="Hyperlink"/>
                  <w:rFonts w:ascii="Arial Narrow" w:hAnsi="Arial Narrow"/>
                  <w:color w:val="000000" w:themeColor="text1"/>
                  <w:sz w:val="18"/>
                  <w:szCs w:val="18"/>
                </w:rPr>
                <w:t>designated shipping areas within the GBR</w:t>
              </w:r>
            </w:hyperlink>
            <w:r w:rsidRPr="00E70A11">
              <w:rPr>
                <w:rFonts w:ascii="Arial Narrow" w:hAnsi="Arial Narrow"/>
                <w:color w:val="000000" w:themeColor="text1"/>
                <w:sz w:val="18"/>
                <w:szCs w:val="18"/>
              </w:rPr>
              <w:t xml:space="preserve">. </w:t>
            </w:r>
          </w:p>
          <w:p w14:paraId="57620784"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rPr>
              <w:t xml:space="preserve">AMSA webpage on </w:t>
            </w:r>
            <w:hyperlink r:id="rId1783" w:history="1">
              <w:r w:rsidRPr="00E70A11">
                <w:rPr>
                  <w:rStyle w:val="Hyperlink"/>
                  <w:rFonts w:ascii="Arial Narrow" w:hAnsi="Arial Narrow"/>
                  <w:color w:val="000000" w:themeColor="text1"/>
                  <w:sz w:val="18"/>
                  <w:szCs w:val="18"/>
                </w:rPr>
                <w:t>Particularly Sensitive Sea Areas</w:t>
              </w:r>
            </w:hyperlink>
            <w:r w:rsidRPr="00E70A11">
              <w:rPr>
                <w:rFonts w:ascii="Arial Narrow" w:hAnsi="Arial Narrow"/>
                <w:color w:val="000000" w:themeColor="text1"/>
                <w:sz w:val="18"/>
                <w:szCs w:val="18"/>
              </w:rPr>
              <w:t xml:space="preserve">, including the GBR/Torres Strait/Coral Sea PSSA and </w:t>
            </w:r>
            <w:hyperlink r:id="rId1784" w:history="1">
              <w:r w:rsidRPr="00E70A11">
                <w:rPr>
                  <w:rStyle w:val="Hyperlink"/>
                  <w:rFonts w:ascii="Arial Narrow" w:hAnsi="Arial Narrow"/>
                  <w:color w:val="000000" w:themeColor="text1"/>
                  <w:sz w:val="18"/>
                  <w:szCs w:val="18"/>
                </w:rPr>
                <w:t>PSSA factsheet</w:t>
              </w:r>
            </w:hyperlink>
            <w:r w:rsidRPr="00E70A11">
              <w:rPr>
                <w:rFonts w:ascii="Arial Narrow" w:hAnsi="Arial Narrow"/>
                <w:color w:val="000000" w:themeColor="text1"/>
                <w:sz w:val="18"/>
                <w:szCs w:val="18"/>
              </w:rPr>
              <w:t xml:space="preserve"> </w:t>
            </w:r>
          </w:p>
          <w:p w14:paraId="57620785"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785" w:history="1">
              <w:r w:rsidR="00A56EE9" w:rsidRPr="00E70A11">
                <w:rPr>
                  <w:rStyle w:val="Hyperlink"/>
                  <w:rFonts w:ascii="Arial Narrow" w:hAnsi="Arial Narrow"/>
                  <w:color w:val="000000" w:themeColor="text1"/>
                  <w:sz w:val="18"/>
                  <w:szCs w:val="18"/>
                  <w:lang w:val="en"/>
                </w:rPr>
                <w:t>Queensland Coastal Passage Plan</w:t>
              </w:r>
            </w:hyperlink>
          </w:p>
          <w:p w14:paraId="57620786"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Maritime Safety Qld and </w:t>
            </w:r>
            <w:hyperlink r:id="rId1786" w:history="1">
              <w:r w:rsidRPr="00E70A11">
                <w:rPr>
                  <w:rStyle w:val="Hyperlink"/>
                  <w:rFonts w:ascii="Arial Narrow" w:hAnsi="Arial Narrow"/>
                  <w:color w:val="000000" w:themeColor="text1"/>
                  <w:sz w:val="18"/>
                  <w:szCs w:val="18"/>
                </w:rPr>
                <w:t>GBRMPA</w:t>
              </w:r>
            </w:hyperlink>
            <w:r w:rsidRPr="00E70A11">
              <w:rPr>
                <w:rFonts w:ascii="Arial Narrow" w:hAnsi="Arial Narrow"/>
                <w:color w:val="000000" w:themeColor="text1"/>
                <w:sz w:val="18"/>
                <w:szCs w:val="18"/>
              </w:rPr>
              <w:t xml:space="preserve"> websites outline requirements and restrictions in relation to sewage discharge and the GBR Marine Park.</w:t>
            </w:r>
          </w:p>
          <w:p w14:paraId="57620787"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787" w:history="1">
              <w:r w:rsidR="00A56EE9" w:rsidRPr="00E70A11">
                <w:rPr>
                  <w:rStyle w:val="Hyperlink"/>
                  <w:rFonts w:ascii="Arial Narrow" w:hAnsi="Arial Narrow"/>
                  <w:color w:val="000000" w:themeColor="text1"/>
                  <w:sz w:val="18"/>
                  <w:szCs w:val="18"/>
                </w:rPr>
                <w:t>Fatigue management plans</w:t>
              </w:r>
            </w:hyperlink>
          </w:p>
          <w:p w14:paraId="57620788"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788" w:history="1">
              <w:r w:rsidR="00A56EE9" w:rsidRPr="00E70A11">
                <w:rPr>
                  <w:rStyle w:val="Hyperlink"/>
                  <w:rFonts w:ascii="Arial Narrow" w:hAnsi="Arial Narrow"/>
                  <w:color w:val="000000" w:themeColor="text1"/>
                  <w:sz w:val="18"/>
                  <w:szCs w:val="18"/>
                  <w:lang w:val="en"/>
                </w:rPr>
                <w:t>Coastal Protection State Planning Regulatory Provisions 2013</w:t>
              </w:r>
            </w:hyperlink>
            <w:r w:rsidR="00A56EE9" w:rsidRPr="00E70A11">
              <w:rPr>
                <w:rFonts w:ascii="Arial Narrow" w:hAnsi="Arial Narrow"/>
                <w:color w:val="000000" w:themeColor="text1"/>
                <w:sz w:val="18"/>
                <w:szCs w:val="18"/>
                <w:lang w:val="en"/>
              </w:rPr>
              <w:t xml:space="preserve"> </w:t>
            </w:r>
          </w:p>
          <w:p w14:paraId="57620789"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789" w:history="1">
              <w:r w:rsidR="00A56EE9" w:rsidRPr="00E70A11">
                <w:rPr>
                  <w:rStyle w:val="Hyperlink"/>
                  <w:rFonts w:ascii="Arial Narrow" w:hAnsi="Arial Narrow"/>
                  <w:color w:val="000000" w:themeColor="text1"/>
                  <w:sz w:val="18"/>
                  <w:szCs w:val="18"/>
                  <w:lang w:val="en"/>
                </w:rPr>
                <w:t>Automatic Identification System (AIS)</w:t>
              </w:r>
            </w:hyperlink>
            <w:r w:rsidR="00A56EE9" w:rsidRPr="00E70A11">
              <w:rPr>
                <w:rFonts w:ascii="Arial Narrow" w:hAnsi="Arial Narrow"/>
                <w:color w:val="000000" w:themeColor="text1"/>
                <w:sz w:val="18"/>
                <w:szCs w:val="18"/>
                <w:lang w:val="en"/>
              </w:rPr>
              <w:t xml:space="preserve"> – see carriage requirements</w:t>
            </w:r>
          </w:p>
          <w:p w14:paraId="5762078A"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790" w:tgtFrame="_blank" w:history="1">
              <w:r w:rsidR="00A56EE9" w:rsidRPr="00E70A11">
                <w:rPr>
                  <w:rStyle w:val="Hyperlink"/>
                  <w:rFonts w:ascii="Arial Narrow" w:hAnsi="Arial Narrow"/>
                  <w:color w:val="000000" w:themeColor="text1"/>
                  <w:sz w:val="18"/>
                  <w:szCs w:val="18"/>
                  <w:lang w:val="en"/>
                </w:rPr>
                <w:t>Ship Anchorage Management Report in the Great Barrier Reef World Heritage Area</w:t>
              </w:r>
            </w:hyperlink>
            <w:r w:rsidR="00A56EE9" w:rsidRPr="00E70A11">
              <w:rPr>
                <w:rStyle w:val="Hyperlink"/>
                <w:rFonts w:ascii="Arial Narrow" w:hAnsi="Arial Narrow"/>
                <w:color w:val="000000" w:themeColor="text1"/>
                <w:sz w:val="18"/>
                <w:szCs w:val="18"/>
                <w:lang w:val="en"/>
              </w:rPr>
              <w:t xml:space="preserve"> 2013</w:t>
            </w:r>
          </w:p>
          <w:p w14:paraId="5762078B"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rPr>
              <w:t xml:space="preserve">Outputs from Regional Sustainability anchorage </w:t>
            </w:r>
            <w:r w:rsidRPr="00E70A11">
              <w:rPr>
                <w:rFonts w:ascii="Arial Narrow" w:hAnsi="Arial Narrow"/>
                <w:i/>
                <w:color w:val="000000" w:themeColor="text1"/>
                <w:sz w:val="18"/>
                <w:szCs w:val="18"/>
              </w:rPr>
              <w:t>study see CO3</w:t>
            </w:r>
          </w:p>
          <w:p w14:paraId="5762078C"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rPr>
              <w:t>GBR Zoning Plan 2003</w:t>
            </w:r>
          </w:p>
          <w:p w14:paraId="5762078D"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791" w:history="1">
              <w:r w:rsidR="00A56EE9" w:rsidRPr="00E70A11">
                <w:rPr>
                  <w:rStyle w:val="Hyperlink"/>
                  <w:rFonts w:ascii="Arial Narrow" w:hAnsi="Arial Narrow"/>
                  <w:color w:val="000000" w:themeColor="text1"/>
                  <w:sz w:val="18"/>
                  <w:szCs w:val="18"/>
                </w:rPr>
                <w:t>MSQ</w:t>
              </w:r>
            </w:hyperlink>
            <w:r w:rsidR="00A56EE9" w:rsidRPr="00E70A11">
              <w:rPr>
                <w:rFonts w:ascii="Arial Narrow" w:hAnsi="Arial Narrow"/>
                <w:color w:val="000000" w:themeColor="text1"/>
                <w:sz w:val="18"/>
                <w:szCs w:val="18"/>
              </w:rPr>
              <w:t xml:space="preserve"> and </w:t>
            </w:r>
            <w:hyperlink r:id="rId1792" w:history="1">
              <w:r w:rsidR="00A56EE9" w:rsidRPr="00E70A11">
                <w:rPr>
                  <w:rStyle w:val="Hyperlink"/>
                  <w:rFonts w:ascii="Arial Narrow" w:hAnsi="Arial Narrow"/>
                  <w:color w:val="000000" w:themeColor="text1"/>
                  <w:sz w:val="18"/>
                  <w:szCs w:val="18"/>
                </w:rPr>
                <w:t>AMSA</w:t>
              </w:r>
            </w:hyperlink>
            <w:r w:rsidR="00A56EE9" w:rsidRPr="00E70A11">
              <w:rPr>
                <w:rFonts w:ascii="Arial Narrow" w:hAnsi="Arial Narrow"/>
                <w:color w:val="000000" w:themeColor="text1"/>
                <w:sz w:val="18"/>
                <w:szCs w:val="18"/>
              </w:rPr>
              <w:t xml:space="preserve"> REEFVTS webpages</w:t>
            </w:r>
          </w:p>
          <w:p w14:paraId="5762078E"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AMSA </w:t>
            </w:r>
            <w:hyperlink r:id="rId1793" w:history="1">
              <w:r w:rsidRPr="00E70A11">
                <w:rPr>
                  <w:rStyle w:val="Hyperlink"/>
                  <w:rFonts w:ascii="Arial Narrow" w:hAnsi="Arial Narrow"/>
                  <w:color w:val="000000" w:themeColor="text1"/>
                  <w:sz w:val="18"/>
                  <w:szCs w:val="18"/>
                </w:rPr>
                <w:t>annual report 2015-16</w:t>
              </w:r>
            </w:hyperlink>
            <w:r w:rsidRPr="00E70A11">
              <w:rPr>
                <w:rFonts w:ascii="Arial Narrow" w:hAnsi="Arial Narrow"/>
                <w:color w:val="000000" w:themeColor="text1"/>
                <w:sz w:val="18"/>
                <w:szCs w:val="18"/>
              </w:rPr>
              <w:t xml:space="preserve"> p 56</w:t>
            </w:r>
          </w:p>
          <w:p w14:paraId="5762078F"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lang w:val="en"/>
              </w:rPr>
              <w:t xml:space="preserve">(46) AMSA webpage on </w:t>
            </w:r>
            <w:hyperlink r:id="rId1794" w:history="1">
              <w:r w:rsidRPr="00E70A11">
                <w:rPr>
                  <w:rStyle w:val="Hyperlink"/>
                  <w:rFonts w:ascii="Arial Narrow" w:hAnsi="Arial Narrow"/>
                  <w:color w:val="000000" w:themeColor="text1"/>
                  <w:sz w:val="18"/>
                  <w:szCs w:val="18"/>
                  <w:lang w:val="en"/>
                </w:rPr>
                <w:t>new two-way routing in GBR and TS</w:t>
              </w:r>
            </w:hyperlink>
            <w:r w:rsidRPr="00E70A11">
              <w:rPr>
                <w:rFonts w:ascii="Arial Narrow" w:hAnsi="Arial Narrow"/>
                <w:color w:val="000000" w:themeColor="text1"/>
                <w:sz w:val="18"/>
                <w:szCs w:val="18"/>
                <w:lang w:val="en"/>
              </w:rPr>
              <w:t xml:space="preserve"> and on </w:t>
            </w:r>
            <w:hyperlink r:id="rId1795" w:history="1">
              <w:r w:rsidRPr="00E70A11">
                <w:rPr>
                  <w:rStyle w:val="Hyperlink"/>
                  <w:rFonts w:ascii="Arial Narrow" w:hAnsi="Arial Narrow"/>
                  <w:color w:val="000000" w:themeColor="text1"/>
                  <w:sz w:val="18"/>
                  <w:szCs w:val="18"/>
                  <w:lang w:val="en"/>
                </w:rPr>
                <w:t>PSSA</w:t>
              </w:r>
            </w:hyperlink>
          </w:p>
          <w:p w14:paraId="57620790"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AMSA </w:t>
            </w:r>
            <w:hyperlink r:id="rId1796" w:history="1">
              <w:r w:rsidRPr="00E70A11">
                <w:rPr>
                  <w:rStyle w:val="Hyperlink"/>
                  <w:rFonts w:ascii="Arial Narrow" w:hAnsi="Arial Narrow"/>
                  <w:color w:val="000000" w:themeColor="text1"/>
                  <w:sz w:val="18"/>
                  <w:szCs w:val="18"/>
                </w:rPr>
                <w:t>annual report 2015-16</w:t>
              </w:r>
            </w:hyperlink>
            <w:r w:rsidRPr="00E70A11">
              <w:rPr>
                <w:rFonts w:ascii="Arial Narrow" w:hAnsi="Arial Narrow"/>
                <w:color w:val="000000" w:themeColor="text1"/>
                <w:sz w:val="18"/>
                <w:szCs w:val="18"/>
              </w:rPr>
              <w:t xml:space="preserve"> p 137</w:t>
            </w:r>
          </w:p>
          <w:p w14:paraId="57620791"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797" w:history="1">
              <w:r w:rsidR="00A56EE9" w:rsidRPr="00E70A11">
                <w:rPr>
                  <w:rStyle w:val="Hyperlink"/>
                  <w:rFonts w:ascii="Arial Narrow" w:hAnsi="Arial Narrow"/>
                  <w:color w:val="000000" w:themeColor="text1"/>
                  <w:sz w:val="18"/>
                  <w:szCs w:val="18"/>
                </w:rPr>
                <w:t>North-East Shipping Management Plan</w:t>
              </w:r>
            </w:hyperlink>
          </w:p>
          <w:p w14:paraId="57620792"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r w:rsidRPr="00E70A11">
              <w:rPr>
                <w:rFonts w:ascii="Arial Narrow" w:hAnsi="Arial Narrow"/>
                <w:color w:val="000000" w:themeColor="text1"/>
                <w:sz w:val="18"/>
                <w:szCs w:val="18"/>
                <w:lang w:val="en"/>
              </w:rPr>
              <w:t>AMSA</w:t>
            </w:r>
            <w:hyperlink r:id="rId1798" w:history="1">
              <w:r w:rsidRPr="00E70A11">
                <w:rPr>
                  <w:rStyle w:val="Hyperlink"/>
                  <w:rFonts w:ascii="Arial Narrow" w:hAnsi="Arial Narrow"/>
                  <w:color w:val="000000" w:themeColor="text1"/>
                  <w:sz w:val="18"/>
                  <w:szCs w:val="18"/>
                  <w:lang w:val="en"/>
                </w:rPr>
                <w:t xml:space="preserve"> North East Shipping Management webpage</w:t>
              </w:r>
            </w:hyperlink>
          </w:p>
          <w:p w14:paraId="57620793"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rPr>
              <w:t xml:space="preserve">AMSA </w:t>
            </w:r>
            <w:hyperlink r:id="rId1799" w:history="1">
              <w:r w:rsidRPr="00E70A11">
                <w:rPr>
                  <w:rStyle w:val="Hyperlink"/>
                  <w:rFonts w:ascii="Arial Narrow" w:hAnsi="Arial Narrow"/>
                  <w:color w:val="000000" w:themeColor="text1"/>
                  <w:sz w:val="18"/>
                  <w:szCs w:val="18"/>
                </w:rPr>
                <w:t>annual report 2014-15</w:t>
              </w:r>
            </w:hyperlink>
            <w:r w:rsidRPr="00E70A11">
              <w:rPr>
                <w:rFonts w:ascii="Arial Narrow" w:hAnsi="Arial Narrow"/>
                <w:color w:val="000000" w:themeColor="text1"/>
                <w:sz w:val="18"/>
                <w:szCs w:val="18"/>
              </w:rPr>
              <w:t xml:space="preserve"> p 63 and p 64</w:t>
            </w:r>
          </w:p>
          <w:p w14:paraId="57620794"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800" w:history="1">
              <w:r w:rsidR="00A56EE9" w:rsidRPr="00E70A11">
                <w:rPr>
                  <w:rStyle w:val="Hyperlink"/>
                  <w:rFonts w:ascii="Arial Narrow" w:hAnsi="Arial Narrow"/>
                  <w:color w:val="000000" w:themeColor="text1"/>
                  <w:sz w:val="18"/>
                  <w:szCs w:val="18"/>
                </w:rPr>
                <w:t>National Plan for Marine Environmental Emergencies</w:t>
              </w:r>
            </w:hyperlink>
          </w:p>
          <w:p w14:paraId="57620795"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801" w:history="1">
              <w:r w:rsidR="00A56EE9" w:rsidRPr="00E70A11">
                <w:rPr>
                  <w:rStyle w:val="Hyperlink"/>
                  <w:rFonts w:ascii="Arial Narrow" w:hAnsi="Arial Narrow"/>
                  <w:color w:val="000000" w:themeColor="text1"/>
                  <w:sz w:val="18"/>
                  <w:szCs w:val="18"/>
                  <w:lang w:val="en"/>
                </w:rPr>
                <w:t>Report on the 2011/12 Review of the National Plan to Combat Pollution of the Sea by Oil and Other Hazardous and Noxious Substances and the National Maritime Emergency Response Arrangements</w:t>
              </w:r>
            </w:hyperlink>
          </w:p>
          <w:p w14:paraId="57620796"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Maritime Safety Qld webpage on </w:t>
            </w:r>
            <w:hyperlink r:id="rId1802" w:history="1">
              <w:r w:rsidRPr="00E70A11">
                <w:rPr>
                  <w:rStyle w:val="Hyperlink"/>
                  <w:rFonts w:ascii="Arial Narrow" w:hAnsi="Arial Narrow"/>
                  <w:color w:val="000000" w:themeColor="text1"/>
                  <w:sz w:val="18"/>
                  <w:szCs w:val="18"/>
                </w:rPr>
                <w:t>marine pollution</w:t>
              </w:r>
            </w:hyperlink>
            <w:r w:rsidRPr="00E70A11">
              <w:rPr>
                <w:rFonts w:ascii="Arial Narrow" w:hAnsi="Arial Narrow"/>
                <w:color w:val="000000" w:themeColor="text1"/>
                <w:sz w:val="18"/>
                <w:szCs w:val="18"/>
              </w:rPr>
              <w:t xml:space="preserve"> and </w:t>
            </w:r>
            <w:hyperlink r:id="rId1803" w:history="1">
              <w:r w:rsidRPr="00E70A11">
                <w:rPr>
                  <w:rStyle w:val="Hyperlink"/>
                  <w:rFonts w:ascii="Arial Narrow" w:hAnsi="Arial Narrow"/>
                  <w:color w:val="000000" w:themeColor="text1"/>
                  <w:sz w:val="18"/>
                  <w:szCs w:val="18"/>
                </w:rPr>
                <w:t>Queensland Coastal Contingency Action Plan</w:t>
              </w:r>
            </w:hyperlink>
          </w:p>
          <w:p w14:paraId="57620797"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AMSA </w:t>
            </w:r>
            <w:hyperlink r:id="rId1804" w:history="1">
              <w:r w:rsidRPr="00E70A11">
                <w:rPr>
                  <w:rStyle w:val="Hyperlink"/>
                  <w:rFonts w:ascii="Arial Narrow" w:hAnsi="Arial Narrow"/>
                  <w:color w:val="000000" w:themeColor="text1"/>
                  <w:sz w:val="18"/>
                  <w:szCs w:val="18"/>
                </w:rPr>
                <w:t>Pilot Advisory Note 10/2017 Vessel-sourced discharge restrictions in the Great Barrier Reef Marine Park and Torres Strait</w:t>
              </w:r>
            </w:hyperlink>
          </w:p>
          <w:p w14:paraId="57620798"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lang w:val="en"/>
              </w:rPr>
              <w:t xml:space="preserve">Dept Agriculture and Water Resources </w:t>
            </w:r>
            <w:hyperlink r:id="rId1805" w:history="1">
              <w:r w:rsidRPr="00E70A11">
                <w:rPr>
                  <w:rStyle w:val="Hyperlink"/>
                  <w:rFonts w:ascii="Arial Narrow" w:hAnsi="Arial Narrow"/>
                  <w:color w:val="000000" w:themeColor="text1"/>
                  <w:sz w:val="18"/>
                  <w:szCs w:val="18"/>
                  <w:lang w:val="en"/>
                </w:rPr>
                <w:t xml:space="preserve">marine </w:t>
              </w:r>
              <w:proofErr w:type="gramStart"/>
              <w:r w:rsidRPr="00E70A11">
                <w:rPr>
                  <w:rStyle w:val="Hyperlink"/>
                  <w:rFonts w:ascii="Arial Narrow" w:hAnsi="Arial Narrow"/>
                  <w:color w:val="000000" w:themeColor="text1"/>
                  <w:sz w:val="18"/>
                  <w:szCs w:val="18"/>
                  <w:lang w:val="en"/>
                </w:rPr>
                <w:t>pests</w:t>
              </w:r>
              <w:proofErr w:type="gramEnd"/>
            </w:hyperlink>
            <w:r w:rsidRPr="00E70A11">
              <w:rPr>
                <w:rFonts w:ascii="Arial Narrow" w:hAnsi="Arial Narrow"/>
                <w:color w:val="000000" w:themeColor="text1"/>
                <w:sz w:val="18"/>
                <w:szCs w:val="18"/>
                <w:lang w:val="en"/>
              </w:rPr>
              <w:t xml:space="preserve"> webpage. </w:t>
            </w:r>
            <w:hyperlink r:id="rId1806" w:history="1">
              <w:r w:rsidRPr="00E70A11">
                <w:rPr>
                  <w:rStyle w:val="Hyperlink"/>
                  <w:rFonts w:ascii="Arial Narrow" w:hAnsi="Arial Narrow"/>
                  <w:color w:val="000000" w:themeColor="text1"/>
                  <w:sz w:val="18"/>
                  <w:szCs w:val="18"/>
                  <w:lang w:val="en"/>
                </w:rPr>
                <w:t>Review of National Marine Pest Biosecurity</w:t>
              </w:r>
            </w:hyperlink>
            <w:r w:rsidRPr="00E70A11">
              <w:rPr>
                <w:rFonts w:ascii="Arial Narrow" w:hAnsi="Arial Narrow"/>
                <w:color w:val="000000" w:themeColor="text1"/>
                <w:sz w:val="18"/>
                <w:szCs w:val="18"/>
                <w:lang w:val="en"/>
              </w:rPr>
              <w:t xml:space="preserve"> page, including effectiveness and cost report, and review of the national strategy report </w:t>
            </w:r>
            <w:hyperlink r:id="rId1807" w:history="1">
              <w:proofErr w:type="gramStart"/>
              <w:r w:rsidRPr="00E70A11">
                <w:rPr>
                  <w:rStyle w:val="Hyperlink"/>
                  <w:rFonts w:ascii="Arial Narrow" w:hAnsi="Arial Narrow"/>
                  <w:color w:val="000000" w:themeColor="text1"/>
                  <w:sz w:val="18"/>
                  <w:szCs w:val="18"/>
                  <w:lang w:val="en"/>
                </w:rPr>
                <w:t>Monitoring</w:t>
              </w:r>
              <w:proofErr w:type="gramEnd"/>
              <w:r w:rsidRPr="00E70A11">
                <w:rPr>
                  <w:rStyle w:val="Hyperlink"/>
                  <w:rFonts w:ascii="Arial Narrow" w:hAnsi="Arial Narrow"/>
                  <w:color w:val="000000" w:themeColor="text1"/>
                  <w:sz w:val="18"/>
                  <w:szCs w:val="18"/>
                  <w:lang w:val="en"/>
                </w:rPr>
                <w:t xml:space="preserve"> for marine pests 2015.</w:t>
              </w:r>
            </w:hyperlink>
          </w:p>
          <w:p w14:paraId="57620799"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Dept Agriculture and Water Resources webpages on </w:t>
            </w:r>
            <w:hyperlink r:id="rId1808" w:anchor="fact-sheets" w:history="1">
              <w:r w:rsidRPr="00E70A11">
                <w:rPr>
                  <w:rStyle w:val="Hyperlink"/>
                  <w:rFonts w:ascii="Arial Narrow" w:hAnsi="Arial Narrow"/>
                  <w:color w:val="000000" w:themeColor="text1"/>
                  <w:sz w:val="18"/>
                  <w:szCs w:val="18"/>
                </w:rPr>
                <w:t>ballast water</w:t>
              </w:r>
            </w:hyperlink>
            <w:r w:rsidRPr="00E70A11">
              <w:rPr>
                <w:rFonts w:ascii="Arial Narrow" w:hAnsi="Arial Narrow"/>
                <w:color w:val="000000" w:themeColor="text1"/>
                <w:sz w:val="18"/>
                <w:szCs w:val="18"/>
              </w:rPr>
              <w:t xml:space="preserve"> and </w:t>
            </w:r>
            <w:hyperlink r:id="rId1809" w:history="1">
              <w:r w:rsidRPr="00E70A11">
                <w:rPr>
                  <w:rStyle w:val="Hyperlink"/>
                  <w:rFonts w:ascii="Arial Narrow" w:hAnsi="Arial Narrow"/>
                  <w:color w:val="000000" w:themeColor="text1"/>
                  <w:sz w:val="18"/>
                  <w:szCs w:val="18"/>
                </w:rPr>
                <w:t>Australian Ballast Water Management Requirements</w:t>
              </w:r>
            </w:hyperlink>
            <w:r w:rsidRPr="00E70A11">
              <w:rPr>
                <w:rFonts w:ascii="Arial Narrow" w:hAnsi="Arial Narrow"/>
                <w:color w:val="000000" w:themeColor="text1"/>
                <w:sz w:val="18"/>
                <w:szCs w:val="18"/>
              </w:rPr>
              <w:t xml:space="preserve"> 2017</w:t>
            </w:r>
          </w:p>
          <w:p w14:paraId="5762079A"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i/>
                <w:color w:val="000000" w:themeColor="text1"/>
                <w:sz w:val="18"/>
                <w:szCs w:val="18"/>
                <w:lang w:val="en"/>
              </w:rPr>
              <w:t>Marine Order 63 (Vessel reporting systems) 2015</w:t>
            </w:r>
          </w:p>
          <w:p w14:paraId="5762079B"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810" w:history="1">
              <w:r w:rsidR="00A56EE9" w:rsidRPr="00E70A11">
                <w:rPr>
                  <w:rStyle w:val="Hyperlink"/>
                  <w:rFonts w:ascii="Arial Narrow" w:hAnsi="Arial Narrow"/>
                  <w:color w:val="000000" w:themeColor="text1"/>
                  <w:sz w:val="18"/>
                  <w:szCs w:val="18"/>
                </w:rPr>
                <w:t>Under Keel Clearance Management System</w:t>
              </w:r>
            </w:hyperlink>
            <w:r w:rsidR="00A56EE9" w:rsidRPr="00E70A11">
              <w:rPr>
                <w:rStyle w:val="BookTitle"/>
                <w:rFonts w:ascii="Arial Narrow" w:hAnsi="Arial Narrow"/>
                <w:color w:val="000000" w:themeColor="text1"/>
                <w:sz w:val="18"/>
                <w:szCs w:val="18"/>
              </w:rPr>
              <w:t xml:space="preserve"> webpages and </w:t>
            </w:r>
            <w:hyperlink r:id="rId1811" w:history="1">
              <w:r w:rsidR="00A56EE9" w:rsidRPr="00E70A11">
                <w:rPr>
                  <w:rStyle w:val="Hyperlink"/>
                  <w:rFonts w:ascii="Arial Narrow" w:hAnsi="Arial Narrow"/>
                  <w:color w:val="000000" w:themeColor="text1"/>
                  <w:sz w:val="18"/>
                  <w:szCs w:val="18"/>
                </w:rPr>
                <w:t>factsheet</w:t>
              </w:r>
            </w:hyperlink>
            <w:r w:rsidR="00A56EE9" w:rsidRPr="00E70A11">
              <w:rPr>
                <w:rStyle w:val="BookTitle"/>
                <w:rFonts w:ascii="Arial Narrow" w:hAnsi="Arial Narrow"/>
                <w:color w:val="000000" w:themeColor="text1"/>
                <w:sz w:val="18"/>
                <w:szCs w:val="18"/>
              </w:rPr>
              <w:t xml:space="preserve"> </w:t>
            </w:r>
          </w:p>
          <w:p w14:paraId="5762079C"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Qld </w:t>
            </w:r>
            <w:hyperlink r:id="rId1812" w:history="1">
              <w:r w:rsidRPr="00E70A11">
                <w:rPr>
                  <w:rStyle w:val="Hyperlink"/>
                  <w:rFonts w:ascii="Arial Narrow" w:hAnsi="Arial Narrow"/>
                  <w:color w:val="000000" w:themeColor="text1"/>
                  <w:sz w:val="18"/>
                  <w:szCs w:val="18"/>
                </w:rPr>
                <w:t>Maintenance Dredging Strategy for Great Barrier Reef World Heritage Area</w:t>
              </w:r>
            </w:hyperlink>
            <w:r w:rsidRPr="00E70A11">
              <w:rPr>
                <w:rStyle w:val="Hyperlink"/>
                <w:rFonts w:ascii="Arial Narrow" w:hAnsi="Arial Narrow"/>
                <w:color w:val="000000" w:themeColor="text1"/>
                <w:sz w:val="18"/>
                <w:szCs w:val="18"/>
              </w:rPr>
              <w:t xml:space="preserve"> Ports</w:t>
            </w:r>
            <w:r w:rsidRPr="00E70A11">
              <w:rPr>
                <w:rStyle w:val="BookTitle"/>
                <w:rFonts w:ascii="Arial Narrow" w:hAnsi="Arial Narrow"/>
                <w:color w:val="000000" w:themeColor="text1"/>
                <w:sz w:val="18"/>
                <w:szCs w:val="18"/>
              </w:rPr>
              <w:t xml:space="preserve"> 2016 </w:t>
            </w:r>
          </w:p>
          <w:p w14:paraId="5762079D"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i/>
                <w:color w:val="000000" w:themeColor="text1"/>
                <w:sz w:val="18"/>
                <w:szCs w:val="18"/>
              </w:rPr>
              <w:t xml:space="preserve">Sustainable Ports Development Act 2015 </w:t>
            </w:r>
            <w:r w:rsidRPr="00E70A11">
              <w:rPr>
                <w:rStyle w:val="BookTitle"/>
                <w:rFonts w:ascii="Arial Narrow" w:hAnsi="Arial Narrow"/>
                <w:color w:val="000000" w:themeColor="text1"/>
                <w:sz w:val="18"/>
                <w:szCs w:val="18"/>
              </w:rPr>
              <w:t xml:space="preserve">and Qld Dept State Development </w:t>
            </w:r>
            <w:hyperlink r:id="rId1813" w:history="1">
              <w:r w:rsidRPr="00E70A11">
                <w:rPr>
                  <w:rStyle w:val="Hyperlink"/>
                  <w:rFonts w:ascii="Arial Narrow" w:hAnsi="Arial Narrow"/>
                  <w:color w:val="000000" w:themeColor="text1"/>
                  <w:sz w:val="18"/>
                  <w:szCs w:val="18"/>
                </w:rPr>
                <w:t>sustainable ports</w:t>
              </w:r>
            </w:hyperlink>
            <w:r w:rsidRPr="00E70A11">
              <w:rPr>
                <w:rStyle w:val="BookTitle"/>
                <w:rFonts w:ascii="Arial Narrow" w:hAnsi="Arial Narrow"/>
                <w:color w:val="000000" w:themeColor="text1"/>
                <w:sz w:val="18"/>
                <w:szCs w:val="18"/>
              </w:rPr>
              <w:t xml:space="preserve"> webpage and subpages (e.g. Master planning for priority ports)</w:t>
            </w:r>
          </w:p>
          <w:p w14:paraId="5762079E"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GBRMPA </w:t>
            </w:r>
            <w:hyperlink r:id="rId1814" w:history="1">
              <w:r w:rsidRPr="00E70A11">
                <w:rPr>
                  <w:rStyle w:val="Hyperlink"/>
                  <w:rFonts w:ascii="Arial Narrow" w:hAnsi="Arial Narrow"/>
                  <w:color w:val="000000" w:themeColor="text1"/>
                  <w:sz w:val="18"/>
                  <w:szCs w:val="18"/>
                </w:rPr>
                <w:t>Dredging and dredge material disposal</w:t>
              </w:r>
            </w:hyperlink>
            <w:r w:rsidRPr="00E70A11">
              <w:rPr>
                <w:rStyle w:val="BookTitle"/>
                <w:rFonts w:ascii="Arial Narrow" w:hAnsi="Arial Narrow"/>
                <w:color w:val="000000" w:themeColor="text1"/>
                <w:sz w:val="18"/>
                <w:szCs w:val="18"/>
              </w:rPr>
              <w:t xml:space="preserve"> webpage</w:t>
            </w:r>
          </w:p>
          <w:p w14:paraId="5762079F"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AMSA </w:t>
            </w:r>
            <w:hyperlink r:id="rId1815" w:history="1">
              <w:r w:rsidRPr="00E70A11">
                <w:rPr>
                  <w:rStyle w:val="Hyperlink"/>
                  <w:rFonts w:ascii="Arial Narrow" w:hAnsi="Arial Narrow"/>
                  <w:color w:val="000000" w:themeColor="text1"/>
                  <w:sz w:val="18"/>
                  <w:szCs w:val="18"/>
                </w:rPr>
                <w:t>Marine Notices</w:t>
              </w:r>
            </w:hyperlink>
            <w:r w:rsidRPr="00E70A11">
              <w:rPr>
                <w:rStyle w:val="BookTitle"/>
                <w:rFonts w:ascii="Arial Narrow" w:hAnsi="Arial Narrow"/>
                <w:color w:val="000000" w:themeColor="text1"/>
                <w:sz w:val="18"/>
                <w:szCs w:val="18"/>
              </w:rPr>
              <w:t xml:space="preserve"> webpage</w:t>
            </w:r>
          </w:p>
          <w:p w14:paraId="576207A0"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QEHP </w:t>
            </w:r>
            <w:hyperlink r:id="rId1816" w:history="1">
              <w:r w:rsidRPr="00E70A11">
                <w:rPr>
                  <w:rStyle w:val="Hyperlink"/>
                  <w:rFonts w:ascii="Arial Narrow" w:hAnsi="Arial Narrow"/>
                  <w:color w:val="000000" w:themeColor="text1"/>
                  <w:sz w:val="18"/>
                  <w:szCs w:val="18"/>
                </w:rPr>
                <w:t>public consultation</w:t>
              </w:r>
            </w:hyperlink>
            <w:r w:rsidRPr="00E70A11">
              <w:rPr>
                <w:rStyle w:val="BookTitle"/>
                <w:rFonts w:ascii="Arial Narrow" w:hAnsi="Arial Narrow"/>
                <w:color w:val="000000" w:themeColor="text1"/>
                <w:sz w:val="18"/>
                <w:szCs w:val="18"/>
              </w:rPr>
              <w:t xml:space="preserve"> page and </w:t>
            </w:r>
            <w:hyperlink r:id="rId1817" w:history="1">
              <w:r w:rsidRPr="00E70A11">
                <w:rPr>
                  <w:rStyle w:val="Hyperlink"/>
                  <w:rFonts w:ascii="Arial Narrow" w:hAnsi="Arial Narrow"/>
                  <w:color w:val="000000" w:themeColor="text1"/>
                  <w:sz w:val="18"/>
                  <w:szCs w:val="18"/>
                </w:rPr>
                <w:t>proposed policy</w:t>
              </w:r>
            </w:hyperlink>
          </w:p>
          <w:p w14:paraId="576207A1"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818" w:history="1">
              <w:r w:rsidR="00A56EE9" w:rsidRPr="00E70A11">
                <w:rPr>
                  <w:rStyle w:val="Hyperlink"/>
                  <w:rFonts w:ascii="Arial Narrow" w:hAnsi="Arial Narrow"/>
                  <w:color w:val="000000" w:themeColor="text1"/>
                  <w:sz w:val="18"/>
                  <w:szCs w:val="18"/>
                </w:rPr>
                <w:t>2015 State Party Report addendum</w:t>
              </w:r>
            </w:hyperlink>
            <w:r w:rsidR="00A56EE9" w:rsidRPr="00E70A11">
              <w:rPr>
                <w:rStyle w:val="BookTitle"/>
                <w:rFonts w:ascii="Arial Narrow" w:hAnsi="Arial Narrow"/>
                <w:color w:val="000000" w:themeColor="text1"/>
                <w:sz w:val="18"/>
                <w:szCs w:val="18"/>
              </w:rPr>
              <w:t xml:space="preserve"> </w:t>
            </w:r>
          </w:p>
          <w:p w14:paraId="576207A2"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DoEE </w:t>
            </w:r>
            <w:hyperlink r:id="rId1819" w:history="1">
              <w:r w:rsidRPr="00E70A11">
                <w:rPr>
                  <w:rStyle w:val="Hyperlink"/>
                  <w:rFonts w:ascii="Arial Narrow" w:hAnsi="Arial Narrow"/>
                  <w:color w:val="000000" w:themeColor="text1"/>
                  <w:sz w:val="18"/>
                  <w:szCs w:val="18"/>
                </w:rPr>
                <w:t>Reef 2050 Plan</w:t>
              </w:r>
            </w:hyperlink>
            <w:r w:rsidRPr="00E70A11">
              <w:rPr>
                <w:rFonts w:ascii="Arial Narrow" w:hAnsi="Arial Narrow"/>
                <w:color w:val="000000" w:themeColor="text1"/>
                <w:sz w:val="18"/>
                <w:szCs w:val="18"/>
              </w:rPr>
              <w:t xml:space="preserve"> webpage and documents</w:t>
            </w:r>
          </w:p>
          <w:p w14:paraId="576207A3"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820" w:history="1">
              <w:r w:rsidR="00A56EE9" w:rsidRPr="00E70A11">
                <w:rPr>
                  <w:rStyle w:val="Hyperlink"/>
                  <w:rFonts w:ascii="Arial Narrow" w:hAnsi="Arial Narrow"/>
                  <w:color w:val="000000" w:themeColor="text1"/>
                  <w:sz w:val="18"/>
                  <w:szCs w:val="18"/>
                  <w:lang w:val="en"/>
                </w:rPr>
                <w:t>Anchorages – Jurisdictional responsibility for anchorages in Queensland</w:t>
              </w:r>
            </w:hyperlink>
          </w:p>
          <w:p w14:paraId="576207A4"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Biosecurity Capability Review - Final Report, September 2015.</w:t>
            </w:r>
          </w:p>
          <w:p w14:paraId="576207A5" w14:textId="77777777" w:rsidR="00A56EE9" w:rsidRPr="00AC4AB4"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lang w:val="en"/>
              </w:rPr>
            </w:pPr>
            <w:r w:rsidRPr="00E70A11">
              <w:rPr>
                <w:rStyle w:val="BookTitle"/>
                <w:rFonts w:ascii="Arial Narrow" w:hAnsi="Arial Narrow"/>
                <w:color w:val="000000" w:themeColor="text1"/>
                <w:sz w:val="18"/>
                <w:szCs w:val="18"/>
              </w:rPr>
              <w:t>Queensland Biosecurity Capability Review Interim Response, Department of Agriculture and Fisheries, 2016.</w:t>
            </w:r>
          </w:p>
        </w:tc>
        <w:tc>
          <w:tcPr>
            <w:tcW w:w="986" w:type="dxa"/>
            <w:gridSpan w:val="2"/>
            <w:tcBorders>
              <w:top w:val="single" w:sz="4" w:space="0" w:color="auto"/>
              <w:left w:val="single" w:sz="4" w:space="0" w:color="auto"/>
              <w:bottom w:val="single" w:sz="4" w:space="0" w:color="auto"/>
              <w:right w:val="single" w:sz="4" w:space="0" w:color="auto"/>
            </w:tcBorders>
          </w:tcPr>
          <w:p w14:paraId="576207A6"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7A7"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7B3"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7A9" w14:textId="77777777" w:rsidR="00A56EE9" w:rsidRPr="00E70A11" w:rsidRDefault="00A56EE9" w:rsidP="00BB6AD5">
            <w:pPr>
              <w:pStyle w:val="Tablebulletlist"/>
              <w:rPr>
                <w:rStyle w:val="BookTitle"/>
              </w:rPr>
            </w:pPr>
            <w:r w:rsidRPr="00E70A11">
              <w:rPr>
                <w:rStyle w:val="BookTitle"/>
              </w:rPr>
              <w:t>PL2</w:t>
            </w:r>
            <w:r>
              <w:rPr>
                <w:rStyle w:val="BookTitle"/>
              </w:rPr>
              <w:t xml:space="preserve"> </w:t>
            </w:r>
            <w:r w:rsidRPr="00E70A11">
              <w:rPr>
                <w:rStyle w:val="BookTitle"/>
              </w:rPr>
              <w:t>The planning system for shipping addresses the major factors influencing the Great Barrier Reef Region’s values.</w:t>
            </w:r>
          </w:p>
        </w:tc>
        <w:tc>
          <w:tcPr>
            <w:tcW w:w="809" w:type="dxa"/>
            <w:gridSpan w:val="2"/>
            <w:tcBorders>
              <w:top w:val="single" w:sz="4" w:space="0" w:color="auto"/>
              <w:left w:val="single" w:sz="4" w:space="0" w:color="auto"/>
              <w:bottom w:val="single" w:sz="4" w:space="0" w:color="auto"/>
              <w:right w:val="single" w:sz="4" w:space="0" w:color="auto"/>
            </w:tcBorders>
          </w:tcPr>
          <w:p w14:paraId="576207AA"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7AB" w14:textId="77777777" w:rsidR="00A56EE9" w:rsidRPr="00E70A11" w:rsidRDefault="00A56EE9" w:rsidP="00A11869">
            <w:pPr>
              <w:pStyle w:val="ListBullet"/>
              <w:numPr>
                <w:ilvl w:val="0"/>
                <w:numId w:val="150"/>
              </w:numPr>
              <w:rPr>
                <w:color w:val="000000" w:themeColor="text1"/>
              </w:rPr>
            </w:pPr>
            <w:r w:rsidRPr="00E70A11">
              <w:rPr>
                <w:color w:val="000000" w:themeColor="text1"/>
              </w:rPr>
              <w:t>At a whole-of-Government level, the planning system is considered to be effective.</w:t>
            </w:r>
          </w:p>
          <w:p w14:paraId="576207AC" w14:textId="77777777" w:rsidR="00A56EE9" w:rsidRPr="00E70A11" w:rsidRDefault="00A56EE9" w:rsidP="00A11869">
            <w:pPr>
              <w:pStyle w:val="ListBullet"/>
              <w:numPr>
                <w:ilvl w:val="0"/>
                <w:numId w:val="144"/>
              </w:numPr>
              <w:ind w:left="317"/>
              <w:rPr>
                <w:color w:val="000000" w:themeColor="text1"/>
              </w:rPr>
            </w:pPr>
            <w:r w:rsidRPr="00E70A11">
              <w:rPr>
                <w:color w:val="000000" w:themeColor="text1"/>
              </w:rPr>
              <w:t xml:space="preserve">Not clear how well climate change may be factored into future planning (eg. consideration of climate change effects on the activity of shipping and on the values that shipping may also affect). </w:t>
            </w:r>
          </w:p>
          <w:p w14:paraId="576207AD" w14:textId="77777777" w:rsidR="00A56EE9" w:rsidRPr="00E70A11" w:rsidRDefault="00A56EE9" w:rsidP="00A11869">
            <w:pPr>
              <w:pStyle w:val="ListBullet"/>
              <w:numPr>
                <w:ilvl w:val="0"/>
                <w:numId w:val="144"/>
              </w:numPr>
              <w:ind w:left="317"/>
              <w:rPr>
                <w:color w:val="000000" w:themeColor="text1"/>
              </w:rPr>
            </w:pPr>
            <w:r w:rsidRPr="00E70A11">
              <w:rPr>
                <w:color w:val="000000" w:themeColor="text1"/>
              </w:rPr>
              <w:t>The North-East Shipping Management Plan (NESMP) addresses ‘direct use’ of the Region by shipping activities, e.g.</w:t>
            </w:r>
            <w:r>
              <w:rPr>
                <w:color w:val="000000" w:themeColor="text1"/>
              </w:rPr>
              <w:t xml:space="preserve"> </w:t>
            </w:r>
            <w:r w:rsidRPr="00E70A11">
              <w:rPr>
                <w:color w:val="000000" w:themeColor="text1"/>
              </w:rPr>
              <w:t>grounding and collision impacts, operational impacts and the potential secondary and cumulative impacts.</w:t>
            </w:r>
          </w:p>
          <w:p w14:paraId="576207AE" w14:textId="77777777" w:rsidR="00A56EE9" w:rsidRPr="00E70A11" w:rsidRDefault="00A56EE9" w:rsidP="00A11869">
            <w:pPr>
              <w:pStyle w:val="ListParagraph"/>
              <w:numPr>
                <w:ilvl w:val="0"/>
                <w:numId w:val="24"/>
              </w:numPr>
              <w:spacing w:after="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Reef 2050 Plan was released in 2015, includes acknowledgements of the major threats to the Reef, and has various associated prioritisation and investment strategy documents. Several of the actions in the plan are directly related to shipping.</w:t>
            </w:r>
          </w:p>
        </w:tc>
        <w:tc>
          <w:tcPr>
            <w:tcW w:w="5045" w:type="dxa"/>
            <w:gridSpan w:val="2"/>
            <w:tcBorders>
              <w:top w:val="single" w:sz="4" w:space="0" w:color="auto"/>
              <w:left w:val="single" w:sz="4" w:space="0" w:color="auto"/>
              <w:bottom w:val="single" w:sz="4" w:space="0" w:color="auto"/>
              <w:right w:val="single" w:sz="4" w:space="0" w:color="auto"/>
            </w:tcBorders>
          </w:tcPr>
          <w:p w14:paraId="576207AF" w14:textId="77777777" w:rsidR="00A56EE9" w:rsidRPr="00E70A11" w:rsidRDefault="008B5998" w:rsidP="00A11869">
            <w:pPr>
              <w:pStyle w:val="ListBullet"/>
              <w:numPr>
                <w:ilvl w:val="0"/>
                <w:numId w:val="145"/>
              </w:numPr>
              <w:ind w:left="434"/>
              <w:rPr>
                <w:rStyle w:val="Hyperlink"/>
                <w:color w:val="000000" w:themeColor="text1"/>
              </w:rPr>
            </w:pPr>
            <w:hyperlink r:id="rId1821" w:history="1">
              <w:r w:rsidR="00A56EE9" w:rsidRPr="00E70A11">
                <w:rPr>
                  <w:rStyle w:val="Hyperlink"/>
                  <w:color w:val="000000" w:themeColor="text1"/>
                </w:rPr>
                <w:t>North-East Shipping Management Plan</w:t>
              </w:r>
            </w:hyperlink>
            <w:r w:rsidR="00A56EE9" w:rsidRPr="00E70A11">
              <w:rPr>
                <w:rStyle w:val="Hyperlink"/>
                <w:color w:val="000000" w:themeColor="text1"/>
              </w:rPr>
              <w:t xml:space="preserve"> section 5.3 etc</w:t>
            </w:r>
          </w:p>
          <w:p w14:paraId="576207B0" w14:textId="77777777" w:rsidR="00A56EE9" w:rsidRPr="00AC4AB4" w:rsidRDefault="00A56EE9" w:rsidP="00A11869">
            <w:pPr>
              <w:pStyle w:val="ListBullet"/>
              <w:numPr>
                <w:ilvl w:val="0"/>
                <w:numId w:val="145"/>
              </w:numPr>
              <w:ind w:left="434"/>
              <w:rPr>
                <w:rStyle w:val="BookTitle"/>
                <w:color w:val="000000" w:themeColor="text1"/>
              </w:rPr>
            </w:pPr>
            <w:r w:rsidRPr="00E70A11">
              <w:rPr>
                <w:color w:val="000000" w:themeColor="text1"/>
              </w:rPr>
              <w:t xml:space="preserve">DoEE </w:t>
            </w:r>
            <w:hyperlink r:id="rId1822" w:history="1">
              <w:r w:rsidRPr="00E70A11">
                <w:rPr>
                  <w:rStyle w:val="Hyperlink"/>
                  <w:color w:val="000000" w:themeColor="text1"/>
                </w:rPr>
                <w:t>Reef 2050 Plan</w:t>
              </w:r>
            </w:hyperlink>
            <w:r w:rsidRPr="00E70A11">
              <w:rPr>
                <w:color w:val="000000" w:themeColor="text1"/>
              </w:rPr>
              <w:t xml:space="preserve"> webpage and documents</w:t>
            </w:r>
          </w:p>
        </w:tc>
        <w:tc>
          <w:tcPr>
            <w:tcW w:w="986" w:type="dxa"/>
            <w:gridSpan w:val="2"/>
            <w:tcBorders>
              <w:top w:val="single" w:sz="4" w:space="0" w:color="auto"/>
              <w:left w:val="single" w:sz="4" w:space="0" w:color="auto"/>
              <w:bottom w:val="single" w:sz="4" w:space="0" w:color="auto"/>
              <w:right w:val="single" w:sz="4" w:space="0" w:color="auto"/>
            </w:tcBorders>
          </w:tcPr>
          <w:p w14:paraId="576207B1"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7B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7BE"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7B4" w14:textId="77777777" w:rsidR="00A56EE9" w:rsidRPr="00E70A11" w:rsidRDefault="00A56EE9" w:rsidP="00BB6AD5">
            <w:pPr>
              <w:pStyle w:val="Tablebulletlist"/>
              <w:rPr>
                <w:rStyle w:val="BookTitle"/>
              </w:rPr>
            </w:pPr>
            <w:r w:rsidRPr="00E70A11">
              <w:rPr>
                <w:rStyle w:val="BookTitle"/>
              </w:rPr>
              <w:t>PL3</w:t>
            </w:r>
            <w:r>
              <w:rPr>
                <w:rStyle w:val="BookTitle"/>
              </w:rPr>
              <w:t xml:space="preserve"> </w:t>
            </w:r>
            <w:r w:rsidRPr="00E70A11">
              <w:rPr>
                <w:rStyle w:val="BookTitle"/>
              </w:rPr>
              <w:t xml:space="preserve">Actions for implementation regarding shipping are clearly identified within the plan </w:t>
            </w:r>
          </w:p>
        </w:tc>
        <w:tc>
          <w:tcPr>
            <w:tcW w:w="809" w:type="dxa"/>
            <w:gridSpan w:val="2"/>
            <w:tcBorders>
              <w:top w:val="single" w:sz="4" w:space="0" w:color="auto"/>
              <w:left w:val="single" w:sz="4" w:space="0" w:color="auto"/>
              <w:bottom w:val="single" w:sz="4" w:space="0" w:color="auto"/>
              <w:right w:val="single" w:sz="4" w:space="0" w:color="auto"/>
            </w:tcBorders>
          </w:tcPr>
          <w:p w14:paraId="576207B5"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7B6" w14:textId="77777777" w:rsidR="00A56EE9" w:rsidRPr="00E70A11" w:rsidRDefault="00A56EE9" w:rsidP="00A11869">
            <w:pPr>
              <w:pStyle w:val="ListParagraph"/>
              <w:numPr>
                <w:ilvl w:val="0"/>
                <w:numId w:val="151"/>
              </w:numPr>
              <w:spacing w:after="0" w:line="276" w:lineRule="auto"/>
              <w:ind w:left="357" w:hanging="357"/>
              <w:rPr>
                <w:rStyle w:val="BookTitle"/>
                <w:rFonts w:ascii="Arial Narrow" w:hAnsi="Arial Narrow"/>
                <w:color w:val="000000" w:themeColor="text1"/>
                <w:sz w:val="18"/>
                <w:szCs w:val="18"/>
              </w:rPr>
            </w:pPr>
            <w:r w:rsidRPr="00E70A11">
              <w:rPr>
                <w:rFonts w:ascii="Arial Narrow" w:hAnsi="Arial Narrow"/>
                <w:sz w:val="18"/>
                <w:szCs w:val="18"/>
              </w:rPr>
              <w:t>At a whole-of-Government level, actions for implementation regarding shipping are considered to effective.</w:t>
            </w:r>
          </w:p>
          <w:p w14:paraId="576207B7" w14:textId="77777777" w:rsidR="00A56EE9" w:rsidRPr="00E70A11" w:rsidRDefault="00A56EE9" w:rsidP="00A11869">
            <w:pPr>
              <w:pStyle w:val="ListBullet"/>
              <w:numPr>
                <w:ilvl w:val="0"/>
                <w:numId w:val="144"/>
              </w:numPr>
              <w:ind w:left="317"/>
              <w:rPr>
                <w:color w:val="000000" w:themeColor="text1"/>
              </w:rPr>
            </w:pPr>
            <w:r w:rsidRPr="00E70A11">
              <w:rPr>
                <w:color w:val="000000" w:themeColor="text1"/>
              </w:rPr>
              <w:t>The NESMP outlines actions and includes a work program.</w:t>
            </w:r>
          </w:p>
          <w:p w14:paraId="576207B8" w14:textId="77777777" w:rsidR="00A56EE9" w:rsidRPr="00E70A11" w:rsidRDefault="00A56EE9" w:rsidP="00A11869">
            <w:pPr>
              <w:pStyle w:val="ListBullet"/>
              <w:numPr>
                <w:ilvl w:val="0"/>
                <w:numId w:val="144"/>
              </w:numPr>
              <w:ind w:left="317"/>
              <w:rPr>
                <w:rStyle w:val="BookTitle"/>
                <w:color w:val="000000" w:themeColor="text1"/>
              </w:rPr>
            </w:pPr>
            <w:r w:rsidRPr="00E70A11">
              <w:rPr>
                <w:color w:val="000000" w:themeColor="text1"/>
              </w:rPr>
              <w:t>Reef 2050 Plan includes several shipping specific actions.</w:t>
            </w:r>
          </w:p>
        </w:tc>
        <w:tc>
          <w:tcPr>
            <w:tcW w:w="5045" w:type="dxa"/>
            <w:gridSpan w:val="2"/>
            <w:tcBorders>
              <w:top w:val="single" w:sz="4" w:space="0" w:color="auto"/>
              <w:left w:val="single" w:sz="4" w:space="0" w:color="auto"/>
              <w:bottom w:val="single" w:sz="4" w:space="0" w:color="auto"/>
              <w:right w:val="single" w:sz="4" w:space="0" w:color="auto"/>
            </w:tcBorders>
          </w:tcPr>
          <w:p w14:paraId="576207B9"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823" w:history="1">
              <w:r w:rsidR="00A56EE9" w:rsidRPr="00E70A11">
                <w:rPr>
                  <w:rStyle w:val="Hyperlink"/>
                  <w:rFonts w:ascii="Arial Narrow" w:hAnsi="Arial Narrow"/>
                  <w:color w:val="000000" w:themeColor="text1"/>
                  <w:sz w:val="18"/>
                  <w:szCs w:val="18"/>
                </w:rPr>
                <w:t>North-East Shipping Management Plan</w:t>
              </w:r>
            </w:hyperlink>
            <w:r w:rsidR="00A56EE9">
              <w:rPr>
                <w:rStyle w:val="Hyperlink"/>
                <w:rFonts w:ascii="Arial Narrow" w:hAnsi="Arial Narrow"/>
                <w:color w:val="000000" w:themeColor="text1"/>
                <w:sz w:val="18"/>
                <w:szCs w:val="18"/>
              </w:rPr>
              <w:t xml:space="preserve"> </w:t>
            </w:r>
            <w:r w:rsidR="00A56EE9" w:rsidRPr="00E70A11">
              <w:rPr>
                <w:rStyle w:val="Hyperlink"/>
                <w:rFonts w:ascii="Arial Narrow" w:hAnsi="Arial Narrow"/>
                <w:color w:val="000000" w:themeColor="text1"/>
                <w:sz w:val="18"/>
                <w:szCs w:val="18"/>
              </w:rPr>
              <w:t>chapter 13</w:t>
            </w:r>
          </w:p>
          <w:p w14:paraId="576207BA"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Fonts w:ascii="Arial Narrow" w:hAnsi="Arial Narrow"/>
                <w:color w:val="000000" w:themeColor="text1"/>
                <w:sz w:val="18"/>
                <w:szCs w:val="18"/>
              </w:rPr>
              <w:t xml:space="preserve">Draft </w:t>
            </w:r>
            <w:hyperlink r:id="rId1824" w:history="1">
              <w:r w:rsidRPr="00E70A11">
                <w:rPr>
                  <w:rStyle w:val="Hyperlink"/>
                  <w:rFonts w:ascii="Arial Narrow" w:hAnsi="Arial Narrow"/>
                  <w:color w:val="000000" w:themeColor="text1"/>
                  <w:sz w:val="18"/>
                  <w:szCs w:val="18"/>
                </w:rPr>
                <w:t>National Strategy for Mitigating Vessel Strike of Marine Mega-fauna</w:t>
              </w:r>
            </w:hyperlink>
          </w:p>
          <w:p w14:paraId="576207BB"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DoEE </w:t>
            </w:r>
            <w:hyperlink r:id="rId1825" w:history="1">
              <w:r w:rsidRPr="00E70A11">
                <w:rPr>
                  <w:rStyle w:val="Hyperlink"/>
                  <w:rFonts w:ascii="Arial Narrow" w:hAnsi="Arial Narrow"/>
                  <w:color w:val="000000" w:themeColor="text1"/>
                  <w:sz w:val="18"/>
                  <w:szCs w:val="18"/>
                </w:rPr>
                <w:t>Reef 2050 Plan</w:t>
              </w:r>
            </w:hyperlink>
            <w:r w:rsidRPr="00E70A11">
              <w:rPr>
                <w:rFonts w:ascii="Arial Narrow" w:hAnsi="Arial Narrow"/>
                <w:color w:val="000000" w:themeColor="text1"/>
                <w:sz w:val="18"/>
                <w:szCs w:val="18"/>
              </w:rPr>
              <w:t xml:space="preserve"> webpage and documents</w:t>
            </w:r>
          </w:p>
        </w:tc>
        <w:tc>
          <w:tcPr>
            <w:tcW w:w="986" w:type="dxa"/>
            <w:gridSpan w:val="2"/>
            <w:tcBorders>
              <w:top w:val="single" w:sz="4" w:space="0" w:color="auto"/>
              <w:left w:val="single" w:sz="4" w:space="0" w:color="auto"/>
              <w:bottom w:val="single" w:sz="4" w:space="0" w:color="auto"/>
              <w:right w:val="single" w:sz="4" w:space="0" w:color="auto"/>
            </w:tcBorders>
          </w:tcPr>
          <w:p w14:paraId="576207BC"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7B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7CB"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7BF" w14:textId="77777777" w:rsidR="00A56EE9" w:rsidRPr="00E70A11" w:rsidRDefault="00A56EE9" w:rsidP="00BB6AD5">
            <w:pPr>
              <w:pStyle w:val="Tablebulletlist"/>
              <w:rPr>
                <w:rStyle w:val="BookTitle"/>
              </w:rPr>
            </w:pPr>
            <w:r w:rsidRPr="00E70A11">
              <w:rPr>
                <w:rStyle w:val="BookTitle"/>
              </w:rPr>
              <w:t>PL4</w:t>
            </w:r>
            <w:r>
              <w:rPr>
                <w:rStyle w:val="BookTitle"/>
              </w:rPr>
              <w:t xml:space="preserve"> </w:t>
            </w:r>
            <w:r w:rsidRPr="00E70A11">
              <w:rPr>
                <w:rStyle w:val="BookTitle"/>
              </w:rPr>
              <w:t>Clear, measurable and appropriate objectives for management of shipping have been documented</w:t>
            </w:r>
          </w:p>
        </w:tc>
        <w:tc>
          <w:tcPr>
            <w:tcW w:w="809" w:type="dxa"/>
            <w:gridSpan w:val="2"/>
            <w:tcBorders>
              <w:top w:val="single" w:sz="4" w:space="0" w:color="auto"/>
              <w:left w:val="single" w:sz="4" w:space="0" w:color="auto"/>
              <w:bottom w:val="single" w:sz="4" w:space="0" w:color="auto"/>
              <w:right w:val="single" w:sz="4" w:space="0" w:color="auto"/>
            </w:tcBorders>
          </w:tcPr>
          <w:p w14:paraId="576207C0"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7C1" w14:textId="77777777" w:rsidR="00A56EE9" w:rsidRDefault="00A56EE9" w:rsidP="00A11869">
            <w:pPr>
              <w:pStyle w:val="ListBullet"/>
              <w:numPr>
                <w:ilvl w:val="0"/>
                <w:numId w:val="146"/>
              </w:numPr>
              <w:spacing w:line="240" w:lineRule="auto"/>
              <w:jc w:val="both"/>
            </w:pPr>
            <w:r>
              <w:t>S</w:t>
            </w:r>
            <w:r w:rsidRPr="00E70A11">
              <w:t xml:space="preserve">hipping within the Great Barrier Reef is well managed, </w:t>
            </w:r>
          </w:p>
          <w:p w14:paraId="576207C2" w14:textId="77777777" w:rsidR="00A56EE9" w:rsidRPr="00E70A11" w:rsidRDefault="00A56EE9" w:rsidP="00A11869">
            <w:pPr>
              <w:pStyle w:val="ListBullet"/>
              <w:numPr>
                <w:ilvl w:val="0"/>
                <w:numId w:val="146"/>
              </w:numPr>
              <w:spacing w:line="240" w:lineRule="auto"/>
              <w:jc w:val="both"/>
            </w:pPr>
            <w:r>
              <w:t>T</w:t>
            </w:r>
            <w:r w:rsidRPr="00E70A11">
              <w:t xml:space="preserve">he key management agencies – AMSA and MSQ –have clear objectives which are developed and implemented in cooperation with GBRMPA. </w:t>
            </w:r>
          </w:p>
          <w:p w14:paraId="576207C3" w14:textId="77777777" w:rsidR="00A56EE9" w:rsidRPr="00E70A11" w:rsidRDefault="00A56EE9" w:rsidP="00A11869">
            <w:pPr>
              <w:pStyle w:val="ListParagraph"/>
              <w:numPr>
                <w:ilvl w:val="0"/>
                <w:numId w:val="146"/>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MSQ Vessel Traffic Quality Management System</w:t>
            </w:r>
            <w:r>
              <w:rPr>
                <w:rFonts w:ascii="Arial Narrow" w:hAnsi="Arial Narrow"/>
                <w:color w:val="000000" w:themeColor="text1"/>
                <w:sz w:val="18"/>
                <w:szCs w:val="18"/>
              </w:rPr>
              <w:t xml:space="preserve"> </w:t>
            </w:r>
            <w:r w:rsidRPr="00E70A11">
              <w:rPr>
                <w:rFonts w:ascii="Arial Narrow" w:hAnsi="Arial Narrow"/>
                <w:color w:val="000000" w:themeColor="text1"/>
                <w:sz w:val="18"/>
                <w:szCs w:val="18"/>
              </w:rPr>
              <w:t xml:space="preserve">lists the following objectives for managing ship movements with the GBRMP: </w:t>
            </w:r>
          </w:p>
          <w:p w14:paraId="576207C4" w14:textId="77777777" w:rsidR="00A56EE9" w:rsidRPr="00E70A11" w:rsidRDefault="00A56EE9" w:rsidP="00A11869">
            <w:pPr>
              <w:pStyle w:val="ListParagraph"/>
              <w:numPr>
                <w:ilvl w:val="1"/>
                <w:numId w:val="146"/>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Manage and operate the VTS to ensure safe and efficient vessel movements in coastal waterways.</w:t>
            </w:r>
          </w:p>
          <w:p w14:paraId="576207C5" w14:textId="77777777" w:rsidR="00A56EE9" w:rsidRPr="00E70A11" w:rsidRDefault="00A56EE9" w:rsidP="00A11869">
            <w:pPr>
              <w:pStyle w:val="ListParagraph"/>
              <w:numPr>
                <w:ilvl w:val="1"/>
                <w:numId w:val="146"/>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Enhance navigational safety by interacting with shipping to provide improved information on potential traffic conflicts and other navigational safety information.</w:t>
            </w:r>
          </w:p>
          <w:p w14:paraId="576207C6" w14:textId="77777777" w:rsidR="00A56EE9" w:rsidRPr="00E70A11" w:rsidRDefault="00A56EE9" w:rsidP="00A11869">
            <w:pPr>
              <w:pStyle w:val="ListParagraph"/>
              <w:numPr>
                <w:ilvl w:val="1"/>
                <w:numId w:val="146"/>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Minimise the risk of a maritime accident and consequential ship-sourced pollution and damage to the marine environment (nil marine pollution incidents).</w:t>
            </w:r>
          </w:p>
          <w:p w14:paraId="576207C7" w14:textId="77777777" w:rsidR="00A56EE9" w:rsidRPr="00E70A11" w:rsidRDefault="00A56EE9" w:rsidP="00A11869">
            <w:pPr>
              <w:pStyle w:val="ListParagraph"/>
              <w:numPr>
                <w:ilvl w:val="0"/>
                <w:numId w:val="146"/>
              </w:numPr>
              <w:spacing w:before="40" w:after="40" w:line="240"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Consider that management objectives would be improved if clear policy for controlling/optimising time that ships spent waiting in anchorages was developed and implemented, noting that time at anchor influences other factors such as aesthetic effects, leaching of anti-fouling paint biocides, reliance upon waste reception services, and similar.</w:t>
            </w:r>
          </w:p>
        </w:tc>
        <w:tc>
          <w:tcPr>
            <w:tcW w:w="5045" w:type="dxa"/>
            <w:gridSpan w:val="2"/>
            <w:tcBorders>
              <w:top w:val="single" w:sz="4" w:space="0" w:color="auto"/>
              <w:left w:val="single" w:sz="4" w:space="0" w:color="auto"/>
              <w:bottom w:val="single" w:sz="4" w:space="0" w:color="auto"/>
              <w:right w:val="single" w:sz="4" w:space="0" w:color="auto"/>
            </w:tcBorders>
          </w:tcPr>
          <w:p w14:paraId="576207C8"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826" w:history="1">
              <w:r w:rsidR="00A56EE9" w:rsidRPr="00E70A11">
                <w:rPr>
                  <w:rStyle w:val="Hyperlink"/>
                  <w:rFonts w:ascii="Arial Narrow" w:hAnsi="Arial Narrow"/>
                  <w:color w:val="000000" w:themeColor="text1"/>
                  <w:sz w:val="18"/>
                  <w:szCs w:val="18"/>
                </w:rPr>
                <w:t>VTS webpage</w:t>
              </w:r>
            </w:hyperlink>
          </w:p>
        </w:tc>
        <w:tc>
          <w:tcPr>
            <w:tcW w:w="986" w:type="dxa"/>
            <w:gridSpan w:val="2"/>
            <w:tcBorders>
              <w:top w:val="single" w:sz="4" w:space="0" w:color="auto"/>
              <w:left w:val="single" w:sz="4" w:space="0" w:color="auto"/>
              <w:bottom w:val="single" w:sz="4" w:space="0" w:color="auto"/>
              <w:right w:val="single" w:sz="4" w:space="0" w:color="auto"/>
            </w:tcBorders>
          </w:tcPr>
          <w:p w14:paraId="576207C9"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7CA"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7DC"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7CC" w14:textId="77777777" w:rsidR="00A56EE9" w:rsidRPr="00E70A11" w:rsidRDefault="00A56EE9" w:rsidP="00BB6AD5">
            <w:pPr>
              <w:pStyle w:val="Tablebulletlist"/>
              <w:rPr>
                <w:rStyle w:val="BookTitle"/>
              </w:rPr>
            </w:pPr>
            <w:r w:rsidRPr="00E70A11">
              <w:rPr>
                <w:rStyle w:val="BookTitle"/>
              </w:rPr>
              <w:t>PL5</w:t>
            </w:r>
            <w:r>
              <w:rPr>
                <w:rStyle w:val="BookTitle"/>
              </w:rPr>
              <w:t xml:space="preserve"> </w:t>
            </w:r>
            <w:r w:rsidRPr="00E70A11">
              <w:rPr>
                <w:rStyle w:val="BookTitle"/>
              </w:rPr>
              <w:t>There are plans and systems in place to ensure appropriate and adequate monitoring information is gathered in relation to shipping</w:t>
            </w:r>
          </w:p>
        </w:tc>
        <w:tc>
          <w:tcPr>
            <w:tcW w:w="809" w:type="dxa"/>
            <w:gridSpan w:val="2"/>
            <w:tcBorders>
              <w:top w:val="single" w:sz="4" w:space="0" w:color="auto"/>
              <w:left w:val="single" w:sz="4" w:space="0" w:color="auto"/>
              <w:bottom w:val="single" w:sz="4" w:space="0" w:color="auto"/>
              <w:right w:val="single" w:sz="4" w:space="0" w:color="auto"/>
            </w:tcBorders>
          </w:tcPr>
          <w:p w14:paraId="576207CD"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7C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Noting that effective management of shipping pivots upon having adequate capacity in management and regulatory arrangements, there is considered to be the need to develop a shipping volumes monitoring and forecasting tool, collecting data on ship numbers and sizes, to support ongoing and periodic management and risk reviews of shipping in the Great Barrier Reef.</w:t>
            </w:r>
          </w:p>
          <w:p w14:paraId="576207CF"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REEFVTS monitors all ship movements within the bounds of the service area, including ‘near-misses’.</w:t>
            </w:r>
          </w:p>
          <w:p w14:paraId="576207D0"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There is no structured or strategic monitoring of underwater noise associated with shipping within the GBR, so no valid basis upon which to determine if/where such noise may be a problem in the GBR and whether or not any management intervention may be required.</w:t>
            </w:r>
          </w:p>
          <w:p w14:paraId="576207D1"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No monitoring of turbidity caused by ship wake and turbulence or its effects on coral and other habitats.</w:t>
            </w:r>
          </w:p>
          <w:p w14:paraId="576207D2"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AMSA and MSQ mandate reporting of designated maritime incidents.</w:t>
            </w:r>
            <w:r>
              <w:rPr>
                <w:rStyle w:val="BookTitle"/>
                <w:rFonts w:ascii="Arial Narrow" w:hAnsi="Arial Narrow"/>
                <w:color w:val="000000" w:themeColor="text1"/>
                <w:sz w:val="18"/>
                <w:szCs w:val="18"/>
              </w:rPr>
              <w:t xml:space="preserve"> </w:t>
            </w:r>
          </w:p>
          <w:p w14:paraId="576207D3"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Department of Environment and Energy mandates reporting of ship interactions with cetaceans, although limited confidence that all interactions are reported.</w:t>
            </w:r>
          </w:p>
          <w:p w14:paraId="576207D4"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No monitoring of ship air emissions in the GBR is undertaken, although the need to do so is not clear.</w:t>
            </w:r>
          </w:p>
          <w:p w14:paraId="576207D5"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No monitoring of areas used by super-yachts or their activities.</w:t>
            </w:r>
          </w:p>
          <w:p w14:paraId="576207D6"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cstheme="minorHAnsi"/>
                <w:sz w:val="18"/>
                <w:szCs w:val="18"/>
              </w:rPr>
              <w:t xml:space="preserve">Generally </w:t>
            </w:r>
            <w:r w:rsidRPr="00E70A11">
              <w:rPr>
                <w:rStyle w:val="BookTitle"/>
                <w:rFonts w:ascii="Arial Narrow" w:hAnsi="Arial Narrow" w:cstheme="minorHAnsi"/>
                <w:i/>
                <w:color w:val="000000" w:themeColor="text1"/>
                <w:sz w:val="18"/>
                <w:szCs w:val="18"/>
              </w:rPr>
              <w:t>ad hoc</w:t>
            </w:r>
            <w:r w:rsidRPr="00E70A11">
              <w:rPr>
                <w:rStyle w:val="BookTitle"/>
                <w:rFonts w:ascii="Arial Narrow" w:hAnsi="Arial Narrow" w:cstheme="minorHAnsi"/>
                <w:color w:val="000000" w:themeColor="text1"/>
                <w:sz w:val="18"/>
                <w:szCs w:val="18"/>
              </w:rPr>
              <w:t xml:space="preserve"> monitoring of vessel grounding impacts and no ongoing monitoring of recovery from known groundings, e.g. </w:t>
            </w:r>
            <w:r w:rsidRPr="00E70A11">
              <w:rPr>
                <w:rStyle w:val="BookTitle"/>
                <w:rFonts w:ascii="Arial Narrow" w:hAnsi="Arial Narrow" w:cstheme="minorHAnsi"/>
                <w:i/>
                <w:color w:val="000000" w:themeColor="text1"/>
                <w:sz w:val="18"/>
                <w:szCs w:val="18"/>
              </w:rPr>
              <w:t>Doric Chariot, Bunga Teratai Satu</w:t>
            </w:r>
            <w:r w:rsidRPr="00E70A11">
              <w:rPr>
                <w:rStyle w:val="BookTitle"/>
                <w:rFonts w:ascii="Arial Narrow" w:hAnsi="Arial Narrow" w:cstheme="minorHAnsi"/>
                <w:color w:val="000000" w:themeColor="text1"/>
                <w:sz w:val="18"/>
                <w:szCs w:val="18"/>
              </w:rPr>
              <w:t xml:space="preserve">. However, a structured long-term monitoring program is proposed as part of the </w:t>
            </w:r>
            <w:r w:rsidRPr="00E70A11">
              <w:rPr>
                <w:rStyle w:val="BookTitle"/>
                <w:rFonts w:ascii="Arial Narrow" w:hAnsi="Arial Narrow" w:cstheme="minorHAnsi"/>
                <w:i/>
                <w:color w:val="000000" w:themeColor="text1"/>
                <w:sz w:val="18"/>
                <w:szCs w:val="18"/>
              </w:rPr>
              <w:t>Shen Neng 1</w:t>
            </w:r>
            <w:r w:rsidRPr="00E70A11">
              <w:rPr>
                <w:rStyle w:val="BookTitle"/>
                <w:rFonts w:ascii="Arial Narrow" w:hAnsi="Arial Narrow" w:cstheme="minorHAnsi"/>
                <w:color w:val="000000" w:themeColor="text1"/>
                <w:sz w:val="18"/>
                <w:szCs w:val="18"/>
              </w:rPr>
              <w:t xml:space="preserve"> grounding remediation project in order to monitor the operations and to determine the success of the remediation and nature/extent of recovery of Douglas Shoal. This environmental monitoring </w:t>
            </w:r>
            <w:r w:rsidRPr="00E70A11">
              <w:rPr>
                <w:rStyle w:val="BookTitle"/>
                <w:rFonts w:ascii="Arial Narrow" w:hAnsi="Arial Narrow"/>
                <w:color w:val="000000" w:themeColor="text1"/>
                <w:sz w:val="18"/>
                <w:szCs w:val="18"/>
              </w:rPr>
              <w:t>plan (EMP) will consider the ecological viability of the site during and after remediation and nature of the contaminants (hazardous antifouling chemicals) including its fate, mobility, transport and toxicity characteristics. The EMP would also consider the appropriate assessment of changes in flora and fauna of the site and changes in water quality over time. For example, the structure, function, diversity, distribution and viability of benthic communities and habitats on Douglas Shoal as well as the quality of water, sediment and biota on site over time. The Douglas Shoal study is being funded by reparations obtained from the ship owners. It should be considered as critical, however, that the planned studies realise the most cost-effective use of these funds in relation to the management of shipping in the GBR.</w:t>
            </w:r>
          </w:p>
        </w:tc>
        <w:tc>
          <w:tcPr>
            <w:tcW w:w="5045" w:type="dxa"/>
            <w:gridSpan w:val="2"/>
            <w:tcBorders>
              <w:top w:val="single" w:sz="4" w:space="0" w:color="auto"/>
              <w:left w:val="single" w:sz="4" w:space="0" w:color="auto"/>
              <w:bottom w:val="single" w:sz="4" w:space="0" w:color="auto"/>
              <w:right w:val="single" w:sz="4" w:space="0" w:color="auto"/>
            </w:tcBorders>
          </w:tcPr>
          <w:p w14:paraId="576207D7"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Vessel/Whale collisions </w:t>
            </w:r>
            <w:hyperlink r:id="rId1827" w:history="1">
              <w:r w:rsidRPr="00E70A11">
                <w:rPr>
                  <w:rStyle w:val="Hyperlink"/>
                  <w:rFonts w:ascii="Arial Narrow" w:hAnsi="Arial Narrow"/>
                  <w:color w:val="000000" w:themeColor="text1"/>
                  <w:sz w:val="18"/>
                  <w:szCs w:val="18"/>
                </w:rPr>
                <w:t>– national ship strike database</w:t>
              </w:r>
            </w:hyperlink>
          </w:p>
          <w:p w14:paraId="576207D8"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AMSA </w:t>
            </w:r>
            <w:hyperlink r:id="rId1828" w:anchor="Collision--with-cetaceans" w:history="1">
              <w:r w:rsidRPr="00E70A11">
                <w:rPr>
                  <w:rStyle w:val="Hyperlink"/>
                  <w:rFonts w:ascii="Arial Narrow" w:hAnsi="Arial Narrow"/>
                  <w:color w:val="000000" w:themeColor="text1"/>
                  <w:sz w:val="18"/>
                  <w:szCs w:val="18"/>
                </w:rPr>
                <w:t>collision with cetaceans</w:t>
              </w:r>
            </w:hyperlink>
            <w:r w:rsidRPr="00E70A11">
              <w:rPr>
                <w:rStyle w:val="BookTitle"/>
                <w:rFonts w:ascii="Arial Narrow" w:hAnsi="Arial Narrow"/>
                <w:color w:val="000000" w:themeColor="text1"/>
                <w:sz w:val="18"/>
                <w:szCs w:val="18"/>
              </w:rPr>
              <w:t xml:space="preserve"> section in GBR webpage</w:t>
            </w:r>
          </w:p>
          <w:p w14:paraId="576207D9" w14:textId="77777777" w:rsidR="00A56EE9" w:rsidRPr="00AC4AB4"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829" w:history="1">
              <w:r w:rsidR="00A56EE9" w:rsidRPr="00E70A11">
                <w:rPr>
                  <w:rStyle w:val="Hyperlink"/>
                  <w:rFonts w:ascii="Arial Narrow" w:hAnsi="Arial Narrow" w:cs="Tahoma"/>
                  <w:color w:val="000000" w:themeColor="text1"/>
                  <w:sz w:val="18"/>
                  <w:szCs w:val="18"/>
                </w:rPr>
                <w:t>Douglas Shoal Preliminary Site Assessment Report</w:t>
              </w:r>
            </w:hyperlink>
          </w:p>
        </w:tc>
        <w:tc>
          <w:tcPr>
            <w:tcW w:w="986" w:type="dxa"/>
            <w:gridSpan w:val="2"/>
            <w:tcBorders>
              <w:top w:val="single" w:sz="4" w:space="0" w:color="auto"/>
              <w:left w:val="single" w:sz="4" w:space="0" w:color="auto"/>
              <w:bottom w:val="single" w:sz="4" w:space="0" w:color="auto"/>
              <w:right w:val="single" w:sz="4" w:space="0" w:color="auto"/>
            </w:tcBorders>
          </w:tcPr>
          <w:p w14:paraId="576207DA"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7DB"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7EB"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7DD" w14:textId="77777777" w:rsidR="00A56EE9" w:rsidRPr="00E70A11" w:rsidRDefault="00A56EE9" w:rsidP="00BB6AD5">
            <w:pPr>
              <w:pStyle w:val="Tablebulletlist"/>
              <w:rPr>
                <w:rStyle w:val="BookTitle"/>
              </w:rPr>
            </w:pPr>
            <w:r w:rsidRPr="00E70A11">
              <w:rPr>
                <w:rStyle w:val="BookTitle"/>
              </w:rPr>
              <w:t>PL6</w:t>
            </w:r>
            <w:r>
              <w:rPr>
                <w:rStyle w:val="BookTitle"/>
              </w:rPr>
              <w:t xml:space="preserve"> </w:t>
            </w:r>
            <w:r w:rsidRPr="00E70A11">
              <w:rPr>
                <w:rStyle w:val="BookTitle"/>
              </w:rPr>
              <w:t>The main stakeholders &amp;/or the local community are effectively engaged in planning to address shipping</w:t>
            </w:r>
          </w:p>
        </w:tc>
        <w:tc>
          <w:tcPr>
            <w:tcW w:w="809" w:type="dxa"/>
            <w:gridSpan w:val="2"/>
            <w:tcBorders>
              <w:top w:val="single" w:sz="4" w:space="0" w:color="auto"/>
              <w:left w:val="single" w:sz="4" w:space="0" w:color="auto"/>
              <w:bottom w:val="single" w:sz="4" w:space="0" w:color="auto"/>
              <w:right w:val="single" w:sz="4" w:space="0" w:color="auto"/>
            </w:tcBorders>
          </w:tcPr>
          <w:p w14:paraId="576207DE"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7DF"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The main stakeholders with regard to regulation of shipping are effectively engaged.</w:t>
            </w:r>
          </w:p>
          <w:p w14:paraId="576207E0"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For any port expansions and associated shipping anchorage areas in the GBRMP, stakeholders and the public are engaged if the activity triggers an EPBC Act assessment process that requires public advertising.</w:t>
            </w:r>
          </w:p>
          <w:p w14:paraId="576207E1"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Planning undertaken to review the National Plan and National Maritime Emergency Response Arrangements (NMERA) involved: government authorities, the shipping industry, the offshore petroleum industry, port authorities and harbour masters, emergency towage/salvage contractors, oil spill response service providers, wildlife response agencies, associated service providers.</w:t>
            </w:r>
          </w:p>
          <w:p w14:paraId="576207E2"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The comprehensive Strategic Assessment for the Great Barrier Reef region included an extensive community consultation process.</w:t>
            </w:r>
          </w:p>
          <w:p w14:paraId="576207E3"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 xml:space="preserve">Stakeholders and community are engaged in some planning processes (e.g. Abbot Point consultation). Community involvement in planning for other shipping issues is generally limited. General community involvements has greater relevance with regard to the management of ports, rather than ‘shipping’ as a distinct entity. </w:t>
            </w:r>
          </w:p>
          <w:p w14:paraId="576207E4"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In 2015, Maritime Safety Queensland engaged maritime stakeholders, including the North East Water Space Management Working Group, in the design and location for designated anchorages for the ports of Townsville and Abbot Point.</w:t>
            </w:r>
          </w:p>
          <w:p w14:paraId="576207E5" w14:textId="77777777" w:rsidR="00A56EE9" w:rsidRPr="00E70A11" w:rsidRDefault="00A56EE9" w:rsidP="00A11869">
            <w:pPr>
              <w:pStyle w:val="ListParagraph"/>
              <w:numPr>
                <w:ilvl w:val="0"/>
                <w:numId w:val="24"/>
              </w:numPr>
              <w:spacing w:after="200" w:line="240" w:lineRule="auto"/>
              <w:rPr>
                <w:rFonts w:ascii="Arial Narrow" w:hAnsi="Arial Narrow"/>
                <w:sz w:val="18"/>
                <w:szCs w:val="18"/>
              </w:rPr>
            </w:pPr>
            <w:r w:rsidRPr="00E70A11">
              <w:rPr>
                <w:rFonts w:ascii="Arial Narrow" w:hAnsi="Arial Narrow"/>
                <w:sz w:val="18"/>
                <w:szCs w:val="18"/>
              </w:rPr>
              <w:t>NESMP under review during 2018.</w:t>
            </w:r>
          </w:p>
          <w:p w14:paraId="576207E6" w14:textId="77777777" w:rsidR="00A56EE9" w:rsidRPr="00E70A11" w:rsidRDefault="00A56EE9" w:rsidP="00A11869">
            <w:pPr>
              <w:pStyle w:val="ListParagraph"/>
              <w:numPr>
                <w:ilvl w:val="0"/>
                <w:numId w:val="24"/>
              </w:numPr>
              <w:spacing w:after="200" w:line="240"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GBRMPA’s Reef Advisory Committees and LMACs are available for community to raise shipping issues and for GBRMPA to provide community with updates on relevant information. For example, in 2017 MSQ requested feedback from the public on the location of shipping lanes and impacts from shipping. GBRMPA facilitated a session at the Cape York Local Marine Advisory Committee meeting with locals to gather their observations and feedback on impacts from shipping in their area. </w:t>
            </w:r>
          </w:p>
        </w:tc>
        <w:tc>
          <w:tcPr>
            <w:tcW w:w="5045" w:type="dxa"/>
            <w:gridSpan w:val="2"/>
            <w:tcBorders>
              <w:top w:val="single" w:sz="4" w:space="0" w:color="auto"/>
              <w:left w:val="single" w:sz="4" w:space="0" w:color="auto"/>
              <w:bottom w:val="single" w:sz="4" w:space="0" w:color="auto"/>
              <w:right w:val="single" w:sz="4" w:space="0" w:color="auto"/>
            </w:tcBorders>
          </w:tcPr>
          <w:p w14:paraId="576207E7"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r88D of GBRMP Regulations 1983</w:t>
            </w:r>
          </w:p>
          <w:p w14:paraId="576207E8" w14:textId="77777777" w:rsidR="00A56EE9" w:rsidRPr="00AC4AB4"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s98 and 103 of EBPC Act 1999</w:t>
            </w:r>
          </w:p>
        </w:tc>
        <w:tc>
          <w:tcPr>
            <w:tcW w:w="986" w:type="dxa"/>
            <w:gridSpan w:val="2"/>
            <w:tcBorders>
              <w:top w:val="single" w:sz="4" w:space="0" w:color="auto"/>
              <w:left w:val="single" w:sz="4" w:space="0" w:color="auto"/>
              <w:bottom w:val="single" w:sz="4" w:space="0" w:color="auto"/>
              <w:right w:val="single" w:sz="4" w:space="0" w:color="auto"/>
            </w:tcBorders>
          </w:tcPr>
          <w:p w14:paraId="576207E9"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7EA"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801"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7EC" w14:textId="77777777" w:rsidR="00A56EE9" w:rsidRPr="00E70A11" w:rsidRDefault="00A56EE9" w:rsidP="00BB6AD5">
            <w:pPr>
              <w:pStyle w:val="Tablebulletlist"/>
              <w:rPr>
                <w:rStyle w:val="BookTitle"/>
              </w:rPr>
            </w:pPr>
            <w:r w:rsidRPr="00E70A11">
              <w:rPr>
                <w:rStyle w:val="BookTitle"/>
              </w:rPr>
              <w:t>PL7</w:t>
            </w:r>
            <w:r>
              <w:rPr>
                <w:rStyle w:val="BookTitle"/>
              </w:rPr>
              <w:t xml:space="preserve"> </w:t>
            </w:r>
            <w:r w:rsidRPr="00E70A11">
              <w:rPr>
                <w:rStyle w:val="BookTitle"/>
              </w:rPr>
              <w:t>Sufficient policy currently exists to effectively address shipping</w:t>
            </w:r>
          </w:p>
        </w:tc>
        <w:tc>
          <w:tcPr>
            <w:tcW w:w="809" w:type="dxa"/>
            <w:gridSpan w:val="2"/>
            <w:tcBorders>
              <w:top w:val="single" w:sz="4" w:space="0" w:color="auto"/>
              <w:left w:val="single" w:sz="4" w:space="0" w:color="auto"/>
              <w:bottom w:val="single" w:sz="4" w:space="0" w:color="auto"/>
              <w:right w:val="single" w:sz="4" w:space="0" w:color="auto"/>
            </w:tcBorders>
          </w:tcPr>
          <w:p w14:paraId="576207ED"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7EE" w14:textId="77777777" w:rsidR="00A56EE9" w:rsidRPr="00E70A11" w:rsidRDefault="00A56EE9" w:rsidP="00A11869">
            <w:pPr>
              <w:pStyle w:val="ListBullet"/>
              <w:numPr>
                <w:ilvl w:val="0"/>
                <w:numId w:val="144"/>
              </w:numPr>
              <w:spacing w:line="240" w:lineRule="auto"/>
              <w:ind w:left="417"/>
            </w:pPr>
            <w:r w:rsidRPr="00E70A11">
              <w:t xml:space="preserve">GBRMPA does not have its own general policy on shipping (other than cruise shipping), but cooperated with AMSA and MSQ, with the NESMP reflecting GBRMPA’s agreed policy positions. </w:t>
            </w:r>
          </w:p>
          <w:p w14:paraId="576207EF" w14:textId="77777777" w:rsidR="00A56EE9" w:rsidRPr="00E70A11" w:rsidRDefault="00A56EE9" w:rsidP="00A11869">
            <w:pPr>
              <w:pStyle w:val="ListBullet"/>
              <w:numPr>
                <w:ilvl w:val="0"/>
                <w:numId w:val="152"/>
              </w:numPr>
              <w:spacing w:line="240" w:lineRule="auto"/>
              <w:ind w:left="417" w:hanging="417"/>
            </w:pPr>
            <w:r w:rsidRPr="00E70A11">
              <w:t>Overall, at the whole-of-Government level, it is considered that there does exist sufficient policy to effectively address shipping.</w:t>
            </w:r>
          </w:p>
          <w:p w14:paraId="576207F0" w14:textId="4A0AFA03" w:rsidR="00A56EE9" w:rsidRPr="00E70A11" w:rsidRDefault="00A56EE9" w:rsidP="00A11869">
            <w:pPr>
              <w:pStyle w:val="ListBullet"/>
              <w:numPr>
                <w:ilvl w:val="0"/>
                <w:numId w:val="152"/>
              </w:numPr>
              <w:spacing w:line="240" w:lineRule="auto"/>
              <w:ind w:left="417" w:hanging="417"/>
            </w:pPr>
            <w:r>
              <w:t>There has been consideration about action</w:t>
            </w:r>
            <w:r w:rsidR="00D1702B">
              <w:t xml:space="preserve"> </w:t>
            </w:r>
            <w:r w:rsidRPr="00E70A11">
              <w:t xml:space="preserve">to address the impacts of noise on marine life, particularly shipping noise. </w:t>
            </w:r>
            <w:r>
              <w:t>However,</w:t>
            </w:r>
            <w:r w:rsidR="00242993">
              <w:t xml:space="preserve"> </w:t>
            </w:r>
            <w:r w:rsidRPr="00E70A11">
              <w:t xml:space="preserve">the perceived risk is minimal on the available evidence. It would be more prudent to characterise and assess any such risks as a precursor to determining if such policy was warranted, and if so, </w:t>
            </w:r>
            <w:proofErr w:type="gramStart"/>
            <w:r w:rsidRPr="00E70A11">
              <w:t>its</w:t>
            </w:r>
            <w:proofErr w:type="gramEnd"/>
            <w:r w:rsidRPr="00E70A11">
              <w:t xml:space="preserve"> content and objectives. Furthermore, </w:t>
            </w:r>
            <w:r>
              <w:t>Australia</w:t>
            </w:r>
            <w:r w:rsidRPr="00E70A11">
              <w:t xml:space="preserve"> would have limited latitude to effect any outcomes, noting that shipping noise profiles are inherent to design and build, and thus regulated through the IMO. On current information there is no justification for a shipping noise policy; although some research has been undertaken, this has been general in nature and provides limited illumination of the matter in terms specific to the GBR. More, better focused research and evaluation is required before valid decisions can be made regarding real risks and appropriate management responses.</w:t>
            </w:r>
          </w:p>
          <w:p w14:paraId="576207F1" w14:textId="77777777" w:rsidR="00A56EE9" w:rsidRPr="00E70A11" w:rsidRDefault="00A56EE9" w:rsidP="00A11869">
            <w:pPr>
              <w:pStyle w:val="ListBullet"/>
              <w:numPr>
                <w:ilvl w:val="0"/>
                <w:numId w:val="144"/>
              </w:numPr>
              <w:spacing w:line="240" w:lineRule="auto"/>
              <w:ind w:left="417" w:hanging="417"/>
            </w:pPr>
            <w:r w:rsidRPr="00E70A11">
              <w:t xml:space="preserve">Illumination from ships at anchor and alongside may also pose a risk to nesting and hatching sea turtles in some locations. This potential risk needs further evaluation, with management measures instituted if deemed to be warranted. </w:t>
            </w:r>
          </w:p>
          <w:p w14:paraId="576207F2" w14:textId="77777777" w:rsidR="00A56EE9" w:rsidRPr="00E70A11" w:rsidRDefault="00A56EE9" w:rsidP="00A11869">
            <w:pPr>
              <w:pStyle w:val="ListBullet"/>
              <w:numPr>
                <w:ilvl w:val="0"/>
                <w:numId w:val="144"/>
              </w:numPr>
              <w:spacing w:line="240" w:lineRule="auto"/>
              <w:ind w:left="417" w:hanging="417"/>
            </w:pPr>
            <w:r w:rsidRPr="00E70A11">
              <w:t>Policy and procedures need to be implemented regarding restoration/rehabilitation of the marine environment from pollution or grounding incidents. This has been flagged as a work item by North East Shipping Management Group.</w:t>
            </w:r>
          </w:p>
          <w:p w14:paraId="576207F3" w14:textId="22263050" w:rsidR="00A56EE9" w:rsidRPr="00E70A11" w:rsidRDefault="00A56EE9" w:rsidP="00A11869">
            <w:pPr>
              <w:pStyle w:val="ListBullet"/>
              <w:numPr>
                <w:ilvl w:val="0"/>
                <w:numId w:val="144"/>
              </w:numPr>
              <w:spacing w:line="240" w:lineRule="auto"/>
              <w:ind w:left="417" w:hanging="284"/>
            </w:pPr>
            <w:r w:rsidRPr="00E70A11">
              <w:t>The GBRMPA cruise shipping policy (201</w:t>
            </w:r>
            <w:r w:rsidR="00D1702B">
              <w:t>8</w:t>
            </w:r>
            <w:r w:rsidRPr="00E70A11">
              <w:t xml:space="preserve">) has been reviewed </w:t>
            </w:r>
            <w:r>
              <w:t xml:space="preserve">and </w:t>
            </w:r>
            <w:r w:rsidR="00A80228">
              <w:t>finalised</w:t>
            </w:r>
          </w:p>
          <w:p w14:paraId="576207F4" w14:textId="77777777" w:rsidR="00A56EE9" w:rsidRPr="00E70A11" w:rsidRDefault="00A56EE9" w:rsidP="00A11869">
            <w:pPr>
              <w:pStyle w:val="ListBullet"/>
              <w:numPr>
                <w:ilvl w:val="0"/>
                <w:numId w:val="144"/>
              </w:numPr>
              <w:spacing w:line="240" w:lineRule="auto"/>
              <w:ind w:left="417" w:hanging="284"/>
            </w:pPr>
            <w:r w:rsidRPr="00E70A11">
              <w:t>In 2016 Maritime Safety Queensland</w:t>
            </w:r>
            <w:r w:rsidRPr="00E70A11">
              <w:rPr>
                <w:rStyle w:val="BookTitle"/>
                <w:color w:val="000000" w:themeColor="text1"/>
              </w:rPr>
              <w:t xml:space="preserve"> published a report on </w:t>
            </w:r>
            <w:r w:rsidRPr="00E70A11">
              <w:rPr>
                <w:rStyle w:val="BookTitle"/>
                <w:i/>
                <w:color w:val="000000" w:themeColor="text1"/>
              </w:rPr>
              <w:t>Jurisdictional Responsibility for Anchorages in Queensland.</w:t>
            </w:r>
          </w:p>
          <w:p w14:paraId="576207F5" w14:textId="77777777" w:rsidR="00A56EE9" w:rsidRPr="00E70A11" w:rsidRDefault="00A56EE9" w:rsidP="00A11869">
            <w:pPr>
              <w:pStyle w:val="ListBullet"/>
              <w:numPr>
                <w:ilvl w:val="0"/>
                <w:numId w:val="144"/>
              </w:numPr>
              <w:spacing w:line="240" w:lineRule="auto"/>
              <w:ind w:left="417" w:hanging="284"/>
              <w:rPr>
                <w:rStyle w:val="BookTitle"/>
              </w:rPr>
            </w:pPr>
            <w:r w:rsidRPr="00E70A11">
              <w:t>MSQ is finalising a guideline on anchorage management and design</w:t>
            </w:r>
          </w:p>
        </w:tc>
        <w:tc>
          <w:tcPr>
            <w:tcW w:w="5045" w:type="dxa"/>
            <w:gridSpan w:val="2"/>
            <w:tcBorders>
              <w:top w:val="single" w:sz="4" w:space="0" w:color="auto"/>
              <w:left w:val="single" w:sz="4" w:space="0" w:color="auto"/>
              <w:bottom w:val="single" w:sz="4" w:space="0" w:color="auto"/>
              <w:right w:val="single" w:sz="4" w:space="0" w:color="auto"/>
            </w:tcBorders>
          </w:tcPr>
          <w:p w14:paraId="576207F6" w14:textId="77777777" w:rsidR="00A56EE9" w:rsidRPr="00E70A11" w:rsidRDefault="008B5998" w:rsidP="00A11869">
            <w:pPr>
              <w:pStyle w:val="ListParagraph"/>
              <w:numPr>
                <w:ilvl w:val="0"/>
                <w:numId w:val="147"/>
              </w:numPr>
              <w:spacing w:after="200" w:line="276" w:lineRule="auto"/>
              <w:rPr>
                <w:rFonts w:ascii="Arial Narrow" w:hAnsi="Arial Narrow"/>
                <w:color w:val="000000" w:themeColor="text1"/>
                <w:sz w:val="18"/>
                <w:szCs w:val="18"/>
              </w:rPr>
            </w:pPr>
            <w:hyperlink r:id="rId1830" w:history="1">
              <w:r w:rsidR="00A56EE9" w:rsidRPr="00E70A11">
                <w:rPr>
                  <w:rStyle w:val="Hyperlink"/>
                  <w:rFonts w:ascii="Arial Narrow" w:hAnsi="Arial Narrow"/>
                  <w:color w:val="000000" w:themeColor="text1"/>
                  <w:sz w:val="18"/>
                  <w:szCs w:val="18"/>
                  <w:lang w:val="en"/>
                </w:rPr>
                <w:t>Cruise Shipping Policy for the Great Barrier Reef Marine Park</w:t>
              </w:r>
            </w:hyperlink>
            <w:r w:rsidR="00A56EE9" w:rsidRPr="00E70A11">
              <w:rPr>
                <w:rFonts w:ascii="Arial Narrow" w:hAnsi="Arial Narrow"/>
                <w:color w:val="000000" w:themeColor="text1"/>
                <w:sz w:val="18"/>
                <w:szCs w:val="18"/>
                <w:lang w:val="en"/>
              </w:rPr>
              <w:t xml:space="preserve"> (1999)</w:t>
            </w:r>
          </w:p>
          <w:p w14:paraId="576207F7" w14:textId="77777777" w:rsidR="00A56EE9" w:rsidRPr="00E70A11" w:rsidRDefault="008B5998" w:rsidP="00A11869">
            <w:pPr>
              <w:pStyle w:val="ListParagraph"/>
              <w:numPr>
                <w:ilvl w:val="0"/>
                <w:numId w:val="147"/>
              </w:numPr>
              <w:spacing w:after="200" w:line="276" w:lineRule="auto"/>
              <w:rPr>
                <w:rStyle w:val="Hyperlink"/>
                <w:rFonts w:ascii="Arial Narrow" w:hAnsi="Arial Narrow"/>
                <w:color w:val="000000" w:themeColor="text1"/>
                <w:sz w:val="18"/>
                <w:szCs w:val="18"/>
              </w:rPr>
            </w:pPr>
            <w:hyperlink r:id="rId1831" w:history="1">
              <w:r w:rsidR="00A56EE9" w:rsidRPr="00E70A11">
                <w:rPr>
                  <w:rStyle w:val="Hyperlink"/>
                  <w:rFonts w:ascii="Arial Narrow" w:hAnsi="Arial Narrow"/>
                  <w:color w:val="000000" w:themeColor="text1"/>
                  <w:sz w:val="18"/>
                  <w:szCs w:val="18"/>
                </w:rPr>
                <w:t>Superyacht Management Arrangements (2011)</w:t>
              </w:r>
            </w:hyperlink>
          </w:p>
          <w:p w14:paraId="576207F8" w14:textId="77777777" w:rsidR="00A56EE9" w:rsidRPr="00E70A11" w:rsidRDefault="008B5998" w:rsidP="00A11869">
            <w:pPr>
              <w:pStyle w:val="ListParagraph"/>
              <w:numPr>
                <w:ilvl w:val="0"/>
                <w:numId w:val="147"/>
              </w:numPr>
              <w:spacing w:after="200" w:line="276" w:lineRule="auto"/>
              <w:rPr>
                <w:rFonts w:ascii="Arial Narrow" w:hAnsi="Arial Narrow"/>
                <w:color w:val="000000" w:themeColor="text1"/>
                <w:sz w:val="18"/>
                <w:szCs w:val="18"/>
              </w:rPr>
            </w:pPr>
            <w:hyperlink r:id="rId1832" w:tgtFrame="_blank" w:history="1">
              <w:r w:rsidR="00A56EE9" w:rsidRPr="00E70A11">
                <w:rPr>
                  <w:rStyle w:val="Hyperlink"/>
                  <w:rFonts w:ascii="Arial Narrow" w:hAnsi="Arial Narrow"/>
                  <w:color w:val="000000" w:themeColor="text1"/>
                  <w:sz w:val="18"/>
                  <w:szCs w:val="18"/>
                  <w:lang w:val="en"/>
                </w:rPr>
                <w:t>Compliance and Enforcement Policy</w:t>
              </w:r>
            </w:hyperlink>
            <w:r w:rsidR="00A56EE9" w:rsidRPr="00E70A11">
              <w:rPr>
                <w:rFonts w:ascii="Arial Narrow" w:hAnsi="Arial Narrow"/>
                <w:color w:val="000000" w:themeColor="text1"/>
                <w:sz w:val="18"/>
                <w:szCs w:val="18"/>
                <w:lang w:val="en"/>
              </w:rPr>
              <w:t xml:space="preserve"> and protocols the </w:t>
            </w:r>
            <w:hyperlink r:id="rId1833" w:tgtFrame="_blank" w:history="1">
              <w:r w:rsidR="00A56EE9" w:rsidRPr="00E70A11">
                <w:rPr>
                  <w:rStyle w:val="Hyperlink"/>
                  <w:rFonts w:ascii="Arial Narrow" w:hAnsi="Arial Narrow"/>
                  <w:color w:val="000000" w:themeColor="text1"/>
                  <w:sz w:val="18"/>
                  <w:szCs w:val="18"/>
                  <w:lang w:val="en"/>
                </w:rPr>
                <w:t>Compliance and Enforcement Protocol</w:t>
              </w:r>
            </w:hyperlink>
            <w:r w:rsidR="00A56EE9" w:rsidRPr="00E70A11">
              <w:rPr>
                <w:rFonts w:ascii="Arial Narrow" w:hAnsi="Arial Narrow"/>
                <w:color w:val="000000" w:themeColor="text1"/>
                <w:sz w:val="18"/>
                <w:szCs w:val="18"/>
                <w:lang w:val="en"/>
              </w:rPr>
              <w:t>.</w:t>
            </w:r>
          </w:p>
          <w:p w14:paraId="576207F9" w14:textId="77777777" w:rsidR="00A56EE9" w:rsidRPr="00E70A11" w:rsidRDefault="00A56EE9" w:rsidP="00A11869">
            <w:pPr>
              <w:pStyle w:val="ListParagraph"/>
              <w:numPr>
                <w:ilvl w:val="0"/>
                <w:numId w:val="147"/>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GBRMPA </w:t>
            </w:r>
            <w:hyperlink r:id="rId1834" w:history="1">
              <w:r w:rsidRPr="00E70A11">
                <w:rPr>
                  <w:rStyle w:val="Hyperlink"/>
                  <w:rFonts w:ascii="Arial Narrow" w:hAnsi="Arial Narrow"/>
                  <w:color w:val="000000" w:themeColor="text1"/>
                  <w:sz w:val="18"/>
                  <w:szCs w:val="18"/>
                </w:rPr>
                <w:t>compulsory pilotage</w:t>
              </w:r>
            </w:hyperlink>
            <w:r w:rsidRPr="00E70A11">
              <w:rPr>
                <w:rFonts w:ascii="Arial Narrow" w:hAnsi="Arial Narrow"/>
                <w:color w:val="000000" w:themeColor="text1"/>
                <w:sz w:val="18"/>
                <w:szCs w:val="18"/>
              </w:rPr>
              <w:t xml:space="preserve"> webpage</w:t>
            </w:r>
          </w:p>
          <w:p w14:paraId="576207FA" w14:textId="77777777" w:rsidR="00A56EE9" w:rsidRPr="00E70A11" w:rsidRDefault="00A56EE9" w:rsidP="00A11869">
            <w:pPr>
              <w:pStyle w:val="ListParagraph"/>
              <w:numPr>
                <w:ilvl w:val="0"/>
                <w:numId w:val="147"/>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GBRMPA webpage on</w:t>
            </w:r>
            <w:r w:rsidRPr="00E70A11">
              <w:rPr>
                <w:rStyle w:val="BookTitle"/>
                <w:rFonts w:ascii="Arial Narrow" w:hAnsi="Arial Narrow"/>
                <w:color w:val="000000" w:themeColor="text1"/>
                <w:sz w:val="18"/>
                <w:szCs w:val="18"/>
              </w:rPr>
              <w:t xml:space="preserve"> </w:t>
            </w:r>
            <w:hyperlink r:id="rId1835" w:history="1">
              <w:r w:rsidRPr="00E70A11">
                <w:rPr>
                  <w:rStyle w:val="Hyperlink"/>
                  <w:rFonts w:ascii="Arial Narrow" w:hAnsi="Arial Narrow"/>
                  <w:color w:val="000000" w:themeColor="text1"/>
                  <w:sz w:val="18"/>
                  <w:szCs w:val="18"/>
                </w:rPr>
                <w:t>superyacht anchorages</w:t>
              </w:r>
            </w:hyperlink>
          </w:p>
          <w:p w14:paraId="576207FB" w14:textId="77777777" w:rsidR="00A56EE9" w:rsidRPr="00E70A11" w:rsidRDefault="008B5998" w:rsidP="00A11869">
            <w:pPr>
              <w:pStyle w:val="ListParagraph"/>
              <w:numPr>
                <w:ilvl w:val="0"/>
                <w:numId w:val="147"/>
              </w:numPr>
              <w:spacing w:after="200" w:line="276" w:lineRule="auto"/>
              <w:rPr>
                <w:rFonts w:ascii="Arial Narrow" w:hAnsi="Arial Narrow"/>
                <w:color w:val="000000" w:themeColor="text1"/>
                <w:sz w:val="18"/>
                <w:szCs w:val="18"/>
              </w:rPr>
            </w:pPr>
            <w:hyperlink r:id="rId1836" w:tgtFrame="_blank" w:tooltip="Whitsundays Plan of Management Map" w:history="1">
              <w:r w:rsidR="00A56EE9" w:rsidRPr="00E70A11">
                <w:rPr>
                  <w:rStyle w:val="Hyperlink"/>
                  <w:rFonts w:ascii="Arial Narrow" w:hAnsi="Arial Narrow"/>
                  <w:color w:val="000000" w:themeColor="text1"/>
                  <w:sz w:val="18"/>
                  <w:szCs w:val="18"/>
                </w:rPr>
                <w:t>Whitsundays Plan of Management Detailed Overview map</w:t>
              </w:r>
            </w:hyperlink>
            <w:r w:rsidR="00A56EE9" w:rsidRPr="00E70A11">
              <w:rPr>
                <w:rStyle w:val="Hyperlink"/>
                <w:rFonts w:ascii="Arial Narrow" w:hAnsi="Arial Narrow"/>
                <w:color w:val="000000" w:themeColor="text1"/>
                <w:sz w:val="18"/>
                <w:szCs w:val="18"/>
              </w:rPr>
              <w:t xml:space="preserve"> </w:t>
            </w:r>
            <w:r w:rsidR="00A56EE9" w:rsidRPr="00E70A11">
              <w:rPr>
                <w:rFonts w:ascii="Arial Narrow" w:hAnsi="Arial Narrow"/>
                <w:color w:val="000000" w:themeColor="text1"/>
                <w:sz w:val="18"/>
                <w:szCs w:val="18"/>
              </w:rPr>
              <w:t xml:space="preserve">and GBRMPA </w:t>
            </w:r>
            <w:r w:rsidR="00A56EE9" w:rsidRPr="00E70A11">
              <w:rPr>
                <w:rStyle w:val="Hyperlink"/>
                <w:rFonts w:ascii="Arial Narrow" w:hAnsi="Arial Narrow"/>
                <w:color w:val="000000" w:themeColor="text1"/>
                <w:sz w:val="18"/>
                <w:szCs w:val="18"/>
              </w:rPr>
              <w:t>Whitsundays Plan of Management</w:t>
            </w:r>
            <w:r w:rsidR="00A56EE9" w:rsidRPr="00E70A11">
              <w:rPr>
                <w:rFonts w:ascii="Arial Narrow" w:hAnsi="Arial Narrow"/>
                <w:color w:val="000000" w:themeColor="text1"/>
                <w:sz w:val="18"/>
                <w:szCs w:val="18"/>
              </w:rPr>
              <w:t xml:space="preserve"> webpage</w:t>
            </w:r>
          </w:p>
          <w:p w14:paraId="576207FC" w14:textId="77777777" w:rsidR="00A56EE9" w:rsidRPr="00E70A11" w:rsidRDefault="00A56EE9" w:rsidP="00A11869">
            <w:pPr>
              <w:pStyle w:val="ListParagraph"/>
              <w:numPr>
                <w:ilvl w:val="0"/>
                <w:numId w:val="147"/>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GBRMPA’s </w:t>
            </w:r>
            <w:hyperlink r:id="rId1837" w:history="1">
              <w:r w:rsidRPr="00E70A11">
                <w:rPr>
                  <w:rStyle w:val="Hyperlink"/>
                  <w:rFonts w:ascii="Arial Narrow" w:hAnsi="Arial Narrow"/>
                  <w:color w:val="000000" w:themeColor="text1"/>
                  <w:sz w:val="18"/>
                  <w:szCs w:val="18"/>
                </w:rPr>
                <w:t>Guidelines: Applications for joint permissions</w:t>
              </w:r>
            </w:hyperlink>
            <w:r w:rsidRPr="00E70A11">
              <w:rPr>
                <w:rFonts w:ascii="Arial Narrow" w:hAnsi="Arial Narrow"/>
                <w:color w:val="000000" w:themeColor="text1"/>
                <w:sz w:val="18"/>
                <w:szCs w:val="18"/>
              </w:rPr>
              <w:t xml:space="preserve"> p 27 &amp; 28</w:t>
            </w:r>
          </w:p>
          <w:p w14:paraId="576207FD" w14:textId="77777777" w:rsidR="00A56EE9" w:rsidRPr="00E70A11" w:rsidRDefault="00A56EE9" w:rsidP="00A11869">
            <w:pPr>
              <w:pStyle w:val="ListParagraph"/>
              <w:numPr>
                <w:ilvl w:val="0"/>
                <w:numId w:val="147"/>
              </w:numPr>
              <w:spacing w:after="200" w:line="276" w:lineRule="auto"/>
              <w:rPr>
                <w:rStyle w:val="Hyperlink"/>
                <w:rFonts w:ascii="Arial Narrow" w:hAnsi="Arial Narrow"/>
                <w:color w:val="000000" w:themeColor="text1"/>
                <w:sz w:val="18"/>
                <w:szCs w:val="18"/>
              </w:rPr>
            </w:pPr>
            <w:r w:rsidRPr="00E70A11">
              <w:rPr>
                <w:rFonts w:ascii="Arial Narrow" w:hAnsi="Arial Narrow"/>
                <w:color w:val="000000" w:themeColor="text1"/>
                <w:sz w:val="18"/>
                <w:szCs w:val="18"/>
              </w:rPr>
              <w:t xml:space="preserve">GBRMPA news item on </w:t>
            </w:r>
            <w:hyperlink r:id="rId1838" w:history="1">
              <w:r w:rsidRPr="00E70A11">
                <w:rPr>
                  <w:rStyle w:val="Hyperlink"/>
                  <w:rFonts w:ascii="Arial Narrow" w:hAnsi="Arial Narrow"/>
                  <w:color w:val="000000" w:themeColor="text1"/>
                  <w:sz w:val="18"/>
                  <w:szCs w:val="18"/>
                </w:rPr>
                <w:t>consultation for the review of the cruise ship policy</w:t>
              </w:r>
            </w:hyperlink>
          </w:p>
          <w:p w14:paraId="576207FE" w14:textId="77777777" w:rsidR="00A56EE9" w:rsidRPr="00AC4AB4" w:rsidRDefault="00A56EE9" w:rsidP="00A11869">
            <w:pPr>
              <w:pStyle w:val="ListParagraph"/>
              <w:numPr>
                <w:ilvl w:val="0"/>
                <w:numId w:val="147"/>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Report on </w:t>
            </w:r>
            <w:hyperlink r:id="rId1839" w:history="1">
              <w:r w:rsidRPr="00E70A11">
                <w:rPr>
                  <w:rStyle w:val="Hyperlink"/>
                  <w:rFonts w:ascii="Arial Narrow" w:hAnsi="Arial Narrow"/>
                  <w:i/>
                  <w:color w:val="000000" w:themeColor="text1"/>
                  <w:sz w:val="18"/>
                  <w:szCs w:val="18"/>
                </w:rPr>
                <w:t>Jurisdictional Responsibility for Anchorages in Queensland</w:t>
              </w:r>
            </w:hyperlink>
          </w:p>
        </w:tc>
        <w:tc>
          <w:tcPr>
            <w:tcW w:w="986" w:type="dxa"/>
            <w:gridSpan w:val="2"/>
            <w:tcBorders>
              <w:top w:val="single" w:sz="4" w:space="0" w:color="auto"/>
              <w:left w:val="single" w:sz="4" w:space="0" w:color="auto"/>
              <w:bottom w:val="single" w:sz="4" w:space="0" w:color="auto"/>
              <w:right w:val="single" w:sz="4" w:space="0" w:color="auto"/>
            </w:tcBorders>
          </w:tcPr>
          <w:p w14:paraId="576207FF"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00"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811"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shd w:val="clear" w:color="auto" w:fill="FFFFFF"/>
          </w:tcPr>
          <w:p w14:paraId="57620802" w14:textId="77777777" w:rsidR="00A56EE9" w:rsidRPr="00E70A11" w:rsidRDefault="00A56EE9" w:rsidP="00BB6AD5">
            <w:pPr>
              <w:pStyle w:val="Tablebulletlist"/>
              <w:rPr>
                <w:rStyle w:val="BookTitle"/>
              </w:rPr>
            </w:pPr>
            <w:r w:rsidRPr="00E70A11">
              <w:rPr>
                <w:rStyle w:val="BookTitle"/>
              </w:rPr>
              <w:t>PL8 There is consistency across jurisdictions when planning for shipping</w:t>
            </w:r>
          </w:p>
        </w:tc>
        <w:tc>
          <w:tcPr>
            <w:tcW w:w="809" w:type="dxa"/>
            <w:gridSpan w:val="2"/>
            <w:tcBorders>
              <w:top w:val="single" w:sz="4" w:space="0" w:color="auto"/>
              <w:left w:val="single" w:sz="4" w:space="0" w:color="auto"/>
              <w:bottom w:val="single" w:sz="4" w:space="0" w:color="auto"/>
              <w:right w:val="single" w:sz="4" w:space="0" w:color="auto"/>
            </w:tcBorders>
            <w:shd w:val="clear" w:color="auto" w:fill="FFFFFF"/>
          </w:tcPr>
          <w:p w14:paraId="57620803"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shd w:val="clear" w:color="auto" w:fill="FFFFFF"/>
          </w:tcPr>
          <w:p w14:paraId="57620804"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Consistency across jurisdictions appears to be good.</w:t>
            </w:r>
          </w:p>
          <w:p w14:paraId="57620805"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From 1 July 2012, the Navigation Act 2012 extended AMSA’s jurisdiction to include all foreign ships visiting Australian ports regardless of the nature of the voyages involved.</w:t>
            </w:r>
          </w:p>
          <w:p w14:paraId="57620806"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The North East Shipping Management Group generally meets annually to discuss maritime safety and protection of the Great Barrier Reef. The group also assesses the risk posed by future traffic growth and recommends mitigation measures to deal with those risks. Note, however, that there was no meeting in 2016-17.</w:t>
            </w:r>
          </w:p>
          <w:p w14:paraId="57620807"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The multi-agency nature of the North East Shipping Management Plan encourages communication and cooperative strategic planning.</w:t>
            </w:r>
          </w:p>
          <w:p w14:paraId="57620808"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A few practical jurisdictional complications remain regarding implementation of the National Plan for Maritime Environmental Emergencies; Queensland Coastal Contingency Action Plan and other cross jurisdictional arrangements. For example:</w:t>
            </w:r>
          </w:p>
          <w:p w14:paraId="57620809" w14:textId="77777777" w:rsidR="00A56EE9" w:rsidRPr="00E70A11" w:rsidRDefault="00A56EE9" w:rsidP="00A80228">
            <w:pPr>
              <w:pStyle w:val="ListParagraph"/>
              <w:numPr>
                <w:ilvl w:val="1"/>
                <w:numId w:val="24"/>
              </w:numPr>
              <w:spacing w:after="200" w:line="276" w:lineRule="auto"/>
              <w:ind w:left="689" w:hanging="142"/>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Complications around responsibility for leading coordination and action when ships that ground come to rest partly in the GBR Marine Park and partly in state waters or on land (e.g. on the edge of state islands). The jurisdictions and powers that each agency have are complicated – sometimes overlapping, sometimes with slight gaps that were not contemplated at the time of drafting. In practice every agency strives to protect the Reef with the powers they have; however it is sometimes difficult to get an answer that actually addresses the question.</w:t>
            </w:r>
          </w:p>
          <w:p w14:paraId="5762080A"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Pollution response arrangement and preparedness (training) is managed effectively across jurisdictions. Training is undertaken every year. The AMSA training using </w:t>
            </w:r>
            <w:r w:rsidRPr="00E70A11">
              <w:rPr>
                <w:rFonts w:ascii="Arial Narrow" w:hAnsi="Arial Narrow"/>
                <w:i/>
                <w:color w:val="000000" w:themeColor="text1"/>
                <w:sz w:val="18"/>
                <w:szCs w:val="18"/>
              </w:rPr>
              <w:t>Coral Knight</w:t>
            </w:r>
            <w:r w:rsidRPr="00E70A11">
              <w:rPr>
                <w:rFonts w:ascii="Arial Narrow" w:hAnsi="Arial Narrow"/>
                <w:color w:val="000000" w:themeColor="text1"/>
                <w:sz w:val="18"/>
                <w:szCs w:val="18"/>
              </w:rPr>
              <w:t xml:space="preserve"> is ongoing. A State exercise -- such as Exercise Pallarenda -- rotate along the Queensland coast, sometimes in the GBR Region sometimes not, but GBR Region staff participate in all.</w:t>
            </w:r>
            <w:r w:rsidRPr="00E70A11">
              <w:rPr>
                <w:rStyle w:val="BookTitle"/>
                <w:rFonts w:ascii="Arial Narrow" w:hAnsi="Arial Narrow"/>
                <w:color w:val="000000" w:themeColor="text1"/>
                <w:sz w:val="18"/>
                <w:szCs w:val="18"/>
              </w:rPr>
              <w:t>, In 2016-17 activities were conducted under QCCAP and NPMEE.</w:t>
            </w:r>
          </w:p>
        </w:tc>
        <w:tc>
          <w:tcPr>
            <w:tcW w:w="5045" w:type="dxa"/>
            <w:gridSpan w:val="2"/>
            <w:tcBorders>
              <w:top w:val="single" w:sz="4" w:space="0" w:color="auto"/>
              <w:left w:val="single" w:sz="4" w:space="0" w:color="auto"/>
              <w:bottom w:val="single" w:sz="4" w:space="0" w:color="auto"/>
              <w:right w:val="single" w:sz="4" w:space="0" w:color="auto"/>
            </w:tcBorders>
            <w:shd w:val="clear" w:color="auto" w:fill="FFFFFF"/>
          </w:tcPr>
          <w:p w14:paraId="5762080B"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840" w:history="1">
              <w:r w:rsidR="00A56EE9" w:rsidRPr="00E70A11">
                <w:rPr>
                  <w:rStyle w:val="Hyperlink"/>
                  <w:rFonts w:ascii="Arial Narrow" w:hAnsi="Arial Narrow"/>
                  <w:color w:val="000000" w:themeColor="text1"/>
                  <w:sz w:val="18"/>
                  <w:szCs w:val="18"/>
                </w:rPr>
                <w:t>North-East Shipping Management Plan</w:t>
              </w:r>
            </w:hyperlink>
          </w:p>
          <w:p w14:paraId="5762080C"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lang w:val="en"/>
              </w:rPr>
              <w:t>AMSA</w:t>
            </w:r>
            <w:hyperlink r:id="rId1841" w:history="1">
              <w:r w:rsidRPr="00E70A11">
                <w:rPr>
                  <w:rStyle w:val="Hyperlink"/>
                  <w:rFonts w:ascii="Arial Narrow" w:hAnsi="Arial Narrow"/>
                  <w:color w:val="000000" w:themeColor="text1"/>
                  <w:sz w:val="18"/>
                  <w:szCs w:val="18"/>
                  <w:lang w:val="en"/>
                </w:rPr>
                <w:t xml:space="preserve"> North East Shipping Management webpage</w:t>
              </w:r>
            </w:hyperlink>
          </w:p>
          <w:p w14:paraId="5762080D"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Oil spill training</w:t>
            </w:r>
            <w:r>
              <w:rPr>
                <w:rStyle w:val="BookTitle"/>
                <w:rFonts w:ascii="Arial Narrow" w:hAnsi="Arial Narrow"/>
                <w:color w:val="000000" w:themeColor="text1"/>
                <w:sz w:val="18"/>
                <w:szCs w:val="18"/>
              </w:rPr>
              <w:t xml:space="preserve"> </w:t>
            </w:r>
            <w:r w:rsidRPr="00E70A11">
              <w:rPr>
                <w:rStyle w:val="BookTitle"/>
                <w:rFonts w:ascii="Arial Narrow" w:hAnsi="Arial Narrow"/>
                <w:color w:val="000000" w:themeColor="text1"/>
                <w:sz w:val="18"/>
                <w:szCs w:val="18"/>
              </w:rPr>
              <w:t xml:space="preserve">--- AMSA </w:t>
            </w:r>
            <w:hyperlink r:id="rId1842" w:history="1">
              <w:r w:rsidRPr="00E70A11">
                <w:rPr>
                  <w:rStyle w:val="Hyperlink"/>
                  <w:rFonts w:ascii="Arial Narrow" w:hAnsi="Arial Narrow"/>
                  <w:color w:val="000000" w:themeColor="text1"/>
                  <w:sz w:val="18"/>
                  <w:szCs w:val="18"/>
                </w:rPr>
                <w:t>Annual Report 2016-17</w:t>
              </w:r>
            </w:hyperlink>
            <w:r w:rsidRPr="00E70A11">
              <w:rPr>
                <w:rStyle w:val="BookTitle"/>
                <w:rFonts w:ascii="Arial Narrow" w:hAnsi="Arial Narrow"/>
                <w:color w:val="000000" w:themeColor="text1"/>
                <w:sz w:val="18"/>
                <w:szCs w:val="18"/>
              </w:rPr>
              <w:t xml:space="preserve"> p29</w:t>
            </w:r>
          </w:p>
          <w:p w14:paraId="5762080E"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Exercise Pallarenda 2016 (</w:t>
            </w:r>
            <w:hyperlink r:id="rId1843" w:history="1">
              <w:r w:rsidRPr="00E70A11">
                <w:rPr>
                  <w:rStyle w:val="Hyperlink"/>
                  <w:rFonts w:ascii="Arial Narrow" w:hAnsi="Arial Narrow"/>
                  <w:color w:val="000000" w:themeColor="text1"/>
                  <w:sz w:val="18"/>
                  <w:szCs w:val="18"/>
                </w:rPr>
                <w:t>internal document</w:t>
              </w:r>
            </w:hyperlink>
            <w:r w:rsidRPr="00E70A11">
              <w:rPr>
                <w:rStyle w:val="BookTitle"/>
                <w:rFonts w:ascii="Arial Narrow" w:hAnsi="Arial Narrow"/>
                <w:color w:val="000000" w:themeColor="text1"/>
                <w:sz w:val="18"/>
                <w:szCs w:val="18"/>
              </w:rPr>
              <w:t>)</w:t>
            </w:r>
          </w:p>
        </w:tc>
        <w:tc>
          <w:tcPr>
            <w:tcW w:w="986" w:type="dxa"/>
            <w:gridSpan w:val="2"/>
            <w:tcBorders>
              <w:top w:val="single" w:sz="4" w:space="0" w:color="auto"/>
              <w:left w:val="single" w:sz="4" w:space="0" w:color="auto"/>
              <w:bottom w:val="single" w:sz="4" w:space="0" w:color="auto"/>
              <w:right w:val="single" w:sz="4" w:space="0" w:color="auto"/>
            </w:tcBorders>
            <w:shd w:val="clear" w:color="auto" w:fill="FFFFFF"/>
          </w:tcPr>
          <w:p w14:paraId="5762080F"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shd w:val="clear" w:color="auto" w:fill="FFFFFF"/>
          </w:tcPr>
          <w:p w14:paraId="57620810"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823"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shd w:val="clear" w:color="auto" w:fill="auto"/>
          </w:tcPr>
          <w:p w14:paraId="57620812" w14:textId="77777777" w:rsidR="00A56EE9" w:rsidRPr="00E70A11" w:rsidRDefault="00A56EE9" w:rsidP="00BB6AD5">
            <w:pPr>
              <w:pStyle w:val="Tablebulletlist"/>
              <w:rPr>
                <w:rStyle w:val="BookTitle"/>
              </w:rPr>
            </w:pPr>
            <w:r w:rsidRPr="00E70A11">
              <w:rPr>
                <w:rStyle w:val="BookTitle"/>
              </w:rPr>
              <w:t>PL9</w:t>
            </w:r>
            <w:r>
              <w:rPr>
                <w:rStyle w:val="BookTitle"/>
              </w:rPr>
              <w:t xml:space="preserve"> </w:t>
            </w:r>
            <w:r w:rsidRPr="00E70A11">
              <w:rPr>
                <w:rStyle w:val="BookTitle"/>
              </w:rPr>
              <w:t>Plans relevant to shipping provide certainty regarding where uses may occur, the type of activities allowed, conditions under which activities may proceed and circumstances where impacts are likely to be acceptable.</w:t>
            </w:r>
          </w:p>
        </w:tc>
        <w:tc>
          <w:tcPr>
            <w:tcW w:w="809" w:type="dxa"/>
            <w:gridSpan w:val="2"/>
            <w:tcBorders>
              <w:top w:val="single" w:sz="4" w:space="0" w:color="auto"/>
              <w:left w:val="single" w:sz="4" w:space="0" w:color="auto"/>
              <w:bottom w:val="single" w:sz="4" w:space="0" w:color="auto"/>
              <w:right w:val="single" w:sz="4" w:space="0" w:color="auto"/>
            </w:tcBorders>
          </w:tcPr>
          <w:p w14:paraId="57620813"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81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Overall, shipping in GBR Region is considered to be effectively regulated.</w:t>
            </w:r>
          </w:p>
          <w:p w14:paraId="5762081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is clear information available on the Designated Shipping Area inside the Great Barrier Reef Marine Park, coastal pilotage requirements, ship passages, ship reporting, safety requirements, pollution controls, and similar.</w:t>
            </w:r>
          </w:p>
          <w:p w14:paraId="5762081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 addition to the existing legislative requirements and policies of AMSA, MSQ, GBRMP, the North East Shipping Management Plan facilitates actions that provide additional or improved guidance and more certainty for regulatory agencies, industry, other stakeholders and the general community.</w:t>
            </w:r>
          </w:p>
          <w:p w14:paraId="5762081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MSQ manages the allocation of ship anchorages for ports through its Vessel Traffic Service (VTS) operations. </w:t>
            </w:r>
          </w:p>
          <w:p w14:paraId="57620818"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rPr>
            </w:pPr>
            <w:r w:rsidRPr="00E70A11">
              <w:rPr>
                <w:rFonts w:ascii="Arial Narrow" w:hAnsi="Arial Narrow"/>
                <w:sz w:val="18"/>
                <w:szCs w:val="18"/>
              </w:rPr>
              <w:t>MSQ publish a Port Procedure Manual for each port, which are reviewed and updated annually. It contains information and guidelines to assist masters, owners and agents of vessels arriving at and traversing the area. The manual provides details of services, regulations and procedures to be observed.</w:t>
            </w:r>
          </w:p>
          <w:p w14:paraId="5762081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Some limited coordination around the management of ship anchorage areas across jurisdictions.</w:t>
            </w:r>
          </w:p>
          <w:p w14:paraId="5762081A" w14:textId="77777777" w:rsidR="00A56EE9" w:rsidRPr="00E70A11" w:rsidRDefault="00A56EE9" w:rsidP="00A11869">
            <w:pPr>
              <w:pStyle w:val="ListParagraph"/>
              <w:numPr>
                <w:ilvl w:val="0"/>
                <w:numId w:val="24"/>
              </w:numPr>
              <w:spacing w:after="200" w:line="276" w:lineRule="auto"/>
              <w:rPr>
                <w:rStyle w:val="BookTitle"/>
                <w:rFonts w:ascii="Arial Narrow" w:hAnsi="Arial Narrow"/>
                <w:b/>
                <w:sz w:val="18"/>
                <w:szCs w:val="18"/>
              </w:rPr>
            </w:pPr>
            <w:r w:rsidRPr="00E70A11">
              <w:rPr>
                <w:rFonts w:ascii="Arial Narrow" w:hAnsi="Arial Narrow"/>
                <w:sz w:val="18"/>
                <w:szCs w:val="18"/>
              </w:rPr>
              <w:t>MSQ is preparing a guideline on anchorage management and design.</w:t>
            </w:r>
            <w:r w:rsidRPr="00E70A11">
              <w:rPr>
                <w:rFonts w:ascii="Arial Narrow" w:hAnsi="Arial Narrow"/>
                <w:b/>
                <w:sz w:val="18"/>
                <w:szCs w:val="18"/>
              </w:rPr>
              <w:t xml:space="preserve"> </w:t>
            </w:r>
          </w:p>
        </w:tc>
        <w:tc>
          <w:tcPr>
            <w:tcW w:w="5045" w:type="dxa"/>
            <w:gridSpan w:val="2"/>
            <w:tcBorders>
              <w:top w:val="single" w:sz="4" w:space="0" w:color="auto"/>
              <w:left w:val="single" w:sz="4" w:space="0" w:color="auto"/>
              <w:bottom w:val="single" w:sz="4" w:space="0" w:color="auto"/>
              <w:right w:val="single" w:sz="4" w:space="0" w:color="auto"/>
            </w:tcBorders>
          </w:tcPr>
          <w:p w14:paraId="5762081B"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844" w:history="1">
              <w:r w:rsidR="00A56EE9" w:rsidRPr="00E70A11">
                <w:rPr>
                  <w:rStyle w:val="Hyperlink"/>
                  <w:rFonts w:ascii="Arial Narrow" w:hAnsi="Arial Narrow"/>
                  <w:color w:val="000000" w:themeColor="text1"/>
                  <w:sz w:val="18"/>
                  <w:szCs w:val="18"/>
                </w:rPr>
                <w:t>Quick guide – navigation through the GBR and Torres Strait</w:t>
              </w:r>
            </w:hyperlink>
          </w:p>
          <w:p w14:paraId="5762081C"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GBRMPA webpage on </w:t>
            </w:r>
            <w:hyperlink r:id="rId1845" w:history="1">
              <w:r w:rsidRPr="00E70A11">
                <w:rPr>
                  <w:rStyle w:val="Hyperlink"/>
                  <w:rFonts w:ascii="Arial Narrow" w:hAnsi="Arial Narrow"/>
                  <w:color w:val="000000" w:themeColor="text1"/>
                  <w:sz w:val="18"/>
                  <w:szCs w:val="18"/>
                </w:rPr>
                <w:t>DSA</w:t>
              </w:r>
            </w:hyperlink>
          </w:p>
          <w:p w14:paraId="5762081D"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846" w:history="1">
              <w:r w:rsidR="00A56EE9" w:rsidRPr="00E70A11">
                <w:rPr>
                  <w:rStyle w:val="Hyperlink"/>
                  <w:rFonts w:ascii="Arial Narrow" w:hAnsi="Arial Narrow"/>
                  <w:color w:val="000000" w:themeColor="text1"/>
                  <w:sz w:val="18"/>
                  <w:szCs w:val="18"/>
                </w:rPr>
                <w:t>North-East Shipping Management Plan</w:t>
              </w:r>
            </w:hyperlink>
          </w:p>
          <w:p w14:paraId="5762081E"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r w:rsidRPr="00E70A11">
              <w:rPr>
                <w:rFonts w:ascii="Arial Narrow" w:hAnsi="Arial Narrow"/>
                <w:color w:val="000000" w:themeColor="text1"/>
                <w:sz w:val="18"/>
                <w:szCs w:val="18"/>
                <w:lang w:val="en"/>
              </w:rPr>
              <w:t>AMSA</w:t>
            </w:r>
            <w:hyperlink r:id="rId1847" w:history="1">
              <w:r w:rsidRPr="00E70A11">
                <w:rPr>
                  <w:rStyle w:val="Hyperlink"/>
                  <w:rFonts w:ascii="Arial Narrow" w:hAnsi="Arial Narrow"/>
                  <w:color w:val="000000" w:themeColor="text1"/>
                  <w:sz w:val="18"/>
                  <w:szCs w:val="18"/>
                  <w:lang w:val="en"/>
                </w:rPr>
                <w:t xml:space="preserve"> North East Shipping Management webpage</w:t>
              </w:r>
            </w:hyperlink>
          </w:p>
          <w:p w14:paraId="5762081F"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lang w:val="en"/>
              </w:rPr>
            </w:pPr>
            <w:r w:rsidRPr="00E70A11">
              <w:rPr>
                <w:rFonts w:ascii="Arial Narrow" w:hAnsi="Arial Narrow"/>
                <w:color w:val="000000" w:themeColor="text1"/>
                <w:sz w:val="18"/>
                <w:szCs w:val="18"/>
              </w:rPr>
              <w:t xml:space="preserve">GBRMPA’s </w:t>
            </w:r>
            <w:hyperlink r:id="rId1848" w:history="1">
              <w:r w:rsidRPr="00E70A11">
                <w:rPr>
                  <w:rStyle w:val="Hyperlink"/>
                  <w:rFonts w:ascii="Arial Narrow" w:hAnsi="Arial Narrow"/>
                  <w:color w:val="000000" w:themeColor="text1"/>
                  <w:sz w:val="18"/>
                  <w:szCs w:val="18"/>
                </w:rPr>
                <w:t>Guidelines: Applications for joint permissions</w:t>
              </w:r>
            </w:hyperlink>
            <w:r w:rsidRPr="00E70A11">
              <w:rPr>
                <w:rFonts w:ascii="Arial Narrow" w:hAnsi="Arial Narrow"/>
                <w:color w:val="000000" w:themeColor="text1"/>
                <w:sz w:val="18"/>
                <w:szCs w:val="18"/>
              </w:rPr>
              <w:t xml:space="preserve"> p 27 &amp; 28</w:t>
            </w:r>
          </w:p>
          <w:p w14:paraId="57620820" w14:textId="77777777" w:rsidR="00A56EE9" w:rsidRPr="00AC4AB4"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lang w:val="en"/>
              </w:rPr>
            </w:pPr>
            <w:r w:rsidRPr="00E70A11">
              <w:rPr>
                <w:rFonts w:ascii="Arial Narrow" w:hAnsi="Arial Narrow"/>
                <w:color w:val="000000" w:themeColor="text1"/>
                <w:sz w:val="18"/>
                <w:szCs w:val="18"/>
                <w:lang w:val="en"/>
              </w:rPr>
              <w:t xml:space="preserve">MSQ </w:t>
            </w:r>
            <w:hyperlink r:id="rId1849" w:history="1">
              <w:r w:rsidRPr="00E70A11">
                <w:rPr>
                  <w:rStyle w:val="Hyperlink"/>
                  <w:rFonts w:ascii="Arial Narrow" w:hAnsi="Arial Narrow"/>
                  <w:color w:val="000000" w:themeColor="text1"/>
                  <w:sz w:val="18"/>
                  <w:szCs w:val="18"/>
                  <w:lang w:val="en"/>
                </w:rPr>
                <w:t>port procedures webpage</w:t>
              </w:r>
            </w:hyperlink>
            <w:r w:rsidRPr="00E70A11">
              <w:rPr>
                <w:rFonts w:ascii="Arial Narrow" w:hAnsi="Arial Narrow"/>
                <w:color w:val="000000" w:themeColor="text1"/>
                <w:sz w:val="18"/>
                <w:szCs w:val="18"/>
                <w:lang w:val="en"/>
              </w:rPr>
              <w:t xml:space="preserve"> </w:t>
            </w:r>
          </w:p>
        </w:tc>
        <w:tc>
          <w:tcPr>
            <w:tcW w:w="986" w:type="dxa"/>
            <w:gridSpan w:val="2"/>
            <w:tcBorders>
              <w:top w:val="single" w:sz="4" w:space="0" w:color="auto"/>
              <w:left w:val="single" w:sz="4" w:space="0" w:color="auto"/>
              <w:bottom w:val="single" w:sz="4" w:space="0" w:color="auto"/>
              <w:right w:val="single" w:sz="4" w:space="0" w:color="auto"/>
            </w:tcBorders>
          </w:tcPr>
          <w:p w14:paraId="57620821"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2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2A"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24" w14:textId="77777777" w:rsidR="00A56EE9" w:rsidRPr="00E70A11" w:rsidRDefault="00A56EE9" w:rsidP="00BB6AD5">
            <w:pPr>
              <w:pStyle w:val="Tablebulletlist"/>
              <w:rPr>
                <w:rStyle w:val="BookTitle"/>
              </w:rPr>
            </w:pPr>
            <w:r w:rsidRPr="00E70A11">
              <w:rPr>
                <w:rStyle w:val="BookTitle"/>
              </w:rPr>
              <w:t>INPUTS</w:t>
            </w:r>
          </w:p>
        </w:tc>
        <w:tc>
          <w:tcPr>
            <w:tcW w:w="809"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25" w14:textId="77777777" w:rsidR="00A56EE9" w:rsidRPr="00E70A11" w:rsidRDefault="00A56EE9" w:rsidP="00BB6AD5">
            <w:pPr>
              <w:pStyle w:val="Tablebulletlist"/>
              <w:rPr>
                <w:rStyle w:val="BookTitle"/>
              </w:rPr>
            </w:pPr>
          </w:p>
        </w:tc>
        <w:tc>
          <w:tcPr>
            <w:tcW w:w="3793"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26"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45"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27"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6"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28" w14:textId="77777777" w:rsidR="00A56EE9" w:rsidRPr="00E70A11" w:rsidRDefault="00A56EE9" w:rsidP="00BB6AD5">
            <w:pPr>
              <w:pStyle w:val="Tablebulletlist"/>
              <w:rPr>
                <w:rStyle w:val="BookTitle"/>
              </w:rPr>
            </w:pPr>
          </w:p>
        </w:tc>
        <w:tc>
          <w:tcPr>
            <w:tcW w:w="865"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29" w14:textId="77777777" w:rsidR="00A56EE9" w:rsidRPr="00E70A11" w:rsidRDefault="00A56EE9" w:rsidP="00BB6AD5">
            <w:pPr>
              <w:pStyle w:val="Tablebulletlist"/>
              <w:rPr>
                <w:rStyle w:val="BookTitle"/>
              </w:rPr>
            </w:pPr>
          </w:p>
        </w:tc>
      </w:tr>
      <w:tr w:rsidR="00A56EE9" w:rsidRPr="00E70A11" w14:paraId="57620841"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2B" w14:textId="77777777" w:rsidR="00A56EE9" w:rsidRPr="00E70A11" w:rsidRDefault="00A56EE9" w:rsidP="00BB6AD5">
            <w:pPr>
              <w:pStyle w:val="Tablebulletlist"/>
              <w:rPr>
                <w:rStyle w:val="BookTitle"/>
              </w:rPr>
            </w:pPr>
            <w:r w:rsidRPr="00E70A11">
              <w:rPr>
                <w:rStyle w:val="BookTitle"/>
              </w:rPr>
              <w:t>IN1</w:t>
            </w:r>
            <w:r>
              <w:rPr>
                <w:rStyle w:val="BookTitle"/>
              </w:rPr>
              <w:t xml:space="preserve"> </w:t>
            </w:r>
            <w:r w:rsidRPr="00E70A11">
              <w:rPr>
                <w:rStyle w:val="BookTitle"/>
              </w:rPr>
              <w:t xml:space="preserve">Financial resources are adequate and prioritised to meet management objectives to address shipping </w:t>
            </w:r>
          </w:p>
        </w:tc>
        <w:tc>
          <w:tcPr>
            <w:tcW w:w="809" w:type="dxa"/>
            <w:gridSpan w:val="2"/>
            <w:tcBorders>
              <w:top w:val="single" w:sz="4" w:space="0" w:color="auto"/>
              <w:left w:val="single" w:sz="4" w:space="0" w:color="auto"/>
              <w:bottom w:val="single" w:sz="4" w:space="0" w:color="auto"/>
              <w:right w:val="single" w:sz="4" w:space="0" w:color="auto"/>
            </w:tcBorders>
          </w:tcPr>
          <w:p w14:paraId="5762082C"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82D" w14:textId="77777777" w:rsidR="00A56EE9" w:rsidRPr="00E70A11" w:rsidRDefault="00A56EE9" w:rsidP="00A11869">
            <w:pPr>
              <w:numPr>
                <w:ilvl w:val="0"/>
                <w:numId w:val="91"/>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Changes in the level of shipping activity influence degree of risk. There needs to be ongoing review of risks in relation to available resources, to ensure sufficient funding is available.</w:t>
            </w:r>
            <w:r>
              <w:rPr>
                <w:rFonts w:ascii="Arial Narrow" w:hAnsi="Arial Narrow"/>
                <w:color w:val="000000" w:themeColor="text1"/>
                <w:sz w:val="18"/>
                <w:szCs w:val="18"/>
              </w:rPr>
              <w:t xml:space="preserve"> </w:t>
            </w:r>
          </w:p>
          <w:p w14:paraId="5762082E" w14:textId="77777777" w:rsidR="00A56EE9" w:rsidRPr="00E70A11" w:rsidRDefault="00A56EE9" w:rsidP="00A11869">
            <w:pPr>
              <w:pStyle w:val="ListBullet"/>
              <w:numPr>
                <w:ilvl w:val="0"/>
                <w:numId w:val="91"/>
              </w:numPr>
              <w:jc w:val="both"/>
            </w:pPr>
            <w:r w:rsidRPr="00E70A11">
              <w:rPr>
                <w:color w:val="000000" w:themeColor="text1"/>
              </w:rPr>
              <w:t>AMSA has well-established arrangements for the collection of levies to prepare for response to pollution events.</w:t>
            </w:r>
          </w:p>
          <w:p w14:paraId="5762082F" w14:textId="77777777" w:rsidR="00A56EE9" w:rsidRPr="00E70A11" w:rsidRDefault="00A56EE9" w:rsidP="00A11869">
            <w:pPr>
              <w:pStyle w:val="ListBullet"/>
              <w:numPr>
                <w:ilvl w:val="0"/>
                <w:numId w:val="91"/>
              </w:numPr>
              <w:jc w:val="both"/>
            </w:pPr>
            <w:r w:rsidRPr="00E70A11">
              <w:t xml:space="preserve">The capacity of the Program to guarantee a response to incidents in an effective and timely manner is predicated upon the availability of suitable vessels, especially long range vessels, and the number and availability of staff trained in specialist fields. The replacement of </w:t>
            </w:r>
            <w:r w:rsidRPr="00E70A11">
              <w:rPr>
                <w:i/>
              </w:rPr>
              <w:t>Reef Heron</w:t>
            </w:r>
            <w:r w:rsidRPr="00E70A11">
              <w:t xml:space="preserve"> at Gladstone with an open ocean vessel means that field management will have a rapid response capability at either end of the World Heritage Area.</w:t>
            </w:r>
          </w:p>
          <w:p w14:paraId="57620830" w14:textId="1FEA39EA" w:rsidR="00A56EE9" w:rsidRPr="00E70A11" w:rsidRDefault="00A56EE9" w:rsidP="00A11869">
            <w:pPr>
              <w:pStyle w:val="ListBullet"/>
              <w:numPr>
                <w:ilvl w:val="0"/>
                <w:numId w:val="91"/>
              </w:numPr>
              <w:jc w:val="both"/>
            </w:pPr>
            <w:r w:rsidRPr="00E70A11">
              <w:t>There is a continuing need to review and augment</w:t>
            </w:r>
            <w:r>
              <w:t xml:space="preserve"> </w:t>
            </w:r>
            <w:r w:rsidR="00ED0F5A" w:rsidRPr="00E70A11">
              <w:t>E</w:t>
            </w:r>
            <w:r w:rsidR="00ED0F5A">
              <w:t xml:space="preserve">mergency </w:t>
            </w:r>
            <w:r w:rsidRPr="00E70A11">
              <w:t>T</w:t>
            </w:r>
            <w:r w:rsidR="00ED0F5A">
              <w:t xml:space="preserve">owing </w:t>
            </w:r>
            <w:r w:rsidRPr="00E70A11">
              <w:t>V</w:t>
            </w:r>
            <w:r w:rsidR="00ED0F5A">
              <w:t>essel</w:t>
            </w:r>
            <w:r w:rsidRPr="00E70A11">
              <w:t xml:space="preserve"> arrangements, as warranted by forecast changes in shipping activity.</w:t>
            </w:r>
          </w:p>
          <w:p w14:paraId="57620831" w14:textId="77777777" w:rsidR="00A56EE9" w:rsidRPr="00E70A11" w:rsidRDefault="00A56EE9" w:rsidP="00A11869">
            <w:pPr>
              <w:numPr>
                <w:ilvl w:val="0"/>
                <w:numId w:val="91"/>
              </w:numPr>
              <w:spacing w:before="40" w:after="40" w:line="240" w:lineRule="auto"/>
              <w:jc w:val="both"/>
              <w:rPr>
                <w:rFonts w:ascii="Arial Narrow" w:eastAsia="Calibri" w:hAnsi="Arial Narrow"/>
                <w:sz w:val="18"/>
                <w:szCs w:val="18"/>
              </w:rPr>
            </w:pPr>
            <w:r w:rsidRPr="00E70A11">
              <w:rPr>
                <w:rFonts w:ascii="Arial Narrow" w:eastAsia="Calibri" w:hAnsi="Arial Narrow"/>
                <w:sz w:val="18"/>
                <w:szCs w:val="18"/>
              </w:rPr>
              <w:t>Only modest funds available for invasive marine species prevention measures and port monitoring in GBR Ports.</w:t>
            </w:r>
          </w:p>
          <w:p w14:paraId="57620832" w14:textId="77777777" w:rsidR="00A56EE9" w:rsidRPr="00E70A11" w:rsidRDefault="00A56EE9" w:rsidP="00A11869">
            <w:pPr>
              <w:numPr>
                <w:ilvl w:val="0"/>
                <w:numId w:val="91"/>
              </w:numPr>
              <w:spacing w:before="40" w:after="40" w:line="240" w:lineRule="auto"/>
              <w:jc w:val="both"/>
              <w:rPr>
                <w:rFonts w:ascii="Arial Narrow" w:eastAsia="Calibri" w:hAnsi="Arial Narrow"/>
                <w:sz w:val="18"/>
                <w:szCs w:val="18"/>
              </w:rPr>
            </w:pPr>
            <w:r w:rsidRPr="00E70A11">
              <w:rPr>
                <w:rFonts w:ascii="Arial Narrow" w:eastAsia="Calibri" w:hAnsi="Arial Narrow"/>
                <w:sz w:val="18"/>
                <w:szCs w:val="18"/>
              </w:rPr>
              <w:t xml:space="preserve">Considerable resources expended upon assessing and restoring damage to Douglas Shoal arising from </w:t>
            </w:r>
            <w:r w:rsidRPr="00E70A11">
              <w:rPr>
                <w:rFonts w:ascii="Arial Narrow" w:eastAsia="Calibri" w:hAnsi="Arial Narrow"/>
                <w:i/>
                <w:sz w:val="18"/>
                <w:szCs w:val="18"/>
              </w:rPr>
              <w:t>Shen Neng 1</w:t>
            </w:r>
            <w:r w:rsidRPr="00E70A11">
              <w:rPr>
                <w:rFonts w:ascii="Arial Narrow" w:eastAsia="Calibri" w:hAnsi="Arial Narrow"/>
                <w:sz w:val="18"/>
                <w:szCs w:val="18"/>
              </w:rPr>
              <w:t xml:space="preserve"> grounding. It is considered to be imperative that these studies be effectively delivered in order to represent the most cost-effective use of the available money.</w:t>
            </w:r>
          </w:p>
          <w:p w14:paraId="57620833" w14:textId="77777777" w:rsidR="00A56EE9" w:rsidRPr="00E70A11" w:rsidRDefault="00A56EE9" w:rsidP="00A11869">
            <w:pPr>
              <w:numPr>
                <w:ilvl w:val="0"/>
                <w:numId w:val="91"/>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Costs for detection and monitoring for introduced marine pests are expensive. Effective implementation may require more coordination/agreement between affected and involved parties.</w:t>
            </w:r>
          </w:p>
          <w:p w14:paraId="57620834" w14:textId="77777777" w:rsidR="00A56EE9" w:rsidRPr="00E70A11" w:rsidRDefault="00A56EE9" w:rsidP="00A11869">
            <w:pPr>
              <w:numPr>
                <w:ilvl w:val="0"/>
                <w:numId w:val="91"/>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Ongoing funding of REEF VTS is provided under an MOU between AMSA and MSQ.</w:t>
            </w:r>
          </w:p>
          <w:p w14:paraId="57620835" w14:textId="77777777" w:rsidR="00A56EE9" w:rsidRPr="00E70A11" w:rsidRDefault="00A56EE9" w:rsidP="00A11869">
            <w:pPr>
              <w:numPr>
                <w:ilvl w:val="0"/>
                <w:numId w:val="91"/>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It is reported that AMSA expends approximately $32 million</w:t>
            </w:r>
            <w:r w:rsidRPr="00E70A11">
              <w:rPr>
                <w:rFonts w:ascii="Arial Narrow" w:hAnsi="Arial Narrow"/>
                <w:i/>
                <w:color w:val="000000" w:themeColor="text1"/>
                <w:sz w:val="18"/>
                <w:szCs w:val="18"/>
              </w:rPr>
              <w:t xml:space="preserve"> </w:t>
            </w:r>
            <w:r w:rsidRPr="00E70A11">
              <w:rPr>
                <w:rFonts w:ascii="Arial Narrow" w:hAnsi="Arial Narrow"/>
                <w:color w:val="000000" w:themeColor="text1"/>
                <w:sz w:val="18"/>
                <w:szCs w:val="18"/>
              </w:rPr>
              <w:t>on ship safety measures in the Great Barrier Reef. These relate to aids-to-navigation; vessel traffic and pilotage services; emergency towage contracts; pollution preparedness and response; and Port State Control ship inspections.</w:t>
            </w:r>
            <w:r>
              <w:rPr>
                <w:rFonts w:ascii="Arial Narrow" w:hAnsi="Arial Narrow"/>
                <w:color w:val="000000" w:themeColor="text1"/>
                <w:sz w:val="18"/>
                <w:szCs w:val="18"/>
              </w:rPr>
              <w:t xml:space="preserve"> </w:t>
            </w:r>
          </w:p>
          <w:p w14:paraId="57620836" w14:textId="77777777" w:rsidR="00A56EE9" w:rsidRPr="00E70A11" w:rsidRDefault="00A56EE9" w:rsidP="00A11869">
            <w:pPr>
              <w:numPr>
                <w:ilvl w:val="0"/>
                <w:numId w:val="91"/>
              </w:numPr>
              <w:spacing w:before="40" w:after="40" w:line="240" w:lineRule="auto"/>
              <w:rPr>
                <w:rFonts w:ascii="Arial Narrow" w:hAnsi="Arial Narrow"/>
                <w:color w:val="000000" w:themeColor="text1"/>
                <w:sz w:val="18"/>
                <w:szCs w:val="18"/>
              </w:rPr>
            </w:pPr>
            <w:r w:rsidRPr="00E70A11">
              <w:rPr>
                <w:rFonts w:ascii="Arial Narrow" w:hAnsi="Arial Narrow"/>
                <w:color w:val="000000" w:themeColor="text1"/>
                <w:sz w:val="18"/>
                <w:szCs w:val="18"/>
              </w:rPr>
              <w:t>MSQ’s budget for all VTS operations managing the safe movement of ships</w:t>
            </w:r>
            <w:r>
              <w:rPr>
                <w:rFonts w:ascii="Arial Narrow" w:hAnsi="Arial Narrow"/>
                <w:color w:val="000000" w:themeColor="text1"/>
                <w:sz w:val="18"/>
                <w:szCs w:val="18"/>
              </w:rPr>
              <w:t xml:space="preserve"> </w:t>
            </w:r>
            <w:r w:rsidRPr="00E70A11">
              <w:rPr>
                <w:rFonts w:ascii="Arial Narrow" w:hAnsi="Arial Narrow"/>
                <w:color w:val="000000" w:themeColor="text1"/>
                <w:sz w:val="18"/>
                <w:szCs w:val="18"/>
              </w:rPr>
              <w:t xml:space="preserve">was $14 million in 2016-17. </w:t>
            </w:r>
          </w:p>
          <w:p w14:paraId="57620837" w14:textId="77777777" w:rsidR="00A56EE9" w:rsidRPr="00E70A11" w:rsidRDefault="00A56EE9" w:rsidP="00A11869">
            <w:pPr>
              <w:numPr>
                <w:ilvl w:val="0"/>
                <w:numId w:val="91"/>
              </w:numPr>
              <w:spacing w:before="40" w:after="40" w:line="240"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GBRMPA contributes financially to shipping management activities through travel costs for staff to attend meetings and training events and incident response support under the Joint Field Management Program (and where necessary GBRMPA’s legal section).</w:t>
            </w:r>
          </w:p>
        </w:tc>
        <w:tc>
          <w:tcPr>
            <w:tcW w:w="5045" w:type="dxa"/>
            <w:gridSpan w:val="2"/>
            <w:tcBorders>
              <w:top w:val="single" w:sz="4" w:space="0" w:color="auto"/>
              <w:left w:val="single" w:sz="4" w:space="0" w:color="auto"/>
              <w:bottom w:val="single" w:sz="4" w:space="0" w:color="auto"/>
              <w:right w:val="single" w:sz="4" w:space="0" w:color="auto"/>
            </w:tcBorders>
          </w:tcPr>
          <w:p w14:paraId="57620838"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GBRMPA’s </w:t>
            </w:r>
            <w:hyperlink r:id="rId1850" w:history="1">
              <w:r w:rsidRPr="00E70A11">
                <w:rPr>
                  <w:rStyle w:val="Hyperlink"/>
                  <w:rFonts w:ascii="Arial Narrow" w:hAnsi="Arial Narrow"/>
                  <w:color w:val="000000" w:themeColor="text1"/>
                  <w:sz w:val="18"/>
                  <w:szCs w:val="18"/>
                </w:rPr>
                <w:t>Permit Application Assessment Fees</w:t>
              </w:r>
            </w:hyperlink>
            <w:r w:rsidRPr="00E70A11">
              <w:rPr>
                <w:rFonts w:ascii="Arial Narrow" w:hAnsi="Arial Narrow"/>
                <w:color w:val="000000" w:themeColor="text1"/>
                <w:sz w:val="18"/>
                <w:szCs w:val="18"/>
              </w:rPr>
              <w:t xml:space="preserve"> </w:t>
            </w:r>
          </w:p>
          <w:p w14:paraId="57620839"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851" w:history="1">
              <w:r w:rsidR="00A56EE9" w:rsidRPr="00E70A11">
                <w:rPr>
                  <w:rStyle w:val="Hyperlink"/>
                  <w:rFonts w:ascii="Arial Narrow" w:hAnsi="Arial Narrow"/>
                  <w:color w:val="000000" w:themeColor="text1"/>
                  <w:sz w:val="18"/>
                  <w:szCs w:val="18"/>
                </w:rPr>
                <w:t>Shen Neng 1 Grounding Impact Assessment</w:t>
              </w:r>
            </w:hyperlink>
            <w:r w:rsidR="00A56EE9" w:rsidRPr="00E70A11">
              <w:rPr>
                <w:rFonts w:ascii="Arial Narrow" w:hAnsi="Arial Narrow"/>
                <w:color w:val="000000" w:themeColor="text1"/>
                <w:sz w:val="18"/>
                <w:szCs w:val="18"/>
              </w:rPr>
              <w:t xml:space="preserve"> </w:t>
            </w:r>
          </w:p>
          <w:p w14:paraId="5762083A"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Field Management Program 5-year Business Strategy 2018-2022 </w:t>
            </w:r>
            <w:r w:rsidRPr="00E70A11">
              <w:rPr>
                <w:rFonts w:ascii="Arial Narrow" w:hAnsi="Arial Narrow"/>
                <w:i/>
                <w:color w:val="000000" w:themeColor="text1"/>
                <w:sz w:val="18"/>
                <w:szCs w:val="18"/>
              </w:rPr>
              <w:t xml:space="preserve">(draft, internal document) </w:t>
            </w:r>
            <w:r w:rsidRPr="00E70A11">
              <w:rPr>
                <w:rFonts w:ascii="Arial Narrow" w:hAnsi="Arial Narrow"/>
                <w:color w:val="000000" w:themeColor="text1"/>
                <w:sz w:val="18"/>
                <w:szCs w:val="18"/>
              </w:rPr>
              <w:t xml:space="preserve">and FMP Annual Business Plan 2017-18 </w:t>
            </w:r>
            <w:r w:rsidRPr="00E70A11">
              <w:rPr>
                <w:rFonts w:ascii="Arial Narrow" w:hAnsi="Arial Narrow"/>
                <w:i/>
                <w:color w:val="000000" w:themeColor="text1"/>
                <w:sz w:val="18"/>
                <w:szCs w:val="18"/>
              </w:rPr>
              <w:t>(draft, internal document)</w:t>
            </w:r>
          </w:p>
          <w:p w14:paraId="5762083B"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852" w:history="1">
              <w:r w:rsidR="00A56EE9" w:rsidRPr="00E70A11">
                <w:rPr>
                  <w:rStyle w:val="Hyperlink"/>
                  <w:rFonts w:ascii="Arial Narrow" w:hAnsi="Arial Narrow"/>
                  <w:color w:val="000000" w:themeColor="text1"/>
                  <w:sz w:val="18"/>
                  <w:szCs w:val="18"/>
                </w:rPr>
                <w:t>FMP Annual report 2015-16</w:t>
              </w:r>
            </w:hyperlink>
            <w:r w:rsidR="00A56EE9" w:rsidRPr="00E70A11">
              <w:rPr>
                <w:rFonts w:ascii="Arial Narrow" w:hAnsi="Arial Narrow"/>
                <w:color w:val="000000" w:themeColor="text1"/>
                <w:sz w:val="18"/>
                <w:szCs w:val="18"/>
              </w:rPr>
              <w:t xml:space="preserve"> </w:t>
            </w:r>
          </w:p>
          <w:p w14:paraId="5762083C"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853" w:history="1">
              <w:r w:rsidR="00A56EE9" w:rsidRPr="00E70A11">
                <w:rPr>
                  <w:rStyle w:val="Hyperlink"/>
                  <w:rFonts w:ascii="Arial Narrow" w:hAnsi="Arial Narrow"/>
                  <w:color w:val="000000" w:themeColor="text1"/>
                  <w:sz w:val="18"/>
                  <w:szCs w:val="18"/>
                </w:rPr>
                <w:t>GBRMPA Statement on out-of-court settlement with owners of Shen Neng 1</w:t>
              </w:r>
            </w:hyperlink>
          </w:p>
          <w:p w14:paraId="5762083D"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854" w:history="1">
              <w:r w:rsidR="00A56EE9" w:rsidRPr="00E70A11">
                <w:rPr>
                  <w:rStyle w:val="Hyperlink"/>
                  <w:rFonts w:ascii="Arial Narrow" w:hAnsi="Arial Narrow"/>
                  <w:color w:val="000000" w:themeColor="text1"/>
                  <w:sz w:val="18"/>
                  <w:szCs w:val="18"/>
                </w:rPr>
                <w:t>GBRMPA Annual Report 2016-17</w:t>
              </w:r>
            </w:hyperlink>
            <w:r w:rsidR="00A56EE9" w:rsidRPr="00E70A11">
              <w:rPr>
                <w:rStyle w:val="BookTitle"/>
                <w:rFonts w:ascii="Arial Narrow" w:hAnsi="Arial Narrow"/>
                <w:color w:val="000000" w:themeColor="text1"/>
                <w:sz w:val="18"/>
                <w:szCs w:val="18"/>
              </w:rPr>
              <w:t xml:space="preserve"> </w:t>
            </w:r>
          </w:p>
          <w:p w14:paraId="5762083E" w14:textId="77777777" w:rsidR="00A56EE9" w:rsidRPr="00AC4AB4"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DoEE </w:t>
            </w:r>
            <w:hyperlink r:id="rId1855" w:history="1">
              <w:r w:rsidRPr="00E70A11">
                <w:rPr>
                  <w:rStyle w:val="Hyperlink"/>
                  <w:rFonts w:ascii="Arial Narrow" w:hAnsi="Arial Narrow"/>
                  <w:color w:val="000000" w:themeColor="text1"/>
                  <w:sz w:val="18"/>
                  <w:szCs w:val="18"/>
                </w:rPr>
                <w:t>Reef 2050 Plan</w:t>
              </w:r>
            </w:hyperlink>
            <w:r w:rsidRPr="00E70A11">
              <w:rPr>
                <w:rFonts w:ascii="Arial Narrow" w:hAnsi="Arial Narrow"/>
                <w:color w:val="000000" w:themeColor="text1"/>
                <w:sz w:val="18"/>
                <w:szCs w:val="18"/>
              </w:rPr>
              <w:t xml:space="preserve"> webpage and documents</w:t>
            </w:r>
          </w:p>
        </w:tc>
        <w:tc>
          <w:tcPr>
            <w:tcW w:w="986" w:type="dxa"/>
            <w:gridSpan w:val="2"/>
            <w:tcBorders>
              <w:top w:val="single" w:sz="4" w:space="0" w:color="auto"/>
              <w:left w:val="single" w:sz="4" w:space="0" w:color="auto"/>
              <w:bottom w:val="single" w:sz="4" w:space="0" w:color="auto"/>
              <w:right w:val="single" w:sz="4" w:space="0" w:color="auto"/>
            </w:tcBorders>
          </w:tcPr>
          <w:p w14:paraId="5762083F"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4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50"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42" w14:textId="77777777" w:rsidR="00A56EE9" w:rsidRPr="00E70A11" w:rsidRDefault="00A56EE9" w:rsidP="00BB6AD5">
            <w:pPr>
              <w:pStyle w:val="Tablebulletlist"/>
              <w:rPr>
                <w:rStyle w:val="BookTitle"/>
              </w:rPr>
            </w:pPr>
            <w:r w:rsidRPr="00E70A11">
              <w:rPr>
                <w:rStyle w:val="BookTitle"/>
              </w:rPr>
              <w:t>IN2</w:t>
            </w:r>
            <w:r>
              <w:rPr>
                <w:rStyle w:val="BookTitle"/>
              </w:rPr>
              <w:t xml:space="preserve"> </w:t>
            </w:r>
            <w:r w:rsidRPr="00E70A11">
              <w:rPr>
                <w:rStyle w:val="BookTitle"/>
              </w:rPr>
              <w:t xml:space="preserve">Human resources within the managing organisations are adequate to meet specific management objectives to address shipping </w:t>
            </w:r>
          </w:p>
        </w:tc>
        <w:tc>
          <w:tcPr>
            <w:tcW w:w="809" w:type="dxa"/>
            <w:gridSpan w:val="2"/>
            <w:tcBorders>
              <w:top w:val="single" w:sz="4" w:space="0" w:color="auto"/>
              <w:left w:val="single" w:sz="4" w:space="0" w:color="auto"/>
              <w:bottom w:val="single" w:sz="4" w:space="0" w:color="auto"/>
              <w:right w:val="single" w:sz="4" w:space="0" w:color="auto"/>
            </w:tcBorders>
          </w:tcPr>
          <w:p w14:paraId="57620843"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84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Human resources available within AMSA and MSQ appear to be adequate, although the capacity of management agencies to deal with the growth in shipping activity is continually tested. </w:t>
            </w:r>
          </w:p>
          <w:p w14:paraId="5762084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It is understood that there exists a sufficient availability of pilots with appropriate skills and experience is critical to safe and effective management of shipping within the GBR.</w:t>
            </w:r>
          </w:p>
          <w:p w14:paraId="57620846" w14:textId="77BDC568"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It is not clear whether GBRMPA staff have optimal capacity and availability in order to be best advance GBRMPA objectives, although this situation has improved since 2013. For example, resourcing for strategic planning within GBRMPA for shipping management is reported </w:t>
            </w:r>
            <w:r w:rsidR="00ED0F5A">
              <w:rPr>
                <w:rFonts w:ascii="Arial Narrow" w:hAnsi="Arial Narrow"/>
                <w:sz w:val="18"/>
                <w:szCs w:val="18"/>
              </w:rPr>
              <w:t>by stakeholder</w:t>
            </w:r>
            <w:r w:rsidR="00966A8E">
              <w:rPr>
                <w:rFonts w:ascii="Arial Narrow" w:hAnsi="Arial Narrow"/>
                <w:sz w:val="18"/>
                <w:szCs w:val="18"/>
              </w:rPr>
              <w:t>s</w:t>
            </w:r>
            <w:r w:rsidR="00ED0F5A">
              <w:rPr>
                <w:rFonts w:ascii="Arial Narrow" w:hAnsi="Arial Narrow"/>
                <w:sz w:val="18"/>
                <w:szCs w:val="18"/>
              </w:rPr>
              <w:t xml:space="preserve"> </w:t>
            </w:r>
            <w:r w:rsidRPr="00E70A11">
              <w:rPr>
                <w:rFonts w:ascii="Arial Narrow" w:hAnsi="Arial Narrow"/>
                <w:sz w:val="18"/>
                <w:szCs w:val="18"/>
              </w:rPr>
              <w:t>to be inadequate.</w:t>
            </w:r>
          </w:p>
          <w:p w14:paraId="5762084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MSQ has agreements in place with all port authorities for the provision of first strike pollution response within ports.</w:t>
            </w:r>
          </w:p>
          <w:p w14:paraId="5762084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MSQ operates an annual pollution response training and exercise program.</w:t>
            </w:r>
          </w:p>
          <w:p w14:paraId="57620849"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Successful response for the Cape Upstart (in Region) and Fraser Island (out of Region) oil spills suggest adequate resources are available.</w:t>
            </w:r>
          </w:p>
          <w:p w14:paraId="5762084A"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Queensland is able to call upon national resources.</w:t>
            </w:r>
          </w:p>
          <w:p w14:paraId="5762084B"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MSQ trained 151 people in incident response in 2016/17 and held two significant exercises. </w:t>
            </w:r>
          </w:p>
          <w:p w14:paraId="5762084C"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In 2015-16 ten new vessel traffic services (VTS) were authorised, including Gladstone, Hay Point, Mackay, Abbot Point, Townsville, Cairns and the Great Barrier Reef and Torres Strait. MSQ operates five VTS centres, four of which manage shipping in or near the GBRMP utilising 46 FTE.</w:t>
            </w:r>
          </w:p>
        </w:tc>
        <w:tc>
          <w:tcPr>
            <w:tcW w:w="5045" w:type="dxa"/>
            <w:gridSpan w:val="2"/>
            <w:tcBorders>
              <w:top w:val="single" w:sz="4" w:space="0" w:color="auto"/>
              <w:left w:val="single" w:sz="4" w:space="0" w:color="auto"/>
              <w:bottom w:val="single" w:sz="4" w:space="0" w:color="auto"/>
              <w:right w:val="single" w:sz="4" w:space="0" w:color="auto"/>
            </w:tcBorders>
          </w:tcPr>
          <w:p w14:paraId="5762084D" w14:textId="77777777" w:rsidR="00A56EE9" w:rsidRPr="00AC4AB4"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AMSA </w:t>
            </w:r>
            <w:hyperlink r:id="rId1856" w:history="1">
              <w:r w:rsidRPr="00E70A11">
                <w:rPr>
                  <w:rStyle w:val="Hyperlink"/>
                  <w:rFonts w:ascii="Arial Narrow" w:hAnsi="Arial Narrow"/>
                  <w:color w:val="000000" w:themeColor="text1"/>
                  <w:sz w:val="18"/>
                  <w:szCs w:val="18"/>
                </w:rPr>
                <w:t>annual report 2015-16</w:t>
              </w:r>
            </w:hyperlink>
            <w:r w:rsidRPr="00E70A11">
              <w:rPr>
                <w:rFonts w:ascii="Arial Narrow" w:hAnsi="Arial Narrow"/>
                <w:color w:val="000000" w:themeColor="text1"/>
                <w:sz w:val="18"/>
                <w:szCs w:val="18"/>
              </w:rPr>
              <w:t xml:space="preserve"> p 56</w:t>
            </w:r>
          </w:p>
        </w:tc>
        <w:tc>
          <w:tcPr>
            <w:tcW w:w="986" w:type="dxa"/>
            <w:gridSpan w:val="2"/>
            <w:tcBorders>
              <w:top w:val="single" w:sz="4" w:space="0" w:color="auto"/>
              <w:left w:val="single" w:sz="4" w:space="0" w:color="auto"/>
              <w:bottom w:val="single" w:sz="4" w:space="0" w:color="auto"/>
              <w:right w:val="single" w:sz="4" w:space="0" w:color="auto"/>
            </w:tcBorders>
          </w:tcPr>
          <w:p w14:paraId="5762084E"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4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5C"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51" w14:textId="77777777" w:rsidR="00A56EE9" w:rsidRPr="00E70A11" w:rsidRDefault="00A56EE9" w:rsidP="00BB6AD5">
            <w:pPr>
              <w:pStyle w:val="Tablebulletlist"/>
              <w:rPr>
                <w:rStyle w:val="BookTitle"/>
              </w:rPr>
            </w:pPr>
            <w:r w:rsidRPr="00E70A11">
              <w:rPr>
                <w:rStyle w:val="BookTitle"/>
              </w:rPr>
              <w:t>IN3</w:t>
            </w:r>
            <w:r>
              <w:rPr>
                <w:rStyle w:val="BookTitle"/>
              </w:rPr>
              <w:t xml:space="preserve"> </w:t>
            </w:r>
            <w:r w:rsidRPr="00E70A11">
              <w:rPr>
                <w:rStyle w:val="BookTitle"/>
              </w:rPr>
              <w:t>The right skill sets and expertise are currently available to the managing organisations to address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52"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85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 wider Government, sufficient expertise is available to adequately manage shipping.</w:t>
            </w:r>
          </w:p>
          <w:p w14:paraId="57620854"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sz w:val="18"/>
                <w:szCs w:val="18"/>
              </w:rPr>
              <w:t>It is not clear whether GBRMPA staff have optimal knowledge of shipping in order to be best advance GBRMPA objectives.</w:t>
            </w:r>
          </w:p>
          <w:p w14:paraId="57620855"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All MSQ VTS operators are trained in accordance with the IMO’s competency based training standard.</w:t>
            </w:r>
          </w:p>
          <w:p w14:paraId="57620856"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Training for a major oil spill on the Great Barrier Reef was conducted in 2016-17 by the National Response team and by agencies under QCCAP.</w:t>
            </w:r>
          </w:p>
          <w:p w14:paraId="57620857"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The 2014 National Plan for Marine Environmental Emergencies has generated more cooperative training between GBRMPA, AMSA, MSQ and QPWS.</w:t>
            </w:r>
          </w:p>
          <w:p w14:paraId="57620858"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AMSA has arrangements with CSIRO, AIMS and NSW Fire &amp; Rescue that provide the ability to draw technical advice during a maritime incident. This is part of the Environment, Science and Technical Network under the National Plan for Marine Environmental Emergencies.</w:t>
            </w:r>
            <w:r w:rsidRPr="00E70A11">
              <w:rPr>
                <w:rFonts w:ascii="Arial Narrow" w:hAnsi="Arial Narrow"/>
                <w:sz w:val="18"/>
                <w:szCs w:val="18"/>
              </w:rPr>
              <w:t xml:space="preserve"> </w:t>
            </w:r>
          </w:p>
        </w:tc>
        <w:tc>
          <w:tcPr>
            <w:tcW w:w="5045" w:type="dxa"/>
            <w:gridSpan w:val="2"/>
            <w:tcBorders>
              <w:top w:val="single" w:sz="4" w:space="0" w:color="auto"/>
              <w:left w:val="single" w:sz="4" w:space="0" w:color="auto"/>
              <w:bottom w:val="single" w:sz="4" w:space="0" w:color="auto"/>
              <w:right w:val="single" w:sz="4" w:space="0" w:color="auto"/>
            </w:tcBorders>
          </w:tcPr>
          <w:p w14:paraId="57620859"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Oil spill training</w:t>
            </w:r>
            <w:r>
              <w:rPr>
                <w:rStyle w:val="BookTitle"/>
                <w:rFonts w:ascii="Arial Narrow" w:hAnsi="Arial Narrow"/>
                <w:color w:val="000000" w:themeColor="text1"/>
                <w:sz w:val="18"/>
                <w:szCs w:val="18"/>
              </w:rPr>
              <w:t xml:space="preserve"> </w:t>
            </w:r>
            <w:r w:rsidRPr="00E70A11">
              <w:rPr>
                <w:rStyle w:val="BookTitle"/>
                <w:rFonts w:ascii="Arial Narrow" w:hAnsi="Arial Narrow"/>
                <w:color w:val="000000" w:themeColor="text1"/>
                <w:sz w:val="18"/>
                <w:szCs w:val="18"/>
              </w:rPr>
              <w:t xml:space="preserve">--- AMSA </w:t>
            </w:r>
            <w:hyperlink r:id="rId1857" w:history="1">
              <w:r w:rsidRPr="00E70A11">
                <w:rPr>
                  <w:rStyle w:val="Hyperlink"/>
                  <w:rFonts w:ascii="Arial Narrow" w:hAnsi="Arial Narrow"/>
                  <w:color w:val="000000" w:themeColor="text1"/>
                  <w:sz w:val="18"/>
                  <w:szCs w:val="18"/>
                </w:rPr>
                <w:t>Annual Report 2016-17</w:t>
              </w:r>
            </w:hyperlink>
            <w:r w:rsidRPr="00E70A11">
              <w:rPr>
                <w:rStyle w:val="BookTitle"/>
                <w:rFonts w:ascii="Arial Narrow" w:hAnsi="Arial Narrow"/>
                <w:color w:val="000000" w:themeColor="text1"/>
                <w:sz w:val="18"/>
                <w:szCs w:val="18"/>
              </w:rPr>
              <w:t xml:space="preserve"> p29</w:t>
            </w:r>
          </w:p>
        </w:tc>
        <w:tc>
          <w:tcPr>
            <w:tcW w:w="986" w:type="dxa"/>
            <w:gridSpan w:val="2"/>
            <w:tcBorders>
              <w:top w:val="single" w:sz="4" w:space="0" w:color="auto"/>
              <w:left w:val="single" w:sz="4" w:space="0" w:color="auto"/>
              <w:bottom w:val="single" w:sz="4" w:space="0" w:color="auto"/>
              <w:right w:val="single" w:sz="4" w:space="0" w:color="auto"/>
            </w:tcBorders>
          </w:tcPr>
          <w:p w14:paraId="5762085A"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5B"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70"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5D" w14:textId="77777777" w:rsidR="00A56EE9" w:rsidRPr="00E70A11" w:rsidRDefault="00A56EE9" w:rsidP="00BB6AD5">
            <w:pPr>
              <w:pStyle w:val="Tablebulletlist"/>
              <w:rPr>
                <w:rStyle w:val="BookTitle"/>
              </w:rPr>
            </w:pPr>
            <w:r w:rsidRPr="00E70A11">
              <w:rPr>
                <w:rStyle w:val="BookTitle"/>
              </w:rPr>
              <w:t>IN4</w:t>
            </w:r>
            <w:r>
              <w:rPr>
                <w:rStyle w:val="BookTitle"/>
              </w:rPr>
              <w:t xml:space="preserve"> </w:t>
            </w:r>
            <w:r w:rsidRPr="00E70A11">
              <w:rPr>
                <w:rStyle w:val="BookTitle"/>
              </w:rPr>
              <w:t>The necessary biophysical information is currently available to address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5E"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85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Style w:val="BookTitle"/>
                <w:rFonts w:ascii="Arial Narrow" w:hAnsi="Arial Narrow"/>
                <w:color w:val="000000" w:themeColor="text1"/>
                <w:sz w:val="18"/>
                <w:szCs w:val="18"/>
              </w:rPr>
              <w:t>Various projects under the old National Environmental Research Program (NERP) (esp. Tropical Ecosystems Hub) and current National Environmental Science Program (NESP) have/will provide useful information, with</w:t>
            </w:r>
            <w:r w:rsidRPr="00E70A11">
              <w:rPr>
                <w:rFonts w:ascii="Arial Narrow" w:hAnsi="Arial Narrow"/>
                <w:sz w:val="18"/>
                <w:szCs w:val="18"/>
              </w:rPr>
              <w:t xml:space="preserve"> projects instigated to address identified gaps.</w:t>
            </w:r>
          </w:p>
          <w:p w14:paraId="57620860"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More information needed on species distributions and habitat requirements of some taxa, particularly inshore dolphins.</w:t>
            </w:r>
          </w:p>
          <w:p w14:paraId="57620861"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Although some studies initiated, expressed concerns regarding the possible adverse effects of ship-sourced noise need better focused studies in order to better understand the GBR context, if any risks actually exist, and appropriate means of management.</w:t>
            </w:r>
          </w:p>
          <w:p w14:paraId="57620862"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Some information is reasonably available (e.g. on location and state of seagrass and coral reef habitats and connectivity), but less information is available on things such as shoal and other seabed habitats, natural and anthropogenic underwater soundscapes, acoustic communication of GBR species, underwater noise impacts, ship lighting, ship-related turbidity and turbulence impacts on species and habitats etc.</w:t>
            </w:r>
          </w:p>
          <w:p w14:paraId="57620863"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There can be issues with lack of biophysical information at an appropriate scale for a shipping incident or planning. Available shipping risk assessments also quite broad.</w:t>
            </w:r>
          </w:p>
          <w:p w14:paraId="57620864"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Updated biophysical and shipping impact related information needs noted in the GBRMPA’s science strategy and information needs documents.</w:t>
            </w:r>
          </w:p>
          <w:p w14:paraId="57620865"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The Reef Integrated Monitoring and Reporting Program (RIMReP) is intended to provide a coordinated monitoring program for many Reef values.</w:t>
            </w:r>
          </w:p>
        </w:tc>
        <w:tc>
          <w:tcPr>
            <w:tcW w:w="5045" w:type="dxa"/>
            <w:gridSpan w:val="2"/>
            <w:tcBorders>
              <w:top w:val="single" w:sz="4" w:space="0" w:color="auto"/>
              <w:left w:val="single" w:sz="4" w:space="0" w:color="auto"/>
              <w:bottom w:val="single" w:sz="4" w:space="0" w:color="auto"/>
              <w:right w:val="single" w:sz="4" w:space="0" w:color="auto"/>
            </w:tcBorders>
          </w:tcPr>
          <w:p w14:paraId="57620866"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858" w:tgtFrame="_blank" w:history="1">
              <w:r w:rsidR="00A56EE9" w:rsidRPr="00E70A11">
                <w:rPr>
                  <w:rStyle w:val="Hyperlink"/>
                  <w:rFonts w:ascii="Arial Narrow" w:hAnsi="Arial Narrow"/>
                  <w:color w:val="000000" w:themeColor="text1"/>
                  <w:sz w:val="18"/>
                  <w:szCs w:val="18"/>
                  <w:lang w:val="en"/>
                </w:rPr>
                <w:t>Ship Anchorage Management Report in the Great Barrier Reef World Heritage Area</w:t>
              </w:r>
            </w:hyperlink>
            <w:r w:rsidR="00A56EE9" w:rsidRPr="00E70A11">
              <w:rPr>
                <w:rStyle w:val="Hyperlink"/>
                <w:rFonts w:ascii="Arial Narrow" w:hAnsi="Arial Narrow"/>
                <w:color w:val="000000" w:themeColor="text1"/>
                <w:sz w:val="18"/>
                <w:szCs w:val="18"/>
                <w:lang w:val="en"/>
              </w:rPr>
              <w:t xml:space="preserve"> 2013</w:t>
            </w:r>
          </w:p>
          <w:p w14:paraId="57620867"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Chapter 4 </w:t>
            </w:r>
            <w:hyperlink r:id="rId1859" w:history="1">
              <w:r w:rsidRPr="00E70A11">
                <w:rPr>
                  <w:rStyle w:val="Hyperlink"/>
                  <w:rFonts w:ascii="Arial Narrow" w:hAnsi="Arial Narrow"/>
                  <w:color w:val="000000" w:themeColor="text1"/>
                  <w:sz w:val="18"/>
                  <w:szCs w:val="18"/>
                </w:rPr>
                <w:t>Great Barrier Reef Region Strategic Assessment Report</w:t>
              </w:r>
            </w:hyperlink>
          </w:p>
          <w:p w14:paraId="57620868"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860" w:history="1">
              <w:r w:rsidR="00A56EE9" w:rsidRPr="00E70A11">
                <w:rPr>
                  <w:rStyle w:val="Hyperlink"/>
                  <w:rFonts w:ascii="Arial Narrow" w:hAnsi="Arial Narrow"/>
                  <w:color w:val="000000" w:themeColor="text1"/>
                  <w:sz w:val="18"/>
                  <w:szCs w:val="18"/>
                </w:rPr>
                <w:t>Outlook Report 2014</w:t>
              </w:r>
            </w:hyperlink>
          </w:p>
          <w:p w14:paraId="57620869"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861" w:history="1">
              <w:r w:rsidR="00A56EE9" w:rsidRPr="00E70A11">
                <w:rPr>
                  <w:rStyle w:val="Hyperlink"/>
                  <w:rFonts w:ascii="Arial Narrow" w:hAnsi="Arial Narrow"/>
                  <w:color w:val="000000" w:themeColor="text1"/>
                  <w:sz w:val="18"/>
                  <w:szCs w:val="18"/>
                </w:rPr>
                <w:t>North-East Shipping Management Plan</w:t>
              </w:r>
            </w:hyperlink>
          </w:p>
          <w:p w14:paraId="5762086A"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862" w:history="1">
              <w:r w:rsidR="00A56EE9" w:rsidRPr="00E70A11">
                <w:rPr>
                  <w:rStyle w:val="Hyperlink"/>
                  <w:rFonts w:ascii="Arial Narrow" w:hAnsi="Arial Narrow"/>
                  <w:color w:val="000000" w:themeColor="text1"/>
                  <w:sz w:val="18"/>
                  <w:szCs w:val="18"/>
                </w:rPr>
                <w:t>Science Strategy and Information Needs 2014-2019</w:t>
              </w:r>
            </w:hyperlink>
            <w:r w:rsidR="00A56EE9" w:rsidRPr="00E70A11">
              <w:rPr>
                <w:rFonts w:ascii="Arial Narrow" w:hAnsi="Arial Narrow"/>
                <w:color w:val="000000" w:themeColor="text1"/>
                <w:sz w:val="18"/>
                <w:szCs w:val="18"/>
              </w:rPr>
              <w:t xml:space="preserve"> and</w:t>
            </w:r>
            <w:r w:rsidR="00A56EE9">
              <w:rPr>
                <w:rFonts w:ascii="Arial Narrow" w:hAnsi="Arial Narrow"/>
                <w:color w:val="000000" w:themeColor="text1"/>
                <w:sz w:val="18"/>
                <w:szCs w:val="18"/>
              </w:rPr>
              <w:t xml:space="preserve"> </w:t>
            </w:r>
            <w:hyperlink r:id="rId1863" w:history="1">
              <w:r w:rsidR="00A56EE9" w:rsidRPr="00E70A11">
                <w:rPr>
                  <w:rStyle w:val="Hyperlink"/>
                  <w:rFonts w:ascii="Arial Narrow" w:hAnsi="Arial Narrow"/>
                  <w:color w:val="000000" w:themeColor="text1"/>
                  <w:sz w:val="18"/>
                  <w:szCs w:val="18"/>
                </w:rPr>
                <w:t>searchable register of detailed questions</w:t>
              </w:r>
            </w:hyperlink>
            <w:r w:rsidR="00A56EE9" w:rsidRPr="00E70A11">
              <w:rPr>
                <w:rStyle w:val="Hyperlink"/>
                <w:rFonts w:ascii="Arial Narrow" w:hAnsi="Arial Narrow"/>
                <w:color w:val="000000" w:themeColor="text1"/>
                <w:sz w:val="18"/>
                <w:szCs w:val="18"/>
              </w:rPr>
              <w:t xml:space="preserve"> </w:t>
            </w:r>
          </w:p>
          <w:p w14:paraId="5762086B"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864" w:history="1">
              <w:r w:rsidR="00A56EE9" w:rsidRPr="00E70A11">
                <w:rPr>
                  <w:rStyle w:val="Hyperlink"/>
                  <w:rFonts w:ascii="Arial Narrow" w:hAnsi="Arial Narrow"/>
                  <w:color w:val="000000" w:themeColor="text1"/>
                  <w:sz w:val="18"/>
                  <w:szCs w:val="18"/>
                </w:rPr>
                <w:t>NESP</w:t>
              </w:r>
            </w:hyperlink>
            <w:r w:rsidR="00A56EE9" w:rsidRPr="00E70A11">
              <w:rPr>
                <w:rFonts w:ascii="Arial Narrow" w:hAnsi="Arial Narrow"/>
                <w:color w:val="000000" w:themeColor="text1"/>
                <w:sz w:val="18"/>
                <w:szCs w:val="18"/>
              </w:rPr>
              <w:t xml:space="preserve"> and </w:t>
            </w:r>
            <w:hyperlink r:id="rId1865" w:history="1">
              <w:r w:rsidR="00A56EE9" w:rsidRPr="00E70A11">
                <w:rPr>
                  <w:rStyle w:val="Hyperlink"/>
                  <w:rFonts w:ascii="Arial Narrow" w:hAnsi="Arial Narrow"/>
                  <w:color w:val="000000" w:themeColor="text1"/>
                  <w:sz w:val="18"/>
                  <w:szCs w:val="18"/>
                </w:rPr>
                <w:t>NERP</w:t>
              </w:r>
            </w:hyperlink>
            <w:r w:rsidR="00A56EE9" w:rsidRPr="00E70A11">
              <w:rPr>
                <w:rFonts w:ascii="Arial Narrow" w:hAnsi="Arial Narrow"/>
                <w:color w:val="000000" w:themeColor="text1"/>
                <w:sz w:val="18"/>
                <w:szCs w:val="18"/>
              </w:rPr>
              <w:t xml:space="preserve"> outputs and NESP current projects – especially from the </w:t>
            </w:r>
            <w:hyperlink r:id="rId1866" w:history="1">
              <w:r w:rsidR="00A56EE9" w:rsidRPr="00E70A11">
                <w:rPr>
                  <w:rStyle w:val="Hyperlink"/>
                  <w:rFonts w:ascii="Arial Narrow" w:hAnsi="Arial Narrow"/>
                  <w:color w:val="000000" w:themeColor="text1"/>
                  <w:sz w:val="18"/>
                  <w:szCs w:val="18"/>
                </w:rPr>
                <w:t>Tropical Water Quality Hub</w:t>
              </w:r>
            </w:hyperlink>
            <w:r w:rsidR="00A56EE9" w:rsidRPr="00E70A11">
              <w:rPr>
                <w:rFonts w:ascii="Arial Narrow" w:hAnsi="Arial Narrow"/>
                <w:color w:val="000000" w:themeColor="text1"/>
                <w:sz w:val="18"/>
                <w:szCs w:val="18"/>
              </w:rPr>
              <w:t xml:space="preserve"> and </w:t>
            </w:r>
            <w:hyperlink r:id="rId1867" w:history="1">
              <w:r w:rsidR="00A56EE9" w:rsidRPr="00E70A11">
                <w:rPr>
                  <w:rStyle w:val="Hyperlink"/>
                  <w:rFonts w:ascii="Arial Narrow" w:hAnsi="Arial Narrow"/>
                  <w:color w:val="000000" w:themeColor="text1"/>
                  <w:sz w:val="18"/>
                  <w:szCs w:val="18"/>
                </w:rPr>
                <w:t>Marine Biodiversity Hub</w:t>
              </w:r>
            </w:hyperlink>
            <w:r w:rsidR="00A56EE9" w:rsidRPr="00E70A11">
              <w:rPr>
                <w:rStyle w:val="Hyperlink"/>
                <w:rFonts w:ascii="Arial Narrow" w:hAnsi="Arial Narrow"/>
                <w:color w:val="000000" w:themeColor="text1"/>
                <w:sz w:val="18"/>
                <w:szCs w:val="18"/>
              </w:rPr>
              <w:t xml:space="preserve"> </w:t>
            </w:r>
            <w:r w:rsidR="00A56EE9" w:rsidRPr="00E70A11">
              <w:rPr>
                <w:rFonts w:ascii="Arial Narrow" w:hAnsi="Arial Narrow"/>
                <w:color w:val="000000" w:themeColor="text1"/>
                <w:sz w:val="18"/>
                <w:szCs w:val="18"/>
              </w:rPr>
              <w:t>(e.g. project C5 on ship strike)</w:t>
            </w:r>
          </w:p>
          <w:p w14:paraId="5762086C"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868" w:history="1">
              <w:r w:rsidR="00A56EE9" w:rsidRPr="00E70A11">
                <w:rPr>
                  <w:rStyle w:val="Hyperlink"/>
                  <w:rFonts w:ascii="Arial Narrow" w:hAnsi="Arial Narrow"/>
                  <w:color w:val="000000" w:themeColor="text1"/>
                  <w:sz w:val="18"/>
                  <w:szCs w:val="18"/>
                </w:rPr>
                <w:t>2017 Scientific Consensus Statement</w:t>
              </w:r>
            </w:hyperlink>
            <w:r w:rsidR="00A56EE9" w:rsidRPr="00E70A11">
              <w:rPr>
                <w:rStyle w:val="Hyperlink"/>
                <w:rFonts w:ascii="Arial Narrow" w:hAnsi="Arial Narrow"/>
                <w:color w:val="000000" w:themeColor="text1"/>
                <w:sz w:val="18"/>
                <w:szCs w:val="18"/>
              </w:rPr>
              <w:t xml:space="preserve"> </w:t>
            </w:r>
            <w:r w:rsidR="00A56EE9" w:rsidRPr="00E70A11">
              <w:rPr>
                <w:rFonts w:ascii="Arial Narrow" w:hAnsi="Arial Narrow"/>
                <w:color w:val="000000" w:themeColor="text1"/>
                <w:sz w:val="18"/>
                <w:szCs w:val="18"/>
              </w:rPr>
              <w:t>p 22, 23 antifouling, polycyclic aromatics</w:t>
            </w:r>
          </w:p>
          <w:p w14:paraId="5762086D" w14:textId="77777777" w:rsidR="00A56EE9" w:rsidRPr="00AC4AB4"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GBRMPA </w:t>
            </w:r>
            <w:hyperlink r:id="rId1869" w:history="1">
              <w:r w:rsidRPr="00E70A11">
                <w:rPr>
                  <w:rStyle w:val="Hyperlink"/>
                  <w:rFonts w:ascii="Arial Narrow" w:hAnsi="Arial Narrow"/>
                  <w:color w:val="000000" w:themeColor="text1"/>
                  <w:sz w:val="18"/>
                  <w:szCs w:val="18"/>
                </w:rPr>
                <w:t>Reef 2050 Integrated Monitoring and reporting program</w:t>
              </w:r>
            </w:hyperlink>
            <w:r w:rsidRPr="00E70A11">
              <w:rPr>
                <w:rFonts w:ascii="Arial Narrow" w:hAnsi="Arial Narrow"/>
                <w:color w:val="000000" w:themeColor="text1"/>
                <w:sz w:val="18"/>
                <w:szCs w:val="18"/>
              </w:rPr>
              <w:t xml:space="preserve"> webpage and </w:t>
            </w:r>
            <w:hyperlink r:id="rId1870" w:history="1">
              <w:r w:rsidRPr="00E70A11">
                <w:rPr>
                  <w:rStyle w:val="Hyperlink"/>
                  <w:rFonts w:ascii="Arial Narrow" w:hAnsi="Arial Narrow"/>
                  <w:color w:val="000000" w:themeColor="text1"/>
                  <w:sz w:val="18"/>
                  <w:szCs w:val="18"/>
                </w:rPr>
                <w:t>RIMReP Strategy</w:t>
              </w:r>
            </w:hyperlink>
            <w:r>
              <w:rPr>
                <w:rFonts w:ascii="Arial Narrow" w:hAnsi="Arial Narrow"/>
                <w:color w:val="000000" w:themeColor="text1"/>
                <w:sz w:val="18"/>
                <w:szCs w:val="18"/>
              </w:rPr>
              <w:t xml:space="preserve"> </w:t>
            </w:r>
          </w:p>
        </w:tc>
        <w:tc>
          <w:tcPr>
            <w:tcW w:w="986" w:type="dxa"/>
            <w:gridSpan w:val="2"/>
            <w:tcBorders>
              <w:top w:val="single" w:sz="4" w:space="0" w:color="auto"/>
              <w:left w:val="single" w:sz="4" w:space="0" w:color="auto"/>
              <w:bottom w:val="single" w:sz="4" w:space="0" w:color="auto"/>
              <w:right w:val="single" w:sz="4" w:space="0" w:color="auto"/>
            </w:tcBorders>
          </w:tcPr>
          <w:p w14:paraId="5762086E"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6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85"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71" w14:textId="77777777" w:rsidR="00A56EE9" w:rsidRPr="00E70A11" w:rsidRDefault="00A56EE9" w:rsidP="00BB6AD5">
            <w:pPr>
              <w:pStyle w:val="Tablebulletlist"/>
              <w:rPr>
                <w:rStyle w:val="BookTitle"/>
              </w:rPr>
            </w:pPr>
            <w:r w:rsidRPr="00E70A11">
              <w:rPr>
                <w:rStyle w:val="BookTitle"/>
              </w:rPr>
              <w:t>IN5</w:t>
            </w:r>
            <w:r>
              <w:rPr>
                <w:rStyle w:val="BookTitle"/>
              </w:rPr>
              <w:t xml:space="preserve"> </w:t>
            </w:r>
            <w:r w:rsidRPr="00E70A11">
              <w:rPr>
                <w:rStyle w:val="BookTitle"/>
              </w:rPr>
              <w:t>The necessary socio-economic information is currently available to address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72"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87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Ships that transit the waters of the Great Barrier Reef provide a service to communities adjacent to the Region, and to the national economy, transporting export and import goods as well as cruise ship passengers. The economic activity generated by this shipping traffic provides a range of social and economic benefits to catchment communities and beyond, as well as national economic benefit to Australia.</w:t>
            </w:r>
          </w:p>
          <w:p w14:paraId="57620874" w14:textId="68567CD0"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Community and stakeholder consultation</w:t>
            </w:r>
            <w:r>
              <w:rPr>
                <w:rFonts w:ascii="Arial Narrow" w:hAnsi="Arial Narrow"/>
                <w:sz w:val="18"/>
                <w:szCs w:val="18"/>
              </w:rPr>
              <w:t xml:space="preserve"> </w:t>
            </w:r>
            <w:r w:rsidRPr="00E70A11">
              <w:rPr>
                <w:rFonts w:ascii="Arial Narrow" w:hAnsi="Arial Narrow"/>
                <w:sz w:val="18"/>
                <w:szCs w:val="18"/>
              </w:rPr>
              <w:t xml:space="preserve">identifies shipping as an issue of </w:t>
            </w:r>
            <w:r>
              <w:rPr>
                <w:rFonts w:ascii="Arial Narrow" w:hAnsi="Arial Narrow"/>
                <w:sz w:val="18"/>
                <w:szCs w:val="18"/>
              </w:rPr>
              <w:t>lesser concern compared to that of climate change.</w:t>
            </w:r>
            <w:r w:rsidR="00242993">
              <w:rPr>
                <w:rFonts w:ascii="Arial Narrow" w:hAnsi="Arial Narrow"/>
                <w:sz w:val="18"/>
                <w:szCs w:val="18"/>
              </w:rPr>
              <w:t xml:space="preserve"> </w:t>
            </w:r>
            <w:r>
              <w:rPr>
                <w:rFonts w:ascii="Arial Narrow" w:hAnsi="Arial Narrow"/>
                <w:sz w:val="18"/>
                <w:szCs w:val="18"/>
              </w:rPr>
              <w:t>This is a change since 2014</w:t>
            </w:r>
            <w:r w:rsidR="00FC79D5">
              <w:rPr>
                <w:rFonts w:ascii="Arial Narrow" w:hAnsi="Arial Narrow"/>
                <w:sz w:val="18"/>
                <w:szCs w:val="18"/>
              </w:rPr>
              <w:t>, with the perceived risk of shipping decreasing</w:t>
            </w:r>
            <w:r>
              <w:rPr>
                <w:rFonts w:ascii="Arial Narrow" w:hAnsi="Arial Narrow"/>
                <w:sz w:val="18"/>
                <w:szCs w:val="18"/>
              </w:rPr>
              <w:t xml:space="preserve">. </w:t>
            </w:r>
          </w:p>
          <w:p w14:paraId="5762087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Data on the economic significance of shipping in the GBR region is generally available from a variety of sources.</w:t>
            </w:r>
          </w:p>
          <w:p w14:paraId="5762087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Data on the social significance of shipping in the GBR are less readily available, although studies have been conducted within the realms of aesthetics and community perceptions.</w:t>
            </w:r>
          </w:p>
          <w:p w14:paraId="5762087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GBRMPA’s 2017 Guidelines on social value assessment provides some suggestions on sources of relevant information and considerations for activities conducted in the Marine Park.</w:t>
            </w:r>
          </w:p>
          <w:p w14:paraId="57620878"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A</w:t>
            </w:r>
            <w:r>
              <w:rPr>
                <w:rFonts w:ascii="Arial Narrow" w:hAnsi="Arial Narrow"/>
                <w:sz w:val="18"/>
                <w:szCs w:val="18"/>
              </w:rPr>
              <w:t>ssessment in 2014</w:t>
            </w:r>
            <w:r w:rsidRPr="00E70A11">
              <w:rPr>
                <w:rFonts w:ascii="Arial Narrow" w:hAnsi="Arial Narrow"/>
                <w:sz w:val="18"/>
                <w:szCs w:val="18"/>
              </w:rPr>
              <w:t xml:space="preserve"> indicated shipping was continuing to provide benefits to local communities.</w:t>
            </w:r>
          </w:p>
        </w:tc>
        <w:tc>
          <w:tcPr>
            <w:tcW w:w="5045" w:type="dxa"/>
            <w:gridSpan w:val="2"/>
            <w:tcBorders>
              <w:top w:val="single" w:sz="4" w:space="0" w:color="auto"/>
              <w:left w:val="single" w:sz="4" w:space="0" w:color="auto"/>
              <w:bottom w:val="single" w:sz="4" w:space="0" w:color="auto"/>
              <w:right w:val="single" w:sz="4" w:space="0" w:color="auto"/>
            </w:tcBorders>
          </w:tcPr>
          <w:p w14:paraId="57620879"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871" w:tgtFrame="_blank" w:history="1">
              <w:r w:rsidR="00A56EE9" w:rsidRPr="00E70A11">
                <w:rPr>
                  <w:rStyle w:val="Hyperlink"/>
                  <w:rFonts w:ascii="Arial Narrow" w:hAnsi="Arial Narrow"/>
                  <w:color w:val="000000" w:themeColor="text1"/>
                  <w:sz w:val="18"/>
                  <w:szCs w:val="18"/>
                  <w:lang w:val="en"/>
                </w:rPr>
                <w:t>Ship Anchorage Management Report in the Great Barrier Reef World Heritage Area</w:t>
              </w:r>
            </w:hyperlink>
            <w:r w:rsidR="00A56EE9" w:rsidRPr="00E70A11">
              <w:rPr>
                <w:rStyle w:val="Hyperlink"/>
                <w:rFonts w:ascii="Arial Narrow" w:hAnsi="Arial Narrow"/>
                <w:color w:val="000000" w:themeColor="text1"/>
                <w:sz w:val="18"/>
                <w:szCs w:val="18"/>
                <w:lang w:val="en"/>
              </w:rPr>
              <w:t xml:space="preserve"> 2013</w:t>
            </w:r>
          </w:p>
          <w:p w14:paraId="5762087A"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r w:rsidRPr="00E70A11">
              <w:rPr>
                <w:rStyle w:val="BookTitle"/>
                <w:rFonts w:ascii="Arial Narrow" w:hAnsi="Arial Narrow"/>
                <w:color w:val="000000" w:themeColor="text1"/>
                <w:sz w:val="18"/>
                <w:szCs w:val="18"/>
              </w:rPr>
              <w:t xml:space="preserve">Deloitte Access Economics: </w:t>
            </w:r>
            <w:hyperlink r:id="rId1872" w:history="1">
              <w:r w:rsidRPr="00E70A11">
                <w:rPr>
                  <w:rStyle w:val="Hyperlink"/>
                  <w:rFonts w:ascii="Arial Narrow" w:hAnsi="Arial Narrow"/>
                  <w:i/>
                  <w:color w:val="000000" w:themeColor="text1"/>
                  <w:sz w:val="18"/>
                  <w:szCs w:val="18"/>
                  <w:lang w:val="en"/>
                </w:rPr>
                <w:t>Economic contribution of the Great Barrier Reef</w:t>
              </w:r>
            </w:hyperlink>
            <w:r w:rsidRPr="00E70A11">
              <w:rPr>
                <w:rStyle w:val="Hyperlink"/>
                <w:rFonts w:ascii="Arial Narrow" w:hAnsi="Arial Narrow"/>
                <w:i/>
                <w:color w:val="000000" w:themeColor="text1"/>
                <w:sz w:val="18"/>
                <w:szCs w:val="18"/>
                <w:lang w:val="en"/>
              </w:rPr>
              <w:t xml:space="preserve"> </w:t>
            </w:r>
            <w:r w:rsidRPr="00E70A11">
              <w:rPr>
                <w:rStyle w:val="Hyperlink"/>
                <w:rFonts w:ascii="Arial Narrow" w:hAnsi="Arial Narrow"/>
                <w:color w:val="000000" w:themeColor="text1"/>
                <w:sz w:val="18"/>
                <w:szCs w:val="18"/>
                <w:lang w:val="en"/>
              </w:rPr>
              <w:t xml:space="preserve">2013 </w:t>
            </w:r>
          </w:p>
          <w:p w14:paraId="5762087B"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873" w:tgtFrame="_blank" w:history="1">
              <w:r w:rsidR="00A56EE9" w:rsidRPr="00E70A11">
                <w:rPr>
                  <w:rStyle w:val="Hyperlink"/>
                  <w:rFonts w:ascii="Arial Narrow" w:hAnsi="Arial Narrow"/>
                  <w:color w:val="000000" w:themeColor="text1"/>
                  <w:sz w:val="18"/>
                  <w:szCs w:val="18"/>
                  <w:lang w:val="en"/>
                </w:rPr>
                <w:t>Defining the aesthetic values of the Great Barrier Reef World Heritage Area:</w:t>
              </w:r>
            </w:hyperlink>
            <w:r w:rsidR="00A56EE9" w:rsidRPr="00E70A11">
              <w:rPr>
                <w:rFonts w:ascii="Arial Narrow" w:hAnsi="Arial Narrow"/>
                <w:color w:val="000000" w:themeColor="text1"/>
                <w:sz w:val="18"/>
                <w:szCs w:val="18"/>
                <w:lang w:val="en"/>
              </w:rPr>
              <w:t xml:space="preserve"> 2013. Identified and mapped aesthetic values of outstanding universal value and analyse the sensitivity of those values to particular impacts.</w:t>
            </w:r>
          </w:p>
          <w:p w14:paraId="5762087C"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874" w:history="1">
              <w:r w:rsidR="00A56EE9" w:rsidRPr="00E70A11">
                <w:rPr>
                  <w:rStyle w:val="Hyperlink"/>
                  <w:rFonts w:ascii="Arial Narrow" w:hAnsi="Arial Narrow"/>
                  <w:color w:val="000000" w:themeColor="text1"/>
                  <w:sz w:val="18"/>
                  <w:szCs w:val="18"/>
                </w:rPr>
                <w:t>Outlook Report 2014</w:t>
              </w:r>
            </w:hyperlink>
            <w:r w:rsidR="00A56EE9" w:rsidRPr="00E70A11">
              <w:rPr>
                <w:rStyle w:val="Hyperlink"/>
                <w:rFonts w:ascii="Arial Narrow" w:hAnsi="Arial Narrow"/>
                <w:color w:val="000000" w:themeColor="text1"/>
                <w:sz w:val="18"/>
                <w:szCs w:val="18"/>
              </w:rPr>
              <w:t xml:space="preserve"> section 5.8</w:t>
            </w:r>
            <w:r w:rsidR="00A56EE9">
              <w:rPr>
                <w:rStyle w:val="Hyperlink"/>
                <w:rFonts w:ascii="Arial Narrow" w:hAnsi="Arial Narrow"/>
                <w:color w:val="000000" w:themeColor="text1"/>
                <w:sz w:val="18"/>
                <w:szCs w:val="18"/>
              </w:rPr>
              <w:t xml:space="preserve"> </w:t>
            </w:r>
            <w:r w:rsidR="00A56EE9" w:rsidRPr="00E70A11">
              <w:rPr>
                <w:rStyle w:val="Hyperlink"/>
                <w:rFonts w:ascii="Arial Narrow" w:hAnsi="Arial Narrow"/>
                <w:color w:val="000000" w:themeColor="text1"/>
                <w:sz w:val="18"/>
                <w:szCs w:val="18"/>
              </w:rPr>
              <w:t>‘Shipping’’</w:t>
            </w:r>
          </w:p>
          <w:p w14:paraId="5762087D" w14:textId="77777777" w:rsidR="00A56EE9" w:rsidRPr="00E70A11" w:rsidRDefault="008B5998" w:rsidP="00A11869">
            <w:pPr>
              <w:pStyle w:val="ListParagraph"/>
              <w:numPr>
                <w:ilvl w:val="0"/>
                <w:numId w:val="24"/>
              </w:numPr>
              <w:spacing w:after="200" w:line="276" w:lineRule="auto"/>
              <w:rPr>
                <w:rStyle w:val="BookTitle"/>
                <w:rFonts w:ascii="Arial Narrow" w:hAnsi="Arial Narrow" w:cs="Times New Roman"/>
                <w:color w:val="000000" w:themeColor="text1"/>
                <w:sz w:val="18"/>
                <w:szCs w:val="18"/>
              </w:rPr>
            </w:pPr>
            <w:hyperlink r:id="rId1875" w:history="1">
              <w:r w:rsidR="00A56EE9" w:rsidRPr="00E70A11">
                <w:rPr>
                  <w:rStyle w:val="Hyperlink"/>
                  <w:rFonts w:ascii="Arial Narrow" w:hAnsi="Arial Narrow"/>
                  <w:color w:val="000000" w:themeColor="text1"/>
                  <w:sz w:val="18"/>
                  <w:szCs w:val="18"/>
                </w:rPr>
                <w:t>Great Barrier Reef Region Strategic Assessment Report</w:t>
              </w:r>
            </w:hyperlink>
          </w:p>
          <w:p w14:paraId="5762087E"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Deloitte Access Economics: </w:t>
            </w:r>
            <w:hyperlink r:id="rId1876" w:history="1">
              <w:r w:rsidRPr="00E70A11">
                <w:rPr>
                  <w:rStyle w:val="Hyperlink"/>
                  <w:rFonts w:ascii="Arial Narrow" w:hAnsi="Arial Narrow"/>
                  <w:i/>
                  <w:color w:val="000000" w:themeColor="text1"/>
                  <w:sz w:val="18"/>
                  <w:szCs w:val="18"/>
                </w:rPr>
                <w:t>At what price? The economic, social and icon values of the Great Barrier Reef</w:t>
              </w:r>
            </w:hyperlink>
            <w:r w:rsidRPr="00E70A11">
              <w:rPr>
                <w:rStyle w:val="BookTitle"/>
                <w:rFonts w:ascii="Arial Narrow" w:hAnsi="Arial Narrow"/>
                <w:i/>
                <w:color w:val="000000" w:themeColor="text1"/>
                <w:sz w:val="18"/>
                <w:szCs w:val="18"/>
              </w:rPr>
              <w:t xml:space="preserve"> </w:t>
            </w:r>
          </w:p>
          <w:p w14:paraId="5762087F" w14:textId="77777777" w:rsidR="00A56EE9" w:rsidRPr="00E70A11" w:rsidRDefault="00A56EE9" w:rsidP="00A11869">
            <w:pPr>
              <w:pStyle w:val="ListParagraph"/>
              <w:numPr>
                <w:ilvl w:val="0"/>
                <w:numId w:val="24"/>
              </w:numPr>
              <w:spacing w:after="200" w:line="276" w:lineRule="auto"/>
              <w:rPr>
                <w:rStyle w:val="Hyperlink"/>
                <w:rFonts w:ascii="Arial Narrow" w:hAnsi="Arial Narrow"/>
                <w:color w:val="000000" w:themeColor="text1"/>
                <w:sz w:val="18"/>
                <w:szCs w:val="18"/>
              </w:rPr>
            </w:pPr>
            <w:r w:rsidRPr="00E70A11">
              <w:rPr>
                <w:rStyle w:val="Hyperlink"/>
                <w:rFonts w:ascii="Arial Narrow" w:hAnsi="Arial Narrow"/>
                <w:color w:val="000000" w:themeColor="text1"/>
                <w:sz w:val="18"/>
                <w:szCs w:val="18"/>
              </w:rPr>
              <w:t xml:space="preserve">Various sources listed in the RIMReP Human Dimensions database of social and economic ‘secondary data’ sources for the GBR </w:t>
            </w:r>
            <w:r w:rsidRPr="00E70A11">
              <w:rPr>
                <w:rStyle w:val="Hyperlink"/>
                <w:rFonts w:ascii="Arial Narrow" w:hAnsi="Arial Narrow"/>
                <w:i/>
                <w:color w:val="000000" w:themeColor="text1"/>
                <w:sz w:val="18"/>
                <w:szCs w:val="18"/>
              </w:rPr>
              <w:t xml:space="preserve">(internal document). </w:t>
            </w:r>
            <w:r w:rsidRPr="00E70A11">
              <w:rPr>
                <w:rStyle w:val="Hyperlink"/>
                <w:rFonts w:ascii="Arial Narrow" w:hAnsi="Arial Narrow"/>
                <w:color w:val="000000" w:themeColor="text1"/>
                <w:sz w:val="18"/>
                <w:szCs w:val="18"/>
              </w:rPr>
              <w:t>E.g. Ports Australia and MSQ information such as number of coastal shipping visits, registered Queensland regulated ships</w:t>
            </w:r>
          </w:p>
          <w:p w14:paraId="57620880"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877" w:history="1">
              <w:r w:rsidR="00A56EE9" w:rsidRPr="00E70A11">
                <w:rPr>
                  <w:rStyle w:val="Hyperlink"/>
                  <w:rFonts w:ascii="Arial Narrow" w:hAnsi="Arial Narrow"/>
                  <w:color w:val="000000" w:themeColor="text1"/>
                  <w:sz w:val="18"/>
                  <w:szCs w:val="18"/>
                  <w:lang w:val="en"/>
                </w:rPr>
                <w:t>Cost-effective indicators and metrics for monitoring the human dimensions of the Great Barrier Reef</w:t>
              </w:r>
            </w:hyperlink>
            <w:r w:rsidR="00A56EE9" w:rsidRPr="00E70A11">
              <w:rPr>
                <w:rFonts w:ascii="Arial Narrow" w:hAnsi="Arial Narrow"/>
                <w:color w:val="000000" w:themeColor="text1"/>
                <w:sz w:val="18"/>
                <w:szCs w:val="18"/>
                <w:lang w:val="en"/>
              </w:rPr>
              <w:t>: current NESP project underway.</w:t>
            </w:r>
          </w:p>
          <w:p w14:paraId="57620881"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878" w:history="1">
              <w:r w:rsidR="00A56EE9" w:rsidRPr="00E70A11">
                <w:rPr>
                  <w:rStyle w:val="Hyperlink"/>
                  <w:rFonts w:ascii="Arial Narrow" w:hAnsi="Arial Narrow"/>
                  <w:color w:val="000000" w:themeColor="text1"/>
                  <w:sz w:val="18"/>
                  <w:szCs w:val="18"/>
                  <w:lang w:val="en"/>
                </w:rPr>
                <w:t>Guidelines: Social value assessment</w:t>
              </w:r>
            </w:hyperlink>
          </w:p>
          <w:p w14:paraId="57620882" w14:textId="77777777" w:rsidR="00A56EE9" w:rsidRPr="00AC4AB4"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Hyperlink"/>
                <w:rFonts w:ascii="Arial Narrow" w:hAnsi="Arial Narrow"/>
                <w:color w:val="000000" w:themeColor="text1"/>
                <w:sz w:val="18"/>
                <w:szCs w:val="18"/>
              </w:rPr>
              <w:t xml:space="preserve">The </w:t>
            </w:r>
            <w:hyperlink r:id="rId1879" w:history="1">
              <w:r w:rsidRPr="00E70A11">
                <w:rPr>
                  <w:rStyle w:val="Hyperlink"/>
                  <w:rFonts w:ascii="Arial Narrow" w:hAnsi="Arial Narrow"/>
                  <w:color w:val="000000" w:themeColor="text1"/>
                  <w:sz w:val="18"/>
                  <w:szCs w:val="18"/>
                </w:rPr>
                <w:t>Social and Economic Long Term Monitoring Program (SELTMP) 2014: Ports and shipping in the Great Barrier Reef</w:t>
              </w:r>
            </w:hyperlink>
            <w:r w:rsidRPr="00E70A11">
              <w:rPr>
                <w:rStyle w:val="Hyperlink"/>
                <w:rFonts w:ascii="Arial Narrow" w:hAnsi="Arial Narrow"/>
                <w:color w:val="000000" w:themeColor="text1"/>
                <w:sz w:val="18"/>
                <w:szCs w:val="18"/>
              </w:rPr>
              <w:t xml:space="preserve"> </w:t>
            </w:r>
          </w:p>
        </w:tc>
        <w:tc>
          <w:tcPr>
            <w:tcW w:w="986" w:type="dxa"/>
            <w:gridSpan w:val="2"/>
            <w:tcBorders>
              <w:top w:val="single" w:sz="4" w:space="0" w:color="auto"/>
              <w:left w:val="single" w:sz="4" w:space="0" w:color="auto"/>
              <w:bottom w:val="single" w:sz="4" w:space="0" w:color="auto"/>
              <w:right w:val="single" w:sz="4" w:space="0" w:color="auto"/>
            </w:tcBorders>
          </w:tcPr>
          <w:p w14:paraId="57620883"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84"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8F"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86" w14:textId="77777777" w:rsidR="00A56EE9" w:rsidRPr="00E70A11" w:rsidRDefault="00A56EE9" w:rsidP="00BB6AD5">
            <w:pPr>
              <w:pStyle w:val="Tablebulletlist"/>
              <w:rPr>
                <w:rStyle w:val="BookTitle"/>
              </w:rPr>
            </w:pPr>
            <w:r w:rsidRPr="00E70A11">
              <w:rPr>
                <w:rStyle w:val="BookTitle"/>
              </w:rPr>
              <w:t>IN6</w:t>
            </w:r>
            <w:r>
              <w:rPr>
                <w:rStyle w:val="BookTitle"/>
              </w:rPr>
              <w:t xml:space="preserve"> </w:t>
            </w:r>
            <w:r w:rsidRPr="00E70A11">
              <w:rPr>
                <w:rStyle w:val="BookTitle"/>
              </w:rPr>
              <w:t>The necessary Indigenous heritage information is currently available to address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87"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888"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 xml:space="preserve">Difficult to assess, but assume generally adequate, noting, however, that </w:t>
            </w:r>
            <w:r w:rsidRPr="00E70A11">
              <w:rPr>
                <w:rFonts w:ascii="Arial Narrow" w:hAnsi="Arial Narrow"/>
                <w:color w:val="000000" w:themeColor="text1"/>
                <w:sz w:val="18"/>
                <w:szCs w:val="18"/>
              </w:rPr>
              <w:t>understanding of traditional knowledge and cultural heritage is poor in relation to how shipping is perceived and may affect those values.</w:t>
            </w:r>
          </w:p>
          <w:p w14:paraId="57620889"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Available knowledge is understood to be confined to a limited number of specific locations.</w:t>
            </w:r>
          </w:p>
          <w:p w14:paraId="5762088A"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sz w:val="18"/>
                <w:szCs w:val="18"/>
              </w:rPr>
              <w:t>Traditional owners are engaged in pollution response planning and implementation.</w:t>
            </w:r>
          </w:p>
        </w:tc>
        <w:tc>
          <w:tcPr>
            <w:tcW w:w="5045" w:type="dxa"/>
            <w:gridSpan w:val="2"/>
            <w:tcBorders>
              <w:top w:val="single" w:sz="4" w:space="0" w:color="auto"/>
              <w:left w:val="single" w:sz="4" w:space="0" w:color="auto"/>
              <w:bottom w:val="single" w:sz="4" w:space="0" w:color="auto"/>
              <w:right w:val="single" w:sz="4" w:space="0" w:color="auto"/>
            </w:tcBorders>
          </w:tcPr>
          <w:p w14:paraId="5762088B"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880" w:tgtFrame="_blank" w:history="1">
              <w:r w:rsidR="00A56EE9" w:rsidRPr="00E70A11">
                <w:rPr>
                  <w:rStyle w:val="Hyperlink"/>
                  <w:rFonts w:ascii="Arial Narrow" w:hAnsi="Arial Narrow"/>
                  <w:color w:val="000000" w:themeColor="text1"/>
                  <w:sz w:val="18"/>
                  <w:szCs w:val="18"/>
                  <w:lang w:val="en"/>
                </w:rPr>
                <w:t>Ship Anchorage Management Report in the Great Barrier Reef World Heritage Area</w:t>
              </w:r>
            </w:hyperlink>
            <w:r w:rsidR="00A56EE9" w:rsidRPr="00E70A11">
              <w:rPr>
                <w:rStyle w:val="Hyperlink"/>
                <w:rFonts w:ascii="Arial Narrow" w:hAnsi="Arial Narrow"/>
                <w:color w:val="000000" w:themeColor="text1"/>
                <w:sz w:val="18"/>
                <w:szCs w:val="18"/>
                <w:lang w:val="en"/>
              </w:rPr>
              <w:t xml:space="preserve"> 2013</w:t>
            </w:r>
          </w:p>
          <w:p w14:paraId="5762088C" w14:textId="77777777" w:rsidR="00A56EE9" w:rsidRPr="00AC4AB4"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Guidelines:</w:t>
            </w:r>
            <w:hyperlink r:id="rId1881" w:history="1">
              <w:r w:rsidRPr="00E70A11">
                <w:rPr>
                  <w:rStyle w:val="Hyperlink"/>
                  <w:rFonts w:ascii="Arial Narrow" w:hAnsi="Arial Narrow"/>
                  <w:color w:val="000000" w:themeColor="text1"/>
                  <w:sz w:val="18"/>
                  <w:szCs w:val="18"/>
                </w:rPr>
                <w:t xml:space="preserve"> Woppaburra Traditional Owner heritage assessment</w:t>
              </w:r>
            </w:hyperlink>
            <w:r w:rsidRPr="00E70A11">
              <w:rPr>
                <w:rStyle w:val="Hyperlink"/>
                <w:rFonts w:ascii="Arial Narrow" w:hAnsi="Arial Narrow"/>
                <w:color w:val="000000" w:themeColor="text1"/>
                <w:sz w:val="18"/>
                <w:szCs w:val="18"/>
              </w:rPr>
              <w:t xml:space="preserve"> </w:t>
            </w:r>
          </w:p>
        </w:tc>
        <w:tc>
          <w:tcPr>
            <w:tcW w:w="986" w:type="dxa"/>
            <w:gridSpan w:val="2"/>
            <w:tcBorders>
              <w:top w:val="single" w:sz="4" w:space="0" w:color="auto"/>
              <w:left w:val="single" w:sz="4" w:space="0" w:color="auto"/>
              <w:bottom w:val="single" w:sz="4" w:space="0" w:color="auto"/>
              <w:right w:val="single" w:sz="4" w:space="0" w:color="auto"/>
            </w:tcBorders>
          </w:tcPr>
          <w:p w14:paraId="5762088D"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8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9D"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90" w14:textId="77777777" w:rsidR="00A56EE9" w:rsidRPr="00E70A11" w:rsidRDefault="00A56EE9" w:rsidP="00BB6AD5">
            <w:pPr>
              <w:pStyle w:val="Tablebulletlist"/>
              <w:rPr>
                <w:rStyle w:val="BookTitle"/>
              </w:rPr>
            </w:pPr>
            <w:r w:rsidRPr="00E70A11">
              <w:rPr>
                <w:rStyle w:val="BookTitle"/>
              </w:rPr>
              <w:t>IN7</w:t>
            </w:r>
            <w:r>
              <w:rPr>
                <w:rStyle w:val="BookTitle"/>
              </w:rPr>
              <w:t xml:space="preserve"> </w:t>
            </w:r>
            <w:r w:rsidRPr="00E70A11">
              <w:rPr>
                <w:rStyle w:val="BookTitle"/>
              </w:rPr>
              <w:t>The necessary historic heritage information is currently available to address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91"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892"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Difficult to assess, but assume generally adequate.</w:t>
            </w:r>
          </w:p>
          <w:p w14:paraId="57620893" w14:textId="77777777" w:rsidR="00A56EE9" w:rsidRPr="00E70A11" w:rsidRDefault="00A56EE9" w:rsidP="00A11869">
            <w:pPr>
              <w:pStyle w:val="ListParagraph"/>
              <w:numPr>
                <w:ilvl w:val="0"/>
                <w:numId w:val="24"/>
              </w:numPr>
              <w:spacing w:after="200" w:line="276" w:lineRule="auto"/>
              <w:rPr>
                <w:rFonts w:ascii="Arial Narrow" w:hAnsi="Arial Narrow" w:cs="Helvetica 45 Light"/>
                <w:color w:val="000000" w:themeColor="text1"/>
                <w:sz w:val="18"/>
                <w:szCs w:val="18"/>
              </w:rPr>
            </w:pPr>
            <w:r w:rsidRPr="00E70A11">
              <w:rPr>
                <w:rFonts w:ascii="Arial Narrow" w:hAnsi="Arial Narrow" w:cs="Helvetica 45 Light"/>
                <w:color w:val="000000" w:themeColor="text1"/>
                <w:sz w:val="18"/>
                <w:szCs w:val="18"/>
              </w:rPr>
              <w:t>On 14 May 2015 the Great Barrier Reef Marine Park Regulations 1983 were amended to add a new type of Special Management Area, the Maritime Cultural Heritage Protection Special Management Area. The purpose of the regulation is to protect cultural heritage in general, and in particular, the heritage value of two Royal Australian Air Force (RAAF) Catalina air wrecks (RAAF Catalina A24-24 and RAAF A24-25) located in the Marine Park. The regulation includes specific management provisions for the Maritime Cultural Heritage Protection Special Management Area regulating entering and approaching the wrecks, operating and anchoring vessels, fishing and collecting.</w:t>
            </w:r>
          </w:p>
          <w:p w14:paraId="57620894"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lang w:val="en"/>
              </w:rPr>
              <w:t xml:space="preserve">AMSA has worked with GBRMPA to develop a heritage management plan to protect and manage the Dent Island lightstation, which was established in 1879. </w:t>
            </w:r>
            <w:r w:rsidRPr="00E70A11">
              <w:rPr>
                <w:rStyle w:val="BookTitle"/>
                <w:rFonts w:ascii="Arial Narrow" w:hAnsi="Arial Narrow"/>
                <w:color w:val="000000" w:themeColor="text1"/>
                <w:sz w:val="18"/>
                <w:szCs w:val="18"/>
              </w:rPr>
              <w:t>A heritage register and management plans for other sites are being developed.</w:t>
            </w:r>
          </w:p>
        </w:tc>
        <w:tc>
          <w:tcPr>
            <w:tcW w:w="5045" w:type="dxa"/>
            <w:gridSpan w:val="2"/>
            <w:tcBorders>
              <w:top w:val="single" w:sz="4" w:space="0" w:color="auto"/>
              <w:left w:val="single" w:sz="4" w:space="0" w:color="auto"/>
              <w:bottom w:val="single" w:sz="4" w:space="0" w:color="auto"/>
              <w:right w:val="single" w:sz="4" w:space="0" w:color="auto"/>
            </w:tcBorders>
          </w:tcPr>
          <w:p w14:paraId="57620895"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882" w:tgtFrame="_blank" w:history="1">
              <w:r w:rsidR="00A56EE9" w:rsidRPr="00E70A11">
                <w:rPr>
                  <w:rStyle w:val="Hyperlink"/>
                  <w:rFonts w:ascii="Arial Narrow" w:hAnsi="Arial Narrow"/>
                  <w:color w:val="000000" w:themeColor="text1"/>
                  <w:sz w:val="18"/>
                  <w:szCs w:val="18"/>
                  <w:lang w:val="en"/>
                </w:rPr>
                <w:t>Ship Anchorage Management Report in the Great Barrier Reef World Heritage Area</w:t>
              </w:r>
            </w:hyperlink>
            <w:r w:rsidR="00A56EE9" w:rsidRPr="00E70A11">
              <w:rPr>
                <w:rStyle w:val="Hyperlink"/>
                <w:rFonts w:ascii="Arial Narrow" w:hAnsi="Arial Narrow"/>
                <w:color w:val="000000" w:themeColor="text1"/>
                <w:sz w:val="18"/>
                <w:szCs w:val="18"/>
                <w:lang w:val="en"/>
              </w:rPr>
              <w:t xml:space="preserve"> 2013</w:t>
            </w:r>
          </w:p>
          <w:p w14:paraId="57620896"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883" w:history="1">
              <w:r w:rsidR="00A56EE9" w:rsidRPr="00E70A11">
                <w:rPr>
                  <w:rStyle w:val="Hyperlink"/>
                  <w:rFonts w:ascii="Arial Narrow" w:hAnsi="Arial Narrow"/>
                  <w:color w:val="000000" w:themeColor="text1"/>
                  <w:sz w:val="18"/>
                  <w:szCs w:val="18"/>
                  <w:lang w:val="en"/>
                </w:rPr>
                <w:t>Australian National Shipwreck Database</w:t>
              </w:r>
            </w:hyperlink>
            <w:r w:rsidR="00A56EE9" w:rsidRPr="00E70A11">
              <w:rPr>
                <w:rStyle w:val="Hyperlink"/>
                <w:rFonts w:ascii="Arial Narrow" w:hAnsi="Arial Narrow"/>
                <w:color w:val="000000" w:themeColor="text1"/>
                <w:sz w:val="18"/>
                <w:szCs w:val="18"/>
                <w:lang w:val="en"/>
              </w:rPr>
              <w:t xml:space="preserve"> </w:t>
            </w:r>
          </w:p>
          <w:p w14:paraId="57620897"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884" w:history="1">
              <w:r w:rsidR="00A56EE9" w:rsidRPr="00E70A11">
                <w:rPr>
                  <w:rStyle w:val="Hyperlink"/>
                  <w:rFonts w:ascii="Arial Narrow" w:hAnsi="Arial Narrow"/>
                  <w:color w:val="000000" w:themeColor="text1"/>
                  <w:sz w:val="18"/>
                  <w:szCs w:val="18"/>
                </w:rPr>
                <w:t>Guidelines: Management of research in the Great Barrier Reef Marine Park</w:t>
              </w:r>
            </w:hyperlink>
            <w:r w:rsidR="00A56EE9" w:rsidRPr="00E70A11">
              <w:rPr>
                <w:rStyle w:val="Hyperlink"/>
                <w:rFonts w:ascii="Arial Narrow" w:hAnsi="Arial Narrow"/>
                <w:color w:val="000000" w:themeColor="text1"/>
                <w:sz w:val="18"/>
                <w:szCs w:val="18"/>
              </w:rPr>
              <w:t xml:space="preserve">; </w:t>
            </w:r>
            <w:hyperlink r:id="rId1885" w:history="1">
              <w:r w:rsidR="00A56EE9" w:rsidRPr="00E70A11">
                <w:rPr>
                  <w:rStyle w:val="Hyperlink"/>
                  <w:rFonts w:ascii="Arial Narrow" w:hAnsi="Arial Narrow"/>
                  <w:color w:val="000000" w:themeColor="text1"/>
                  <w:sz w:val="18"/>
                  <w:szCs w:val="18"/>
                </w:rPr>
                <w:t>Guidelines Historic heritage assessment: lightstations and aids to navigation</w:t>
              </w:r>
            </w:hyperlink>
            <w:r w:rsidR="00A56EE9" w:rsidRPr="00E70A11">
              <w:rPr>
                <w:rStyle w:val="BookTitle"/>
                <w:rFonts w:ascii="Arial Narrow" w:hAnsi="Arial Narrow"/>
                <w:color w:val="000000" w:themeColor="text1"/>
                <w:sz w:val="18"/>
                <w:szCs w:val="18"/>
              </w:rPr>
              <w:t xml:space="preserve"> (not yet published); </w:t>
            </w:r>
            <w:hyperlink r:id="rId1886" w:history="1">
              <w:r w:rsidR="00A56EE9" w:rsidRPr="00E70A11">
                <w:rPr>
                  <w:rStyle w:val="Hyperlink"/>
                  <w:rFonts w:ascii="Arial Narrow" w:hAnsi="Arial Narrow"/>
                  <w:color w:val="000000" w:themeColor="text1"/>
                  <w:sz w:val="18"/>
                  <w:szCs w:val="18"/>
                </w:rPr>
                <w:t>Guidelines Historic heritage assessment: Maritime cultural heritage protection special management area</w:t>
              </w:r>
            </w:hyperlink>
            <w:r w:rsidR="00A56EE9" w:rsidRPr="00E70A11">
              <w:rPr>
                <w:rStyle w:val="BookTitle"/>
                <w:rFonts w:ascii="Arial Narrow" w:hAnsi="Arial Narrow"/>
                <w:color w:val="000000" w:themeColor="text1"/>
                <w:sz w:val="18"/>
                <w:szCs w:val="18"/>
              </w:rPr>
              <w:t xml:space="preserve">; </w:t>
            </w:r>
            <w:hyperlink r:id="rId1887" w:history="1">
              <w:r w:rsidR="00A56EE9" w:rsidRPr="00E70A11">
                <w:rPr>
                  <w:rStyle w:val="Hyperlink"/>
                  <w:rFonts w:ascii="Arial Narrow" w:hAnsi="Arial Narrow"/>
                  <w:color w:val="000000" w:themeColor="text1"/>
                  <w:sz w:val="18"/>
                  <w:szCs w:val="18"/>
                </w:rPr>
                <w:t>Guidelines Historic heritage assessment: WWII features, sites, and voyages and shipwrecks</w:t>
              </w:r>
            </w:hyperlink>
            <w:r w:rsidR="00A56EE9" w:rsidRPr="00E70A11">
              <w:rPr>
                <w:rStyle w:val="BookTitle"/>
                <w:rFonts w:ascii="Arial Narrow" w:hAnsi="Arial Narrow"/>
                <w:color w:val="000000" w:themeColor="text1"/>
                <w:sz w:val="18"/>
                <w:szCs w:val="18"/>
              </w:rPr>
              <w:t xml:space="preserve">; </w:t>
            </w:r>
            <w:hyperlink r:id="rId1888" w:history="1">
              <w:r w:rsidR="00A56EE9" w:rsidRPr="00E70A11">
                <w:rPr>
                  <w:rStyle w:val="Hyperlink"/>
                  <w:rFonts w:ascii="Arial Narrow" w:hAnsi="Arial Narrow"/>
                  <w:color w:val="000000" w:themeColor="text1"/>
                  <w:sz w:val="18"/>
                  <w:szCs w:val="18"/>
                </w:rPr>
                <w:t>Guidelines: Historic heritage assessment: other places of historic and social significance</w:t>
              </w:r>
            </w:hyperlink>
            <w:r w:rsidR="00A56EE9" w:rsidRPr="00E70A11">
              <w:rPr>
                <w:rStyle w:val="BookTitle"/>
                <w:rFonts w:ascii="Arial Narrow" w:hAnsi="Arial Narrow"/>
                <w:color w:val="000000" w:themeColor="text1"/>
                <w:sz w:val="18"/>
                <w:szCs w:val="18"/>
              </w:rPr>
              <w:t xml:space="preserve"> </w:t>
            </w:r>
          </w:p>
          <w:p w14:paraId="57620898"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889" w:history="1">
              <w:r w:rsidR="00A56EE9" w:rsidRPr="00E70A11">
                <w:rPr>
                  <w:rStyle w:val="Hyperlink"/>
                  <w:rFonts w:ascii="Arial Narrow" w:hAnsi="Arial Narrow"/>
                  <w:color w:val="000000" w:themeColor="text1"/>
                  <w:sz w:val="18"/>
                  <w:szCs w:val="18"/>
                </w:rPr>
                <w:t>GBRMPA Annual Report 2014-15</w:t>
              </w:r>
            </w:hyperlink>
            <w:r w:rsidR="00A56EE9" w:rsidRPr="00E70A11">
              <w:rPr>
                <w:rStyle w:val="BookTitle"/>
                <w:rFonts w:ascii="Arial Narrow" w:hAnsi="Arial Narrow"/>
                <w:color w:val="000000" w:themeColor="text1"/>
                <w:sz w:val="18"/>
                <w:szCs w:val="18"/>
              </w:rPr>
              <w:t>, page 4</w:t>
            </w:r>
          </w:p>
          <w:p w14:paraId="57620899"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890" w:history="1">
              <w:r w:rsidR="00A56EE9" w:rsidRPr="00E70A11">
                <w:rPr>
                  <w:rStyle w:val="Hyperlink"/>
                  <w:rFonts w:ascii="Arial Narrow" w:hAnsi="Arial Narrow"/>
                  <w:color w:val="000000" w:themeColor="text1"/>
                  <w:sz w:val="18"/>
                  <w:szCs w:val="18"/>
                </w:rPr>
                <w:t>Aids to navigation</w:t>
              </w:r>
            </w:hyperlink>
            <w:r w:rsidR="00A56EE9" w:rsidRPr="00E70A11">
              <w:rPr>
                <w:rFonts w:ascii="Arial Narrow" w:hAnsi="Arial Narrow"/>
                <w:color w:val="000000" w:themeColor="text1"/>
                <w:sz w:val="18"/>
                <w:szCs w:val="18"/>
              </w:rPr>
              <w:t xml:space="preserve"> webpage </w:t>
            </w:r>
            <w:r w:rsidR="00A56EE9" w:rsidRPr="00E70A11">
              <w:rPr>
                <w:rStyle w:val="BookTitle"/>
                <w:rFonts w:ascii="Arial Narrow" w:hAnsi="Arial Narrow"/>
                <w:color w:val="000000" w:themeColor="text1"/>
                <w:sz w:val="18"/>
                <w:szCs w:val="18"/>
              </w:rPr>
              <w:t xml:space="preserve">and </w:t>
            </w:r>
            <w:hyperlink r:id="rId1891" w:history="1">
              <w:r w:rsidR="00A56EE9" w:rsidRPr="00E70A11">
                <w:rPr>
                  <w:rStyle w:val="Hyperlink"/>
                  <w:rFonts w:ascii="Arial Narrow" w:hAnsi="Arial Narrow"/>
                  <w:color w:val="000000" w:themeColor="text1"/>
                  <w:sz w:val="18"/>
                  <w:szCs w:val="18"/>
                </w:rPr>
                <w:t>Dent Island Lightstation Heritage Management Plan</w:t>
              </w:r>
            </w:hyperlink>
          </w:p>
          <w:p w14:paraId="5762089A"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892" w:history="1">
              <w:r w:rsidR="00A56EE9" w:rsidRPr="00E70A11">
                <w:rPr>
                  <w:rStyle w:val="Hyperlink"/>
                  <w:rFonts w:ascii="Arial Narrow" w:hAnsi="Arial Narrow"/>
                  <w:color w:val="000000" w:themeColor="text1"/>
                  <w:sz w:val="18"/>
                  <w:szCs w:val="18"/>
                </w:rPr>
                <w:t>Interactive map</w:t>
              </w:r>
            </w:hyperlink>
            <w:r w:rsidR="00A56EE9" w:rsidRPr="00E70A11">
              <w:rPr>
                <w:rStyle w:val="BookTitle"/>
                <w:rFonts w:ascii="Arial Narrow" w:hAnsi="Arial Narrow"/>
                <w:color w:val="000000" w:themeColor="text1"/>
                <w:sz w:val="18"/>
                <w:szCs w:val="18"/>
              </w:rPr>
              <w:t xml:space="preserve"> of AMSA historic heritage lighthouses</w:t>
            </w:r>
          </w:p>
        </w:tc>
        <w:tc>
          <w:tcPr>
            <w:tcW w:w="986" w:type="dxa"/>
            <w:gridSpan w:val="2"/>
            <w:tcBorders>
              <w:top w:val="single" w:sz="4" w:space="0" w:color="auto"/>
              <w:left w:val="single" w:sz="4" w:space="0" w:color="auto"/>
              <w:bottom w:val="single" w:sz="4" w:space="0" w:color="auto"/>
              <w:right w:val="single" w:sz="4" w:space="0" w:color="auto"/>
            </w:tcBorders>
          </w:tcPr>
          <w:p w14:paraId="5762089B"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9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A4"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shd w:val="clear" w:color="auto" w:fill="auto"/>
          </w:tcPr>
          <w:p w14:paraId="5762089E" w14:textId="77777777" w:rsidR="00A56EE9" w:rsidRPr="00E70A11" w:rsidRDefault="00A56EE9" w:rsidP="00BB6AD5">
            <w:pPr>
              <w:pStyle w:val="Tablebulletlist"/>
              <w:rPr>
                <w:rStyle w:val="BookTitle"/>
              </w:rPr>
            </w:pPr>
            <w:r w:rsidRPr="00E70A11">
              <w:rPr>
                <w:rStyle w:val="BookTitle"/>
              </w:rPr>
              <w:t>IN8</w:t>
            </w:r>
            <w:r>
              <w:rPr>
                <w:rStyle w:val="BookTitle"/>
              </w:rPr>
              <w:t xml:space="preserve"> </w:t>
            </w:r>
            <w:r w:rsidRPr="00E70A11">
              <w:rPr>
                <w:rStyle w:val="BookTitle"/>
              </w:rPr>
              <w:t>There are additional sources of non-government input (e.g. volunteers) contributing to address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9F"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8A0" w14:textId="77777777" w:rsidR="00A56EE9" w:rsidRPr="00AC4AB4"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sz w:val="18"/>
                <w:szCs w:val="18"/>
              </w:rPr>
              <w:t>Considered to be minimal need, given framework within which shipping is regulated, so assume other sources are adequate.</w:t>
            </w:r>
          </w:p>
        </w:tc>
        <w:tc>
          <w:tcPr>
            <w:tcW w:w="5045" w:type="dxa"/>
            <w:gridSpan w:val="2"/>
            <w:tcBorders>
              <w:top w:val="single" w:sz="4" w:space="0" w:color="auto"/>
              <w:left w:val="single" w:sz="4" w:space="0" w:color="auto"/>
              <w:bottom w:val="single" w:sz="4" w:space="0" w:color="auto"/>
              <w:right w:val="single" w:sz="4" w:space="0" w:color="auto"/>
            </w:tcBorders>
          </w:tcPr>
          <w:p w14:paraId="576208A1" w14:textId="77777777" w:rsidR="00A56EE9" w:rsidRPr="00E70A11" w:rsidRDefault="00A56EE9" w:rsidP="00A11869">
            <w:pPr>
              <w:pStyle w:val="ListParagraph"/>
              <w:numPr>
                <w:ilvl w:val="0"/>
                <w:numId w:val="166"/>
              </w:numPr>
              <w:spacing w:after="200" w:line="276" w:lineRule="auto"/>
              <w:rPr>
                <w:rStyle w:val="BookTitle"/>
                <w:rFonts w:ascii="Arial Narrow" w:hAnsi="Arial Narrow"/>
                <w:color w:val="000000" w:themeColor="text1"/>
                <w:sz w:val="18"/>
                <w:szCs w:val="18"/>
              </w:rPr>
            </w:pPr>
            <w:r>
              <w:rPr>
                <w:rStyle w:val="BookTitle"/>
                <w:rFonts w:ascii="Arial Narrow" w:hAnsi="Arial Narrow"/>
                <w:color w:val="000000" w:themeColor="text1"/>
                <w:sz w:val="18"/>
                <w:szCs w:val="18"/>
              </w:rPr>
              <w:t>Workshop discussion</w:t>
            </w:r>
          </w:p>
        </w:tc>
        <w:tc>
          <w:tcPr>
            <w:tcW w:w="986" w:type="dxa"/>
            <w:gridSpan w:val="2"/>
            <w:tcBorders>
              <w:top w:val="single" w:sz="4" w:space="0" w:color="auto"/>
              <w:left w:val="single" w:sz="4" w:space="0" w:color="auto"/>
              <w:bottom w:val="single" w:sz="4" w:space="0" w:color="auto"/>
              <w:right w:val="single" w:sz="4" w:space="0" w:color="auto"/>
            </w:tcBorders>
          </w:tcPr>
          <w:p w14:paraId="576208A2"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A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AB"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A5" w14:textId="77777777" w:rsidR="00A56EE9" w:rsidRPr="00E70A11" w:rsidRDefault="00A56EE9" w:rsidP="00BB6AD5">
            <w:pPr>
              <w:pStyle w:val="Tablebulletlist"/>
              <w:rPr>
                <w:rStyle w:val="BookTitle"/>
              </w:rPr>
            </w:pPr>
            <w:r w:rsidRPr="00E70A11">
              <w:rPr>
                <w:rStyle w:val="BookTitle"/>
              </w:rPr>
              <w:t>PROCESSES</w:t>
            </w:r>
          </w:p>
        </w:tc>
        <w:tc>
          <w:tcPr>
            <w:tcW w:w="809"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A6" w14:textId="77777777" w:rsidR="00A56EE9" w:rsidRPr="00E70A11" w:rsidRDefault="00A56EE9" w:rsidP="00BB6AD5">
            <w:pPr>
              <w:pStyle w:val="Tablebulletlist"/>
              <w:rPr>
                <w:rStyle w:val="BookTitle"/>
              </w:rPr>
            </w:pPr>
          </w:p>
        </w:tc>
        <w:tc>
          <w:tcPr>
            <w:tcW w:w="3793"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A7"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45"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A8"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6"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A9" w14:textId="77777777" w:rsidR="00A56EE9" w:rsidRPr="00E70A11" w:rsidRDefault="00A56EE9" w:rsidP="00BB6AD5">
            <w:pPr>
              <w:pStyle w:val="Tablebulletlist"/>
              <w:rPr>
                <w:rStyle w:val="BookTitle"/>
              </w:rPr>
            </w:pPr>
          </w:p>
        </w:tc>
        <w:tc>
          <w:tcPr>
            <w:tcW w:w="865"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8AA" w14:textId="77777777" w:rsidR="00A56EE9" w:rsidRPr="00E70A11" w:rsidRDefault="00A56EE9" w:rsidP="00BB6AD5">
            <w:pPr>
              <w:pStyle w:val="Tablebulletlist"/>
              <w:rPr>
                <w:rStyle w:val="BookTitle"/>
              </w:rPr>
            </w:pPr>
          </w:p>
        </w:tc>
      </w:tr>
      <w:tr w:rsidR="00A56EE9" w:rsidRPr="00E70A11" w14:paraId="576208BB"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AC" w14:textId="77777777" w:rsidR="00A56EE9" w:rsidRPr="00E70A11" w:rsidRDefault="00A56EE9" w:rsidP="00BB6AD5">
            <w:pPr>
              <w:pStyle w:val="Tablebulletlist"/>
              <w:rPr>
                <w:rStyle w:val="BookTitle"/>
              </w:rPr>
            </w:pPr>
            <w:r w:rsidRPr="00E70A11">
              <w:rPr>
                <w:rStyle w:val="BookTitle"/>
              </w:rPr>
              <w:t>PR1</w:t>
            </w:r>
            <w:r>
              <w:rPr>
                <w:rStyle w:val="BookTitle"/>
              </w:rPr>
              <w:t xml:space="preserve"> </w:t>
            </w:r>
            <w:r w:rsidRPr="00E70A11">
              <w:rPr>
                <w:rStyle w:val="BookTitle"/>
              </w:rPr>
              <w:t>The main stakeholders &amp;/or industry(ies) are effectively engaged in the ongoing management of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AD"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8AE" w14:textId="77777777" w:rsidR="00A56EE9" w:rsidRPr="00E70A11" w:rsidRDefault="00A56EE9" w:rsidP="00A11869">
            <w:pPr>
              <w:pStyle w:val="ListBullet"/>
              <w:numPr>
                <w:ilvl w:val="0"/>
                <w:numId w:val="26"/>
              </w:numPr>
              <w:jc w:val="both"/>
            </w:pPr>
            <w:r w:rsidRPr="00E70A11">
              <w:t>Generally considered as adequate, although there may be merit in better engagement with terminal operators and exporters in order to seek improvements to</w:t>
            </w:r>
            <w:r>
              <w:t xml:space="preserve"> </w:t>
            </w:r>
            <w:r w:rsidRPr="00E70A11">
              <w:t>the scheduling of ship movements, with the objective of shortening, as practicable, periods spent by ships at anchor awaiting port access.</w:t>
            </w:r>
          </w:p>
          <w:p w14:paraId="576208AF" w14:textId="77777777" w:rsidR="00A56EE9" w:rsidRPr="00E70A11" w:rsidRDefault="00A56EE9" w:rsidP="00A11869">
            <w:pPr>
              <w:numPr>
                <w:ilvl w:val="0"/>
                <w:numId w:val="148"/>
              </w:numPr>
              <w:tabs>
                <w:tab w:val="clear" w:pos="1080"/>
              </w:tabs>
              <w:spacing w:after="0" w:line="240" w:lineRule="auto"/>
              <w:ind w:left="388"/>
              <w:rPr>
                <w:rFonts w:ascii="Arial Narrow" w:hAnsi="Arial Narrow"/>
                <w:color w:val="000000" w:themeColor="text1"/>
                <w:sz w:val="18"/>
                <w:szCs w:val="18"/>
              </w:rPr>
            </w:pPr>
            <w:r w:rsidRPr="00E70A11">
              <w:rPr>
                <w:rFonts w:ascii="Arial Narrow" w:hAnsi="Arial Narrow"/>
                <w:color w:val="000000" w:themeColor="text1"/>
                <w:sz w:val="18"/>
                <w:szCs w:val="18"/>
              </w:rPr>
              <w:t xml:space="preserve">GBRMPA, MSQ and AMSA frequently liaise for shipping management and operational arrangements, including incident management. </w:t>
            </w:r>
          </w:p>
          <w:p w14:paraId="576208B0" w14:textId="77777777" w:rsidR="00A56EE9" w:rsidRPr="00E70A11" w:rsidRDefault="00A56EE9" w:rsidP="00A11869">
            <w:pPr>
              <w:numPr>
                <w:ilvl w:val="0"/>
                <w:numId w:val="148"/>
              </w:numPr>
              <w:tabs>
                <w:tab w:val="clear" w:pos="1080"/>
              </w:tabs>
              <w:spacing w:after="0" w:line="240" w:lineRule="auto"/>
              <w:ind w:left="388"/>
              <w:rPr>
                <w:rFonts w:ascii="Arial Narrow" w:hAnsi="Arial Narrow"/>
                <w:color w:val="000000" w:themeColor="text1"/>
                <w:sz w:val="18"/>
                <w:szCs w:val="18"/>
              </w:rPr>
            </w:pPr>
            <w:r w:rsidRPr="00E70A11">
              <w:rPr>
                <w:rFonts w:ascii="Arial Narrow" w:hAnsi="Arial Narrow"/>
                <w:color w:val="000000" w:themeColor="text1"/>
                <w:sz w:val="18"/>
                <w:szCs w:val="18"/>
              </w:rPr>
              <w:t>The North East Shipping Management Group is a forum for formal development and review of management arrangements and emerging issues.</w:t>
            </w:r>
          </w:p>
          <w:p w14:paraId="576208B1" w14:textId="77777777" w:rsidR="00A56EE9" w:rsidRPr="00E70A11" w:rsidRDefault="00A56EE9" w:rsidP="00A11869">
            <w:pPr>
              <w:numPr>
                <w:ilvl w:val="0"/>
                <w:numId w:val="148"/>
              </w:numPr>
              <w:tabs>
                <w:tab w:val="clear" w:pos="1080"/>
              </w:tabs>
              <w:spacing w:after="0" w:line="240" w:lineRule="auto"/>
              <w:ind w:left="388"/>
              <w:rPr>
                <w:rFonts w:ascii="Arial Narrow" w:hAnsi="Arial Narrow"/>
                <w:color w:val="000000" w:themeColor="text1"/>
                <w:sz w:val="18"/>
                <w:szCs w:val="18"/>
              </w:rPr>
            </w:pPr>
            <w:r w:rsidRPr="00E70A11">
              <w:rPr>
                <w:rFonts w:ascii="Arial Narrow" w:hAnsi="Arial Narrow"/>
                <w:color w:val="000000" w:themeColor="text1"/>
                <w:sz w:val="18"/>
                <w:szCs w:val="18"/>
              </w:rPr>
              <w:t>The North East Shipping Management Group is supported by the North-East Water Space. Management Working Group, a multi-party consultative forum.</w:t>
            </w:r>
          </w:p>
          <w:p w14:paraId="576208B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color w:val="000000" w:themeColor="text1"/>
                <w:sz w:val="18"/>
                <w:szCs w:val="18"/>
              </w:rPr>
              <w:t>High level arrangements are in place for the coordination of shipping incident response.</w:t>
            </w:r>
          </w:p>
          <w:p w14:paraId="576208B3" w14:textId="77777777" w:rsidR="00A56EE9" w:rsidRPr="00E70A11" w:rsidRDefault="00A56EE9" w:rsidP="00A11869">
            <w:pPr>
              <w:pStyle w:val="ListParagraph"/>
              <w:numPr>
                <w:ilvl w:val="0"/>
                <w:numId w:val="148"/>
              </w:numPr>
              <w:tabs>
                <w:tab w:val="clear" w:pos="1080"/>
              </w:tabs>
              <w:spacing w:after="0" w:line="240" w:lineRule="auto"/>
              <w:ind w:left="388"/>
              <w:rPr>
                <w:rFonts w:ascii="Arial Narrow" w:hAnsi="Arial Narrow"/>
                <w:color w:val="000000" w:themeColor="text1"/>
                <w:sz w:val="18"/>
                <w:szCs w:val="18"/>
              </w:rPr>
            </w:pPr>
            <w:r w:rsidRPr="00E70A11">
              <w:rPr>
                <w:rFonts w:ascii="Arial Narrow" w:hAnsi="Arial Narrow"/>
                <w:color w:val="000000" w:themeColor="text1"/>
                <w:sz w:val="18"/>
                <w:szCs w:val="18"/>
              </w:rPr>
              <w:t xml:space="preserve">The </w:t>
            </w:r>
            <w:r w:rsidRPr="00E70A11">
              <w:rPr>
                <w:rFonts w:ascii="Arial Narrow" w:hAnsi="Arial Narrow"/>
                <w:sz w:val="18"/>
                <w:szCs w:val="18"/>
              </w:rPr>
              <w:t>GBRMPA Chairman is a member of the AMSA Board.</w:t>
            </w:r>
          </w:p>
          <w:p w14:paraId="576208B4"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Cruise ship stakeholders were consulted during the review of GBRMPA’s cruise ship policy.</w:t>
            </w:r>
          </w:p>
          <w:p w14:paraId="576208B5"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Superyacht stakeholders were engaged as part of the Whitsundays Plan of Management review.</w:t>
            </w:r>
          </w:p>
          <w:p w14:paraId="576208B6"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See PL6</w:t>
            </w:r>
          </w:p>
        </w:tc>
        <w:tc>
          <w:tcPr>
            <w:tcW w:w="5045" w:type="dxa"/>
            <w:gridSpan w:val="2"/>
            <w:tcBorders>
              <w:top w:val="single" w:sz="4" w:space="0" w:color="auto"/>
              <w:left w:val="single" w:sz="4" w:space="0" w:color="auto"/>
              <w:bottom w:val="single" w:sz="4" w:space="0" w:color="auto"/>
              <w:right w:val="single" w:sz="4" w:space="0" w:color="auto"/>
            </w:tcBorders>
          </w:tcPr>
          <w:p w14:paraId="576208B7" w14:textId="77777777" w:rsidR="00A56EE9" w:rsidRPr="00E70A11" w:rsidRDefault="00A56EE9" w:rsidP="00A11869">
            <w:pPr>
              <w:pStyle w:val="ListParagraph"/>
              <w:numPr>
                <w:ilvl w:val="0"/>
                <w:numId w:val="147"/>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GBRMPA </w:t>
            </w:r>
            <w:r w:rsidRPr="00E70A11">
              <w:rPr>
                <w:rStyle w:val="Hyperlink"/>
                <w:rFonts w:ascii="Arial Narrow" w:hAnsi="Arial Narrow"/>
                <w:color w:val="000000" w:themeColor="text1"/>
                <w:sz w:val="18"/>
                <w:szCs w:val="18"/>
              </w:rPr>
              <w:t>Whitsundays Plan of Management</w:t>
            </w:r>
            <w:r w:rsidRPr="00E70A11">
              <w:rPr>
                <w:rFonts w:ascii="Arial Narrow" w:hAnsi="Arial Narrow"/>
                <w:color w:val="000000" w:themeColor="text1"/>
                <w:sz w:val="18"/>
                <w:szCs w:val="18"/>
              </w:rPr>
              <w:t xml:space="preserve"> webpage</w:t>
            </w:r>
          </w:p>
          <w:p w14:paraId="576208B8" w14:textId="77777777" w:rsidR="00A56EE9" w:rsidRPr="00AC4AB4" w:rsidRDefault="00A56EE9" w:rsidP="00A11869">
            <w:pPr>
              <w:pStyle w:val="ListParagraph"/>
              <w:numPr>
                <w:ilvl w:val="0"/>
                <w:numId w:val="147"/>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GBRMPA news item on </w:t>
            </w:r>
            <w:hyperlink r:id="rId1893" w:history="1">
              <w:r w:rsidRPr="00E70A11">
                <w:rPr>
                  <w:rStyle w:val="Hyperlink"/>
                  <w:rFonts w:ascii="Arial Narrow" w:hAnsi="Arial Narrow"/>
                  <w:color w:val="000000" w:themeColor="text1"/>
                  <w:sz w:val="18"/>
                  <w:szCs w:val="18"/>
                </w:rPr>
                <w:t>consultation for the review of the cruise ship policy</w:t>
              </w:r>
            </w:hyperlink>
          </w:p>
        </w:tc>
        <w:tc>
          <w:tcPr>
            <w:tcW w:w="986" w:type="dxa"/>
            <w:gridSpan w:val="2"/>
            <w:tcBorders>
              <w:top w:val="single" w:sz="4" w:space="0" w:color="auto"/>
              <w:left w:val="single" w:sz="4" w:space="0" w:color="auto"/>
              <w:bottom w:val="single" w:sz="4" w:space="0" w:color="auto"/>
              <w:right w:val="single" w:sz="4" w:space="0" w:color="auto"/>
            </w:tcBorders>
          </w:tcPr>
          <w:p w14:paraId="576208B9"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BA"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C3"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BC" w14:textId="77777777" w:rsidR="00A56EE9" w:rsidRPr="00E70A11" w:rsidRDefault="00A56EE9" w:rsidP="00BB6AD5">
            <w:pPr>
              <w:pStyle w:val="Tablebulletlist"/>
              <w:rPr>
                <w:rStyle w:val="BookTitle"/>
              </w:rPr>
            </w:pPr>
            <w:r w:rsidRPr="00E70A11">
              <w:rPr>
                <w:rStyle w:val="BookTitle"/>
              </w:rPr>
              <w:t>PR2</w:t>
            </w:r>
            <w:r>
              <w:rPr>
                <w:rStyle w:val="BookTitle"/>
              </w:rPr>
              <w:t xml:space="preserve"> </w:t>
            </w:r>
            <w:r w:rsidRPr="00E70A11">
              <w:rPr>
                <w:rStyle w:val="BookTitle"/>
              </w:rPr>
              <w:t>The local community is effectively engaged in the ongoing management of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BD"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8BE"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Local communities are engaged in relation to anchorages and ports, less so specifically for shipping</w:t>
            </w:r>
            <w:r w:rsidRPr="00E70A11">
              <w:rPr>
                <w:rFonts w:ascii="Arial Narrow" w:hAnsi="Arial Narrow"/>
                <w:color w:val="000000" w:themeColor="text1"/>
                <w:sz w:val="18"/>
                <w:szCs w:val="18"/>
              </w:rPr>
              <w:t>,</w:t>
            </w:r>
            <w:r>
              <w:rPr>
                <w:rFonts w:ascii="Arial Narrow" w:hAnsi="Arial Narrow"/>
                <w:color w:val="000000" w:themeColor="text1"/>
                <w:sz w:val="18"/>
                <w:szCs w:val="18"/>
              </w:rPr>
              <w:t xml:space="preserve"> </w:t>
            </w:r>
            <w:r w:rsidRPr="00E70A11">
              <w:rPr>
                <w:rFonts w:ascii="Arial Narrow" w:hAnsi="Arial Narrow"/>
                <w:color w:val="000000" w:themeColor="text1"/>
                <w:sz w:val="18"/>
                <w:szCs w:val="18"/>
              </w:rPr>
              <w:t>noting limited practicable role for community in relation to the management of shipping.</w:t>
            </w:r>
          </w:p>
          <w:p w14:paraId="576208BF" w14:textId="77777777" w:rsidR="00A56EE9" w:rsidRPr="00E70A11" w:rsidRDefault="00A56EE9" w:rsidP="00A11869">
            <w:pPr>
              <w:pStyle w:val="ListParagraph"/>
              <w:numPr>
                <w:ilvl w:val="0"/>
                <w:numId w:val="24"/>
              </w:numPr>
              <w:spacing w:after="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GBRMPA’s Reef Advisory Committees and LMACs are available for community to raise shipping issues and for GBRMPA to provide community with updates on relevant information. See PL6 also.</w:t>
            </w:r>
          </w:p>
        </w:tc>
        <w:tc>
          <w:tcPr>
            <w:tcW w:w="5045" w:type="dxa"/>
            <w:gridSpan w:val="2"/>
            <w:tcBorders>
              <w:top w:val="single" w:sz="4" w:space="0" w:color="auto"/>
              <w:left w:val="single" w:sz="4" w:space="0" w:color="auto"/>
              <w:bottom w:val="single" w:sz="4" w:space="0" w:color="auto"/>
              <w:right w:val="single" w:sz="4" w:space="0" w:color="auto"/>
            </w:tcBorders>
          </w:tcPr>
          <w:p w14:paraId="576208C0" w14:textId="77777777" w:rsidR="00A56EE9" w:rsidRPr="00665D70" w:rsidRDefault="00A56EE9" w:rsidP="00A11869">
            <w:pPr>
              <w:pStyle w:val="ListParagraph"/>
              <w:numPr>
                <w:ilvl w:val="0"/>
                <w:numId w:val="166"/>
              </w:numPr>
              <w:spacing w:before="40" w:after="40" w:line="276" w:lineRule="auto"/>
              <w:rPr>
                <w:rStyle w:val="BookTitle"/>
                <w:rFonts w:ascii="Arial Narrow" w:hAnsi="Arial Narrow"/>
                <w:color w:val="000000" w:themeColor="text1"/>
                <w:sz w:val="18"/>
                <w:szCs w:val="18"/>
              </w:rPr>
            </w:pPr>
            <w:r w:rsidRPr="00665D70">
              <w:rPr>
                <w:rStyle w:val="BookTitle"/>
                <w:rFonts w:ascii="Arial Narrow" w:hAnsi="Arial Narrow"/>
                <w:color w:val="000000" w:themeColor="text1"/>
                <w:sz w:val="18"/>
                <w:szCs w:val="18"/>
              </w:rPr>
              <w:t>LMACS, RACs</w:t>
            </w:r>
          </w:p>
        </w:tc>
        <w:tc>
          <w:tcPr>
            <w:tcW w:w="986" w:type="dxa"/>
            <w:gridSpan w:val="2"/>
            <w:tcBorders>
              <w:top w:val="single" w:sz="4" w:space="0" w:color="auto"/>
              <w:left w:val="single" w:sz="4" w:space="0" w:color="auto"/>
              <w:bottom w:val="single" w:sz="4" w:space="0" w:color="auto"/>
              <w:right w:val="single" w:sz="4" w:space="0" w:color="auto"/>
            </w:tcBorders>
          </w:tcPr>
          <w:p w14:paraId="576208C1"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C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8CF"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C4" w14:textId="77777777" w:rsidR="00A56EE9" w:rsidRPr="00E70A11" w:rsidRDefault="00A56EE9" w:rsidP="00BB6AD5">
            <w:pPr>
              <w:pStyle w:val="Tablebulletlist"/>
              <w:rPr>
                <w:rStyle w:val="BookTitle"/>
              </w:rPr>
            </w:pPr>
            <w:r w:rsidRPr="00E70A11">
              <w:rPr>
                <w:rStyle w:val="BookTitle"/>
              </w:rPr>
              <w:t>PR3</w:t>
            </w:r>
            <w:r>
              <w:rPr>
                <w:rStyle w:val="BookTitle"/>
              </w:rPr>
              <w:t xml:space="preserve"> </w:t>
            </w:r>
            <w:r w:rsidRPr="00E70A11">
              <w:rPr>
                <w:rStyle w:val="BookTitle"/>
              </w:rPr>
              <w:t>There is a sound governance system in place to address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C5"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8C6"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A sound governance system is considered to be in place, but this needs to be properly resourced to remain current and keep pace with, and ideally anticipate, changing shipping risk profiles.</w:t>
            </w:r>
          </w:p>
          <w:p w14:paraId="576208C7"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When the National Plan for Marine Environmental Emergencies and NMERA were combined the new arrangements provided a new governance structure, with oversight by a National Plan Strategic Coordination Committee comprising Commonwealth and state/NT governments, with a National Plan Strategic Industry Advisory Forum responsible for providing industry-focused advice on strategic issues.</w:t>
            </w:r>
          </w:p>
          <w:p w14:paraId="576208C8"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North East Shipping Management Group provides advice and oversight for the North East Shipping Management Plan.</w:t>
            </w:r>
          </w:p>
          <w:p w14:paraId="576208C9" w14:textId="77777777" w:rsidR="00A56EE9" w:rsidRPr="00E70A11" w:rsidRDefault="00A56EE9" w:rsidP="00A11869">
            <w:pPr>
              <w:pStyle w:val="ListParagraph"/>
              <w:numPr>
                <w:ilvl w:val="0"/>
                <w:numId w:val="24"/>
              </w:numPr>
              <w:spacing w:after="0" w:line="276" w:lineRule="auto"/>
              <w:rPr>
                <w:rStyle w:val="BookTitle"/>
                <w:rFonts w:ascii="Arial Narrow" w:hAnsi="Arial Narrow"/>
                <w:sz w:val="18"/>
                <w:szCs w:val="18"/>
              </w:rPr>
            </w:pPr>
            <w:r w:rsidRPr="00E70A11">
              <w:rPr>
                <w:rFonts w:ascii="Arial Narrow" w:hAnsi="Arial Narrow"/>
                <w:sz w:val="18"/>
                <w:szCs w:val="18"/>
              </w:rPr>
              <w:t>Queensland Assessment Bilateral Agreement – Amended in December 2014, the Assessment Bilateral Agreement between the Commonwealth and Queensland governments aims to reduce duplication of environmental assessment processes, strengthen intergovernmental cooperation and promote a partnership approach to environmental protection and biodiversity conservation. The agreement provides for the accreditation of certain Queensland environmental assessment processes, which means that project proposals that require both state and Commonwealth approval can be assessed using a single set of project documentation.</w:t>
            </w:r>
          </w:p>
        </w:tc>
        <w:tc>
          <w:tcPr>
            <w:tcW w:w="5045" w:type="dxa"/>
            <w:gridSpan w:val="2"/>
            <w:tcBorders>
              <w:top w:val="single" w:sz="4" w:space="0" w:color="auto"/>
              <w:left w:val="single" w:sz="4" w:space="0" w:color="auto"/>
              <w:bottom w:val="single" w:sz="4" w:space="0" w:color="auto"/>
              <w:right w:val="single" w:sz="4" w:space="0" w:color="auto"/>
            </w:tcBorders>
          </w:tcPr>
          <w:p w14:paraId="576208CA" w14:textId="77777777" w:rsidR="00A56EE9" w:rsidRPr="00E70A11" w:rsidRDefault="00A56EE9" w:rsidP="00A11869">
            <w:pPr>
              <w:pStyle w:val="ListBullet"/>
              <w:numPr>
                <w:ilvl w:val="0"/>
                <w:numId w:val="144"/>
              </w:numPr>
              <w:ind w:left="376" w:hanging="376"/>
              <w:rPr>
                <w:color w:val="000000" w:themeColor="text1"/>
              </w:rPr>
            </w:pPr>
            <w:r w:rsidRPr="00E70A11">
              <w:rPr>
                <w:rStyle w:val="BookTitle"/>
                <w:color w:val="000000" w:themeColor="text1"/>
              </w:rPr>
              <w:t xml:space="preserve">Grech et al 2013 </w:t>
            </w:r>
            <w:hyperlink r:id="rId1894" w:history="1">
              <w:r w:rsidRPr="00E70A11">
                <w:rPr>
                  <w:rStyle w:val="Hyperlink"/>
                  <w:color w:val="000000" w:themeColor="text1"/>
                </w:rPr>
                <w:t>Guiding principles for the improved governance of port and shipping impacts for the Great Barrier Reef</w:t>
              </w:r>
            </w:hyperlink>
            <w:r w:rsidRPr="00E70A11">
              <w:rPr>
                <w:color w:val="000000" w:themeColor="text1"/>
              </w:rPr>
              <w:t>New since 2014</w:t>
            </w:r>
          </w:p>
          <w:p w14:paraId="576208CB"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895" w:history="1">
              <w:r w:rsidR="00A56EE9" w:rsidRPr="00E70A11">
                <w:rPr>
                  <w:rStyle w:val="Hyperlink"/>
                  <w:rFonts w:ascii="Arial Narrow" w:hAnsi="Arial Narrow"/>
                  <w:color w:val="000000" w:themeColor="text1"/>
                  <w:sz w:val="18"/>
                  <w:szCs w:val="18"/>
                </w:rPr>
                <w:t>National Plan for Marine Environmental Emergencies</w:t>
              </w:r>
            </w:hyperlink>
          </w:p>
          <w:p w14:paraId="576208CC" w14:textId="7C5F6220" w:rsidR="00A56EE9" w:rsidRPr="00AC4AB4"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Assessment Bilateral Agreement –</w:t>
            </w:r>
            <w:r>
              <w:rPr>
                <w:rStyle w:val="BookTitle"/>
                <w:rFonts w:ascii="Arial Narrow" w:hAnsi="Arial Narrow"/>
                <w:color w:val="000000" w:themeColor="text1"/>
                <w:sz w:val="18"/>
                <w:szCs w:val="18"/>
              </w:rPr>
              <w:t xml:space="preserve"> </w:t>
            </w:r>
            <w:hyperlink r:id="rId1896" w:tooltip="document link" w:history="1">
              <w:r w:rsidRPr="00E70A11">
                <w:rPr>
                  <w:rStyle w:val="Hyperlink"/>
                  <w:rFonts w:ascii="Arial Narrow" w:hAnsi="Arial Narrow"/>
                  <w:color w:val="000000" w:themeColor="text1"/>
                  <w:sz w:val="18"/>
                  <w:szCs w:val="18"/>
                </w:rPr>
                <w:t>http://www.environment.gov.au/protection/environment-assessments/bilateral-agreements/qld</w:t>
              </w:r>
            </w:hyperlink>
          </w:p>
        </w:tc>
        <w:tc>
          <w:tcPr>
            <w:tcW w:w="986" w:type="dxa"/>
            <w:gridSpan w:val="2"/>
            <w:tcBorders>
              <w:top w:val="single" w:sz="4" w:space="0" w:color="auto"/>
              <w:left w:val="single" w:sz="4" w:space="0" w:color="auto"/>
              <w:bottom w:val="single" w:sz="4" w:space="0" w:color="auto"/>
              <w:right w:val="single" w:sz="4" w:space="0" w:color="auto"/>
            </w:tcBorders>
          </w:tcPr>
          <w:p w14:paraId="576208CD"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CE"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DA"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D0" w14:textId="77777777" w:rsidR="00A56EE9" w:rsidRPr="00E70A11" w:rsidRDefault="00A56EE9" w:rsidP="00BB6AD5">
            <w:pPr>
              <w:pStyle w:val="Tablebulletlist"/>
              <w:rPr>
                <w:rStyle w:val="BookTitle"/>
              </w:rPr>
            </w:pPr>
            <w:r w:rsidRPr="00E70A11">
              <w:rPr>
                <w:rStyle w:val="BookTitle"/>
              </w:rPr>
              <w:t>PR4</w:t>
            </w:r>
            <w:r>
              <w:rPr>
                <w:rStyle w:val="BookTitle"/>
              </w:rPr>
              <w:t xml:space="preserve"> </w:t>
            </w:r>
            <w:r w:rsidRPr="00E70A11">
              <w:rPr>
                <w:rStyle w:val="BookTitle"/>
              </w:rPr>
              <w:t>There is effective performance monitoring, including regular assessment of appropriateness and effectiveness of tools, to gauge progress towards the objective(s) for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D1"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8D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key regulatory agencies have effective performance monitoring systems in place.</w:t>
            </w:r>
          </w:p>
          <w:p w14:paraId="576208D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REEFVTS provide ongoing monitoring of performance effectiveness.</w:t>
            </w:r>
          </w:p>
          <w:p w14:paraId="576208D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Incident reporting and performance monitoring generally occurs within individual management agencies, rather than as overarching or aggregated processes.</w:t>
            </w:r>
          </w:p>
          <w:p w14:paraId="576208D5"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sz w:val="18"/>
                <w:szCs w:val="18"/>
              </w:rPr>
              <w:t>Since commencing preparation of the North East Shipping Management Plan Shipping Plan in 2012, substantial progress has been made on the 63 actions it contains.</w:t>
            </w:r>
          </w:p>
        </w:tc>
        <w:tc>
          <w:tcPr>
            <w:tcW w:w="5045" w:type="dxa"/>
            <w:gridSpan w:val="2"/>
            <w:tcBorders>
              <w:top w:val="single" w:sz="4" w:space="0" w:color="auto"/>
              <w:left w:val="single" w:sz="4" w:space="0" w:color="auto"/>
              <w:bottom w:val="single" w:sz="4" w:space="0" w:color="auto"/>
              <w:right w:val="single" w:sz="4" w:space="0" w:color="auto"/>
            </w:tcBorders>
          </w:tcPr>
          <w:p w14:paraId="576208D6"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897" w:history="1">
              <w:r w:rsidR="00A56EE9" w:rsidRPr="00E70A11">
                <w:rPr>
                  <w:rStyle w:val="Hyperlink"/>
                  <w:rFonts w:ascii="Arial Narrow" w:hAnsi="Arial Narrow"/>
                  <w:color w:val="000000" w:themeColor="text1"/>
                  <w:sz w:val="18"/>
                  <w:szCs w:val="18"/>
                  <w:lang w:val="en"/>
                </w:rPr>
                <w:t>NESMP work program progress report</w:t>
              </w:r>
            </w:hyperlink>
            <w:r w:rsidR="00A56EE9" w:rsidRPr="00E70A11">
              <w:rPr>
                <w:rFonts w:ascii="Arial Narrow" w:hAnsi="Arial Narrow"/>
                <w:color w:val="000000" w:themeColor="text1"/>
                <w:sz w:val="18"/>
                <w:szCs w:val="18"/>
                <w:lang w:val="en"/>
              </w:rPr>
              <w:t xml:space="preserve"> February 2016</w:t>
            </w:r>
          </w:p>
          <w:p w14:paraId="576208D7"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898" w:history="1">
              <w:r w:rsidR="00A56EE9" w:rsidRPr="00E70A11">
                <w:rPr>
                  <w:rStyle w:val="Hyperlink"/>
                  <w:rFonts w:ascii="Arial Narrow" w:hAnsi="Arial Narrow"/>
                  <w:color w:val="000000" w:themeColor="text1"/>
                  <w:sz w:val="18"/>
                  <w:szCs w:val="18"/>
                  <w:lang w:val="en"/>
                </w:rPr>
                <w:t>NESMP work program status report</w:t>
              </w:r>
            </w:hyperlink>
            <w:r w:rsidR="00A56EE9" w:rsidRPr="00E70A11">
              <w:rPr>
                <w:rFonts w:ascii="Arial Narrow" w:hAnsi="Arial Narrow"/>
                <w:color w:val="000000" w:themeColor="text1"/>
                <w:sz w:val="18"/>
                <w:szCs w:val="18"/>
                <w:lang w:val="en"/>
              </w:rPr>
              <w:t xml:space="preserve"> January 2018</w:t>
            </w:r>
          </w:p>
        </w:tc>
        <w:tc>
          <w:tcPr>
            <w:tcW w:w="986" w:type="dxa"/>
            <w:gridSpan w:val="2"/>
            <w:tcBorders>
              <w:top w:val="single" w:sz="4" w:space="0" w:color="auto"/>
              <w:left w:val="single" w:sz="4" w:space="0" w:color="auto"/>
              <w:bottom w:val="single" w:sz="4" w:space="0" w:color="auto"/>
              <w:right w:val="single" w:sz="4" w:space="0" w:color="auto"/>
            </w:tcBorders>
          </w:tcPr>
          <w:p w14:paraId="576208D8"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D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E4"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DB" w14:textId="77777777" w:rsidR="00A56EE9" w:rsidRPr="00E70A11" w:rsidRDefault="00A56EE9" w:rsidP="00BB6AD5">
            <w:pPr>
              <w:pStyle w:val="Tablebulletlist"/>
              <w:rPr>
                <w:rStyle w:val="BookTitle"/>
              </w:rPr>
            </w:pPr>
            <w:r w:rsidRPr="00E70A11">
              <w:rPr>
                <w:rStyle w:val="BookTitle"/>
              </w:rPr>
              <w:t>PR5</w:t>
            </w:r>
            <w:r>
              <w:rPr>
                <w:rStyle w:val="BookTitle"/>
              </w:rPr>
              <w:t xml:space="preserve"> </w:t>
            </w:r>
            <w:r w:rsidRPr="00E70A11">
              <w:rPr>
                <w:rStyle w:val="BookTitle"/>
              </w:rPr>
              <w:t>Appropriate training is available to the managing agencies to address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DC"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8D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key regulatory agencies would appear to have appropriate training schemes in place. This includes ongoing in incident and pollution response.</w:t>
            </w:r>
          </w:p>
          <w:p w14:paraId="576208D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GBRMPA staff have participated in various courses to improve knowledge and understanding of shipping.</w:t>
            </w:r>
          </w:p>
          <w:p w14:paraId="576208DF"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 xml:space="preserve">There exists a gap in relation to training in relation to introduced </w:t>
            </w:r>
            <w:proofErr w:type="gramStart"/>
            <w:r w:rsidRPr="00E70A11">
              <w:rPr>
                <w:rFonts w:ascii="Arial Narrow" w:hAnsi="Arial Narrow"/>
                <w:sz w:val="18"/>
                <w:szCs w:val="18"/>
              </w:rPr>
              <w:t>pests</w:t>
            </w:r>
            <w:proofErr w:type="gramEnd"/>
            <w:r w:rsidRPr="00E70A11">
              <w:rPr>
                <w:rFonts w:ascii="Arial Narrow" w:hAnsi="Arial Narrow"/>
                <w:sz w:val="18"/>
                <w:szCs w:val="18"/>
              </w:rPr>
              <w:t xml:space="preserve"> prevention measures, and monitoring and response.</w:t>
            </w:r>
          </w:p>
          <w:p w14:paraId="576208E0"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sz w:val="18"/>
                <w:szCs w:val="18"/>
                <w:lang w:val="en"/>
              </w:rPr>
              <w:t>The Environment, Science and Technical Network (under the National Plan for Marine Environmental Emergencies) meets annually. GBRMPA sends two staff, with the second attendee rotated to spread exposure and awareness across more staff.</w:t>
            </w:r>
          </w:p>
        </w:tc>
        <w:tc>
          <w:tcPr>
            <w:tcW w:w="5045" w:type="dxa"/>
            <w:gridSpan w:val="2"/>
            <w:tcBorders>
              <w:top w:val="single" w:sz="4" w:space="0" w:color="auto"/>
              <w:left w:val="single" w:sz="4" w:space="0" w:color="auto"/>
              <w:bottom w:val="single" w:sz="4" w:space="0" w:color="auto"/>
              <w:right w:val="single" w:sz="4" w:space="0" w:color="auto"/>
            </w:tcBorders>
          </w:tcPr>
          <w:p w14:paraId="576208E1"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Oil spill training</w:t>
            </w:r>
            <w:r>
              <w:rPr>
                <w:rStyle w:val="BookTitle"/>
                <w:rFonts w:ascii="Arial Narrow" w:hAnsi="Arial Narrow"/>
                <w:color w:val="000000" w:themeColor="text1"/>
                <w:sz w:val="18"/>
                <w:szCs w:val="18"/>
              </w:rPr>
              <w:t xml:space="preserve"> </w:t>
            </w:r>
            <w:r w:rsidRPr="00E70A11">
              <w:rPr>
                <w:rStyle w:val="BookTitle"/>
                <w:rFonts w:ascii="Arial Narrow" w:hAnsi="Arial Narrow"/>
                <w:color w:val="000000" w:themeColor="text1"/>
                <w:sz w:val="18"/>
                <w:szCs w:val="18"/>
              </w:rPr>
              <w:t xml:space="preserve">--- AMSA </w:t>
            </w:r>
            <w:hyperlink r:id="rId1899" w:history="1">
              <w:r w:rsidRPr="00E70A11">
                <w:rPr>
                  <w:rStyle w:val="Hyperlink"/>
                  <w:rFonts w:ascii="Arial Narrow" w:hAnsi="Arial Narrow"/>
                  <w:color w:val="000000" w:themeColor="text1"/>
                  <w:sz w:val="18"/>
                  <w:szCs w:val="18"/>
                </w:rPr>
                <w:t>Annual Report 2016-17</w:t>
              </w:r>
            </w:hyperlink>
            <w:r w:rsidRPr="00E70A11">
              <w:rPr>
                <w:rStyle w:val="BookTitle"/>
                <w:rFonts w:ascii="Arial Narrow" w:hAnsi="Arial Narrow"/>
                <w:color w:val="000000" w:themeColor="text1"/>
                <w:sz w:val="18"/>
                <w:szCs w:val="18"/>
              </w:rPr>
              <w:t xml:space="preserve"> p29</w:t>
            </w:r>
          </w:p>
        </w:tc>
        <w:tc>
          <w:tcPr>
            <w:tcW w:w="986" w:type="dxa"/>
            <w:gridSpan w:val="2"/>
            <w:tcBorders>
              <w:top w:val="single" w:sz="4" w:space="0" w:color="auto"/>
              <w:left w:val="single" w:sz="4" w:space="0" w:color="auto"/>
              <w:bottom w:val="single" w:sz="4" w:space="0" w:color="auto"/>
              <w:right w:val="single" w:sz="4" w:space="0" w:color="auto"/>
            </w:tcBorders>
          </w:tcPr>
          <w:p w14:paraId="576208E2"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E3"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F1" w14:textId="77777777" w:rsidTr="00BB6AD5">
        <w:trPr>
          <w:gridAfter w:val="1"/>
          <w:wAfter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E5" w14:textId="77777777" w:rsidR="00A56EE9" w:rsidRPr="00E70A11" w:rsidRDefault="00A56EE9" w:rsidP="00BB6AD5">
            <w:pPr>
              <w:pStyle w:val="Tablebulletlist"/>
              <w:rPr>
                <w:rStyle w:val="BookTitle"/>
              </w:rPr>
            </w:pPr>
            <w:r w:rsidRPr="00E70A11">
              <w:rPr>
                <w:rStyle w:val="BookTitle"/>
              </w:rPr>
              <w:t>PR6</w:t>
            </w:r>
            <w:r>
              <w:rPr>
                <w:rStyle w:val="BookTitle"/>
              </w:rPr>
              <w:t xml:space="preserve"> </w:t>
            </w:r>
            <w:r w:rsidRPr="00E70A11">
              <w:rPr>
                <w:rStyle w:val="BookTitle"/>
              </w:rPr>
              <w:t>Management of shipping is consistently implemented across the relevant jurisdictions</w:t>
            </w:r>
          </w:p>
        </w:tc>
        <w:tc>
          <w:tcPr>
            <w:tcW w:w="809" w:type="dxa"/>
            <w:gridSpan w:val="2"/>
            <w:tcBorders>
              <w:top w:val="single" w:sz="4" w:space="0" w:color="auto"/>
              <w:left w:val="single" w:sz="4" w:space="0" w:color="auto"/>
              <w:bottom w:val="single" w:sz="4" w:space="0" w:color="auto"/>
              <w:right w:val="single" w:sz="4" w:space="0" w:color="auto"/>
            </w:tcBorders>
          </w:tcPr>
          <w:p w14:paraId="576208E6"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8E7"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Yes, under the tutelage of AMSA and MSQ, with contributions from other applicable agencies such as GBRMPA and DAWR.</w:t>
            </w:r>
          </w:p>
          <w:p w14:paraId="576208E8" w14:textId="77777777" w:rsidR="00A56EE9"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Coordination for introduced marine pest management is in its formative stages but will require further refinement; in particular, monitoring.</w:t>
            </w:r>
          </w:p>
          <w:p w14:paraId="576208E9" w14:textId="73FA825F" w:rsidR="00A56EE9" w:rsidRPr="008F5ABD" w:rsidRDefault="00A56EE9" w:rsidP="00A11869">
            <w:pPr>
              <w:pStyle w:val="ListParagraph"/>
              <w:numPr>
                <w:ilvl w:val="0"/>
                <w:numId w:val="24"/>
              </w:numPr>
              <w:spacing w:after="200" w:line="276" w:lineRule="auto"/>
              <w:rPr>
                <w:rFonts w:ascii="Arial Narrow" w:hAnsi="Arial Narrow"/>
                <w:color w:val="000000" w:themeColor="text1"/>
                <w:sz w:val="18"/>
                <w:szCs w:val="18"/>
              </w:rPr>
            </w:pPr>
            <w:r>
              <w:rPr>
                <w:rFonts w:ascii="Arial Narrow" w:hAnsi="Arial Narrow"/>
                <w:color w:val="000000" w:themeColor="text1"/>
                <w:sz w:val="18"/>
                <w:szCs w:val="18"/>
              </w:rPr>
              <w:t>However,</w:t>
            </w:r>
            <w:r w:rsidR="00242993">
              <w:rPr>
                <w:rFonts w:ascii="Arial Narrow" w:hAnsi="Arial Narrow"/>
                <w:color w:val="000000" w:themeColor="text1"/>
                <w:sz w:val="18"/>
                <w:szCs w:val="18"/>
              </w:rPr>
              <w:t xml:space="preserve"> </w:t>
            </w:r>
            <w:r w:rsidRPr="008F5ABD">
              <w:rPr>
                <w:rFonts w:ascii="Arial Narrow" w:hAnsi="Arial Narrow"/>
                <w:color w:val="000000" w:themeColor="text1"/>
                <w:sz w:val="18"/>
                <w:szCs w:val="18"/>
              </w:rPr>
              <w:t>there are inconsistencies in:</w:t>
            </w:r>
          </w:p>
          <w:p w14:paraId="576208EA" w14:textId="77777777" w:rsidR="00A56EE9" w:rsidRPr="008F5ABD" w:rsidRDefault="00A56EE9" w:rsidP="00A11869">
            <w:pPr>
              <w:pStyle w:val="ListParagraph"/>
              <w:numPr>
                <w:ilvl w:val="1"/>
                <w:numId w:val="24"/>
              </w:numPr>
              <w:spacing w:after="200" w:line="276" w:lineRule="auto"/>
              <w:rPr>
                <w:rFonts w:ascii="Arial Narrow" w:hAnsi="Arial Narrow"/>
                <w:color w:val="000000" w:themeColor="text1"/>
                <w:sz w:val="18"/>
                <w:szCs w:val="18"/>
              </w:rPr>
            </w:pPr>
            <w:r w:rsidRPr="008F5ABD">
              <w:rPr>
                <w:rFonts w:ascii="Arial Narrow" w:hAnsi="Arial Narrow"/>
                <w:color w:val="000000" w:themeColor="text1"/>
                <w:sz w:val="18"/>
                <w:szCs w:val="18"/>
              </w:rPr>
              <w:t xml:space="preserve"> the definition of an incident across MSQ, AMSA, GBRMPA</w:t>
            </w:r>
          </w:p>
          <w:p w14:paraId="576208EB" w14:textId="77777777" w:rsidR="00A56EE9" w:rsidRPr="008F5ABD" w:rsidRDefault="00A56EE9" w:rsidP="00A11869">
            <w:pPr>
              <w:pStyle w:val="ListParagraph"/>
              <w:numPr>
                <w:ilvl w:val="1"/>
                <w:numId w:val="24"/>
              </w:numPr>
              <w:spacing w:after="200" w:line="276" w:lineRule="auto"/>
              <w:rPr>
                <w:rFonts w:ascii="Arial Narrow" w:hAnsi="Arial Narrow"/>
                <w:color w:val="000000" w:themeColor="text1"/>
                <w:sz w:val="18"/>
                <w:szCs w:val="18"/>
              </w:rPr>
            </w:pPr>
            <w:r w:rsidRPr="008F5ABD">
              <w:rPr>
                <w:rFonts w:ascii="Arial Narrow" w:hAnsi="Arial Narrow"/>
                <w:color w:val="000000" w:themeColor="text1"/>
                <w:sz w:val="18"/>
                <w:szCs w:val="18"/>
              </w:rPr>
              <w:t>There are three incident databases for ships and vessels which aren’t linked. There is good communication, but it would be highly useful for management and reporting (particularly outlook reporting) if there was consistent treatment and capture of incidents from both a safety and environmental harm perspective</w:t>
            </w:r>
          </w:p>
          <w:p w14:paraId="576208EC"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45" w:type="dxa"/>
            <w:gridSpan w:val="2"/>
            <w:tcBorders>
              <w:top w:val="single" w:sz="4" w:space="0" w:color="auto"/>
              <w:left w:val="single" w:sz="4" w:space="0" w:color="auto"/>
              <w:bottom w:val="single" w:sz="4" w:space="0" w:color="auto"/>
              <w:right w:val="single" w:sz="4" w:space="0" w:color="auto"/>
            </w:tcBorders>
          </w:tcPr>
          <w:p w14:paraId="576208ED"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Biosecurity Capability Review - Final Report, September 2015.</w:t>
            </w:r>
          </w:p>
          <w:p w14:paraId="576208EE"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Biosecurity Capability Review Interim Response, Department of Agriculture and Fisheries, 2016.</w:t>
            </w:r>
          </w:p>
        </w:tc>
        <w:tc>
          <w:tcPr>
            <w:tcW w:w="986" w:type="dxa"/>
            <w:gridSpan w:val="2"/>
            <w:tcBorders>
              <w:top w:val="single" w:sz="4" w:space="0" w:color="auto"/>
              <w:left w:val="single" w:sz="4" w:space="0" w:color="auto"/>
              <w:bottom w:val="single" w:sz="4" w:space="0" w:color="auto"/>
              <w:right w:val="single" w:sz="4" w:space="0" w:color="auto"/>
            </w:tcBorders>
          </w:tcPr>
          <w:p w14:paraId="576208EF"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F0"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8F9"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F2" w14:textId="77777777" w:rsidR="00A56EE9" w:rsidRPr="00E70A11" w:rsidRDefault="00A56EE9" w:rsidP="00BB6AD5">
            <w:pPr>
              <w:pStyle w:val="Tablebulletlist"/>
              <w:rPr>
                <w:rStyle w:val="BookTitle"/>
              </w:rPr>
            </w:pPr>
            <w:r w:rsidRPr="00E70A11">
              <w:rPr>
                <w:rStyle w:val="BookTitle"/>
              </w:rPr>
              <w:t>PR7</w:t>
            </w:r>
            <w:r>
              <w:rPr>
                <w:rStyle w:val="BookTitle"/>
              </w:rPr>
              <w:t xml:space="preserve"> </w:t>
            </w:r>
            <w:r w:rsidRPr="00E70A11">
              <w:rPr>
                <w:rStyle w:val="BookTitle"/>
              </w:rPr>
              <w:t>There are effective processes applied to resolve differing views/ conflicts regarding shipping</w:t>
            </w:r>
          </w:p>
        </w:tc>
        <w:tc>
          <w:tcPr>
            <w:tcW w:w="809" w:type="dxa"/>
            <w:gridSpan w:val="2"/>
            <w:tcBorders>
              <w:top w:val="single" w:sz="4" w:space="0" w:color="auto"/>
              <w:left w:val="single" w:sz="4" w:space="0" w:color="auto"/>
              <w:bottom w:val="single" w:sz="4" w:space="0" w:color="auto"/>
              <w:right w:val="single" w:sz="4" w:space="0" w:color="auto"/>
            </w:tcBorders>
          </w:tcPr>
          <w:p w14:paraId="576208F3"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8F4"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Yes, principally via the North East Shipping Management Group and its subordinate North East Water Space Management Working Group</w:t>
            </w:r>
            <w:r w:rsidRPr="00E70A11">
              <w:rPr>
                <w:rFonts w:ascii="Arial Narrow" w:hAnsi="Arial Narrow"/>
                <w:color w:val="000000" w:themeColor="text1"/>
                <w:sz w:val="18"/>
                <w:szCs w:val="18"/>
              </w:rPr>
              <w:t>.</w:t>
            </w:r>
          </w:p>
          <w:p w14:paraId="576208F5"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Annual meetings are conducted between GBRMPA, MSQ and AMSA.</w:t>
            </w:r>
          </w:p>
        </w:tc>
        <w:tc>
          <w:tcPr>
            <w:tcW w:w="5045" w:type="dxa"/>
            <w:gridSpan w:val="2"/>
            <w:tcBorders>
              <w:top w:val="single" w:sz="4" w:space="0" w:color="auto"/>
              <w:left w:val="single" w:sz="4" w:space="0" w:color="auto"/>
              <w:bottom w:val="single" w:sz="4" w:space="0" w:color="auto"/>
              <w:right w:val="single" w:sz="4" w:space="0" w:color="auto"/>
            </w:tcBorders>
          </w:tcPr>
          <w:p w14:paraId="576208F6" w14:textId="77777777" w:rsidR="00A56EE9" w:rsidRPr="00E70A11" w:rsidRDefault="00A56EE9" w:rsidP="00BB6AD5">
            <w:pPr>
              <w:pStyle w:val="ListParagraph"/>
              <w:ind w:left="360"/>
              <w:rPr>
                <w:rStyle w:val="BookTitle"/>
                <w:rFonts w:ascii="Arial Narrow" w:hAnsi="Arial Narrow"/>
                <w:color w:val="000000" w:themeColor="text1"/>
                <w:sz w:val="18"/>
                <w:szCs w:val="18"/>
              </w:rPr>
            </w:pPr>
            <w:r w:rsidRPr="00E70A11">
              <w:rPr>
                <w:rFonts w:ascii="Arial Narrow" w:hAnsi="Arial Narrow"/>
                <w:sz w:val="18"/>
                <w:szCs w:val="18"/>
              </w:rPr>
              <w:t>North East Shipping Management Group</w:t>
            </w:r>
          </w:p>
        </w:tc>
        <w:tc>
          <w:tcPr>
            <w:tcW w:w="986" w:type="dxa"/>
            <w:gridSpan w:val="2"/>
            <w:tcBorders>
              <w:top w:val="single" w:sz="4" w:space="0" w:color="auto"/>
              <w:left w:val="single" w:sz="4" w:space="0" w:color="auto"/>
              <w:bottom w:val="single" w:sz="4" w:space="0" w:color="auto"/>
              <w:right w:val="single" w:sz="4" w:space="0" w:color="auto"/>
            </w:tcBorders>
          </w:tcPr>
          <w:p w14:paraId="576208F7"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8F8"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906"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8FA" w14:textId="77777777" w:rsidR="00A56EE9" w:rsidRPr="00E70A11" w:rsidRDefault="00A56EE9" w:rsidP="00BB6AD5">
            <w:pPr>
              <w:pStyle w:val="Tablebulletlist"/>
              <w:rPr>
                <w:rStyle w:val="BookTitle"/>
              </w:rPr>
            </w:pPr>
            <w:r w:rsidRPr="00E70A11">
              <w:rPr>
                <w:rStyle w:val="BookTitle"/>
              </w:rPr>
              <w:t>PR8</w:t>
            </w:r>
            <w:r>
              <w:rPr>
                <w:rStyle w:val="BookTitle"/>
              </w:rPr>
              <w:t xml:space="preserve"> </w:t>
            </w:r>
            <w:r w:rsidRPr="00E70A11">
              <w:rPr>
                <w:rStyle w:val="BookTitle"/>
              </w:rPr>
              <w:t>Impacts (direct, indirect and cumulative) of activities associated with shipping are appropriately considered.</w:t>
            </w:r>
          </w:p>
        </w:tc>
        <w:tc>
          <w:tcPr>
            <w:tcW w:w="809" w:type="dxa"/>
            <w:gridSpan w:val="2"/>
            <w:tcBorders>
              <w:top w:val="single" w:sz="4" w:space="0" w:color="auto"/>
              <w:left w:val="single" w:sz="4" w:space="0" w:color="auto"/>
              <w:bottom w:val="single" w:sz="4" w:space="0" w:color="auto"/>
              <w:right w:val="single" w:sz="4" w:space="0" w:color="auto"/>
            </w:tcBorders>
          </w:tcPr>
          <w:p w14:paraId="576208FB"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8FC" w14:textId="77777777" w:rsidR="00A56EE9" w:rsidRPr="00E70A11" w:rsidRDefault="00A56EE9" w:rsidP="00A11869">
            <w:pPr>
              <w:pStyle w:val="ListParagraph"/>
              <w:numPr>
                <w:ilvl w:val="0"/>
                <w:numId w:val="24"/>
              </w:numPr>
              <w:spacing w:after="200" w:line="276" w:lineRule="auto"/>
              <w:rPr>
                <w:rFonts w:ascii="Arial Narrow" w:hAnsi="Arial Narrow" w:cstheme="minorHAnsi"/>
                <w:sz w:val="18"/>
                <w:szCs w:val="18"/>
              </w:rPr>
            </w:pPr>
            <w:r w:rsidRPr="00E70A11">
              <w:rPr>
                <w:rFonts w:ascii="Arial Narrow" w:hAnsi="Arial Narrow" w:cstheme="minorHAnsi"/>
                <w:sz w:val="18"/>
                <w:szCs w:val="18"/>
              </w:rPr>
              <w:t>Potential impacts on the Great Barrier Reef are typically considered as a component of environmental impact assessment processes. In the past this has been somewhat piecemeal, with assessments occurring via individual port development proposals. A more over-arching view of shipping in the GBR has been achieved.</w:t>
            </w:r>
          </w:p>
          <w:p w14:paraId="576208FD" w14:textId="77777777" w:rsidR="00A56EE9" w:rsidRPr="00E70A11" w:rsidRDefault="00A56EE9" w:rsidP="00A11869">
            <w:pPr>
              <w:pStyle w:val="ListParagraph"/>
              <w:numPr>
                <w:ilvl w:val="0"/>
                <w:numId w:val="24"/>
              </w:numPr>
              <w:spacing w:after="200" w:line="276" w:lineRule="auto"/>
              <w:rPr>
                <w:rFonts w:ascii="Arial Narrow" w:hAnsi="Arial Narrow" w:cstheme="minorHAnsi"/>
                <w:sz w:val="18"/>
                <w:szCs w:val="18"/>
              </w:rPr>
            </w:pPr>
            <w:r w:rsidRPr="00E70A11">
              <w:rPr>
                <w:rFonts w:ascii="Arial Narrow" w:hAnsi="Arial Narrow" w:cstheme="minorHAnsi"/>
                <w:sz w:val="18"/>
                <w:szCs w:val="18"/>
              </w:rPr>
              <w:t>To remain effective, it is considered necessary to undertake continuing, umbrella reviews of shipping risks and management in the GBR Region, in concert with shipping capacity constraints analyses, and to keep these up-to-date by periodic review. These reviews should be linked to individual port development and capacity assessments.</w:t>
            </w:r>
          </w:p>
          <w:p w14:paraId="576208FE" w14:textId="77777777" w:rsidR="00A56EE9" w:rsidRPr="00E70A11" w:rsidRDefault="00A56EE9" w:rsidP="00A11869">
            <w:pPr>
              <w:pStyle w:val="ListParagraph"/>
              <w:numPr>
                <w:ilvl w:val="0"/>
                <w:numId w:val="24"/>
              </w:numPr>
              <w:spacing w:after="200" w:line="276" w:lineRule="auto"/>
              <w:rPr>
                <w:rFonts w:ascii="Arial Narrow" w:hAnsi="Arial Narrow" w:cstheme="minorHAnsi"/>
                <w:sz w:val="18"/>
                <w:szCs w:val="18"/>
              </w:rPr>
            </w:pPr>
            <w:r w:rsidRPr="00E70A11">
              <w:rPr>
                <w:rFonts w:ascii="Arial Narrow" w:hAnsi="Arial Narrow" w:cstheme="minorHAnsi"/>
                <w:sz w:val="18"/>
                <w:szCs w:val="18"/>
              </w:rPr>
              <w:t>Coordination for introduced marine pest response is in place but will require further refinement. Limited coordination exists with regard to routine monitoring and surveillance, although this is expected to improve as a result of both Commonwealth and Queensland State actions.</w:t>
            </w:r>
          </w:p>
          <w:p w14:paraId="576208FF" w14:textId="77777777" w:rsidR="00A56EE9" w:rsidRPr="00E70A11" w:rsidRDefault="00A56EE9" w:rsidP="00A11869">
            <w:pPr>
              <w:pStyle w:val="ListParagraph"/>
              <w:numPr>
                <w:ilvl w:val="0"/>
                <w:numId w:val="153"/>
              </w:numPr>
              <w:spacing w:after="200" w:line="276" w:lineRule="auto"/>
              <w:ind w:left="417" w:hanging="417"/>
              <w:rPr>
                <w:rStyle w:val="BookTitle"/>
                <w:rFonts w:ascii="Arial Narrow" w:hAnsi="Arial Narrow" w:cstheme="minorHAnsi"/>
                <w:sz w:val="18"/>
                <w:szCs w:val="18"/>
              </w:rPr>
            </w:pPr>
            <w:r w:rsidRPr="00E70A11">
              <w:rPr>
                <w:rFonts w:ascii="Arial Narrow" w:hAnsi="Arial Narrow" w:cstheme="minorHAnsi"/>
                <w:sz w:val="18"/>
                <w:szCs w:val="18"/>
              </w:rPr>
              <w:t>Some cumulative and/or synergistic impacts (eg. water quality, turbidity from wake) not well addressed, although this situation has improved since 2013, and plans are in place to further evaluate and improve management as may be warranted. For example, a</w:t>
            </w:r>
            <w:r>
              <w:rPr>
                <w:rFonts w:ascii="Arial Narrow" w:hAnsi="Arial Narrow" w:cstheme="minorHAnsi"/>
                <w:sz w:val="18"/>
                <w:szCs w:val="18"/>
              </w:rPr>
              <w:t xml:space="preserve"> </w:t>
            </w:r>
            <w:r w:rsidRPr="00E70A11">
              <w:rPr>
                <w:rFonts w:ascii="Arial Narrow" w:hAnsi="Arial Narrow" w:cstheme="minorHAnsi"/>
                <w:sz w:val="18"/>
                <w:szCs w:val="18"/>
              </w:rPr>
              <w:t>Reef Cumulative Impact Management Policy has been drafted by GBRMPA in collaboration with other agencies.</w:t>
            </w:r>
          </w:p>
        </w:tc>
        <w:tc>
          <w:tcPr>
            <w:tcW w:w="5045" w:type="dxa"/>
            <w:gridSpan w:val="2"/>
            <w:tcBorders>
              <w:top w:val="single" w:sz="4" w:space="0" w:color="auto"/>
              <w:left w:val="single" w:sz="4" w:space="0" w:color="auto"/>
              <w:bottom w:val="single" w:sz="4" w:space="0" w:color="auto"/>
              <w:right w:val="single" w:sz="4" w:space="0" w:color="auto"/>
            </w:tcBorders>
          </w:tcPr>
          <w:p w14:paraId="57620900"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900" w:history="1">
              <w:r w:rsidR="00A56EE9" w:rsidRPr="00E70A11">
                <w:rPr>
                  <w:rStyle w:val="Hyperlink"/>
                  <w:rFonts w:ascii="Arial Narrow" w:hAnsi="Arial Narrow"/>
                  <w:color w:val="000000" w:themeColor="text1"/>
                  <w:sz w:val="18"/>
                  <w:szCs w:val="18"/>
                </w:rPr>
                <w:t>North-East Shipping Management Plan</w:t>
              </w:r>
            </w:hyperlink>
          </w:p>
          <w:p w14:paraId="57620901"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GBRMPA’s </w:t>
            </w:r>
            <w:hyperlink r:id="rId1901" w:history="1">
              <w:r w:rsidRPr="00E70A11">
                <w:rPr>
                  <w:rStyle w:val="Hyperlink"/>
                  <w:rFonts w:ascii="Arial Narrow" w:hAnsi="Arial Narrow"/>
                  <w:color w:val="000000" w:themeColor="text1"/>
                  <w:sz w:val="18"/>
                  <w:szCs w:val="18"/>
                </w:rPr>
                <w:t>Cumulative Impacts Management Policy</w:t>
              </w:r>
            </w:hyperlink>
            <w:r w:rsidRPr="00E70A11">
              <w:rPr>
                <w:rStyle w:val="BookTitle"/>
                <w:rFonts w:ascii="Arial Narrow" w:hAnsi="Arial Narrow"/>
                <w:color w:val="000000" w:themeColor="text1"/>
                <w:sz w:val="18"/>
                <w:szCs w:val="18"/>
              </w:rPr>
              <w:t xml:space="preserve"> webpage</w:t>
            </w:r>
          </w:p>
          <w:p w14:paraId="57620902"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Biosecurity Capability Review - Final Report, September 2015.</w:t>
            </w:r>
          </w:p>
          <w:p w14:paraId="57620903"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Biosecurity Capability Review Interim Response, Department of Agriculture and Fisheries, 2016.</w:t>
            </w:r>
          </w:p>
        </w:tc>
        <w:tc>
          <w:tcPr>
            <w:tcW w:w="986" w:type="dxa"/>
            <w:gridSpan w:val="2"/>
            <w:tcBorders>
              <w:top w:val="single" w:sz="4" w:space="0" w:color="auto"/>
              <w:left w:val="single" w:sz="4" w:space="0" w:color="auto"/>
              <w:bottom w:val="single" w:sz="4" w:space="0" w:color="auto"/>
              <w:right w:val="single" w:sz="4" w:space="0" w:color="auto"/>
            </w:tcBorders>
          </w:tcPr>
          <w:p w14:paraId="57620904"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05"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90E"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07" w14:textId="77777777" w:rsidR="00A56EE9" w:rsidRPr="00E70A11" w:rsidRDefault="00A56EE9" w:rsidP="00BB6AD5">
            <w:pPr>
              <w:pStyle w:val="Tablebulletlist"/>
              <w:rPr>
                <w:rStyle w:val="BookTitle"/>
              </w:rPr>
            </w:pPr>
            <w:r w:rsidRPr="00E70A11">
              <w:rPr>
                <w:rStyle w:val="BookTitle"/>
              </w:rPr>
              <w:t>PR9</w:t>
            </w:r>
            <w:r>
              <w:rPr>
                <w:rStyle w:val="BookTitle"/>
              </w:rPr>
              <w:t xml:space="preserve"> </w:t>
            </w:r>
            <w:r w:rsidRPr="00E70A11">
              <w:rPr>
                <w:rStyle w:val="BookTitle"/>
              </w:rPr>
              <w:t>The best available biophysical research and/or monitoring information is applied appropriately to make relevant management decisions regarding shipping</w:t>
            </w:r>
          </w:p>
        </w:tc>
        <w:tc>
          <w:tcPr>
            <w:tcW w:w="809" w:type="dxa"/>
            <w:gridSpan w:val="2"/>
            <w:tcBorders>
              <w:top w:val="single" w:sz="4" w:space="0" w:color="auto"/>
              <w:left w:val="single" w:sz="4" w:space="0" w:color="auto"/>
              <w:bottom w:val="single" w:sz="4" w:space="0" w:color="auto"/>
              <w:right w:val="single" w:sz="4" w:space="0" w:color="auto"/>
            </w:tcBorders>
          </w:tcPr>
          <w:p w14:paraId="57620908"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909" w14:textId="6C68754A"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are a number of information gaps identified in</w:t>
            </w:r>
            <w:r w:rsidR="00242993">
              <w:rPr>
                <w:rFonts w:ascii="Arial Narrow" w:hAnsi="Arial Narrow"/>
                <w:sz w:val="18"/>
                <w:szCs w:val="18"/>
              </w:rPr>
              <w:t xml:space="preserve"> </w:t>
            </w:r>
            <w:r w:rsidRPr="00E70A11">
              <w:rPr>
                <w:rFonts w:ascii="Arial Narrow" w:hAnsi="Arial Narrow"/>
                <w:sz w:val="18"/>
                <w:szCs w:val="18"/>
              </w:rPr>
              <w:t>knowledge of shipping practices. For example, only limited information is available/collated on ship/fauna strikes, noise effects and wake/turbulence. Limited information available at present concerning ship strikes may indicate that little is reported, but may also indicate that incidence is uncommon.</w:t>
            </w:r>
          </w:p>
          <w:p w14:paraId="5762090A"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Rapid access to GIS information (visualisation and layering of info) is an area of weakness for agencies where incident response staff must rely on other agencies to provide assistance. For example, some spatial data are not available quickly enough for small incidents</w:t>
            </w:r>
            <w:r>
              <w:rPr>
                <w:rStyle w:val="BookTitle"/>
                <w:rFonts w:ascii="Arial Narrow" w:hAnsi="Arial Narrow"/>
                <w:color w:val="000000" w:themeColor="text1"/>
                <w:sz w:val="18"/>
                <w:szCs w:val="18"/>
              </w:rPr>
              <w:t>.</w:t>
            </w:r>
            <w:r>
              <w:rPr>
                <w:rFonts w:ascii="Arial Narrow" w:hAnsi="Arial Narrow"/>
                <w:sz w:val="18"/>
                <w:szCs w:val="18"/>
              </w:rPr>
              <w:t xml:space="preserve"> AMSA and MSQ have sophisticated GIS and Spatial mapping resources</w:t>
            </w:r>
            <w:r w:rsidRPr="00E70A11">
              <w:rPr>
                <w:rStyle w:val="BookTitle"/>
                <w:rFonts w:ascii="Arial Narrow" w:hAnsi="Arial Narrow"/>
                <w:color w:val="000000" w:themeColor="text1"/>
                <w:sz w:val="18"/>
                <w:szCs w:val="18"/>
              </w:rPr>
              <w:t xml:space="preserve">. </w:t>
            </w:r>
            <w:r w:rsidRPr="00E70A11">
              <w:rPr>
                <w:rFonts w:ascii="Arial Narrow" w:hAnsi="Arial Narrow"/>
                <w:sz w:val="18"/>
                <w:szCs w:val="18"/>
              </w:rPr>
              <w:t>GBRMPA’s Spatial Data Centre has only limited capacity to service the Authority’s spatial mapping and analysis needs across all activities.</w:t>
            </w:r>
            <w:r>
              <w:rPr>
                <w:rFonts w:ascii="Arial Narrow" w:hAnsi="Arial Narrow"/>
                <w:sz w:val="18"/>
                <w:szCs w:val="18"/>
              </w:rPr>
              <w:t xml:space="preserve"> </w:t>
            </w:r>
          </w:p>
        </w:tc>
        <w:tc>
          <w:tcPr>
            <w:tcW w:w="5045" w:type="dxa"/>
            <w:gridSpan w:val="2"/>
            <w:tcBorders>
              <w:top w:val="single" w:sz="4" w:space="0" w:color="auto"/>
              <w:left w:val="single" w:sz="4" w:space="0" w:color="auto"/>
              <w:bottom w:val="single" w:sz="4" w:space="0" w:color="auto"/>
              <w:right w:val="single" w:sz="4" w:space="0" w:color="auto"/>
            </w:tcBorders>
          </w:tcPr>
          <w:p w14:paraId="5762090B" w14:textId="77777777" w:rsidR="00A56EE9" w:rsidRPr="00E70A11" w:rsidRDefault="00A56EE9" w:rsidP="00BB6AD5">
            <w:pPr>
              <w:pStyle w:val="ListParagraph"/>
              <w:ind w:left="360"/>
              <w:rPr>
                <w:rStyle w:val="BookTitle"/>
                <w:rFonts w:ascii="Arial Narrow" w:hAnsi="Arial Narrow"/>
                <w:color w:val="000000" w:themeColor="text1"/>
                <w:sz w:val="18"/>
                <w:szCs w:val="18"/>
              </w:rPr>
            </w:pPr>
            <w:r>
              <w:rPr>
                <w:rStyle w:val="BookTitle"/>
                <w:rFonts w:ascii="Arial Narrow" w:hAnsi="Arial Narrow"/>
                <w:color w:val="000000" w:themeColor="text1"/>
                <w:sz w:val="18"/>
                <w:szCs w:val="18"/>
              </w:rPr>
              <w:t xml:space="preserve">Workshops and discussions </w:t>
            </w:r>
          </w:p>
        </w:tc>
        <w:tc>
          <w:tcPr>
            <w:tcW w:w="986" w:type="dxa"/>
            <w:gridSpan w:val="2"/>
            <w:tcBorders>
              <w:top w:val="single" w:sz="4" w:space="0" w:color="auto"/>
              <w:left w:val="single" w:sz="4" w:space="0" w:color="auto"/>
              <w:bottom w:val="single" w:sz="4" w:space="0" w:color="auto"/>
              <w:right w:val="single" w:sz="4" w:space="0" w:color="auto"/>
            </w:tcBorders>
          </w:tcPr>
          <w:p w14:paraId="5762090C"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0D"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91A"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0F" w14:textId="77777777" w:rsidR="00A56EE9" w:rsidRPr="00E70A11" w:rsidRDefault="00A56EE9" w:rsidP="00BB6AD5">
            <w:pPr>
              <w:pStyle w:val="Tablebulletlist"/>
              <w:rPr>
                <w:rStyle w:val="BookTitle"/>
              </w:rPr>
            </w:pPr>
            <w:r w:rsidRPr="00E70A11">
              <w:rPr>
                <w:rStyle w:val="BookTitle"/>
              </w:rPr>
              <w:t>PR10</w:t>
            </w:r>
            <w:r>
              <w:rPr>
                <w:rStyle w:val="BookTitle"/>
              </w:rPr>
              <w:t xml:space="preserve"> </w:t>
            </w:r>
            <w:r w:rsidRPr="00E70A11">
              <w:rPr>
                <w:rStyle w:val="BookTitle"/>
              </w:rPr>
              <w:t>The best available socio-economic research and/or monitoring information is applied appropriately to make relevant management decisions regarding shipping</w:t>
            </w:r>
          </w:p>
        </w:tc>
        <w:tc>
          <w:tcPr>
            <w:tcW w:w="809" w:type="dxa"/>
            <w:gridSpan w:val="2"/>
            <w:tcBorders>
              <w:top w:val="single" w:sz="4" w:space="0" w:color="auto"/>
              <w:left w:val="single" w:sz="4" w:space="0" w:color="auto"/>
              <w:bottom w:val="single" w:sz="4" w:space="0" w:color="auto"/>
              <w:right w:val="single" w:sz="4" w:space="0" w:color="auto"/>
            </w:tcBorders>
          </w:tcPr>
          <w:p w14:paraId="57620910"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11" w14:textId="77777777" w:rsidR="00A56EE9" w:rsidRPr="00E70A11" w:rsidRDefault="00A56EE9" w:rsidP="00A11869">
            <w:pPr>
              <w:pStyle w:val="ListBullet"/>
              <w:numPr>
                <w:ilvl w:val="0"/>
                <w:numId w:val="91"/>
              </w:numPr>
              <w:jc w:val="both"/>
            </w:pPr>
            <w:r w:rsidRPr="00E70A11">
              <w:t>Studies conducted regularly by Commonwealth and Queensland Government agencies, and by ports. These consider economic factors, with some focused upon social factors.</w:t>
            </w:r>
          </w:p>
          <w:p w14:paraId="57620912" w14:textId="741A28D9" w:rsidR="00A56EE9" w:rsidRPr="00E70A11" w:rsidRDefault="00A56EE9" w:rsidP="00A11869">
            <w:pPr>
              <w:numPr>
                <w:ilvl w:val="0"/>
                <w:numId w:val="91"/>
              </w:numPr>
              <w:spacing w:after="0" w:line="240" w:lineRule="auto"/>
              <w:rPr>
                <w:rFonts w:ascii="Arial Narrow" w:hAnsi="Arial Narrow"/>
                <w:color w:val="000000" w:themeColor="text1"/>
                <w:sz w:val="18"/>
                <w:szCs w:val="18"/>
              </w:rPr>
            </w:pPr>
            <w:r w:rsidRPr="00E70A11">
              <w:rPr>
                <w:rFonts w:ascii="Arial Narrow" w:hAnsi="Arial Narrow"/>
                <w:sz w:val="18"/>
                <w:szCs w:val="18"/>
              </w:rPr>
              <w:t>GBRMPA has supported studies intended to quantify risks and identify management measures to reduce risks to the environment from shipping.</w:t>
            </w:r>
            <w:r w:rsidR="00242993">
              <w:rPr>
                <w:rFonts w:ascii="Arial Narrow" w:hAnsi="Arial Narrow"/>
                <w:sz w:val="18"/>
                <w:szCs w:val="18"/>
              </w:rPr>
              <w:t xml:space="preserve"> </w:t>
            </w:r>
            <w:r w:rsidRPr="00E70A11">
              <w:rPr>
                <w:rFonts w:ascii="Arial Narrow" w:hAnsi="Arial Narrow"/>
                <w:sz w:val="18"/>
                <w:szCs w:val="18"/>
              </w:rPr>
              <w:t>This includes socio-economic studies.</w:t>
            </w:r>
          </w:p>
          <w:p w14:paraId="57620913" w14:textId="0AF134D5" w:rsidR="00A56EE9" w:rsidRPr="00CD5DCE" w:rsidRDefault="00A56EE9" w:rsidP="00A11869">
            <w:pPr>
              <w:numPr>
                <w:ilvl w:val="0"/>
                <w:numId w:val="91"/>
              </w:numPr>
              <w:spacing w:after="0" w:line="240" w:lineRule="auto"/>
              <w:rPr>
                <w:rStyle w:val="BookTitle"/>
                <w:rFonts w:ascii="Arial Narrow" w:hAnsi="Arial Narrow" w:cs="Times New Roman"/>
                <w:color w:val="000000" w:themeColor="text1"/>
                <w:sz w:val="18"/>
                <w:szCs w:val="18"/>
              </w:rPr>
            </w:pPr>
            <w:r w:rsidRPr="00E70A11">
              <w:rPr>
                <w:rFonts w:ascii="Arial Narrow" w:hAnsi="Arial Narrow"/>
                <w:sz w:val="18"/>
                <w:szCs w:val="18"/>
              </w:rPr>
              <w:t xml:space="preserve">SELTMP examined community understanding and level of concern for GBR indicated exaggerated concerns for shipping. </w:t>
            </w:r>
            <w:r>
              <w:rPr>
                <w:rFonts w:ascii="Arial Narrow" w:hAnsi="Arial Narrow"/>
                <w:sz w:val="18"/>
                <w:szCs w:val="18"/>
              </w:rPr>
              <w:t xml:space="preserve">However there is less concern about shipping than previous studies indicted. More </w:t>
            </w:r>
            <w:r w:rsidR="00FC79D5">
              <w:rPr>
                <w:rFonts w:ascii="Arial Narrow" w:hAnsi="Arial Narrow"/>
                <w:sz w:val="18"/>
                <w:szCs w:val="18"/>
              </w:rPr>
              <w:t>effective</w:t>
            </w:r>
            <w:r>
              <w:rPr>
                <w:rFonts w:ascii="Arial Narrow" w:hAnsi="Arial Narrow"/>
                <w:sz w:val="18"/>
                <w:szCs w:val="18"/>
              </w:rPr>
              <w:t xml:space="preserve"> articulation</w:t>
            </w:r>
            <w:r w:rsidRPr="00E70A11">
              <w:rPr>
                <w:rFonts w:ascii="Arial Narrow" w:hAnsi="Arial Narrow"/>
                <w:sz w:val="18"/>
                <w:szCs w:val="18"/>
              </w:rPr>
              <w:t xml:space="preserve"> actual risks form shipping in GBR</w:t>
            </w:r>
            <w:r>
              <w:rPr>
                <w:rFonts w:ascii="Arial Narrow" w:hAnsi="Arial Narrow"/>
                <w:sz w:val="18"/>
                <w:szCs w:val="18"/>
              </w:rPr>
              <w:t xml:space="preserve"> would be helpful</w:t>
            </w:r>
            <w:r w:rsidRPr="00E70A11">
              <w:rPr>
                <w:rFonts w:ascii="Arial Narrow" w:hAnsi="Arial Narrow"/>
                <w:sz w:val="18"/>
                <w:szCs w:val="18"/>
              </w:rPr>
              <w:t xml:space="preserve">, so that the allocation of finite management resources is not skewed by unfounded public concerns or misapprehensions. For example, GBRMPA incident reports typically refer to generic ‘vessel’ incidents, such as groundings and </w:t>
            </w:r>
            <w:r w:rsidR="00FC79D5" w:rsidRPr="00E70A11">
              <w:rPr>
                <w:rFonts w:ascii="Arial Narrow" w:hAnsi="Arial Narrow"/>
                <w:sz w:val="18"/>
                <w:szCs w:val="18"/>
              </w:rPr>
              <w:t>sinkings</w:t>
            </w:r>
            <w:r w:rsidRPr="00E70A11">
              <w:rPr>
                <w:rFonts w:ascii="Arial Narrow" w:hAnsi="Arial Narrow"/>
                <w:sz w:val="18"/>
                <w:szCs w:val="18"/>
              </w:rPr>
              <w:t>, when in reality these incidents are small pleasure and commercial fishing vessels, and not ‘ships’ as per the accepted definitions.</w:t>
            </w:r>
          </w:p>
        </w:tc>
        <w:tc>
          <w:tcPr>
            <w:tcW w:w="5045" w:type="dxa"/>
            <w:gridSpan w:val="2"/>
            <w:tcBorders>
              <w:top w:val="single" w:sz="4" w:space="0" w:color="auto"/>
              <w:left w:val="single" w:sz="4" w:space="0" w:color="auto"/>
              <w:bottom w:val="single" w:sz="4" w:space="0" w:color="auto"/>
              <w:right w:val="single" w:sz="4" w:space="0" w:color="auto"/>
            </w:tcBorders>
          </w:tcPr>
          <w:p w14:paraId="57620914"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902" w:tgtFrame="_blank" w:history="1">
              <w:r w:rsidR="00A56EE9" w:rsidRPr="00E70A11">
                <w:rPr>
                  <w:rStyle w:val="Hyperlink"/>
                  <w:rFonts w:ascii="Arial Narrow" w:hAnsi="Arial Narrow"/>
                  <w:color w:val="000000" w:themeColor="text1"/>
                  <w:sz w:val="18"/>
                  <w:szCs w:val="18"/>
                  <w:lang w:val="en"/>
                </w:rPr>
                <w:t>Ship Anchorage Management Report in the Great Barrier Reef World Heritage Area</w:t>
              </w:r>
            </w:hyperlink>
            <w:r w:rsidR="00A56EE9" w:rsidRPr="00E70A11">
              <w:rPr>
                <w:rStyle w:val="Hyperlink"/>
                <w:rFonts w:ascii="Arial Narrow" w:hAnsi="Arial Narrow"/>
                <w:color w:val="000000" w:themeColor="text1"/>
                <w:sz w:val="18"/>
                <w:szCs w:val="18"/>
                <w:lang w:val="en"/>
              </w:rPr>
              <w:t xml:space="preserve"> 2013</w:t>
            </w:r>
          </w:p>
          <w:p w14:paraId="57620915"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GBRMPA / Queensland Government Field Management Program Annual Report 2014–15.</w:t>
            </w:r>
          </w:p>
          <w:p w14:paraId="57620916" w14:textId="77777777" w:rsidR="00A56EE9"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GBRMPA / Queensland Government Field Management Program Annual Report 2015–16.</w:t>
            </w:r>
          </w:p>
          <w:p w14:paraId="57620917"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Pr>
                <w:rStyle w:val="BookTitle"/>
                <w:rFonts w:ascii="Arial Narrow" w:hAnsi="Arial Narrow"/>
                <w:color w:val="000000" w:themeColor="text1"/>
                <w:sz w:val="18"/>
                <w:szCs w:val="18"/>
              </w:rPr>
              <w:t xml:space="preserve">SELTMP 2017. </w:t>
            </w:r>
          </w:p>
        </w:tc>
        <w:tc>
          <w:tcPr>
            <w:tcW w:w="986" w:type="dxa"/>
            <w:gridSpan w:val="2"/>
            <w:tcBorders>
              <w:top w:val="single" w:sz="4" w:space="0" w:color="auto"/>
              <w:left w:val="single" w:sz="4" w:space="0" w:color="auto"/>
              <w:bottom w:val="single" w:sz="4" w:space="0" w:color="auto"/>
              <w:right w:val="single" w:sz="4" w:space="0" w:color="auto"/>
            </w:tcBorders>
          </w:tcPr>
          <w:p w14:paraId="57620918"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1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923"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1B" w14:textId="77777777" w:rsidR="00A56EE9" w:rsidRPr="00E70A11" w:rsidRDefault="00A56EE9" w:rsidP="00BB6AD5">
            <w:pPr>
              <w:pStyle w:val="Tablebulletlist"/>
              <w:rPr>
                <w:rStyle w:val="BookTitle"/>
              </w:rPr>
            </w:pPr>
            <w:r w:rsidRPr="00E70A11">
              <w:rPr>
                <w:rStyle w:val="BookTitle"/>
              </w:rPr>
              <w:t>PR11</w:t>
            </w:r>
            <w:r>
              <w:rPr>
                <w:rStyle w:val="BookTitle"/>
              </w:rPr>
              <w:t xml:space="preserve"> </w:t>
            </w:r>
            <w:r w:rsidRPr="00E70A11">
              <w:rPr>
                <w:rStyle w:val="BookTitle"/>
              </w:rPr>
              <w:t>The best available Indigenous heritage information is applied appropriately to make relevant management decisions regarding shipping</w:t>
            </w:r>
          </w:p>
        </w:tc>
        <w:tc>
          <w:tcPr>
            <w:tcW w:w="809" w:type="dxa"/>
            <w:gridSpan w:val="2"/>
            <w:tcBorders>
              <w:top w:val="single" w:sz="4" w:space="0" w:color="auto"/>
              <w:left w:val="single" w:sz="4" w:space="0" w:color="auto"/>
              <w:bottom w:val="single" w:sz="4" w:space="0" w:color="auto"/>
              <w:right w:val="single" w:sz="4" w:space="0" w:color="auto"/>
            </w:tcBorders>
          </w:tcPr>
          <w:p w14:paraId="5762091C"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91D" w14:textId="77777777" w:rsidR="00A56EE9" w:rsidRPr="00E70A11" w:rsidRDefault="00A56EE9" w:rsidP="00A11869">
            <w:pPr>
              <w:pStyle w:val="ListParagraph"/>
              <w:numPr>
                <w:ilvl w:val="0"/>
                <w:numId w:val="149"/>
              </w:numPr>
              <w:spacing w:after="200" w:line="276" w:lineRule="auto"/>
              <w:rPr>
                <w:rFonts w:ascii="Arial Narrow" w:hAnsi="Arial Narrow"/>
                <w:color w:val="000000" w:themeColor="text1"/>
                <w:sz w:val="18"/>
                <w:szCs w:val="18"/>
              </w:rPr>
            </w:pPr>
            <w:r w:rsidRPr="00E70A11">
              <w:rPr>
                <w:rFonts w:ascii="Arial Narrow" w:hAnsi="Arial Narrow"/>
                <w:sz w:val="18"/>
                <w:szCs w:val="18"/>
              </w:rPr>
              <w:t>This is considered to be most relevant in relation to shipping movements in some specific nearshore and/or remote locations where items of significance may be vulnerable to damage from shipping.</w:t>
            </w:r>
          </w:p>
          <w:p w14:paraId="5762091E" w14:textId="77777777" w:rsidR="00A56EE9" w:rsidRPr="00573178" w:rsidRDefault="00A56EE9" w:rsidP="00A11869">
            <w:pPr>
              <w:pStyle w:val="ListParagraph"/>
              <w:numPr>
                <w:ilvl w:val="0"/>
                <w:numId w:val="149"/>
              </w:numPr>
              <w:spacing w:after="200" w:line="276" w:lineRule="auto"/>
              <w:rPr>
                <w:rStyle w:val="BookTitle"/>
                <w:rFonts w:ascii="Arial Narrow" w:hAnsi="Arial Narrow"/>
                <w:color w:val="000000" w:themeColor="text1"/>
                <w:sz w:val="18"/>
                <w:szCs w:val="18"/>
              </w:rPr>
            </w:pPr>
            <w:r w:rsidRPr="00E70A11">
              <w:rPr>
                <w:rFonts w:ascii="Arial Narrow" w:hAnsi="Arial Narrow"/>
                <w:sz w:val="18"/>
                <w:szCs w:val="18"/>
              </w:rPr>
              <w:t>Uncertain as to how much information of potential relevance to shipping is available.</w:t>
            </w:r>
          </w:p>
        </w:tc>
        <w:tc>
          <w:tcPr>
            <w:tcW w:w="5045" w:type="dxa"/>
            <w:gridSpan w:val="2"/>
            <w:tcBorders>
              <w:top w:val="single" w:sz="4" w:space="0" w:color="auto"/>
              <w:left w:val="single" w:sz="4" w:space="0" w:color="auto"/>
              <w:bottom w:val="single" w:sz="4" w:space="0" w:color="auto"/>
              <w:right w:val="single" w:sz="4" w:space="0" w:color="auto"/>
            </w:tcBorders>
          </w:tcPr>
          <w:p w14:paraId="5762091F"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903" w:tgtFrame="_blank" w:history="1">
              <w:r w:rsidR="00A56EE9" w:rsidRPr="00E70A11">
                <w:rPr>
                  <w:rStyle w:val="Hyperlink"/>
                  <w:rFonts w:ascii="Arial Narrow" w:hAnsi="Arial Narrow"/>
                  <w:color w:val="000000" w:themeColor="text1"/>
                  <w:sz w:val="18"/>
                  <w:szCs w:val="18"/>
                  <w:lang w:val="en"/>
                </w:rPr>
                <w:t>Ship Anchorage Management Report in the Great Barrier Reef World Heritage Area</w:t>
              </w:r>
            </w:hyperlink>
            <w:r w:rsidR="00A56EE9" w:rsidRPr="00E70A11">
              <w:rPr>
                <w:rStyle w:val="Hyperlink"/>
                <w:rFonts w:ascii="Arial Narrow" w:hAnsi="Arial Narrow"/>
                <w:color w:val="000000" w:themeColor="text1"/>
                <w:sz w:val="18"/>
                <w:szCs w:val="18"/>
                <w:lang w:val="en"/>
              </w:rPr>
              <w:t xml:space="preserve"> 2013</w:t>
            </w:r>
          </w:p>
          <w:p w14:paraId="57620920" w14:textId="77777777" w:rsidR="00A56EE9" w:rsidRPr="00AC4AB4"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Guidelines:</w:t>
            </w:r>
            <w:hyperlink r:id="rId1904" w:history="1">
              <w:r w:rsidRPr="00E70A11">
                <w:rPr>
                  <w:rStyle w:val="Hyperlink"/>
                  <w:rFonts w:ascii="Arial Narrow" w:hAnsi="Arial Narrow"/>
                  <w:color w:val="000000" w:themeColor="text1"/>
                  <w:sz w:val="18"/>
                  <w:szCs w:val="18"/>
                </w:rPr>
                <w:t xml:space="preserve"> Woppaburra Traditional Owner heritage assessment</w:t>
              </w:r>
            </w:hyperlink>
            <w:r w:rsidRPr="00E70A11">
              <w:rPr>
                <w:rStyle w:val="Hyperlink"/>
                <w:rFonts w:ascii="Arial Narrow" w:hAnsi="Arial Narrow"/>
                <w:color w:val="000000" w:themeColor="text1"/>
                <w:sz w:val="18"/>
                <w:szCs w:val="18"/>
              </w:rPr>
              <w:t xml:space="preserve"> </w:t>
            </w:r>
          </w:p>
        </w:tc>
        <w:tc>
          <w:tcPr>
            <w:tcW w:w="986" w:type="dxa"/>
            <w:gridSpan w:val="2"/>
            <w:tcBorders>
              <w:top w:val="single" w:sz="4" w:space="0" w:color="auto"/>
              <w:left w:val="single" w:sz="4" w:space="0" w:color="auto"/>
              <w:bottom w:val="single" w:sz="4" w:space="0" w:color="auto"/>
              <w:right w:val="single" w:sz="4" w:space="0" w:color="auto"/>
            </w:tcBorders>
          </w:tcPr>
          <w:p w14:paraId="57620921" w14:textId="77777777" w:rsidR="00A56EE9" w:rsidRPr="00E70A11" w:rsidRDefault="00A56EE9" w:rsidP="00BB6AD5">
            <w:pPr>
              <w:pStyle w:val="Tablebulletlist"/>
              <w:rPr>
                <w:rStyle w:val="BookTitle"/>
              </w:rPr>
            </w:pPr>
            <w:r w:rsidRPr="00E70A11">
              <w:rPr>
                <w:rStyle w:val="BookTitle"/>
              </w:rPr>
              <w:t>Uncertain</w:t>
            </w:r>
          </w:p>
        </w:tc>
        <w:tc>
          <w:tcPr>
            <w:tcW w:w="865" w:type="dxa"/>
            <w:gridSpan w:val="2"/>
            <w:tcBorders>
              <w:top w:val="single" w:sz="4" w:space="0" w:color="auto"/>
              <w:left w:val="single" w:sz="4" w:space="0" w:color="auto"/>
              <w:bottom w:val="single" w:sz="4" w:space="0" w:color="auto"/>
              <w:right w:val="single" w:sz="4" w:space="0" w:color="auto"/>
            </w:tcBorders>
          </w:tcPr>
          <w:p w14:paraId="57620922"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92F"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24" w14:textId="77777777" w:rsidR="00A56EE9" w:rsidRPr="00E70A11" w:rsidRDefault="00A56EE9" w:rsidP="00BB6AD5">
            <w:pPr>
              <w:pStyle w:val="Tablebulletlist"/>
              <w:rPr>
                <w:rStyle w:val="BookTitle"/>
              </w:rPr>
            </w:pPr>
            <w:r w:rsidRPr="00E70A11">
              <w:rPr>
                <w:rStyle w:val="BookTitle"/>
              </w:rPr>
              <w:t>PR12</w:t>
            </w:r>
            <w:r>
              <w:rPr>
                <w:rStyle w:val="BookTitle"/>
              </w:rPr>
              <w:t xml:space="preserve"> </w:t>
            </w:r>
            <w:r w:rsidRPr="00E70A11">
              <w:rPr>
                <w:rStyle w:val="BookTitle"/>
              </w:rPr>
              <w:t>The best available historic heritage information is applied appropriately to make relevant management decisions regarding shipping</w:t>
            </w:r>
          </w:p>
        </w:tc>
        <w:tc>
          <w:tcPr>
            <w:tcW w:w="809" w:type="dxa"/>
            <w:gridSpan w:val="2"/>
            <w:tcBorders>
              <w:top w:val="single" w:sz="4" w:space="0" w:color="auto"/>
              <w:left w:val="single" w:sz="4" w:space="0" w:color="auto"/>
              <w:bottom w:val="single" w:sz="4" w:space="0" w:color="auto"/>
              <w:right w:val="single" w:sz="4" w:space="0" w:color="auto"/>
            </w:tcBorders>
          </w:tcPr>
          <w:p w14:paraId="57620925"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926"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Relevant in relation to shipping movements in some specific locations where recognised items of historic significance may be vulnerable to damage from anchoring or wake effects.</w:t>
            </w:r>
          </w:p>
          <w:p w14:paraId="57620927"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lang w:val="en"/>
              </w:rPr>
              <w:t xml:space="preserve">AMSA has worked with GBRMPA to develop a heritage management plan to protect and manage the Dent Island lightstation, which was established in 1879. </w:t>
            </w:r>
            <w:r w:rsidRPr="00E70A11">
              <w:rPr>
                <w:rStyle w:val="BookTitle"/>
                <w:rFonts w:ascii="Arial Narrow" w:hAnsi="Arial Narrow"/>
                <w:color w:val="000000" w:themeColor="text1"/>
                <w:sz w:val="18"/>
                <w:szCs w:val="18"/>
              </w:rPr>
              <w:t>A heritage register and management plans for other sites are being developed.</w:t>
            </w:r>
          </w:p>
          <w:p w14:paraId="57620928"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GBRMPA has established value assessment guidelines</w:t>
            </w:r>
            <w:r w:rsidRPr="00E70A11">
              <w:rPr>
                <w:rStyle w:val="Hyperlink"/>
                <w:rFonts w:ascii="Arial Narrow" w:hAnsi="Arial Narrow"/>
                <w:color w:val="000000" w:themeColor="text1"/>
                <w:sz w:val="18"/>
                <w:szCs w:val="18"/>
              </w:rPr>
              <w:t xml:space="preserve"> for historic heritage values.</w:t>
            </w:r>
          </w:p>
        </w:tc>
        <w:tc>
          <w:tcPr>
            <w:tcW w:w="5045" w:type="dxa"/>
            <w:gridSpan w:val="2"/>
            <w:tcBorders>
              <w:top w:val="single" w:sz="4" w:space="0" w:color="auto"/>
              <w:left w:val="single" w:sz="4" w:space="0" w:color="auto"/>
              <w:bottom w:val="single" w:sz="4" w:space="0" w:color="auto"/>
              <w:right w:val="single" w:sz="4" w:space="0" w:color="auto"/>
            </w:tcBorders>
          </w:tcPr>
          <w:p w14:paraId="57620929"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rPr>
            </w:pPr>
            <w:hyperlink r:id="rId1905" w:tgtFrame="_blank" w:history="1">
              <w:r w:rsidR="00A56EE9" w:rsidRPr="00E70A11">
                <w:rPr>
                  <w:rStyle w:val="Hyperlink"/>
                  <w:rFonts w:ascii="Arial Narrow" w:hAnsi="Arial Narrow"/>
                  <w:color w:val="000000" w:themeColor="text1"/>
                  <w:sz w:val="18"/>
                  <w:szCs w:val="18"/>
                  <w:lang w:val="en"/>
                </w:rPr>
                <w:t>Ship Anchorage Management Report in the Great Barrier Reef World Heritage Area</w:t>
              </w:r>
            </w:hyperlink>
            <w:r w:rsidR="00A56EE9" w:rsidRPr="00E70A11">
              <w:rPr>
                <w:rStyle w:val="Hyperlink"/>
                <w:rFonts w:ascii="Arial Narrow" w:hAnsi="Arial Narrow"/>
                <w:color w:val="000000" w:themeColor="text1"/>
                <w:sz w:val="18"/>
                <w:szCs w:val="18"/>
                <w:lang w:val="en"/>
              </w:rPr>
              <w:t xml:space="preserve"> 2013</w:t>
            </w:r>
          </w:p>
          <w:p w14:paraId="5762092A"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906" w:history="1">
              <w:r w:rsidR="00A56EE9" w:rsidRPr="00E70A11">
                <w:rPr>
                  <w:rStyle w:val="Hyperlink"/>
                  <w:rFonts w:ascii="Arial Narrow" w:hAnsi="Arial Narrow"/>
                  <w:color w:val="000000" w:themeColor="text1"/>
                  <w:sz w:val="18"/>
                  <w:szCs w:val="18"/>
                </w:rPr>
                <w:t>Aids to navigation</w:t>
              </w:r>
            </w:hyperlink>
            <w:r w:rsidR="00A56EE9" w:rsidRPr="00E70A11">
              <w:rPr>
                <w:rFonts w:ascii="Arial Narrow" w:hAnsi="Arial Narrow"/>
                <w:color w:val="000000" w:themeColor="text1"/>
                <w:sz w:val="18"/>
                <w:szCs w:val="18"/>
              </w:rPr>
              <w:t xml:space="preserve"> webpage </w:t>
            </w:r>
            <w:r w:rsidR="00A56EE9" w:rsidRPr="00E70A11">
              <w:rPr>
                <w:rStyle w:val="BookTitle"/>
                <w:rFonts w:ascii="Arial Narrow" w:hAnsi="Arial Narrow"/>
                <w:color w:val="000000" w:themeColor="text1"/>
                <w:sz w:val="18"/>
                <w:szCs w:val="18"/>
              </w:rPr>
              <w:t xml:space="preserve">and </w:t>
            </w:r>
            <w:hyperlink r:id="rId1907" w:history="1">
              <w:r w:rsidR="00A56EE9" w:rsidRPr="00E70A11">
                <w:rPr>
                  <w:rStyle w:val="Hyperlink"/>
                  <w:rFonts w:ascii="Arial Narrow" w:hAnsi="Arial Narrow"/>
                  <w:color w:val="000000" w:themeColor="text1"/>
                  <w:sz w:val="18"/>
                  <w:szCs w:val="18"/>
                </w:rPr>
                <w:t>Dent Island Lightstation Heritage Management Plan</w:t>
              </w:r>
            </w:hyperlink>
          </w:p>
          <w:p w14:paraId="5762092B"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908" w:history="1">
              <w:r w:rsidR="00A56EE9" w:rsidRPr="00E70A11">
                <w:rPr>
                  <w:rStyle w:val="Hyperlink"/>
                  <w:rFonts w:ascii="Arial Narrow" w:hAnsi="Arial Narrow"/>
                  <w:color w:val="000000" w:themeColor="text1"/>
                  <w:sz w:val="18"/>
                  <w:szCs w:val="18"/>
                </w:rPr>
                <w:t>Interactive map</w:t>
              </w:r>
            </w:hyperlink>
            <w:r w:rsidR="00A56EE9" w:rsidRPr="00E70A11">
              <w:rPr>
                <w:rStyle w:val="BookTitle"/>
                <w:rFonts w:ascii="Arial Narrow" w:hAnsi="Arial Narrow"/>
                <w:color w:val="000000" w:themeColor="text1"/>
                <w:sz w:val="18"/>
                <w:szCs w:val="18"/>
              </w:rPr>
              <w:t xml:space="preserve"> of AMSA historic heritage lighthouses </w:t>
            </w:r>
          </w:p>
          <w:p w14:paraId="5762092C" w14:textId="77777777" w:rsidR="00A56EE9" w:rsidRPr="00E70A11" w:rsidRDefault="008B5998" w:rsidP="00A11869">
            <w:pPr>
              <w:pStyle w:val="ListParagraph"/>
              <w:numPr>
                <w:ilvl w:val="0"/>
                <w:numId w:val="24"/>
              </w:numPr>
              <w:spacing w:after="0" w:line="276" w:lineRule="auto"/>
              <w:ind w:left="357" w:hanging="357"/>
              <w:rPr>
                <w:rStyle w:val="BookTitle"/>
                <w:rFonts w:ascii="Arial Narrow" w:hAnsi="Arial Narrow"/>
                <w:color w:val="000000" w:themeColor="text1"/>
                <w:sz w:val="18"/>
                <w:szCs w:val="18"/>
              </w:rPr>
            </w:pPr>
            <w:hyperlink r:id="rId1909" w:history="1">
              <w:r w:rsidR="00A56EE9" w:rsidRPr="00E70A11">
                <w:rPr>
                  <w:rStyle w:val="Hyperlink"/>
                  <w:rFonts w:ascii="Arial Narrow" w:hAnsi="Arial Narrow"/>
                  <w:color w:val="000000" w:themeColor="text1"/>
                  <w:sz w:val="18"/>
                  <w:szCs w:val="18"/>
                </w:rPr>
                <w:t>Guidelines: Management of research in the Great Barrier Reef Marine Park</w:t>
              </w:r>
            </w:hyperlink>
            <w:r w:rsidR="00A56EE9" w:rsidRPr="00E70A11">
              <w:rPr>
                <w:rStyle w:val="Hyperlink"/>
                <w:rFonts w:ascii="Arial Narrow" w:hAnsi="Arial Narrow"/>
                <w:color w:val="000000" w:themeColor="text1"/>
                <w:sz w:val="18"/>
                <w:szCs w:val="18"/>
              </w:rPr>
              <w:t xml:space="preserve">; </w:t>
            </w:r>
            <w:hyperlink r:id="rId1910" w:history="1">
              <w:r w:rsidR="00A56EE9" w:rsidRPr="00E70A11">
                <w:rPr>
                  <w:rStyle w:val="Hyperlink"/>
                  <w:rFonts w:ascii="Arial Narrow" w:hAnsi="Arial Narrow"/>
                  <w:color w:val="000000" w:themeColor="text1"/>
                  <w:sz w:val="18"/>
                  <w:szCs w:val="18"/>
                </w:rPr>
                <w:t>Guidelines Historic heritage assessment: lightstations and aids to navigation</w:t>
              </w:r>
            </w:hyperlink>
            <w:r w:rsidR="00A56EE9" w:rsidRPr="00E70A11">
              <w:rPr>
                <w:rStyle w:val="BookTitle"/>
                <w:rFonts w:ascii="Arial Narrow" w:hAnsi="Arial Narrow"/>
                <w:color w:val="000000" w:themeColor="text1"/>
                <w:sz w:val="18"/>
                <w:szCs w:val="18"/>
              </w:rPr>
              <w:t xml:space="preserve"> (not yet published); </w:t>
            </w:r>
            <w:hyperlink r:id="rId1911" w:history="1">
              <w:r w:rsidR="00A56EE9" w:rsidRPr="00E70A11">
                <w:rPr>
                  <w:rStyle w:val="Hyperlink"/>
                  <w:rFonts w:ascii="Arial Narrow" w:hAnsi="Arial Narrow"/>
                  <w:color w:val="000000" w:themeColor="text1"/>
                  <w:sz w:val="18"/>
                  <w:szCs w:val="18"/>
                </w:rPr>
                <w:t>Guidelines Historic heritage assessment: Maritime cultural heritage protection special management area</w:t>
              </w:r>
            </w:hyperlink>
            <w:r w:rsidR="00A56EE9" w:rsidRPr="00E70A11">
              <w:rPr>
                <w:rStyle w:val="BookTitle"/>
                <w:rFonts w:ascii="Arial Narrow" w:hAnsi="Arial Narrow"/>
                <w:color w:val="000000" w:themeColor="text1"/>
                <w:sz w:val="18"/>
                <w:szCs w:val="18"/>
              </w:rPr>
              <w:t xml:space="preserve">; </w:t>
            </w:r>
            <w:hyperlink r:id="rId1912" w:history="1">
              <w:r w:rsidR="00A56EE9" w:rsidRPr="00E70A11">
                <w:rPr>
                  <w:rStyle w:val="Hyperlink"/>
                  <w:rFonts w:ascii="Arial Narrow" w:hAnsi="Arial Narrow"/>
                  <w:color w:val="000000" w:themeColor="text1"/>
                  <w:sz w:val="18"/>
                  <w:szCs w:val="18"/>
                </w:rPr>
                <w:t>Guidelines Historic heritage assessment: WWII features, sites, and voyages and shipwrecks</w:t>
              </w:r>
            </w:hyperlink>
            <w:r w:rsidR="00A56EE9" w:rsidRPr="00E70A11">
              <w:rPr>
                <w:rStyle w:val="BookTitle"/>
                <w:rFonts w:ascii="Arial Narrow" w:hAnsi="Arial Narrow"/>
                <w:color w:val="000000" w:themeColor="text1"/>
                <w:sz w:val="18"/>
                <w:szCs w:val="18"/>
              </w:rPr>
              <w:t xml:space="preserve">; </w:t>
            </w:r>
            <w:hyperlink r:id="rId1913" w:history="1">
              <w:r w:rsidR="00A56EE9" w:rsidRPr="00E70A11">
                <w:rPr>
                  <w:rStyle w:val="Hyperlink"/>
                  <w:rFonts w:ascii="Arial Narrow" w:hAnsi="Arial Narrow"/>
                  <w:color w:val="000000" w:themeColor="text1"/>
                  <w:sz w:val="18"/>
                  <w:szCs w:val="18"/>
                </w:rPr>
                <w:t>Guidelines: Historic heritage assessment: other places of historic and social significance</w:t>
              </w:r>
            </w:hyperlink>
            <w:r w:rsidR="00A56EE9" w:rsidRPr="00E70A11">
              <w:rPr>
                <w:rStyle w:val="BookTitle"/>
                <w:rFonts w:ascii="Arial Narrow" w:hAnsi="Arial Narrow"/>
                <w:color w:val="000000" w:themeColor="text1"/>
                <w:sz w:val="18"/>
                <w:szCs w:val="18"/>
              </w:rPr>
              <w:t>.</w:t>
            </w:r>
          </w:p>
        </w:tc>
        <w:tc>
          <w:tcPr>
            <w:tcW w:w="986" w:type="dxa"/>
            <w:gridSpan w:val="2"/>
            <w:tcBorders>
              <w:top w:val="single" w:sz="4" w:space="0" w:color="auto"/>
              <w:left w:val="single" w:sz="4" w:space="0" w:color="auto"/>
              <w:bottom w:val="single" w:sz="4" w:space="0" w:color="auto"/>
              <w:right w:val="single" w:sz="4" w:space="0" w:color="auto"/>
            </w:tcBorders>
          </w:tcPr>
          <w:p w14:paraId="5762092D" w14:textId="77777777" w:rsidR="00A56EE9" w:rsidRPr="00E70A11" w:rsidRDefault="00A56EE9" w:rsidP="00BB6AD5">
            <w:pPr>
              <w:pStyle w:val="Tablebulletlist"/>
              <w:rPr>
                <w:rStyle w:val="BookTitle"/>
              </w:rPr>
            </w:pPr>
            <w:r w:rsidRPr="00E70A11">
              <w:rPr>
                <w:rStyle w:val="BookTitle"/>
              </w:rPr>
              <w:t>Uncertain</w:t>
            </w:r>
          </w:p>
        </w:tc>
        <w:tc>
          <w:tcPr>
            <w:tcW w:w="865" w:type="dxa"/>
            <w:gridSpan w:val="2"/>
            <w:tcBorders>
              <w:top w:val="single" w:sz="4" w:space="0" w:color="auto"/>
              <w:left w:val="single" w:sz="4" w:space="0" w:color="auto"/>
              <w:bottom w:val="single" w:sz="4" w:space="0" w:color="auto"/>
              <w:right w:val="single" w:sz="4" w:space="0" w:color="auto"/>
            </w:tcBorders>
          </w:tcPr>
          <w:p w14:paraId="5762092E"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93A"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shd w:val="clear" w:color="auto" w:fill="auto"/>
          </w:tcPr>
          <w:p w14:paraId="57620930" w14:textId="77777777" w:rsidR="00A56EE9" w:rsidRPr="00E70A11" w:rsidRDefault="00A56EE9" w:rsidP="00BB6AD5">
            <w:pPr>
              <w:pStyle w:val="Tablebulletlist"/>
              <w:rPr>
                <w:rStyle w:val="BookTitle"/>
              </w:rPr>
            </w:pPr>
            <w:r w:rsidRPr="00E70A11">
              <w:rPr>
                <w:rStyle w:val="BookTitle"/>
              </w:rPr>
              <w:t>PR13</w:t>
            </w:r>
            <w:r>
              <w:rPr>
                <w:rStyle w:val="BookTitle"/>
              </w:rPr>
              <w:t xml:space="preserve"> </w:t>
            </w:r>
            <w:r w:rsidRPr="00E70A11">
              <w:rPr>
                <w:rStyle w:val="BookTitle"/>
              </w:rPr>
              <w:t>Relevant standards are identified and being met regarding shipping</w:t>
            </w:r>
          </w:p>
        </w:tc>
        <w:tc>
          <w:tcPr>
            <w:tcW w:w="809" w:type="dxa"/>
            <w:gridSpan w:val="2"/>
            <w:tcBorders>
              <w:top w:val="single" w:sz="4" w:space="0" w:color="auto"/>
              <w:left w:val="single" w:sz="4" w:space="0" w:color="auto"/>
              <w:bottom w:val="single" w:sz="4" w:space="0" w:color="auto"/>
              <w:right w:val="single" w:sz="4" w:space="0" w:color="auto"/>
            </w:tcBorders>
          </w:tcPr>
          <w:p w14:paraId="57620931"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32"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relevant standards are those set via IMO processes, including the Associated Protective Measures applying in the GBR, Torres Strait and Coral Sea as PSSAs. These are regulated in Australia by a range of measures, including Port State Control inspections. Furthermore, many ship charterers apply ship vetting practices when contracting ships to visit GBR ports.</w:t>
            </w:r>
          </w:p>
          <w:p w14:paraId="57620933"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Although relevant standards are being met, there is a need for constant vigilance and also a need to anticipate future risk trends in order to manage pre-emptively.</w:t>
            </w:r>
          </w:p>
          <w:p w14:paraId="57620934"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There is a very high compliance by ships to REEFVTS reporting requirements. </w:t>
            </w:r>
          </w:p>
        </w:tc>
        <w:tc>
          <w:tcPr>
            <w:tcW w:w="5045" w:type="dxa"/>
            <w:gridSpan w:val="2"/>
            <w:tcBorders>
              <w:top w:val="single" w:sz="4" w:space="0" w:color="auto"/>
              <w:left w:val="single" w:sz="4" w:space="0" w:color="auto"/>
              <w:bottom w:val="single" w:sz="4" w:space="0" w:color="auto"/>
              <w:right w:val="single" w:sz="4" w:space="0" w:color="auto"/>
            </w:tcBorders>
          </w:tcPr>
          <w:p w14:paraId="57620935"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 xml:space="preserve">AMSA webpage on </w:t>
            </w:r>
            <w:hyperlink r:id="rId1914" w:history="1">
              <w:r w:rsidRPr="00E70A11">
                <w:rPr>
                  <w:rStyle w:val="Hyperlink"/>
                  <w:rFonts w:ascii="Arial Narrow" w:hAnsi="Arial Narrow"/>
                  <w:color w:val="000000" w:themeColor="text1"/>
                  <w:sz w:val="18"/>
                  <w:szCs w:val="18"/>
                </w:rPr>
                <w:t>environmental legislation</w:t>
              </w:r>
            </w:hyperlink>
            <w:r w:rsidRPr="00E70A11">
              <w:rPr>
                <w:rStyle w:val="Hyperlink"/>
                <w:rFonts w:ascii="Arial Narrow" w:hAnsi="Arial Narrow"/>
                <w:color w:val="000000" w:themeColor="text1"/>
                <w:sz w:val="18"/>
                <w:szCs w:val="18"/>
              </w:rPr>
              <w:t xml:space="preserve"> and </w:t>
            </w:r>
            <w:hyperlink r:id="rId1915" w:history="1">
              <w:r w:rsidRPr="00E70A11">
                <w:rPr>
                  <w:rStyle w:val="Hyperlink"/>
                  <w:rFonts w:ascii="Arial Narrow" w:hAnsi="Arial Narrow"/>
                  <w:color w:val="000000" w:themeColor="text1"/>
                  <w:sz w:val="18"/>
                  <w:szCs w:val="18"/>
                </w:rPr>
                <w:t>standards</w:t>
              </w:r>
            </w:hyperlink>
          </w:p>
          <w:p w14:paraId="57620936"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AMSA </w:t>
            </w:r>
            <w:hyperlink r:id="rId1916" w:history="1">
              <w:r w:rsidRPr="00E70A11">
                <w:rPr>
                  <w:rStyle w:val="Hyperlink"/>
                  <w:rFonts w:ascii="Arial Narrow" w:hAnsi="Arial Narrow"/>
                  <w:color w:val="000000" w:themeColor="text1"/>
                  <w:sz w:val="18"/>
                  <w:szCs w:val="18"/>
                </w:rPr>
                <w:t>Marine Notices</w:t>
              </w:r>
            </w:hyperlink>
            <w:r w:rsidRPr="00E70A11">
              <w:rPr>
                <w:rStyle w:val="BookTitle"/>
                <w:rFonts w:ascii="Arial Narrow" w:hAnsi="Arial Narrow"/>
                <w:color w:val="000000" w:themeColor="text1"/>
                <w:sz w:val="18"/>
                <w:szCs w:val="18"/>
              </w:rPr>
              <w:t xml:space="preserve"> webpage</w:t>
            </w:r>
          </w:p>
          <w:p w14:paraId="57620937"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AMSA </w:t>
            </w:r>
            <w:hyperlink r:id="rId1917" w:history="1">
              <w:r w:rsidRPr="00E70A11">
                <w:rPr>
                  <w:rStyle w:val="Hyperlink"/>
                  <w:rFonts w:ascii="Arial Narrow" w:hAnsi="Arial Narrow"/>
                  <w:color w:val="000000" w:themeColor="text1"/>
                  <w:sz w:val="18"/>
                  <w:szCs w:val="18"/>
                </w:rPr>
                <w:t>annual report 2015-16</w:t>
              </w:r>
            </w:hyperlink>
            <w:r w:rsidRPr="00E70A11">
              <w:rPr>
                <w:rFonts w:ascii="Arial Narrow" w:hAnsi="Arial Narrow"/>
                <w:color w:val="000000" w:themeColor="text1"/>
                <w:sz w:val="18"/>
                <w:szCs w:val="18"/>
              </w:rPr>
              <w:t xml:space="preserve"> p 33</w:t>
            </w:r>
          </w:p>
        </w:tc>
        <w:tc>
          <w:tcPr>
            <w:tcW w:w="986" w:type="dxa"/>
            <w:gridSpan w:val="2"/>
            <w:tcBorders>
              <w:top w:val="single" w:sz="4" w:space="0" w:color="auto"/>
              <w:left w:val="single" w:sz="4" w:space="0" w:color="auto"/>
              <w:bottom w:val="single" w:sz="4" w:space="0" w:color="auto"/>
              <w:right w:val="single" w:sz="4" w:space="0" w:color="auto"/>
            </w:tcBorders>
          </w:tcPr>
          <w:p w14:paraId="57620938"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3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942"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3B" w14:textId="77777777" w:rsidR="00A56EE9" w:rsidRPr="00E70A11" w:rsidRDefault="00A56EE9" w:rsidP="00BB6AD5">
            <w:pPr>
              <w:pStyle w:val="Tablebulletlist"/>
              <w:rPr>
                <w:rStyle w:val="BookTitle"/>
              </w:rPr>
            </w:pPr>
            <w:r w:rsidRPr="00E70A11">
              <w:rPr>
                <w:rStyle w:val="BookTitle"/>
              </w:rPr>
              <w:t>PR14</w:t>
            </w:r>
            <w:r>
              <w:rPr>
                <w:rStyle w:val="BookTitle"/>
              </w:rPr>
              <w:t xml:space="preserve"> </w:t>
            </w:r>
            <w:r w:rsidRPr="00E70A11">
              <w:rPr>
                <w:rStyle w:val="BookTitle"/>
              </w:rPr>
              <w:t>Targets have been established to benchmark management performance for shipping</w:t>
            </w:r>
          </w:p>
        </w:tc>
        <w:tc>
          <w:tcPr>
            <w:tcW w:w="809" w:type="dxa"/>
            <w:gridSpan w:val="2"/>
            <w:tcBorders>
              <w:top w:val="single" w:sz="4" w:space="0" w:color="auto"/>
              <w:left w:val="single" w:sz="4" w:space="0" w:color="auto"/>
              <w:bottom w:val="single" w:sz="4" w:space="0" w:color="auto"/>
              <w:right w:val="single" w:sz="4" w:space="0" w:color="auto"/>
            </w:tcBorders>
          </w:tcPr>
          <w:p w14:paraId="5762093C"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93D"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Although the overall objectives of managing to achieve safe shipping within the GBR Region are self-evident, it is difficult to discern where these may have been distinctly articulated as concise targets, including key indicators. Suggest that this may need to be rectified if this finding is indeed valid.</w:t>
            </w:r>
          </w:p>
          <w:p w14:paraId="5762093E"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sz w:val="18"/>
                <w:szCs w:val="18"/>
              </w:rPr>
              <w:t>MSQ does have clearly articulated objectives, with some measurement criteria, for the implementation of REEFVTS.</w:t>
            </w:r>
          </w:p>
        </w:tc>
        <w:tc>
          <w:tcPr>
            <w:tcW w:w="5045" w:type="dxa"/>
            <w:gridSpan w:val="2"/>
            <w:tcBorders>
              <w:top w:val="single" w:sz="4" w:space="0" w:color="auto"/>
              <w:left w:val="single" w:sz="4" w:space="0" w:color="auto"/>
              <w:bottom w:val="single" w:sz="4" w:space="0" w:color="auto"/>
              <w:right w:val="single" w:sz="4" w:space="0" w:color="auto"/>
            </w:tcBorders>
          </w:tcPr>
          <w:p w14:paraId="5762093F" w14:textId="77777777" w:rsidR="00A56EE9" w:rsidRPr="00E70A11" w:rsidRDefault="00A56EE9" w:rsidP="00A11869">
            <w:pPr>
              <w:pStyle w:val="ListParagraph"/>
              <w:numPr>
                <w:ilvl w:val="0"/>
                <w:numId w:val="166"/>
              </w:numPr>
              <w:spacing w:after="200" w:line="276" w:lineRule="auto"/>
              <w:rPr>
                <w:rStyle w:val="BookTitle"/>
                <w:rFonts w:ascii="Arial Narrow" w:hAnsi="Arial Narrow"/>
                <w:color w:val="000000" w:themeColor="text1"/>
                <w:sz w:val="18"/>
                <w:szCs w:val="18"/>
              </w:rPr>
            </w:pPr>
            <w:r w:rsidRPr="00CD5DCE">
              <w:rPr>
                <w:rStyle w:val="BookTitle"/>
                <w:rFonts w:ascii="Arial Narrow" w:hAnsi="Arial Narrow"/>
                <w:color w:val="000000" w:themeColor="text1"/>
                <w:sz w:val="18"/>
                <w:szCs w:val="18"/>
              </w:rPr>
              <w:t>https://www.msq.qld.gov.au/Shipping/Reefvts.aspx</w:t>
            </w:r>
          </w:p>
        </w:tc>
        <w:tc>
          <w:tcPr>
            <w:tcW w:w="986" w:type="dxa"/>
            <w:gridSpan w:val="2"/>
            <w:tcBorders>
              <w:top w:val="single" w:sz="4" w:space="0" w:color="auto"/>
              <w:left w:val="single" w:sz="4" w:space="0" w:color="auto"/>
              <w:bottom w:val="single" w:sz="4" w:space="0" w:color="auto"/>
              <w:right w:val="single" w:sz="4" w:space="0" w:color="auto"/>
            </w:tcBorders>
          </w:tcPr>
          <w:p w14:paraId="57620940"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41"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949"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43" w14:textId="77777777" w:rsidR="00A56EE9" w:rsidRPr="00E70A11" w:rsidRDefault="00A56EE9" w:rsidP="00BB6AD5">
            <w:pPr>
              <w:pStyle w:val="Tablebulletlist"/>
              <w:rPr>
                <w:rStyle w:val="BookTitle"/>
              </w:rPr>
            </w:pPr>
            <w:r w:rsidRPr="00E70A11">
              <w:rPr>
                <w:rStyle w:val="BookTitle"/>
              </w:rPr>
              <w:t>OUTPUTS</w:t>
            </w:r>
          </w:p>
        </w:tc>
        <w:tc>
          <w:tcPr>
            <w:tcW w:w="809"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44" w14:textId="77777777" w:rsidR="00A56EE9" w:rsidRPr="00E70A11" w:rsidRDefault="00A56EE9" w:rsidP="00BB6AD5">
            <w:pPr>
              <w:pStyle w:val="Tablebulletlist"/>
              <w:rPr>
                <w:rStyle w:val="BookTitle"/>
              </w:rPr>
            </w:pPr>
          </w:p>
        </w:tc>
        <w:tc>
          <w:tcPr>
            <w:tcW w:w="3793"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45"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45"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46"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6"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47" w14:textId="77777777" w:rsidR="00A56EE9" w:rsidRPr="00E70A11" w:rsidRDefault="00A56EE9" w:rsidP="00BB6AD5">
            <w:pPr>
              <w:pStyle w:val="Tablebulletlist"/>
              <w:rPr>
                <w:rStyle w:val="BookTitle"/>
              </w:rPr>
            </w:pPr>
          </w:p>
        </w:tc>
        <w:tc>
          <w:tcPr>
            <w:tcW w:w="865"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48" w14:textId="77777777" w:rsidR="00A56EE9" w:rsidRPr="00E70A11" w:rsidRDefault="00A56EE9" w:rsidP="00BB6AD5">
            <w:pPr>
              <w:pStyle w:val="Tablebulletlist"/>
              <w:rPr>
                <w:rStyle w:val="BookTitle"/>
              </w:rPr>
            </w:pPr>
          </w:p>
        </w:tc>
      </w:tr>
      <w:tr w:rsidR="00A56EE9" w:rsidRPr="00E70A11" w14:paraId="57620953"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4A" w14:textId="77777777" w:rsidR="00A56EE9" w:rsidRPr="00E70A11" w:rsidRDefault="00A56EE9" w:rsidP="00BB6AD5">
            <w:pPr>
              <w:pStyle w:val="Tablebulletlist"/>
              <w:rPr>
                <w:rStyle w:val="BookTitle"/>
              </w:rPr>
            </w:pPr>
            <w:r w:rsidRPr="00E70A11">
              <w:rPr>
                <w:rStyle w:val="BookTitle"/>
              </w:rPr>
              <w:t>OP1</w:t>
            </w:r>
            <w:r>
              <w:rPr>
                <w:rStyle w:val="BookTitle"/>
              </w:rPr>
              <w:t xml:space="preserve"> </w:t>
            </w:r>
            <w:r w:rsidRPr="00E70A11">
              <w:rPr>
                <w:rStyle w:val="BookTitle"/>
              </w:rPr>
              <w:t xml:space="preserve">To date, the actual management program (or activities) have progressed in accordance with the planned work program for shipping </w:t>
            </w:r>
          </w:p>
        </w:tc>
        <w:tc>
          <w:tcPr>
            <w:tcW w:w="809" w:type="dxa"/>
            <w:gridSpan w:val="2"/>
            <w:tcBorders>
              <w:top w:val="single" w:sz="4" w:space="0" w:color="auto"/>
              <w:left w:val="single" w:sz="4" w:space="0" w:color="auto"/>
              <w:bottom w:val="single" w:sz="4" w:space="0" w:color="auto"/>
              <w:right w:val="single" w:sz="4" w:space="0" w:color="auto"/>
            </w:tcBorders>
          </w:tcPr>
          <w:p w14:paraId="5762094B"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4C"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There is a planned work program developed by the North East Shipping Management Group, with periodic reporting against the attainment of objectives.</w:t>
            </w:r>
          </w:p>
          <w:p w14:paraId="5762094D" w14:textId="4D98DF16" w:rsidR="00A56EE9" w:rsidRPr="00E70A11" w:rsidRDefault="00A56EE9" w:rsidP="00FC79D5">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 xml:space="preserve">The 'planned work program' in relation to shipping and how it relates to their management objectives for the Marine Park is summarised by </w:t>
            </w:r>
            <w:r w:rsidR="00FC79D5">
              <w:rPr>
                <w:rFonts w:ascii="Arial Narrow" w:hAnsi="Arial Narrow"/>
                <w:sz w:val="18"/>
                <w:szCs w:val="18"/>
              </w:rPr>
              <w:t xml:space="preserve">the </w:t>
            </w:r>
            <w:r w:rsidRPr="00E70A11">
              <w:rPr>
                <w:rFonts w:ascii="Arial Narrow" w:hAnsi="Arial Narrow"/>
                <w:sz w:val="18"/>
                <w:szCs w:val="18"/>
              </w:rPr>
              <w:t>Reef</w:t>
            </w:r>
            <w:r w:rsidR="00FC79D5">
              <w:rPr>
                <w:rFonts w:ascii="Arial Narrow" w:hAnsi="Arial Narrow"/>
                <w:sz w:val="18"/>
                <w:szCs w:val="18"/>
              </w:rPr>
              <w:t xml:space="preserve"> 2050 </w:t>
            </w:r>
            <w:r w:rsidRPr="00E70A11">
              <w:rPr>
                <w:rFonts w:ascii="Arial Narrow" w:hAnsi="Arial Narrow"/>
                <w:sz w:val="18"/>
                <w:szCs w:val="18"/>
              </w:rPr>
              <w:t xml:space="preserve">Plan, and a number of other initiatives, including the NESMP. </w:t>
            </w:r>
          </w:p>
        </w:tc>
        <w:tc>
          <w:tcPr>
            <w:tcW w:w="5045" w:type="dxa"/>
            <w:gridSpan w:val="2"/>
            <w:tcBorders>
              <w:top w:val="single" w:sz="4" w:space="0" w:color="auto"/>
              <w:left w:val="single" w:sz="4" w:space="0" w:color="auto"/>
              <w:bottom w:val="single" w:sz="4" w:space="0" w:color="auto"/>
              <w:right w:val="single" w:sz="4" w:space="0" w:color="auto"/>
            </w:tcBorders>
          </w:tcPr>
          <w:p w14:paraId="5762094E"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918" w:history="1">
              <w:r w:rsidR="00A56EE9" w:rsidRPr="00E70A11">
                <w:rPr>
                  <w:rStyle w:val="Hyperlink"/>
                  <w:rFonts w:ascii="Arial Narrow" w:hAnsi="Arial Narrow"/>
                  <w:color w:val="000000" w:themeColor="text1"/>
                  <w:sz w:val="18"/>
                  <w:szCs w:val="18"/>
                  <w:lang w:val="en"/>
                </w:rPr>
                <w:t>NESMP work program progress report</w:t>
              </w:r>
            </w:hyperlink>
            <w:r w:rsidR="00A56EE9" w:rsidRPr="00E70A11">
              <w:rPr>
                <w:rFonts w:ascii="Arial Narrow" w:hAnsi="Arial Narrow"/>
                <w:color w:val="000000" w:themeColor="text1"/>
                <w:sz w:val="18"/>
                <w:szCs w:val="18"/>
                <w:lang w:val="en"/>
              </w:rPr>
              <w:t xml:space="preserve"> February 2016</w:t>
            </w:r>
          </w:p>
          <w:p w14:paraId="5762094F"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919" w:history="1">
              <w:r w:rsidR="00A56EE9" w:rsidRPr="00E70A11">
                <w:rPr>
                  <w:rStyle w:val="Hyperlink"/>
                  <w:rFonts w:ascii="Arial Narrow" w:hAnsi="Arial Narrow"/>
                  <w:color w:val="000000" w:themeColor="text1"/>
                  <w:sz w:val="18"/>
                  <w:szCs w:val="18"/>
                  <w:lang w:val="en"/>
                </w:rPr>
                <w:t>NESMP work program status report</w:t>
              </w:r>
            </w:hyperlink>
            <w:r w:rsidR="00A56EE9" w:rsidRPr="00E70A11">
              <w:rPr>
                <w:rFonts w:ascii="Arial Narrow" w:hAnsi="Arial Narrow"/>
                <w:color w:val="000000" w:themeColor="text1"/>
                <w:sz w:val="18"/>
                <w:szCs w:val="18"/>
                <w:lang w:val="en"/>
              </w:rPr>
              <w:t xml:space="preserve"> January 2018</w:t>
            </w:r>
          </w:p>
          <w:p w14:paraId="57620950"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AMSA </w:t>
            </w:r>
            <w:hyperlink r:id="rId1920" w:history="1">
              <w:r w:rsidRPr="00E70A11">
                <w:rPr>
                  <w:rStyle w:val="Hyperlink"/>
                  <w:rFonts w:ascii="Arial Narrow" w:hAnsi="Arial Narrow"/>
                  <w:color w:val="000000" w:themeColor="text1"/>
                  <w:sz w:val="18"/>
                  <w:szCs w:val="18"/>
                </w:rPr>
                <w:t>annual report 2014-15</w:t>
              </w:r>
            </w:hyperlink>
            <w:r>
              <w:rPr>
                <w:rStyle w:val="Hyperlink"/>
                <w:rFonts w:ascii="Arial Narrow" w:hAnsi="Arial Narrow"/>
                <w:color w:val="000000" w:themeColor="text1"/>
                <w:sz w:val="18"/>
                <w:szCs w:val="18"/>
              </w:rPr>
              <w:t xml:space="preserve"> </w:t>
            </w:r>
            <w:r w:rsidRPr="00E70A11">
              <w:rPr>
                <w:rFonts w:ascii="Arial Narrow" w:hAnsi="Arial Narrow"/>
                <w:color w:val="000000" w:themeColor="text1"/>
                <w:sz w:val="18"/>
                <w:szCs w:val="18"/>
              </w:rPr>
              <w:t>page 65 and 57</w:t>
            </w:r>
            <w:r w:rsidRPr="00E70A11">
              <w:rPr>
                <w:rStyle w:val="Hyperlink"/>
                <w:rFonts w:ascii="Arial Narrow" w:hAnsi="Arial Narrow"/>
                <w:color w:val="000000" w:themeColor="text1"/>
                <w:sz w:val="18"/>
                <w:szCs w:val="18"/>
              </w:rPr>
              <w:t xml:space="preserve"> </w:t>
            </w:r>
          </w:p>
        </w:tc>
        <w:tc>
          <w:tcPr>
            <w:tcW w:w="986" w:type="dxa"/>
            <w:gridSpan w:val="2"/>
            <w:tcBorders>
              <w:top w:val="single" w:sz="4" w:space="0" w:color="auto"/>
              <w:left w:val="single" w:sz="4" w:space="0" w:color="auto"/>
              <w:bottom w:val="single" w:sz="4" w:space="0" w:color="auto"/>
              <w:right w:val="single" w:sz="4" w:space="0" w:color="auto"/>
            </w:tcBorders>
          </w:tcPr>
          <w:p w14:paraId="57620951"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52"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960"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54" w14:textId="77777777" w:rsidR="00A56EE9" w:rsidRPr="00E70A11" w:rsidRDefault="00A56EE9" w:rsidP="00BB6AD5">
            <w:pPr>
              <w:pStyle w:val="Tablebulletlist"/>
              <w:rPr>
                <w:rStyle w:val="BookTitle"/>
              </w:rPr>
            </w:pPr>
            <w:r w:rsidRPr="00E70A11">
              <w:rPr>
                <w:rStyle w:val="BookTitle"/>
              </w:rPr>
              <w:t>OP2</w:t>
            </w:r>
            <w:r>
              <w:rPr>
                <w:rStyle w:val="BookTitle"/>
              </w:rPr>
              <w:t xml:space="preserve"> </w:t>
            </w:r>
            <w:r w:rsidRPr="00E70A11">
              <w:rPr>
                <w:rStyle w:val="BookTitle"/>
              </w:rPr>
              <w:t>Implementation of management documents and/or programs relevant to shipping have progressed in accordance with timeframes specified in those documents</w:t>
            </w:r>
          </w:p>
        </w:tc>
        <w:tc>
          <w:tcPr>
            <w:tcW w:w="809" w:type="dxa"/>
            <w:gridSpan w:val="2"/>
            <w:tcBorders>
              <w:top w:val="single" w:sz="4" w:space="0" w:color="auto"/>
              <w:left w:val="single" w:sz="4" w:space="0" w:color="auto"/>
              <w:bottom w:val="single" w:sz="4" w:space="0" w:color="auto"/>
              <w:right w:val="single" w:sz="4" w:space="0" w:color="auto"/>
            </w:tcBorders>
          </w:tcPr>
          <w:p w14:paraId="57620955"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56"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sz w:val="18"/>
                <w:szCs w:val="18"/>
              </w:rPr>
              <w:t>Implementation appears to be generally sufficient and in accordance with planned schedule.</w:t>
            </w:r>
          </w:p>
          <w:p w14:paraId="57620957"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Progress on addressing introduced marine pests is underway but slow, especially in relation to biofouling.</w:t>
            </w:r>
          </w:p>
          <w:p w14:paraId="57620958"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Incident related actions in the NESMP progressing in a timely way – e.g. national shipping incident investigation guidelines have been developed.</w:t>
            </w:r>
          </w:p>
          <w:p w14:paraId="57620959"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Updated </w:t>
            </w:r>
            <w:r w:rsidRPr="00E70A11">
              <w:rPr>
                <w:rStyle w:val="BookTitle"/>
                <w:rFonts w:ascii="Arial Narrow" w:hAnsi="Arial Narrow"/>
                <w:color w:val="000000" w:themeColor="text1"/>
                <w:sz w:val="18"/>
                <w:szCs w:val="18"/>
              </w:rPr>
              <w:t>REEFVT.S</w:t>
            </w:r>
            <w:r w:rsidRPr="00E70A11">
              <w:rPr>
                <w:rFonts w:ascii="Arial Narrow" w:hAnsi="Arial Narrow"/>
                <w:color w:val="000000" w:themeColor="text1"/>
                <w:sz w:val="18"/>
                <w:szCs w:val="18"/>
              </w:rPr>
              <w:t xml:space="preserve"> user guide for shipping published in 2017</w:t>
            </w:r>
          </w:p>
        </w:tc>
        <w:tc>
          <w:tcPr>
            <w:tcW w:w="5045" w:type="dxa"/>
            <w:gridSpan w:val="2"/>
            <w:tcBorders>
              <w:top w:val="single" w:sz="4" w:space="0" w:color="auto"/>
              <w:left w:val="single" w:sz="4" w:space="0" w:color="auto"/>
              <w:bottom w:val="single" w:sz="4" w:space="0" w:color="auto"/>
              <w:right w:val="single" w:sz="4" w:space="0" w:color="auto"/>
            </w:tcBorders>
          </w:tcPr>
          <w:p w14:paraId="5762095A"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921" w:history="1">
              <w:r w:rsidR="00A56EE9" w:rsidRPr="00E70A11">
                <w:rPr>
                  <w:rStyle w:val="Hyperlink"/>
                  <w:rFonts w:ascii="Arial Narrow" w:hAnsi="Arial Narrow"/>
                  <w:color w:val="000000" w:themeColor="text1"/>
                  <w:sz w:val="18"/>
                  <w:szCs w:val="18"/>
                  <w:lang w:val="en"/>
                </w:rPr>
                <w:t>NESMP work program progress report</w:t>
              </w:r>
            </w:hyperlink>
            <w:r w:rsidR="00A56EE9" w:rsidRPr="00E70A11">
              <w:rPr>
                <w:rFonts w:ascii="Arial Narrow" w:hAnsi="Arial Narrow"/>
                <w:color w:val="000000" w:themeColor="text1"/>
                <w:sz w:val="18"/>
                <w:szCs w:val="18"/>
                <w:lang w:val="en"/>
              </w:rPr>
              <w:t xml:space="preserve"> February 2016</w:t>
            </w:r>
          </w:p>
          <w:p w14:paraId="5762095B"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922" w:history="1">
              <w:r w:rsidR="00A56EE9" w:rsidRPr="00E70A11">
                <w:rPr>
                  <w:rStyle w:val="Hyperlink"/>
                  <w:rFonts w:ascii="Arial Narrow" w:hAnsi="Arial Narrow"/>
                  <w:color w:val="000000" w:themeColor="text1"/>
                  <w:sz w:val="18"/>
                  <w:szCs w:val="18"/>
                  <w:lang w:val="en"/>
                </w:rPr>
                <w:t>NESMP work program status report</w:t>
              </w:r>
            </w:hyperlink>
            <w:r w:rsidR="00A56EE9" w:rsidRPr="00E70A11">
              <w:rPr>
                <w:rFonts w:ascii="Arial Narrow" w:hAnsi="Arial Narrow"/>
                <w:color w:val="000000" w:themeColor="text1"/>
                <w:sz w:val="18"/>
                <w:szCs w:val="18"/>
                <w:lang w:val="en"/>
              </w:rPr>
              <w:t xml:space="preserve"> January 2018</w:t>
            </w:r>
          </w:p>
          <w:p w14:paraId="5762095C"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Biosecurity Capability Review - Final Report, September 2015.</w:t>
            </w:r>
          </w:p>
          <w:p w14:paraId="5762095D"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Queensland Biosecurity Capability Review Interim Response, Department of Agriculture and Fisheries, 2016.</w:t>
            </w:r>
          </w:p>
        </w:tc>
        <w:tc>
          <w:tcPr>
            <w:tcW w:w="986" w:type="dxa"/>
            <w:gridSpan w:val="2"/>
            <w:tcBorders>
              <w:top w:val="single" w:sz="4" w:space="0" w:color="auto"/>
              <w:left w:val="single" w:sz="4" w:space="0" w:color="auto"/>
              <w:bottom w:val="single" w:sz="4" w:space="0" w:color="auto"/>
              <w:right w:val="single" w:sz="4" w:space="0" w:color="auto"/>
            </w:tcBorders>
          </w:tcPr>
          <w:p w14:paraId="5762095E"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5F"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969"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61" w14:textId="77777777" w:rsidR="00A56EE9" w:rsidRPr="00E70A11" w:rsidRDefault="00A56EE9" w:rsidP="00BB6AD5">
            <w:pPr>
              <w:pStyle w:val="Tablebulletlist"/>
              <w:rPr>
                <w:rStyle w:val="BookTitle"/>
              </w:rPr>
            </w:pPr>
            <w:r w:rsidRPr="00E70A11">
              <w:rPr>
                <w:rStyle w:val="BookTitle"/>
              </w:rPr>
              <w:t>OP3</w:t>
            </w:r>
            <w:r>
              <w:rPr>
                <w:rStyle w:val="BookTitle"/>
              </w:rPr>
              <w:t xml:space="preserve"> </w:t>
            </w:r>
            <w:r w:rsidRPr="00E70A11">
              <w:rPr>
                <w:rStyle w:val="BookTitle"/>
              </w:rPr>
              <w:t>The results (in OP1 above) have achieved their stated management objectives for shipping</w:t>
            </w:r>
          </w:p>
        </w:tc>
        <w:tc>
          <w:tcPr>
            <w:tcW w:w="809" w:type="dxa"/>
            <w:gridSpan w:val="2"/>
            <w:tcBorders>
              <w:top w:val="single" w:sz="4" w:space="0" w:color="auto"/>
              <w:left w:val="single" w:sz="4" w:space="0" w:color="auto"/>
              <w:bottom w:val="single" w:sz="4" w:space="0" w:color="auto"/>
              <w:right w:val="single" w:sz="4" w:space="0" w:color="auto"/>
            </w:tcBorders>
          </w:tcPr>
          <w:p w14:paraId="57620962"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963"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Style w:val="BookTitle"/>
                <w:rFonts w:ascii="Arial Narrow" w:hAnsi="Arial Narrow"/>
                <w:color w:val="000000" w:themeColor="text1"/>
                <w:sz w:val="18"/>
                <w:szCs w:val="18"/>
              </w:rPr>
              <w:t>REEFVTS</w:t>
            </w:r>
            <w:r w:rsidRPr="00E70A11">
              <w:rPr>
                <w:rFonts w:ascii="Arial Narrow" w:hAnsi="Arial Narrow"/>
                <w:color w:val="000000" w:themeColor="text1"/>
                <w:sz w:val="18"/>
                <w:szCs w:val="18"/>
              </w:rPr>
              <w:t xml:space="preserve"> achieved 100% safe vessel movements in 2016/17.</w:t>
            </w:r>
          </w:p>
          <w:p w14:paraId="57620964"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Difficult to assess in the absence of clearly measurable objectives, noting that success is generally characterised by the absence of incidents. Nevertheless, shipping within the GBR in general terms continues to be conducted safely and with minimal long-term deleterious environmental outcomes. </w:t>
            </w:r>
          </w:p>
        </w:tc>
        <w:tc>
          <w:tcPr>
            <w:tcW w:w="5045" w:type="dxa"/>
            <w:gridSpan w:val="2"/>
            <w:tcBorders>
              <w:top w:val="single" w:sz="4" w:space="0" w:color="auto"/>
              <w:left w:val="single" w:sz="4" w:space="0" w:color="auto"/>
              <w:bottom w:val="single" w:sz="4" w:space="0" w:color="auto"/>
              <w:right w:val="single" w:sz="4" w:space="0" w:color="auto"/>
            </w:tcBorders>
          </w:tcPr>
          <w:p w14:paraId="57620965"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923" w:history="1">
              <w:r w:rsidR="00A56EE9" w:rsidRPr="00E70A11">
                <w:rPr>
                  <w:rStyle w:val="Hyperlink"/>
                  <w:rFonts w:ascii="Arial Narrow" w:hAnsi="Arial Narrow"/>
                  <w:color w:val="000000" w:themeColor="text1"/>
                  <w:sz w:val="18"/>
                  <w:szCs w:val="18"/>
                  <w:lang w:val="en"/>
                </w:rPr>
                <w:t>NESMP work program progress report</w:t>
              </w:r>
            </w:hyperlink>
            <w:r w:rsidR="00A56EE9" w:rsidRPr="00E70A11">
              <w:rPr>
                <w:rFonts w:ascii="Arial Narrow" w:hAnsi="Arial Narrow"/>
                <w:color w:val="000000" w:themeColor="text1"/>
                <w:sz w:val="18"/>
                <w:szCs w:val="18"/>
                <w:lang w:val="en"/>
              </w:rPr>
              <w:t xml:space="preserve"> February 2016</w:t>
            </w:r>
          </w:p>
          <w:p w14:paraId="57620966" w14:textId="77777777" w:rsidR="00A56EE9" w:rsidRPr="00AC4AB4"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lang w:val="en"/>
              </w:rPr>
            </w:pPr>
            <w:hyperlink r:id="rId1924" w:history="1">
              <w:r w:rsidR="00A56EE9" w:rsidRPr="00E70A11">
                <w:rPr>
                  <w:rStyle w:val="Hyperlink"/>
                  <w:rFonts w:ascii="Arial Narrow" w:hAnsi="Arial Narrow"/>
                  <w:color w:val="000000" w:themeColor="text1"/>
                  <w:sz w:val="18"/>
                  <w:szCs w:val="18"/>
                  <w:lang w:val="en"/>
                </w:rPr>
                <w:t>NESMP work program status report</w:t>
              </w:r>
            </w:hyperlink>
            <w:r w:rsidR="00A56EE9" w:rsidRPr="00E70A11">
              <w:rPr>
                <w:rFonts w:ascii="Arial Narrow" w:hAnsi="Arial Narrow"/>
                <w:color w:val="000000" w:themeColor="text1"/>
                <w:sz w:val="18"/>
                <w:szCs w:val="18"/>
                <w:lang w:val="en"/>
              </w:rPr>
              <w:t xml:space="preserve"> January 2018</w:t>
            </w:r>
          </w:p>
        </w:tc>
        <w:tc>
          <w:tcPr>
            <w:tcW w:w="986" w:type="dxa"/>
            <w:gridSpan w:val="2"/>
            <w:tcBorders>
              <w:top w:val="single" w:sz="4" w:space="0" w:color="auto"/>
              <w:left w:val="single" w:sz="4" w:space="0" w:color="auto"/>
              <w:bottom w:val="single" w:sz="4" w:space="0" w:color="auto"/>
              <w:right w:val="single" w:sz="4" w:space="0" w:color="auto"/>
            </w:tcBorders>
          </w:tcPr>
          <w:p w14:paraId="57620967"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68"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971"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6A" w14:textId="77777777" w:rsidR="00A56EE9" w:rsidRPr="00E70A11" w:rsidRDefault="00A56EE9" w:rsidP="00BB6AD5">
            <w:pPr>
              <w:pStyle w:val="Tablebulletlist"/>
              <w:rPr>
                <w:rStyle w:val="BookTitle"/>
              </w:rPr>
            </w:pPr>
            <w:r w:rsidRPr="00E70A11">
              <w:rPr>
                <w:rStyle w:val="BookTitle"/>
              </w:rPr>
              <w:t>OP4</w:t>
            </w:r>
            <w:r>
              <w:rPr>
                <w:rStyle w:val="BookTitle"/>
              </w:rPr>
              <w:t xml:space="preserve"> </w:t>
            </w:r>
            <w:r w:rsidRPr="00E70A11">
              <w:rPr>
                <w:rStyle w:val="BookTitle"/>
              </w:rPr>
              <w:t>To date, products or services have been produced in accordance with the stated management objectives for shipping</w:t>
            </w:r>
          </w:p>
        </w:tc>
        <w:tc>
          <w:tcPr>
            <w:tcW w:w="809" w:type="dxa"/>
            <w:gridSpan w:val="2"/>
            <w:tcBorders>
              <w:top w:val="single" w:sz="4" w:space="0" w:color="auto"/>
              <w:left w:val="single" w:sz="4" w:space="0" w:color="auto"/>
              <w:bottom w:val="single" w:sz="4" w:space="0" w:color="auto"/>
              <w:right w:val="single" w:sz="4" w:space="0" w:color="auto"/>
            </w:tcBorders>
          </w:tcPr>
          <w:p w14:paraId="5762096B"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6C" w14:textId="77777777" w:rsidR="00A56EE9" w:rsidRPr="00E70A11" w:rsidRDefault="00A56EE9" w:rsidP="00A11869">
            <w:pPr>
              <w:pStyle w:val="ListBullet"/>
              <w:numPr>
                <w:ilvl w:val="0"/>
                <w:numId w:val="144"/>
              </w:numPr>
              <w:ind w:left="317"/>
              <w:rPr>
                <w:rStyle w:val="BookTitle"/>
                <w:color w:val="000000" w:themeColor="text1"/>
              </w:rPr>
            </w:pPr>
            <w:r w:rsidRPr="00E70A11">
              <w:t>Implementation appears to be sufficient, with a number of actions of both the NESMP and Reef 2050 LTMP implemented effectively</w:t>
            </w:r>
            <w:r w:rsidRPr="00E70A11">
              <w:rPr>
                <w:color w:val="000000" w:themeColor="text1"/>
              </w:rPr>
              <w:t>.</w:t>
            </w:r>
          </w:p>
        </w:tc>
        <w:tc>
          <w:tcPr>
            <w:tcW w:w="5045" w:type="dxa"/>
            <w:gridSpan w:val="2"/>
            <w:tcBorders>
              <w:top w:val="single" w:sz="4" w:space="0" w:color="auto"/>
              <w:left w:val="single" w:sz="4" w:space="0" w:color="auto"/>
              <w:bottom w:val="single" w:sz="4" w:space="0" w:color="auto"/>
              <w:right w:val="single" w:sz="4" w:space="0" w:color="auto"/>
            </w:tcBorders>
          </w:tcPr>
          <w:p w14:paraId="5762096D"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925" w:history="1">
              <w:r w:rsidR="00A56EE9" w:rsidRPr="00E70A11">
                <w:rPr>
                  <w:rStyle w:val="Hyperlink"/>
                  <w:rFonts w:ascii="Arial Narrow" w:hAnsi="Arial Narrow"/>
                  <w:color w:val="000000" w:themeColor="text1"/>
                  <w:sz w:val="18"/>
                  <w:szCs w:val="18"/>
                  <w:lang w:val="en"/>
                </w:rPr>
                <w:t>NESMP work program progress report</w:t>
              </w:r>
            </w:hyperlink>
            <w:r w:rsidR="00A56EE9" w:rsidRPr="00E70A11">
              <w:rPr>
                <w:rFonts w:ascii="Arial Narrow" w:hAnsi="Arial Narrow"/>
                <w:color w:val="000000" w:themeColor="text1"/>
                <w:sz w:val="18"/>
                <w:szCs w:val="18"/>
                <w:lang w:val="en"/>
              </w:rPr>
              <w:t xml:space="preserve"> February 2016</w:t>
            </w:r>
          </w:p>
          <w:p w14:paraId="5762096E"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lang w:val="en"/>
              </w:rPr>
            </w:pPr>
            <w:hyperlink r:id="rId1926" w:history="1">
              <w:r w:rsidR="00A56EE9" w:rsidRPr="00E70A11">
                <w:rPr>
                  <w:rStyle w:val="Hyperlink"/>
                  <w:rFonts w:ascii="Arial Narrow" w:hAnsi="Arial Narrow"/>
                  <w:color w:val="000000" w:themeColor="text1"/>
                  <w:sz w:val="18"/>
                  <w:szCs w:val="18"/>
                  <w:lang w:val="en"/>
                </w:rPr>
                <w:t>NESMP work program status report</w:t>
              </w:r>
            </w:hyperlink>
            <w:r w:rsidR="00A56EE9" w:rsidRPr="00E70A11">
              <w:rPr>
                <w:rFonts w:ascii="Arial Narrow" w:hAnsi="Arial Narrow"/>
                <w:color w:val="000000" w:themeColor="text1"/>
                <w:sz w:val="18"/>
                <w:szCs w:val="18"/>
                <w:lang w:val="en"/>
              </w:rPr>
              <w:t xml:space="preserve"> January 2018</w:t>
            </w:r>
          </w:p>
        </w:tc>
        <w:tc>
          <w:tcPr>
            <w:tcW w:w="986" w:type="dxa"/>
            <w:gridSpan w:val="2"/>
            <w:tcBorders>
              <w:top w:val="single" w:sz="4" w:space="0" w:color="auto"/>
              <w:left w:val="single" w:sz="4" w:space="0" w:color="auto"/>
              <w:bottom w:val="single" w:sz="4" w:space="0" w:color="auto"/>
              <w:right w:val="single" w:sz="4" w:space="0" w:color="auto"/>
            </w:tcBorders>
          </w:tcPr>
          <w:p w14:paraId="5762096F"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70"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97C"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shd w:val="clear" w:color="auto" w:fill="auto"/>
          </w:tcPr>
          <w:p w14:paraId="57620972" w14:textId="77777777" w:rsidR="00A56EE9" w:rsidRPr="00E70A11" w:rsidRDefault="00A56EE9" w:rsidP="00BB6AD5">
            <w:pPr>
              <w:pStyle w:val="Tablebulletlist"/>
              <w:rPr>
                <w:rStyle w:val="BookTitle"/>
              </w:rPr>
            </w:pPr>
            <w:r w:rsidRPr="00E70A11">
              <w:rPr>
                <w:rStyle w:val="BookTitle"/>
              </w:rPr>
              <w:t>OP5</w:t>
            </w:r>
            <w:r>
              <w:rPr>
                <w:rStyle w:val="BookTitle"/>
              </w:rPr>
              <w:t xml:space="preserve"> </w:t>
            </w:r>
            <w:r w:rsidRPr="00E70A11">
              <w:rPr>
                <w:rStyle w:val="BookTitle"/>
              </w:rPr>
              <w:t>Effective knowledge management systems regarding shipping are in place within agencies</w:t>
            </w:r>
          </w:p>
        </w:tc>
        <w:tc>
          <w:tcPr>
            <w:tcW w:w="809" w:type="dxa"/>
            <w:gridSpan w:val="2"/>
            <w:tcBorders>
              <w:top w:val="single" w:sz="4" w:space="0" w:color="auto"/>
              <w:left w:val="single" w:sz="4" w:space="0" w:color="auto"/>
              <w:bottom w:val="single" w:sz="4" w:space="0" w:color="auto"/>
              <w:right w:val="single" w:sz="4" w:space="0" w:color="auto"/>
            </w:tcBorders>
          </w:tcPr>
          <w:p w14:paraId="57620973" w14:textId="77777777" w:rsidR="00A56EE9" w:rsidRPr="00E70A11" w:rsidRDefault="00A56EE9" w:rsidP="00BB6AD5">
            <w:pPr>
              <w:pStyle w:val="Tablebulletlist"/>
              <w:rPr>
                <w:rStyle w:val="BookTitle"/>
              </w:rPr>
            </w:pPr>
            <w:r w:rsidRPr="00E70A11">
              <w:rPr>
                <w:rStyle w:val="BookTitle"/>
              </w:rPr>
              <w:t>3</w:t>
            </w:r>
          </w:p>
        </w:tc>
        <w:tc>
          <w:tcPr>
            <w:tcW w:w="3793" w:type="dxa"/>
            <w:gridSpan w:val="2"/>
            <w:tcBorders>
              <w:top w:val="single" w:sz="4" w:space="0" w:color="auto"/>
              <w:left w:val="single" w:sz="4" w:space="0" w:color="auto"/>
              <w:bottom w:val="single" w:sz="4" w:space="0" w:color="auto"/>
              <w:right w:val="single" w:sz="4" w:space="0" w:color="auto"/>
            </w:tcBorders>
          </w:tcPr>
          <w:p w14:paraId="57620974"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Effective knowledge management system understood to be available within shipping regulatory agencies, </w:t>
            </w:r>
          </w:p>
          <w:p w14:paraId="57620975"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MSQ’s and AMSA’s AIS monitoring systems allow real-time monitoring and intervention in relation to vessel traffic in the GBR.</w:t>
            </w:r>
          </w:p>
          <w:p w14:paraId="57620976" w14:textId="1163344F"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AMSA</w:t>
            </w:r>
            <w:r w:rsidR="00A75D7F">
              <w:rPr>
                <w:rStyle w:val="BookTitle"/>
                <w:rFonts w:ascii="Arial Narrow" w:hAnsi="Arial Narrow"/>
                <w:color w:val="000000" w:themeColor="text1"/>
                <w:sz w:val="18"/>
                <w:szCs w:val="18"/>
              </w:rPr>
              <w:t>,</w:t>
            </w:r>
            <w:r w:rsidRPr="00E70A11">
              <w:rPr>
                <w:rStyle w:val="BookTitle"/>
                <w:rFonts w:ascii="Arial Narrow" w:hAnsi="Arial Narrow"/>
                <w:color w:val="000000" w:themeColor="text1"/>
                <w:sz w:val="18"/>
                <w:szCs w:val="18"/>
              </w:rPr>
              <w:t xml:space="preserve"> MSQ</w:t>
            </w:r>
            <w:r w:rsidR="00A75D7F">
              <w:rPr>
                <w:rStyle w:val="BookTitle"/>
                <w:rFonts w:ascii="Arial Narrow" w:hAnsi="Arial Narrow"/>
                <w:color w:val="000000" w:themeColor="text1"/>
                <w:sz w:val="18"/>
                <w:szCs w:val="18"/>
              </w:rPr>
              <w:t xml:space="preserve"> and GBRMPA</w:t>
            </w:r>
            <w:r w:rsidRPr="00E70A11">
              <w:rPr>
                <w:rStyle w:val="BookTitle"/>
                <w:rFonts w:ascii="Arial Narrow" w:hAnsi="Arial Narrow"/>
                <w:color w:val="000000" w:themeColor="text1"/>
                <w:sz w:val="18"/>
                <w:szCs w:val="18"/>
              </w:rPr>
              <w:t xml:space="preserve"> have their own database of shipping incidents. Lack of central or shared databases, and no shared situational awareness type database across AMSA / GBRMPA / MSQ may be counter-productive to the interests of management effectiveness. </w:t>
            </w:r>
          </w:p>
          <w:p w14:paraId="57620977"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Rapid access to GIS information (visualisation and layering of info) is an area of weakness for agencies where incident response staff must rely upon other agencies to provide assistance.</w:t>
            </w:r>
          </w:p>
          <w:p w14:paraId="57620978"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National ship strike database for cetaceans possibly not being actively used by management and industry in the GBR.</w:t>
            </w:r>
          </w:p>
        </w:tc>
        <w:tc>
          <w:tcPr>
            <w:tcW w:w="5045" w:type="dxa"/>
            <w:gridSpan w:val="2"/>
            <w:tcBorders>
              <w:top w:val="single" w:sz="4" w:space="0" w:color="auto"/>
              <w:left w:val="single" w:sz="4" w:space="0" w:color="auto"/>
              <w:bottom w:val="single" w:sz="4" w:space="0" w:color="auto"/>
              <w:right w:val="single" w:sz="4" w:space="0" w:color="auto"/>
            </w:tcBorders>
          </w:tcPr>
          <w:p w14:paraId="57620979"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MSQ publication ‘</w:t>
            </w:r>
            <w:hyperlink r:id="rId1927" w:history="1">
              <w:r w:rsidRPr="00E70A11">
                <w:rPr>
                  <w:rStyle w:val="Hyperlink"/>
                  <w:rFonts w:ascii="Arial Narrow" w:hAnsi="Arial Narrow"/>
                  <w:i/>
                  <w:color w:val="000000" w:themeColor="text1"/>
                  <w:sz w:val="18"/>
                  <w:szCs w:val="18"/>
                </w:rPr>
                <w:t>Maritime Matters’</w:t>
              </w:r>
            </w:hyperlink>
          </w:p>
        </w:tc>
        <w:tc>
          <w:tcPr>
            <w:tcW w:w="986" w:type="dxa"/>
            <w:gridSpan w:val="2"/>
            <w:tcBorders>
              <w:top w:val="single" w:sz="4" w:space="0" w:color="auto"/>
              <w:left w:val="single" w:sz="4" w:space="0" w:color="auto"/>
              <w:bottom w:val="single" w:sz="4" w:space="0" w:color="auto"/>
              <w:right w:val="single" w:sz="4" w:space="0" w:color="auto"/>
            </w:tcBorders>
          </w:tcPr>
          <w:p w14:paraId="5762097A" w14:textId="77777777" w:rsidR="00A56EE9" w:rsidRPr="00E70A11" w:rsidRDefault="00A56EE9" w:rsidP="00BB6AD5">
            <w:pPr>
              <w:pStyle w:val="Tablebulletlist"/>
              <w:rPr>
                <w:rStyle w:val="BookTitle"/>
              </w:rPr>
            </w:pPr>
            <w:r w:rsidRPr="00E70A11">
              <w:rPr>
                <w:rStyle w:val="BookTitle"/>
              </w:rPr>
              <w:t>Uncertain</w:t>
            </w:r>
          </w:p>
        </w:tc>
        <w:tc>
          <w:tcPr>
            <w:tcW w:w="865" w:type="dxa"/>
            <w:gridSpan w:val="2"/>
            <w:tcBorders>
              <w:top w:val="single" w:sz="4" w:space="0" w:color="auto"/>
              <w:left w:val="single" w:sz="4" w:space="0" w:color="auto"/>
              <w:bottom w:val="single" w:sz="4" w:space="0" w:color="auto"/>
              <w:right w:val="single" w:sz="4" w:space="0" w:color="auto"/>
            </w:tcBorders>
          </w:tcPr>
          <w:p w14:paraId="5762097B" w14:textId="77777777" w:rsidR="00A56EE9" w:rsidRPr="00E70A11" w:rsidRDefault="00A56EE9" w:rsidP="00BB6AD5">
            <w:pPr>
              <w:pStyle w:val="Tablebulletlist"/>
              <w:rPr>
                <w:rStyle w:val="BookTitle"/>
              </w:rPr>
            </w:pPr>
            <w:r w:rsidRPr="00E70A11">
              <w:rPr>
                <w:rStyle w:val="BookTitle"/>
              </w:rPr>
              <w:t>No clear trend</w:t>
            </w:r>
          </w:p>
        </w:tc>
      </w:tr>
      <w:tr w:rsidR="00A56EE9" w:rsidRPr="00E70A11" w14:paraId="57620986"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7D" w14:textId="77777777" w:rsidR="00A56EE9" w:rsidRPr="00E70A11" w:rsidRDefault="00A56EE9" w:rsidP="00BB6AD5">
            <w:pPr>
              <w:pStyle w:val="Tablebulletlist"/>
              <w:rPr>
                <w:rStyle w:val="BookTitle"/>
              </w:rPr>
            </w:pPr>
            <w:r w:rsidRPr="00E70A11">
              <w:rPr>
                <w:rStyle w:val="BookTitle"/>
              </w:rPr>
              <w:t>OP6</w:t>
            </w:r>
            <w:r>
              <w:rPr>
                <w:rStyle w:val="BookTitle"/>
              </w:rPr>
              <w:t xml:space="preserve"> </w:t>
            </w:r>
            <w:r w:rsidRPr="00E70A11">
              <w:rPr>
                <w:rStyle w:val="BookTitle"/>
              </w:rPr>
              <w:t>Effective systems are in place to share knowledge on shipping with the community</w:t>
            </w:r>
          </w:p>
        </w:tc>
        <w:tc>
          <w:tcPr>
            <w:tcW w:w="809" w:type="dxa"/>
            <w:gridSpan w:val="2"/>
            <w:tcBorders>
              <w:top w:val="single" w:sz="4" w:space="0" w:color="auto"/>
              <w:left w:val="single" w:sz="4" w:space="0" w:color="auto"/>
              <w:bottom w:val="single" w:sz="4" w:space="0" w:color="auto"/>
              <w:right w:val="single" w:sz="4" w:space="0" w:color="auto"/>
            </w:tcBorders>
          </w:tcPr>
          <w:p w14:paraId="5762097E" w14:textId="77777777" w:rsidR="00A56EE9" w:rsidRPr="00E70A11" w:rsidRDefault="00A56EE9" w:rsidP="00BB6AD5">
            <w:pPr>
              <w:pStyle w:val="Tablebulletlist"/>
              <w:rPr>
                <w:rStyle w:val="BookTitle"/>
              </w:rPr>
            </w:pPr>
            <w:r w:rsidRPr="00E70A11">
              <w:rPr>
                <w:rStyle w:val="BookTitle"/>
              </w:rPr>
              <w:t>2</w:t>
            </w:r>
          </w:p>
        </w:tc>
        <w:tc>
          <w:tcPr>
            <w:tcW w:w="3793" w:type="dxa"/>
            <w:gridSpan w:val="2"/>
            <w:tcBorders>
              <w:top w:val="single" w:sz="4" w:space="0" w:color="auto"/>
              <w:left w:val="single" w:sz="4" w:space="0" w:color="auto"/>
              <w:bottom w:val="single" w:sz="4" w:space="0" w:color="auto"/>
              <w:right w:val="single" w:sz="4" w:space="0" w:color="auto"/>
            </w:tcBorders>
          </w:tcPr>
          <w:p w14:paraId="5762097F"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Pr>
                <w:rFonts w:ascii="Arial Narrow" w:hAnsi="Arial Narrow"/>
                <w:sz w:val="18"/>
                <w:szCs w:val="18"/>
              </w:rPr>
              <w:t xml:space="preserve">While </w:t>
            </w:r>
            <w:r w:rsidRPr="00E70A11">
              <w:rPr>
                <w:rFonts w:ascii="Arial Narrow" w:hAnsi="Arial Narrow"/>
                <w:sz w:val="18"/>
                <w:szCs w:val="18"/>
              </w:rPr>
              <w:t>community disquiet regarding shipping</w:t>
            </w:r>
            <w:r>
              <w:rPr>
                <w:rFonts w:ascii="Arial Narrow" w:hAnsi="Arial Narrow"/>
                <w:sz w:val="18"/>
                <w:szCs w:val="18"/>
              </w:rPr>
              <w:t xml:space="preserve"> remains (although at a lower level)</w:t>
            </w:r>
            <w:r w:rsidRPr="00E70A11">
              <w:rPr>
                <w:rFonts w:ascii="Arial Narrow" w:hAnsi="Arial Narrow"/>
                <w:sz w:val="18"/>
                <w:szCs w:val="18"/>
              </w:rPr>
              <w:t xml:space="preserve">, </w:t>
            </w:r>
            <w:r>
              <w:rPr>
                <w:rFonts w:ascii="Arial Narrow" w:hAnsi="Arial Narrow"/>
                <w:sz w:val="18"/>
                <w:szCs w:val="18"/>
              </w:rPr>
              <w:t xml:space="preserve">it is </w:t>
            </w:r>
            <w:r w:rsidRPr="00E70A11">
              <w:rPr>
                <w:rFonts w:ascii="Arial Narrow" w:hAnsi="Arial Narrow"/>
                <w:sz w:val="18"/>
                <w:szCs w:val="18"/>
              </w:rPr>
              <w:t xml:space="preserve">often misplaced, </w:t>
            </w:r>
            <w:r>
              <w:rPr>
                <w:rFonts w:ascii="Arial Narrow" w:hAnsi="Arial Narrow"/>
                <w:sz w:val="18"/>
                <w:szCs w:val="18"/>
              </w:rPr>
              <w:t xml:space="preserve">and </w:t>
            </w:r>
            <w:r w:rsidRPr="00E70A11">
              <w:rPr>
                <w:rFonts w:ascii="Arial Narrow" w:hAnsi="Arial Narrow"/>
                <w:sz w:val="18"/>
                <w:szCs w:val="18"/>
              </w:rPr>
              <w:t xml:space="preserve">it may be considered that current systems are inadequate in </w:t>
            </w:r>
            <w:r>
              <w:rPr>
                <w:rFonts w:ascii="Arial Narrow" w:hAnsi="Arial Narrow"/>
                <w:sz w:val="18"/>
                <w:szCs w:val="18"/>
              </w:rPr>
              <w:t>this</w:t>
            </w:r>
            <w:r w:rsidRPr="00E70A11">
              <w:rPr>
                <w:rFonts w:ascii="Arial Narrow" w:hAnsi="Arial Narrow"/>
                <w:sz w:val="18"/>
                <w:szCs w:val="18"/>
              </w:rPr>
              <w:t xml:space="preserve"> regards. </w:t>
            </w:r>
          </w:p>
          <w:p w14:paraId="57620980" w14:textId="77777777" w:rsidR="00A56EE9"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AMSA and MSQ have useful public webpages in relation to shipping, </w:t>
            </w:r>
          </w:p>
          <w:p w14:paraId="57620981"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GBRMPA’s LMACs are available as a two-way information conduit.</w:t>
            </w:r>
          </w:p>
        </w:tc>
        <w:tc>
          <w:tcPr>
            <w:tcW w:w="5045" w:type="dxa"/>
            <w:gridSpan w:val="2"/>
            <w:tcBorders>
              <w:top w:val="single" w:sz="4" w:space="0" w:color="auto"/>
              <w:left w:val="single" w:sz="4" w:space="0" w:color="auto"/>
              <w:bottom w:val="single" w:sz="4" w:space="0" w:color="auto"/>
              <w:right w:val="single" w:sz="4" w:space="0" w:color="auto"/>
            </w:tcBorders>
          </w:tcPr>
          <w:p w14:paraId="57620982" w14:textId="4C11F65F" w:rsidR="00A56EE9" w:rsidRDefault="008B5998" w:rsidP="00A11869">
            <w:pPr>
              <w:pStyle w:val="ListParagraph"/>
              <w:numPr>
                <w:ilvl w:val="0"/>
                <w:numId w:val="166"/>
              </w:numPr>
              <w:spacing w:after="200" w:line="276" w:lineRule="auto"/>
              <w:rPr>
                <w:rStyle w:val="BookTitle"/>
                <w:rFonts w:ascii="Arial Narrow" w:hAnsi="Arial Narrow"/>
                <w:color w:val="000000" w:themeColor="text1"/>
                <w:sz w:val="18"/>
                <w:szCs w:val="18"/>
              </w:rPr>
            </w:pPr>
            <w:hyperlink r:id="rId1928" w:tooltip="document link" w:history="1">
              <w:r w:rsidR="00A56EE9" w:rsidRPr="00EB5D32">
                <w:rPr>
                  <w:rStyle w:val="Hyperlink"/>
                  <w:rFonts w:ascii="Arial Narrow" w:hAnsi="Arial Narrow"/>
                  <w:sz w:val="18"/>
                  <w:szCs w:val="18"/>
                </w:rPr>
                <w:t>https://www.amsa.gov.au/marine-environment/marine-pollution/shipping-management-plans</w:t>
              </w:r>
            </w:hyperlink>
          </w:p>
          <w:p w14:paraId="57620983" w14:textId="77777777" w:rsidR="00A56EE9" w:rsidRPr="00E70A11" w:rsidRDefault="00A56EE9" w:rsidP="00A11869">
            <w:pPr>
              <w:pStyle w:val="ListParagraph"/>
              <w:numPr>
                <w:ilvl w:val="0"/>
                <w:numId w:val="166"/>
              </w:numPr>
              <w:spacing w:after="200" w:line="276" w:lineRule="auto"/>
              <w:rPr>
                <w:rStyle w:val="BookTitle"/>
                <w:rFonts w:ascii="Arial Narrow" w:hAnsi="Arial Narrow"/>
                <w:color w:val="000000" w:themeColor="text1"/>
                <w:sz w:val="18"/>
                <w:szCs w:val="18"/>
              </w:rPr>
            </w:pPr>
            <w:r w:rsidRPr="00CD5DCE">
              <w:rPr>
                <w:rStyle w:val="BookTitle"/>
                <w:rFonts w:ascii="Arial Narrow" w:hAnsi="Arial Narrow"/>
                <w:color w:val="000000" w:themeColor="text1"/>
                <w:sz w:val="18"/>
                <w:szCs w:val="18"/>
              </w:rPr>
              <w:t>https://www.msq.qld.gov.au/</w:t>
            </w:r>
          </w:p>
        </w:tc>
        <w:tc>
          <w:tcPr>
            <w:tcW w:w="986" w:type="dxa"/>
            <w:gridSpan w:val="2"/>
            <w:tcBorders>
              <w:top w:val="single" w:sz="4" w:space="0" w:color="auto"/>
              <w:left w:val="single" w:sz="4" w:space="0" w:color="auto"/>
              <w:bottom w:val="single" w:sz="4" w:space="0" w:color="auto"/>
              <w:right w:val="single" w:sz="4" w:space="0" w:color="auto"/>
            </w:tcBorders>
          </w:tcPr>
          <w:p w14:paraId="57620984" w14:textId="77777777" w:rsidR="00A56EE9" w:rsidRPr="00E70A11" w:rsidRDefault="00A56EE9" w:rsidP="00BB6AD5">
            <w:pPr>
              <w:pStyle w:val="Tablebulletlist"/>
              <w:rPr>
                <w:rStyle w:val="BookTitle"/>
              </w:rPr>
            </w:pPr>
            <w:r w:rsidRPr="00E70A11">
              <w:rPr>
                <w:rStyle w:val="BookTitle"/>
              </w:rPr>
              <w:t>Uncertain</w:t>
            </w:r>
          </w:p>
        </w:tc>
        <w:tc>
          <w:tcPr>
            <w:tcW w:w="865" w:type="dxa"/>
            <w:gridSpan w:val="2"/>
            <w:tcBorders>
              <w:top w:val="single" w:sz="4" w:space="0" w:color="auto"/>
              <w:left w:val="single" w:sz="4" w:space="0" w:color="auto"/>
              <w:bottom w:val="single" w:sz="4" w:space="0" w:color="auto"/>
              <w:right w:val="single" w:sz="4" w:space="0" w:color="auto"/>
            </w:tcBorders>
          </w:tcPr>
          <w:p w14:paraId="57620985"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98D"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87" w14:textId="77777777" w:rsidR="00A56EE9" w:rsidRPr="00E70A11" w:rsidRDefault="00A56EE9" w:rsidP="00BB6AD5">
            <w:pPr>
              <w:pStyle w:val="Tablebulletlist"/>
              <w:rPr>
                <w:rStyle w:val="BookTitle"/>
              </w:rPr>
            </w:pPr>
            <w:r w:rsidRPr="00E70A11">
              <w:rPr>
                <w:rStyle w:val="BookTitle"/>
              </w:rPr>
              <w:t>OUTCOMES</w:t>
            </w:r>
          </w:p>
        </w:tc>
        <w:tc>
          <w:tcPr>
            <w:tcW w:w="809"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88" w14:textId="77777777" w:rsidR="00A56EE9" w:rsidRPr="00E70A11" w:rsidRDefault="00A56EE9" w:rsidP="00BB6AD5">
            <w:pPr>
              <w:pStyle w:val="Tablebulletlist"/>
              <w:rPr>
                <w:rStyle w:val="BookTitle"/>
              </w:rPr>
            </w:pPr>
          </w:p>
        </w:tc>
        <w:tc>
          <w:tcPr>
            <w:tcW w:w="3793"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89"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5045"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8A"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6"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8B" w14:textId="77777777" w:rsidR="00A56EE9" w:rsidRPr="00E70A11" w:rsidRDefault="00A56EE9" w:rsidP="00BB6AD5">
            <w:pPr>
              <w:pStyle w:val="Tablebulletlist"/>
              <w:rPr>
                <w:rStyle w:val="BookTitle"/>
              </w:rPr>
            </w:pPr>
          </w:p>
        </w:tc>
        <w:tc>
          <w:tcPr>
            <w:tcW w:w="865"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5762098C" w14:textId="77777777" w:rsidR="00A56EE9" w:rsidRPr="00E70A11" w:rsidRDefault="00A56EE9" w:rsidP="00BB6AD5">
            <w:pPr>
              <w:pStyle w:val="Tablebulletlist"/>
              <w:rPr>
                <w:rStyle w:val="BookTitle"/>
              </w:rPr>
            </w:pPr>
          </w:p>
        </w:tc>
      </w:tr>
      <w:tr w:rsidR="00A56EE9" w:rsidRPr="00E70A11" w14:paraId="5762099E"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8E" w14:textId="77777777" w:rsidR="00A56EE9" w:rsidRPr="00E70A11" w:rsidRDefault="00A56EE9" w:rsidP="00BB6AD5">
            <w:pPr>
              <w:pStyle w:val="Tablebulletlist"/>
              <w:rPr>
                <w:rStyle w:val="BookTitle"/>
              </w:rPr>
            </w:pPr>
            <w:r w:rsidRPr="00E70A11">
              <w:rPr>
                <w:rStyle w:val="BookTitle"/>
              </w:rPr>
              <w:t>OC1</w:t>
            </w:r>
            <w:r>
              <w:rPr>
                <w:rStyle w:val="BookTitle"/>
              </w:rPr>
              <w:t xml:space="preserve"> </w:t>
            </w:r>
            <w:r w:rsidRPr="00E70A11">
              <w:rPr>
                <w:rStyle w:val="BookTitle"/>
              </w:rPr>
              <w:t>The relevant managing agencies are to date effectively addressing shipping and moving towards the attainment of the desired outcomes.</w:t>
            </w:r>
          </w:p>
        </w:tc>
        <w:tc>
          <w:tcPr>
            <w:tcW w:w="809" w:type="dxa"/>
            <w:gridSpan w:val="2"/>
            <w:tcBorders>
              <w:top w:val="single" w:sz="4" w:space="0" w:color="auto"/>
              <w:left w:val="single" w:sz="4" w:space="0" w:color="auto"/>
              <w:bottom w:val="single" w:sz="4" w:space="0" w:color="auto"/>
              <w:right w:val="single" w:sz="4" w:space="0" w:color="auto"/>
            </w:tcBorders>
          </w:tcPr>
          <w:p w14:paraId="5762098F"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90" w14:textId="77777777" w:rsidR="00A56EE9" w:rsidRPr="00E70A11" w:rsidRDefault="00A56EE9" w:rsidP="00A11869">
            <w:pPr>
              <w:pStyle w:val="ListBullet"/>
              <w:numPr>
                <w:ilvl w:val="0"/>
                <w:numId w:val="26"/>
              </w:numPr>
              <w:jc w:val="both"/>
            </w:pPr>
            <w:r w:rsidRPr="00E70A11">
              <w:t>The Region is one of the world's most regulated shipping areas. The Authority, together with AMSA and MSQ, works closely to protect the marine environment from the potential adverse consequences of shipping operations.</w:t>
            </w:r>
          </w:p>
          <w:p w14:paraId="57620991" w14:textId="77777777" w:rsidR="00A56EE9" w:rsidRPr="00E70A11" w:rsidRDefault="00A56EE9" w:rsidP="00A11869">
            <w:pPr>
              <w:pStyle w:val="ListBullet"/>
              <w:numPr>
                <w:ilvl w:val="0"/>
                <w:numId w:val="26"/>
              </w:numPr>
              <w:jc w:val="both"/>
            </w:pPr>
            <w:r w:rsidRPr="00E70A11">
              <w:t>Measures to increase navigational safety and reduce the risk of ship groundings and collisions have included, compulsory pilotage, recommended pilotage, an automatic identification system and mandatory vessel reporting and monitoring (REEFVTS). These management arrangements mean there have been few shipping incidents relative to the large number of ship movements in the Region. Nevertheless, it is critical to ensure that these processes and their capacity keep in step with forecast increases in shipping activities.</w:t>
            </w:r>
          </w:p>
          <w:p w14:paraId="57620992" w14:textId="77777777" w:rsidR="00A56EE9" w:rsidRPr="00E70A11" w:rsidRDefault="00A56EE9" w:rsidP="00A11869">
            <w:pPr>
              <w:numPr>
                <w:ilvl w:val="0"/>
                <w:numId w:val="91"/>
              </w:numPr>
              <w:spacing w:after="0" w:line="240" w:lineRule="auto"/>
              <w:jc w:val="both"/>
              <w:rPr>
                <w:rFonts w:ascii="Arial Narrow" w:eastAsia="Calibri" w:hAnsi="Arial Narrow"/>
                <w:sz w:val="18"/>
                <w:szCs w:val="18"/>
              </w:rPr>
            </w:pPr>
            <w:r w:rsidRPr="00E70A11">
              <w:rPr>
                <w:rFonts w:ascii="Arial Narrow" w:eastAsia="Calibri" w:hAnsi="Arial Narrow"/>
                <w:sz w:val="18"/>
                <w:szCs w:val="18"/>
              </w:rPr>
              <w:t>Invasive marine species risks from ships, particularly in relation to biofouling, are not effectively managed.</w:t>
            </w:r>
          </w:p>
          <w:p w14:paraId="57620993"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eastAsia="Calibri" w:hAnsi="Arial Narrow" w:cs="Times New Roman"/>
                <w:sz w:val="18"/>
                <w:szCs w:val="18"/>
              </w:rPr>
              <w:t>The capacity of key GBR channels and passages (eg. Hydrographers) will possibly be limiting factors in relation to peak shipping capacity of GBR Region, particularly in relation to need to 'surge' ships to sea in narrow timeframes (eg. period of cyclone warning). These issues and potential limitations need to be recognised and effectively managed.</w:t>
            </w:r>
          </w:p>
          <w:p w14:paraId="57620994"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Since the introduction of REEFVTS in 2004, the average number of groundings by ‘ships’ in the Great Barrier Reef and Torres Strait per year has declined from 1.42 per 10,000 transits to 0.15 per 10,000 transits in 2013, a reduction of 89%. Furthermore, there have been no such groundings since 2013. This reduction in groundings is attributed to REEFVTS providing timely and accurate information to assist onboard decision making by ships’ bridge teams. </w:t>
            </w:r>
          </w:p>
          <w:p w14:paraId="57620995"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In December 2014 a new IMO-adopted recommended two-way route in the BR and Torres Strait came into effect. Automatic Identification System data from early 2015 shows that its implementation has been a success, with most ships following the new route.</w:t>
            </w:r>
          </w:p>
        </w:tc>
        <w:tc>
          <w:tcPr>
            <w:tcW w:w="5045" w:type="dxa"/>
            <w:gridSpan w:val="2"/>
            <w:tcBorders>
              <w:top w:val="single" w:sz="4" w:space="0" w:color="auto"/>
              <w:left w:val="single" w:sz="4" w:space="0" w:color="auto"/>
              <w:bottom w:val="single" w:sz="4" w:space="0" w:color="auto"/>
              <w:right w:val="single" w:sz="4" w:space="0" w:color="auto"/>
            </w:tcBorders>
          </w:tcPr>
          <w:p w14:paraId="57620996"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929" w:history="1">
              <w:r w:rsidR="00A56EE9" w:rsidRPr="00E70A11">
                <w:rPr>
                  <w:rStyle w:val="Hyperlink"/>
                  <w:rFonts w:ascii="Arial Narrow" w:hAnsi="Arial Narrow"/>
                  <w:color w:val="000000" w:themeColor="text1"/>
                  <w:sz w:val="18"/>
                  <w:szCs w:val="18"/>
                </w:rPr>
                <w:t>Outlook Report 2014</w:t>
              </w:r>
            </w:hyperlink>
            <w:r w:rsidR="00A56EE9" w:rsidRPr="00E70A11">
              <w:rPr>
                <w:rFonts w:ascii="Arial Narrow" w:hAnsi="Arial Narrow"/>
                <w:color w:val="000000" w:themeColor="text1"/>
                <w:sz w:val="18"/>
                <w:szCs w:val="18"/>
              </w:rPr>
              <w:t xml:space="preserve"> sections 5.8 and 6.6, Ch 9,</w:t>
            </w:r>
            <w:r w:rsidR="00A56EE9">
              <w:rPr>
                <w:rFonts w:ascii="Arial Narrow" w:hAnsi="Arial Narrow"/>
                <w:color w:val="000000" w:themeColor="text1"/>
                <w:sz w:val="18"/>
                <w:szCs w:val="18"/>
              </w:rPr>
              <w:t xml:space="preserve"> </w:t>
            </w:r>
            <w:r w:rsidR="00A56EE9" w:rsidRPr="00E70A11">
              <w:rPr>
                <w:rFonts w:ascii="Arial Narrow" w:hAnsi="Arial Narrow"/>
                <w:color w:val="000000" w:themeColor="text1"/>
                <w:sz w:val="18"/>
                <w:szCs w:val="18"/>
              </w:rPr>
              <w:t>and Appendix 7 etc.</w:t>
            </w:r>
          </w:p>
          <w:p w14:paraId="57620997"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Chapters 4</w:t>
            </w:r>
            <w:proofErr w:type="gramStart"/>
            <w:r w:rsidRPr="00E70A11">
              <w:rPr>
                <w:rFonts w:ascii="Arial Narrow" w:hAnsi="Arial Narrow"/>
                <w:color w:val="000000" w:themeColor="text1"/>
                <w:sz w:val="18"/>
                <w:szCs w:val="18"/>
              </w:rPr>
              <w:t>,5,6</w:t>
            </w:r>
            <w:proofErr w:type="gramEnd"/>
            <w:r w:rsidRPr="00E70A11">
              <w:rPr>
                <w:rFonts w:ascii="Arial Narrow" w:hAnsi="Arial Narrow"/>
                <w:color w:val="000000" w:themeColor="text1"/>
                <w:sz w:val="18"/>
                <w:szCs w:val="18"/>
              </w:rPr>
              <w:t xml:space="preserve"> </w:t>
            </w:r>
            <w:hyperlink r:id="rId1930" w:history="1">
              <w:r w:rsidRPr="00E70A11">
                <w:rPr>
                  <w:rStyle w:val="Hyperlink"/>
                  <w:rFonts w:ascii="Arial Narrow" w:hAnsi="Arial Narrow"/>
                  <w:color w:val="000000" w:themeColor="text1"/>
                  <w:sz w:val="18"/>
                  <w:szCs w:val="18"/>
                </w:rPr>
                <w:t>Great Barrier Reef Region Strategic Assessment Report</w:t>
              </w:r>
            </w:hyperlink>
            <w:r w:rsidRPr="00E70A11">
              <w:rPr>
                <w:rFonts w:ascii="Arial Narrow" w:hAnsi="Arial Narrow"/>
                <w:color w:val="000000" w:themeColor="text1"/>
                <w:sz w:val="18"/>
                <w:szCs w:val="18"/>
              </w:rPr>
              <w:t xml:space="preserve">, and </w:t>
            </w:r>
            <w:hyperlink r:id="rId1931" w:history="1">
              <w:r w:rsidRPr="00E70A11">
                <w:rPr>
                  <w:rStyle w:val="Hyperlink"/>
                  <w:rFonts w:ascii="Arial Narrow" w:hAnsi="Arial Narrow"/>
                  <w:color w:val="000000" w:themeColor="text1"/>
                  <w:sz w:val="18"/>
                  <w:szCs w:val="18"/>
                </w:rPr>
                <w:t>Great Barrier Reef Coastal Zone Strategic Assessment Report</w:t>
              </w:r>
            </w:hyperlink>
            <w:r w:rsidRPr="00E70A11">
              <w:rPr>
                <w:rFonts w:ascii="Arial Narrow" w:hAnsi="Arial Narrow"/>
                <w:color w:val="000000" w:themeColor="text1"/>
                <w:sz w:val="18"/>
                <w:szCs w:val="18"/>
              </w:rPr>
              <w:t>, noting information gaps were identified.</w:t>
            </w:r>
          </w:p>
          <w:p w14:paraId="57620998"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932" w:history="1">
              <w:r w:rsidR="00A56EE9" w:rsidRPr="00E70A11">
                <w:rPr>
                  <w:rStyle w:val="Hyperlink"/>
                  <w:rFonts w:ascii="Arial Narrow" w:hAnsi="Arial Narrow"/>
                  <w:color w:val="000000" w:themeColor="text1"/>
                  <w:sz w:val="18"/>
                  <w:szCs w:val="18"/>
                </w:rPr>
                <w:t>AMSA Annual Report 2015-16</w:t>
              </w:r>
            </w:hyperlink>
            <w:r w:rsidR="00A56EE9" w:rsidRPr="00E70A11">
              <w:rPr>
                <w:rStyle w:val="BookTitle"/>
                <w:rFonts w:ascii="Arial Narrow" w:hAnsi="Arial Narrow"/>
                <w:color w:val="000000" w:themeColor="text1"/>
                <w:sz w:val="18"/>
                <w:szCs w:val="18"/>
              </w:rPr>
              <w:t xml:space="preserve"> p 4</w:t>
            </w:r>
          </w:p>
          <w:p w14:paraId="57620999"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AMSA </w:t>
            </w:r>
            <w:hyperlink r:id="rId1933" w:history="1">
              <w:r w:rsidRPr="00E70A11">
                <w:rPr>
                  <w:rStyle w:val="Hyperlink"/>
                  <w:rFonts w:ascii="Arial Narrow" w:hAnsi="Arial Narrow"/>
                  <w:color w:val="000000" w:themeColor="text1"/>
                  <w:sz w:val="18"/>
                  <w:szCs w:val="18"/>
                </w:rPr>
                <w:t>annual report 2014-15</w:t>
              </w:r>
            </w:hyperlink>
            <w:r w:rsidRPr="00E70A11">
              <w:rPr>
                <w:rStyle w:val="Hyperlink"/>
                <w:rFonts w:ascii="Arial Narrow" w:hAnsi="Arial Narrow"/>
                <w:color w:val="000000" w:themeColor="text1"/>
                <w:sz w:val="18"/>
                <w:szCs w:val="18"/>
              </w:rPr>
              <w:t xml:space="preserve"> </w:t>
            </w:r>
            <w:r w:rsidRPr="00E70A11">
              <w:rPr>
                <w:rStyle w:val="BookTitle"/>
                <w:rFonts w:ascii="Arial Narrow" w:hAnsi="Arial Narrow"/>
                <w:color w:val="000000" w:themeColor="text1"/>
                <w:sz w:val="18"/>
                <w:szCs w:val="18"/>
              </w:rPr>
              <w:t>p 74</w:t>
            </w:r>
          </w:p>
          <w:p w14:paraId="5762099A"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lang w:val="en"/>
              </w:rPr>
            </w:pPr>
            <w:hyperlink r:id="rId1934" w:history="1">
              <w:r w:rsidR="00A56EE9" w:rsidRPr="00E70A11">
                <w:rPr>
                  <w:rStyle w:val="Hyperlink"/>
                  <w:rFonts w:ascii="Arial Narrow" w:hAnsi="Arial Narrow"/>
                  <w:color w:val="000000" w:themeColor="text1"/>
                  <w:sz w:val="18"/>
                  <w:szCs w:val="18"/>
                  <w:lang w:val="en"/>
                </w:rPr>
                <w:t>NESMP work program progress report</w:t>
              </w:r>
            </w:hyperlink>
            <w:r w:rsidR="00A56EE9" w:rsidRPr="00E70A11">
              <w:rPr>
                <w:rFonts w:ascii="Arial Narrow" w:hAnsi="Arial Narrow"/>
                <w:color w:val="000000" w:themeColor="text1"/>
                <w:sz w:val="18"/>
                <w:szCs w:val="18"/>
                <w:lang w:val="en"/>
              </w:rPr>
              <w:t xml:space="preserve"> February 2016</w:t>
            </w:r>
          </w:p>
          <w:p w14:paraId="5762099B" w14:textId="77777777" w:rsidR="00A56EE9" w:rsidRPr="00E70A11" w:rsidRDefault="008B5998" w:rsidP="00A11869">
            <w:pPr>
              <w:pStyle w:val="ListParagraph"/>
              <w:numPr>
                <w:ilvl w:val="0"/>
                <w:numId w:val="24"/>
              </w:numPr>
              <w:spacing w:after="200" w:line="276" w:lineRule="auto"/>
              <w:rPr>
                <w:rStyle w:val="BookTitle"/>
                <w:rFonts w:ascii="Arial Narrow" w:hAnsi="Arial Narrow"/>
                <w:color w:val="000000" w:themeColor="text1"/>
                <w:sz w:val="18"/>
                <w:szCs w:val="18"/>
              </w:rPr>
            </w:pPr>
            <w:hyperlink r:id="rId1935" w:history="1">
              <w:r w:rsidR="00A56EE9" w:rsidRPr="00E70A11">
                <w:rPr>
                  <w:rStyle w:val="Hyperlink"/>
                  <w:rFonts w:ascii="Arial Narrow" w:hAnsi="Arial Narrow"/>
                  <w:color w:val="000000" w:themeColor="text1"/>
                  <w:sz w:val="18"/>
                  <w:szCs w:val="18"/>
                  <w:lang w:val="en"/>
                </w:rPr>
                <w:t>NESMP work program status report</w:t>
              </w:r>
            </w:hyperlink>
            <w:r w:rsidR="00A56EE9" w:rsidRPr="00E70A11">
              <w:rPr>
                <w:rFonts w:ascii="Arial Narrow" w:hAnsi="Arial Narrow"/>
                <w:color w:val="000000" w:themeColor="text1"/>
                <w:sz w:val="18"/>
                <w:szCs w:val="18"/>
                <w:lang w:val="en"/>
              </w:rPr>
              <w:t xml:space="preserve"> January 2018</w:t>
            </w:r>
          </w:p>
        </w:tc>
        <w:tc>
          <w:tcPr>
            <w:tcW w:w="986" w:type="dxa"/>
            <w:gridSpan w:val="2"/>
            <w:tcBorders>
              <w:top w:val="single" w:sz="4" w:space="0" w:color="auto"/>
              <w:left w:val="single" w:sz="4" w:space="0" w:color="auto"/>
              <w:bottom w:val="single" w:sz="4" w:space="0" w:color="auto"/>
              <w:right w:val="single" w:sz="4" w:space="0" w:color="auto"/>
            </w:tcBorders>
          </w:tcPr>
          <w:p w14:paraId="5762099C"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9D" w14:textId="77777777" w:rsidR="00A56EE9" w:rsidRPr="00E70A11" w:rsidRDefault="00A56EE9" w:rsidP="00BB6AD5">
            <w:pPr>
              <w:pStyle w:val="Tablebulletlist"/>
              <w:rPr>
                <w:rStyle w:val="BookTitle"/>
              </w:rPr>
            </w:pPr>
            <w:r w:rsidRPr="00E70A11">
              <w:rPr>
                <w:rStyle w:val="BookTitle"/>
              </w:rPr>
              <w:t>Improving</w:t>
            </w:r>
          </w:p>
        </w:tc>
      </w:tr>
      <w:tr w:rsidR="00A56EE9" w:rsidRPr="00E70A11" w14:paraId="576209A8"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9F" w14:textId="77777777" w:rsidR="00A56EE9" w:rsidRPr="00E70A11" w:rsidRDefault="00A56EE9" w:rsidP="00BB6AD5">
            <w:pPr>
              <w:pStyle w:val="Tablebulletlist"/>
              <w:rPr>
                <w:rStyle w:val="BookTitle"/>
              </w:rPr>
            </w:pPr>
            <w:r w:rsidRPr="00E70A11">
              <w:rPr>
                <w:rStyle w:val="BookTitle"/>
              </w:rPr>
              <w:t>OC2</w:t>
            </w:r>
            <w:r>
              <w:rPr>
                <w:rStyle w:val="BookTitle"/>
              </w:rPr>
              <w:t xml:space="preserve"> </w:t>
            </w:r>
            <w:r w:rsidRPr="00E70A11">
              <w:rPr>
                <w:rStyle w:val="BookTitle"/>
              </w:rPr>
              <w:t>The outputs relating to shipping are on track to ensure the values of the Great Barrier Reef are protected (refer CO1)</w:t>
            </w:r>
          </w:p>
        </w:tc>
        <w:tc>
          <w:tcPr>
            <w:tcW w:w="809" w:type="dxa"/>
            <w:gridSpan w:val="2"/>
            <w:tcBorders>
              <w:top w:val="single" w:sz="4" w:space="0" w:color="auto"/>
              <w:left w:val="single" w:sz="4" w:space="0" w:color="auto"/>
              <w:bottom w:val="single" w:sz="4" w:space="0" w:color="auto"/>
              <w:right w:val="single" w:sz="4" w:space="0" w:color="auto"/>
            </w:tcBorders>
          </w:tcPr>
          <w:p w14:paraId="576209A0"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A1" w14:textId="77777777" w:rsidR="00A56EE9" w:rsidRPr="00E70A11" w:rsidRDefault="00A56EE9" w:rsidP="00A11869">
            <w:pPr>
              <w:numPr>
                <w:ilvl w:val="0"/>
                <w:numId w:val="92"/>
              </w:numPr>
              <w:tabs>
                <w:tab w:val="clear" w:pos="360"/>
                <w:tab w:val="num" w:pos="720"/>
              </w:tabs>
              <w:spacing w:before="40" w:after="40" w:line="240" w:lineRule="auto"/>
              <w:ind w:left="388"/>
              <w:jc w:val="both"/>
              <w:rPr>
                <w:rFonts w:ascii="Arial Narrow" w:eastAsia="Calibri" w:hAnsi="Arial Narrow"/>
                <w:sz w:val="18"/>
                <w:szCs w:val="18"/>
              </w:rPr>
            </w:pPr>
            <w:r w:rsidRPr="00E70A11">
              <w:rPr>
                <w:rFonts w:ascii="Arial Narrow" w:eastAsia="Calibri" w:hAnsi="Arial Narrow"/>
                <w:sz w:val="18"/>
                <w:szCs w:val="18"/>
              </w:rPr>
              <w:t xml:space="preserve">The Zoning Plan regulates where ships can transit. This management tool, in combination with the REEF VTS contributes to ensuring the values of the GBR are protected. </w:t>
            </w:r>
          </w:p>
          <w:p w14:paraId="576209A2" w14:textId="77777777" w:rsidR="00A56EE9" w:rsidRPr="00E70A11" w:rsidRDefault="00A56EE9" w:rsidP="00A11869">
            <w:pPr>
              <w:numPr>
                <w:ilvl w:val="0"/>
                <w:numId w:val="92"/>
              </w:numPr>
              <w:tabs>
                <w:tab w:val="clear" w:pos="360"/>
                <w:tab w:val="num" w:pos="720"/>
              </w:tabs>
              <w:spacing w:before="40" w:after="40" w:line="240" w:lineRule="auto"/>
              <w:ind w:left="388"/>
              <w:jc w:val="both"/>
              <w:rPr>
                <w:rFonts w:ascii="Arial Narrow" w:eastAsia="Calibri" w:hAnsi="Arial Narrow"/>
                <w:sz w:val="18"/>
                <w:szCs w:val="18"/>
              </w:rPr>
            </w:pPr>
            <w:r w:rsidRPr="00E70A11">
              <w:rPr>
                <w:rFonts w:ascii="Arial Narrow" w:eastAsia="Calibri" w:hAnsi="Arial Narrow"/>
                <w:sz w:val="18"/>
                <w:szCs w:val="18"/>
              </w:rPr>
              <w:t>Other actions implemented by AMSA and/or MSQ, as well as via the NESMP, have the collective effect of managing potential risks of shipping in the GBR region, such that incidents are rare, their significance generally minimal, and responses timely and effective.</w:t>
            </w:r>
          </w:p>
          <w:p w14:paraId="576209A3"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eastAsia="Calibri" w:hAnsi="Arial Narrow" w:cs="Times New Roman"/>
                <w:sz w:val="18"/>
                <w:szCs w:val="18"/>
              </w:rPr>
              <w:t>There remains a need for continual vigilance to ensure that controls, management processes and their functional capacities keep in step with changes in shipping risk profiles.</w:t>
            </w:r>
          </w:p>
        </w:tc>
        <w:tc>
          <w:tcPr>
            <w:tcW w:w="5045" w:type="dxa"/>
            <w:gridSpan w:val="2"/>
            <w:tcBorders>
              <w:top w:val="single" w:sz="4" w:space="0" w:color="auto"/>
              <w:left w:val="single" w:sz="4" w:space="0" w:color="auto"/>
              <w:bottom w:val="single" w:sz="4" w:space="0" w:color="auto"/>
              <w:right w:val="single" w:sz="4" w:space="0" w:color="auto"/>
            </w:tcBorders>
          </w:tcPr>
          <w:p w14:paraId="576209A4" w14:textId="77777777" w:rsidR="00A56EE9" w:rsidRPr="00CD5DCE" w:rsidRDefault="00A56EE9" w:rsidP="00A11869">
            <w:pPr>
              <w:pStyle w:val="ListParagraph"/>
              <w:numPr>
                <w:ilvl w:val="0"/>
                <w:numId w:val="166"/>
              </w:numPr>
              <w:spacing w:after="200" w:line="276" w:lineRule="auto"/>
              <w:rPr>
                <w:rStyle w:val="BookTitle"/>
                <w:rFonts w:ascii="Arial Narrow" w:hAnsi="Arial Narrow"/>
                <w:color w:val="000000" w:themeColor="text1"/>
                <w:sz w:val="18"/>
                <w:szCs w:val="18"/>
              </w:rPr>
            </w:pPr>
            <w:r w:rsidRPr="00CD5DCE">
              <w:rPr>
                <w:rStyle w:val="BookTitle"/>
                <w:rFonts w:ascii="Arial Narrow" w:hAnsi="Arial Narrow"/>
                <w:color w:val="000000" w:themeColor="text1"/>
                <w:sz w:val="18"/>
                <w:szCs w:val="18"/>
              </w:rPr>
              <w:t>NESMP</w:t>
            </w:r>
          </w:p>
          <w:p w14:paraId="576209A5" w14:textId="77777777" w:rsidR="00A56EE9" w:rsidRPr="00CD5DCE" w:rsidRDefault="00A56EE9" w:rsidP="00A11869">
            <w:pPr>
              <w:pStyle w:val="ListParagraph"/>
              <w:numPr>
                <w:ilvl w:val="0"/>
                <w:numId w:val="166"/>
              </w:numPr>
              <w:spacing w:after="200" w:line="276" w:lineRule="auto"/>
              <w:rPr>
                <w:rStyle w:val="BookTitle"/>
                <w:rFonts w:ascii="Arial Narrow" w:hAnsi="Arial Narrow"/>
                <w:color w:val="000000" w:themeColor="text1"/>
                <w:sz w:val="18"/>
                <w:szCs w:val="18"/>
              </w:rPr>
            </w:pPr>
            <w:r w:rsidRPr="00CD5DCE">
              <w:rPr>
                <w:rStyle w:val="BookTitle"/>
                <w:rFonts w:ascii="Arial Narrow" w:hAnsi="Arial Narrow"/>
                <w:color w:val="000000" w:themeColor="text1"/>
                <w:sz w:val="18"/>
                <w:szCs w:val="18"/>
              </w:rPr>
              <w:t xml:space="preserve">Zoning Plan </w:t>
            </w:r>
          </w:p>
        </w:tc>
        <w:tc>
          <w:tcPr>
            <w:tcW w:w="986" w:type="dxa"/>
            <w:gridSpan w:val="2"/>
            <w:tcBorders>
              <w:top w:val="single" w:sz="4" w:space="0" w:color="auto"/>
              <w:left w:val="single" w:sz="4" w:space="0" w:color="auto"/>
              <w:bottom w:val="single" w:sz="4" w:space="0" w:color="auto"/>
              <w:right w:val="single" w:sz="4" w:space="0" w:color="auto"/>
            </w:tcBorders>
          </w:tcPr>
          <w:p w14:paraId="576209A6"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A7"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9B0"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A9" w14:textId="77777777" w:rsidR="00A56EE9" w:rsidRPr="00E70A11" w:rsidRDefault="00A56EE9" w:rsidP="00BB6AD5">
            <w:pPr>
              <w:pStyle w:val="Tablebulletlist"/>
              <w:rPr>
                <w:rStyle w:val="BookTitle"/>
              </w:rPr>
            </w:pPr>
            <w:r w:rsidRPr="00E70A11">
              <w:rPr>
                <w:rStyle w:val="BookTitle"/>
              </w:rPr>
              <w:t>OC3</w:t>
            </w:r>
            <w:r>
              <w:rPr>
                <w:rStyle w:val="BookTitle"/>
              </w:rPr>
              <w:t xml:space="preserve"> </w:t>
            </w:r>
            <w:r w:rsidRPr="00E70A11">
              <w:rPr>
                <w:rStyle w:val="BookTitle"/>
              </w:rPr>
              <w:t>The outputs (refer OP1 and 3) for shipping are reducing the major risks and the threats to the Great Barrier Reef</w:t>
            </w:r>
          </w:p>
        </w:tc>
        <w:tc>
          <w:tcPr>
            <w:tcW w:w="809" w:type="dxa"/>
            <w:gridSpan w:val="2"/>
            <w:tcBorders>
              <w:top w:val="single" w:sz="4" w:space="0" w:color="auto"/>
              <w:left w:val="single" w:sz="4" w:space="0" w:color="auto"/>
              <w:bottom w:val="single" w:sz="4" w:space="0" w:color="auto"/>
              <w:right w:val="single" w:sz="4" w:space="0" w:color="auto"/>
            </w:tcBorders>
          </w:tcPr>
          <w:p w14:paraId="576209AA"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AB" w14:textId="77777777" w:rsidR="00A56EE9" w:rsidRPr="00E70A11" w:rsidRDefault="00A56EE9" w:rsidP="00A11869">
            <w:pPr>
              <w:pStyle w:val="ListBullet"/>
              <w:numPr>
                <w:ilvl w:val="0"/>
                <w:numId w:val="144"/>
              </w:numPr>
              <w:ind w:left="317"/>
              <w:rPr>
                <w:color w:val="000000" w:themeColor="text1"/>
              </w:rPr>
            </w:pPr>
            <w:r w:rsidRPr="00E70A11">
              <w:rPr>
                <w:rFonts w:eastAsia="Times New Roman"/>
                <w:color w:val="000000" w:themeColor="text1"/>
              </w:rPr>
              <w:t xml:space="preserve">The current Great Barrier Reef and Torres Strait vessel traffic service is considered effective at preventing shipping incidents. </w:t>
            </w:r>
            <w:r w:rsidRPr="00E70A11">
              <w:rPr>
                <w:color w:val="000000" w:themeColor="text1"/>
              </w:rPr>
              <w:t>ReefVTS achieved 100% safe vessel movements in 2016/17.</w:t>
            </w:r>
          </w:p>
          <w:p w14:paraId="576209AC"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AMSA undertook numerous initiatives across its functions in the five years before 2014 aimed at improving the safety of ship operations in the region in and around the GBR. These covered a range of operational areas, such as the oversight of ship and cargo safety, improvements to aids to navigation and provision of much greater levels of response equipment and consumables at key regional storage facilities in relation to possible pollution of the sea. AMSA commissioned analyses of shipping industry risks in the region to identify growth trends in terms of vessel traffic levels, major routes, ship types and sizes and risk profiles over time.</w:t>
            </w:r>
            <w:r>
              <w:rPr>
                <w:rFonts w:ascii="Arial Narrow" w:hAnsi="Arial Narrow"/>
                <w:color w:val="000000" w:themeColor="text1"/>
                <w:sz w:val="18"/>
                <w:szCs w:val="18"/>
              </w:rPr>
              <w:t xml:space="preserve"> </w:t>
            </w:r>
          </w:p>
        </w:tc>
        <w:tc>
          <w:tcPr>
            <w:tcW w:w="5045" w:type="dxa"/>
            <w:gridSpan w:val="2"/>
            <w:tcBorders>
              <w:top w:val="single" w:sz="4" w:space="0" w:color="auto"/>
              <w:left w:val="single" w:sz="4" w:space="0" w:color="auto"/>
              <w:bottom w:val="single" w:sz="4" w:space="0" w:color="auto"/>
              <w:right w:val="single" w:sz="4" w:space="0" w:color="auto"/>
            </w:tcBorders>
          </w:tcPr>
          <w:p w14:paraId="576209AD"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Grech et al 2013 </w:t>
            </w:r>
            <w:hyperlink r:id="rId1936" w:history="1">
              <w:r w:rsidRPr="00E70A11">
                <w:rPr>
                  <w:rStyle w:val="Hyperlink"/>
                  <w:rFonts w:ascii="Arial Narrow" w:hAnsi="Arial Narrow"/>
                  <w:color w:val="000000" w:themeColor="text1"/>
                  <w:sz w:val="18"/>
                  <w:szCs w:val="18"/>
                </w:rPr>
                <w:t>Guiding principles for the improved governance of port and shipping impacts for the Great Barrier Reef</w:t>
              </w:r>
            </w:hyperlink>
          </w:p>
        </w:tc>
        <w:tc>
          <w:tcPr>
            <w:tcW w:w="986" w:type="dxa"/>
            <w:gridSpan w:val="2"/>
            <w:tcBorders>
              <w:top w:val="single" w:sz="4" w:space="0" w:color="auto"/>
              <w:left w:val="single" w:sz="4" w:space="0" w:color="auto"/>
              <w:bottom w:val="single" w:sz="4" w:space="0" w:color="auto"/>
              <w:right w:val="single" w:sz="4" w:space="0" w:color="auto"/>
            </w:tcBorders>
          </w:tcPr>
          <w:p w14:paraId="576209AE"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AF"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9BA"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B1" w14:textId="77777777" w:rsidR="00A56EE9" w:rsidRPr="00E70A11" w:rsidRDefault="00A56EE9" w:rsidP="00BB6AD5">
            <w:pPr>
              <w:pStyle w:val="Tablebulletlist"/>
              <w:rPr>
                <w:rStyle w:val="BookTitle"/>
              </w:rPr>
            </w:pPr>
            <w:r w:rsidRPr="00E70A11">
              <w:rPr>
                <w:rStyle w:val="BookTitle"/>
              </w:rPr>
              <w:t>OC4</w:t>
            </w:r>
            <w:r>
              <w:rPr>
                <w:rStyle w:val="BookTitle"/>
              </w:rPr>
              <w:t xml:space="preserve"> </w:t>
            </w:r>
            <w:r w:rsidRPr="00E70A11">
              <w:rPr>
                <w:rStyle w:val="BookTitle"/>
              </w:rPr>
              <w:t>Use of the Great Barrier Reef relating to shipping is demonstrably environmentally sustainable</w:t>
            </w:r>
          </w:p>
        </w:tc>
        <w:tc>
          <w:tcPr>
            <w:tcW w:w="809" w:type="dxa"/>
            <w:gridSpan w:val="2"/>
            <w:tcBorders>
              <w:top w:val="single" w:sz="4" w:space="0" w:color="auto"/>
              <w:left w:val="single" w:sz="4" w:space="0" w:color="auto"/>
              <w:bottom w:val="single" w:sz="4" w:space="0" w:color="auto"/>
              <w:right w:val="single" w:sz="4" w:space="0" w:color="auto"/>
            </w:tcBorders>
          </w:tcPr>
          <w:p w14:paraId="576209B2"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B3"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This is agreed, at current and short to mid-term forecast levels of shipping. The capacity of key GBR channels and passages (eg. Hydrographers) will possibly be limiting factors in relation to peak shipping capacity of GBR Region, particularly in relation to need to 'surge' ships to sea in narrow timeframes.</w:t>
            </w:r>
          </w:p>
          <w:p w14:paraId="576209B4"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sz w:val="18"/>
                <w:szCs w:val="18"/>
              </w:rPr>
              <w:t xml:space="preserve">Turbidity and wake effects in shallow/narrow passages and channels may also be a limiting factor, for which more research and evaluation is required. Turbidity effects may be exacerbated in locations where </w:t>
            </w:r>
            <w:r w:rsidRPr="00E70A11">
              <w:rPr>
                <w:rFonts w:ascii="Arial Narrow" w:hAnsi="Arial Narrow" w:cstheme="minorHAnsi"/>
                <w:sz w:val="18"/>
                <w:szCs w:val="18"/>
              </w:rPr>
              <w:t>UKCM employed.</w:t>
            </w:r>
          </w:p>
        </w:tc>
        <w:tc>
          <w:tcPr>
            <w:tcW w:w="5045" w:type="dxa"/>
            <w:gridSpan w:val="2"/>
            <w:tcBorders>
              <w:top w:val="single" w:sz="4" w:space="0" w:color="auto"/>
              <w:left w:val="single" w:sz="4" w:space="0" w:color="auto"/>
              <w:bottom w:val="single" w:sz="4" w:space="0" w:color="auto"/>
              <w:right w:val="single" w:sz="4" w:space="0" w:color="auto"/>
            </w:tcBorders>
          </w:tcPr>
          <w:p w14:paraId="576209B5"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937" w:history="1">
              <w:r w:rsidR="00A56EE9" w:rsidRPr="00E70A11">
                <w:rPr>
                  <w:rStyle w:val="Hyperlink"/>
                  <w:rFonts w:ascii="Arial Narrow" w:hAnsi="Arial Narrow"/>
                  <w:color w:val="000000" w:themeColor="text1"/>
                  <w:sz w:val="18"/>
                  <w:szCs w:val="18"/>
                </w:rPr>
                <w:t>Outlook Report 2014</w:t>
              </w:r>
            </w:hyperlink>
            <w:r w:rsidR="00A56EE9" w:rsidRPr="00E70A11">
              <w:rPr>
                <w:rFonts w:ascii="Arial Narrow" w:hAnsi="Arial Narrow"/>
                <w:color w:val="000000" w:themeColor="text1"/>
                <w:sz w:val="18"/>
                <w:szCs w:val="18"/>
              </w:rPr>
              <w:t xml:space="preserve"> sections 5.8 and 6.6, Ch 9, and Appendix 7 etc.</w:t>
            </w:r>
          </w:p>
          <w:p w14:paraId="576209B6"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Chapter 4</w:t>
            </w:r>
            <w:proofErr w:type="gramStart"/>
            <w:r w:rsidRPr="00E70A11">
              <w:rPr>
                <w:rFonts w:ascii="Arial Narrow" w:hAnsi="Arial Narrow"/>
                <w:color w:val="000000" w:themeColor="text1"/>
                <w:sz w:val="18"/>
                <w:szCs w:val="18"/>
              </w:rPr>
              <w:t>,5,6</w:t>
            </w:r>
            <w:proofErr w:type="gramEnd"/>
            <w:r w:rsidRPr="00E70A11">
              <w:rPr>
                <w:rFonts w:ascii="Arial Narrow" w:hAnsi="Arial Narrow"/>
                <w:color w:val="000000" w:themeColor="text1"/>
                <w:sz w:val="18"/>
                <w:szCs w:val="18"/>
              </w:rPr>
              <w:t xml:space="preserve"> </w:t>
            </w:r>
            <w:hyperlink r:id="rId1938" w:history="1">
              <w:r w:rsidRPr="00E70A11">
                <w:rPr>
                  <w:rStyle w:val="Hyperlink"/>
                  <w:rFonts w:ascii="Arial Narrow" w:hAnsi="Arial Narrow"/>
                  <w:color w:val="000000" w:themeColor="text1"/>
                  <w:sz w:val="18"/>
                  <w:szCs w:val="18"/>
                </w:rPr>
                <w:t>Great Barrier Reef Region Strategic Assessment Report</w:t>
              </w:r>
            </w:hyperlink>
            <w:r w:rsidRPr="00E70A11">
              <w:rPr>
                <w:rFonts w:ascii="Arial Narrow" w:hAnsi="Arial Narrow"/>
                <w:color w:val="000000" w:themeColor="text1"/>
                <w:sz w:val="18"/>
                <w:szCs w:val="18"/>
              </w:rPr>
              <w:t xml:space="preserve">, and </w:t>
            </w:r>
            <w:hyperlink r:id="rId1939" w:history="1">
              <w:r w:rsidRPr="00E70A11">
                <w:rPr>
                  <w:rStyle w:val="Hyperlink"/>
                  <w:rFonts w:ascii="Arial Narrow" w:hAnsi="Arial Narrow"/>
                  <w:color w:val="000000" w:themeColor="text1"/>
                  <w:sz w:val="18"/>
                  <w:szCs w:val="18"/>
                </w:rPr>
                <w:t>Great Barrier Reef Coastal Zone Strategic Assessment Report</w:t>
              </w:r>
            </w:hyperlink>
            <w:r w:rsidRPr="00E70A11">
              <w:rPr>
                <w:rFonts w:ascii="Arial Narrow" w:hAnsi="Arial Narrow"/>
                <w:color w:val="000000" w:themeColor="text1"/>
                <w:sz w:val="18"/>
                <w:szCs w:val="18"/>
              </w:rPr>
              <w:t>, noting information gaps were identified.</w:t>
            </w:r>
          </w:p>
          <w:p w14:paraId="576209B7" w14:textId="77777777" w:rsidR="00A56EE9" w:rsidRPr="00E70A11" w:rsidRDefault="00A56EE9" w:rsidP="00BB6AD5">
            <w:pPr>
              <w:pStyle w:val="ListParagraph"/>
              <w:ind w:left="360"/>
              <w:rPr>
                <w:rStyle w:val="BookTitle"/>
                <w:rFonts w:ascii="Arial Narrow" w:hAnsi="Arial Narrow"/>
                <w:color w:val="000000" w:themeColor="text1"/>
                <w:sz w:val="18"/>
                <w:szCs w:val="18"/>
              </w:rPr>
            </w:pPr>
          </w:p>
        </w:tc>
        <w:tc>
          <w:tcPr>
            <w:tcW w:w="986" w:type="dxa"/>
            <w:gridSpan w:val="2"/>
            <w:tcBorders>
              <w:top w:val="single" w:sz="4" w:space="0" w:color="auto"/>
              <w:left w:val="single" w:sz="4" w:space="0" w:color="auto"/>
              <w:bottom w:val="single" w:sz="4" w:space="0" w:color="auto"/>
              <w:right w:val="single" w:sz="4" w:space="0" w:color="auto"/>
            </w:tcBorders>
          </w:tcPr>
          <w:p w14:paraId="576209B8"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B9"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9C2"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BB" w14:textId="77777777" w:rsidR="00A56EE9" w:rsidRPr="00E70A11" w:rsidRDefault="00A56EE9" w:rsidP="00BB6AD5">
            <w:pPr>
              <w:pStyle w:val="Tablebulletlist"/>
              <w:rPr>
                <w:rStyle w:val="BookTitle"/>
              </w:rPr>
            </w:pPr>
            <w:r w:rsidRPr="00E70A11">
              <w:rPr>
                <w:rStyle w:val="BookTitle"/>
              </w:rPr>
              <w:t>OC5</w:t>
            </w:r>
            <w:r>
              <w:rPr>
                <w:rStyle w:val="BookTitle"/>
              </w:rPr>
              <w:t xml:space="preserve"> </w:t>
            </w:r>
            <w:r w:rsidRPr="00E70A11">
              <w:rPr>
                <w:rStyle w:val="BookTitle"/>
              </w:rPr>
              <w:t>Use of the Great Barrier Reef relating to shipping is demonstrably economically sustainable</w:t>
            </w:r>
          </w:p>
        </w:tc>
        <w:tc>
          <w:tcPr>
            <w:tcW w:w="809" w:type="dxa"/>
            <w:gridSpan w:val="2"/>
            <w:tcBorders>
              <w:top w:val="single" w:sz="4" w:space="0" w:color="auto"/>
              <w:left w:val="single" w:sz="4" w:space="0" w:color="auto"/>
              <w:bottom w:val="single" w:sz="4" w:space="0" w:color="auto"/>
              <w:right w:val="single" w:sz="4" w:space="0" w:color="auto"/>
            </w:tcBorders>
          </w:tcPr>
          <w:p w14:paraId="576209BC"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BD"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sz w:val="18"/>
                <w:szCs w:val="18"/>
              </w:rPr>
              <w:t>The value of shipping to regional and national economies is well documented. Earnings would seem to exceed costs, hence suggesting economic sustainability</w:t>
            </w:r>
          </w:p>
        </w:tc>
        <w:tc>
          <w:tcPr>
            <w:tcW w:w="5045" w:type="dxa"/>
            <w:gridSpan w:val="2"/>
            <w:tcBorders>
              <w:top w:val="single" w:sz="4" w:space="0" w:color="auto"/>
              <w:left w:val="single" w:sz="4" w:space="0" w:color="auto"/>
              <w:bottom w:val="single" w:sz="4" w:space="0" w:color="auto"/>
              <w:right w:val="single" w:sz="4" w:space="0" w:color="auto"/>
            </w:tcBorders>
          </w:tcPr>
          <w:p w14:paraId="576209BE"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940" w:history="1">
              <w:r w:rsidR="00A56EE9" w:rsidRPr="00E70A11">
                <w:rPr>
                  <w:rStyle w:val="Hyperlink"/>
                  <w:rFonts w:ascii="Arial Narrow" w:hAnsi="Arial Narrow"/>
                  <w:color w:val="000000" w:themeColor="text1"/>
                  <w:sz w:val="18"/>
                  <w:szCs w:val="18"/>
                </w:rPr>
                <w:t>Outlook Report 2014</w:t>
              </w:r>
            </w:hyperlink>
            <w:r w:rsidR="00A56EE9" w:rsidRPr="00E70A11">
              <w:rPr>
                <w:rFonts w:ascii="Arial Narrow" w:hAnsi="Arial Narrow"/>
                <w:color w:val="000000" w:themeColor="text1"/>
                <w:sz w:val="18"/>
                <w:szCs w:val="18"/>
              </w:rPr>
              <w:t xml:space="preserve"> sections 5.8 and 6.6</w:t>
            </w:r>
          </w:p>
          <w:p w14:paraId="576209BF"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Chapter 5 </w:t>
            </w:r>
            <w:hyperlink r:id="rId1941" w:history="1">
              <w:r w:rsidRPr="00E70A11">
                <w:rPr>
                  <w:rStyle w:val="Hyperlink"/>
                  <w:rFonts w:ascii="Arial Narrow" w:hAnsi="Arial Narrow"/>
                  <w:color w:val="000000" w:themeColor="text1"/>
                  <w:sz w:val="18"/>
                  <w:szCs w:val="18"/>
                </w:rPr>
                <w:t>Great Barrier Reef Region Strategic Assessment Report</w:t>
              </w:r>
            </w:hyperlink>
            <w:r w:rsidRPr="00E70A11">
              <w:rPr>
                <w:rFonts w:ascii="Arial Narrow" w:hAnsi="Arial Narrow"/>
                <w:color w:val="000000" w:themeColor="text1"/>
                <w:sz w:val="18"/>
                <w:szCs w:val="18"/>
              </w:rPr>
              <w:t xml:space="preserve">, and </w:t>
            </w:r>
            <w:hyperlink r:id="rId1942" w:history="1">
              <w:r w:rsidRPr="00E70A11">
                <w:rPr>
                  <w:rStyle w:val="Hyperlink"/>
                  <w:rFonts w:ascii="Arial Narrow" w:hAnsi="Arial Narrow"/>
                  <w:color w:val="000000" w:themeColor="text1"/>
                  <w:sz w:val="18"/>
                  <w:szCs w:val="18"/>
                </w:rPr>
                <w:t>Great Barrier Reef Coastal Zone Strategic Assessment Report</w:t>
              </w:r>
            </w:hyperlink>
            <w:r w:rsidRPr="00E70A11">
              <w:rPr>
                <w:rFonts w:ascii="Arial Narrow" w:hAnsi="Arial Narrow"/>
                <w:color w:val="000000" w:themeColor="text1"/>
                <w:sz w:val="18"/>
                <w:szCs w:val="18"/>
              </w:rPr>
              <w:t>, noting information gaps were identified.</w:t>
            </w:r>
          </w:p>
        </w:tc>
        <w:tc>
          <w:tcPr>
            <w:tcW w:w="986" w:type="dxa"/>
            <w:gridSpan w:val="2"/>
            <w:tcBorders>
              <w:top w:val="single" w:sz="4" w:space="0" w:color="auto"/>
              <w:left w:val="single" w:sz="4" w:space="0" w:color="auto"/>
              <w:bottom w:val="single" w:sz="4" w:space="0" w:color="auto"/>
              <w:right w:val="single" w:sz="4" w:space="0" w:color="auto"/>
            </w:tcBorders>
          </w:tcPr>
          <w:p w14:paraId="576209C0"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C1"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9CD"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C3" w14:textId="77777777" w:rsidR="00A56EE9" w:rsidRPr="00E70A11" w:rsidRDefault="00A56EE9" w:rsidP="00BB6AD5">
            <w:pPr>
              <w:pStyle w:val="Tablebulletlist"/>
              <w:rPr>
                <w:rStyle w:val="BookTitle"/>
              </w:rPr>
            </w:pPr>
            <w:r w:rsidRPr="00E70A11">
              <w:rPr>
                <w:rStyle w:val="BookTitle"/>
              </w:rPr>
              <w:t>OC6</w:t>
            </w:r>
            <w:r>
              <w:rPr>
                <w:rStyle w:val="BookTitle"/>
              </w:rPr>
              <w:t xml:space="preserve"> </w:t>
            </w:r>
            <w:r w:rsidRPr="00E70A11">
              <w:rPr>
                <w:rStyle w:val="BookTitle"/>
              </w:rPr>
              <w:t>Use of the Great Barrier Reef relating to shipping is demonstrably socially sustainable understanding and/or enjoyment</w:t>
            </w:r>
          </w:p>
        </w:tc>
        <w:tc>
          <w:tcPr>
            <w:tcW w:w="809" w:type="dxa"/>
            <w:gridSpan w:val="2"/>
            <w:tcBorders>
              <w:top w:val="single" w:sz="4" w:space="0" w:color="auto"/>
              <w:left w:val="single" w:sz="4" w:space="0" w:color="auto"/>
              <w:bottom w:val="single" w:sz="4" w:space="0" w:color="auto"/>
              <w:right w:val="single" w:sz="4" w:space="0" w:color="auto"/>
            </w:tcBorders>
          </w:tcPr>
          <w:p w14:paraId="576209C4"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C5"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The Zoning Plan provides for a multi-use Marine Park that allows for a range of both commercial and recreational activities for the benefit and enjoyment of the community, intended to be consistent with conservation objectives.</w:t>
            </w:r>
            <w:r>
              <w:rPr>
                <w:rFonts w:ascii="Arial Narrow" w:hAnsi="Arial Narrow"/>
                <w:color w:val="000000" w:themeColor="text1"/>
                <w:sz w:val="18"/>
                <w:szCs w:val="18"/>
              </w:rPr>
              <w:t xml:space="preserve"> </w:t>
            </w:r>
          </w:p>
          <w:p w14:paraId="576209C6" w14:textId="77777777" w:rsidR="00A56EE9" w:rsidRPr="00E70A11" w:rsidRDefault="00A56EE9" w:rsidP="00A11869">
            <w:pPr>
              <w:pStyle w:val="ListParagraph"/>
              <w:numPr>
                <w:ilvl w:val="0"/>
                <w:numId w:val="24"/>
              </w:numPr>
              <w:spacing w:after="200" w:line="276" w:lineRule="auto"/>
              <w:rPr>
                <w:rFonts w:ascii="Arial Narrow" w:hAnsi="Arial Narrow"/>
                <w:b/>
                <w:sz w:val="18"/>
                <w:szCs w:val="18"/>
                <w:u w:val="single"/>
              </w:rPr>
            </w:pPr>
            <w:r w:rsidRPr="00E70A11">
              <w:rPr>
                <w:rFonts w:ascii="Arial Narrow" w:hAnsi="Arial Narrow"/>
                <w:sz w:val="18"/>
                <w:szCs w:val="18"/>
              </w:rPr>
              <w:t xml:space="preserve">Risks associated with potential user-conflict may arise as a result of increases in shipping activity and/or recreational and other activity, although should be manageable if preceded by effective planning. </w:t>
            </w:r>
          </w:p>
          <w:p w14:paraId="576209C7" w14:textId="77777777" w:rsidR="00A56EE9" w:rsidRPr="00E70A11" w:rsidRDefault="00A56EE9" w:rsidP="00A11869">
            <w:pPr>
              <w:pStyle w:val="ListParagraph"/>
              <w:numPr>
                <w:ilvl w:val="0"/>
                <w:numId w:val="24"/>
              </w:numPr>
              <w:spacing w:after="200" w:line="276" w:lineRule="auto"/>
              <w:rPr>
                <w:rStyle w:val="BookTitle"/>
                <w:rFonts w:ascii="Arial Narrow" w:hAnsi="Arial Narrow"/>
                <w:sz w:val="18"/>
                <w:szCs w:val="18"/>
              </w:rPr>
            </w:pPr>
            <w:r w:rsidRPr="00E70A11">
              <w:rPr>
                <w:rFonts w:ascii="Arial Narrow" w:hAnsi="Arial Narrow"/>
                <w:sz w:val="18"/>
                <w:szCs w:val="18"/>
              </w:rPr>
              <w:t>Coastal communities and those in the hinterland are reliant to varying extents on ports and shipping for the import/export of goods and services and local/regional economic activity.</w:t>
            </w:r>
          </w:p>
        </w:tc>
        <w:tc>
          <w:tcPr>
            <w:tcW w:w="5045" w:type="dxa"/>
            <w:gridSpan w:val="2"/>
            <w:tcBorders>
              <w:top w:val="single" w:sz="4" w:space="0" w:color="auto"/>
              <w:left w:val="single" w:sz="4" w:space="0" w:color="auto"/>
              <w:bottom w:val="single" w:sz="4" w:space="0" w:color="auto"/>
              <w:right w:val="single" w:sz="4" w:space="0" w:color="auto"/>
            </w:tcBorders>
          </w:tcPr>
          <w:p w14:paraId="576209C8" w14:textId="77777777" w:rsidR="00A56EE9" w:rsidRPr="00E70A11" w:rsidRDefault="008B5998" w:rsidP="00A11869">
            <w:pPr>
              <w:pStyle w:val="ListParagraph"/>
              <w:numPr>
                <w:ilvl w:val="0"/>
                <w:numId w:val="24"/>
              </w:numPr>
              <w:spacing w:after="200" w:line="276" w:lineRule="auto"/>
              <w:rPr>
                <w:rStyle w:val="Hyperlink"/>
                <w:rFonts w:ascii="Arial Narrow" w:hAnsi="Arial Narrow"/>
                <w:color w:val="000000" w:themeColor="text1"/>
                <w:sz w:val="18"/>
                <w:szCs w:val="18"/>
                <w:lang w:val="en"/>
              </w:rPr>
            </w:pPr>
            <w:hyperlink r:id="rId1943" w:tgtFrame="_blank" w:history="1">
              <w:r w:rsidR="00A56EE9" w:rsidRPr="00E70A11">
                <w:rPr>
                  <w:rStyle w:val="Hyperlink"/>
                  <w:rFonts w:ascii="Arial Narrow" w:hAnsi="Arial Narrow"/>
                  <w:color w:val="000000" w:themeColor="text1"/>
                  <w:sz w:val="18"/>
                  <w:szCs w:val="18"/>
                  <w:lang w:val="en"/>
                </w:rPr>
                <w:t>Ship Anchorage Management Report in the Great Barrier Reef World Heritage Area</w:t>
              </w:r>
            </w:hyperlink>
            <w:r w:rsidR="00A56EE9" w:rsidRPr="00E70A11">
              <w:rPr>
                <w:rStyle w:val="Hyperlink"/>
                <w:rFonts w:ascii="Arial Narrow" w:hAnsi="Arial Narrow"/>
                <w:color w:val="000000" w:themeColor="text1"/>
                <w:sz w:val="18"/>
                <w:szCs w:val="18"/>
                <w:lang w:val="en"/>
              </w:rPr>
              <w:t xml:space="preserve"> 2013</w:t>
            </w:r>
          </w:p>
          <w:p w14:paraId="576209C9" w14:textId="77777777" w:rsidR="00A56EE9" w:rsidRPr="00E70A11" w:rsidRDefault="008B5998" w:rsidP="00A11869">
            <w:pPr>
              <w:pStyle w:val="ListParagraph"/>
              <w:numPr>
                <w:ilvl w:val="0"/>
                <w:numId w:val="24"/>
              </w:numPr>
              <w:spacing w:after="200" w:line="276" w:lineRule="auto"/>
              <w:rPr>
                <w:rFonts w:ascii="Arial Narrow" w:hAnsi="Arial Narrow"/>
                <w:color w:val="000000" w:themeColor="text1"/>
                <w:sz w:val="18"/>
                <w:szCs w:val="18"/>
              </w:rPr>
            </w:pPr>
            <w:hyperlink r:id="rId1944" w:history="1">
              <w:r w:rsidR="00A56EE9" w:rsidRPr="00E70A11">
                <w:rPr>
                  <w:rStyle w:val="Hyperlink"/>
                  <w:rFonts w:ascii="Arial Narrow" w:hAnsi="Arial Narrow"/>
                  <w:color w:val="000000" w:themeColor="text1"/>
                  <w:sz w:val="18"/>
                  <w:szCs w:val="18"/>
                </w:rPr>
                <w:t>Outlook Report 2014</w:t>
              </w:r>
            </w:hyperlink>
            <w:r w:rsidR="00A56EE9" w:rsidRPr="00E70A11">
              <w:rPr>
                <w:rFonts w:ascii="Arial Narrow" w:hAnsi="Arial Narrow"/>
                <w:color w:val="000000" w:themeColor="text1"/>
                <w:sz w:val="18"/>
                <w:szCs w:val="18"/>
              </w:rPr>
              <w:t xml:space="preserve"> sections 5.8 and 6.6</w:t>
            </w:r>
          </w:p>
          <w:p w14:paraId="576209CA"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color w:val="000000" w:themeColor="text1"/>
                <w:sz w:val="18"/>
                <w:szCs w:val="18"/>
              </w:rPr>
              <w:t xml:space="preserve">Chapter 5 </w:t>
            </w:r>
            <w:hyperlink r:id="rId1945" w:history="1">
              <w:r w:rsidRPr="00E70A11">
                <w:rPr>
                  <w:rStyle w:val="Hyperlink"/>
                  <w:rFonts w:ascii="Arial Narrow" w:hAnsi="Arial Narrow"/>
                  <w:color w:val="000000" w:themeColor="text1"/>
                  <w:sz w:val="18"/>
                  <w:szCs w:val="18"/>
                </w:rPr>
                <w:t>Great Barrier Reef Region Strategic Assessment Report</w:t>
              </w:r>
            </w:hyperlink>
            <w:r w:rsidRPr="00E70A11">
              <w:rPr>
                <w:rFonts w:ascii="Arial Narrow" w:hAnsi="Arial Narrow"/>
                <w:color w:val="000000" w:themeColor="text1"/>
                <w:sz w:val="18"/>
                <w:szCs w:val="18"/>
              </w:rPr>
              <w:t xml:space="preserve">, and </w:t>
            </w:r>
            <w:hyperlink r:id="rId1946" w:history="1">
              <w:r w:rsidRPr="00E70A11">
                <w:rPr>
                  <w:rStyle w:val="Hyperlink"/>
                  <w:rFonts w:ascii="Arial Narrow" w:hAnsi="Arial Narrow"/>
                  <w:color w:val="000000" w:themeColor="text1"/>
                  <w:sz w:val="18"/>
                  <w:szCs w:val="18"/>
                </w:rPr>
                <w:t>Great Barrier Reef Coastal Zone Strategic Assessment Report</w:t>
              </w:r>
            </w:hyperlink>
            <w:r w:rsidRPr="00E70A11">
              <w:rPr>
                <w:rFonts w:ascii="Arial Narrow" w:hAnsi="Arial Narrow"/>
                <w:color w:val="000000" w:themeColor="text1"/>
                <w:sz w:val="18"/>
                <w:szCs w:val="18"/>
              </w:rPr>
              <w:t>, noting information gaps were identified</w:t>
            </w:r>
          </w:p>
        </w:tc>
        <w:tc>
          <w:tcPr>
            <w:tcW w:w="986" w:type="dxa"/>
            <w:gridSpan w:val="2"/>
            <w:tcBorders>
              <w:top w:val="single" w:sz="4" w:space="0" w:color="auto"/>
              <w:left w:val="single" w:sz="4" w:space="0" w:color="auto"/>
              <w:bottom w:val="single" w:sz="4" w:space="0" w:color="auto"/>
              <w:right w:val="single" w:sz="4" w:space="0" w:color="auto"/>
            </w:tcBorders>
          </w:tcPr>
          <w:p w14:paraId="576209CB"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CC" w14:textId="77777777" w:rsidR="00A56EE9" w:rsidRPr="00E70A11" w:rsidRDefault="00A56EE9" w:rsidP="00BB6AD5">
            <w:pPr>
              <w:pStyle w:val="Tablebulletlist"/>
              <w:rPr>
                <w:rStyle w:val="BookTitle"/>
              </w:rPr>
            </w:pPr>
            <w:r w:rsidRPr="00E70A11">
              <w:rPr>
                <w:rStyle w:val="BookTitle"/>
              </w:rPr>
              <w:t>Stable</w:t>
            </w:r>
          </w:p>
        </w:tc>
      </w:tr>
      <w:tr w:rsidR="00A56EE9" w:rsidRPr="00E70A11" w14:paraId="576209D7" w14:textId="77777777" w:rsidTr="00BB6AD5">
        <w:trPr>
          <w:gridBefore w:val="1"/>
          <w:wBefore w:w="17" w:type="dxa"/>
          <w:trHeight w:val="170"/>
        </w:trPr>
        <w:tc>
          <w:tcPr>
            <w:tcW w:w="3064" w:type="dxa"/>
            <w:gridSpan w:val="2"/>
            <w:tcBorders>
              <w:top w:val="single" w:sz="4" w:space="0" w:color="auto"/>
              <w:left w:val="single" w:sz="4" w:space="0" w:color="auto"/>
              <w:bottom w:val="single" w:sz="4" w:space="0" w:color="auto"/>
              <w:right w:val="single" w:sz="4" w:space="0" w:color="auto"/>
            </w:tcBorders>
          </w:tcPr>
          <w:p w14:paraId="576209CE" w14:textId="77777777" w:rsidR="00A56EE9" w:rsidRPr="00E70A11" w:rsidRDefault="00A56EE9" w:rsidP="00BB6AD5">
            <w:pPr>
              <w:pStyle w:val="Tablebulletlist"/>
              <w:rPr>
                <w:rStyle w:val="BookTitle"/>
              </w:rPr>
            </w:pPr>
            <w:r w:rsidRPr="00E70A11">
              <w:rPr>
                <w:rStyle w:val="BookTitle"/>
              </w:rPr>
              <w:t>OC7</w:t>
            </w:r>
            <w:r>
              <w:rPr>
                <w:rStyle w:val="BookTitle"/>
              </w:rPr>
              <w:t xml:space="preserve"> </w:t>
            </w:r>
            <w:r w:rsidRPr="00E70A11">
              <w:rPr>
                <w:rStyle w:val="BookTitle"/>
              </w:rPr>
              <w:t xml:space="preserve">The relevant managing agencies have developed effective partnerships with local communities and/or stakeholders to address shipping </w:t>
            </w:r>
          </w:p>
        </w:tc>
        <w:tc>
          <w:tcPr>
            <w:tcW w:w="809" w:type="dxa"/>
            <w:gridSpan w:val="2"/>
            <w:tcBorders>
              <w:top w:val="single" w:sz="4" w:space="0" w:color="auto"/>
              <w:left w:val="single" w:sz="4" w:space="0" w:color="auto"/>
              <w:bottom w:val="single" w:sz="4" w:space="0" w:color="auto"/>
              <w:right w:val="single" w:sz="4" w:space="0" w:color="auto"/>
            </w:tcBorders>
          </w:tcPr>
          <w:p w14:paraId="576209CF" w14:textId="77777777" w:rsidR="00A56EE9" w:rsidRPr="00E70A11" w:rsidRDefault="00A56EE9" w:rsidP="00BB6AD5">
            <w:pPr>
              <w:pStyle w:val="Tablebulletlist"/>
              <w:rPr>
                <w:rStyle w:val="BookTitle"/>
              </w:rPr>
            </w:pPr>
            <w:r w:rsidRPr="00E70A11">
              <w:rPr>
                <w:rStyle w:val="BookTitle"/>
              </w:rPr>
              <w:t>4</w:t>
            </w:r>
          </w:p>
        </w:tc>
        <w:tc>
          <w:tcPr>
            <w:tcW w:w="3793" w:type="dxa"/>
            <w:gridSpan w:val="2"/>
            <w:tcBorders>
              <w:top w:val="single" w:sz="4" w:space="0" w:color="auto"/>
              <w:left w:val="single" w:sz="4" w:space="0" w:color="auto"/>
              <w:bottom w:val="single" w:sz="4" w:space="0" w:color="auto"/>
              <w:right w:val="single" w:sz="4" w:space="0" w:color="auto"/>
            </w:tcBorders>
          </w:tcPr>
          <w:p w14:paraId="576209D0"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There are effective partnerships among AMSA, MSQ and GBRMPA -- the key shipping management stakeholders.</w:t>
            </w:r>
            <w:r>
              <w:rPr>
                <w:rFonts w:ascii="Arial Narrow" w:hAnsi="Arial Narrow"/>
                <w:color w:val="000000" w:themeColor="text1"/>
                <w:sz w:val="18"/>
                <w:szCs w:val="18"/>
              </w:rPr>
              <w:t xml:space="preserve"> </w:t>
            </w:r>
          </w:p>
          <w:p w14:paraId="576209D1"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North East Shipping Management Group and its working groups provide for project/issue level consultation and engagement between key stakeholders.</w:t>
            </w:r>
          </w:p>
          <w:p w14:paraId="576209D2" w14:textId="77777777" w:rsidR="00A56EE9" w:rsidRPr="00E70A11" w:rsidRDefault="00A56EE9" w:rsidP="00A11869">
            <w:pPr>
              <w:pStyle w:val="ListParagraph"/>
              <w:numPr>
                <w:ilvl w:val="0"/>
                <w:numId w:val="24"/>
              </w:numPr>
              <w:spacing w:after="200" w:line="276" w:lineRule="auto"/>
              <w:rPr>
                <w:rFonts w:ascii="Arial Narrow" w:hAnsi="Arial Narrow"/>
                <w:color w:val="000000" w:themeColor="text1"/>
                <w:sz w:val="18"/>
                <w:szCs w:val="18"/>
              </w:rPr>
            </w:pPr>
            <w:r w:rsidRPr="00E70A11">
              <w:rPr>
                <w:rFonts w:ascii="Arial Narrow" w:hAnsi="Arial Narrow"/>
                <w:color w:val="000000" w:themeColor="text1"/>
                <w:sz w:val="18"/>
                <w:szCs w:val="18"/>
              </w:rPr>
              <w:t>MoU exists between Queensland Ports Corporation and GBRMPA.</w:t>
            </w:r>
          </w:p>
          <w:p w14:paraId="576209D3"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Fonts w:ascii="Arial Narrow" w:hAnsi="Arial Narrow"/>
                <w:sz w:val="18"/>
                <w:szCs w:val="18"/>
              </w:rPr>
              <w:t xml:space="preserve">The need for community engagement re shipping, </w:t>
            </w:r>
            <w:r w:rsidRPr="00E70A11">
              <w:rPr>
                <w:rFonts w:ascii="Arial Narrow" w:hAnsi="Arial Narrow"/>
                <w:i/>
                <w:sz w:val="18"/>
                <w:szCs w:val="18"/>
              </w:rPr>
              <w:t>cf</w:t>
            </w:r>
            <w:r w:rsidRPr="00E70A11">
              <w:rPr>
                <w:rFonts w:ascii="Arial Narrow" w:hAnsi="Arial Narrow"/>
                <w:sz w:val="18"/>
                <w:szCs w:val="18"/>
              </w:rPr>
              <w:t xml:space="preserve"> management of other aspects of GBR Region, is considered to be modest. Nevertheless, effective partnerships are valuable and would appear to be being nurtured by North East Shipping Management Group and GBRMPA.</w:t>
            </w:r>
          </w:p>
        </w:tc>
        <w:tc>
          <w:tcPr>
            <w:tcW w:w="5045" w:type="dxa"/>
            <w:gridSpan w:val="2"/>
            <w:tcBorders>
              <w:top w:val="single" w:sz="4" w:space="0" w:color="auto"/>
              <w:left w:val="single" w:sz="4" w:space="0" w:color="auto"/>
              <w:bottom w:val="single" w:sz="4" w:space="0" w:color="auto"/>
              <w:right w:val="single" w:sz="4" w:space="0" w:color="auto"/>
            </w:tcBorders>
          </w:tcPr>
          <w:p w14:paraId="576209D4" w14:textId="77777777" w:rsidR="00A56EE9" w:rsidRPr="00E70A11" w:rsidRDefault="00A56EE9" w:rsidP="00A11869">
            <w:pPr>
              <w:pStyle w:val="ListParagraph"/>
              <w:numPr>
                <w:ilvl w:val="0"/>
                <w:numId w:val="24"/>
              </w:numPr>
              <w:spacing w:after="200" w:line="276" w:lineRule="auto"/>
              <w:rPr>
                <w:rStyle w:val="BookTitle"/>
                <w:rFonts w:ascii="Arial Narrow" w:hAnsi="Arial Narrow"/>
                <w:color w:val="000000" w:themeColor="text1"/>
                <w:sz w:val="18"/>
                <w:szCs w:val="18"/>
              </w:rPr>
            </w:pPr>
            <w:r w:rsidRPr="00E70A11">
              <w:rPr>
                <w:rStyle w:val="BookTitle"/>
                <w:rFonts w:ascii="Arial Narrow" w:hAnsi="Arial Narrow"/>
                <w:color w:val="000000" w:themeColor="text1"/>
                <w:sz w:val="18"/>
                <w:szCs w:val="18"/>
              </w:rPr>
              <w:t xml:space="preserve">GBRMPA </w:t>
            </w:r>
            <w:hyperlink r:id="rId1947" w:history="1">
              <w:r w:rsidRPr="00E70A11">
                <w:rPr>
                  <w:rStyle w:val="Hyperlink"/>
                  <w:rFonts w:ascii="Arial Narrow" w:hAnsi="Arial Narrow"/>
                  <w:color w:val="000000" w:themeColor="text1"/>
                  <w:sz w:val="18"/>
                  <w:szCs w:val="18"/>
                </w:rPr>
                <w:t>WPOM</w:t>
              </w:r>
            </w:hyperlink>
            <w:r w:rsidRPr="00E70A11">
              <w:rPr>
                <w:rStyle w:val="BookTitle"/>
                <w:rFonts w:ascii="Arial Narrow" w:hAnsi="Arial Narrow"/>
                <w:color w:val="000000" w:themeColor="text1"/>
                <w:sz w:val="18"/>
                <w:szCs w:val="18"/>
              </w:rPr>
              <w:t xml:space="preserve"> webpage</w:t>
            </w:r>
          </w:p>
        </w:tc>
        <w:tc>
          <w:tcPr>
            <w:tcW w:w="986" w:type="dxa"/>
            <w:gridSpan w:val="2"/>
            <w:tcBorders>
              <w:top w:val="single" w:sz="4" w:space="0" w:color="auto"/>
              <w:left w:val="single" w:sz="4" w:space="0" w:color="auto"/>
              <w:bottom w:val="single" w:sz="4" w:space="0" w:color="auto"/>
              <w:right w:val="single" w:sz="4" w:space="0" w:color="auto"/>
            </w:tcBorders>
          </w:tcPr>
          <w:p w14:paraId="576209D5" w14:textId="77777777" w:rsidR="00A56EE9" w:rsidRPr="00E70A11" w:rsidRDefault="00A56EE9" w:rsidP="00BB6AD5">
            <w:pPr>
              <w:pStyle w:val="Tablebulletlist"/>
              <w:rPr>
                <w:rStyle w:val="BookTitle"/>
              </w:rPr>
            </w:pPr>
            <w:r w:rsidRPr="00E70A11">
              <w:rPr>
                <w:rStyle w:val="BookTitle"/>
              </w:rPr>
              <w:t>Adequate</w:t>
            </w:r>
          </w:p>
        </w:tc>
        <w:tc>
          <w:tcPr>
            <w:tcW w:w="865" w:type="dxa"/>
            <w:gridSpan w:val="2"/>
            <w:tcBorders>
              <w:top w:val="single" w:sz="4" w:space="0" w:color="auto"/>
              <w:left w:val="single" w:sz="4" w:space="0" w:color="auto"/>
              <w:bottom w:val="single" w:sz="4" w:space="0" w:color="auto"/>
              <w:right w:val="single" w:sz="4" w:space="0" w:color="auto"/>
            </w:tcBorders>
          </w:tcPr>
          <w:p w14:paraId="576209D6" w14:textId="77777777" w:rsidR="00A56EE9" w:rsidRPr="00E70A11" w:rsidRDefault="00A56EE9" w:rsidP="00BB6AD5">
            <w:pPr>
              <w:pStyle w:val="Tablebulletlist"/>
              <w:rPr>
                <w:rStyle w:val="BookTitle"/>
              </w:rPr>
            </w:pPr>
            <w:r w:rsidRPr="00E70A11">
              <w:rPr>
                <w:rStyle w:val="BookTitle"/>
              </w:rPr>
              <w:t>Stable</w:t>
            </w:r>
          </w:p>
        </w:tc>
      </w:tr>
    </w:tbl>
    <w:p w14:paraId="576209D8" w14:textId="77777777" w:rsidR="00A56EE9" w:rsidRPr="00E70A11" w:rsidRDefault="00A56EE9" w:rsidP="00BB6AD5">
      <w:pPr>
        <w:rPr>
          <w:rFonts w:ascii="Arial Narrow" w:hAnsi="Arial Narrow"/>
          <w:sz w:val="18"/>
          <w:szCs w:val="18"/>
        </w:rPr>
      </w:pPr>
    </w:p>
    <w:p w14:paraId="576209D9" w14:textId="77777777" w:rsidR="00A56EE9" w:rsidRPr="00E70A11" w:rsidRDefault="00A56EE9" w:rsidP="00BB6AD5">
      <w:pPr>
        <w:rPr>
          <w:rFonts w:ascii="Arial Narrow" w:hAnsi="Arial Narrow"/>
          <w:sz w:val="18"/>
          <w:szCs w:val="18"/>
        </w:rPr>
      </w:pPr>
    </w:p>
    <w:p w14:paraId="576209DA" w14:textId="77777777" w:rsidR="00A56EE9" w:rsidRPr="00E70A11" w:rsidRDefault="00A56EE9" w:rsidP="00BB6AD5">
      <w:pPr>
        <w:rPr>
          <w:rFonts w:ascii="Arial Narrow" w:eastAsia="Calibri" w:hAnsi="Arial Narrow"/>
          <w:b/>
          <w:sz w:val="18"/>
          <w:szCs w:val="18"/>
        </w:rPr>
      </w:pPr>
      <w:r w:rsidRPr="00E70A11">
        <w:rPr>
          <w:rFonts w:ascii="Arial Narrow" w:eastAsia="Calibri" w:hAnsi="Arial Narrow"/>
          <w:b/>
          <w:sz w:val="18"/>
          <w:szCs w:val="18"/>
        </w:rPr>
        <w:br w:type="page"/>
      </w:r>
    </w:p>
    <w:p w14:paraId="576209DB" w14:textId="058F5C3C" w:rsidR="00A56EE9" w:rsidRPr="00185B8F" w:rsidRDefault="00A56EE9" w:rsidP="009C7D6F">
      <w:pPr>
        <w:pStyle w:val="Heading4"/>
      </w:pPr>
      <w:bookmarkStart w:id="233" w:name="_Toc522532014"/>
      <w:bookmarkStart w:id="234" w:name="_Toc525654481"/>
      <w:r>
        <w:t xml:space="preserve">Table </w:t>
      </w:r>
      <w:r>
        <w:rPr>
          <w:noProof/>
        </w:rPr>
        <w:fldChar w:fldCharType="begin"/>
      </w:r>
      <w:r>
        <w:rPr>
          <w:noProof/>
        </w:rPr>
        <w:instrText xml:space="preserve"> SEQ Table \* ARABIC </w:instrText>
      </w:r>
      <w:r>
        <w:rPr>
          <w:noProof/>
        </w:rPr>
        <w:fldChar w:fldCharType="separate"/>
      </w:r>
      <w:r w:rsidR="00A4170C">
        <w:rPr>
          <w:noProof/>
        </w:rPr>
        <w:t>36</w:t>
      </w:r>
      <w:r>
        <w:rPr>
          <w:noProof/>
        </w:rPr>
        <w:fldChar w:fldCharType="end"/>
      </w:r>
      <w:r>
        <w:t xml:space="preserve"> </w:t>
      </w:r>
      <w:r w:rsidRPr="00185B8F">
        <w:t xml:space="preserve">Calculation of grades for </w:t>
      </w:r>
      <w:r>
        <w:t>T</w:t>
      </w:r>
      <w:r w:rsidRPr="00185B8F">
        <w:t xml:space="preserve">raditional </w:t>
      </w:r>
      <w:r>
        <w:t>U</w:t>
      </w:r>
      <w:r w:rsidRPr="00185B8F">
        <w:t xml:space="preserve">se of </w:t>
      </w:r>
      <w:r>
        <w:t>M</w:t>
      </w:r>
      <w:r w:rsidRPr="00185B8F">
        <w:t xml:space="preserve">arine </w:t>
      </w:r>
      <w:r>
        <w:t>R</w:t>
      </w:r>
      <w:r w:rsidRPr="00185B8F">
        <w:t>esources</w:t>
      </w:r>
      <w:bookmarkEnd w:id="227"/>
      <w:bookmarkEnd w:id="233"/>
      <w:bookmarkEnd w:id="234"/>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36 Calculation of grades for Traditional Use of Marine Resources"/>
        <w:tblDescription w:val="Table showing the ratings,  justificaiton and evidence for each of the components for the management effectiveness for Traditional Use of Marine Resources.  Confidence in the assessment and trend since Outlook 2014 is also provided."/>
      </w:tblPr>
      <w:tblGrid>
        <w:gridCol w:w="1696"/>
        <w:gridCol w:w="851"/>
        <w:gridCol w:w="5245"/>
        <w:gridCol w:w="4819"/>
        <w:gridCol w:w="851"/>
        <w:gridCol w:w="992"/>
      </w:tblGrid>
      <w:tr w:rsidR="00A56EE9" w:rsidRPr="00E70A11" w14:paraId="576209E2"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9D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Component of Management</w:t>
            </w:r>
          </w:p>
        </w:tc>
        <w:tc>
          <w:tcPr>
            <w:tcW w:w="851" w:type="dxa"/>
            <w:tcBorders>
              <w:top w:val="single" w:sz="4" w:space="0" w:color="auto"/>
              <w:left w:val="single" w:sz="4" w:space="0" w:color="auto"/>
              <w:bottom w:val="single" w:sz="4" w:space="0" w:color="auto"/>
              <w:right w:val="single" w:sz="4" w:space="0" w:color="auto"/>
            </w:tcBorders>
          </w:tcPr>
          <w:p w14:paraId="576209D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Rating</w:t>
            </w:r>
          </w:p>
        </w:tc>
        <w:tc>
          <w:tcPr>
            <w:tcW w:w="5245" w:type="dxa"/>
            <w:tcBorders>
              <w:top w:val="single" w:sz="4" w:space="0" w:color="auto"/>
              <w:left w:val="single" w:sz="4" w:space="0" w:color="auto"/>
              <w:bottom w:val="single" w:sz="4" w:space="0" w:color="auto"/>
              <w:right w:val="single" w:sz="4" w:space="0" w:color="auto"/>
            </w:tcBorders>
          </w:tcPr>
          <w:p w14:paraId="576209D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Justification</w:t>
            </w:r>
          </w:p>
        </w:tc>
        <w:tc>
          <w:tcPr>
            <w:tcW w:w="4819" w:type="dxa"/>
            <w:tcBorders>
              <w:top w:val="single" w:sz="4" w:space="0" w:color="auto"/>
              <w:left w:val="single" w:sz="4" w:space="0" w:color="auto"/>
              <w:bottom w:val="single" w:sz="4" w:space="0" w:color="auto"/>
              <w:right w:val="single" w:sz="4" w:space="0" w:color="auto"/>
            </w:tcBorders>
          </w:tcPr>
          <w:p w14:paraId="576209D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Evidence/sources</w:t>
            </w:r>
          </w:p>
        </w:tc>
        <w:tc>
          <w:tcPr>
            <w:tcW w:w="851" w:type="dxa"/>
            <w:tcBorders>
              <w:top w:val="single" w:sz="4" w:space="0" w:color="auto"/>
              <w:left w:val="single" w:sz="4" w:space="0" w:color="auto"/>
              <w:bottom w:val="single" w:sz="4" w:space="0" w:color="auto"/>
              <w:right w:val="single" w:sz="4" w:space="0" w:color="auto"/>
            </w:tcBorders>
          </w:tcPr>
          <w:p w14:paraId="576209E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Confidence</w:t>
            </w:r>
          </w:p>
        </w:tc>
        <w:tc>
          <w:tcPr>
            <w:tcW w:w="992" w:type="dxa"/>
            <w:tcBorders>
              <w:top w:val="single" w:sz="4" w:space="0" w:color="auto"/>
              <w:left w:val="single" w:sz="4" w:space="0" w:color="auto"/>
              <w:bottom w:val="single" w:sz="4" w:space="0" w:color="auto"/>
              <w:right w:val="single" w:sz="4" w:space="0" w:color="auto"/>
            </w:tcBorders>
          </w:tcPr>
          <w:p w14:paraId="576209E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Trend</w:t>
            </w:r>
          </w:p>
        </w:tc>
      </w:tr>
      <w:tr w:rsidR="00A56EE9" w:rsidRPr="00E70A11" w14:paraId="576209E9"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EEECE1"/>
          </w:tcPr>
          <w:p w14:paraId="576209E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CONTEXT</w:t>
            </w:r>
          </w:p>
        </w:tc>
        <w:tc>
          <w:tcPr>
            <w:tcW w:w="851" w:type="dxa"/>
            <w:tcBorders>
              <w:top w:val="single" w:sz="4" w:space="0" w:color="auto"/>
              <w:left w:val="single" w:sz="4" w:space="0" w:color="auto"/>
              <w:bottom w:val="single" w:sz="4" w:space="0" w:color="auto"/>
              <w:right w:val="single" w:sz="4" w:space="0" w:color="auto"/>
            </w:tcBorders>
            <w:shd w:val="clear" w:color="auto" w:fill="EEECE1"/>
          </w:tcPr>
          <w:p w14:paraId="576209E4" w14:textId="77777777" w:rsidR="00A56EE9" w:rsidRPr="00E70A11" w:rsidRDefault="00A56EE9" w:rsidP="00BB6AD5">
            <w:pPr>
              <w:rPr>
                <w:rFonts w:ascii="Arial Narrow" w:hAnsi="Arial Narrow"/>
                <w:sz w:val="18"/>
                <w:szCs w:val="18"/>
              </w:rPr>
            </w:pPr>
          </w:p>
        </w:tc>
        <w:tc>
          <w:tcPr>
            <w:tcW w:w="5245" w:type="dxa"/>
            <w:tcBorders>
              <w:top w:val="single" w:sz="4" w:space="0" w:color="auto"/>
              <w:left w:val="single" w:sz="4" w:space="0" w:color="auto"/>
              <w:bottom w:val="single" w:sz="4" w:space="0" w:color="auto"/>
              <w:right w:val="single" w:sz="4" w:space="0" w:color="auto"/>
            </w:tcBorders>
            <w:shd w:val="clear" w:color="auto" w:fill="EEECE1"/>
          </w:tcPr>
          <w:p w14:paraId="576209E5" w14:textId="77777777" w:rsidR="00A56EE9" w:rsidRPr="00E70A11" w:rsidRDefault="00A56EE9" w:rsidP="00BB6AD5">
            <w:pPr>
              <w:rPr>
                <w:rFonts w:ascii="Arial Narrow" w:hAnsi="Arial Narrow"/>
                <w:sz w:val="18"/>
                <w:szCs w:val="18"/>
              </w:rPr>
            </w:pPr>
          </w:p>
        </w:tc>
        <w:tc>
          <w:tcPr>
            <w:tcW w:w="4819" w:type="dxa"/>
            <w:tcBorders>
              <w:top w:val="single" w:sz="4" w:space="0" w:color="auto"/>
              <w:left w:val="single" w:sz="4" w:space="0" w:color="auto"/>
              <w:bottom w:val="single" w:sz="4" w:space="0" w:color="auto"/>
              <w:right w:val="single" w:sz="4" w:space="0" w:color="auto"/>
            </w:tcBorders>
            <w:shd w:val="clear" w:color="auto" w:fill="EEECE1"/>
          </w:tcPr>
          <w:p w14:paraId="576209E6" w14:textId="77777777" w:rsidR="00A56EE9" w:rsidRPr="00E70A11" w:rsidRDefault="00A56EE9" w:rsidP="00BB6AD5">
            <w:pP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shd w:val="clear" w:color="auto" w:fill="EEECE1"/>
          </w:tcPr>
          <w:p w14:paraId="576209E7" w14:textId="77777777" w:rsidR="00A56EE9" w:rsidRPr="00E70A11" w:rsidRDefault="00A56EE9" w:rsidP="00BB6AD5">
            <w:pP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EEECE1"/>
          </w:tcPr>
          <w:p w14:paraId="576209E8" w14:textId="77777777" w:rsidR="00A56EE9" w:rsidRPr="00E70A11" w:rsidRDefault="00A56EE9" w:rsidP="00BB6AD5">
            <w:pPr>
              <w:rPr>
                <w:rFonts w:ascii="Arial Narrow" w:hAnsi="Arial Narrow"/>
                <w:sz w:val="18"/>
                <w:szCs w:val="18"/>
              </w:rPr>
            </w:pPr>
          </w:p>
        </w:tc>
      </w:tr>
      <w:tr w:rsidR="00A56EE9" w:rsidRPr="00E70A11" w14:paraId="576209F7"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9E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CO1</w:t>
            </w:r>
            <w:r>
              <w:rPr>
                <w:rFonts w:ascii="Arial Narrow" w:hAnsi="Arial Narrow"/>
                <w:sz w:val="18"/>
                <w:szCs w:val="18"/>
              </w:rPr>
              <w:t xml:space="preserve"> </w:t>
            </w:r>
            <w:r w:rsidRPr="00E70A11">
              <w:rPr>
                <w:rFonts w:ascii="Arial Narrow" w:hAnsi="Arial Narrow"/>
                <w:sz w:val="18"/>
                <w:szCs w:val="18"/>
              </w:rPr>
              <w:t xml:space="preserve">The values of the Great Barrier Reef relevant to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are understood by managers</w:t>
            </w:r>
          </w:p>
        </w:tc>
        <w:tc>
          <w:tcPr>
            <w:tcW w:w="851" w:type="dxa"/>
            <w:tcBorders>
              <w:top w:val="single" w:sz="4" w:space="0" w:color="auto"/>
              <w:left w:val="single" w:sz="4" w:space="0" w:color="auto"/>
              <w:bottom w:val="single" w:sz="4" w:space="0" w:color="auto"/>
              <w:right w:val="single" w:sz="4" w:space="0" w:color="auto"/>
            </w:tcBorders>
          </w:tcPr>
          <w:p w14:paraId="576209E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9EC" w14:textId="77777777" w:rsidR="00A56EE9" w:rsidRPr="00E70A11" w:rsidRDefault="00A56EE9" w:rsidP="00A11869">
            <w:pPr>
              <w:pStyle w:val="ListBullet"/>
              <w:numPr>
                <w:ilvl w:val="0"/>
                <w:numId w:val="24"/>
              </w:numPr>
            </w:pPr>
            <w:r w:rsidRPr="00E70A11">
              <w:t xml:space="preserve">Eight Traditional Use of Marine Resources Agreements and one marine Indigenous Land Use Agreement apply to approximately 24 per cent of the Great Barrier Reef Marine Park and include. </w:t>
            </w:r>
          </w:p>
          <w:p w14:paraId="576209ED" w14:textId="77777777" w:rsidR="00A56EE9" w:rsidRPr="00E70A11" w:rsidRDefault="00A56EE9" w:rsidP="00A11869">
            <w:pPr>
              <w:pStyle w:val="EndNoteBibliography"/>
              <w:numPr>
                <w:ilvl w:val="1"/>
                <w:numId w:val="24"/>
              </w:numPr>
              <w:spacing w:after="0"/>
              <w:ind w:left="1434" w:hanging="357"/>
              <w:rPr>
                <w:rFonts w:ascii="Arial Narrow" w:hAnsi="Arial Narrow"/>
                <w:sz w:val="18"/>
                <w:szCs w:val="18"/>
              </w:rPr>
            </w:pPr>
            <w:r w:rsidRPr="00E70A11">
              <w:rPr>
                <w:rFonts w:ascii="Arial Narrow" w:eastAsia="Calibri" w:hAnsi="Arial Narrow" w:cs="Times New Roman"/>
                <w:noProof w:val="0"/>
                <w:sz w:val="18"/>
                <w:szCs w:val="18"/>
                <w:lang w:val="en-AU" w:eastAsia="en-AU"/>
              </w:rPr>
              <w:t>Kuuku Ya’u People’s Indigenous Land Use Agreement</w:t>
            </w:r>
          </w:p>
          <w:p w14:paraId="576209EE" w14:textId="77777777" w:rsidR="00A56EE9" w:rsidRPr="00E70A11" w:rsidRDefault="00A56EE9" w:rsidP="00A11869">
            <w:pPr>
              <w:pStyle w:val="EndNoteBibliography"/>
              <w:numPr>
                <w:ilvl w:val="1"/>
                <w:numId w:val="24"/>
              </w:numPr>
              <w:rPr>
                <w:rFonts w:ascii="Arial Narrow" w:eastAsia="Calibri" w:hAnsi="Arial Narrow" w:cs="Times New Roman"/>
                <w:sz w:val="18"/>
                <w:szCs w:val="18"/>
                <w:lang w:val="en-AU" w:eastAsia="en-AU"/>
              </w:rPr>
            </w:pPr>
            <w:r w:rsidRPr="00E70A11">
              <w:rPr>
                <w:rFonts w:ascii="Arial Narrow" w:eastAsia="Calibri" w:hAnsi="Arial Narrow" w:cs="Times New Roman"/>
                <w:noProof w:val="0"/>
                <w:sz w:val="18"/>
                <w:szCs w:val="18"/>
                <w:lang w:val="en-AU" w:eastAsia="en-AU"/>
              </w:rPr>
              <w:t>Traditional Use of Marine Resources Agreements for Girringun region; Woppaburra; Wuthathi; Port Curtis Coral Coast; Lama Lama; Yuku-Baja-Muliku, Gunggandji (Cairns area), Yirriganydji (Cairns-Port Douglas).</w:t>
            </w:r>
          </w:p>
          <w:p w14:paraId="576209E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lang w:eastAsia="en-AU"/>
              </w:rPr>
              <w:t>I</w:t>
            </w:r>
            <w:r w:rsidRPr="00E70A11">
              <w:rPr>
                <w:rFonts w:ascii="Arial Narrow" w:eastAsia="Calibri" w:hAnsi="Arial Narrow"/>
                <w:sz w:val="18"/>
                <w:szCs w:val="18"/>
              </w:rPr>
              <w:t xml:space="preserve">nformation about the values relevant to the </w:t>
            </w:r>
            <w:r>
              <w:rPr>
                <w:rFonts w:ascii="Arial Narrow" w:eastAsia="Calibri" w:hAnsi="Arial Narrow"/>
                <w:sz w:val="18"/>
                <w:szCs w:val="18"/>
              </w:rPr>
              <w:t>Traditional</w:t>
            </w:r>
            <w:r w:rsidRPr="00E70A11">
              <w:rPr>
                <w:rFonts w:ascii="Arial Narrow" w:eastAsia="Calibri" w:hAnsi="Arial Narrow"/>
                <w:sz w:val="18"/>
                <w:szCs w:val="18"/>
              </w:rPr>
              <w:t xml:space="preserve"> Use of Marine</w:t>
            </w:r>
            <w:r>
              <w:rPr>
                <w:rFonts w:ascii="Arial Narrow" w:eastAsia="Calibri" w:hAnsi="Arial Narrow"/>
                <w:sz w:val="18"/>
                <w:szCs w:val="18"/>
              </w:rPr>
              <w:t xml:space="preserve"> </w:t>
            </w:r>
            <w:r w:rsidRPr="00E70A11">
              <w:rPr>
                <w:rFonts w:ascii="Arial Narrow" w:eastAsia="Calibri" w:hAnsi="Arial Narrow"/>
                <w:sz w:val="18"/>
                <w:szCs w:val="18"/>
              </w:rPr>
              <w:t>Resources includes biodiversity information about dugong, turtles, and other marine species. As spelt out in draft TUMRA policy, this information is quite good and is improving, based on recent scientific surveys, and is understood by managers both within GBRMPA/ QPWS and Traditional Owner groups.</w:t>
            </w:r>
          </w:p>
          <w:p w14:paraId="576209F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However, knowledge of some places where there are no formal TUMRAs is weaker, and knowledge is focussed on dugong and turtles with some other species little understood.</w:t>
            </w:r>
          </w:p>
        </w:tc>
        <w:tc>
          <w:tcPr>
            <w:tcW w:w="4819" w:type="dxa"/>
            <w:tcBorders>
              <w:top w:val="single" w:sz="4" w:space="0" w:color="auto"/>
              <w:left w:val="single" w:sz="4" w:space="0" w:color="auto"/>
              <w:bottom w:val="single" w:sz="4" w:space="0" w:color="auto"/>
              <w:right w:val="single" w:sz="4" w:space="0" w:color="auto"/>
            </w:tcBorders>
          </w:tcPr>
          <w:p w14:paraId="576209F1" w14:textId="77777777" w:rsidR="00A56EE9" w:rsidRPr="00E70A11" w:rsidRDefault="008B5998" w:rsidP="00A11869">
            <w:pPr>
              <w:pStyle w:val="ListParagraph"/>
              <w:numPr>
                <w:ilvl w:val="0"/>
                <w:numId w:val="132"/>
              </w:numPr>
              <w:spacing w:after="0" w:line="276" w:lineRule="auto"/>
              <w:rPr>
                <w:rStyle w:val="Hyperlink"/>
                <w:rFonts w:ascii="Arial Narrow" w:hAnsi="Arial Narrow"/>
                <w:sz w:val="18"/>
                <w:szCs w:val="18"/>
              </w:rPr>
            </w:pPr>
            <w:hyperlink r:id="rId1948" w:history="1">
              <w:r w:rsidR="00A56EE9" w:rsidRPr="00E70A11">
                <w:rPr>
                  <w:rStyle w:val="Hyperlink"/>
                  <w:rFonts w:ascii="Arial Narrow" w:hAnsi="Arial Narrow"/>
                  <w:sz w:val="18"/>
                  <w:szCs w:val="18"/>
                </w:rPr>
                <w:t>Woppaburra Traditional Owner heritage assessment guidelines</w:t>
              </w:r>
            </w:hyperlink>
            <w:r w:rsidR="00A56EE9" w:rsidRPr="00E70A11">
              <w:rPr>
                <w:rStyle w:val="Hyperlink"/>
                <w:rFonts w:ascii="Arial Narrow" w:hAnsi="Arial Narrow"/>
                <w:sz w:val="18"/>
                <w:szCs w:val="18"/>
              </w:rPr>
              <w:t>.</w:t>
            </w:r>
          </w:p>
          <w:p w14:paraId="576209F2" w14:textId="77777777" w:rsidR="00A56EE9" w:rsidRPr="00E70A11" w:rsidRDefault="008B5998" w:rsidP="00A11869">
            <w:pPr>
              <w:pStyle w:val="ListParagraph"/>
              <w:numPr>
                <w:ilvl w:val="0"/>
                <w:numId w:val="132"/>
              </w:numPr>
              <w:spacing w:after="0" w:line="276" w:lineRule="auto"/>
              <w:rPr>
                <w:rStyle w:val="Hyperlink"/>
                <w:rFonts w:ascii="Arial Narrow" w:hAnsi="Arial Narrow"/>
                <w:sz w:val="18"/>
                <w:szCs w:val="18"/>
              </w:rPr>
            </w:pPr>
            <w:hyperlink r:id="rId1949" w:history="1">
              <w:r w:rsidR="00A56EE9" w:rsidRPr="00E70A11">
                <w:rPr>
                  <w:rStyle w:val="Hyperlink"/>
                  <w:rFonts w:ascii="Arial Narrow" w:hAnsi="Arial Narrow"/>
                  <w:sz w:val="18"/>
                  <w:szCs w:val="18"/>
                </w:rPr>
                <w:t>Traditional Owner heritage assessment guidelines</w:t>
              </w:r>
            </w:hyperlink>
          </w:p>
          <w:p w14:paraId="576209F3" w14:textId="77777777" w:rsidR="00A56EE9" w:rsidRPr="00E70A11" w:rsidRDefault="00A56EE9" w:rsidP="00A11869">
            <w:pPr>
              <w:pStyle w:val="ListParagraph"/>
              <w:numPr>
                <w:ilvl w:val="0"/>
                <w:numId w:val="132"/>
              </w:numPr>
              <w:spacing w:after="0" w:line="276" w:lineRule="auto"/>
              <w:rPr>
                <w:rFonts w:ascii="Arial Narrow" w:hAnsi="Arial Narrow"/>
                <w:sz w:val="18"/>
                <w:szCs w:val="18"/>
              </w:rPr>
            </w:pPr>
            <w:r w:rsidRPr="00E70A11">
              <w:rPr>
                <w:rFonts w:ascii="Arial Narrow" w:hAnsi="Arial Narrow"/>
                <w:sz w:val="18"/>
                <w:szCs w:val="18"/>
              </w:rPr>
              <w:t xml:space="preserve">Independent assessment of Land and Sea Country Partnerships Program 2017 by Knott and Associates </w:t>
            </w:r>
          </w:p>
          <w:p w14:paraId="576209F4" w14:textId="77777777" w:rsidR="00A56EE9" w:rsidRPr="00AC4AB4" w:rsidRDefault="008B5998" w:rsidP="00A11869">
            <w:pPr>
              <w:pStyle w:val="ListParagraph"/>
              <w:numPr>
                <w:ilvl w:val="0"/>
                <w:numId w:val="132"/>
              </w:numPr>
              <w:spacing w:after="0" w:line="276" w:lineRule="auto"/>
              <w:rPr>
                <w:rFonts w:ascii="Arial Narrow" w:hAnsi="Arial Narrow"/>
                <w:sz w:val="18"/>
                <w:szCs w:val="18"/>
              </w:rPr>
            </w:pPr>
            <w:hyperlink r:id="rId1950" w:history="1">
              <w:r w:rsidR="00A56EE9" w:rsidRPr="00E70A11">
                <w:rPr>
                  <w:rStyle w:val="Hyperlink"/>
                  <w:rFonts w:ascii="Arial Narrow" w:hAnsi="Arial Narrow"/>
                  <w:sz w:val="18"/>
                  <w:szCs w:val="18"/>
                </w:rPr>
                <w:t>TUMRA video 2015</w:t>
              </w:r>
            </w:hyperlink>
          </w:p>
        </w:tc>
        <w:tc>
          <w:tcPr>
            <w:tcW w:w="851" w:type="dxa"/>
            <w:tcBorders>
              <w:top w:val="single" w:sz="4" w:space="0" w:color="auto"/>
              <w:left w:val="single" w:sz="4" w:space="0" w:color="auto"/>
              <w:bottom w:val="single" w:sz="4" w:space="0" w:color="auto"/>
              <w:right w:val="single" w:sz="4" w:space="0" w:color="auto"/>
            </w:tcBorders>
          </w:tcPr>
          <w:p w14:paraId="576209F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9F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02"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9F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CO2</w:t>
            </w:r>
            <w:r>
              <w:rPr>
                <w:rFonts w:ascii="Arial Narrow" w:hAnsi="Arial Narrow"/>
                <w:sz w:val="18"/>
                <w:szCs w:val="18"/>
              </w:rPr>
              <w:t xml:space="preserve"> </w:t>
            </w:r>
            <w:r w:rsidRPr="00E70A11">
              <w:rPr>
                <w:rFonts w:ascii="Arial Narrow" w:hAnsi="Arial Narrow"/>
                <w:sz w:val="18"/>
                <w:szCs w:val="18"/>
              </w:rPr>
              <w:t xml:space="preserve">The current condition and trend of values relevant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are known by managers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9F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9F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While knowledge of the condition and trend of dugong and turtles is still good, rapid changes due to climate change and bleaching mean that conditions can change very rapidly.</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9FB" w14:textId="7B4AD16F"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TUMRA video 2016/17 – monitoring programs being undertaken by TUMRA groups to monitor condition and trend: </w:t>
            </w:r>
            <w:hyperlink r:id="rId1951" w:tooltip="document link" w:history="1">
              <w:r w:rsidRPr="00E70A11">
                <w:rPr>
                  <w:rStyle w:val="Hyperlink"/>
                  <w:rFonts w:ascii="Arial Narrow" w:hAnsi="Arial Narrow"/>
                  <w:sz w:val="18"/>
                  <w:szCs w:val="18"/>
                </w:rPr>
                <w:t>https://www.youtube.com/watch?v=Y2Y_gHuklyc</w:t>
              </w:r>
            </w:hyperlink>
          </w:p>
          <w:p w14:paraId="576209F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952" w:history="1">
              <w:r w:rsidR="00A56EE9" w:rsidRPr="00E70A11">
                <w:rPr>
                  <w:rStyle w:val="Hyperlink"/>
                  <w:rFonts w:ascii="Arial Narrow" w:hAnsi="Arial Narrow"/>
                  <w:sz w:val="18"/>
                  <w:szCs w:val="18"/>
                </w:rPr>
                <w:t>Cape York NRM 2016 fact sheet</w:t>
              </w:r>
            </w:hyperlink>
            <w:r w:rsidR="00A56EE9" w:rsidRPr="00E70A11">
              <w:rPr>
                <w:rFonts w:ascii="Arial Narrow" w:hAnsi="Arial Narrow"/>
                <w:sz w:val="18"/>
                <w:szCs w:val="18"/>
              </w:rPr>
              <w:t xml:space="preserve">: </w:t>
            </w:r>
          </w:p>
          <w:p w14:paraId="576209FD"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Australian Coral Reef Society TUMRA contribution about science and monitoring: </w:t>
            </w:r>
          </w:p>
          <w:p w14:paraId="576209F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Independent assessment of Land and Sea Country Partnerships Program 2017 by Knott and Associates (available 16 October 2017).</w:t>
            </w:r>
          </w:p>
          <w:p w14:paraId="576209FF" w14:textId="77777777" w:rsidR="00A56EE9" w:rsidRPr="00E70A11" w:rsidRDefault="00A56EE9" w:rsidP="00A11869">
            <w:pPr>
              <w:pStyle w:val="ListParagraph"/>
              <w:numPr>
                <w:ilvl w:val="0"/>
                <w:numId w:val="24"/>
              </w:numPr>
              <w:spacing w:after="0" w:line="276" w:lineRule="auto"/>
              <w:rPr>
                <w:rFonts w:ascii="Arial Narrow" w:hAnsi="Arial Narrow"/>
                <w:sz w:val="18"/>
                <w:szCs w:val="18"/>
              </w:rPr>
            </w:pPr>
            <w:r w:rsidRPr="00E70A11">
              <w:rPr>
                <w:rFonts w:ascii="Arial Narrow" w:hAnsi="Arial Narrow"/>
                <w:sz w:val="18"/>
                <w:szCs w:val="18"/>
              </w:rPr>
              <w:t>FMP Annual Business Plan 2016-17; FMP Business Strategy 2017-2021</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0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A0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Declining</w:t>
            </w:r>
          </w:p>
        </w:tc>
      </w:tr>
      <w:tr w:rsidR="00A56EE9" w:rsidRPr="00E70A11" w14:paraId="57620A10"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A0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CO3</w:t>
            </w:r>
            <w:r>
              <w:rPr>
                <w:rFonts w:ascii="Arial Narrow" w:hAnsi="Arial Narrow"/>
                <w:sz w:val="18"/>
                <w:szCs w:val="18"/>
              </w:rPr>
              <w:t xml:space="preserve"> </w:t>
            </w:r>
            <w:r w:rsidRPr="00E70A11">
              <w:rPr>
                <w:rFonts w:ascii="Arial Narrow" w:hAnsi="Arial Narrow"/>
                <w:sz w:val="18"/>
                <w:szCs w:val="18"/>
              </w:rPr>
              <w:t xml:space="preserve">Impacts (direct, indirect and cumulative) associated with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are understood by managers.</w:t>
            </w:r>
          </w:p>
        </w:tc>
        <w:tc>
          <w:tcPr>
            <w:tcW w:w="851" w:type="dxa"/>
            <w:tcBorders>
              <w:top w:val="single" w:sz="4" w:space="0" w:color="auto"/>
              <w:left w:val="single" w:sz="4" w:space="0" w:color="auto"/>
              <w:bottom w:val="single" w:sz="4" w:space="0" w:color="auto"/>
              <w:right w:val="single" w:sz="4" w:space="0" w:color="auto"/>
            </w:tcBorders>
          </w:tcPr>
          <w:p w14:paraId="57620A0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A0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Impacts attributable to Traditional Use of Marine</w:t>
            </w:r>
            <w:r>
              <w:rPr>
                <w:rFonts w:ascii="Arial Narrow" w:eastAsia="Calibri" w:hAnsi="Arial Narrow"/>
                <w:sz w:val="18"/>
                <w:szCs w:val="18"/>
              </w:rPr>
              <w:t xml:space="preserve"> </w:t>
            </w:r>
            <w:r w:rsidRPr="00E70A11">
              <w:rPr>
                <w:rFonts w:ascii="Arial Narrow" w:eastAsia="Calibri" w:hAnsi="Arial Narrow"/>
                <w:sz w:val="18"/>
                <w:szCs w:val="18"/>
              </w:rPr>
              <w:t xml:space="preserve">Resources undertaken according to customs and traditions are considered to have only minor or localised effects. This is distinct from illegal poaching of species of conservation concern undertaken without the customary approval of the relevant Traditional Owners. </w:t>
            </w:r>
          </w:p>
          <w:p w14:paraId="57620A0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Some direct impacts to the capacity for Traditional Owners to use the Reef (such as conflicting use and disturbance to cultural sites) are known and some can be managed through existing planning tools and permits. </w:t>
            </w:r>
          </w:p>
          <w:p w14:paraId="57620A0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Impacts such as coastal development, habitat degradation, boat strikes, </w:t>
            </w:r>
            <w:proofErr w:type="gramStart"/>
            <w:r w:rsidRPr="00E70A11">
              <w:rPr>
                <w:rFonts w:ascii="Arial Narrow" w:eastAsia="Calibri" w:hAnsi="Arial Narrow"/>
                <w:sz w:val="18"/>
                <w:szCs w:val="18"/>
              </w:rPr>
              <w:t>pollution</w:t>
            </w:r>
            <w:proofErr w:type="gramEnd"/>
            <w:r w:rsidRPr="00E70A11">
              <w:rPr>
                <w:rFonts w:ascii="Arial Narrow" w:eastAsia="Calibri" w:hAnsi="Arial Narrow"/>
                <w:sz w:val="18"/>
                <w:szCs w:val="18"/>
              </w:rPr>
              <w:t>, netting and sedimentation as well as legacy impacts have affected Traditional Owners’ use of the marine environment.</w:t>
            </w:r>
          </w:p>
          <w:p w14:paraId="57620A0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Reassessment of TUMRA take limits informed by the latest science has put in place sustainable hunting limits</w:t>
            </w:r>
          </w:p>
          <w:p w14:paraId="57620A0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have been some recent examples (2015-16) of disputes in multiple-use areas where the activities of tourism operators and visitors conflicts with Traditional Owner cultural use of marine resources in the sea country areas where they express their native title rights. Some of these tensions have been relieved by the Gunggandji TUMRA signed in June 2016.</w:t>
            </w:r>
          </w:p>
          <w:p w14:paraId="57620A0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 the four years to 2016, four cases of alleged cruelty to turtles and dugongs were reported, but there was insufficient evidence in all cases to mount any investigation.</w:t>
            </w:r>
          </w:p>
        </w:tc>
        <w:tc>
          <w:tcPr>
            <w:tcW w:w="4819" w:type="dxa"/>
            <w:tcBorders>
              <w:top w:val="single" w:sz="4" w:space="0" w:color="auto"/>
              <w:left w:val="single" w:sz="4" w:space="0" w:color="auto"/>
              <w:bottom w:val="single" w:sz="4" w:space="0" w:color="auto"/>
              <w:right w:val="single" w:sz="4" w:space="0" w:color="auto"/>
            </w:tcBorders>
          </w:tcPr>
          <w:p w14:paraId="57620A0B" w14:textId="77777777" w:rsidR="00A56EE9" w:rsidRPr="00E70A11" w:rsidRDefault="008B5998" w:rsidP="00A11869">
            <w:pPr>
              <w:pStyle w:val="ListParagraph"/>
              <w:numPr>
                <w:ilvl w:val="0"/>
                <w:numId w:val="24"/>
              </w:numPr>
              <w:spacing w:after="200" w:line="276" w:lineRule="auto"/>
              <w:rPr>
                <w:rFonts w:ascii="Arial Narrow" w:hAnsi="Arial Narrow"/>
                <w:sz w:val="18"/>
                <w:szCs w:val="18"/>
                <w:u w:val="single"/>
              </w:rPr>
            </w:pPr>
            <w:hyperlink r:id="rId1953" w:history="1">
              <w:r w:rsidR="00A56EE9" w:rsidRPr="00E70A11">
                <w:rPr>
                  <w:rStyle w:val="Hyperlink"/>
                  <w:rFonts w:ascii="Arial Narrow" w:hAnsi="Arial Narrow"/>
                  <w:sz w:val="18"/>
                  <w:szCs w:val="18"/>
                </w:rPr>
                <w:t>Dugong and turtle surveys show traditional hunting is not the greatest threat to turtle and dugongs:</w:t>
              </w:r>
            </w:hyperlink>
            <w:r w:rsidR="00A56EE9" w:rsidRPr="00E70A11">
              <w:rPr>
                <w:rFonts w:ascii="Arial Narrow" w:hAnsi="Arial Narrow"/>
                <w:sz w:val="18"/>
                <w:szCs w:val="18"/>
              </w:rPr>
              <w:t xml:space="preserve"> </w:t>
            </w:r>
          </w:p>
          <w:p w14:paraId="57620A0C" w14:textId="77777777" w:rsidR="00A56EE9" w:rsidRPr="00E70A11" w:rsidRDefault="008B5998" w:rsidP="00A11869">
            <w:pPr>
              <w:pStyle w:val="ListParagraph"/>
              <w:numPr>
                <w:ilvl w:val="0"/>
                <w:numId w:val="24"/>
              </w:numPr>
              <w:spacing w:after="200" w:line="276" w:lineRule="auto"/>
              <w:rPr>
                <w:rFonts w:ascii="Arial Narrow" w:hAnsi="Arial Narrow"/>
                <w:sz w:val="18"/>
                <w:szCs w:val="18"/>
              </w:rPr>
            </w:pPr>
            <w:hyperlink r:id="rId1954" w:history="1">
              <w:r w:rsidR="00A56EE9" w:rsidRPr="00E70A11">
                <w:rPr>
                  <w:rStyle w:val="Hyperlink"/>
                  <w:rFonts w:ascii="Arial Narrow" w:hAnsi="Arial Narrow"/>
                  <w:sz w:val="18"/>
                  <w:szCs w:val="18"/>
                </w:rPr>
                <w:t>Animal care and protection and traditional hunting FACT SHEET 2016</w:t>
              </w:r>
            </w:hyperlink>
            <w:r w:rsidR="00A56EE9" w:rsidRPr="00E70A11">
              <w:rPr>
                <w:rFonts w:ascii="Arial Narrow" w:hAnsi="Arial Narrow"/>
                <w:sz w:val="18"/>
                <w:szCs w:val="18"/>
              </w:rPr>
              <w:t xml:space="preserve"> </w:t>
            </w:r>
          </w:p>
          <w:p w14:paraId="57620A0D" w14:textId="77777777" w:rsidR="00A56EE9" w:rsidRPr="00AC4AB4"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Workshops</w:t>
            </w:r>
          </w:p>
        </w:tc>
        <w:tc>
          <w:tcPr>
            <w:tcW w:w="851" w:type="dxa"/>
            <w:tcBorders>
              <w:top w:val="single" w:sz="4" w:space="0" w:color="auto"/>
              <w:left w:val="single" w:sz="4" w:space="0" w:color="auto"/>
              <w:bottom w:val="single" w:sz="4" w:space="0" w:color="auto"/>
              <w:right w:val="single" w:sz="4" w:space="0" w:color="auto"/>
            </w:tcBorders>
          </w:tcPr>
          <w:p w14:paraId="57620A0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A0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1B"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A1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CO4</w:t>
            </w:r>
            <w:r>
              <w:rPr>
                <w:rFonts w:ascii="Arial Narrow" w:hAnsi="Arial Narrow"/>
                <w:sz w:val="18"/>
                <w:szCs w:val="18"/>
              </w:rPr>
              <w:t xml:space="preserve"> </w:t>
            </w:r>
            <w:r w:rsidRPr="00E70A11">
              <w:rPr>
                <w:rFonts w:ascii="Arial Narrow" w:hAnsi="Arial Narrow"/>
                <w:sz w:val="18"/>
                <w:szCs w:val="18"/>
              </w:rPr>
              <w:t xml:space="preserve">The broader (national and international) level influences relevant to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are understood by managers.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1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A1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is a good understanding by managers in GBRMPA, the Field Management Program and Traditional Owner groups of the legislation and policies relating to both Native Title Rights and the conservation of the threatened species, and to international obligations in this regard.</w:t>
            </w:r>
          </w:p>
          <w:p w14:paraId="57620A1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Traditional Owners have attended significant international meetings such as the 2016 World Conservation Congress and the 2017 International Marine Protected Areas Congress, and have reported back to GBRMPA and to their communities.</w:t>
            </w:r>
          </w:p>
          <w:p w14:paraId="57620A1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There is increased awareness of biosecurity and animal welfare issues.</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A16" w14:textId="77777777" w:rsidR="00A56EE9" w:rsidRPr="00E70A11" w:rsidRDefault="00A56EE9" w:rsidP="00A11869">
            <w:pPr>
              <w:pStyle w:val="EndNoteBibliography"/>
              <w:numPr>
                <w:ilvl w:val="0"/>
                <w:numId w:val="24"/>
              </w:numPr>
              <w:spacing w:after="0"/>
              <w:ind w:left="357" w:hanging="357"/>
              <w:rPr>
                <w:rFonts w:ascii="Arial Narrow" w:eastAsia="Times New Roman" w:hAnsi="Arial Narrow"/>
                <w:sz w:val="18"/>
                <w:szCs w:val="18"/>
                <w:lang w:val="en-AU" w:eastAsia="en-AU"/>
              </w:rPr>
            </w:pPr>
            <w:r w:rsidRPr="00E70A11">
              <w:rPr>
                <w:rFonts w:ascii="Arial Narrow" w:eastAsia="Times New Roman" w:hAnsi="Arial Narrow"/>
                <w:noProof w:val="0"/>
                <w:sz w:val="18"/>
                <w:szCs w:val="18"/>
                <w:lang w:val="en-AU" w:eastAsia="en-AU"/>
              </w:rPr>
              <w:t xml:space="preserve">Notes from meetings and conferences </w:t>
            </w:r>
          </w:p>
          <w:p w14:paraId="57620A17" w14:textId="77777777" w:rsidR="00A56EE9" w:rsidRPr="00E70A11" w:rsidRDefault="008B5998" w:rsidP="00A11869">
            <w:pPr>
              <w:pStyle w:val="EndNoteBibliography"/>
              <w:numPr>
                <w:ilvl w:val="0"/>
                <w:numId w:val="24"/>
              </w:numPr>
              <w:spacing w:after="0"/>
              <w:ind w:left="357" w:hanging="357"/>
              <w:rPr>
                <w:rStyle w:val="Hyperlink"/>
                <w:rFonts w:ascii="Arial Narrow" w:eastAsia="Times New Roman" w:hAnsi="Arial Narrow"/>
                <w:sz w:val="18"/>
                <w:szCs w:val="18"/>
                <w:lang w:eastAsia="en-AU"/>
              </w:rPr>
            </w:pPr>
            <w:hyperlink r:id="rId1955" w:history="1">
              <w:r w:rsidR="00A56EE9" w:rsidRPr="00E70A11">
                <w:rPr>
                  <w:rStyle w:val="Hyperlink"/>
                  <w:rFonts w:ascii="Arial Narrow" w:eastAsia="Times New Roman" w:hAnsi="Arial Narrow"/>
                  <w:sz w:val="18"/>
                  <w:szCs w:val="18"/>
                  <w:lang w:eastAsia="en-AU"/>
                </w:rPr>
                <w:t>Draft Aboriginal and Islander Heritage Strategy</w:t>
              </w:r>
            </w:hyperlink>
          </w:p>
          <w:p w14:paraId="57620A18" w14:textId="77777777" w:rsidR="00A56EE9" w:rsidRPr="00AC4AB4" w:rsidRDefault="008B5998" w:rsidP="00A11869">
            <w:pPr>
              <w:pStyle w:val="EndNoteBibliography"/>
              <w:numPr>
                <w:ilvl w:val="0"/>
                <w:numId w:val="24"/>
              </w:numPr>
              <w:spacing w:after="0"/>
              <w:ind w:left="357" w:hanging="357"/>
              <w:rPr>
                <w:rFonts w:ascii="Arial Narrow" w:hAnsi="Arial Narrow"/>
                <w:sz w:val="18"/>
                <w:szCs w:val="18"/>
              </w:rPr>
            </w:pPr>
            <w:hyperlink r:id="rId1956" w:history="1">
              <w:r w:rsidR="00A56EE9" w:rsidRPr="00E70A11">
                <w:rPr>
                  <w:rStyle w:val="Hyperlink"/>
                  <w:rFonts w:ascii="Arial Narrow" w:eastAsia="Times New Roman" w:hAnsi="Arial Narrow"/>
                  <w:sz w:val="18"/>
                  <w:szCs w:val="18"/>
                  <w:lang w:eastAsia="en-AU"/>
                </w:rPr>
                <w:t>Reef 2050 Plan</w:t>
              </w:r>
            </w:hyperlink>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1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A1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27"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A1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CO5</w:t>
            </w:r>
            <w:r>
              <w:rPr>
                <w:rFonts w:ascii="Arial Narrow" w:hAnsi="Arial Narrow"/>
                <w:sz w:val="18"/>
                <w:szCs w:val="18"/>
              </w:rPr>
              <w:t xml:space="preserve"> </w:t>
            </w:r>
            <w:r w:rsidRPr="00E70A11">
              <w:rPr>
                <w:rFonts w:ascii="Arial Narrow" w:hAnsi="Arial Narrow"/>
                <w:sz w:val="18"/>
                <w:szCs w:val="18"/>
              </w:rPr>
              <w:t xml:space="preserve">The stakeholders relevant to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are well known by managers.</w:t>
            </w:r>
          </w:p>
        </w:tc>
        <w:tc>
          <w:tcPr>
            <w:tcW w:w="851" w:type="dxa"/>
            <w:tcBorders>
              <w:top w:val="single" w:sz="4" w:space="0" w:color="auto"/>
              <w:left w:val="single" w:sz="4" w:space="0" w:color="auto"/>
              <w:bottom w:val="single" w:sz="4" w:space="0" w:color="auto"/>
              <w:right w:val="single" w:sz="4" w:space="0" w:color="auto"/>
            </w:tcBorders>
          </w:tcPr>
          <w:p w14:paraId="57620A1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A1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bookmarkStart w:id="235" w:name="_Hlk506645114"/>
            <w:r w:rsidRPr="00E70A11">
              <w:rPr>
                <w:rFonts w:ascii="Arial Narrow" w:eastAsia="Calibri" w:hAnsi="Arial Narrow"/>
                <w:sz w:val="18"/>
                <w:szCs w:val="18"/>
              </w:rPr>
              <w:t xml:space="preserve">There is strong engagement by both GBRMPA and field management staff with Traditional Owner groups in relation to </w:t>
            </w:r>
            <w:r>
              <w:rPr>
                <w:rFonts w:ascii="Arial Narrow" w:eastAsia="Calibri" w:hAnsi="Arial Narrow"/>
                <w:sz w:val="18"/>
                <w:szCs w:val="18"/>
              </w:rPr>
              <w:t>Traditional</w:t>
            </w:r>
            <w:r w:rsidRPr="00E70A11">
              <w:rPr>
                <w:rFonts w:ascii="Arial Narrow" w:eastAsia="Calibri" w:hAnsi="Arial Narrow"/>
                <w:sz w:val="18"/>
                <w:szCs w:val="18"/>
              </w:rPr>
              <w:t xml:space="preserve"> Use of Marine</w:t>
            </w:r>
            <w:r>
              <w:rPr>
                <w:rFonts w:ascii="Arial Narrow" w:eastAsia="Calibri" w:hAnsi="Arial Narrow"/>
                <w:sz w:val="18"/>
                <w:szCs w:val="18"/>
              </w:rPr>
              <w:t xml:space="preserve"> </w:t>
            </w:r>
            <w:r w:rsidRPr="00E70A11">
              <w:rPr>
                <w:rFonts w:ascii="Arial Narrow" w:eastAsia="Calibri" w:hAnsi="Arial Narrow"/>
                <w:sz w:val="18"/>
                <w:szCs w:val="18"/>
              </w:rPr>
              <w:t xml:space="preserve">Resources. However, there </w:t>
            </w:r>
            <w:r>
              <w:rPr>
                <w:rFonts w:ascii="Arial Narrow" w:eastAsia="Calibri" w:hAnsi="Arial Narrow"/>
                <w:sz w:val="18"/>
                <w:szCs w:val="18"/>
              </w:rPr>
              <w:t>has been</w:t>
            </w:r>
            <w:r w:rsidRPr="00E70A11">
              <w:rPr>
                <w:rFonts w:ascii="Arial Narrow" w:eastAsia="Calibri" w:hAnsi="Arial Narrow"/>
                <w:sz w:val="18"/>
                <w:szCs w:val="18"/>
              </w:rPr>
              <w:t xml:space="preserve"> some concern that the capacity of GBRMPA to engage on a continuing basis, rather than being focussed on meeting targets for new agreements, is declining. </w:t>
            </w:r>
            <w:r>
              <w:rPr>
                <w:rFonts w:ascii="Arial Narrow" w:eastAsia="Calibri" w:hAnsi="Arial Narrow"/>
                <w:sz w:val="18"/>
                <w:szCs w:val="18"/>
              </w:rPr>
              <w:t>New funding announced in 2018 should boose capacity to engage.</w:t>
            </w:r>
          </w:p>
          <w:bookmarkEnd w:id="235"/>
          <w:p w14:paraId="57620A1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Traditional Owners have spent an increased time on field vessels, increasing the level of communication and understanding between them and other field management staff.</w:t>
            </w:r>
          </w:p>
          <w:p w14:paraId="57620A2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Traditional Owners have also been heavily involved in planning such as for Reef 2050, the Aboriginal and Torres Strait Islander Heritage Strategy and Blueprint for the Reef as well as more local initiatives such as the Woppaburra guidelines and TUMRA agreements and contracts.</w:t>
            </w:r>
          </w:p>
        </w:tc>
        <w:tc>
          <w:tcPr>
            <w:tcW w:w="4819" w:type="dxa"/>
            <w:tcBorders>
              <w:top w:val="single" w:sz="4" w:space="0" w:color="auto"/>
              <w:left w:val="single" w:sz="4" w:space="0" w:color="auto"/>
              <w:bottom w:val="single" w:sz="4" w:space="0" w:color="auto"/>
              <w:right w:val="single" w:sz="4" w:space="0" w:color="auto"/>
            </w:tcBorders>
          </w:tcPr>
          <w:p w14:paraId="57620A21" w14:textId="77777777" w:rsidR="00A56EE9" w:rsidRPr="00E70A11" w:rsidRDefault="00A56EE9" w:rsidP="00A11869">
            <w:pPr>
              <w:pStyle w:val="EndNoteBibliography"/>
              <w:numPr>
                <w:ilvl w:val="0"/>
                <w:numId w:val="24"/>
              </w:numPr>
              <w:spacing w:after="0"/>
              <w:rPr>
                <w:rFonts w:ascii="Arial Narrow" w:eastAsia="Calibri" w:hAnsi="Arial Narrow" w:cs="Times New Roman"/>
                <w:noProof w:val="0"/>
                <w:sz w:val="18"/>
                <w:szCs w:val="18"/>
                <w:lang w:val="en-AU"/>
              </w:rPr>
            </w:pPr>
            <w:r w:rsidRPr="00E70A11">
              <w:rPr>
                <w:rFonts w:ascii="Arial Narrow" w:eastAsia="Calibri" w:hAnsi="Arial Narrow" w:cs="Times New Roman"/>
                <w:noProof w:val="0"/>
                <w:sz w:val="18"/>
                <w:szCs w:val="18"/>
                <w:lang w:val="en-AU"/>
              </w:rPr>
              <w:t xml:space="preserve">Land and Sea Country Partnerships Program annual report </w:t>
            </w:r>
          </w:p>
          <w:p w14:paraId="57620A22" w14:textId="77777777" w:rsidR="00A56EE9" w:rsidRPr="00E70A11" w:rsidRDefault="008B5998" w:rsidP="00A11869">
            <w:pPr>
              <w:pStyle w:val="EndNoteBibliography"/>
              <w:numPr>
                <w:ilvl w:val="0"/>
                <w:numId w:val="24"/>
              </w:numPr>
              <w:spacing w:after="0"/>
              <w:ind w:left="357" w:hanging="357"/>
              <w:rPr>
                <w:rFonts w:ascii="Arial Narrow" w:eastAsia="Times New Roman" w:hAnsi="Arial Narrow"/>
                <w:color w:val="0000FF"/>
                <w:sz w:val="18"/>
                <w:szCs w:val="18"/>
                <w:u w:val="single"/>
                <w:lang w:eastAsia="en-AU"/>
              </w:rPr>
            </w:pPr>
            <w:hyperlink r:id="rId1957" w:history="1">
              <w:r w:rsidR="00A56EE9" w:rsidRPr="00E70A11">
                <w:rPr>
                  <w:rStyle w:val="Hyperlink"/>
                  <w:rFonts w:ascii="Arial Narrow" w:eastAsia="Times New Roman" w:hAnsi="Arial Narrow"/>
                  <w:sz w:val="18"/>
                  <w:szCs w:val="18"/>
                  <w:lang w:eastAsia="en-AU"/>
                </w:rPr>
                <w:t>Draft Aboriginal and Islander Heritage Strategy</w:t>
              </w:r>
            </w:hyperlink>
            <w:r w:rsidR="00A56EE9" w:rsidRPr="00E70A11">
              <w:rPr>
                <w:rFonts w:ascii="Arial Narrow" w:eastAsia="Calibri" w:hAnsi="Arial Narrow" w:cs="Times New Roman"/>
                <w:noProof w:val="0"/>
                <w:sz w:val="18"/>
                <w:szCs w:val="18"/>
                <w:lang w:val="en-AU"/>
              </w:rPr>
              <w:t xml:space="preserve"> </w:t>
            </w:r>
          </w:p>
          <w:p w14:paraId="57620A23" w14:textId="77777777" w:rsidR="00A56EE9" w:rsidRPr="00CE56CB" w:rsidRDefault="00A56EE9" w:rsidP="00A11869">
            <w:pPr>
              <w:pStyle w:val="EndNoteBibliography"/>
              <w:numPr>
                <w:ilvl w:val="0"/>
                <w:numId w:val="24"/>
              </w:numPr>
              <w:spacing w:after="0"/>
              <w:ind w:left="357" w:hanging="357"/>
              <w:rPr>
                <w:rFonts w:ascii="Arial Narrow" w:eastAsia="Times New Roman" w:hAnsi="Arial Narrow"/>
                <w:color w:val="0000FF"/>
                <w:sz w:val="18"/>
                <w:szCs w:val="18"/>
                <w:u w:val="single"/>
                <w:lang w:eastAsia="en-AU"/>
              </w:rPr>
            </w:pPr>
            <w:r w:rsidRPr="00E70A11">
              <w:rPr>
                <w:rFonts w:ascii="Arial Narrow" w:eastAsia="Calibri" w:hAnsi="Arial Narrow" w:cs="Times New Roman"/>
                <w:noProof w:val="0"/>
                <w:sz w:val="18"/>
                <w:szCs w:val="18"/>
                <w:lang w:val="en-AU"/>
              </w:rPr>
              <w:t>Joint Field management program annual Reports</w:t>
            </w:r>
          </w:p>
          <w:p w14:paraId="57620A24" w14:textId="77777777" w:rsidR="00A56EE9" w:rsidRPr="00AC4AB4" w:rsidRDefault="00A56EE9" w:rsidP="00A11869">
            <w:pPr>
              <w:pStyle w:val="EndNoteBibliography"/>
              <w:numPr>
                <w:ilvl w:val="0"/>
                <w:numId w:val="24"/>
              </w:numPr>
              <w:spacing w:after="0"/>
              <w:ind w:left="357" w:hanging="357"/>
              <w:rPr>
                <w:rFonts w:ascii="Arial Narrow" w:eastAsia="Times New Roman" w:hAnsi="Arial Narrow"/>
                <w:color w:val="0000FF"/>
                <w:sz w:val="18"/>
                <w:szCs w:val="18"/>
                <w:u w:val="single"/>
                <w:lang w:eastAsia="en-AU"/>
              </w:rPr>
            </w:pPr>
            <w:r>
              <w:rPr>
                <w:rFonts w:ascii="Arial Narrow" w:eastAsia="Times New Roman" w:hAnsi="Arial Narrow"/>
                <w:color w:val="0000FF"/>
                <w:sz w:val="18"/>
                <w:szCs w:val="18"/>
                <w:u w:val="single"/>
                <w:lang w:eastAsia="en-AU"/>
              </w:rPr>
              <w:t>Workshop discussions</w:t>
            </w:r>
          </w:p>
        </w:tc>
        <w:tc>
          <w:tcPr>
            <w:tcW w:w="851" w:type="dxa"/>
            <w:tcBorders>
              <w:top w:val="single" w:sz="4" w:space="0" w:color="auto"/>
              <w:left w:val="single" w:sz="4" w:space="0" w:color="auto"/>
              <w:bottom w:val="single" w:sz="4" w:space="0" w:color="auto"/>
              <w:right w:val="single" w:sz="4" w:space="0" w:color="auto"/>
            </w:tcBorders>
          </w:tcPr>
          <w:p w14:paraId="57620A2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A2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2E"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E7E6E6"/>
          </w:tcPr>
          <w:p w14:paraId="57620A2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PLANNING</w:t>
            </w:r>
          </w:p>
        </w:tc>
        <w:tc>
          <w:tcPr>
            <w:tcW w:w="851" w:type="dxa"/>
            <w:tcBorders>
              <w:top w:val="single" w:sz="4" w:space="0" w:color="auto"/>
              <w:left w:val="single" w:sz="4" w:space="0" w:color="auto"/>
              <w:bottom w:val="single" w:sz="4" w:space="0" w:color="auto"/>
              <w:right w:val="single" w:sz="4" w:space="0" w:color="auto"/>
            </w:tcBorders>
            <w:shd w:val="clear" w:color="auto" w:fill="E7E6E6"/>
          </w:tcPr>
          <w:p w14:paraId="57620A29" w14:textId="77777777" w:rsidR="00A56EE9" w:rsidRPr="00E70A11" w:rsidRDefault="00A56EE9" w:rsidP="00BB6AD5">
            <w:pPr>
              <w:rPr>
                <w:rFonts w:ascii="Arial Narrow" w:hAnsi="Arial Narrow"/>
                <w:sz w:val="18"/>
                <w:szCs w:val="18"/>
              </w:rPr>
            </w:pPr>
          </w:p>
        </w:tc>
        <w:tc>
          <w:tcPr>
            <w:tcW w:w="5245" w:type="dxa"/>
            <w:tcBorders>
              <w:top w:val="single" w:sz="4" w:space="0" w:color="auto"/>
              <w:left w:val="single" w:sz="4" w:space="0" w:color="auto"/>
              <w:bottom w:val="single" w:sz="4" w:space="0" w:color="auto"/>
              <w:right w:val="single" w:sz="4" w:space="0" w:color="auto"/>
            </w:tcBorders>
            <w:shd w:val="clear" w:color="auto" w:fill="E7E6E6"/>
          </w:tcPr>
          <w:p w14:paraId="57620A2A" w14:textId="77777777" w:rsidR="00A56EE9" w:rsidRPr="00E70A11" w:rsidRDefault="00A56EE9" w:rsidP="00BB6AD5">
            <w:pPr>
              <w:ind w:left="360"/>
              <w:contextualSpacing/>
              <w:rPr>
                <w:rFonts w:ascii="Arial Narrow" w:eastAsia="Calibri" w:hAnsi="Arial Narrow"/>
                <w:sz w:val="18"/>
                <w:szCs w:val="18"/>
              </w:rPr>
            </w:pPr>
          </w:p>
        </w:tc>
        <w:tc>
          <w:tcPr>
            <w:tcW w:w="4819" w:type="dxa"/>
            <w:tcBorders>
              <w:top w:val="single" w:sz="4" w:space="0" w:color="auto"/>
              <w:left w:val="single" w:sz="4" w:space="0" w:color="auto"/>
              <w:bottom w:val="single" w:sz="4" w:space="0" w:color="auto"/>
              <w:right w:val="single" w:sz="4" w:space="0" w:color="auto"/>
            </w:tcBorders>
            <w:shd w:val="clear" w:color="auto" w:fill="E7E6E6"/>
          </w:tcPr>
          <w:p w14:paraId="57620A2B" w14:textId="77777777" w:rsidR="00A56EE9" w:rsidRPr="00E70A11" w:rsidRDefault="00A56EE9" w:rsidP="00BB6AD5">
            <w:pPr>
              <w:ind w:left="360"/>
              <w:contextualSpacing/>
              <w:rPr>
                <w:rFonts w:ascii="Arial Narrow" w:eastAsia="Calibri"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shd w:val="clear" w:color="auto" w:fill="E7E6E6"/>
          </w:tcPr>
          <w:p w14:paraId="57620A2C" w14:textId="77777777" w:rsidR="00A56EE9" w:rsidRPr="00E70A11" w:rsidRDefault="00A56EE9" w:rsidP="00BB6AD5">
            <w:pP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E7E6E6"/>
          </w:tcPr>
          <w:p w14:paraId="57620A2D" w14:textId="77777777" w:rsidR="00A56EE9" w:rsidRPr="00E70A11" w:rsidRDefault="00A56EE9" w:rsidP="00BB6AD5">
            <w:pPr>
              <w:rPr>
                <w:rFonts w:ascii="Arial Narrow" w:hAnsi="Arial Narrow"/>
                <w:sz w:val="18"/>
                <w:szCs w:val="18"/>
              </w:rPr>
            </w:pPr>
          </w:p>
        </w:tc>
      </w:tr>
      <w:tr w:rsidR="00A56EE9" w:rsidRPr="00E70A11" w14:paraId="57620A44"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A2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PL1</w:t>
            </w:r>
            <w:r>
              <w:rPr>
                <w:rFonts w:ascii="Arial Narrow" w:hAnsi="Arial Narrow"/>
                <w:sz w:val="18"/>
                <w:szCs w:val="18"/>
              </w:rPr>
              <w:t xml:space="preserve"> </w:t>
            </w:r>
            <w:r w:rsidRPr="00E70A11">
              <w:rPr>
                <w:rFonts w:ascii="Arial Narrow" w:hAnsi="Arial Narrow"/>
                <w:sz w:val="18"/>
                <w:szCs w:val="18"/>
              </w:rPr>
              <w:t xml:space="preserve">There is a planning system in place that effectively addresses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 xml:space="preserve">Resources </w:t>
            </w:r>
          </w:p>
        </w:tc>
        <w:tc>
          <w:tcPr>
            <w:tcW w:w="851" w:type="dxa"/>
            <w:tcBorders>
              <w:top w:val="single" w:sz="4" w:space="0" w:color="auto"/>
              <w:left w:val="single" w:sz="4" w:space="0" w:color="auto"/>
              <w:bottom w:val="single" w:sz="4" w:space="0" w:color="auto"/>
              <w:right w:val="single" w:sz="4" w:space="0" w:color="auto"/>
            </w:tcBorders>
          </w:tcPr>
          <w:p w14:paraId="57620A3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A3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TUMRAs (Traditional Use of marine resources agreements) can be regarded as the key planning product for local Traditional Owner groups. There are now eight accredited TUMRAs in the GBRMP with a further two in development. This is an increase of two since 2014. These cover 24% of the GBR.</w:t>
            </w:r>
          </w:p>
          <w:p w14:paraId="57620A3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Since 2014, reef-wide planning products have included Reef 2050, which has a theme dedicated to Heritage and 23 actions specific to Traditional Owners.</w:t>
            </w:r>
          </w:p>
          <w:p w14:paraId="57620A3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bookmarkStart w:id="236" w:name="_Hlk506645470"/>
            <w:r w:rsidRPr="00E70A11">
              <w:rPr>
                <w:rFonts w:ascii="Arial Narrow" w:eastAsia="Calibri" w:hAnsi="Arial Narrow"/>
                <w:sz w:val="18"/>
                <w:szCs w:val="18"/>
              </w:rPr>
              <w:t>A draft Aboriginal and Torres Strait Islander Heritage Strategy has been developed.</w:t>
            </w:r>
          </w:p>
          <w:bookmarkEnd w:id="236"/>
          <w:p w14:paraId="57620A3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2017 Whitsundays Plan of Management gives more specific attention to </w:t>
            </w:r>
            <w:r>
              <w:rPr>
                <w:rFonts w:ascii="Arial Narrow" w:eastAsia="Calibri" w:hAnsi="Arial Narrow"/>
                <w:sz w:val="18"/>
                <w:szCs w:val="18"/>
              </w:rPr>
              <w:t>Traditional</w:t>
            </w:r>
            <w:r w:rsidRPr="00E70A11">
              <w:rPr>
                <w:rFonts w:ascii="Arial Narrow" w:eastAsia="Calibri" w:hAnsi="Arial Narrow"/>
                <w:sz w:val="18"/>
                <w:szCs w:val="18"/>
              </w:rPr>
              <w:t>Traditional Use of Marine</w:t>
            </w:r>
            <w:r>
              <w:rPr>
                <w:rFonts w:ascii="Arial Narrow" w:eastAsia="Calibri" w:hAnsi="Arial Narrow"/>
                <w:sz w:val="18"/>
                <w:szCs w:val="18"/>
              </w:rPr>
              <w:t xml:space="preserve"> </w:t>
            </w:r>
            <w:r w:rsidRPr="00E70A11">
              <w:rPr>
                <w:rFonts w:ascii="Arial Narrow" w:eastAsia="Calibri" w:hAnsi="Arial Narrow"/>
                <w:sz w:val="18"/>
                <w:szCs w:val="18"/>
              </w:rPr>
              <w:t xml:space="preserve">Resources than has been the case in previous plans. </w:t>
            </w:r>
          </w:p>
          <w:p w14:paraId="57620A3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A draft Policy on Traditional Use of Marine Resources has been developed </w:t>
            </w:r>
          </w:p>
          <w:p w14:paraId="57620A3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Plans for the conservation of dugongs and turtles are also applicable: the National Dugong and Turtles Protection Plan 2014-17 is now out of date. This plan includes programs and activities to help understand the risks posed by traditional use (both legal and illegal poaching).</w:t>
            </w:r>
          </w:p>
          <w:p w14:paraId="57620A3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 recovery plan for marine turtles was released in 2017. This includes a target ‘The sustainable management of marine turtles by Aboriginal and Torres Strait Islander communities and ranger groups to maintain long-term cultural, spiritual and economic associations with marine turtles is supported’</w:t>
            </w:r>
          </w:p>
          <w:p w14:paraId="57620A3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new</w:t>
            </w:r>
            <w:r>
              <w:rPr>
                <w:rFonts w:ascii="Arial Narrow" w:eastAsia="Calibri" w:hAnsi="Arial Narrow"/>
                <w:sz w:val="18"/>
                <w:szCs w:val="18"/>
              </w:rPr>
              <w:t xml:space="preserve"> </w:t>
            </w:r>
            <w:r w:rsidRPr="00E70A11">
              <w:rPr>
                <w:rFonts w:ascii="Arial Narrow" w:eastAsia="Calibri" w:hAnsi="Arial Narrow"/>
                <w:sz w:val="18"/>
                <w:szCs w:val="18"/>
              </w:rPr>
              <w:t>Queensland Sustainable Fisheries Strategy</w:t>
            </w:r>
            <w:r>
              <w:rPr>
                <w:rFonts w:ascii="Arial Narrow" w:eastAsia="Calibri" w:hAnsi="Arial Narrow"/>
                <w:sz w:val="18"/>
                <w:szCs w:val="18"/>
              </w:rPr>
              <w:t xml:space="preserve"> </w:t>
            </w:r>
            <w:r w:rsidRPr="00E70A11">
              <w:rPr>
                <w:rFonts w:ascii="Arial Narrow" w:eastAsia="Calibri" w:hAnsi="Arial Narrow"/>
                <w:sz w:val="18"/>
                <w:szCs w:val="18"/>
              </w:rPr>
              <w:t xml:space="preserve">also concerns </w:t>
            </w:r>
            <w:r>
              <w:rPr>
                <w:rFonts w:ascii="Arial Narrow" w:eastAsia="Calibri" w:hAnsi="Arial Narrow"/>
                <w:sz w:val="18"/>
                <w:szCs w:val="18"/>
              </w:rPr>
              <w:t>Traditional</w:t>
            </w:r>
            <w:r w:rsidRPr="00E70A11">
              <w:rPr>
                <w:rFonts w:ascii="Arial Narrow" w:eastAsia="Calibri" w:hAnsi="Arial Narrow"/>
                <w:sz w:val="18"/>
                <w:szCs w:val="18"/>
              </w:rPr>
              <w:t xml:space="preserve"> Use of Marine</w:t>
            </w:r>
            <w:r>
              <w:rPr>
                <w:rFonts w:ascii="Arial Narrow" w:eastAsia="Calibri" w:hAnsi="Arial Narrow"/>
                <w:sz w:val="18"/>
                <w:szCs w:val="18"/>
              </w:rPr>
              <w:t xml:space="preserve"> </w:t>
            </w:r>
            <w:r w:rsidRPr="00E70A11">
              <w:rPr>
                <w:rFonts w:ascii="Arial Narrow" w:eastAsia="Calibri" w:hAnsi="Arial Narrow"/>
                <w:sz w:val="18"/>
                <w:szCs w:val="18"/>
              </w:rPr>
              <w:t>Resources and may not yet be understood by mant managers.</w:t>
            </w:r>
          </w:p>
          <w:p w14:paraId="57620A3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notes in the Heritage Table about the many confusing layers and types of planning facing Traditional Owners of the Reef.</w:t>
            </w:r>
          </w:p>
        </w:tc>
        <w:tc>
          <w:tcPr>
            <w:tcW w:w="4819" w:type="dxa"/>
            <w:tcBorders>
              <w:top w:val="single" w:sz="4" w:space="0" w:color="auto"/>
              <w:left w:val="single" w:sz="4" w:space="0" w:color="auto"/>
              <w:bottom w:val="single" w:sz="4" w:space="0" w:color="auto"/>
              <w:right w:val="single" w:sz="4" w:space="0" w:color="auto"/>
            </w:tcBorders>
          </w:tcPr>
          <w:p w14:paraId="57620A3A" w14:textId="77777777" w:rsidR="00A56EE9" w:rsidRPr="00E70A11" w:rsidRDefault="008B5998" w:rsidP="00A11869">
            <w:pPr>
              <w:numPr>
                <w:ilvl w:val="0"/>
                <w:numId w:val="24"/>
              </w:numPr>
              <w:spacing w:after="0" w:line="240" w:lineRule="auto"/>
              <w:contextualSpacing/>
              <w:rPr>
                <w:rStyle w:val="Hyperlink"/>
                <w:rFonts w:ascii="Arial Narrow" w:eastAsia="Calibri" w:hAnsi="Arial Narrow"/>
                <w:sz w:val="18"/>
                <w:szCs w:val="18"/>
              </w:rPr>
            </w:pPr>
            <w:hyperlink r:id="rId1958" w:history="1">
              <w:r w:rsidR="00A56EE9" w:rsidRPr="00E70A11">
                <w:rPr>
                  <w:rStyle w:val="Hyperlink"/>
                  <w:rFonts w:ascii="Arial Narrow" w:eastAsia="Calibri" w:hAnsi="Arial Narrow"/>
                  <w:sz w:val="18"/>
                  <w:szCs w:val="18"/>
                </w:rPr>
                <w:t>GBRMPA website list the current TUMRAs</w:t>
              </w:r>
            </w:hyperlink>
          </w:p>
          <w:p w14:paraId="57620A3B" w14:textId="77777777" w:rsidR="00A56EE9" w:rsidRPr="00E70A11" w:rsidRDefault="008B5998" w:rsidP="00A11869">
            <w:pPr>
              <w:pStyle w:val="EndNoteBibliography"/>
              <w:numPr>
                <w:ilvl w:val="0"/>
                <w:numId w:val="24"/>
              </w:numPr>
              <w:spacing w:after="0"/>
              <w:ind w:left="357" w:hanging="357"/>
              <w:rPr>
                <w:rFonts w:ascii="Arial Narrow" w:eastAsia="Times New Roman" w:hAnsi="Arial Narrow"/>
                <w:color w:val="0000FF"/>
                <w:sz w:val="18"/>
                <w:szCs w:val="18"/>
                <w:u w:val="single"/>
                <w:lang w:eastAsia="en-AU"/>
              </w:rPr>
            </w:pPr>
            <w:hyperlink r:id="rId1959" w:history="1">
              <w:r w:rsidR="00A56EE9" w:rsidRPr="00E70A11">
                <w:rPr>
                  <w:rStyle w:val="Hyperlink"/>
                  <w:rFonts w:ascii="Arial Narrow" w:eastAsia="Times New Roman" w:hAnsi="Arial Narrow"/>
                  <w:sz w:val="18"/>
                  <w:szCs w:val="18"/>
                  <w:lang w:eastAsia="en-AU"/>
                </w:rPr>
                <w:t>Draft Aboriginal and Islander Heritage Strategy</w:t>
              </w:r>
            </w:hyperlink>
            <w:r w:rsidR="00A56EE9" w:rsidRPr="00E70A11">
              <w:rPr>
                <w:rFonts w:ascii="Arial Narrow" w:eastAsia="Calibri" w:hAnsi="Arial Narrow" w:cs="Times New Roman"/>
                <w:noProof w:val="0"/>
                <w:sz w:val="18"/>
                <w:szCs w:val="18"/>
                <w:lang w:val="en-AU"/>
              </w:rPr>
              <w:t xml:space="preserve"> </w:t>
            </w:r>
          </w:p>
          <w:p w14:paraId="57620A3C" w14:textId="77777777" w:rsidR="00A56EE9" w:rsidRPr="00E70A11" w:rsidRDefault="008B5998" w:rsidP="00A11869">
            <w:pPr>
              <w:pStyle w:val="EndNoteBibliography"/>
              <w:numPr>
                <w:ilvl w:val="0"/>
                <w:numId w:val="24"/>
              </w:numPr>
              <w:spacing w:after="0"/>
              <w:ind w:left="357" w:hanging="357"/>
              <w:rPr>
                <w:rFonts w:ascii="Arial Narrow" w:hAnsi="Arial Narrow"/>
                <w:sz w:val="18"/>
                <w:szCs w:val="18"/>
              </w:rPr>
            </w:pPr>
            <w:hyperlink r:id="rId1960" w:history="1">
              <w:r w:rsidR="00A56EE9" w:rsidRPr="00E70A11">
                <w:rPr>
                  <w:rStyle w:val="Hyperlink"/>
                  <w:rFonts w:ascii="Arial Narrow" w:eastAsia="Times New Roman" w:hAnsi="Arial Narrow"/>
                  <w:sz w:val="18"/>
                  <w:szCs w:val="18"/>
                  <w:lang w:eastAsia="en-AU"/>
                </w:rPr>
                <w:t>Reef 2050 Plan</w:t>
              </w:r>
            </w:hyperlink>
          </w:p>
          <w:p w14:paraId="57620A3D"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1961" w:history="1">
              <w:r w:rsidR="00A56EE9" w:rsidRPr="00E70A11">
                <w:rPr>
                  <w:rStyle w:val="Hyperlink"/>
                  <w:rFonts w:ascii="Arial Narrow" w:eastAsia="Calibri" w:hAnsi="Arial Narrow"/>
                  <w:sz w:val="18"/>
                  <w:szCs w:val="18"/>
                </w:rPr>
                <w:t>Whitsunday Plan of Management 2017</w:t>
              </w:r>
            </w:hyperlink>
          </w:p>
          <w:p w14:paraId="57620A3E"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1962" w:history="1">
              <w:r w:rsidR="00A56EE9" w:rsidRPr="00E70A11">
                <w:rPr>
                  <w:rStyle w:val="Hyperlink"/>
                  <w:rFonts w:ascii="Arial Narrow" w:eastAsia="Calibri" w:hAnsi="Arial Narrow"/>
                  <w:sz w:val="18"/>
                  <w:szCs w:val="18"/>
                </w:rPr>
                <w:t>Recovery Plan for</w:t>
              </w:r>
              <w:r w:rsidR="00A56EE9">
                <w:rPr>
                  <w:rStyle w:val="Hyperlink"/>
                  <w:rFonts w:ascii="Arial Narrow" w:eastAsia="Calibri" w:hAnsi="Arial Narrow"/>
                  <w:sz w:val="18"/>
                  <w:szCs w:val="18"/>
                </w:rPr>
                <w:t xml:space="preserve"> </w:t>
              </w:r>
              <w:r w:rsidR="00A56EE9" w:rsidRPr="00E70A11">
                <w:rPr>
                  <w:rStyle w:val="Hyperlink"/>
                  <w:rFonts w:ascii="Arial Narrow" w:eastAsia="Calibri" w:hAnsi="Arial Narrow"/>
                  <w:sz w:val="18"/>
                  <w:szCs w:val="18"/>
                </w:rPr>
                <w:t>Marine Turtles in Australia 2017-2027</w:t>
              </w:r>
            </w:hyperlink>
            <w:r w:rsidR="00A56EE9" w:rsidRPr="00E70A11">
              <w:rPr>
                <w:rFonts w:ascii="Arial Narrow" w:eastAsia="Calibri" w:hAnsi="Arial Narrow"/>
                <w:sz w:val="18"/>
                <w:szCs w:val="18"/>
              </w:rPr>
              <w:t xml:space="preserve">, </w:t>
            </w:r>
          </w:p>
          <w:p w14:paraId="57620A3F" w14:textId="77777777" w:rsidR="00A56EE9" w:rsidRPr="00E70A11" w:rsidRDefault="008B5998" w:rsidP="00A11869">
            <w:pPr>
              <w:pStyle w:val="EndNoteBibliography"/>
              <w:numPr>
                <w:ilvl w:val="0"/>
                <w:numId w:val="24"/>
              </w:numPr>
              <w:spacing w:after="0"/>
              <w:ind w:left="357" w:hanging="357"/>
              <w:rPr>
                <w:rStyle w:val="Hyperlink"/>
                <w:rFonts w:ascii="Arial Narrow" w:eastAsia="Calibri" w:hAnsi="Arial Narrow"/>
                <w:sz w:val="18"/>
                <w:szCs w:val="18"/>
              </w:rPr>
            </w:pPr>
            <w:hyperlink r:id="rId1963" w:history="1">
              <w:r w:rsidR="00A56EE9" w:rsidRPr="00E70A11">
                <w:rPr>
                  <w:rStyle w:val="Hyperlink"/>
                  <w:rFonts w:ascii="Arial Narrow" w:eastAsia="Calibri" w:hAnsi="Arial Narrow"/>
                  <w:sz w:val="18"/>
                  <w:szCs w:val="18"/>
                </w:rPr>
                <w:t>Draft Aboriginal and Islander Heritage Strategy</w:t>
              </w:r>
            </w:hyperlink>
          </w:p>
          <w:p w14:paraId="57620A40" w14:textId="77777777" w:rsidR="00A56EE9" w:rsidRPr="00E70A11" w:rsidRDefault="008B5998" w:rsidP="00A11869">
            <w:pPr>
              <w:pStyle w:val="EndNoteBibliography"/>
              <w:numPr>
                <w:ilvl w:val="0"/>
                <w:numId w:val="24"/>
              </w:numPr>
              <w:spacing w:after="0"/>
              <w:ind w:left="357" w:hanging="357"/>
              <w:rPr>
                <w:rStyle w:val="Hyperlink"/>
                <w:rFonts w:ascii="Arial Narrow" w:eastAsia="Calibri" w:hAnsi="Arial Narrow"/>
                <w:sz w:val="18"/>
                <w:szCs w:val="18"/>
              </w:rPr>
            </w:pPr>
            <w:hyperlink r:id="rId1964" w:history="1">
              <w:r w:rsidR="00A56EE9" w:rsidRPr="00E70A11">
                <w:rPr>
                  <w:rStyle w:val="Hyperlink"/>
                  <w:rFonts w:ascii="Arial Narrow" w:eastAsia="Calibri" w:hAnsi="Arial Narrow"/>
                  <w:sz w:val="18"/>
                  <w:szCs w:val="18"/>
                </w:rPr>
                <w:t>Queensland Sustainable Fisheries Strategy 2017-2027</w:t>
              </w:r>
            </w:hyperlink>
          </w:p>
          <w:p w14:paraId="57620A41" w14:textId="77777777" w:rsidR="00A56EE9" w:rsidRPr="00AC4AB4" w:rsidRDefault="00A56EE9" w:rsidP="00A11869">
            <w:pPr>
              <w:pStyle w:val="ListParagraph"/>
              <w:numPr>
                <w:ilvl w:val="0"/>
                <w:numId w:val="140"/>
              </w:numPr>
              <w:spacing w:after="200" w:line="276" w:lineRule="auto"/>
              <w:rPr>
                <w:rFonts w:ascii="Arial Narrow" w:hAnsi="Arial Narrow"/>
                <w:sz w:val="18"/>
                <w:szCs w:val="18"/>
              </w:rPr>
            </w:pPr>
            <w:r w:rsidRPr="00E70A11">
              <w:rPr>
                <w:rFonts w:ascii="Arial Narrow" w:hAnsi="Arial Narrow"/>
                <w:sz w:val="18"/>
                <w:szCs w:val="18"/>
              </w:rPr>
              <w:t xml:space="preserve">Land and Sea Country Partnerships Program </w:t>
            </w:r>
            <w:hyperlink r:id="rId1965" w:history="1">
              <w:r w:rsidRPr="00E70A11">
                <w:rPr>
                  <w:rStyle w:val="Hyperlink"/>
                  <w:rFonts w:ascii="Arial Narrow" w:hAnsi="Arial Narrow"/>
                  <w:sz w:val="18"/>
                  <w:szCs w:val="18"/>
                </w:rPr>
                <w:t>MERI Plan and Program Logic 2013-2018</w:t>
              </w:r>
            </w:hyperlink>
          </w:p>
        </w:tc>
        <w:tc>
          <w:tcPr>
            <w:tcW w:w="851" w:type="dxa"/>
            <w:tcBorders>
              <w:top w:val="single" w:sz="4" w:space="0" w:color="auto"/>
              <w:left w:val="single" w:sz="4" w:space="0" w:color="auto"/>
              <w:bottom w:val="single" w:sz="4" w:space="0" w:color="auto"/>
              <w:right w:val="single" w:sz="4" w:space="0" w:color="auto"/>
            </w:tcBorders>
          </w:tcPr>
          <w:p w14:paraId="57620A4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A4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A52"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A4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PL2</w:t>
            </w:r>
            <w:r>
              <w:rPr>
                <w:rFonts w:ascii="Arial Narrow" w:hAnsi="Arial Narrow"/>
                <w:sz w:val="18"/>
                <w:szCs w:val="18"/>
              </w:rPr>
              <w:t xml:space="preserve"> </w:t>
            </w:r>
            <w:r w:rsidRPr="00E70A11">
              <w:rPr>
                <w:rFonts w:ascii="Arial Narrow" w:hAnsi="Arial Narrow"/>
                <w:sz w:val="18"/>
                <w:szCs w:val="18"/>
              </w:rPr>
              <w:t xml:space="preserve">The planning system for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addresses the major factors influencing the Great Barrier Reef Region’s values.</w:t>
            </w:r>
          </w:p>
        </w:tc>
        <w:tc>
          <w:tcPr>
            <w:tcW w:w="851" w:type="dxa"/>
            <w:tcBorders>
              <w:top w:val="single" w:sz="4" w:space="0" w:color="auto"/>
              <w:left w:val="single" w:sz="4" w:space="0" w:color="auto"/>
              <w:bottom w:val="single" w:sz="4" w:space="0" w:color="auto"/>
              <w:right w:val="single" w:sz="4" w:space="0" w:color="auto"/>
            </w:tcBorders>
          </w:tcPr>
          <w:p w14:paraId="57620A4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A4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Planning does address the major factors relating to traditional use.</w:t>
            </w:r>
          </w:p>
          <w:p w14:paraId="57620A4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However, significant impacts to some species of turtle are caused by hunting outside the jurisdiction of Australia, and cannot be covered in the plans discussed in PL1. Other significant risks currently affecting dugong and turtle populations include sea level rise, abandoned fishing nets, increased temperatures, sedimentation and damage from floods and cyclones. </w:t>
            </w:r>
          </w:p>
        </w:tc>
        <w:tc>
          <w:tcPr>
            <w:tcW w:w="4819" w:type="dxa"/>
            <w:tcBorders>
              <w:top w:val="single" w:sz="4" w:space="0" w:color="auto"/>
              <w:left w:val="single" w:sz="4" w:space="0" w:color="auto"/>
              <w:bottom w:val="single" w:sz="4" w:space="0" w:color="auto"/>
              <w:right w:val="single" w:sz="4" w:space="0" w:color="auto"/>
            </w:tcBorders>
          </w:tcPr>
          <w:p w14:paraId="57620A49" w14:textId="77777777" w:rsidR="00A56EE9" w:rsidRPr="00E70A11" w:rsidRDefault="008B5998" w:rsidP="00A11869">
            <w:pPr>
              <w:numPr>
                <w:ilvl w:val="0"/>
                <w:numId w:val="24"/>
              </w:numPr>
              <w:spacing w:after="0" w:line="240" w:lineRule="auto"/>
              <w:contextualSpacing/>
              <w:rPr>
                <w:rStyle w:val="Hyperlink"/>
                <w:rFonts w:ascii="Arial Narrow" w:eastAsia="Calibri" w:hAnsi="Arial Narrow"/>
                <w:sz w:val="18"/>
                <w:szCs w:val="18"/>
              </w:rPr>
            </w:pPr>
            <w:hyperlink r:id="rId1966" w:history="1">
              <w:r w:rsidR="00A56EE9" w:rsidRPr="00E70A11">
                <w:rPr>
                  <w:rStyle w:val="Hyperlink"/>
                  <w:rFonts w:ascii="Arial Narrow" w:eastAsia="Calibri" w:hAnsi="Arial Narrow"/>
                  <w:sz w:val="18"/>
                  <w:szCs w:val="18"/>
                </w:rPr>
                <w:t>GBRMPA website list the current TUMRAs</w:t>
              </w:r>
            </w:hyperlink>
          </w:p>
          <w:p w14:paraId="57620A4A" w14:textId="77777777" w:rsidR="00A56EE9" w:rsidRPr="00E70A11" w:rsidRDefault="008B5998" w:rsidP="00A11869">
            <w:pPr>
              <w:pStyle w:val="EndNoteBibliography"/>
              <w:numPr>
                <w:ilvl w:val="0"/>
                <w:numId w:val="24"/>
              </w:numPr>
              <w:spacing w:after="0"/>
              <w:ind w:left="357" w:hanging="357"/>
              <w:rPr>
                <w:rFonts w:ascii="Arial Narrow" w:eastAsia="Times New Roman" w:hAnsi="Arial Narrow"/>
                <w:color w:val="0000FF"/>
                <w:sz w:val="18"/>
                <w:szCs w:val="18"/>
                <w:u w:val="single"/>
                <w:lang w:eastAsia="en-AU"/>
              </w:rPr>
            </w:pPr>
            <w:hyperlink r:id="rId1967" w:history="1">
              <w:r w:rsidR="00A56EE9" w:rsidRPr="00E70A11">
                <w:rPr>
                  <w:rStyle w:val="Hyperlink"/>
                  <w:rFonts w:ascii="Arial Narrow" w:eastAsia="Times New Roman" w:hAnsi="Arial Narrow"/>
                  <w:sz w:val="18"/>
                  <w:szCs w:val="18"/>
                  <w:lang w:eastAsia="en-AU"/>
                </w:rPr>
                <w:t>Draft Aboriginal and Islander Heritage Strategy</w:t>
              </w:r>
            </w:hyperlink>
            <w:r w:rsidR="00A56EE9" w:rsidRPr="00E70A11">
              <w:rPr>
                <w:rFonts w:ascii="Arial Narrow" w:eastAsia="Calibri" w:hAnsi="Arial Narrow" w:cs="Times New Roman"/>
                <w:noProof w:val="0"/>
                <w:sz w:val="18"/>
                <w:szCs w:val="18"/>
                <w:lang w:val="en-AU"/>
              </w:rPr>
              <w:t xml:space="preserve"> </w:t>
            </w:r>
          </w:p>
          <w:p w14:paraId="57620A4B" w14:textId="77777777" w:rsidR="00A56EE9" w:rsidRPr="00E70A11" w:rsidRDefault="008B5998" w:rsidP="00A11869">
            <w:pPr>
              <w:pStyle w:val="EndNoteBibliography"/>
              <w:numPr>
                <w:ilvl w:val="0"/>
                <w:numId w:val="24"/>
              </w:numPr>
              <w:spacing w:after="0"/>
              <w:ind w:left="357" w:hanging="357"/>
              <w:rPr>
                <w:rFonts w:ascii="Arial Narrow" w:hAnsi="Arial Narrow"/>
                <w:sz w:val="18"/>
                <w:szCs w:val="18"/>
              </w:rPr>
            </w:pPr>
            <w:hyperlink r:id="rId1968" w:history="1">
              <w:r w:rsidR="00A56EE9" w:rsidRPr="00E70A11">
                <w:rPr>
                  <w:rStyle w:val="Hyperlink"/>
                  <w:rFonts w:ascii="Arial Narrow" w:eastAsia="Times New Roman" w:hAnsi="Arial Narrow"/>
                  <w:sz w:val="18"/>
                  <w:szCs w:val="18"/>
                  <w:lang w:eastAsia="en-AU"/>
                </w:rPr>
                <w:t>Reef 2050 Plan</w:t>
              </w:r>
            </w:hyperlink>
          </w:p>
          <w:p w14:paraId="57620A4C"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1969" w:history="1">
              <w:r w:rsidR="00A56EE9" w:rsidRPr="00E70A11">
                <w:rPr>
                  <w:rStyle w:val="Hyperlink"/>
                  <w:rFonts w:ascii="Arial Narrow" w:eastAsia="Calibri" w:hAnsi="Arial Narrow"/>
                  <w:sz w:val="18"/>
                  <w:szCs w:val="18"/>
                </w:rPr>
                <w:t>Whitsunday Plan of Management 2017</w:t>
              </w:r>
            </w:hyperlink>
          </w:p>
          <w:p w14:paraId="57620A4D"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1970" w:history="1">
              <w:r w:rsidR="00A56EE9" w:rsidRPr="00E70A11">
                <w:rPr>
                  <w:rStyle w:val="Hyperlink"/>
                  <w:rFonts w:ascii="Arial Narrow" w:eastAsia="Calibri" w:hAnsi="Arial Narrow"/>
                  <w:sz w:val="18"/>
                  <w:szCs w:val="18"/>
                </w:rPr>
                <w:t>Recovery Plan for</w:t>
              </w:r>
              <w:r w:rsidR="00A56EE9">
                <w:rPr>
                  <w:rStyle w:val="Hyperlink"/>
                  <w:rFonts w:ascii="Arial Narrow" w:eastAsia="Calibri" w:hAnsi="Arial Narrow"/>
                  <w:sz w:val="18"/>
                  <w:szCs w:val="18"/>
                </w:rPr>
                <w:t xml:space="preserve"> </w:t>
              </w:r>
              <w:r w:rsidR="00A56EE9" w:rsidRPr="00E70A11">
                <w:rPr>
                  <w:rStyle w:val="Hyperlink"/>
                  <w:rFonts w:ascii="Arial Narrow" w:eastAsia="Calibri" w:hAnsi="Arial Narrow"/>
                  <w:sz w:val="18"/>
                  <w:szCs w:val="18"/>
                </w:rPr>
                <w:t>Marine Turtles in Australia 2017-2027</w:t>
              </w:r>
            </w:hyperlink>
            <w:r w:rsidR="00A56EE9" w:rsidRPr="00E70A11">
              <w:rPr>
                <w:rFonts w:ascii="Arial Narrow" w:eastAsia="Calibri" w:hAnsi="Arial Narrow"/>
                <w:sz w:val="18"/>
                <w:szCs w:val="18"/>
              </w:rPr>
              <w:t xml:space="preserve">, </w:t>
            </w:r>
          </w:p>
          <w:p w14:paraId="57620A4E" w14:textId="77777777" w:rsidR="00A56EE9" w:rsidRPr="00E70A11" w:rsidRDefault="008B5998" w:rsidP="00A11869">
            <w:pPr>
              <w:pStyle w:val="EndNoteBibliography"/>
              <w:numPr>
                <w:ilvl w:val="0"/>
                <w:numId w:val="24"/>
              </w:numPr>
              <w:spacing w:after="0"/>
              <w:ind w:left="357" w:hanging="357"/>
              <w:rPr>
                <w:rStyle w:val="Hyperlink"/>
                <w:rFonts w:ascii="Arial Narrow" w:eastAsia="Calibri" w:hAnsi="Arial Narrow"/>
                <w:sz w:val="18"/>
                <w:szCs w:val="18"/>
              </w:rPr>
            </w:pPr>
            <w:hyperlink r:id="rId1971" w:history="1">
              <w:r w:rsidR="00A56EE9" w:rsidRPr="00E70A11">
                <w:rPr>
                  <w:rStyle w:val="Hyperlink"/>
                  <w:rFonts w:ascii="Arial Narrow" w:eastAsia="Calibri" w:hAnsi="Arial Narrow"/>
                  <w:sz w:val="18"/>
                  <w:szCs w:val="18"/>
                </w:rPr>
                <w:t>Queensland Sustainable Fisheries Strategy 2017-2027</w:t>
              </w:r>
            </w:hyperlink>
          </w:p>
          <w:p w14:paraId="57620A4F" w14:textId="77777777" w:rsidR="00A56EE9" w:rsidRPr="00AC4AB4" w:rsidRDefault="00A56EE9" w:rsidP="00A11869">
            <w:pPr>
              <w:pStyle w:val="EndNoteBibliography"/>
              <w:numPr>
                <w:ilvl w:val="0"/>
                <w:numId w:val="24"/>
              </w:numPr>
              <w:spacing w:after="0"/>
              <w:rPr>
                <w:rFonts w:ascii="Arial Narrow" w:hAnsi="Arial Narrow"/>
                <w:sz w:val="18"/>
                <w:szCs w:val="18"/>
              </w:rPr>
            </w:pPr>
            <w:r w:rsidRPr="00E70A11">
              <w:rPr>
                <w:rFonts w:ascii="Arial Narrow" w:eastAsia="Calibri" w:hAnsi="Arial Narrow"/>
                <w:noProof w:val="0"/>
                <w:sz w:val="18"/>
                <w:szCs w:val="18"/>
                <w:lang w:val="en-AU"/>
              </w:rPr>
              <w:t xml:space="preserve">Draft Traditional Use of Marine Resources policy </w:t>
            </w:r>
          </w:p>
        </w:tc>
        <w:tc>
          <w:tcPr>
            <w:tcW w:w="851" w:type="dxa"/>
            <w:tcBorders>
              <w:top w:val="single" w:sz="4" w:space="0" w:color="auto"/>
              <w:left w:val="single" w:sz="4" w:space="0" w:color="auto"/>
              <w:bottom w:val="single" w:sz="4" w:space="0" w:color="auto"/>
              <w:right w:val="single" w:sz="4" w:space="0" w:color="auto"/>
            </w:tcBorders>
          </w:tcPr>
          <w:p w14:paraId="57620A5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A5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Declining</w:t>
            </w:r>
          </w:p>
        </w:tc>
      </w:tr>
      <w:tr w:rsidR="00A56EE9" w:rsidRPr="00E70A11" w14:paraId="57620A60"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A5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PL3</w:t>
            </w:r>
            <w:r>
              <w:rPr>
                <w:rFonts w:ascii="Arial Narrow" w:hAnsi="Arial Narrow"/>
                <w:sz w:val="18"/>
                <w:szCs w:val="18"/>
              </w:rPr>
              <w:t xml:space="preserve"> </w:t>
            </w:r>
            <w:r w:rsidRPr="00E70A11">
              <w:rPr>
                <w:rFonts w:ascii="Arial Narrow" w:hAnsi="Arial Narrow"/>
                <w:sz w:val="18"/>
                <w:szCs w:val="18"/>
              </w:rPr>
              <w:t xml:space="preserve">Actions for implementation regarding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 xml:space="preserve">Resources are clearly identified within the plan </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5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A5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Each TUMRA contract involves deliverables and an attached implementation plan that sets out actions. TUMRA implementation involves a partnership of managers working with Traditional Owners to implement their sea country management activities. In 2015 new TUMRA contracts were negotiated and signed for three years (previously they had been annual contracts) to facilitate longer-term planning around actions on country. </w:t>
            </w:r>
          </w:p>
          <w:p w14:paraId="57620A5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Plans of Management in high use areas clearly articulate and manage conflicting uses which may affect cultural heritage in Cairns, Whitsundays and Hinchinbrook.</w:t>
            </w:r>
          </w:p>
          <w:p w14:paraId="57620A5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Joint Field Management Program (GBRMPA/NPSR) has a specific strategy on Indigenous Engagement which includes actions for management of Traditional Use of Marine Resources. Its annual Business Plans set clear implementation actions for field activities.</w:t>
            </w:r>
          </w:p>
          <w:p w14:paraId="57620A5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Lama Lama Hunting Strategy was developed under the TUMRA to set in place rules for how authorised Traditional Owners should sustainably hunt within the TUMRA area. This is the first of its kind.</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A5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discussions</w:t>
            </w:r>
          </w:p>
          <w:p w14:paraId="57620A5A" w14:textId="77777777" w:rsidR="00A56EE9" w:rsidRPr="00E70A11" w:rsidRDefault="008B5998" w:rsidP="00A11869">
            <w:pPr>
              <w:pStyle w:val="EndNoteBibliography"/>
              <w:numPr>
                <w:ilvl w:val="0"/>
                <w:numId w:val="24"/>
              </w:numPr>
              <w:spacing w:after="0"/>
              <w:ind w:left="357" w:hanging="357"/>
              <w:rPr>
                <w:rFonts w:ascii="Arial Narrow" w:hAnsi="Arial Narrow"/>
                <w:sz w:val="18"/>
                <w:szCs w:val="18"/>
              </w:rPr>
            </w:pPr>
            <w:hyperlink r:id="rId1972" w:history="1">
              <w:r w:rsidR="00A56EE9" w:rsidRPr="00E70A11">
                <w:rPr>
                  <w:rStyle w:val="Hyperlink"/>
                  <w:rFonts w:ascii="Arial Narrow" w:eastAsia="Times New Roman" w:hAnsi="Arial Narrow"/>
                  <w:sz w:val="18"/>
                  <w:szCs w:val="18"/>
                  <w:lang w:eastAsia="en-AU"/>
                </w:rPr>
                <w:t>Reef 2050 Plan</w:t>
              </w:r>
            </w:hyperlink>
          </w:p>
          <w:p w14:paraId="57620A5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TUMRA plans are not available for public review</w:t>
            </w:r>
          </w:p>
          <w:p w14:paraId="57620A5C" w14:textId="77777777" w:rsidR="00A56EE9" w:rsidRPr="00E70A11" w:rsidRDefault="00A56EE9" w:rsidP="00A11869">
            <w:pPr>
              <w:pStyle w:val="ListParagraph"/>
              <w:numPr>
                <w:ilvl w:val="0"/>
                <w:numId w:val="140"/>
              </w:numPr>
              <w:spacing w:after="200" w:line="276" w:lineRule="auto"/>
              <w:rPr>
                <w:rFonts w:ascii="Arial Narrow" w:hAnsi="Arial Narrow"/>
                <w:sz w:val="18"/>
                <w:szCs w:val="18"/>
              </w:rPr>
            </w:pPr>
            <w:r w:rsidRPr="00E70A11">
              <w:rPr>
                <w:rFonts w:ascii="Arial Narrow" w:hAnsi="Arial Narrow"/>
                <w:sz w:val="18"/>
                <w:szCs w:val="18"/>
              </w:rPr>
              <w:t xml:space="preserve">Land and Sea Country Partnerships Program </w:t>
            </w:r>
          </w:p>
          <w:p w14:paraId="57620A5D" w14:textId="77777777" w:rsidR="00A56EE9" w:rsidRPr="00E70A11" w:rsidRDefault="008B5998" w:rsidP="00A11869">
            <w:pPr>
              <w:pStyle w:val="ListParagraph"/>
              <w:numPr>
                <w:ilvl w:val="0"/>
                <w:numId w:val="140"/>
              </w:numPr>
              <w:spacing w:after="200" w:line="276" w:lineRule="auto"/>
              <w:rPr>
                <w:rFonts w:ascii="Arial Narrow" w:hAnsi="Arial Narrow"/>
                <w:sz w:val="18"/>
                <w:szCs w:val="18"/>
              </w:rPr>
            </w:pPr>
            <w:hyperlink r:id="rId1973" w:history="1">
              <w:r w:rsidR="00A56EE9" w:rsidRPr="00E70A11">
                <w:rPr>
                  <w:rStyle w:val="Hyperlink"/>
                  <w:rFonts w:ascii="Arial Narrow" w:hAnsi="Arial Narrow"/>
                  <w:sz w:val="18"/>
                  <w:szCs w:val="18"/>
                </w:rPr>
                <w:t>MERI Plan and Program Logic 2013-2018</w:t>
              </w:r>
            </w:hyperlink>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5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A5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A6D"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A6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PL4</w:t>
            </w:r>
            <w:r>
              <w:rPr>
                <w:rFonts w:ascii="Arial Narrow" w:hAnsi="Arial Narrow"/>
                <w:sz w:val="18"/>
                <w:szCs w:val="18"/>
              </w:rPr>
              <w:t xml:space="preserve"> </w:t>
            </w:r>
            <w:r w:rsidRPr="00E70A11">
              <w:rPr>
                <w:rFonts w:ascii="Arial Narrow" w:hAnsi="Arial Narrow"/>
                <w:sz w:val="18"/>
                <w:szCs w:val="18"/>
              </w:rPr>
              <w:t xml:space="preserve">Clear, measurable and appropriate objectives for management of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have been documented</w:t>
            </w:r>
          </w:p>
        </w:tc>
        <w:tc>
          <w:tcPr>
            <w:tcW w:w="851" w:type="dxa"/>
            <w:tcBorders>
              <w:top w:val="single" w:sz="4" w:space="0" w:color="auto"/>
              <w:left w:val="single" w:sz="4" w:space="0" w:color="auto"/>
              <w:bottom w:val="single" w:sz="4" w:space="0" w:color="auto"/>
              <w:right w:val="single" w:sz="4" w:space="0" w:color="auto"/>
            </w:tcBorders>
          </w:tcPr>
          <w:p w14:paraId="57620A6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A6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Objectives for TUMRAs are clearly spelt out to include sustainable use and protection of Indigenous heritage.</w:t>
            </w:r>
          </w:p>
          <w:p w14:paraId="57620A6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Other plans mentioned in PL1 also have specific and appropriate objectives.</w:t>
            </w:r>
          </w:p>
        </w:tc>
        <w:tc>
          <w:tcPr>
            <w:tcW w:w="4819" w:type="dxa"/>
            <w:tcBorders>
              <w:top w:val="single" w:sz="4" w:space="0" w:color="auto"/>
              <w:left w:val="single" w:sz="4" w:space="0" w:color="auto"/>
              <w:bottom w:val="single" w:sz="4" w:space="0" w:color="auto"/>
              <w:right w:val="single" w:sz="4" w:space="0" w:color="auto"/>
            </w:tcBorders>
          </w:tcPr>
          <w:p w14:paraId="57620A65"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Workshop discussions</w:t>
            </w:r>
          </w:p>
          <w:p w14:paraId="57620A66" w14:textId="77777777" w:rsidR="00A56EE9" w:rsidRPr="00E70A11" w:rsidRDefault="008B5998" w:rsidP="00A11869">
            <w:pPr>
              <w:pStyle w:val="EndNoteBibliography"/>
              <w:numPr>
                <w:ilvl w:val="0"/>
                <w:numId w:val="24"/>
              </w:numPr>
              <w:spacing w:after="0"/>
              <w:ind w:left="357" w:hanging="357"/>
              <w:rPr>
                <w:rFonts w:ascii="Arial Narrow" w:eastAsia="Times New Roman" w:hAnsi="Arial Narrow"/>
                <w:color w:val="0000FF"/>
                <w:sz w:val="18"/>
                <w:szCs w:val="18"/>
                <w:u w:val="single"/>
                <w:lang w:eastAsia="en-AU"/>
              </w:rPr>
            </w:pPr>
            <w:hyperlink r:id="rId1974" w:history="1">
              <w:r w:rsidR="00A56EE9" w:rsidRPr="00E70A11">
                <w:rPr>
                  <w:rStyle w:val="Hyperlink"/>
                  <w:rFonts w:ascii="Arial Narrow" w:eastAsia="Times New Roman" w:hAnsi="Arial Narrow"/>
                  <w:sz w:val="18"/>
                  <w:szCs w:val="18"/>
                  <w:lang w:eastAsia="en-AU"/>
                </w:rPr>
                <w:t>Draft Aboriginal and Islander Heritage Strategy</w:t>
              </w:r>
            </w:hyperlink>
            <w:r w:rsidR="00A56EE9" w:rsidRPr="00E70A11">
              <w:rPr>
                <w:rFonts w:ascii="Arial Narrow" w:eastAsia="Calibri" w:hAnsi="Arial Narrow" w:cs="Times New Roman"/>
                <w:noProof w:val="0"/>
                <w:sz w:val="18"/>
                <w:szCs w:val="18"/>
                <w:lang w:val="en-AU"/>
              </w:rPr>
              <w:t xml:space="preserve"> </w:t>
            </w:r>
          </w:p>
          <w:p w14:paraId="57620A67" w14:textId="77777777" w:rsidR="00A56EE9" w:rsidRPr="00E70A11" w:rsidRDefault="008B5998" w:rsidP="00A11869">
            <w:pPr>
              <w:pStyle w:val="EndNoteBibliography"/>
              <w:numPr>
                <w:ilvl w:val="0"/>
                <w:numId w:val="24"/>
              </w:numPr>
              <w:spacing w:after="0"/>
              <w:ind w:left="357" w:hanging="357"/>
              <w:rPr>
                <w:rFonts w:ascii="Arial Narrow" w:hAnsi="Arial Narrow"/>
                <w:sz w:val="18"/>
                <w:szCs w:val="18"/>
              </w:rPr>
            </w:pPr>
            <w:hyperlink r:id="rId1975" w:history="1">
              <w:r w:rsidR="00A56EE9" w:rsidRPr="00E70A11">
                <w:rPr>
                  <w:rStyle w:val="Hyperlink"/>
                  <w:rFonts w:ascii="Arial Narrow" w:eastAsia="Times New Roman" w:hAnsi="Arial Narrow"/>
                  <w:sz w:val="18"/>
                  <w:szCs w:val="18"/>
                  <w:lang w:eastAsia="en-AU"/>
                </w:rPr>
                <w:t>Reef 2050 Plan</w:t>
              </w:r>
            </w:hyperlink>
          </w:p>
          <w:p w14:paraId="57620A68"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1976" w:history="1">
              <w:r w:rsidR="00A56EE9" w:rsidRPr="00E70A11">
                <w:rPr>
                  <w:rStyle w:val="Hyperlink"/>
                  <w:rFonts w:ascii="Arial Narrow" w:eastAsia="Calibri" w:hAnsi="Arial Narrow"/>
                  <w:sz w:val="18"/>
                  <w:szCs w:val="18"/>
                </w:rPr>
                <w:t>Whitsunday Plan of Management 2017</w:t>
              </w:r>
            </w:hyperlink>
          </w:p>
          <w:p w14:paraId="57620A69"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1977" w:history="1">
              <w:r w:rsidR="00A56EE9" w:rsidRPr="00E70A11">
                <w:rPr>
                  <w:rStyle w:val="Hyperlink"/>
                  <w:rFonts w:ascii="Arial Narrow" w:eastAsia="Calibri" w:hAnsi="Arial Narrow"/>
                  <w:sz w:val="18"/>
                  <w:szCs w:val="18"/>
                </w:rPr>
                <w:t>Recovery Plan for</w:t>
              </w:r>
              <w:r w:rsidR="00A56EE9">
                <w:rPr>
                  <w:rStyle w:val="Hyperlink"/>
                  <w:rFonts w:ascii="Arial Narrow" w:eastAsia="Calibri" w:hAnsi="Arial Narrow"/>
                  <w:sz w:val="18"/>
                  <w:szCs w:val="18"/>
                </w:rPr>
                <w:t xml:space="preserve"> </w:t>
              </w:r>
              <w:r w:rsidR="00A56EE9" w:rsidRPr="00E70A11">
                <w:rPr>
                  <w:rStyle w:val="Hyperlink"/>
                  <w:rFonts w:ascii="Arial Narrow" w:eastAsia="Calibri" w:hAnsi="Arial Narrow"/>
                  <w:sz w:val="18"/>
                  <w:szCs w:val="18"/>
                </w:rPr>
                <w:t>Marine Turtles in Australia 2017-2027</w:t>
              </w:r>
            </w:hyperlink>
            <w:r w:rsidR="00A56EE9" w:rsidRPr="00E70A11">
              <w:rPr>
                <w:rFonts w:ascii="Arial Narrow" w:eastAsia="Calibri" w:hAnsi="Arial Narrow"/>
                <w:sz w:val="18"/>
                <w:szCs w:val="18"/>
              </w:rPr>
              <w:t xml:space="preserve">, </w:t>
            </w:r>
          </w:p>
          <w:p w14:paraId="57620A6A" w14:textId="77777777" w:rsidR="00A56EE9" w:rsidRPr="00E70A11" w:rsidRDefault="008B5998" w:rsidP="00A11869">
            <w:pPr>
              <w:pStyle w:val="EndNoteBibliography"/>
              <w:numPr>
                <w:ilvl w:val="0"/>
                <w:numId w:val="24"/>
              </w:numPr>
              <w:spacing w:after="0"/>
              <w:ind w:left="357" w:hanging="357"/>
              <w:rPr>
                <w:rFonts w:ascii="Arial Narrow" w:eastAsia="Calibri" w:hAnsi="Arial Narrow"/>
                <w:color w:val="0000FF"/>
                <w:sz w:val="18"/>
                <w:szCs w:val="18"/>
                <w:u w:val="single"/>
              </w:rPr>
            </w:pPr>
            <w:hyperlink r:id="rId1978" w:history="1">
              <w:r w:rsidR="00A56EE9" w:rsidRPr="00E70A11">
                <w:rPr>
                  <w:rStyle w:val="Hyperlink"/>
                  <w:rFonts w:ascii="Arial Narrow" w:eastAsia="Calibri" w:hAnsi="Arial Narrow"/>
                  <w:sz w:val="18"/>
                  <w:szCs w:val="18"/>
                </w:rPr>
                <w:t>Queensland Sustainable Fisheries Strategy 2017-2027</w:t>
              </w:r>
            </w:hyperlink>
          </w:p>
        </w:tc>
        <w:tc>
          <w:tcPr>
            <w:tcW w:w="851" w:type="dxa"/>
            <w:tcBorders>
              <w:top w:val="single" w:sz="4" w:space="0" w:color="auto"/>
              <w:left w:val="single" w:sz="4" w:space="0" w:color="auto"/>
              <w:bottom w:val="single" w:sz="4" w:space="0" w:color="auto"/>
              <w:right w:val="single" w:sz="4" w:space="0" w:color="auto"/>
            </w:tcBorders>
          </w:tcPr>
          <w:p w14:paraId="57620A6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92" w:type="dxa"/>
            <w:tcBorders>
              <w:top w:val="single" w:sz="4" w:space="0" w:color="auto"/>
              <w:left w:val="single" w:sz="4" w:space="0" w:color="auto"/>
              <w:bottom w:val="single" w:sz="4" w:space="0" w:color="auto"/>
              <w:right w:val="single" w:sz="4" w:space="0" w:color="auto"/>
            </w:tcBorders>
          </w:tcPr>
          <w:p w14:paraId="57620A6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79"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A6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PL5</w:t>
            </w:r>
            <w:r>
              <w:rPr>
                <w:rFonts w:ascii="Arial Narrow" w:hAnsi="Arial Narrow"/>
                <w:sz w:val="18"/>
                <w:szCs w:val="18"/>
              </w:rPr>
              <w:t xml:space="preserve"> </w:t>
            </w:r>
            <w:r w:rsidRPr="00E70A11">
              <w:rPr>
                <w:rFonts w:ascii="Arial Narrow" w:hAnsi="Arial Narrow"/>
                <w:sz w:val="18"/>
                <w:szCs w:val="18"/>
              </w:rPr>
              <w:t xml:space="preserve">There are plans and systems in place to ensure appropriate and adequate monitoring information is gathered in relation to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A6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A70" w14:textId="77777777" w:rsidR="00A56EE9" w:rsidRPr="00E70A11" w:rsidRDefault="00A56EE9" w:rsidP="00A11869">
            <w:pPr>
              <w:pStyle w:val="ListParagraph"/>
              <w:numPr>
                <w:ilvl w:val="0"/>
                <w:numId w:val="131"/>
              </w:numPr>
              <w:spacing w:after="200" w:line="276" w:lineRule="auto"/>
              <w:rPr>
                <w:rFonts w:ascii="Arial Narrow" w:hAnsi="Arial Narrow"/>
                <w:sz w:val="18"/>
                <w:szCs w:val="18"/>
                <w:u w:val="single"/>
              </w:rPr>
            </w:pPr>
            <w:r w:rsidRPr="00E70A11">
              <w:rPr>
                <w:rFonts w:ascii="Arial Narrow" w:hAnsi="Arial Narrow"/>
                <w:sz w:val="18"/>
                <w:szCs w:val="18"/>
              </w:rPr>
              <w:t xml:space="preserve">Mechanisms are in place for TUMRA groups to report on their take under a TUMRA, however this is not formally followed up. </w:t>
            </w:r>
          </w:p>
          <w:p w14:paraId="57620A71" w14:textId="77777777" w:rsidR="00A56EE9" w:rsidRPr="00E70A11" w:rsidRDefault="00A56EE9" w:rsidP="00A11869">
            <w:pPr>
              <w:pStyle w:val="ListParagraph"/>
              <w:numPr>
                <w:ilvl w:val="0"/>
                <w:numId w:val="131"/>
              </w:numPr>
              <w:spacing w:after="200" w:line="276" w:lineRule="auto"/>
              <w:rPr>
                <w:rFonts w:ascii="Arial Narrow" w:hAnsi="Arial Narrow"/>
                <w:sz w:val="18"/>
                <w:szCs w:val="18"/>
                <w:u w:val="single"/>
              </w:rPr>
            </w:pPr>
            <w:r w:rsidRPr="00E70A11">
              <w:rPr>
                <w:rFonts w:ascii="Arial Narrow" w:hAnsi="Arial Narrow"/>
                <w:sz w:val="18"/>
                <w:szCs w:val="18"/>
                <w:lang w:val="en-GB"/>
              </w:rPr>
              <w:t xml:space="preserve">In 2016-17 the GBRMPA’s Cultural Knowledge Management System (a database) was upgraded to enable Key Performance Indicators to be built to enable TUMR contracts and deliverables to be monitored. </w:t>
            </w:r>
          </w:p>
          <w:p w14:paraId="57620A72" w14:textId="77777777" w:rsidR="00A56EE9" w:rsidRPr="00AC4AB4" w:rsidRDefault="00A56EE9" w:rsidP="00A11869">
            <w:pPr>
              <w:pStyle w:val="ListParagraph"/>
              <w:numPr>
                <w:ilvl w:val="0"/>
                <w:numId w:val="131"/>
              </w:numPr>
              <w:spacing w:after="200" w:line="276" w:lineRule="auto"/>
              <w:rPr>
                <w:rFonts w:ascii="Arial Narrow" w:hAnsi="Arial Narrow"/>
                <w:sz w:val="18"/>
                <w:szCs w:val="18"/>
                <w:u w:val="single"/>
              </w:rPr>
            </w:pPr>
            <w:r w:rsidRPr="00E70A11">
              <w:rPr>
                <w:rFonts w:ascii="Arial Narrow" w:hAnsi="Arial Narrow"/>
                <w:sz w:val="18"/>
                <w:szCs w:val="18"/>
              </w:rPr>
              <w:t xml:space="preserve">In 2017 aspects of the Land and Sea Country Partnerships were audited by GBRMPA’s internal auditor to determine amongst other things, if there was appropriate and adequate monitoring information gathered in relation </w:t>
            </w:r>
            <w:bookmarkStart w:id="237" w:name="_Hlk511121200"/>
            <w:r w:rsidRPr="00E70A11">
              <w:rPr>
                <w:rFonts w:ascii="Arial Narrow" w:hAnsi="Arial Narrow"/>
                <w:sz w:val="18"/>
                <w:szCs w:val="18"/>
              </w:rPr>
              <w:t>to Traditional Use of Marine Resources</w:t>
            </w:r>
            <w:bookmarkEnd w:id="237"/>
            <w:r w:rsidRPr="00E70A11">
              <w:rPr>
                <w:rFonts w:ascii="Arial Narrow" w:hAnsi="Arial Narrow"/>
                <w:sz w:val="18"/>
                <w:szCs w:val="18"/>
              </w:rPr>
              <w:t>. The study concluded that output and outcome reporting of TUMRA activities could be improved to ensure that both tangible and intangible outcomes are being monitored and reported.</w:t>
            </w:r>
          </w:p>
        </w:tc>
        <w:tc>
          <w:tcPr>
            <w:tcW w:w="4819" w:type="dxa"/>
            <w:tcBorders>
              <w:top w:val="single" w:sz="4" w:space="0" w:color="auto"/>
              <w:left w:val="single" w:sz="4" w:space="0" w:color="auto"/>
              <w:bottom w:val="single" w:sz="4" w:space="0" w:color="auto"/>
              <w:right w:val="single" w:sz="4" w:space="0" w:color="auto"/>
            </w:tcBorders>
          </w:tcPr>
          <w:p w14:paraId="57620A73" w14:textId="77777777" w:rsidR="00A56EE9" w:rsidRPr="00E70A11" w:rsidRDefault="00A56EE9" w:rsidP="00A11869">
            <w:pPr>
              <w:pStyle w:val="ListParagraph"/>
              <w:numPr>
                <w:ilvl w:val="0"/>
                <w:numId w:val="140"/>
              </w:numPr>
              <w:spacing w:after="200" w:line="276" w:lineRule="auto"/>
              <w:rPr>
                <w:rFonts w:ascii="Arial Narrow" w:hAnsi="Arial Narrow"/>
                <w:sz w:val="18"/>
                <w:szCs w:val="18"/>
              </w:rPr>
            </w:pPr>
            <w:r w:rsidRPr="00E70A11">
              <w:rPr>
                <w:rFonts w:ascii="Arial Narrow" w:hAnsi="Arial Narrow"/>
                <w:sz w:val="18"/>
                <w:szCs w:val="18"/>
              </w:rPr>
              <w:t xml:space="preserve">Draft Aboriginal and Torres Strait Islander Heritage Strategy </w:t>
            </w:r>
          </w:p>
          <w:p w14:paraId="57620A74" w14:textId="77777777" w:rsidR="00A56EE9" w:rsidRPr="00E70A11" w:rsidRDefault="00A56EE9" w:rsidP="00A11869">
            <w:pPr>
              <w:pStyle w:val="ListParagraph"/>
              <w:numPr>
                <w:ilvl w:val="0"/>
                <w:numId w:val="140"/>
              </w:numPr>
              <w:spacing w:after="200" w:line="276" w:lineRule="auto"/>
              <w:rPr>
                <w:rFonts w:ascii="Arial Narrow" w:hAnsi="Arial Narrow"/>
                <w:sz w:val="18"/>
                <w:szCs w:val="18"/>
              </w:rPr>
            </w:pPr>
            <w:r w:rsidRPr="00E70A11">
              <w:rPr>
                <w:rFonts w:ascii="Arial Narrow" w:hAnsi="Arial Narrow"/>
                <w:sz w:val="18"/>
                <w:szCs w:val="18"/>
              </w:rPr>
              <w:t xml:space="preserve">Land and Sea Country Partnerships Program </w:t>
            </w:r>
            <w:hyperlink r:id="rId1979" w:history="1">
              <w:r w:rsidRPr="00E70A11">
                <w:rPr>
                  <w:rStyle w:val="Hyperlink"/>
                  <w:rFonts w:ascii="Arial Narrow" w:hAnsi="Arial Narrow"/>
                  <w:sz w:val="18"/>
                  <w:szCs w:val="18"/>
                </w:rPr>
                <w:t>MERI Plan and Program Logic 2013-2018</w:t>
              </w:r>
            </w:hyperlink>
          </w:p>
          <w:p w14:paraId="57620A75" w14:textId="77777777" w:rsidR="00A56EE9" w:rsidRPr="00E70A11" w:rsidRDefault="008B5998" w:rsidP="00A11869">
            <w:pPr>
              <w:pStyle w:val="ListParagraph"/>
              <w:numPr>
                <w:ilvl w:val="0"/>
                <w:numId w:val="140"/>
              </w:numPr>
              <w:spacing w:after="200" w:line="276" w:lineRule="auto"/>
              <w:rPr>
                <w:rFonts w:ascii="Arial Narrow" w:hAnsi="Arial Narrow"/>
                <w:sz w:val="18"/>
                <w:szCs w:val="18"/>
                <w:u w:val="single"/>
              </w:rPr>
            </w:pPr>
            <w:hyperlink r:id="rId1980" w:history="1">
              <w:r w:rsidR="00A56EE9" w:rsidRPr="00E70A11">
                <w:rPr>
                  <w:rStyle w:val="Hyperlink"/>
                  <w:rFonts w:ascii="Arial Narrow" w:hAnsi="Arial Narrow"/>
                  <w:sz w:val="18"/>
                  <w:szCs w:val="18"/>
                </w:rPr>
                <w:t>Indigenous partnerships section plan</w:t>
              </w:r>
            </w:hyperlink>
          </w:p>
          <w:p w14:paraId="57620A76" w14:textId="77777777" w:rsidR="00A56EE9" w:rsidRPr="00AC4AB4" w:rsidRDefault="00A56EE9" w:rsidP="00A11869">
            <w:pPr>
              <w:pStyle w:val="ListParagraph"/>
              <w:numPr>
                <w:ilvl w:val="0"/>
                <w:numId w:val="140"/>
              </w:numPr>
              <w:spacing w:after="200" w:line="276" w:lineRule="auto"/>
              <w:rPr>
                <w:rFonts w:ascii="Arial Narrow" w:hAnsi="Arial Narrow"/>
                <w:sz w:val="18"/>
                <w:szCs w:val="18"/>
              </w:rPr>
            </w:pPr>
            <w:r w:rsidRPr="00E70A11">
              <w:rPr>
                <w:rFonts w:ascii="Arial Narrow" w:hAnsi="Arial Narrow"/>
                <w:sz w:val="18"/>
                <w:szCs w:val="18"/>
              </w:rPr>
              <w:t>FMP 5 year Business Strategy and Annual Business Plan (see Strategy on Indigenous Engagement for specific actions)</w:t>
            </w:r>
          </w:p>
        </w:tc>
        <w:tc>
          <w:tcPr>
            <w:tcW w:w="851" w:type="dxa"/>
            <w:tcBorders>
              <w:top w:val="single" w:sz="4" w:space="0" w:color="auto"/>
              <w:left w:val="single" w:sz="4" w:space="0" w:color="auto"/>
              <w:bottom w:val="single" w:sz="4" w:space="0" w:color="auto"/>
              <w:right w:val="single" w:sz="4" w:space="0" w:color="auto"/>
            </w:tcBorders>
          </w:tcPr>
          <w:p w14:paraId="57620A77" w14:textId="77777777" w:rsidR="00A56EE9" w:rsidRPr="00E70A11" w:rsidRDefault="00A56EE9" w:rsidP="00BB6AD5">
            <w:pPr>
              <w:rPr>
                <w:rFonts w:ascii="Arial Narrow" w:hAnsi="Arial Narrow"/>
                <w:sz w:val="18"/>
                <w:szCs w:val="18"/>
              </w:rPr>
            </w:pPr>
            <w:r w:rsidRPr="00E70A11">
              <w:rPr>
                <w:rFonts w:ascii="Arial Narrow" w:eastAsia="Calibri" w:hAnsi="Arial Narrow"/>
                <w:sz w:val="18"/>
                <w:szCs w:val="18"/>
              </w:rPr>
              <w:t>Limited</w:t>
            </w:r>
          </w:p>
        </w:tc>
        <w:tc>
          <w:tcPr>
            <w:tcW w:w="992" w:type="dxa"/>
            <w:tcBorders>
              <w:top w:val="single" w:sz="4" w:space="0" w:color="auto"/>
              <w:left w:val="single" w:sz="4" w:space="0" w:color="auto"/>
              <w:bottom w:val="single" w:sz="4" w:space="0" w:color="auto"/>
              <w:right w:val="single" w:sz="4" w:space="0" w:color="auto"/>
            </w:tcBorders>
          </w:tcPr>
          <w:p w14:paraId="57620A7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87"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A7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PL6</w:t>
            </w:r>
            <w:r>
              <w:rPr>
                <w:rFonts w:ascii="Arial Narrow" w:hAnsi="Arial Narrow"/>
                <w:sz w:val="18"/>
                <w:szCs w:val="18"/>
              </w:rPr>
              <w:t xml:space="preserve"> </w:t>
            </w:r>
            <w:r w:rsidRPr="00E70A11">
              <w:rPr>
                <w:rFonts w:ascii="Arial Narrow" w:hAnsi="Arial Narrow"/>
                <w:sz w:val="18"/>
                <w:szCs w:val="18"/>
              </w:rPr>
              <w:t xml:space="preserve">The main stakeholders &amp;/or the local community are effectively engaged in planning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A7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A7C" w14:textId="77777777" w:rsidR="00A56EE9" w:rsidRPr="00E70A11" w:rsidRDefault="00A56EE9" w:rsidP="00A11869">
            <w:pPr>
              <w:pStyle w:val="ListParagraph"/>
              <w:numPr>
                <w:ilvl w:val="0"/>
                <w:numId w:val="24"/>
              </w:numPr>
              <w:spacing w:after="200" w:line="276" w:lineRule="auto"/>
              <w:rPr>
                <w:rFonts w:ascii="Arial Narrow" w:eastAsia="Calibri" w:hAnsi="Arial Narrow"/>
                <w:sz w:val="18"/>
                <w:szCs w:val="18"/>
              </w:rPr>
            </w:pPr>
            <w:r w:rsidRPr="00E70A11">
              <w:rPr>
                <w:rFonts w:ascii="Arial Narrow" w:eastAsia="Calibri" w:hAnsi="Arial Narrow"/>
                <w:sz w:val="18"/>
                <w:szCs w:val="18"/>
              </w:rPr>
              <w:t>TUMRAs can only be developed with effective engagement with Traditional Owners. A new TUMRA takes at least 1-2 years to develop before it can be submitted for accreditation. This bulk of this period is spent on effectively engaging with communities.</w:t>
            </w:r>
          </w:p>
          <w:p w14:paraId="57620A7D" w14:textId="77777777" w:rsidR="00A56EE9" w:rsidRPr="00E70A11" w:rsidRDefault="00A56EE9" w:rsidP="00A11869">
            <w:pPr>
              <w:pStyle w:val="ListParagraph"/>
              <w:numPr>
                <w:ilvl w:val="0"/>
                <w:numId w:val="24"/>
              </w:numPr>
              <w:spacing w:after="200" w:line="276" w:lineRule="auto"/>
              <w:rPr>
                <w:rFonts w:ascii="Arial Narrow" w:eastAsia="Calibri" w:hAnsi="Arial Narrow"/>
                <w:sz w:val="18"/>
                <w:szCs w:val="18"/>
              </w:rPr>
            </w:pPr>
            <w:r w:rsidRPr="00E70A11">
              <w:rPr>
                <w:rFonts w:ascii="Arial Narrow" w:eastAsia="Calibri" w:hAnsi="Arial Narrow"/>
                <w:sz w:val="18"/>
                <w:szCs w:val="18"/>
              </w:rPr>
              <w:t>For evaluation of engagement in other planning processes, see the Indigenous Heritage table.</w:t>
            </w:r>
          </w:p>
        </w:tc>
        <w:tc>
          <w:tcPr>
            <w:tcW w:w="4819" w:type="dxa"/>
            <w:tcBorders>
              <w:top w:val="single" w:sz="4" w:space="0" w:color="auto"/>
              <w:left w:val="single" w:sz="4" w:space="0" w:color="auto"/>
              <w:bottom w:val="single" w:sz="4" w:space="0" w:color="auto"/>
              <w:right w:val="single" w:sz="4" w:space="0" w:color="auto"/>
            </w:tcBorders>
          </w:tcPr>
          <w:p w14:paraId="57620A7E" w14:textId="77777777" w:rsidR="00A56EE9" w:rsidRPr="00E70A11" w:rsidRDefault="008B5998" w:rsidP="00A11869">
            <w:pPr>
              <w:pStyle w:val="EndNoteBibliography"/>
              <w:numPr>
                <w:ilvl w:val="0"/>
                <w:numId w:val="24"/>
              </w:numPr>
              <w:spacing w:after="0"/>
              <w:ind w:left="357" w:hanging="357"/>
              <w:rPr>
                <w:rStyle w:val="Hyperlink"/>
                <w:rFonts w:ascii="Arial Narrow" w:hAnsi="Arial Narrow"/>
                <w:sz w:val="18"/>
                <w:szCs w:val="18"/>
              </w:rPr>
            </w:pPr>
            <w:hyperlink r:id="rId1981" w:history="1">
              <w:r w:rsidR="00A56EE9" w:rsidRPr="00E70A11">
                <w:rPr>
                  <w:rStyle w:val="Hyperlink"/>
                  <w:rFonts w:ascii="Arial Narrow" w:hAnsi="Arial Narrow"/>
                  <w:sz w:val="18"/>
                  <w:szCs w:val="18"/>
                </w:rPr>
                <w:t>TUMRA video 2015</w:t>
              </w:r>
            </w:hyperlink>
          </w:p>
          <w:bookmarkStart w:id="238" w:name="_Hlk519333051"/>
          <w:p w14:paraId="57620A7F" w14:textId="77777777" w:rsidR="00A56EE9" w:rsidRPr="00E70A11" w:rsidRDefault="00A56EE9" w:rsidP="00A11869">
            <w:pPr>
              <w:pStyle w:val="EndNoteBibliography"/>
              <w:numPr>
                <w:ilvl w:val="0"/>
                <w:numId w:val="24"/>
              </w:numPr>
              <w:spacing w:after="0"/>
              <w:ind w:left="357" w:hanging="357"/>
              <w:rPr>
                <w:rFonts w:ascii="Arial Narrow" w:eastAsia="Calibri" w:hAnsi="Arial Narrow"/>
                <w:noProof w:val="0"/>
                <w:sz w:val="18"/>
                <w:szCs w:val="18"/>
                <w:lang w:val="en-AU"/>
              </w:rPr>
            </w:pPr>
            <w:r w:rsidRPr="00E70A11">
              <w:rPr>
                <w:rStyle w:val="Hyperlink"/>
                <w:rFonts w:ascii="Arial Narrow" w:hAnsi="Arial Narrow"/>
                <w:sz w:val="18"/>
                <w:szCs w:val="18"/>
              </w:rPr>
              <w:fldChar w:fldCharType="begin"/>
            </w:r>
            <w:r w:rsidRPr="00E70A11">
              <w:rPr>
                <w:rStyle w:val="Hyperlink"/>
                <w:rFonts w:ascii="Arial Narrow" w:hAnsi="Arial Narrow"/>
                <w:sz w:val="18"/>
                <w:szCs w:val="18"/>
              </w:rPr>
              <w:instrText xml:space="preserve"> HYPERLINK "https://www.youtube.com/watch?v=Y2Y_gHuklyc" </w:instrText>
            </w:r>
            <w:r w:rsidRPr="00E70A11">
              <w:rPr>
                <w:rStyle w:val="Hyperlink"/>
                <w:rFonts w:ascii="Arial Narrow" w:hAnsi="Arial Narrow"/>
                <w:sz w:val="18"/>
                <w:szCs w:val="18"/>
              </w:rPr>
              <w:fldChar w:fldCharType="separate"/>
            </w:r>
            <w:r w:rsidRPr="00E70A11">
              <w:rPr>
                <w:rStyle w:val="Hyperlink"/>
                <w:rFonts w:ascii="Arial Narrow" w:hAnsi="Arial Narrow"/>
                <w:sz w:val="18"/>
                <w:szCs w:val="18"/>
              </w:rPr>
              <w:t>The Yirriganydji TUMRA</w:t>
            </w:r>
            <w:r w:rsidRPr="00E70A11">
              <w:rPr>
                <w:rStyle w:val="Hyperlink"/>
                <w:rFonts w:ascii="Arial Narrow" w:hAnsi="Arial Narrow"/>
                <w:sz w:val="18"/>
                <w:szCs w:val="18"/>
              </w:rPr>
              <w:fldChar w:fldCharType="end"/>
            </w:r>
          </w:p>
          <w:bookmarkEnd w:id="238"/>
          <w:p w14:paraId="57620A80" w14:textId="77777777" w:rsidR="00A56EE9" w:rsidRPr="00E70A11" w:rsidRDefault="00A56EE9" w:rsidP="00A11869">
            <w:pPr>
              <w:pStyle w:val="EndNoteBibliography"/>
              <w:numPr>
                <w:ilvl w:val="0"/>
                <w:numId w:val="24"/>
              </w:numPr>
              <w:spacing w:after="0"/>
              <w:ind w:left="357" w:hanging="357"/>
              <w:rPr>
                <w:rFonts w:ascii="Arial Narrow" w:eastAsia="Calibri" w:hAnsi="Arial Narrow"/>
                <w:sz w:val="18"/>
                <w:szCs w:val="18"/>
              </w:rPr>
            </w:pPr>
            <w:r w:rsidRPr="00E70A11">
              <w:rPr>
                <w:rFonts w:ascii="Arial Narrow" w:eastAsia="Calibri" w:hAnsi="Arial Narrow"/>
                <w:noProof w:val="0"/>
                <w:sz w:val="18"/>
                <w:szCs w:val="18"/>
                <w:lang w:val="en-AU"/>
              </w:rPr>
              <w:t>Websites of Indigneous groups</w:t>
            </w:r>
          </w:p>
          <w:p w14:paraId="57620A81" w14:textId="77777777" w:rsidR="00A56EE9" w:rsidRPr="00E70A11" w:rsidRDefault="00A56EE9" w:rsidP="00A11869">
            <w:pPr>
              <w:pStyle w:val="EndNoteBibliography"/>
              <w:numPr>
                <w:ilvl w:val="0"/>
                <w:numId w:val="24"/>
              </w:numPr>
              <w:spacing w:after="0"/>
              <w:ind w:left="357" w:hanging="357"/>
              <w:rPr>
                <w:rFonts w:ascii="Arial Narrow" w:eastAsia="Calibri" w:hAnsi="Arial Narrow"/>
                <w:noProof w:val="0"/>
                <w:sz w:val="18"/>
                <w:szCs w:val="18"/>
                <w:lang w:val="en-AU"/>
              </w:rPr>
            </w:pPr>
            <w:r w:rsidRPr="00E70A11">
              <w:rPr>
                <w:rFonts w:ascii="Arial Narrow" w:eastAsia="Calibri" w:hAnsi="Arial Narrow"/>
                <w:noProof w:val="0"/>
                <w:sz w:val="18"/>
                <w:szCs w:val="18"/>
                <w:lang w:val="en-AU"/>
              </w:rPr>
              <w:t>LSCPP progress/annual reports</w:t>
            </w:r>
          </w:p>
          <w:p w14:paraId="57620A82" w14:textId="77777777" w:rsidR="00A56EE9" w:rsidRPr="00E70A11" w:rsidRDefault="00A56EE9" w:rsidP="00A11869">
            <w:pPr>
              <w:pStyle w:val="EndNoteBibliography"/>
              <w:numPr>
                <w:ilvl w:val="0"/>
                <w:numId w:val="24"/>
              </w:numPr>
              <w:spacing w:after="0"/>
              <w:ind w:left="357" w:hanging="357"/>
              <w:rPr>
                <w:rFonts w:ascii="Arial Narrow" w:eastAsia="Calibri" w:hAnsi="Arial Narrow"/>
                <w:noProof w:val="0"/>
                <w:sz w:val="18"/>
                <w:szCs w:val="18"/>
                <w:lang w:val="en-AU"/>
              </w:rPr>
            </w:pPr>
            <w:r w:rsidRPr="00E70A11">
              <w:rPr>
                <w:rFonts w:ascii="Arial Narrow" w:eastAsia="Calibri" w:hAnsi="Arial Narrow"/>
                <w:noProof w:val="0"/>
                <w:sz w:val="18"/>
                <w:szCs w:val="18"/>
                <w:lang w:val="en-AU"/>
              </w:rPr>
              <w:t>Independent assessment of Land and Sea Country Partnerships Program 2017 by Knott and Associates (available 16 October 2017).</w:t>
            </w:r>
          </w:p>
          <w:p w14:paraId="57620A83" w14:textId="77777777" w:rsidR="00A56EE9" w:rsidRPr="00E70A11" w:rsidRDefault="00A56EE9" w:rsidP="00A11869">
            <w:pPr>
              <w:pStyle w:val="EndNoteBibliography"/>
              <w:numPr>
                <w:ilvl w:val="0"/>
                <w:numId w:val="24"/>
              </w:numPr>
              <w:spacing w:after="0"/>
              <w:ind w:left="357" w:hanging="357"/>
              <w:rPr>
                <w:rFonts w:ascii="Arial Narrow" w:eastAsia="Calibri" w:hAnsi="Arial Narrow"/>
                <w:noProof w:val="0"/>
                <w:sz w:val="18"/>
                <w:szCs w:val="18"/>
                <w:lang w:val="en-AU"/>
              </w:rPr>
            </w:pPr>
            <w:r w:rsidRPr="00E70A11">
              <w:rPr>
                <w:rFonts w:ascii="Arial Narrow" w:eastAsia="Calibri" w:hAnsi="Arial Narrow"/>
                <w:noProof w:val="0"/>
                <w:sz w:val="18"/>
                <w:szCs w:val="18"/>
                <w:lang w:val="en-AU"/>
              </w:rPr>
              <w:t>Internal audit report of the TUMRA program.</w:t>
            </w:r>
          </w:p>
          <w:p w14:paraId="57620A84" w14:textId="77777777" w:rsidR="00A56EE9" w:rsidRPr="00E70A11" w:rsidRDefault="00A56EE9" w:rsidP="00A11869">
            <w:pPr>
              <w:pStyle w:val="EndNoteBibliography"/>
              <w:numPr>
                <w:ilvl w:val="0"/>
                <w:numId w:val="24"/>
              </w:numPr>
              <w:spacing w:after="0"/>
              <w:ind w:left="357" w:hanging="357"/>
              <w:rPr>
                <w:rFonts w:ascii="Arial Narrow" w:eastAsia="Calibri" w:hAnsi="Arial Narrow"/>
                <w:sz w:val="18"/>
                <w:szCs w:val="18"/>
              </w:rPr>
            </w:pPr>
            <w:r w:rsidRPr="00E70A11">
              <w:rPr>
                <w:rFonts w:ascii="Arial Narrow" w:eastAsia="Calibri" w:hAnsi="Arial Narrow"/>
                <w:noProof w:val="0"/>
                <w:sz w:val="18"/>
                <w:szCs w:val="18"/>
                <w:lang w:val="en-AU"/>
              </w:rPr>
              <w:t>Cultural Knowledge Management System database</w:t>
            </w:r>
          </w:p>
        </w:tc>
        <w:tc>
          <w:tcPr>
            <w:tcW w:w="851" w:type="dxa"/>
            <w:tcBorders>
              <w:top w:val="single" w:sz="4" w:space="0" w:color="auto"/>
              <w:left w:val="single" w:sz="4" w:space="0" w:color="auto"/>
              <w:bottom w:val="single" w:sz="4" w:space="0" w:color="auto"/>
              <w:right w:val="single" w:sz="4" w:space="0" w:color="auto"/>
            </w:tcBorders>
          </w:tcPr>
          <w:p w14:paraId="57620A8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A8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94"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A8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PL7</w:t>
            </w:r>
            <w:r>
              <w:rPr>
                <w:rFonts w:ascii="Arial Narrow" w:hAnsi="Arial Narrow"/>
                <w:sz w:val="18"/>
                <w:szCs w:val="18"/>
              </w:rPr>
              <w:t xml:space="preserve"> </w:t>
            </w:r>
            <w:r w:rsidRPr="00E70A11">
              <w:rPr>
                <w:rFonts w:ascii="Arial Narrow" w:hAnsi="Arial Narrow"/>
                <w:sz w:val="18"/>
                <w:szCs w:val="18"/>
              </w:rPr>
              <w:t xml:space="preserve">Sufficient policy currently exists to effectively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8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A8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Policy on Traditional Use of Marine Resources is under development.</w:t>
            </w:r>
          </w:p>
          <w:p w14:paraId="57620A8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draft Aboriginal and Torres Strait Islander Heritage Policy and the draft ‘Heritage in the Great Barrier Reef Marine Park’ also contain relevant guidelines and policy statements.</w:t>
            </w:r>
          </w:p>
          <w:p w14:paraId="57620A8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Changes to the GBR permissions systems implemented in 2017 provide more policy for assessment of permit applications including those that could affect Traditional Use of Marine Resources (including application for activities that could interfere with traditional activities).</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A8D" w14:textId="77777777" w:rsidR="00A56EE9" w:rsidRPr="00E70A11" w:rsidRDefault="008B5998" w:rsidP="00A11869">
            <w:pPr>
              <w:pStyle w:val="ListParagraph"/>
              <w:numPr>
                <w:ilvl w:val="0"/>
                <w:numId w:val="24"/>
              </w:numPr>
              <w:spacing w:after="0" w:line="240" w:lineRule="auto"/>
              <w:ind w:left="357" w:hanging="357"/>
              <w:rPr>
                <w:rStyle w:val="Hyperlink"/>
                <w:rFonts w:ascii="Arial Narrow" w:hAnsi="Arial Narrow"/>
                <w:sz w:val="18"/>
                <w:szCs w:val="18"/>
                <w:lang w:val="en-GB"/>
              </w:rPr>
            </w:pPr>
            <w:hyperlink r:id="rId1982" w:history="1">
              <w:r w:rsidR="00A56EE9" w:rsidRPr="00E70A11">
                <w:rPr>
                  <w:rStyle w:val="Hyperlink"/>
                  <w:rFonts w:ascii="Arial Narrow" w:hAnsi="Arial Narrow"/>
                  <w:sz w:val="18"/>
                  <w:szCs w:val="18"/>
                </w:rPr>
                <w:t>Permission System policy</w:t>
              </w:r>
            </w:hyperlink>
          </w:p>
          <w:p w14:paraId="57620A8E"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Draft Policy on Traditional Use of Marine Resources</w:t>
            </w:r>
          </w:p>
          <w:p w14:paraId="57620A8F" w14:textId="77777777" w:rsidR="00A56EE9" w:rsidRPr="00E70A11" w:rsidRDefault="008B5998" w:rsidP="00A11869">
            <w:pPr>
              <w:pStyle w:val="EndNoteBibliography"/>
              <w:numPr>
                <w:ilvl w:val="0"/>
                <w:numId w:val="24"/>
              </w:numPr>
              <w:spacing w:after="0"/>
              <w:ind w:left="357" w:hanging="357"/>
              <w:contextualSpacing/>
              <w:rPr>
                <w:rStyle w:val="Hyperlink"/>
                <w:rFonts w:ascii="Arial Narrow" w:eastAsia="Times New Roman" w:hAnsi="Arial Narrow"/>
                <w:sz w:val="18"/>
                <w:szCs w:val="18"/>
                <w:lang w:eastAsia="en-AU"/>
              </w:rPr>
            </w:pPr>
            <w:hyperlink r:id="rId1983" w:history="1">
              <w:r w:rsidR="00A56EE9" w:rsidRPr="00E70A11">
                <w:rPr>
                  <w:rStyle w:val="Hyperlink"/>
                  <w:rFonts w:ascii="Arial Narrow" w:eastAsia="Times New Roman" w:hAnsi="Arial Narrow"/>
                  <w:sz w:val="18"/>
                  <w:szCs w:val="18"/>
                  <w:lang w:eastAsia="en-AU"/>
                </w:rPr>
                <w:t>Draft Aboriginal and Islander Heritage Strategy</w:t>
              </w:r>
            </w:hyperlink>
          </w:p>
          <w:p w14:paraId="57620A90" w14:textId="77777777" w:rsidR="00A56EE9" w:rsidRPr="00E70A11" w:rsidRDefault="008B5998" w:rsidP="00A11869">
            <w:pPr>
              <w:pStyle w:val="EndNoteBibliography"/>
              <w:numPr>
                <w:ilvl w:val="0"/>
                <w:numId w:val="24"/>
              </w:numPr>
              <w:spacing w:after="0"/>
              <w:ind w:left="357" w:hanging="357"/>
              <w:contextualSpacing/>
              <w:rPr>
                <w:rStyle w:val="Hyperlink"/>
                <w:rFonts w:ascii="Arial Narrow" w:eastAsia="Times New Roman" w:hAnsi="Arial Narrow"/>
                <w:sz w:val="18"/>
                <w:szCs w:val="18"/>
                <w:lang w:eastAsia="en-AU"/>
              </w:rPr>
            </w:pPr>
            <w:hyperlink r:id="rId1984" w:history="1">
              <w:r w:rsidR="00A56EE9" w:rsidRPr="00E70A11">
                <w:rPr>
                  <w:rStyle w:val="Hyperlink"/>
                  <w:rFonts w:ascii="Arial Narrow" w:eastAsia="Times New Roman" w:hAnsi="Arial Narrow"/>
                  <w:sz w:val="18"/>
                  <w:szCs w:val="18"/>
                  <w:lang w:eastAsia="en-AU"/>
                </w:rPr>
                <w:t xml:space="preserve"> Guidelines: Woppaburra Traditional Owner Heritage</w:t>
              </w:r>
            </w:hyperlink>
            <w:r w:rsidR="00A56EE9" w:rsidRPr="00E70A11">
              <w:rPr>
                <w:rStyle w:val="Hyperlink"/>
                <w:rFonts w:ascii="Arial Narrow" w:eastAsia="Times New Roman" w:hAnsi="Arial Narrow"/>
                <w:sz w:val="18"/>
                <w:szCs w:val="18"/>
                <w:lang w:eastAsia="en-AU"/>
              </w:rPr>
              <w:t xml:space="preserve"> Assessment</w:t>
            </w:r>
          </w:p>
          <w:p w14:paraId="57620A91" w14:textId="77777777" w:rsidR="00A56EE9" w:rsidRPr="00AC4AB4" w:rsidRDefault="008B5998" w:rsidP="00A11869">
            <w:pPr>
              <w:pStyle w:val="EndNoteBibliography"/>
              <w:numPr>
                <w:ilvl w:val="0"/>
                <w:numId w:val="24"/>
              </w:numPr>
              <w:spacing w:after="0"/>
              <w:ind w:left="357" w:hanging="357"/>
              <w:contextualSpacing/>
              <w:rPr>
                <w:rFonts w:ascii="Arial Narrow" w:hAnsi="Arial Narrow"/>
                <w:color w:val="0000FF"/>
                <w:sz w:val="18"/>
                <w:szCs w:val="18"/>
                <w:u w:val="single"/>
                <w:lang w:val="en-AU"/>
              </w:rPr>
            </w:pPr>
            <w:hyperlink r:id="rId1985" w:history="1">
              <w:r w:rsidR="00A56EE9" w:rsidRPr="00E70A11">
                <w:rPr>
                  <w:rStyle w:val="Hyperlink"/>
                  <w:rFonts w:ascii="Arial Narrow" w:eastAsia="Times New Roman" w:hAnsi="Arial Narrow"/>
                  <w:sz w:val="18"/>
                  <w:szCs w:val="18"/>
                  <w:lang w:eastAsia="en-AU"/>
                </w:rPr>
                <w:t>Traditional Owner Heritage Assessment Guidelines</w:t>
              </w:r>
            </w:hyperlink>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9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A9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AA4"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A9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 xml:space="preserve">PL8 There is consistency across jurisdictions when planning for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9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A9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TUMRAs are jointly accredited by GBRMPA and Queensland</w:t>
            </w:r>
          </w:p>
          <w:p w14:paraId="57620A9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Queensland Great Barrier Reef Coast Zoning Plan and the Commonwealth Great Barrier Reef Marine Park Zoning Plan has complimentary zoning.</w:t>
            </w:r>
          </w:p>
          <w:p w14:paraId="57620A9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Field Management Program works in cooperation with Traditional Owner groups, including TUMRA groups.</w:t>
            </w:r>
          </w:p>
          <w:p w14:paraId="57620A9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An informal interdepartmental working group has been formed to increase alignment and consistency between Indigenous Ranger programs (run by EHP and DOEE), the joint field management program and the TUMRA program.</w:t>
            </w:r>
          </w:p>
          <w:p w14:paraId="57620A9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number of different plans in the Region (see PL1) can be confusing</w:t>
            </w:r>
            <w:proofErr w:type="gramStart"/>
            <w:r w:rsidRPr="00E70A11">
              <w:rPr>
                <w:rFonts w:ascii="Arial Narrow" w:eastAsia="Calibri" w:hAnsi="Arial Narrow"/>
                <w:sz w:val="18"/>
                <w:szCs w:val="18"/>
              </w:rPr>
              <w:t>,,</w:t>
            </w:r>
            <w:proofErr w:type="gramEnd"/>
            <w:r w:rsidRPr="00E70A11">
              <w:rPr>
                <w:rFonts w:ascii="Arial Narrow" w:eastAsia="Calibri" w:hAnsi="Arial Narrow"/>
                <w:sz w:val="18"/>
                <w:szCs w:val="18"/>
              </w:rPr>
              <w:t xml:space="preserve"> but where TUMRAs exist, these are the clear guiding documents for Traditional use.</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A9C" w14:textId="77777777" w:rsidR="00A56EE9" w:rsidRPr="00E70A11" w:rsidRDefault="00A56EE9" w:rsidP="00A11869">
            <w:pPr>
              <w:pStyle w:val="EndNoteBibliography"/>
              <w:numPr>
                <w:ilvl w:val="0"/>
                <w:numId w:val="133"/>
              </w:numPr>
              <w:spacing w:after="0"/>
              <w:rPr>
                <w:rStyle w:val="Hyperlink"/>
                <w:rFonts w:ascii="Arial Narrow" w:eastAsia="Times New Roman" w:hAnsi="Arial Narrow"/>
                <w:sz w:val="18"/>
                <w:szCs w:val="18"/>
                <w:lang w:eastAsia="en-AU"/>
              </w:rPr>
            </w:pPr>
            <w:r w:rsidRPr="00E70A11">
              <w:rPr>
                <w:rStyle w:val="Hyperlink"/>
                <w:rFonts w:ascii="Arial Narrow" w:eastAsia="Times New Roman" w:hAnsi="Arial Narrow"/>
                <w:sz w:val="18"/>
                <w:szCs w:val="18"/>
                <w:lang w:eastAsia="en-AU"/>
              </w:rPr>
              <w:t>TUMRAs</w:t>
            </w:r>
          </w:p>
          <w:p w14:paraId="57620A9D" w14:textId="77777777" w:rsidR="00A56EE9" w:rsidRPr="00E70A11" w:rsidRDefault="008B5998" w:rsidP="00A11869">
            <w:pPr>
              <w:pStyle w:val="EndNoteBibliography"/>
              <w:numPr>
                <w:ilvl w:val="0"/>
                <w:numId w:val="133"/>
              </w:numPr>
              <w:spacing w:after="0"/>
              <w:rPr>
                <w:rFonts w:ascii="Arial Narrow" w:eastAsia="Times New Roman" w:hAnsi="Arial Narrow"/>
                <w:color w:val="0000FF"/>
                <w:sz w:val="18"/>
                <w:szCs w:val="18"/>
                <w:u w:val="single"/>
                <w:lang w:eastAsia="en-AU"/>
              </w:rPr>
            </w:pPr>
            <w:hyperlink r:id="rId1986" w:history="1">
              <w:r w:rsidR="00A56EE9" w:rsidRPr="00E70A11">
                <w:rPr>
                  <w:rStyle w:val="Hyperlink"/>
                  <w:rFonts w:ascii="Arial Narrow" w:eastAsia="Times New Roman" w:hAnsi="Arial Narrow"/>
                  <w:sz w:val="18"/>
                  <w:szCs w:val="18"/>
                  <w:lang w:eastAsia="en-AU"/>
                </w:rPr>
                <w:t>Draft Aboriginal and Islander Heritage Strategy</w:t>
              </w:r>
            </w:hyperlink>
            <w:r w:rsidR="00A56EE9" w:rsidRPr="00E70A11">
              <w:rPr>
                <w:rFonts w:ascii="Arial Narrow" w:eastAsia="Calibri" w:hAnsi="Arial Narrow" w:cs="Times New Roman"/>
                <w:noProof w:val="0"/>
                <w:sz w:val="18"/>
                <w:szCs w:val="18"/>
                <w:lang w:val="en-AU"/>
              </w:rPr>
              <w:t xml:space="preserve"> </w:t>
            </w:r>
          </w:p>
          <w:p w14:paraId="57620A9E" w14:textId="77777777" w:rsidR="00A56EE9" w:rsidRPr="00E70A11" w:rsidRDefault="008B5998" w:rsidP="00A11869">
            <w:pPr>
              <w:pStyle w:val="EndNoteBibliography"/>
              <w:numPr>
                <w:ilvl w:val="0"/>
                <w:numId w:val="133"/>
              </w:numPr>
              <w:spacing w:after="0"/>
              <w:rPr>
                <w:rFonts w:ascii="Arial Narrow" w:hAnsi="Arial Narrow"/>
                <w:sz w:val="18"/>
                <w:szCs w:val="18"/>
              </w:rPr>
            </w:pPr>
            <w:hyperlink r:id="rId1987" w:history="1">
              <w:r w:rsidR="00A56EE9" w:rsidRPr="00E70A11">
                <w:rPr>
                  <w:rStyle w:val="Hyperlink"/>
                  <w:rFonts w:ascii="Arial Narrow" w:eastAsia="Times New Roman" w:hAnsi="Arial Narrow"/>
                  <w:sz w:val="18"/>
                  <w:szCs w:val="18"/>
                  <w:lang w:eastAsia="en-AU"/>
                </w:rPr>
                <w:t>Reef 2050 Plan</w:t>
              </w:r>
            </w:hyperlink>
          </w:p>
          <w:p w14:paraId="57620A9F" w14:textId="77777777" w:rsidR="00A56EE9" w:rsidRPr="00E70A11" w:rsidRDefault="008B5998" w:rsidP="00A11869">
            <w:pPr>
              <w:numPr>
                <w:ilvl w:val="0"/>
                <w:numId w:val="133"/>
              </w:numPr>
              <w:spacing w:after="0" w:line="240" w:lineRule="auto"/>
              <w:contextualSpacing/>
              <w:rPr>
                <w:rFonts w:ascii="Arial Narrow" w:eastAsia="Calibri" w:hAnsi="Arial Narrow"/>
                <w:sz w:val="18"/>
                <w:szCs w:val="18"/>
              </w:rPr>
            </w:pPr>
            <w:hyperlink r:id="rId1988" w:history="1">
              <w:r w:rsidR="00A56EE9" w:rsidRPr="00E70A11">
                <w:rPr>
                  <w:rStyle w:val="Hyperlink"/>
                  <w:rFonts w:ascii="Arial Narrow" w:eastAsia="Calibri" w:hAnsi="Arial Narrow"/>
                  <w:sz w:val="18"/>
                  <w:szCs w:val="18"/>
                </w:rPr>
                <w:t>Whitsunday Plan of Management 2017</w:t>
              </w:r>
            </w:hyperlink>
          </w:p>
          <w:p w14:paraId="57620AA0" w14:textId="77777777" w:rsidR="00A56EE9" w:rsidRPr="00E70A11" w:rsidRDefault="008B5998" w:rsidP="00A11869">
            <w:pPr>
              <w:numPr>
                <w:ilvl w:val="0"/>
                <w:numId w:val="133"/>
              </w:numPr>
              <w:spacing w:after="0" w:line="240" w:lineRule="auto"/>
              <w:contextualSpacing/>
              <w:rPr>
                <w:rFonts w:ascii="Arial Narrow" w:eastAsia="Calibri" w:hAnsi="Arial Narrow"/>
                <w:sz w:val="18"/>
                <w:szCs w:val="18"/>
              </w:rPr>
            </w:pPr>
            <w:hyperlink r:id="rId1989" w:history="1">
              <w:r w:rsidR="00A56EE9" w:rsidRPr="00E70A11">
                <w:rPr>
                  <w:rStyle w:val="Hyperlink"/>
                  <w:rFonts w:ascii="Arial Narrow" w:eastAsia="Calibri" w:hAnsi="Arial Narrow"/>
                  <w:sz w:val="18"/>
                  <w:szCs w:val="18"/>
                </w:rPr>
                <w:t>Recovery Plan for</w:t>
              </w:r>
              <w:r w:rsidR="00A56EE9">
                <w:rPr>
                  <w:rStyle w:val="Hyperlink"/>
                  <w:rFonts w:ascii="Arial Narrow" w:eastAsia="Calibri" w:hAnsi="Arial Narrow"/>
                  <w:sz w:val="18"/>
                  <w:szCs w:val="18"/>
                </w:rPr>
                <w:t xml:space="preserve"> </w:t>
              </w:r>
              <w:r w:rsidR="00A56EE9" w:rsidRPr="00E70A11">
                <w:rPr>
                  <w:rStyle w:val="Hyperlink"/>
                  <w:rFonts w:ascii="Arial Narrow" w:eastAsia="Calibri" w:hAnsi="Arial Narrow"/>
                  <w:sz w:val="18"/>
                  <w:szCs w:val="18"/>
                </w:rPr>
                <w:t>Marine Turtles in Australia 2017-2027</w:t>
              </w:r>
            </w:hyperlink>
            <w:r w:rsidR="00A56EE9" w:rsidRPr="00E70A11">
              <w:rPr>
                <w:rFonts w:ascii="Arial Narrow" w:eastAsia="Calibri" w:hAnsi="Arial Narrow"/>
                <w:sz w:val="18"/>
                <w:szCs w:val="18"/>
              </w:rPr>
              <w:t xml:space="preserve">, </w:t>
            </w:r>
          </w:p>
          <w:p w14:paraId="57620AA1" w14:textId="77777777" w:rsidR="00A56EE9" w:rsidRPr="00E70A11" w:rsidRDefault="008B5998" w:rsidP="00A11869">
            <w:pPr>
              <w:numPr>
                <w:ilvl w:val="0"/>
                <w:numId w:val="133"/>
              </w:numPr>
              <w:spacing w:after="0" w:line="240" w:lineRule="auto"/>
              <w:contextualSpacing/>
              <w:rPr>
                <w:rFonts w:ascii="Arial Narrow" w:eastAsia="Calibri" w:hAnsi="Arial Narrow"/>
                <w:sz w:val="18"/>
                <w:szCs w:val="18"/>
              </w:rPr>
            </w:pPr>
            <w:hyperlink r:id="rId1990" w:history="1">
              <w:r w:rsidR="00A56EE9" w:rsidRPr="00E70A11">
                <w:rPr>
                  <w:rStyle w:val="Hyperlink"/>
                  <w:rFonts w:ascii="Arial Narrow" w:eastAsia="Calibri" w:hAnsi="Arial Narrow"/>
                  <w:sz w:val="18"/>
                  <w:szCs w:val="18"/>
                </w:rPr>
                <w:t>Queensland Sustainable Fisheries Strategy 2017-2027</w:t>
              </w:r>
            </w:hyperlink>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A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AA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AC"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AA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PL9</w:t>
            </w:r>
            <w:r>
              <w:rPr>
                <w:rFonts w:ascii="Arial Narrow" w:hAnsi="Arial Narrow"/>
                <w:sz w:val="18"/>
                <w:szCs w:val="18"/>
              </w:rPr>
              <w:t xml:space="preserve"> </w:t>
            </w:r>
            <w:r w:rsidRPr="00E70A11">
              <w:rPr>
                <w:rFonts w:ascii="Arial Narrow" w:hAnsi="Arial Narrow"/>
                <w:sz w:val="18"/>
                <w:szCs w:val="18"/>
              </w:rPr>
              <w:t xml:space="preserve">Plans relevant to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provide certainty regarding where uses may occur, the type of activities allowed</w:t>
            </w:r>
            <w:r w:rsidRPr="00E70A11">
              <w:rPr>
                <w:rFonts w:ascii="Arial Narrow" w:hAnsi="Arial Narrow"/>
                <w:sz w:val="18"/>
                <w:szCs w:val="18"/>
                <w:lang w:val="en-US"/>
              </w:rPr>
              <w:t xml:space="preserve"> or specifically disallowed,</w:t>
            </w:r>
            <w:r w:rsidRPr="00E70A11">
              <w:rPr>
                <w:rFonts w:ascii="Arial Narrow" w:hAnsi="Arial Narrow"/>
                <w:sz w:val="18"/>
                <w:szCs w:val="18"/>
              </w:rPr>
              <w:t xml:space="preserve"> conditions under which activities may proceed and circumstances where impacts are likely to be acceptable.</w:t>
            </w:r>
          </w:p>
        </w:tc>
        <w:tc>
          <w:tcPr>
            <w:tcW w:w="851" w:type="dxa"/>
            <w:tcBorders>
              <w:top w:val="single" w:sz="4" w:space="0" w:color="auto"/>
              <w:left w:val="single" w:sz="4" w:space="0" w:color="auto"/>
              <w:bottom w:val="single" w:sz="4" w:space="0" w:color="auto"/>
              <w:right w:val="single" w:sz="4" w:space="0" w:color="auto"/>
            </w:tcBorders>
          </w:tcPr>
          <w:p w14:paraId="57620AA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AA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Each TUMRA has a publicly available map showing the boundary of the TUMRA (these were updated and made available in 2016). Rules within each TUMRA differ, depending on what was negotiated and accredited, but these are clear about where and how activities may occur. The TUMRAs identify the number of each species that may be taken within the clearly identified sea country boundaries. This information is not available to the public.</w:t>
            </w:r>
            <w:r w:rsidRPr="00E70A11">
              <w:rPr>
                <w:rFonts w:ascii="Arial Narrow" w:hAnsi="Arial Narrow"/>
                <w:sz w:val="18"/>
                <w:szCs w:val="18"/>
                <w:lang w:eastAsia="en-AU"/>
              </w:rPr>
              <w:t xml:space="preserve"> </w:t>
            </w:r>
          </w:p>
          <w:p w14:paraId="57620AA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Within TUMRA areas, plans regarding access to resources and extractive activities are clear and provide certainty, and Zoning Plan provides certainty for activities that may compete with Traditional Use.</w:t>
            </w:r>
          </w:p>
        </w:tc>
        <w:tc>
          <w:tcPr>
            <w:tcW w:w="4819" w:type="dxa"/>
            <w:tcBorders>
              <w:top w:val="single" w:sz="4" w:space="0" w:color="auto"/>
              <w:left w:val="single" w:sz="4" w:space="0" w:color="auto"/>
              <w:bottom w:val="single" w:sz="4" w:space="0" w:color="auto"/>
              <w:right w:val="single" w:sz="4" w:space="0" w:color="auto"/>
            </w:tcBorders>
          </w:tcPr>
          <w:p w14:paraId="57620AA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TUMRAs</w:t>
            </w:r>
          </w:p>
        </w:tc>
        <w:tc>
          <w:tcPr>
            <w:tcW w:w="851" w:type="dxa"/>
            <w:tcBorders>
              <w:top w:val="single" w:sz="4" w:space="0" w:color="auto"/>
              <w:left w:val="single" w:sz="4" w:space="0" w:color="auto"/>
              <w:bottom w:val="single" w:sz="4" w:space="0" w:color="auto"/>
              <w:right w:val="single" w:sz="4" w:space="0" w:color="auto"/>
            </w:tcBorders>
          </w:tcPr>
          <w:p w14:paraId="57620AA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AA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B3"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E7E6E6"/>
          </w:tcPr>
          <w:p w14:paraId="57620AA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INPUTS</w:t>
            </w:r>
          </w:p>
        </w:tc>
        <w:tc>
          <w:tcPr>
            <w:tcW w:w="851" w:type="dxa"/>
            <w:tcBorders>
              <w:top w:val="single" w:sz="4" w:space="0" w:color="auto"/>
              <w:left w:val="single" w:sz="4" w:space="0" w:color="auto"/>
              <w:bottom w:val="single" w:sz="4" w:space="0" w:color="auto"/>
              <w:right w:val="single" w:sz="4" w:space="0" w:color="auto"/>
            </w:tcBorders>
            <w:shd w:val="clear" w:color="auto" w:fill="E7E6E6"/>
          </w:tcPr>
          <w:p w14:paraId="57620AAE" w14:textId="77777777" w:rsidR="00A56EE9" w:rsidRPr="00E70A11" w:rsidRDefault="00A56EE9" w:rsidP="00BB6AD5">
            <w:pPr>
              <w:rPr>
                <w:rFonts w:ascii="Arial Narrow" w:hAnsi="Arial Narrow"/>
                <w:sz w:val="18"/>
                <w:szCs w:val="18"/>
              </w:rPr>
            </w:pPr>
          </w:p>
        </w:tc>
        <w:tc>
          <w:tcPr>
            <w:tcW w:w="5245" w:type="dxa"/>
            <w:tcBorders>
              <w:top w:val="single" w:sz="4" w:space="0" w:color="auto"/>
              <w:left w:val="single" w:sz="4" w:space="0" w:color="auto"/>
              <w:bottom w:val="single" w:sz="4" w:space="0" w:color="auto"/>
              <w:right w:val="single" w:sz="4" w:space="0" w:color="auto"/>
            </w:tcBorders>
            <w:shd w:val="clear" w:color="auto" w:fill="E7E6E6"/>
          </w:tcPr>
          <w:p w14:paraId="57620AAF" w14:textId="77777777" w:rsidR="00A56EE9" w:rsidRPr="00E70A11" w:rsidRDefault="00A56EE9" w:rsidP="00BB6AD5">
            <w:pPr>
              <w:ind w:left="360"/>
              <w:contextualSpacing/>
              <w:rPr>
                <w:rFonts w:ascii="Arial Narrow" w:eastAsia="Calibri" w:hAnsi="Arial Narrow"/>
                <w:sz w:val="18"/>
                <w:szCs w:val="18"/>
              </w:rPr>
            </w:pPr>
          </w:p>
        </w:tc>
        <w:tc>
          <w:tcPr>
            <w:tcW w:w="4819" w:type="dxa"/>
            <w:tcBorders>
              <w:top w:val="single" w:sz="4" w:space="0" w:color="auto"/>
              <w:left w:val="single" w:sz="4" w:space="0" w:color="auto"/>
              <w:bottom w:val="single" w:sz="4" w:space="0" w:color="auto"/>
              <w:right w:val="single" w:sz="4" w:space="0" w:color="auto"/>
            </w:tcBorders>
            <w:shd w:val="clear" w:color="auto" w:fill="E7E6E6"/>
          </w:tcPr>
          <w:p w14:paraId="57620AB0" w14:textId="77777777" w:rsidR="00A56EE9" w:rsidRPr="00E70A11" w:rsidRDefault="00A56EE9" w:rsidP="00BB6AD5">
            <w:pPr>
              <w:ind w:left="360"/>
              <w:contextualSpacing/>
              <w:rPr>
                <w:rFonts w:ascii="Arial Narrow" w:eastAsia="Calibri"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shd w:val="clear" w:color="auto" w:fill="E7E6E6"/>
          </w:tcPr>
          <w:p w14:paraId="57620AB1" w14:textId="77777777" w:rsidR="00A56EE9" w:rsidRPr="00E70A11" w:rsidRDefault="00A56EE9" w:rsidP="00BB6AD5">
            <w:pP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E7E6E6"/>
          </w:tcPr>
          <w:p w14:paraId="57620AB2" w14:textId="77777777" w:rsidR="00A56EE9" w:rsidRPr="00E70A11" w:rsidRDefault="00A56EE9" w:rsidP="00BB6AD5">
            <w:pPr>
              <w:rPr>
                <w:rFonts w:ascii="Arial Narrow" w:hAnsi="Arial Narrow"/>
                <w:sz w:val="18"/>
                <w:szCs w:val="18"/>
              </w:rPr>
            </w:pPr>
          </w:p>
        </w:tc>
      </w:tr>
      <w:tr w:rsidR="00A56EE9" w:rsidRPr="00E70A11" w14:paraId="57620ABE"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AB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IN1</w:t>
            </w:r>
            <w:r>
              <w:rPr>
                <w:rFonts w:ascii="Arial Narrow" w:hAnsi="Arial Narrow"/>
                <w:sz w:val="18"/>
                <w:szCs w:val="18"/>
              </w:rPr>
              <w:t xml:space="preserve"> </w:t>
            </w:r>
            <w:r w:rsidRPr="00E70A11">
              <w:rPr>
                <w:rFonts w:ascii="Arial Narrow" w:hAnsi="Arial Narrow"/>
                <w:sz w:val="18"/>
                <w:szCs w:val="18"/>
              </w:rPr>
              <w:t xml:space="preserve">Financial resources are adequate and prioritised to meet management objectives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 xml:space="preserve">Resources </w:t>
            </w:r>
          </w:p>
        </w:tc>
        <w:tc>
          <w:tcPr>
            <w:tcW w:w="851" w:type="dxa"/>
            <w:tcBorders>
              <w:top w:val="single" w:sz="4" w:space="0" w:color="auto"/>
              <w:left w:val="single" w:sz="4" w:space="0" w:color="auto"/>
              <w:bottom w:val="single" w:sz="4" w:space="0" w:color="auto"/>
              <w:right w:val="single" w:sz="4" w:space="0" w:color="auto"/>
            </w:tcBorders>
          </w:tcPr>
          <w:p w14:paraId="57620AB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AB6" w14:textId="77777777" w:rsidR="00A56EE9" w:rsidRPr="00E70A11" w:rsidRDefault="00A56EE9" w:rsidP="00A11869">
            <w:pPr>
              <w:pStyle w:val="ListParagraph"/>
              <w:numPr>
                <w:ilvl w:val="0"/>
                <w:numId w:val="134"/>
              </w:numPr>
              <w:spacing w:after="200" w:line="276" w:lineRule="auto"/>
              <w:rPr>
                <w:rFonts w:ascii="Arial Narrow" w:eastAsia="Calibri" w:hAnsi="Arial Narrow"/>
                <w:sz w:val="18"/>
                <w:szCs w:val="18"/>
              </w:rPr>
            </w:pPr>
            <w:r w:rsidRPr="00E70A11">
              <w:rPr>
                <w:rFonts w:ascii="Arial Narrow" w:eastAsia="Calibri" w:hAnsi="Arial Narrow"/>
                <w:sz w:val="18"/>
                <w:szCs w:val="18"/>
              </w:rPr>
              <w:t xml:space="preserve">Funding has been stable to increasing, but the demands on the funding are increasing rapidly. Each TUMRA requires inputs for maintenance of the agreement, there are a number of TUMRAs in development, and other Indigenous groups would also like to move towards having TUMRAs. </w:t>
            </w:r>
          </w:p>
          <w:p w14:paraId="57620AB7" w14:textId="77777777" w:rsidR="00A56EE9" w:rsidRPr="00E70A11" w:rsidRDefault="00A56EE9" w:rsidP="00A11869">
            <w:pPr>
              <w:pStyle w:val="ListParagraph"/>
              <w:numPr>
                <w:ilvl w:val="0"/>
                <w:numId w:val="134"/>
              </w:numPr>
              <w:spacing w:after="200" w:line="276" w:lineRule="auto"/>
              <w:rPr>
                <w:rFonts w:ascii="Arial Narrow" w:eastAsia="Calibri" w:hAnsi="Arial Narrow"/>
                <w:sz w:val="18"/>
                <w:szCs w:val="18"/>
              </w:rPr>
            </w:pPr>
            <w:r w:rsidRPr="00E70A11">
              <w:rPr>
                <w:rFonts w:ascii="Arial Narrow" w:eastAsia="Calibri" w:hAnsi="Arial Narrow"/>
                <w:sz w:val="18"/>
                <w:szCs w:val="18"/>
              </w:rPr>
              <w:t>Compliance work is also involved and requires continual resourcing, including for training of Indigenous compliance officers.</w:t>
            </w:r>
          </w:p>
          <w:p w14:paraId="57620AB8" w14:textId="77777777" w:rsidR="00A56EE9" w:rsidRPr="00E70A11" w:rsidRDefault="00A56EE9" w:rsidP="00A11869">
            <w:pPr>
              <w:pStyle w:val="ListParagraph"/>
              <w:numPr>
                <w:ilvl w:val="0"/>
                <w:numId w:val="134"/>
              </w:numPr>
              <w:spacing w:after="200" w:line="276" w:lineRule="auto"/>
              <w:rPr>
                <w:rFonts w:ascii="Arial Narrow" w:eastAsia="Calibri" w:hAnsi="Arial Narrow"/>
                <w:sz w:val="18"/>
                <w:szCs w:val="18"/>
              </w:rPr>
            </w:pPr>
            <w:r w:rsidRPr="00E70A11">
              <w:rPr>
                <w:rFonts w:ascii="Arial Narrow" w:eastAsia="Calibri" w:hAnsi="Arial Narrow"/>
                <w:sz w:val="18"/>
                <w:szCs w:val="18"/>
              </w:rPr>
              <w:t xml:space="preserve">The Land and Sea Country Partnerships Program allocates ~$2 million per year to facilitate the expansion of the TUMRA program, IRAC, and Indigenous Engagement. </w:t>
            </w:r>
          </w:p>
          <w:p w14:paraId="57620AB9" w14:textId="77777777" w:rsidR="00A56EE9" w:rsidRPr="00E70A11" w:rsidRDefault="00A56EE9" w:rsidP="00A11869">
            <w:pPr>
              <w:pStyle w:val="ListParagraph"/>
              <w:numPr>
                <w:ilvl w:val="0"/>
                <w:numId w:val="134"/>
              </w:numPr>
              <w:spacing w:after="200" w:line="276" w:lineRule="auto"/>
              <w:rPr>
                <w:rFonts w:ascii="Arial Narrow" w:eastAsia="Calibri" w:hAnsi="Arial Narrow"/>
                <w:sz w:val="18"/>
                <w:szCs w:val="18"/>
              </w:rPr>
            </w:pPr>
            <w:r w:rsidRPr="00E70A11">
              <w:rPr>
                <w:rFonts w:ascii="Arial Narrow" w:eastAsia="Calibri" w:hAnsi="Arial Narrow"/>
                <w:sz w:val="18"/>
                <w:szCs w:val="18"/>
                <w:lang w:val="en-GB"/>
              </w:rPr>
              <w:t>The National Dugong and Turtle Protection Plan (2014-2017) also allocated specific funds for Indigenous Rangers.</w:t>
            </w:r>
          </w:p>
          <w:p w14:paraId="57620ABA" w14:textId="77777777" w:rsidR="00A56EE9" w:rsidRPr="00E70A11" w:rsidRDefault="00A56EE9" w:rsidP="00A11869">
            <w:pPr>
              <w:pStyle w:val="ListParagraph"/>
              <w:numPr>
                <w:ilvl w:val="0"/>
                <w:numId w:val="134"/>
              </w:numPr>
              <w:spacing w:after="0" w:line="276" w:lineRule="auto"/>
              <w:rPr>
                <w:rFonts w:ascii="Arial Narrow" w:eastAsia="Calibri" w:hAnsi="Arial Narrow"/>
                <w:sz w:val="18"/>
                <w:szCs w:val="18"/>
              </w:rPr>
            </w:pPr>
            <w:r w:rsidRPr="00E70A11">
              <w:rPr>
                <w:rFonts w:ascii="Arial Narrow" w:eastAsia="Calibri" w:hAnsi="Arial Narrow"/>
                <w:sz w:val="18"/>
                <w:szCs w:val="18"/>
              </w:rPr>
              <w:t>See Indigenous Heritage table.</w:t>
            </w:r>
          </w:p>
        </w:tc>
        <w:tc>
          <w:tcPr>
            <w:tcW w:w="4819" w:type="dxa"/>
            <w:tcBorders>
              <w:top w:val="single" w:sz="4" w:space="0" w:color="auto"/>
              <w:left w:val="single" w:sz="4" w:space="0" w:color="auto"/>
              <w:bottom w:val="single" w:sz="4" w:space="0" w:color="auto"/>
              <w:right w:val="single" w:sz="4" w:space="0" w:color="auto"/>
            </w:tcBorders>
          </w:tcPr>
          <w:p w14:paraId="57620AB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hAnsi="Arial Narrow"/>
                <w:sz w:val="18"/>
                <w:szCs w:val="18"/>
                <w:lang w:eastAsia="en-AU"/>
              </w:rPr>
              <w:t>Joint Field Management Business Plans and Annual Reports</w:t>
            </w:r>
          </w:p>
        </w:tc>
        <w:tc>
          <w:tcPr>
            <w:tcW w:w="851" w:type="dxa"/>
            <w:tcBorders>
              <w:top w:val="single" w:sz="4" w:space="0" w:color="auto"/>
              <w:left w:val="single" w:sz="4" w:space="0" w:color="auto"/>
              <w:bottom w:val="single" w:sz="4" w:space="0" w:color="auto"/>
              <w:right w:val="single" w:sz="4" w:space="0" w:color="auto"/>
            </w:tcBorders>
          </w:tcPr>
          <w:p w14:paraId="57620AB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AB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C8"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AB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IN2</w:t>
            </w:r>
            <w:r>
              <w:rPr>
                <w:rFonts w:ascii="Arial Narrow" w:hAnsi="Arial Narrow"/>
                <w:sz w:val="18"/>
                <w:szCs w:val="18"/>
              </w:rPr>
              <w:t xml:space="preserve"> </w:t>
            </w:r>
            <w:r w:rsidRPr="00E70A11">
              <w:rPr>
                <w:rFonts w:ascii="Arial Narrow" w:hAnsi="Arial Narrow"/>
                <w:sz w:val="18"/>
                <w:szCs w:val="18"/>
              </w:rPr>
              <w:t xml:space="preserve">Human resources within the managing organisations are adequate to meet specific management objectives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 xml:space="preserve">Resources </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C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AC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As the demand for more TUMRAs increases, there is more pressure on GBRMPA </w:t>
            </w:r>
            <w:r>
              <w:rPr>
                <w:rFonts w:ascii="Arial Narrow" w:eastAsia="Calibri" w:hAnsi="Arial Narrow"/>
                <w:sz w:val="18"/>
                <w:szCs w:val="18"/>
              </w:rPr>
              <w:t xml:space="preserve">and QPWS </w:t>
            </w:r>
            <w:r w:rsidRPr="00E70A11">
              <w:rPr>
                <w:rFonts w:ascii="Arial Narrow" w:eastAsia="Calibri" w:hAnsi="Arial Narrow"/>
                <w:sz w:val="18"/>
                <w:szCs w:val="18"/>
              </w:rPr>
              <w:t>staff who must take enough time to build relationships and negotiate agreements. This is also a time demand on leaders within Traditional Owner organisations (both paid and unpaid time).</w:t>
            </w:r>
          </w:p>
          <w:p w14:paraId="57620AC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It is not known whether the re-organisation of GBRMPA’s Indigenous Partnerships Section will affect their ability to deliver in this area. There has not been a decrease in any staff numbers. </w:t>
            </w:r>
          </w:p>
          <w:p w14:paraId="57620AC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Indigenous Heritage table for more general comments on staffing and expertise in the field management program and Indigenous Ranger programs.</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AC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hAnsi="Arial Narrow"/>
                <w:sz w:val="18"/>
                <w:szCs w:val="18"/>
                <w:lang w:eastAsia="en-AU"/>
              </w:rPr>
              <w:t>Joint Field Management Business Plans and Annual Reports</w:t>
            </w:r>
          </w:p>
          <w:p w14:paraId="57620AC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Workshop discussions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C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AC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D4"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AC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IN3</w:t>
            </w:r>
            <w:r>
              <w:rPr>
                <w:rFonts w:ascii="Arial Narrow" w:hAnsi="Arial Narrow"/>
                <w:sz w:val="18"/>
                <w:szCs w:val="18"/>
              </w:rPr>
              <w:t xml:space="preserve"> </w:t>
            </w:r>
            <w:r w:rsidRPr="00E70A11">
              <w:rPr>
                <w:rFonts w:ascii="Arial Narrow" w:hAnsi="Arial Narrow"/>
                <w:sz w:val="18"/>
                <w:szCs w:val="18"/>
              </w:rPr>
              <w:t xml:space="preserve">The right skill sets and expertise are currently available to the managing organisations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AC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AC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Many GBRMPA and QPWS staff involved in this program are Aboriginal and Torres Strait Islander people with knowledge and expertise in this topic. In 2016–17, seven per cent of joint Field Management Program positions were Indigenous-identified and held by Aboriginal or Torres Strait Islander people.</w:t>
            </w:r>
          </w:p>
          <w:p w14:paraId="57620AC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Much expertise is also contributed by the Traditional Owner groups.</w:t>
            </w:r>
          </w:p>
          <w:p w14:paraId="57620AC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Most people working in this field are well trained and suited to their work</w:t>
            </w:r>
          </w:p>
          <w:p w14:paraId="57620AC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Specialist scientists provide expertise in the assessment of turtle and dugong populations and other marine life.</w:t>
            </w:r>
          </w:p>
          <w:p w14:paraId="57620AC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 2015-2017 GBRMPA developed and delivered a contextualised Specialised Indigenous Ranger Program. This involved guiding over 20 Indigenous rangers (external to GBRMPA) to achieve a Certificate IV in Government (Statutory Compliance), increasing their skills and confidence to complete compliance activities.</w:t>
            </w:r>
          </w:p>
        </w:tc>
        <w:tc>
          <w:tcPr>
            <w:tcW w:w="4819" w:type="dxa"/>
            <w:tcBorders>
              <w:top w:val="single" w:sz="4" w:space="0" w:color="auto"/>
              <w:left w:val="single" w:sz="4" w:space="0" w:color="auto"/>
              <w:bottom w:val="single" w:sz="4" w:space="0" w:color="auto"/>
              <w:right w:val="single" w:sz="4" w:space="0" w:color="auto"/>
            </w:tcBorders>
          </w:tcPr>
          <w:p w14:paraId="57620AD0" w14:textId="77777777" w:rsidR="00A56EE9" w:rsidRPr="00E70A11" w:rsidRDefault="008B5998" w:rsidP="00A11869">
            <w:pPr>
              <w:pStyle w:val="ListParagraph"/>
              <w:numPr>
                <w:ilvl w:val="0"/>
                <w:numId w:val="141"/>
              </w:numPr>
              <w:spacing w:after="200" w:line="276" w:lineRule="auto"/>
              <w:rPr>
                <w:rStyle w:val="Hyperlink"/>
                <w:rFonts w:ascii="Arial Narrow" w:hAnsi="Arial Narrow"/>
                <w:sz w:val="18"/>
                <w:szCs w:val="18"/>
              </w:rPr>
            </w:pPr>
            <w:hyperlink r:id="rId1991" w:history="1">
              <w:r w:rsidR="00A56EE9" w:rsidRPr="00E70A11">
                <w:rPr>
                  <w:rStyle w:val="Hyperlink"/>
                  <w:rFonts w:ascii="Arial Narrow" w:hAnsi="Arial Narrow"/>
                  <w:sz w:val="18"/>
                  <w:szCs w:val="18"/>
                </w:rPr>
                <w:t>Operational Review final report</w:t>
              </w:r>
            </w:hyperlink>
          </w:p>
          <w:p w14:paraId="57620AD1" w14:textId="77777777" w:rsidR="00A56EE9" w:rsidRPr="00AC4AB4" w:rsidRDefault="00A56EE9" w:rsidP="00A11869">
            <w:pPr>
              <w:pStyle w:val="ListParagraph"/>
              <w:numPr>
                <w:ilvl w:val="0"/>
                <w:numId w:val="141"/>
              </w:numPr>
              <w:spacing w:after="200" w:line="276" w:lineRule="auto"/>
              <w:rPr>
                <w:rFonts w:ascii="Arial Narrow" w:hAnsi="Arial Narrow"/>
                <w:sz w:val="18"/>
                <w:szCs w:val="18"/>
              </w:rPr>
            </w:pPr>
            <w:r w:rsidRPr="00E70A11">
              <w:rPr>
                <w:rFonts w:ascii="Arial Narrow" w:hAnsi="Arial Narrow"/>
                <w:sz w:val="18"/>
                <w:szCs w:val="18"/>
              </w:rPr>
              <w:t>Workshop di</w:t>
            </w:r>
            <w:r>
              <w:rPr>
                <w:rFonts w:ascii="Arial Narrow" w:hAnsi="Arial Narrow"/>
                <w:sz w:val="18"/>
                <w:szCs w:val="18"/>
              </w:rPr>
              <w:t>s</w:t>
            </w:r>
            <w:r w:rsidRPr="00E70A11">
              <w:rPr>
                <w:rFonts w:ascii="Arial Narrow" w:hAnsi="Arial Narrow"/>
                <w:sz w:val="18"/>
                <w:szCs w:val="18"/>
              </w:rPr>
              <w:t>cussion</w:t>
            </w:r>
          </w:p>
        </w:tc>
        <w:tc>
          <w:tcPr>
            <w:tcW w:w="851" w:type="dxa"/>
            <w:tcBorders>
              <w:top w:val="single" w:sz="4" w:space="0" w:color="auto"/>
              <w:left w:val="single" w:sz="4" w:space="0" w:color="auto"/>
              <w:bottom w:val="single" w:sz="4" w:space="0" w:color="auto"/>
              <w:right w:val="single" w:sz="4" w:space="0" w:color="auto"/>
            </w:tcBorders>
          </w:tcPr>
          <w:p w14:paraId="57620AD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AD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E4"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AD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IN4</w:t>
            </w:r>
            <w:r>
              <w:rPr>
                <w:rFonts w:ascii="Arial Narrow" w:hAnsi="Arial Narrow"/>
                <w:sz w:val="18"/>
                <w:szCs w:val="18"/>
              </w:rPr>
              <w:t xml:space="preserve"> </w:t>
            </w:r>
            <w:r w:rsidRPr="00E70A11">
              <w:rPr>
                <w:rFonts w:ascii="Arial Narrow" w:hAnsi="Arial Narrow"/>
                <w:sz w:val="18"/>
                <w:szCs w:val="18"/>
              </w:rPr>
              <w:t xml:space="preserve">The necessary biophysical information is currently available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D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AD7" w14:textId="77777777" w:rsidR="00A56EE9" w:rsidRPr="00E70A11" w:rsidRDefault="00A56EE9" w:rsidP="00A11869">
            <w:pPr>
              <w:pStyle w:val="ListParagraph"/>
              <w:numPr>
                <w:ilvl w:val="0"/>
                <w:numId w:val="135"/>
              </w:numPr>
              <w:spacing w:after="200" w:line="276" w:lineRule="auto"/>
              <w:rPr>
                <w:rFonts w:ascii="Arial Narrow" w:eastAsia="Calibri" w:hAnsi="Arial Narrow"/>
                <w:sz w:val="18"/>
                <w:szCs w:val="18"/>
              </w:rPr>
            </w:pPr>
            <w:r w:rsidRPr="00E70A11">
              <w:rPr>
                <w:rFonts w:ascii="Arial Narrow" w:eastAsia="Calibri" w:hAnsi="Arial Narrow"/>
                <w:sz w:val="18"/>
                <w:szCs w:val="18"/>
              </w:rPr>
              <w:t xml:space="preserve">Traditional Use of Marine Resources may include: fishing, collecting (for example shellfish) and hunting. Therefore any biophysical information relevant to species or habitats that support Traditional Use activities is important. Primarily, the focus is on dugongs, turtles and habitats and conditions that support those species. </w:t>
            </w:r>
          </w:p>
          <w:p w14:paraId="57620AD8" w14:textId="77777777" w:rsidR="00A56EE9" w:rsidRPr="00E70A11" w:rsidRDefault="00A56EE9" w:rsidP="00A11869">
            <w:pPr>
              <w:pStyle w:val="ListParagraph"/>
              <w:numPr>
                <w:ilvl w:val="0"/>
                <w:numId w:val="135"/>
              </w:numPr>
              <w:spacing w:after="200" w:line="276" w:lineRule="auto"/>
              <w:rPr>
                <w:rFonts w:ascii="Arial Narrow" w:eastAsia="Calibri" w:hAnsi="Arial Narrow"/>
                <w:sz w:val="18"/>
                <w:szCs w:val="18"/>
              </w:rPr>
            </w:pPr>
            <w:r w:rsidRPr="00E70A11">
              <w:rPr>
                <w:rFonts w:ascii="Arial Narrow" w:eastAsia="Calibri" w:hAnsi="Arial Narrow"/>
                <w:sz w:val="18"/>
                <w:szCs w:val="18"/>
              </w:rPr>
              <w:t>The population model for northern Great Barrier Reef green turtles developed in 2011–12 was updated in 2015-16.</w:t>
            </w:r>
          </w:p>
          <w:p w14:paraId="57620AD9" w14:textId="77777777" w:rsidR="00A56EE9" w:rsidRPr="00E70A11" w:rsidRDefault="00A56EE9" w:rsidP="00A11869">
            <w:pPr>
              <w:pStyle w:val="ListParagraph"/>
              <w:numPr>
                <w:ilvl w:val="0"/>
                <w:numId w:val="135"/>
              </w:numPr>
              <w:spacing w:after="200" w:line="276" w:lineRule="auto"/>
              <w:rPr>
                <w:rFonts w:ascii="Arial Narrow" w:eastAsia="Calibri" w:hAnsi="Arial Narrow"/>
                <w:sz w:val="18"/>
                <w:szCs w:val="18"/>
              </w:rPr>
            </w:pPr>
            <w:r w:rsidRPr="00E70A11">
              <w:rPr>
                <w:rFonts w:ascii="Arial Narrow" w:eastAsia="Calibri" w:hAnsi="Arial Narrow"/>
                <w:sz w:val="18"/>
                <w:szCs w:val="18"/>
              </w:rPr>
              <w:t>Information of current condition and trend of dugong populations is available with regular surveys, but as noted in CO2, this can rapidly change after event such as cyclones and floods.</w:t>
            </w:r>
          </w:p>
          <w:p w14:paraId="57620ADA" w14:textId="77777777" w:rsidR="00A56EE9" w:rsidRPr="00E70A11" w:rsidRDefault="00A56EE9" w:rsidP="00A11869">
            <w:pPr>
              <w:pStyle w:val="ListParagraph"/>
              <w:numPr>
                <w:ilvl w:val="0"/>
                <w:numId w:val="135"/>
              </w:numPr>
              <w:spacing w:after="200" w:line="276" w:lineRule="auto"/>
              <w:rPr>
                <w:rFonts w:ascii="Arial Narrow" w:eastAsia="Calibri" w:hAnsi="Arial Narrow"/>
                <w:sz w:val="18"/>
                <w:szCs w:val="18"/>
              </w:rPr>
            </w:pPr>
            <w:r w:rsidRPr="00E70A11">
              <w:rPr>
                <w:rFonts w:ascii="Arial Narrow" w:eastAsia="Calibri" w:hAnsi="Arial Narrow"/>
                <w:sz w:val="18"/>
                <w:szCs w:val="18"/>
              </w:rPr>
              <w:t xml:space="preserve">The turtle nesting beaches of GBR are mostly known and key sites are monitored each year for nesting success. </w:t>
            </w:r>
          </w:p>
          <w:p w14:paraId="57620ADB" w14:textId="77777777" w:rsidR="00A56EE9" w:rsidRPr="00E70A11" w:rsidRDefault="00A56EE9" w:rsidP="00A11869">
            <w:pPr>
              <w:pStyle w:val="ListParagraph"/>
              <w:numPr>
                <w:ilvl w:val="0"/>
                <w:numId w:val="135"/>
              </w:numPr>
              <w:spacing w:after="200" w:line="276" w:lineRule="auto"/>
              <w:rPr>
                <w:rFonts w:ascii="Arial Narrow" w:eastAsia="Calibri" w:hAnsi="Arial Narrow"/>
                <w:sz w:val="18"/>
                <w:szCs w:val="18"/>
              </w:rPr>
            </w:pPr>
            <w:r w:rsidRPr="00E70A11">
              <w:rPr>
                <w:rFonts w:ascii="Arial Narrow" w:eastAsia="Calibri" w:hAnsi="Arial Narrow"/>
                <w:sz w:val="18"/>
                <w:szCs w:val="18"/>
              </w:rPr>
              <w:t>The Joint Field Management Program is assisting the Marine Monitoring Program in improving the assessment of seagrass condition in the subtidal areas since 2015.</w:t>
            </w:r>
          </w:p>
          <w:p w14:paraId="57620ADC" w14:textId="77777777" w:rsidR="00A56EE9" w:rsidRPr="00E70A11" w:rsidRDefault="00A56EE9" w:rsidP="00A11869">
            <w:pPr>
              <w:pStyle w:val="ListParagraph"/>
              <w:numPr>
                <w:ilvl w:val="0"/>
                <w:numId w:val="135"/>
              </w:numPr>
              <w:spacing w:after="200" w:line="276" w:lineRule="auto"/>
              <w:rPr>
                <w:rFonts w:ascii="Arial Narrow" w:eastAsia="Calibri" w:hAnsi="Arial Narrow"/>
                <w:sz w:val="18"/>
                <w:szCs w:val="18"/>
              </w:rPr>
            </w:pPr>
            <w:r w:rsidRPr="00E70A11">
              <w:rPr>
                <w:rFonts w:ascii="Arial Narrow" w:eastAsia="Calibri" w:hAnsi="Arial Narrow"/>
                <w:sz w:val="18"/>
                <w:szCs w:val="18"/>
              </w:rPr>
              <w:t xml:space="preserve">Compliance records indicate the extent of </w:t>
            </w:r>
            <w:r>
              <w:rPr>
                <w:rFonts w:ascii="Arial Narrow" w:eastAsia="Calibri" w:hAnsi="Arial Narrow"/>
                <w:sz w:val="18"/>
                <w:szCs w:val="18"/>
              </w:rPr>
              <w:t xml:space="preserve">reported </w:t>
            </w:r>
            <w:r w:rsidRPr="00E70A11">
              <w:rPr>
                <w:rFonts w:ascii="Arial Narrow" w:eastAsia="Calibri" w:hAnsi="Arial Narrow"/>
                <w:sz w:val="18"/>
                <w:szCs w:val="18"/>
              </w:rPr>
              <w:t>illegal take.</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ADD" w14:textId="77777777" w:rsidR="00A56EE9" w:rsidRPr="00E70A11" w:rsidRDefault="008B5998" w:rsidP="00A11869">
            <w:pPr>
              <w:pStyle w:val="ListParagraph"/>
              <w:numPr>
                <w:ilvl w:val="0"/>
                <w:numId w:val="135"/>
              </w:numPr>
              <w:spacing w:after="200" w:line="276" w:lineRule="auto"/>
              <w:rPr>
                <w:rFonts w:ascii="Arial Narrow" w:eastAsia="Calibri" w:hAnsi="Arial Narrow"/>
                <w:sz w:val="18"/>
                <w:szCs w:val="18"/>
              </w:rPr>
            </w:pPr>
            <w:hyperlink r:id="rId1992" w:history="1">
              <w:r w:rsidR="00A56EE9" w:rsidRPr="00E70A11">
                <w:rPr>
                  <w:rStyle w:val="Hyperlink"/>
                  <w:rFonts w:ascii="Arial Narrow" w:eastAsia="Calibri" w:hAnsi="Arial Narrow"/>
                  <w:sz w:val="18"/>
                  <w:szCs w:val="18"/>
                </w:rPr>
                <w:t>Recovery Plan for</w:t>
              </w:r>
              <w:r w:rsidR="00A56EE9">
                <w:rPr>
                  <w:rStyle w:val="Hyperlink"/>
                  <w:rFonts w:ascii="Arial Narrow" w:eastAsia="Calibri" w:hAnsi="Arial Narrow"/>
                  <w:sz w:val="18"/>
                  <w:szCs w:val="18"/>
                </w:rPr>
                <w:t xml:space="preserve"> </w:t>
              </w:r>
              <w:r w:rsidR="00A56EE9" w:rsidRPr="00E70A11">
                <w:rPr>
                  <w:rStyle w:val="Hyperlink"/>
                  <w:rFonts w:ascii="Arial Narrow" w:eastAsia="Calibri" w:hAnsi="Arial Narrow"/>
                  <w:sz w:val="18"/>
                  <w:szCs w:val="18"/>
                </w:rPr>
                <w:t>Marine Turtles in Australia 2017-2027</w:t>
              </w:r>
            </w:hyperlink>
            <w:r w:rsidR="00A56EE9" w:rsidRPr="00E70A11">
              <w:rPr>
                <w:rFonts w:ascii="Arial Narrow" w:eastAsia="Calibri" w:hAnsi="Arial Narrow"/>
                <w:sz w:val="18"/>
                <w:szCs w:val="18"/>
              </w:rPr>
              <w:t>,</w:t>
            </w:r>
          </w:p>
          <w:p w14:paraId="57620ADE" w14:textId="77777777" w:rsidR="00A56EE9" w:rsidRPr="00E70A11" w:rsidRDefault="00A56EE9" w:rsidP="00A11869">
            <w:pPr>
              <w:pStyle w:val="ListParagraph"/>
              <w:numPr>
                <w:ilvl w:val="0"/>
                <w:numId w:val="135"/>
              </w:numPr>
              <w:spacing w:after="200" w:line="276" w:lineRule="auto"/>
              <w:rPr>
                <w:rFonts w:ascii="Arial Narrow" w:eastAsia="Calibri" w:hAnsi="Arial Narrow"/>
                <w:sz w:val="18"/>
                <w:szCs w:val="18"/>
              </w:rPr>
            </w:pPr>
            <w:r w:rsidRPr="00E70A11">
              <w:rPr>
                <w:rFonts w:ascii="Arial Narrow" w:eastAsia="Calibri" w:hAnsi="Arial Narrow"/>
                <w:sz w:val="18"/>
                <w:szCs w:val="18"/>
              </w:rPr>
              <w:t>Cumulative impact policy/Net Benefit Policy</w:t>
            </w:r>
          </w:p>
          <w:p w14:paraId="57620ADF" w14:textId="77777777" w:rsidR="00A56EE9" w:rsidRPr="00E70A11" w:rsidRDefault="008B5998" w:rsidP="00A11869">
            <w:pPr>
              <w:pStyle w:val="ListParagraph"/>
              <w:numPr>
                <w:ilvl w:val="0"/>
                <w:numId w:val="135"/>
              </w:numPr>
              <w:spacing w:after="200" w:line="276" w:lineRule="auto"/>
              <w:rPr>
                <w:rStyle w:val="Hyperlink"/>
                <w:rFonts w:ascii="Arial Narrow" w:eastAsia="Calibri" w:hAnsi="Arial Narrow"/>
                <w:sz w:val="18"/>
                <w:szCs w:val="18"/>
              </w:rPr>
            </w:pPr>
            <w:hyperlink r:id="rId1993" w:history="1">
              <w:r w:rsidR="00A56EE9" w:rsidRPr="00E70A11">
                <w:rPr>
                  <w:rStyle w:val="Hyperlink"/>
                  <w:rFonts w:ascii="Arial Narrow" w:eastAsia="Calibri" w:hAnsi="Arial Narrow"/>
                  <w:sz w:val="18"/>
                  <w:szCs w:val="18"/>
                </w:rPr>
                <w:t>Raine Island Recovery Project</w:t>
              </w:r>
            </w:hyperlink>
          </w:p>
          <w:p w14:paraId="57620AE0" w14:textId="77777777" w:rsidR="00A56EE9" w:rsidRPr="00E70A11" w:rsidRDefault="00A56EE9" w:rsidP="00A11869">
            <w:pPr>
              <w:pStyle w:val="ListParagraph"/>
              <w:numPr>
                <w:ilvl w:val="0"/>
                <w:numId w:val="135"/>
              </w:numPr>
              <w:spacing w:after="200" w:line="276" w:lineRule="auto"/>
              <w:rPr>
                <w:rFonts w:ascii="Arial Narrow" w:eastAsia="Calibri" w:hAnsi="Arial Narrow"/>
                <w:sz w:val="18"/>
                <w:szCs w:val="18"/>
              </w:rPr>
            </w:pPr>
            <w:r w:rsidRPr="00E70A11">
              <w:rPr>
                <w:rFonts w:ascii="Arial Narrow" w:eastAsia="Calibri" w:hAnsi="Arial Narrow"/>
                <w:sz w:val="18"/>
                <w:szCs w:val="18"/>
              </w:rPr>
              <w:t xml:space="preserve">Aerial Dugong Surveys results </w:t>
            </w:r>
          </w:p>
          <w:p w14:paraId="57620AE1" w14:textId="77777777" w:rsidR="00A56EE9" w:rsidRPr="00E70A11" w:rsidRDefault="00A56EE9" w:rsidP="00A11869">
            <w:pPr>
              <w:pStyle w:val="ListParagraph"/>
              <w:numPr>
                <w:ilvl w:val="0"/>
                <w:numId w:val="135"/>
              </w:numPr>
              <w:spacing w:after="200" w:line="276" w:lineRule="auto"/>
              <w:rPr>
                <w:rFonts w:ascii="Arial Narrow" w:eastAsia="Calibri" w:hAnsi="Arial Narrow"/>
                <w:sz w:val="18"/>
                <w:szCs w:val="18"/>
              </w:rPr>
            </w:pPr>
            <w:r w:rsidRPr="00E70A11">
              <w:rPr>
                <w:rFonts w:ascii="Arial Narrow" w:eastAsia="Calibri" w:hAnsi="Arial Narrow"/>
                <w:sz w:val="18"/>
                <w:szCs w:val="18"/>
              </w:rPr>
              <w:t>Regular turtle monitoring</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E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AE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AEE"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AE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IN5</w:t>
            </w:r>
            <w:r>
              <w:rPr>
                <w:rFonts w:ascii="Arial Narrow" w:hAnsi="Arial Narrow"/>
                <w:sz w:val="18"/>
                <w:szCs w:val="18"/>
              </w:rPr>
              <w:t xml:space="preserve"> </w:t>
            </w:r>
            <w:r w:rsidRPr="00E70A11">
              <w:rPr>
                <w:rFonts w:ascii="Arial Narrow" w:hAnsi="Arial Narrow"/>
                <w:sz w:val="18"/>
                <w:szCs w:val="18"/>
              </w:rPr>
              <w:t xml:space="preserve">The necessary socio-economic information is currently available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E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AE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Improved understanding of Traditional Owner needs is a specific target of the Reef 2050 Integrated Monitoring, Modelling and Reporting Program (RIMReP) and indicators for the ‘human dimensions’ of the GBR are currently being developed. However, little information ha</w:t>
            </w:r>
            <w:r>
              <w:rPr>
                <w:rFonts w:ascii="Arial Narrow" w:eastAsia="Calibri" w:hAnsi="Arial Narrow"/>
                <w:sz w:val="18"/>
                <w:szCs w:val="18"/>
              </w:rPr>
              <w:t>ve</w:t>
            </w:r>
            <w:r w:rsidRPr="00E70A11">
              <w:rPr>
                <w:rFonts w:ascii="Arial Narrow" w:eastAsia="Calibri" w:hAnsi="Arial Narrow"/>
                <w:sz w:val="18"/>
                <w:szCs w:val="18"/>
              </w:rPr>
              <w:t xml:space="preserve"> yet been yielded from this study.</w:t>
            </w:r>
          </w:p>
          <w:p w14:paraId="57620AE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When developing TUMRAs, Traditional Owners have extensive discussions within their communities and make informed decisions about their aspirations and directions.</w:t>
            </w:r>
          </w:p>
          <w:p w14:paraId="57620AE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Extensive consultation and workshops during planning processes in 2016-17 has increase understanding of Traditional Owners’ positions on traditional use and other topics.</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AEA" w14:textId="77777777" w:rsidR="00A56EE9" w:rsidRPr="00E70A11" w:rsidRDefault="008B5998" w:rsidP="00A11869">
            <w:pPr>
              <w:pStyle w:val="EndNoteBibliography"/>
              <w:numPr>
                <w:ilvl w:val="0"/>
                <w:numId w:val="24"/>
              </w:numPr>
              <w:spacing w:after="0"/>
              <w:rPr>
                <w:rStyle w:val="Hyperlink"/>
                <w:rFonts w:ascii="Arial Narrow" w:eastAsia="Calibri" w:hAnsi="Arial Narrow"/>
                <w:sz w:val="18"/>
                <w:szCs w:val="18"/>
                <w:lang w:eastAsia="en-AU"/>
              </w:rPr>
            </w:pPr>
            <w:hyperlink r:id="rId1994" w:history="1">
              <w:r w:rsidR="00A56EE9" w:rsidRPr="00E70A11">
                <w:rPr>
                  <w:rStyle w:val="Hyperlink"/>
                  <w:rFonts w:ascii="Arial Narrow" w:eastAsia="Calibri" w:hAnsi="Arial Narrow"/>
                  <w:sz w:val="18"/>
                  <w:szCs w:val="18"/>
                  <w:lang w:eastAsia="en-AU"/>
                </w:rPr>
                <w:t>Heritage monitoring and reporting information</w:t>
              </w:r>
            </w:hyperlink>
            <w:r w:rsidR="00A56EE9" w:rsidRPr="00E70A11">
              <w:rPr>
                <w:rStyle w:val="Hyperlink"/>
                <w:rFonts w:ascii="Arial Narrow" w:eastAsia="Calibri" w:hAnsi="Arial Narrow"/>
                <w:sz w:val="18"/>
                <w:szCs w:val="18"/>
                <w:lang w:eastAsia="en-AU"/>
              </w:rPr>
              <w:t xml:space="preserve"> (GBMRPA website)</w:t>
            </w:r>
          </w:p>
          <w:p w14:paraId="57620AEB" w14:textId="77777777" w:rsidR="00A56EE9" w:rsidRPr="00AC4AB4" w:rsidRDefault="00A56EE9" w:rsidP="00A11869">
            <w:pPr>
              <w:pStyle w:val="EndNoteBibliography"/>
              <w:numPr>
                <w:ilvl w:val="0"/>
                <w:numId w:val="24"/>
              </w:numPr>
              <w:spacing w:after="0"/>
              <w:rPr>
                <w:rFonts w:ascii="Arial Narrow" w:eastAsia="Calibri" w:hAnsi="Arial Narrow"/>
                <w:color w:val="0000FF"/>
                <w:sz w:val="18"/>
                <w:szCs w:val="18"/>
                <w:u w:val="single"/>
                <w:lang w:eastAsia="en-AU"/>
              </w:rPr>
            </w:pPr>
            <w:r w:rsidRPr="00E70A11">
              <w:rPr>
                <w:rFonts w:ascii="Arial Narrow" w:eastAsia="Calibri" w:hAnsi="Arial Narrow"/>
                <w:color w:val="0000FF"/>
                <w:sz w:val="18"/>
                <w:szCs w:val="18"/>
                <w:u w:val="single"/>
                <w:lang w:val="en-GB" w:eastAsia="en-AU"/>
              </w:rPr>
              <w:t>The Yirriganydji TUMR</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AE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AE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AF9"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AE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IN6</w:t>
            </w:r>
            <w:r>
              <w:rPr>
                <w:rFonts w:ascii="Arial Narrow" w:hAnsi="Arial Narrow"/>
                <w:sz w:val="18"/>
                <w:szCs w:val="18"/>
              </w:rPr>
              <w:t xml:space="preserve"> </w:t>
            </w:r>
            <w:r w:rsidRPr="00E70A11">
              <w:rPr>
                <w:rFonts w:ascii="Arial Narrow" w:hAnsi="Arial Narrow"/>
                <w:sz w:val="18"/>
                <w:szCs w:val="18"/>
              </w:rPr>
              <w:t xml:space="preserve">The necessary Indigenous heritage information is currently available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AF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AF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Much of the Indigenous Heritage information is retained and shared by Traditional Owners with their group, but it is used by them in developing TUMRAs.</w:t>
            </w:r>
          </w:p>
          <w:p w14:paraId="57620AF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When developing TUMRAs, Traditional Owners have extensive discussions within their communities and make informed decisions about their aspirations and directions. </w:t>
            </w:r>
          </w:p>
          <w:p w14:paraId="57620AF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also Indigenous Heritage table.</w:t>
            </w:r>
          </w:p>
        </w:tc>
        <w:tc>
          <w:tcPr>
            <w:tcW w:w="4819" w:type="dxa"/>
            <w:tcBorders>
              <w:top w:val="single" w:sz="4" w:space="0" w:color="auto"/>
              <w:left w:val="single" w:sz="4" w:space="0" w:color="auto"/>
              <w:bottom w:val="single" w:sz="4" w:space="0" w:color="auto"/>
              <w:right w:val="single" w:sz="4" w:space="0" w:color="auto"/>
            </w:tcBorders>
          </w:tcPr>
          <w:p w14:paraId="57620AF4" w14:textId="77777777" w:rsidR="00A56EE9" w:rsidRPr="00E70A11" w:rsidRDefault="008B5998" w:rsidP="00A11869">
            <w:pPr>
              <w:pStyle w:val="EndNoteBibliography"/>
              <w:numPr>
                <w:ilvl w:val="0"/>
                <w:numId w:val="24"/>
              </w:numPr>
              <w:spacing w:after="0"/>
              <w:rPr>
                <w:rStyle w:val="Hyperlink"/>
                <w:rFonts w:ascii="Arial Narrow" w:eastAsia="Calibri" w:hAnsi="Arial Narrow"/>
                <w:noProof w:val="0"/>
                <w:sz w:val="18"/>
                <w:szCs w:val="18"/>
                <w:lang w:eastAsia="en-AU"/>
              </w:rPr>
            </w:pPr>
            <w:hyperlink r:id="rId1995" w:history="1">
              <w:r w:rsidR="00A56EE9" w:rsidRPr="00E70A11">
                <w:rPr>
                  <w:rStyle w:val="Hyperlink"/>
                  <w:rFonts w:ascii="Arial Narrow" w:eastAsia="Calibri" w:hAnsi="Arial Narrow"/>
                  <w:noProof w:val="0"/>
                  <w:sz w:val="18"/>
                  <w:szCs w:val="18"/>
                  <w:lang w:eastAsia="en-AU"/>
                </w:rPr>
                <w:t xml:space="preserve"> Guidelines: Woppaburra Traditional Owner Heritage</w:t>
              </w:r>
            </w:hyperlink>
            <w:r w:rsidR="00A56EE9" w:rsidRPr="00E70A11">
              <w:rPr>
                <w:rStyle w:val="Hyperlink"/>
                <w:rFonts w:ascii="Arial Narrow" w:eastAsia="Calibri" w:hAnsi="Arial Narrow"/>
                <w:noProof w:val="0"/>
                <w:sz w:val="18"/>
                <w:szCs w:val="18"/>
                <w:lang w:eastAsia="en-AU"/>
              </w:rPr>
              <w:t xml:space="preserve"> Assessment</w:t>
            </w:r>
          </w:p>
          <w:p w14:paraId="57620AF5" w14:textId="77777777" w:rsidR="00A56EE9" w:rsidRPr="00E70A11" w:rsidRDefault="00A56EE9" w:rsidP="00A11869">
            <w:pPr>
              <w:pStyle w:val="EndNoteBibliography"/>
              <w:numPr>
                <w:ilvl w:val="0"/>
                <w:numId w:val="24"/>
              </w:numPr>
              <w:spacing w:after="0"/>
              <w:rPr>
                <w:rFonts w:ascii="Arial Narrow" w:eastAsia="Calibri" w:hAnsi="Arial Narrow"/>
                <w:color w:val="0000FF"/>
                <w:sz w:val="18"/>
                <w:szCs w:val="18"/>
                <w:u w:val="single"/>
                <w:lang w:eastAsia="en-AU"/>
              </w:rPr>
            </w:pPr>
            <w:r w:rsidRPr="00E70A11">
              <w:rPr>
                <w:rFonts w:ascii="Arial Narrow" w:eastAsia="Calibri" w:hAnsi="Arial Narrow"/>
                <w:color w:val="0000FF"/>
                <w:sz w:val="18"/>
                <w:szCs w:val="18"/>
                <w:u w:val="single"/>
                <w:lang w:val="en-GB" w:eastAsia="en-AU"/>
              </w:rPr>
              <w:t>The Yirriganydji TUMR</w:t>
            </w:r>
          </w:p>
          <w:p w14:paraId="57620AF6" w14:textId="77777777" w:rsidR="00A56EE9" w:rsidRPr="00EE767E" w:rsidRDefault="008B5998" w:rsidP="00A11869">
            <w:pPr>
              <w:pStyle w:val="EndNoteBibliography"/>
              <w:numPr>
                <w:ilvl w:val="0"/>
                <w:numId w:val="24"/>
              </w:numPr>
              <w:spacing w:after="0"/>
              <w:rPr>
                <w:rFonts w:ascii="Arial Narrow" w:eastAsia="Calibri" w:hAnsi="Arial Narrow"/>
                <w:color w:val="0000FF"/>
                <w:sz w:val="18"/>
                <w:szCs w:val="18"/>
                <w:u w:val="single"/>
                <w:lang w:eastAsia="en-AU"/>
              </w:rPr>
            </w:pPr>
            <w:hyperlink r:id="rId1996" w:history="1">
              <w:r w:rsidR="00A56EE9" w:rsidRPr="00E70A11">
                <w:rPr>
                  <w:rStyle w:val="Hyperlink"/>
                  <w:rFonts w:ascii="Arial Narrow" w:eastAsia="Calibri" w:hAnsi="Arial Narrow"/>
                  <w:sz w:val="18"/>
                  <w:szCs w:val="18"/>
                  <w:lang w:eastAsia="en-AU"/>
                </w:rPr>
                <w:t>TUMRA video 2015</w:t>
              </w:r>
            </w:hyperlink>
          </w:p>
        </w:tc>
        <w:tc>
          <w:tcPr>
            <w:tcW w:w="851" w:type="dxa"/>
            <w:tcBorders>
              <w:top w:val="single" w:sz="4" w:space="0" w:color="auto"/>
              <w:left w:val="single" w:sz="4" w:space="0" w:color="auto"/>
              <w:bottom w:val="single" w:sz="4" w:space="0" w:color="auto"/>
              <w:right w:val="single" w:sz="4" w:space="0" w:color="auto"/>
            </w:tcBorders>
          </w:tcPr>
          <w:p w14:paraId="57620AF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92" w:type="dxa"/>
            <w:tcBorders>
              <w:top w:val="single" w:sz="4" w:space="0" w:color="auto"/>
              <w:left w:val="single" w:sz="4" w:space="0" w:color="auto"/>
              <w:bottom w:val="single" w:sz="4" w:space="0" w:color="auto"/>
              <w:right w:val="single" w:sz="4" w:space="0" w:color="auto"/>
            </w:tcBorders>
          </w:tcPr>
          <w:p w14:paraId="57620AF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B00"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AF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IN7</w:t>
            </w:r>
            <w:r>
              <w:rPr>
                <w:rFonts w:ascii="Arial Narrow" w:hAnsi="Arial Narrow"/>
                <w:sz w:val="18"/>
                <w:szCs w:val="18"/>
              </w:rPr>
              <w:t xml:space="preserve"> </w:t>
            </w:r>
            <w:r w:rsidRPr="00E70A11">
              <w:rPr>
                <w:rFonts w:ascii="Arial Narrow" w:hAnsi="Arial Narrow"/>
                <w:sz w:val="18"/>
                <w:szCs w:val="18"/>
              </w:rPr>
              <w:t xml:space="preserve">The necessary historic heritage information is currently available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AF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NA</w:t>
            </w:r>
          </w:p>
        </w:tc>
        <w:tc>
          <w:tcPr>
            <w:tcW w:w="5245" w:type="dxa"/>
            <w:tcBorders>
              <w:top w:val="single" w:sz="4" w:space="0" w:color="auto"/>
              <w:left w:val="single" w:sz="4" w:space="0" w:color="auto"/>
              <w:bottom w:val="single" w:sz="4" w:space="0" w:color="auto"/>
              <w:right w:val="single" w:sz="4" w:space="0" w:color="auto"/>
            </w:tcBorders>
          </w:tcPr>
          <w:p w14:paraId="57620AFC" w14:textId="77777777" w:rsidR="00A56EE9" w:rsidRPr="00E70A11" w:rsidRDefault="00A56EE9" w:rsidP="00BB6AD5">
            <w:pPr>
              <w:contextualSpacing/>
              <w:rPr>
                <w:rFonts w:ascii="Arial Narrow" w:eastAsia="Calibri" w:hAnsi="Arial Narrow"/>
                <w:sz w:val="18"/>
                <w:szCs w:val="18"/>
              </w:rPr>
            </w:pPr>
          </w:p>
        </w:tc>
        <w:tc>
          <w:tcPr>
            <w:tcW w:w="4819" w:type="dxa"/>
            <w:tcBorders>
              <w:top w:val="single" w:sz="4" w:space="0" w:color="auto"/>
              <w:left w:val="single" w:sz="4" w:space="0" w:color="auto"/>
              <w:bottom w:val="single" w:sz="4" w:space="0" w:color="auto"/>
              <w:right w:val="single" w:sz="4" w:space="0" w:color="auto"/>
            </w:tcBorders>
          </w:tcPr>
          <w:p w14:paraId="57620AFD" w14:textId="77777777" w:rsidR="00A56EE9" w:rsidRPr="00E70A11" w:rsidRDefault="00A56EE9" w:rsidP="00BB6AD5">
            <w:pPr>
              <w:contextualSpacing/>
              <w:rPr>
                <w:rFonts w:ascii="Arial Narrow" w:eastAsia="Calibri"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tcPr>
          <w:p w14:paraId="57620AFE" w14:textId="77777777" w:rsidR="00A56EE9" w:rsidRPr="00E70A11" w:rsidRDefault="00A56EE9" w:rsidP="00BB6AD5">
            <w:pP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AFF" w14:textId="77777777" w:rsidR="00A56EE9" w:rsidRPr="00E70A11" w:rsidRDefault="00A56EE9" w:rsidP="00BB6AD5">
            <w:pPr>
              <w:rPr>
                <w:rFonts w:ascii="Arial Narrow" w:hAnsi="Arial Narrow"/>
                <w:sz w:val="18"/>
                <w:szCs w:val="18"/>
              </w:rPr>
            </w:pPr>
          </w:p>
        </w:tc>
      </w:tr>
      <w:tr w:rsidR="00A56EE9" w:rsidRPr="00E70A11" w14:paraId="57620B09"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B0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IN8</w:t>
            </w:r>
            <w:r>
              <w:rPr>
                <w:rFonts w:ascii="Arial Narrow" w:hAnsi="Arial Narrow"/>
                <w:sz w:val="18"/>
                <w:szCs w:val="18"/>
              </w:rPr>
              <w:t xml:space="preserve"> </w:t>
            </w:r>
            <w:r w:rsidRPr="00E70A11">
              <w:rPr>
                <w:rFonts w:ascii="Arial Narrow" w:hAnsi="Arial Narrow"/>
                <w:sz w:val="18"/>
                <w:szCs w:val="18"/>
              </w:rPr>
              <w:t xml:space="preserve">There are additional sources of non-government input (e.g. volunteers) contributing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B0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B0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Traditional Owners are working on country, usually on a voluntary basis. Participation in broad volunteer activities</w:t>
            </w:r>
            <w:r>
              <w:rPr>
                <w:rFonts w:ascii="Arial Narrow" w:eastAsia="Calibri" w:hAnsi="Arial Narrow"/>
                <w:sz w:val="18"/>
                <w:szCs w:val="18"/>
              </w:rPr>
              <w:t xml:space="preserve"> </w:t>
            </w:r>
            <w:r w:rsidRPr="00E70A11">
              <w:rPr>
                <w:rFonts w:ascii="Arial Narrow" w:eastAsia="Calibri" w:hAnsi="Arial Narrow"/>
                <w:sz w:val="18"/>
                <w:szCs w:val="18"/>
              </w:rPr>
              <w:t>in the Region include Eyes and Ears, monitoring, beach clean ups, and restoration.</w:t>
            </w:r>
          </w:p>
          <w:p w14:paraId="57620B0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Some Traditional Owner groups coordinate community activities including Junior Ranger Programs.</w:t>
            </w:r>
          </w:p>
        </w:tc>
        <w:tc>
          <w:tcPr>
            <w:tcW w:w="4819" w:type="dxa"/>
            <w:tcBorders>
              <w:top w:val="single" w:sz="4" w:space="0" w:color="auto"/>
              <w:left w:val="single" w:sz="4" w:space="0" w:color="auto"/>
              <w:bottom w:val="single" w:sz="4" w:space="0" w:color="auto"/>
              <w:right w:val="single" w:sz="4" w:space="0" w:color="auto"/>
            </w:tcBorders>
          </w:tcPr>
          <w:p w14:paraId="57620B05"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See Land and sea Country Partnerships Annual Reports – in particular, seagrass monitoring, junior ranger programs.</w:t>
            </w:r>
          </w:p>
          <w:p w14:paraId="57620B06" w14:textId="77777777" w:rsidR="00A56EE9" w:rsidRPr="00E70A11" w:rsidRDefault="00A56EE9" w:rsidP="00A11869">
            <w:pPr>
              <w:pStyle w:val="ListParagraph"/>
              <w:numPr>
                <w:ilvl w:val="0"/>
                <w:numId w:val="24"/>
              </w:numPr>
              <w:spacing w:after="200" w:line="276" w:lineRule="auto"/>
              <w:rPr>
                <w:rFonts w:ascii="Arial Narrow" w:eastAsia="Calibri" w:hAnsi="Arial Narrow"/>
                <w:sz w:val="18"/>
                <w:szCs w:val="18"/>
              </w:rPr>
            </w:pPr>
            <w:r w:rsidRPr="00E70A11">
              <w:rPr>
                <w:rFonts w:ascii="Arial Narrow" w:hAnsi="Arial Narrow"/>
                <w:sz w:val="18"/>
                <w:szCs w:val="18"/>
              </w:rPr>
              <w:t>Tangaroa Blue Report – Marine Debris Training</w:t>
            </w:r>
          </w:p>
        </w:tc>
        <w:tc>
          <w:tcPr>
            <w:tcW w:w="851" w:type="dxa"/>
            <w:tcBorders>
              <w:top w:val="single" w:sz="4" w:space="0" w:color="auto"/>
              <w:left w:val="single" w:sz="4" w:space="0" w:color="auto"/>
              <w:bottom w:val="single" w:sz="4" w:space="0" w:color="auto"/>
              <w:right w:val="single" w:sz="4" w:space="0" w:color="auto"/>
            </w:tcBorders>
          </w:tcPr>
          <w:p w14:paraId="57620B0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92" w:type="dxa"/>
            <w:tcBorders>
              <w:top w:val="single" w:sz="4" w:space="0" w:color="auto"/>
              <w:left w:val="single" w:sz="4" w:space="0" w:color="auto"/>
              <w:bottom w:val="single" w:sz="4" w:space="0" w:color="auto"/>
              <w:right w:val="single" w:sz="4" w:space="0" w:color="auto"/>
            </w:tcBorders>
          </w:tcPr>
          <w:p w14:paraId="57620B0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B10"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E7E6E6"/>
          </w:tcPr>
          <w:p w14:paraId="57620B0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PROCESSES</w:t>
            </w:r>
          </w:p>
        </w:tc>
        <w:tc>
          <w:tcPr>
            <w:tcW w:w="851" w:type="dxa"/>
            <w:tcBorders>
              <w:top w:val="single" w:sz="4" w:space="0" w:color="auto"/>
              <w:left w:val="single" w:sz="4" w:space="0" w:color="auto"/>
              <w:bottom w:val="single" w:sz="4" w:space="0" w:color="auto"/>
              <w:right w:val="single" w:sz="4" w:space="0" w:color="auto"/>
            </w:tcBorders>
            <w:shd w:val="clear" w:color="auto" w:fill="E7E6E6"/>
          </w:tcPr>
          <w:p w14:paraId="57620B0B" w14:textId="77777777" w:rsidR="00A56EE9" w:rsidRPr="00E70A11" w:rsidRDefault="00A56EE9" w:rsidP="00BB6AD5">
            <w:pPr>
              <w:rPr>
                <w:rFonts w:ascii="Arial Narrow" w:hAnsi="Arial Narrow"/>
                <w:sz w:val="18"/>
                <w:szCs w:val="18"/>
              </w:rPr>
            </w:pPr>
          </w:p>
        </w:tc>
        <w:tc>
          <w:tcPr>
            <w:tcW w:w="5245" w:type="dxa"/>
            <w:tcBorders>
              <w:top w:val="single" w:sz="4" w:space="0" w:color="auto"/>
              <w:left w:val="single" w:sz="4" w:space="0" w:color="auto"/>
              <w:bottom w:val="single" w:sz="4" w:space="0" w:color="auto"/>
              <w:right w:val="single" w:sz="4" w:space="0" w:color="auto"/>
            </w:tcBorders>
            <w:shd w:val="clear" w:color="auto" w:fill="E7E6E6"/>
          </w:tcPr>
          <w:p w14:paraId="57620B0C" w14:textId="77777777" w:rsidR="00A56EE9" w:rsidRPr="00E70A11" w:rsidRDefault="00A56EE9" w:rsidP="00BB6AD5">
            <w:pPr>
              <w:ind w:left="360"/>
              <w:contextualSpacing/>
              <w:rPr>
                <w:rFonts w:ascii="Arial Narrow" w:eastAsia="Calibri" w:hAnsi="Arial Narrow"/>
                <w:sz w:val="18"/>
                <w:szCs w:val="18"/>
              </w:rPr>
            </w:pPr>
          </w:p>
        </w:tc>
        <w:tc>
          <w:tcPr>
            <w:tcW w:w="4819" w:type="dxa"/>
            <w:tcBorders>
              <w:top w:val="single" w:sz="4" w:space="0" w:color="auto"/>
              <w:left w:val="single" w:sz="4" w:space="0" w:color="auto"/>
              <w:bottom w:val="single" w:sz="4" w:space="0" w:color="auto"/>
              <w:right w:val="single" w:sz="4" w:space="0" w:color="auto"/>
            </w:tcBorders>
            <w:shd w:val="clear" w:color="auto" w:fill="E7E6E6"/>
          </w:tcPr>
          <w:p w14:paraId="57620B0D" w14:textId="77777777" w:rsidR="00A56EE9" w:rsidRPr="00E70A11" w:rsidRDefault="00A56EE9" w:rsidP="00BB6AD5">
            <w:pPr>
              <w:ind w:left="360"/>
              <w:contextualSpacing/>
              <w:rPr>
                <w:rFonts w:ascii="Arial Narrow" w:eastAsia="Calibri"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shd w:val="clear" w:color="auto" w:fill="E7E6E6"/>
          </w:tcPr>
          <w:p w14:paraId="57620B0E" w14:textId="77777777" w:rsidR="00A56EE9" w:rsidRPr="00E70A11" w:rsidRDefault="00A56EE9" w:rsidP="00BB6AD5">
            <w:pP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E7E6E6"/>
          </w:tcPr>
          <w:p w14:paraId="57620B0F" w14:textId="77777777" w:rsidR="00A56EE9" w:rsidRPr="00E70A11" w:rsidRDefault="00A56EE9" w:rsidP="00BB6AD5">
            <w:pPr>
              <w:rPr>
                <w:rFonts w:ascii="Arial Narrow" w:hAnsi="Arial Narrow"/>
                <w:sz w:val="18"/>
                <w:szCs w:val="18"/>
              </w:rPr>
            </w:pPr>
          </w:p>
        </w:tc>
      </w:tr>
      <w:tr w:rsidR="00A56EE9" w:rsidRPr="00E70A11" w14:paraId="57620B1E"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1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w:t>
            </w:r>
            <w:r>
              <w:rPr>
                <w:rFonts w:ascii="Arial Narrow" w:hAnsi="Arial Narrow"/>
                <w:sz w:val="18"/>
                <w:szCs w:val="18"/>
              </w:rPr>
              <w:t xml:space="preserve"> </w:t>
            </w:r>
            <w:r w:rsidRPr="00E70A11">
              <w:rPr>
                <w:rFonts w:ascii="Arial Narrow" w:hAnsi="Arial Narrow"/>
                <w:sz w:val="18"/>
                <w:szCs w:val="18"/>
              </w:rPr>
              <w:t xml:space="preserve">The main stakeholders &amp;/or industry(ies) are effectively engaged in the ongoing management of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B1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B13"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PL6 and Indigenous Heritage table.</w:t>
            </w:r>
          </w:p>
          <w:p w14:paraId="57620B1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Traditional Owners are involved in managing their access to marine resources, especially through TUMRAs.</w:t>
            </w:r>
          </w:p>
          <w:p w14:paraId="57620B1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This can be further improved as more TUMRAs are developed</w:t>
            </w:r>
          </w:p>
        </w:tc>
        <w:tc>
          <w:tcPr>
            <w:tcW w:w="4819" w:type="dxa"/>
            <w:tcBorders>
              <w:top w:val="single" w:sz="4" w:space="0" w:color="auto"/>
              <w:left w:val="single" w:sz="4" w:space="0" w:color="auto"/>
              <w:bottom w:val="single" w:sz="4" w:space="0" w:color="auto"/>
              <w:right w:val="single" w:sz="4" w:space="0" w:color="auto"/>
            </w:tcBorders>
          </w:tcPr>
          <w:p w14:paraId="57620B16" w14:textId="77777777" w:rsidR="00A56EE9" w:rsidRPr="00E70A11" w:rsidRDefault="008B5998" w:rsidP="00A11869">
            <w:pPr>
              <w:pStyle w:val="EndNoteBibliography"/>
              <w:numPr>
                <w:ilvl w:val="0"/>
                <w:numId w:val="24"/>
              </w:numPr>
              <w:spacing w:after="0"/>
              <w:ind w:left="357" w:hanging="357"/>
              <w:rPr>
                <w:rFonts w:ascii="Arial Narrow" w:eastAsia="Times New Roman" w:hAnsi="Arial Narrow"/>
                <w:noProof w:val="0"/>
                <w:sz w:val="18"/>
                <w:szCs w:val="18"/>
                <w:lang w:val="en-AU" w:eastAsia="en-AU"/>
              </w:rPr>
            </w:pPr>
            <w:hyperlink r:id="rId1997" w:history="1">
              <w:r w:rsidR="00A56EE9" w:rsidRPr="00E70A11">
                <w:rPr>
                  <w:rFonts w:ascii="Arial Narrow" w:eastAsia="Times New Roman" w:hAnsi="Arial Narrow"/>
                  <w:noProof w:val="0"/>
                  <w:sz w:val="18"/>
                  <w:szCs w:val="18"/>
                  <w:lang w:val="en-AU" w:eastAsia="en-AU"/>
                </w:rPr>
                <w:t>15-16</w:t>
              </w:r>
            </w:hyperlink>
            <w:r w:rsidR="00A56EE9" w:rsidRPr="00E70A11">
              <w:rPr>
                <w:rFonts w:ascii="Arial Narrow" w:eastAsia="Times New Roman" w:hAnsi="Arial Narrow"/>
                <w:noProof w:val="0"/>
                <w:sz w:val="18"/>
                <w:szCs w:val="18"/>
                <w:lang w:val="en-AU" w:eastAsia="en-AU"/>
              </w:rPr>
              <w:t xml:space="preserve"> and </w:t>
            </w:r>
            <w:hyperlink r:id="rId1998" w:history="1">
              <w:r w:rsidR="00A56EE9" w:rsidRPr="00E70A11">
                <w:rPr>
                  <w:rFonts w:ascii="Arial Narrow" w:eastAsia="Times New Roman" w:hAnsi="Arial Narrow"/>
                  <w:noProof w:val="0"/>
                  <w:sz w:val="18"/>
                  <w:szCs w:val="18"/>
                  <w:lang w:val="en-AU" w:eastAsia="en-AU"/>
                </w:rPr>
                <w:t>16-17</w:t>
              </w:r>
            </w:hyperlink>
            <w:r w:rsidR="00A56EE9" w:rsidRPr="00E70A11">
              <w:rPr>
                <w:rFonts w:ascii="Arial Narrow" w:eastAsia="Times New Roman" w:hAnsi="Arial Narrow"/>
                <w:noProof w:val="0"/>
                <w:sz w:val="18"/>
                <w:szCs w:val="18"/>
                <w:lang w:val="en-AU" w:eastAsia="en-AU"/>
              </w:rPr>
              <w:t xml:space="preserve"> Land and sea Country Partnerships Annual Report.</w:t>
            </w:r>
          </w:p>
          <w:p w14:paraId="57620B17" w14:textId="77777777" w:rsidR="00A56EE9" w:rsidRPr="00E70A11" w:rsidRDefault="008B5998" w:rsidP="00A11869">
            <w:pPr>
              <w:pStyle w:val="EndNoteBibliography"/>
              <w:numPr>
                <w:ilvl w:val="0"/>
                <w:numId w:val="24"/>
              </w:numPr>
              <w:spacing w:after="0"/>
              <w:ind w:left="357" w:hanging="357"/>
              <w:rPr>
                <w:rFonts w:ascii="Arial Narrow" w:eastAsia="Calibri" w:hAnsi="Arial Narrow"/>
                <w:color w:val="0000FF"/>
                <w:sz w:val="18"/>
                <w:szCs w:val="18"/>
                <w:u w:val="single"/>
                <w:lang w:eastAsia="en-AU"/>
              </w:rPr>
            </w:pPr>
            <w:hyperlink r:id="rId1999" w:history="1">
              <w:r w:rsidR="00A56EE9" w:rsidRPr="00E70A11">
                <w:rPr>
                  <w:rStyle w:val="Hyperlink"/>
                  <w:rFonts w:ascii="Arial Narrow" w:eastAsia="Calibri" w:hAnsi="Arial Narrow"/>
                  <w:sz w:val="18"/>
                  <w:szCs w:val="18"/>
                  <w:lang w:eastAsia="en-AU"/>
                </w:rPr>
                <w:t>TUMRA video 2015</w:t>
              </w:r>
            </w:hyperlink>
          </w:p>
          <w:p w14:paraId="57620B18" w14:textId="77777777" w:rsidR="00A56EE9" w:rsidRPr="00E70A11" w:rsidRDefault="00A56EE9" w:rsidP="00A11869">
            <w:pPr>
              <w:pStyle w:val="EndNoteBibliography"/>
              <w:numPr>
                <w:ilvl w:val="0"/>
                <w:numId w:val="24"/>
              </w:numPr>
              <w:spacing w:after="0"/>
              <w:ind w:left="357" w:hanging="357"/>
              <w:rPr>
                <w:rStyle w:val="Hyperlink"/>
                <w:rFonts w:ascii="Arial Narrow" w:eastAsia="Calibri" w:hAnsi="Arial Narrow"/>
                <w:sz w:val="18"/>
                <w:szCs w:val="18"/>
                <w:lang w:eastAsia="en-AU"/>
              </w:rPr>
            </w:pPr>
            <w:r w:rsidRPr="00E70A11">
              <w:rPr>
                <w:rStyle w:val="Hyperlink"/>
                <w:rFonts w:ascii="Arial Narrow" w:eastAsia="Calibri" w:hAnsi="Arial Narrow"/>
                <w:sz w:val="18"/>
                <w:szCs w:val="18"/>
                <w:lang w:eastAsia="en-AU"/>
              </w:rPr>
              <w:t>The Yirriganydji TUMR</w:t>
            </w:r>
          </w:p>
          <w:p w14:paraId="57620B19" w14:textId="77777777" w:rsidR="00A56EE9" w:rsidRPr="00E70A11" w:rsidRDefault="008B5998" w:rsidP="00A11869">
            <w:pPr>
              <w:pStyle w:val="EndNoteBibliography"/>
              <w:numPr>
                <w:ilvl w:val="0"/>
                <w:numId w:val="24"/>
              </w:numPr>
              <w:spacing w:after="0"/>
              <w:ind w:left="357" w:hanging="357"/>
              <w:rPr>
                <w:rStyle w:val="Hyperlink"/>
                <w:rFonts w:ascii="Arial Narrow" w:hAnsi="Arial Narrow"/>
                <w:sz w:val="18"/>
                <w:szCs w:val="18"/>
              </w:rPr>
            </w:pPr>
            <w:hyperlink r:id="rId2000" w:history="1">
              <w:r w:rsidR="00A56EE9" w:rsidRPr="00E70A11">
                <w:rPr>
                  <w:rStyle w:val="Hyperlink"/>
                  <w:rFonts w:ascii="Arial Narrow" w:hAnsi="Arial Narrow"/>
                  <w:sz w:val="18"/>
                  <w:szCs w:val="18"/>
                </w:rPr>
                <w:t>R</w:t>
              </w:r>
              <w:r w:rsidR="00A56EE9" w:rsidRPr="00E70A11">
                <w:rPr>
                  <w:rStyle w:val="Hyperlink"/>
                  <w:rFonts w:ascii="Arial Narrow" w:eastAsia="Calibri" w:hAnsi="Arial Narrow"/>
                  <w:sz w:val="18"/>
                  <w:szCs w:val="18"/>
                  <w:lang w:eastAsia="en-AU"/>
                </w:rPr>
                <w:t>aine Island Recovery Project</w:t>
              </w:r>
            </w:hyperlink>
          </w:p>
          <w:p w14:paraId="57620B1A" w14:textId="77777777" w:rsidR="00A56EE9" w:rsidRPr="00E70A11" w:rsidRDefault="008B5998" w:rsidP="00A11869">
            <w:pPr>
              <w:pStyle w:val="EndNoteBibliography"/>
              <w:numPr>
                <w:ilvl w:val="0"/>
                <w:numId w:val="24"/>
              </w:numPr>
              <w:spacing w:after="0"/>
              <w:ind w:left="357" w:hanging="357"/>
              <w:rPr>
                <w:rStyle w:val="Hyperlink"/>
                <w:rFonts w:ascii="Arial Narrow" w:eastAsia="Calibri" w:hAnsi="Arial Narrow"/>
                <w:noProof w:val="0"/>
                <w:sz w:val="18"/>
                <w:szCs w:val="18"/>
                <w:lang w:eastAsia="en-AU"/>
              </w:rPr>
            </w:pPr>
            <w:hyperlink r:id="rId2001" w:history="1">
              <w:r w:rsidR="00A56EE9" w:rsidRPr="00E70A11">
                <w:rPr>
                  <w:rStyle w:val="Hyperlink"/>
                  <w:rFonts w:ascii="Arial Narrow" w:eastAsia="Calibri" w:hAnsi="Arial Narrow"/>
                  <w:noProof w:val="0"/>
                  <w:sz w:val="18"/>
                  <w:szCs w:val="18"/>
                  <w:lang w:eastAsia="en-AU"/>
                </w:rPr>
                <w:t xml:space="preserve"> Guidelines: Woppaburra Traditional Owner Heritage</w:t>
              </w:r>
            </w:hyperlink>
            <w:r w:rsidR="00A56EE9" w:rsidRPr="00E70A11">
              <w:rPr>
                <w:rStyle w:val="Hyperlink"/>
                <w:rFonts w:ascii="Arial Narrow" w:eastAsia="Calibri" w:hAnsi="Arial Narrow"/>
                <w:noProof w:val="0"/>
                <w:sz w:val="18"/>
                <w:szCs w:val="18"/>
                <w:lang w:eastAsia="en-AU"/>
              </w:rPr>
              <w:t xml:space="preserve"> Assessment</w:t>
            </w:r>
          </w:p>
          <w:p w14:paraId="57620B1B" w14:textId="77777777" w:rsidR="00A56EE9" w:rsidRPr="00E70A11" w:rsidRDefault="00A56EE9" w:rsidP="00A11869">
            <w:pPr>
              <w:pStyle w:val="EndNoteBibliography"/>
              <w:numPr>
                <w:ilvl w:val="0"/>
                <w:numId w:val="24"/>
              </w:numPr>
              <w:spacing w:after="0"/>
              <w:ind w:left="357" w:hanging="357"/>
              <w:rPr>
                <w:rFonts w:ascii="Arial Narrow" w:eastAsia="Calibri" w:hAnsi="Arial Narrow"/>
                <w:noProof w:val="0"/>
                <w:color w:val="0000FF"/>
                <w:sz w:val="18"/>
                <w:szCs w:val="18"/>
                <w:u w:val="single"/>
                <w:lang w:val="en-AU" w:eastAsia="en-AU"/>
              </w:rPr>
            </w:pPr>
            <w:r w:rsidRPr="00E70A11">
              <w:rPr>
                <w:rStyle w:val="Hyperlink"/>
                <w:rFonts w:ascii="Arial Narrow" w:eastAsia="Calibri" w:hAnsi="Arial Narrow"/>
                <w:noProof w:val="0"/>
                <w:sz w:val="18"/>
                <w:szCs w:val="18"/>
                <w:lang w:eastAsia="en-AU"/>
              </w:rPr>
              <w:t>Websites of Traditional Owners groups</w:t>
            </w:r>
          </w:p>
        </w:tc>
        <w:tc>
          <w:tcPr>
            <w:tcW w:w="851" w:type="dxa"/>
            <w:tcBorders>
              <w:top w:val="single" w:sz="4" w:space="0" w:color="auto"/>
              <w:left w:val="single" w:sz="4" w:space="0" w:color="auto"/>
              <w:bottom w:val="single" w:sz="4" w:space="0" w:color="auto"/>
              <w:right w:val="single" w:sz="4" w:space="0" w:color="auto"/>
            </w:tcBorders>
          </w:tcPr>
          <w:p w14:paraId="57620B1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B1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B2A"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B1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PR2</w:t>
            </w:r>
            <w:r>
              <w:rPr>
                <w:rFonts w:ascii="Arial Narrow" w:hAnsi="Arial Narrow"/>
                <w:sz w:val="18"/>
                <w:szCs w:val="18"/>
              </w:rPr>
              <w:t xml:space="preserve"> </w:t>
            </w:r>
            <w:r w:rsidRPr="00E70A11">
              <w:rPr>
                <w:rFonts w:ascii="Arial Narrow" w:hAnsi="Arial Narrow"/>
                <w:sz w:val="18"/>
                <w:szCs w:val="18"/>
              </w:rPr>
              <w:t xml:space="preserve">The local community is effectively engaged in the ongoing management of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2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B21"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PR1</w:t>
            </w:r>
            <w:r w:rsidRPr="00E70A11">
              <w:rPr>
                <w:rFonts w:ascii="Arial Narrow" w:hAnsi="Arial Narrow"/>
                <w:sz w:val="18"/>
                <w:szCs w:val="18"/>
                <w:lang w:eastAsia="en-AU"/>
              </w:rPr>
              <w:t xml:space="preserve"> - </w:t>
            </w:r>
            <w:r w:rsidRPr="00E70A11">
              <w:rPr>
                <w:rFonts w:ascii="Arial Narrow" w:eastAsia="Calibri" w:hAnsi="Arial Narrow"/>
                <w:sz w:val="18"/>
                <w:szCs w:val="18"/>
              </w:rPr>
              <w:t>the local community with regard to Traditional Use is predominantly the Traditional Owners in the local communities</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B22" w14:textId="77777777" w:rsidR="00A56EE9" w:rsidRPr="00E70A11" w:rsidRDefault="008B5998" w:rsidP="00A11869">
            <w:pPr>
              <w:pStyle w:val="EndNoteBibliography"/>
              <w:numPr>
                <w:ilvl w:val="0"/>
                <w:numId w:val="24"/>
              </w:numPr>
              <w:spacing w:after="0"/>
              <w:ind w:left="357" w:hanging="357"/>
              <w:rPr>
                <w:rFonts w:ascii="Arial Narrow" w:eastAsia="Times New Roman" w:hAnsi="Arial Narrow"/>
                <w:noProof w:val="0"/>
                <w:sz w:val="18"/>
                <w:szCs w:val="18"/>
                <w:lang w:val="en-AU" w:eastAsia="en-AU"/>
              </w:rPr>
            </w:pPr>
            <w:hyperlink r:id="rId2002" w:history="1">
              <w:r w:rsidR="00A56EE9" w:rsidRPr="00E70A11">
                <w:rPr>
                  <w:rFonts w:ascii="Arial Narrow" w:eastAsia="Times New Roman" w:hAnsi="Arial Narrow"/>
                  <w:noProof w:val="0"/>
                  <w:sz w:val="18"/>
                  <w:szCs w:val="18"/>
                  <w:lang w:val="en-AU" w:eastAsia="en-AU"/>
                </w:rPr>
                <w:t>15-16</w:t>
              </w:r>
            </w:hyperlink>
            <w:r w:rsidR="00A56EE9" w:rsidRPr="00E70A11">
              <w:rPr>
                <w:rFonts w:ascii="Arial Narrow" w:eastAsia="Times New Roman" w:hAnsi="Arial Narrow"/>
                <w:noProof w:val="0"/>
                <w:sz w:val="18"/>
                <w:szCs w:val="18"/>
                <w:lang w:val="en-AU" w:eastAsia="en-AU"/>
              </w:rPr>
              <w:t xml:space="preserve"> and </w:t>
            </w:r>
            <w:hyperlink r:id="rId2003" w:history="1">
              <w:r w:rsidR="00A56EE9" w:rsidRPr="00E70A11">
                <w:rPr>
                  <w:rFonts w:ascii="Arial Narrow" w:eastAsia="Times New Roman" w:hAnsi="Arial Narrow"/>
                  <w:noProof w:val="0"/>
                  <w:sz w:val="18"/>
                  <w:szCs w:val="18"/>
                  <w:lang w:val="en-AU" w:eastAsia="en-AU"/>
                </w:rPr>
                <w:t>16-17</w:t>
              </w:r>
            </w:hyperlink>
            <w:r w:rsidR="00A56EE9" w:rsidRPr="00E70A11">
              <w:rPr>
                <w:rFonts w:ascii="Arial Narrow" w:eastAsia="Times New Roman" w:hAnsi="Arial Narrow"/>
                <w:noProof w:val="0"/>
                <w:sz w:val="18"/>
                <w:szCs w:val="18"/>
                <w:lang w:val="en-AU" w:eastAsia="en-AU"/>
              </w:rPr>
              <w:t xml:space="preserve"> Land and sea Country Partnerships Annual Report.</w:t>
            </w:r>
          </w:p>
          <w:p w14:paraId="57620B23" w14:textId="77777777" w:rsidR="00A56EE9" w:rsidRPr="00E70A11" w:rsidRDefault="008B5998" w:rsidP="00A11869">
            <w:pPr>
              <w:pStyle w:val="EndNoteBibliography"/>
              <w:numPr>
                <w:ilvl w:val="0"/>
                <w:numId w:val="24"/>
              </w:numPr>
              <w:spacing w:after="0"/>
              <w:ind w:left="357" w:hanging="357"/>
              <w:rPr>
                <w:rFonts w:ascii="Arial Narrow" w:eastAsia="Calibri" w:hAnsi="Arial Narrow"/>
                <w:color w:val="0000FF"/>
                <w:sz w:val="18"/>
                <w:szCs w:val="18"/>
                <w:u w:val="single"/>
                <w:lang w:eastAsia="en-AU"/>
              </w:rPr>
            </w:pPr>
            <w:hyperlink r:id="rId2004" w:history="1">
              <w:r w:rsidR="00A56EE9" w:rsidRPr="00E70A11">
                <w:rPr>
                  <w:rStyle w:val="Hyperlink"/>
                  <w:rFonts w:ascii="Arial Narrow" w:eastAsia="Calibri" w:hAnsi="Arial Narrow"/>
                  <w:sz w:val="18"/>
                  <w:szCs w:val="18"/>
                  <w:lang w:eastAsia="en-AU"/>
                </w:rPr>
                <w:t>TUMRA video 2015</w:t>
              </w:r>
            </w:hyperlink>
          </w:p>
          <w:p w14:paraId="57620B24" w14:textId="77777777" w:rsidR="00A56EE9" w:rsidRPr="00E70A11" w:rsidRDefault="00A56EE9" w:rsidP="00A11869">
            <w:pPr>
              <w:pStyle w:val="EndNoteBibliography"/>
              <w:numPr>
                <w:ilvl w:val="0"/>
                <w:numId w:val="24"/>
              </w:numPr>
              <w:spacing w:after="0"/>
              <w:ind w:left="357" w:hanging="357"/>
              <w:rPr>
                <w:rStyle w:val="Hyperlink"/>
                <w:rFonts w:ascii="Arial Narrow" w:eastAsia="Calibri" w:hAnsi="Arial Narrow"/>
                <w:sz w:val="18"/>
                <w:szCs w:val="18"/>
                <w:lang w:eastAsia="en-AU"/>
              </w:rPr>
            </w:pPr>
            <w:r w:rsidRPr="00E70A11">
              <w:rPr>
                <w:rStyle w:val="Hyperlink"/>
                <w:rFonts w:ascii="Arial Narrow" w:eastAsia="Calibri" w:hAnsi="Arial Narrow"/>
                <w:sz w:val="18"/>
                <w:szCs w:val="18"/>
                <w:lang w:eastAsia="en-AU"/>
              </w:rPr>
              <w:t>The Yirriganydji TUMR</w:t>
            </w:r>
          </w:p>
          <w:p w14:paraId="57620B25" w14:textId="77777777" w:rsidR="00A56EE9" w:rsidRPr="00E70A11" w:rsidRDefault="008B5998" w:rsidP="00A11869">
            <w:pPr>
              <w:pStyle w:val="EndNoteBibliography"/>
              <w:numPr>
                <w:ilvl w:val="0"/>
                <w:numId w:val="24"/>
              </w:numPr>
              <w:spacing w:after="0"/>
              <w:ind w:left="357" w:hanging="357"/>
              <w:rPr>
                <w:rStyle w:val="Hyperlink"/>
                <w:rFonts w:ascii="Arial Narrow" w:hAnsi="Arial Narrow"/>
                <w:sz w:val="18"/>
                <w:szCs w:val="18"/>
              </w:rPr>
            </w:pPr>
            <w:hyperlink r:id="rId2005" w:history="1">
              <w:r w:rsidR="00A56EE9" w:rsidRPr="00E70A11">
                <w:rPr>
                  <w:rStyle w:val="Hyperlink"/>
                  <w:rFonts w:ascii="Arial Narrow" w:hAnsi="Arial Narrow"/>
                  <w:sz w:val="18"/>
                  <w:szCs w:val="18"/>
                </w:rPr>
                <w:t>R</w:t>
              </w:r>
              <w:r w:rsidR="00A56EE9" w:rsidRPr="00E70A11">
                <w:rPr>
                  <w:rStyle w:val="Hyperlink"/>
                  <w:rFonts w:ascii="Arial Narrow" w:eastAsia="Calibri" w:hAnsi="Arial Narrow"/>
                  <w:sz w:val="18"/>
                  <w:szCs w:val="18"/>
                  <w:lang w:eastAsia="en-AU"/>
                </w:rPr>
                <w:t>aine Island Recovery Project</w:t>
              </w:r>
            </w:hyperlink>
          </w:p>
          <w:p w14:paraId="57620B26" w14:textId="77777777" w:rsidR="00A56EE9" w:rsidRPr="00E70A11" w:rsidRDefault="008B5998" w:rsidP="00A11869">
            <w:pPr>
              <w:pStyle w:val="EndNoteBibliography"/>
              <w:numPr>
                <w:ilvl w:val="0"/>
                <w:numId w:val="24"/>
              </w:numPr>
              <w:spacing w:after="0"/>
              <w:ind w:left="357" w:hanging="357"/>
              <w:rPr>
                <w:rStyle w:val="Hyperlink"/>
                <w:rFonts w:ascii="Arial Narrow" w:eastAsia="Calibri" w:hAnsi="Arial Narrow"/>
                <w:noProof w:val="0"/>
                <w:sz w:val="18"/>
                <w:szCs w:val="18"/>
                <w:lang w:eastAsia="en-AU"/>
              </w:rPr>
            </w:pPr>
            <w:hyperlink r:id="rId2006" w:history="1">
              <w:r w:rsidR="00A56EE9" w:rsidRPr="00E70A11">
                <w:rPr>
                  <w:rStyle w:val="Hyperlink"/>
                  <w:rFonts w:ascii="Arial Narrow" w:eastAsia="Calibri" w:hAnsi="Arial Narrow"/>
                  <w:noProof w:val="0"/>
                  <w:sz w:val="18"/>
                  <w:szCs w:val="18"/>
                  <w:lang w:eastAsia="en-AU"/>
                </w:rPr>
                <w:t xml:space="preserve"> Guidelines: Woppaburra Traditional Owner Heritage</w:t>
              </w:r>
            </w:hyperlink>
            <w:r w:rsidR="00A56EE9" w:rsidRPr="00E70A11">
              <w:rPr>
                <w:rStyle w:val="Hyperlink"/>
                <w:rFonts w:ascii="Arial Narrow" w:eastAsia="Calibri" w:hAnsi="Arial Narrow"/>
                <w:noProof w:val="0"/>
                <w:sz w:val="18"/>
                <w:szCs w:val="18"/>
                <w:lang w:eastAsia="en-AU"/>
              </w:rPr>
              <w:t xml:space="preserve"> Assessment</w:t>
            </w:r>
          </w:p>
          <w:p w14:paraId="57620B27" w14:textId="77777777" w:rsidR="00A56EE9" w:rsidRPr="00E70A11" w:rsidRDefault="00A56EE9" w:rsidP="00A11869">
            <w:pPr>
              <w:pStyle w:val="EndNoteBibliography"/>
              <w:numPr>
                <w:ilvl w:val="0"/>
                <w:numId w:val="24"/>
              </w:numPr>
              <w:spacing w:after="0"/>
              <w:ind w:left="357" w:hanging="357"/>
              <w:rPr>
                <w:rFonts w:ascii="Arial Narrow" w:eastAsia="Calibri" w:hAnsi="Arial Narrow"/>
                <w:noProof w:val="0"/>
                <w:color w:val="0000FF"/>
                <w:sz w:val="18"/>
                <w:szCs w:val="18"/>
                <w:u w:val="single"/>
                <w:lang w:val="en-AU" w:eastAsia="en-AU"/>
              </w:rPr>
            </w:pPr>
            <w:r w:rsidRPr="00E70A11">
              <w:rPr>
                <w:rStyle w:val="Hyperlink"/>
                <w:rFonts w:ascii="Arial Narrow" w:eastAsia="Calibri" w:hAnsi="Arial Narrow"/>
                <w:noProof w:val="0"/>
                <w:sz w:val="18"/>
                <w:szCs w:val="18"/>
                <w:lang w:eastAsia="en-AU"/>
              </w:rPr>
              <w:t>Websites of Traditional Owners groups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2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B2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B35"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2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PR3</w:t>
            </w:r>
            <w:r>
              <w:rPr>
                <w:rFonts w:ascii="Arial Narrow" w:hAnsi="Arial Narrow"/>
                <w:sz w:val="18"/>
                <w:szCs w:val="18"/>
              </w:rPr>
              <w:t xml:space="preserve"> </w:t>
            </w:r>
            <w:r w:rsidRPr="00E70A11">
              <w:rPr>
                <w:rFonts w:ascii="Arial Narrow" w:hAnsi="Arial Narrow"/>
                <w:sz w:val="18"/>
                <w:szCs w:val="18"/>
              </w:rPr>
              <w:t xml:space="preserve">There is a sound governance system in place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B2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B2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Where TUMRAs have been accredited, the governance system is well set up. In other areas there may be gaps such as clarity about sustainable take, equity and good management processes.</w:t>
            </w:r>
          </w:p>
        </w:tc>
        <w:tc>
          <w:tcPr>
            <w:tcW w:w="4819" w:type="dxa"/>
            <w:tcBorders>
              <w:top w:val="single" w:sz="4" w:space="0" w:color="auto"/>
              <w:left w:val="single" w:sz="4" w:space="0" w:color="auto"/>
              <w:bottom w:val="single" w:sz="4" w:space="0" w:color="auto"/>
              <w:right w:val="single" w:sz="4" w:space="0" w:color="auto"/>
            </w:tcBorders>
          </w:tcPr>
          <w:p w14:paraId="57620B2E" w14:textId="77777777" w:rsidR="00A56EE9" w:rsidRPr="00E70A11" w:rsidRDefault="00A56EE9" w:rsidP="00A11869">
            <w:pPr>
              <w:pStyle w:val="EndNoteBibliography"/>
              <w:numPr>
                <w:ilvl w:val="0"/>
                <w:numId w:val="24"/>
              </w:numPr>
              <w:spacing w:after="0"/>
              <w:ind w:left="357" w:hanging="357"/>
              <w:rPr>
                <w:rStyle w:val="BookTitle"/>
                <w:rFonts w:ascii="Arial Narrow" w:hAnsi="Arial Narrow"/>
                <w:noProof w:val="0"/>
                <w:sz w:val="18"/>
                <w:szCs w:val="18"/>
                <w:lang w:val="en-GB"/>
              </w:rPr>
            </w:pPr>
            <w:r w:rsidRPr="00E70A11">
              <w:rPr>
                <w:rStyle w:val="BookTitle"/>
                <w:rFonts w:ascii="Arial Narrow" w:hAnsi="Arial Narrow"/>
                <w:noProof w:val="0"/>
                <w:sz w:val="18"/>
                <w:szCs w:val="18"/>
                <w:lang w:val="en-GB"/>
              </w:rPr>
              <w:t>Great Barrier Reef Marine Park Act 1975 (s2A – protection of cultural values)</w:t>
            </w:r>
          </w:p>
          <w:p w14:paraId="57620B2F" w14:textId="77777777" w:rsidR="00A56EE9" w:rsidRPr="00E70A11" w:rsidRDefault="00A56EE9" w:rsidP="00A11869">
            <w:pPr>
              <w:pStyle w:val="EndNoteBibliography"/>
              <w:numPr>
                <w:ilvl w:val="0"/>
                <w:numId w:val="24"/>
              </w:numPr>
              <w:spacing w:after="0"/>
              <w:ind w:left="357" w:hanging="357"/>
              <w:rPr>
                <w:rStyle w:val="BookTitle"/>
                <w:rFonts w:ascii="Arial Narrow" w:hAnsi="Arial Narrow"/>
                <w:noProof w:val="0"/>
                <w:sz w:val="18"/>
                <w:szCs w:val="18"/>
                <w:lang w:val="en-GB"/>
              </w:rPr>
            </w:pPr>
            <w:r w:rsidRPr="00E70A11">
              <w:rPr>
                <w:rStyle w:val="BookTitle"/>
                <w:rFonts w:ascii="Arial Narrow" w:hAnsi="Arial Narrow"/>
                <w:noProof w:val="0"/>
                <w:sz w:val="18"/>
                <w:szCs w:val="18"/>
                <w:lang w:val="en-GB"/>
              </w:rPr>
              <w:t>Great Barrier Reef Marine Park Regulations (part 2B TUMRA’s and r 88Q and 88R)</w:t>
            </w:r>
          </w:p>
          <w:p w14:paraId="57620B30" w14:textId="77777777" w:rsidR="00A56EE9" w:rsidRPr="00E70A11" w:rsidRDefault="00A56EE9" w:rsidP="00A11869">
            <w:pPr>
              <w:pStyle w:val="EndNoteBibliography"/>
              <w:numPr>
                <w:ilvl w:val="0"/>
                <w:numId w:val="24"/>
              </w:numPr>
              <w:spacing w:after="0"/>
              <w:ind w:left="357" w:hanging="357"/>
              <w:rPr>
                <w:rStyle w:val="BookTitle"/>
                <w:rFonts w:ascii="Arial Narrow" w:hAnsi="Arial Narrow"/>
                <w:sz w:val="18"/>
                <w:szCs w:val="18"/>
              </w:rPr>
            </w:pPr>
            <w:r w:rsidRPr="00E70A11">
              <w:rPr>
                <w:rStyle w:val="BookTitle"/>
                <w:rFonts w:ascii="Arial Narrow" w:hAnsi="Arial Narrow"/>
                <w:sz w:val="18"/>
                <w:szCs w:val="18"/>
              </w:rPr>
              <w:t>Native Title Act 1993</w:t>
            </w:r>
          </w:p>
          <w:p w14:paraId="57620B31" w14:textId="77777777" w:rsidR="00A56EE9" w:rsidRPr="00E70A11" w:rsidRDefault="00A56EE9" w:rsidP="00A11869">
            <w:pPr>
              <w:pStyle w:val="EndNoteBibliography"/>
              <w:numPr>
                <w:ilvl w:val="0"/>
                <w:numId w:val="24"/>
              </w:numPr>
              <w:spacing w:after="0"/>
              <w:ind w:left="357" w:hanging="357"/>
              <w:rPr>
                <w:rStyle w:val="BookTitle"/>
                <w:rFonts w:ascii="Arial Narrow" w:hAnsi="Arial Narrow"/>
                <w:sz w:val="18"/>
                <w:szCs w:val="18"/>
              </w:rPr>
            </w:pPr>
            <w:r w:rsidRPr="00E70A11">
              <w:rPr>
                <w:rStyle w:val="BookTitle"/>
                <w:rFonts w:ascii="Arial Narrow" w:hAnsi="Arial Narrow"/>
                <w:sz w:val="18"/>
                <w:szCs w:val="18"/>
              </w:rPr>
              <w:t xml:space="preserve">CBD - Article 8 (j) </w:t>
            </w:r>
          </w:p>
          <w:p w14:paraId="57620B32"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2007" w:history="1">
              <w:r w:rsidR="00A56EE9" w:rsidRPr="00E70A11">
                <w:rPr>
                  <w:rStyle w:val="Hyperlink"/>
                  <w:rFonts w:ascii="Arial Narrow" w:hAnsi="Arial Narrow"/>
                  <w:sz w:val="18"/>
                  <w:szCs w:val="18"/>
                </w:rPr>
                <w:t>IRAC Charter of Operations for Reef Advisory Committees</w:t>
              </w:r>
            </w:hyperlink>
          </w:p>
        </w:tc>
        <w:tc>
          <w:tcPr>
            <w:tcW w:w="851" w:type="dxa"/>
            <w:tcBorders>
              <w:top w:val="single" w:sz="4" w:space="0" w:color="auto"/>
              <w:left w:val="single" w:sz="4" w:space="0" w:color="auto"/>
              <w:bottom w:val="single" w:sz="4" w:space="0" w:color="auto"/>
              <w:right w:val="single" w:sz="4" w:space="0" w:color="auto"/>
            </w:tcBorders>
          </w:tcPr>
          <w:p w14:paraId="57620B3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92" w:type="dxa"/>
            <w:tcBorders>
              <w:top w:val="single" w:sz="4" w:space="0" w:color="auto"/>
              <w:left w:val="single" w:sz="4" w:space="0" w:color="auto"/>
              <w:bottom w:val="single" w:sz="4" w:space="0" w:color="auto"/>
              <w:right w:val="single" w:sz="4" w:space="0" w:color="auto"/>
            </w:tcBorders>
          </w:tcPr>
          <w:p w14:paraId="57620B3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B42"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3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PR4</w:t>
            </w:r>
            <w:r>
              <w:rPr>
                <w:rFonts w:ascii="Arial Narrow" w:hAnsi="Arial Narrow"/>
                <w:sz w:val="18"/>
                <w:szCs w:val="18"/>
              </w:rPr>
              <w:t xml:space="preserve"> </w:t>
            </w:r>
            <w:r w:rsidRPr="00E70A11">
              <w:rPr>
                <w:rFonts w:ascii="Arial Narrow" w:hAnsi="Arial Narrow"/>
                <w:sz w:val="18"/>
                <w:szCs w:val="18"/>
              </w:rPr>
              <w:t xml:space="preserve">There is effective performance monitoring, including. regular assessment of appropriateness and effectiveness of tools, to gauge progress towards the objective(s) for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B3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B3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Performance planning protocols within the GBRMPA internally evaluate effectiveness of GBRMPA staff.</w:t>
            </w:r>
          </w:p>
          <w:p w14:paraId="57620B3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Traditional Owner meetings in 2016-17 also evaluated the current status of engagement.</w:t>
            </w:r>
          </w:p>
          <w:p w14:paraId="57620B3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In 2017, the GBRMPA contracted an independent assessor to review the effectiveness of the TUMRA program. </w:t>
            </w:r>
          </w:p>
          <w:p w14:paraId="57620B3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In 2017, the internal audit committee of the agency undertook an audit of TUMRA contracts and associated project and financial management. </w:t>
            </w:r>
          </w:p>
          <w:p w14:paraId="57620B3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Reporting back on the TUMRA implementation is not always effective.</w:t>
            </w:r>
          </w:p>
        </w:tc>
        <w:tc>
          <w:tcPr>
            <w:tcW w:w="4819" w:type="dxa"/>
            <w:tcBorders>
              <w:top w:val="single" w:sz="4" w:space="0" w:color="auto"/>
              <w:left w:val="single" w:sz="4" w:space="0" w:color="auto"/>
              <w:bottom w:val="single" w:sz="4" w:space="0" w:color="auto"/>
              <w:right w:val="single" w:sz="4" w:space="0" w:color="auto"/>
            </w:tcBorders>
          </w:tcPr>
          <w:p w14:paraId="57620B3D" w14:textId="77777777" w:rsidR="00A56EE9" w:rsidRPr="00E70A11" w:rsidRDefault="00A56EE9" w:rsidP="00A11869">
            <w:pPr>
              <w:pStyle w:val="EndNoteBibliography"/>
              <w:numPr>
                <w:ilvl w:val="0"/>
                <w:numId w:val="24"/>
              </w:numPr>
              <w:spacing w:after="0"/>
              <w:ind w:left="357" w:hanging="357"/>
              <w:rPr>
                <w:rFonts w:ascii="Arial Narrow" w:eastAsia="Times New Roman" w:hAnsi="Arial Narrow"/>
                <w:sz w:val="18"/>
                <w:szCs w:val="18"/>
                <w:lang w:val="en-AU" w:eastAsia="en-AU"/>
              </w:rPr>
            </w:pPr>
            <w:r w:rsidRPr="00E70A11">
              <w:rPr>
                <w:rFonts w:ascii="Arial Narrow" w:eastAsia="Times New Roman" w:hAnsi="Arial Narrow"/>
                <w:noProof w:val="0"/>
                <w:sz w:val="18"/>
                <w:szCs w:val="18"/>
                <w:lang w:val="en-AU" w:eastAsia="en-AU"/>
              </w:rPr>
              <w:t>Reef Rescue Indigenous Land and Sea Country Partnerships Program reports.</w:t>
            </w:r>
          </w:p>
          <w:p w14:paraId="57620B3E" w14:textId="77777777" w:rsidR="00A56EE9" w:rsidRPr="00E70A11" w:rsidRDefault="00A56EE9" w:rsidP="00A11869">
            <w:pPr>
              <w:numPr>
                <w:ilvl w:val="0"/>
                <w:numId w:val="142"/>
              </w:numPr>
              <w:spacing w:after="0" w:line="240" w:lineRule="auto"/>
              <w:ind w:left="357" w:hanging="357"/>
              <w:contextualSpacing/>
              <w:rPr>
                <w:rFonts w:ascii="Arial Narrow" w:hAnsi="Arial Narrow"/>
                <w:sz w:val="18"/>
                <w:szCs w:val="18"/>
                <w:lang w:eastAsia="en-AU"/>
              </w:rPr>
            </w:pPr>
            <w:r w:rsidRPr="00E70A11">
              <w:rPr>
                <w:rFonts w:ascii="Arial Narrow" w:hAnsi="Arial Narrow"/>
                <w:sz w:val="18"/>
                <w:szCs w:val="18"/>
                <w:lang w:eastAsia="en-AU"/>
              </w:rPr>
              <w:t xml:space="preserve">Independent TUMRA review report </w:t>
            </w:r>
          </w:p>
          <w:p w14:paraId="57620B3F" w14:textId="77777777" w:rsidR="00A56EE9" w:rsidRPr="00AC4AB4" w:rsidRDefault="00A56EE9" w:rsidP="00A11869">
            <w:pPr>
              <w:numPr>
                <w:ilvl w:val="0"/>
                <w:numId w:val="142"/>
              </w:numPr>
              <w:spacing w:after="0" w:line="240" w:lineRule="auto"/>
              <w:contextualSpacing/>
              <w:rPr>
                <w:rFonts w:ascii="Arial Narrow" w:hAnsi="Arial Narrow"/>
                <w:sz w:val="18"/>
                <w:szCs w:val="18"/>
                <w:lang w:eastAsia="en-AU"/>
              </w:rPr>
            </w:pPr>
            <w:r w:rsidRPr="00E70A11">
              <w:rPr>
                <w:rFonts w:ascii="Arial Narrow" w:hAnsi="Arial Narrow"/>
                <w:sz w:val="18"/>
                <w:szCs w:val="18"/>
                <w:lang w:eastAsia="en-AU"/>
              </w:rPr>
              <w:t>Internal Audit Report (TUMRA program)</w:t>
            </w:r>
          </w:p>
        </w:tc>
        <w:tc>
          <w:tcPr>
            <w:tcW w:w="851" w:type="dxa"/>
            <w:tcBorders>
              <w:top w:val="single" w:sz="4" w:space="0" w:color="auto"/>
              <w:left w:val="single" w:sz="4" w:space="0" w:color="auto"/>
              <w:bottom w:val="single" w:sz="4" w:space="0" w:color="auto"/>
              <w:right w:val="single" w:sz="4" w:space="0" w:color="auto"/>
            </w:tcBorders>
          </w:tcPr>
          <w:p w14:paraId="57620B4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B4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B4F"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4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PR5</w:t>
            </w:r>
            <w:r>
              <w:rPr>
                <w:rFonts w:ascii="Arial Narrow" w:hAnsi="Arial Narrow"/>
                <w:sz w:val="18"/>
                <w:szCs w:val="18"/>
              </w:rPr>
              <w:t xml:space="preserve"> </w:t>
            </w:r>
            <w:r w:rsidRPr="00E70A11">
              <w:rPr>
                <w:rFonts w:ascii="Arial Narrow" w:hAnsi="Arial Narrow"/>
                <w:sz w:val="18"/>
                <w:szCs w:val="18"/>
              </w:rPr>
              <w:t xml:space="preserve">Appropriate training is available to the managing agencies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B4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B4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IN3 and the Indigenous Heritage table.</w:t>
            </w:r>
          </w:p>
          <w:p w14:paraId="57620B46" w14:textId="77777777" w:rsidR="00A56EE9" w:rsidRPr="00E70A11" w:rsidRDefault="00A56EE9" w:rsidP="00A11869">
            <w:pPr>
              <w:pStyle w:val="ListParagraph"/>
              <w:numPr>
                <w:ilvl w:val="0"/>
                <w:numId w:val="24"/>
              </w:numPr>
              <w:spacing w:after="0" w:line="276" w:lineRule="auto"/>
              <w:rPr>
                <w:rFonts w:ascii="Arial Narrow" w:eastAsia="Calibri" w:hAnsi="Arial Narrow"/>
                <w:sz w:val="18"/>
                <w:szCs w:val="18"/>
              </w:rPr>
            </w:pPr>
            <w:r w:rsidRPr="00E70A11">
              <w:rPr>
                <w:rFonts w:ascii="Arial Narrow" w:eastAsia="Calibri" w:hAnsi="Arial Narrow"/>
                <w:sz w:val="18"/>
                <w:szCs w:val="18"/>
              </w:rPr>
              <w:t xml:space="preserve">From 2015 to September 2017 the Joint Field Management Program delivered a Foundational Management Course aimed at training joint field management staff in basic aspects of the work program and cultural competency (which includes TUMR). Some GBRMPA staff attended this training course. </w:t>
            </w:r>
          </w:p>
          <w:p w14:paraId="57620B47" w14:textId="77777777" w:rsidR="00A56EE9" w:rsidRPr="00E70A11" w:rsidRDefault="00A56EE9" w:rsidP="00A11869">
            <w:pPr>
              <w:pStyle w:val="ListParagraph"/>
              <w:numPr>
                <w:ilvl w:val="0"/>
                <w:numId w:val="24"/>
              </w:numPr>
              <w:spacing w:after="200" w:line="276" w:lineRule="auto"/>
              <w:rPr>
                <w:rFonts w:ascii="Arial Narrow" w:eastAsia="Calibri" w:hAnsi="Arial Narrow"/>
                <w:sz w:val="18"/>
                <w:szCs w:val="18"/>
              </w:rPr>
            </w:pPr>
            <w:r w:rsidRPr="00E70A11">
              <w:rPr>
                <w:rFonts w:ascii="Arial Narrow" w:eastAsia="Calibri" w:hAnsi="Arial Narrow"/>
                <w:sz w:val="18"/>
                <w:szCs w:val="18"/>
              </w:rPr>
              <w:t xml:space="preserve">In 15-16 and 16-17 the Indigenous Compliance team at GBRMPA delivered a series of compliance education and training programs to Indigenous Ranger Groups, Traditional Owners, and other management staff. This resulted in 81 Aboriginal and Torres Strait Islander people receiving training. </w:t>
            </w:r>
          </w:p>
          <w:p w14:paraId="57620B48" w14:textId="77777777" w:rsidR="00A56EE9" w:rsidRPr="00E70A11" w:rsidRDefault="00A56EE9" w:rsidP="00A11869">
            <w:pPr>
              <w:pStyle w:val="ListParagraph"/>
              <w:numPr>
                <w:ilvl w:val="0"/>
                <w:numId w:val="24"/>
              </w:numPr>
              <w:spacing w:after="200" w:line="276" w:lineRule="auto"/>
              <w:rPr>
                <w:rFonts w:ascii="Arial Narrow" w:eastAsia="Calibri" w:hAnsi="Arial Narrow"/>
                <w:sz w:val="18"/>
                <w:szCs w:val="18"/>
              </w:rPr>
            </w:pPr>
            <w:r w:rsidRPr="00E70A11">
              <w:rPr>
                <w:rFonts w:ascii="Arial Narrow" w:eastAsia="Calibri" w:hAnsi="Arial Narrow"/>
                <w:sz w:val="18"/>
                <w:szCs w:val="18"/>
              </w:rPr>
              <w:t>There is a lack of cultural capability training within GBRMPA, but this has been delivered to Joint Field Management Staff</w:t>
            </w:r>
          </w:p>
          <w:p w14:paraId="57620B49" w14:textId="77777777" w:rsidR="00A56EE9" w:rsidRPr="00E70A11" w:rsidRDefault="00A56EE9" w:rsidP="00A11869">
            <w:pPr>
              <w:pStyle w:val="ListParagraph"/>
              <w:numPr>
                <w:ilvl w:val="0"/>
                <w:numId w:val="24"/>
              </w:numPr>
              <w:spacing w:after="0" w:line="276" w:lineRule="auto"/>
              <w:rPr>
                <w:rFonts w:ascii="Arial Narrow" w:eastAsia="Calibri" w:hAnsi="Arial Narrow"/>
                <w:sz w:val="18"/>
                <w:szCs w:val="18"/>
              </w:rPr>
            </w:pPr>
            <w:r w:rsidRPr="00E70A11">
              <w:rPr>
                <w:rFonts w:ascii="Arial Narrow" w:eastAsia="Calibri" w:hAnsi="Arial Narrow"/>
                <w:sz w:val="18"/>
                <w:szCs w:val="18"/>
              </w:rPr>
              <w:t>The presence of Indigenous staff and of Traditional Owners on vessels is an effective mechanism for other staff to learn about Traditional Use of Marine Resources, while also providing valuable learning opportunities for Traditional Owners. (see videos for examples)</w:t>
            </w:r>
          </w:p>
        </w:tc>
        <w:tc>
          <w:tcPr>
            <w:tcW w:w="4819" w:type="dxa"/>
            <w:tcBorders>
              <w:top w:val="single" w:sz="4" w:space="0" w:color="auto"/>
              <w:left w:val="single" w:sz="4" w:space="0" w:color="auto"/>
              <w:bottom w:val="single" w:sz="4" w:space="0" w:color="auto"/>
              <w:right w:val="single" w:sz="4" w:space="0" w:color="auto"/>
            </w:tcBorders>
          </w:tcPr>
          <w:p w14:paraId="57620B4A" w14:textId="77777777" w:rsidR="00A56EE9" w:rsidRPr="00E70A11" w:rsidRDefault="008B5998" w:rsidP="00A11869">
            <w:pPr>
              <w:pStyle w:val="EndNoteBibliography"/>
              <w:numPr>
                <w:ilvl w:val="0"/>
                <w:numId w:val="24"/>
              </w:numPr>
              <w:spacing w:after="0"/>
              <w:ind w:left="357" w:hanging="357"/>
              <w:rPr>
                <w:rFonts w:ascii="Arial Narrow" w:eastAsia="Calibri" w:hAnsi="Arial Narrow"/>
                <w:color w:val="0000FF"/>
                <w:sz w:val="18"/>
                <w:szCs w:val="18"/>
                <w:u w:val="single"/>
                <w:lang w:eastAsia="en-AU"/>
              </w:rPr>
            </w:pPr>
            <w:hyperlink r:id="rId2008" w:history="1">
              <w:r w:rsidR="00A56EE9" w:rsidRPr="00E70A11">
                <w:rPr>
                  <w:rStyle w:val="Hyperlink"/>
                  <w:rFonts w:ascii="Arial Narrow" w:eastAsia="Calibri" w:hAnsi="Arial Narrow"/>
                  <w:sz w:val="18"/>
                  <w:szCs w:val="18"/>
                  <w:lang w:eastAsia="en-AU"/>
                </w:rPr>
                <w:t>TUMRA video 2015</w:t>
              </w:r>
            </w:hyperlink>
          </w:p>
          <w:p w14:paraId="57620B4B" w14:textId="77777777" w:rsidR="00A56EE9" w:rsidRPr="00E70A11" w:rsidRDefault="00A56EE9" w:rsidP="00A11869">
            <w:pPr>
              <w:pStyle w:val="EndNoteBibliography"/>
              <w:numPr>
                <w:ilvl w:val="0"/>
                <w:numId w:val="24"/>
              </w:numPr>
              <w:spacing w:after="0"/>
              <w:ind w:left="357" w:hanging="357"/>
              <w:rPr>
                <w:rStyle w:val="Hyperlink"/>
                <w:rFonts w:ascii="Arial Narrow" w:eastAsia="Calibri" w:hAnsi="Arial Narrow"/>
                <w:sz w:val="18"/>
                <w:szCs w:val="18"/>
                <w:lang w:eastAsia="en-AU"/>
              </w:rPr>
            </w:pPr>
            <w:r w:rsidRPr="00E70A11">
              <w:rPr>
                <w:rStyle w:val="Hyperlink"/>
                <w:rFonts w:ascii="Arial Narrow" w:eastAsia="Calibri" w:hAnsi="Arial Narrow"/>
                <w:sz w:val="18"/>
                <w:szCs w:val="18"/>
                <w:lang w:eastAsia="en-AU"/>
              </w:rPr>
              <w:t>The Yirriganydji TUMR</w:t>
            </w:r>
          </w:p>
          <w:p w14:paraId="57620B4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Field Management Program reports</w:t>
            </w:r>
          </w:p>
        </w:tc>
        <w:tc>
          <w:tcPr>
            <w:tcW w:w="851" w:type="dxa"/>
            <w:tcBorders>
              <w:top w:val="single" w:sz="4" w:space="0" w:color="auto"/>
              <w:left w:val="single" w:sz="4" w:space="0" w:color="auto"/>
              <w:bottom w:val="single" w:sz="4" w:space="0" w:color="auto"/>
              <w:right w:val="single" w:sz="4" w:space="0" w:color="auto"/>
            </w:tcBorders>
          </w:tcPr>
          <w:p w14:paraId="57620B4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B4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B58"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B5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PR6</w:t>
            </w:r>
            <w:r>
              <w:rPr>
                <w:rFonts w:ascii="Arial Narrow" w:hAnsi="Arial Narrow"/>
                <w:sz w:val="18"/>
                <w:szCs w:val="18"/>
              </w:rPr>
              <w:t xml:space="preserve"> </w:t>
            </w:r>
            <w:r w:rsidRPr="00E70A11">
              <w:rPr>
                <w:rFonts w:ascii="Arial Narrow" w:hAnsi="Arial Narrow"/>
                <w:sz w:val="18"/>
                <w:szCs w:val="18"/>
              </w:rPr>
              <w:t xml:space="preserve">Management of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is consistently implemented across the relevant jurisdictions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5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B52"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See PL8 – TUMRAs are endorsed by both State and Commonwealth governments and are developed and implemented by and with Traditional Owners, so there is a high degree of consistency and cooperation. </w:t>
            </w:r>
          </w:p>
          <w:p w14:paraId="57620B53" w14:textId="77777777" w:rsidR="00A56EE9" w:rsidRPr="00E70A11" w:rsidRDefault="00A56EE9" w:rsidP="00A11869">
            <w:pPr>
              <w:pStyle w:val="ListParagraph"/>
              <w:numPr>
                <w:ilvl w:val="0"/>
                <w:numId w:val="24"/>
              </w:numPr>
              <w:spacing w:after="0" w:line="276" w:lineRule="auto"/>
              <w:rPr>
                <w:rFonts w:ascii="Arial Narrow" w:eastAsia="Calibri" w:hAnsi="Arial Narrow"/>
                <w:sz w:val="18"/>
                <w:szCs w:val="18"/>
              </w:rPr>
            </w:pPr>
            <w:r w:rsidRPr="00E70A11">
              <w:rPr>
                <w:rFonts w:ascii="Arial Narrow" w:eastAsia="Calibri" w:hAnsi="Arial Narrow"/>
                <w:sz w:val="18"/>
                <w:szCs w:val="18"/>
              </w:rPr>
              <w:t xml:space="preserve">The Draft Policy on Traditional Use of Marine Resources is a joint policy for consistency (GBRMPA/QPWS). </w:t>
            </w:r>
          </w:p>
          <w:p w14:paraId="57620B54" w14:textId="77777777" w:rsidR="00A56EE9" w:rsidRPr="00E70A11" w:rsidRDefault="00A56EE9" w:rsidP="00A11869">
            <w:pPr>
              <w:pStyle w:val="ListParagraph"/>
              <w:numPr>
                <w:ilvl w:val="0"/>
                <w:numId w:val="24"/>
              </w:numPr>
              <w:spacing w:after="200" w:line="276" w:lineRule="auto"/>
              <w:rPr>
                <w:rFonts w:ascii="Arial Narrow" w:eastAsia="Calibri" w:hAnsi="Arial Narrow"/>
                <w:sz w:val="18"/>
                <w:szCs w:val="18"/>
              </w:rPr>
            </w:pPr>
            <w:r w:rsidRPr="00E70A11">
              <w:rPr>
                <w:rFonts w:ascii="Arial Narrow" w:eastAsia="Calibri" w:hAnsi="Arial Narrow"/>
                <w:sz w:val="18"/>
                <w:szCs w:val="18"/>
              </w:rPr>
              <w:t>An interdepartmental informal working group has been formed to increase alignment and consistency between Indigenous Ranger programs, the joint field management program and the TUMRA program.</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B55" w14:textId="77777777" w:rsidR="00A56EE9" w:rsidRPr="00AC4AB4"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 xml:space="preserve">Draft Policy on Traditional Use of Marine Resources </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5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B57" w14:textId="77777777" w:rsidR="00A56EE9" w:rsidRPr="00E70A11" w:rsidRDefault="00A56EE9" w:rsidP="00BB6AD5">
            <w:pPr>
              <w:rPr>
                <w:rFonts w:ascii="Arial Narrow" w:hAnsi="Arial Narrow"/>
                <w:sz w:val="18"/>
                <w:szCs w:val="18"/>
              </w:rPr>
            </w:pPr>
            <w:r>
              <w:rPr>
                <w:rFonts w:ascii="Arial Narrow" w:hAnsi="Arial Narrow"/>
                <w:sz w:val="18"/>
                <w:szCs w:val="18"/>
              </w:rPr>
              <w:t>Stable</w:t>
            </w:r>
          </w:p>
        </w:tc>
      </w:tr>
      <w:tr w:rsidR="00A56EE9" w:rsidRPr="00E70A11" w14:paraId="57620B62"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B5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PR7</w:t>
            </w:r>
            <w:r>
              <w:rPr>
                <w:rFonts w:ascii="Arial Narrow" w:hAnsi="Arial Narrow"/>
                <w:sz w:val="18"/>
                <w:szCs w:val="18"/>
              </w:rPr>
              <w:t xml:space="preserve"> </w:t>
            </w:r>
            <w:r w:rsidRPr="00E70A11">
              <w:rPr>
                <w:rFonts w:ascii="Arial Narrow" w:hAnsi="Arial Narrow"/>
                <w:sz w:val="18"/>
                <w:szCs w:val="18"/>
              </w:rPr>
              <w:t xml:space="preserve">There are effective processes applied to resolve differing views/ conflicts regarding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5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B5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A checklist has been developed to ensure all concerns are considered in developing TUMRAs. This includes engaging with neighbouring Traditional Owner Groups and getting their written endorsement before a TUMRA boundary is set. </w:t>
            </w:r>
          </w:p>
          <w:p w14:paraId="57620B5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Within each TUMRA contract is a dispute resolution clause and process.</w:t>
            </w:r>
          </w:p>
          <w:p w14:paraId="57620B5D" w14:textId="728C0925"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 the past, some conflicts have arisen between Traditional Owners and tourist industry regarding take of marine species.</w:t>
            </w:r>
            <w:r w:rsidR="00A75D7F">
              <w:rPr>
                <w:rFonts w:ascii="Arial Narrow" w:eastAsia="Calibri" w:hAnsi="Arial Narrow"/>
                <w:sz w:val="18"/>
                <w:szCs w:val="18"/>
              </w:rPr>
              <w:t xml:space="preserve"> </w:t>
            </w:r>
            <w:r>
              <w:rPr>
                <w:rFonts w:ascii="Arial Narrow" w:eastAsia="Calibri" w:hAnsi="Arial Narrow"/>
                <w:sz w:val="18"/>
                <w:szCs w:val="18"/>
              </w:rPr>
              <w:t xml:space="preserve">These issues have been generally resolved. </w:t>
            </w:r>
          </w:p>
          <w:p w14:paraId="57620B5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Illegal take of turtle and dugong by </w:t>
            </w:r>
            <w:r>
              <w:rPr>
                <w:rFonts w:ascii="Arial Narrow" w:eastAsia="Calibri" w:hAnsi="Arial Narrow"/>
                <w:sz w:val="18"/>
                <w:szCs w:val="18"/>
              </w:rPr>
              <w:t xml:space="preserve">non-traditional owners and </w:t>
            </w:r>
            <w:r w:rsidRPr="00E70A11">
              <w:rPr>
                <w:rFonts w:ascii="Arial Narrow" w:eastAsia="Calibri" w:hAnsi="Arial Narrow"/>
                <w:sz w:val="18"/>
                <w:szCs w:val="18"/>
              </w:rPr>
              <w:t xml:space="preserve">outside groups </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B5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TUMRA checklist</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6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B6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B71"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B6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PR8</w:t>
            </w:r>
            <w:r>
              <w:rPr>
                <w:rFonts w:ascii="Arial Narrow" w:hAnsi="Arial Narrow"/>
                <w:sz w:val="18"/>
                <w:szCs w:val="18"/>
              </w:rPr>
              <w:t xml:space="preserve"> </w:t>
            </w:r>
            <w:r w:rsidRPr="00E70A11">
              <w:rPr>
                <w:rFonts w:ascii="Arial Narrow" w:hAnsi="Arial Narrow"/>
                <w:sz w:val="18"/>
                <w:szCs w:val="18"/>
              </w:rPr>
              <w:t xml:space="preserve">Impacts (direct, indirect and cumulative) of activities associated with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are appropriately considered.</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6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B6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CO 3</w:t>
            </w:r>
          </w:p>
          <w:p w14:paraId="57620B66" w14:textId="77777777" w:rsidR="00A56EE9" w:rsidRPr="00E70A11" w:rsidRDefault="00A56EE9" w:rsidP="00A11869">
            <w:pPr>
              <w:pStyle w:val="ListParagraph"/>
              <w:numPr>
                <w:ilvl w:val="0"/>
                <w:numId w:val="24"/>
              </w:numPr>
              <w:spacing w:after="0" w:line="276" w:lineRule="auto"/>
              <w:rPr>
                <w:rFonts w:ascii="Arial Narrow" w:eastAsia="Calibri" w:hAnsi="Arial Narrow"/>
                <w:sz w:val="18"/>
                <w:szCs w:val="18"/>
              </w:rPr>
            </w:pPr>
            <w:r w:rsidRPr="00E70A11">
              <w:rPr>
                <w:rFonts w:ascii="Arial Narrow" w:eastAsia="Calibri" w:hAnsi="Arial Narrow"/>
                <w:sz w:val="18"/>
                <w:szCs w:val="18"/>
              </w:rPr>
              <w:t>Most Traditional Owner groups in the GBR continue to exercise their Native Title rights and hunt or collect marine resources.</w:t>
            </w:r>
            <w:r>
              <w:rPr>
                <w:rFonts w:ascii="Arial Narrow" w:eastAsia="Calibri" w:hAnsi="Arial Narrow"/>
                <w:sz w:val="18"/>
                <w:szCs w:val="18"/>
              </w:rPr>
              <w:t xml:space="preserve"> </w:t>
            </w:r>
            <w:r w:rsidRPr="00E70A11">
              <w:rPr>
                <w:rFonts w:ascii="Arial Narrow" w:eastAsia="Calibri" w:hAnsi="Arial Narrow"/>
                <w:sz w:val="18"/>
                <w:szCs w:val="18"/>
              </w:rPr>
              <w:t>Many of the groups with a TUMRA have placed a voluntary moratorium on the take of turtle and dugong. TUMRA groups manage sustainably set hunting limits through a permitting process.</w:t>
            </w:r>
            <w:r>
              <w:rPr>
                <w:rFonts w:ascii="Arial Narrow" w:eastAsia="Calibri" w:hAnsi="Arial Narrow"/>
                <w:sz w:val="18"/>
                <w:szCs w:val="18"/>
              </w:rPr>
              <w:t xml:space="preserve"> </w:t>
            </w:r>
            <w:r w:rsidRPr="00E70A11">
              <w:rPr>
                <w:rFonts w:ascii="Arial Narrow" w:eastAsia="Calibri" w:hAnsi="Arial Narrow"/>
                <w:sz w:val="18"/>
                <w:szCs w:val="18"/>
              </w:rPr>
              <w:t>Hunting permit systems perform many functions including permission, monitoring, recording and facilitating compliance actions.</w:t>
            </w:r>
            <w:r>
              <w:rPr>
                <w:rFonts w:ascii="Arial Narrow" w:eastAsia="Calibri" w:hAnsi="Arial Narrow"/>
                <w:sz w:val="18"/>
                <w:szCs w:val="18"/>
              </w:rPr>
              <w:t xml:space="preserve"> </w:t>
            </w:r>
          </w:p>
          <w:p w14:paraId="57620B67" w14:textId="77777777" w:rsidR="00A56EE9" w:rsidRPr="00E70A11" w:rsidRDefault="00A56EE9" w:rsidP="00A11869">
            <w:pPr>
              <w:pStyle w:val="ListParagraph"/>
              <w:numPr>
                <w:ilvl w:val="0"/>
                <w:numId w:val="24"/>
              </w:numPr>
              <w:spacing w:before="40" w:after="40" w:line="240" w:lineRule="auto"/>
              <w:rPr>
                <w:rFonts w:ascii="Arial Narrow" w:eastAsia="Calibri" w:hAnsi="Arial Narrow"/>
                <w:sz w:val="18"/>
                <w:szCs w:val="18"/>
              </w:rPr>
            </w:pPr>
            <w:r w:rsidRPr="00E70A11">
              <w:rPr>
                <w:rFonts w:ascii="Arial Narrow" w:eastAsia="Calibri" w:hAnsi="Arial Narrow"/>
                <w:sz w:val="18"/>
                <w:szCs w:val="18"/>
              </w:rPr>
              <w:t>Green turtles and dugong are vulnerable to a range of impacts including boat strike, habitat degradation, by-catch, pollutants, marine debris and disease. Current known legal hunting by Traditional Owners is considered to be sustainable, provided other threats are addressed.</w:t>
            </w:r>
          </w:p>
          <w:p w14:paraId="57620B68" w14:textId="77777777" w:rsidR="00A56EE9" w:rsidRPr="00E70A11" w:rsidRDefault="00A56EE9" w:rsidP="00A11869">
            <w:pPr>
              <w:pStyle w:val="ListParagraph"/>
              <w:numPr>
                <w:ilvl w:val="0"/>
                <w:numId w:val="24"/>
              </w:numPr>
              <w:spacing w:after="200" w:line="276" w:lineRule="auto"/>
              <w:rPr>
                <w:rFonts w:ascii="Arial Narrow" w:eastAsia="Calibri" w:hAnsi="Arial Narrow"/>
                <w:sz w:val="18"/>
                <w:szCs w:val="18"/>
              </w:rPr>
            </w:pPr>
            <w:r w:rsidRPr="00E70A11">
              <w:rPr>
                <w:rFonts w:ascii="Arial Narrow" w:eastAsia="Calibri" w:hAnsi="Arial Narrow"/>
                <w:sz w:val="18"/>
                <w:szCs w:val="18"/>
              </w:rPr>
              <w:t>Illegal hunting of threatened species by people who are not Traditional Owners (known as poaching) is a concern of Traditional Owners and managing agencies</w:t>
            </w:r>
          </w:p>
          <w:p w14:paraId="57620B69" w14:textId="77777777" w:rsidR="00A56EE9" w:rsidRPr="00E70A11" w:rsidRDefault="00A56EE9" w:rsidP="00A11869">
            <w:pPr>
              <w:pStyle w:val="ListParagraph"/>
              <w:numPr>
                <w:ilvl w:val="0"/>
                <w:numId w:val="24"/>
              </w:numPr>
              <w:spacing w:after="200" w:line="276" w:lineRule="auto"/>
              <w:rPr>
                <w:rFonts w:ascii="Arial Narrow" w:eastAsia="Calibri" w:hAnsi="Arial Narrow"/>
                <w:sz w:val="18"/>
                <w:szCs w:val="18"/>
              </w:rPr>
            </w:pPr>
            <w:r w:rsidRPr="00E70A11">
              <w:rPr>
                <w:rFonts w:ascii="Arial Narrow" w:eastAsia="Calibri" w:hAnsi="Arial Narrow"/>
                <w:sz w:val="18"/>
                <w:szCs w:val="18"/>
              </w:rPr>
              <w:t>Cumulative impacts remain difficult to understand, especially with effects of climate change, sea level rise, coral bleaching and extreme climate events.</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B6A" w14:textId="77777777" w:rsidR="00A56EE9" w:rsidRPr="00E70A11" w:rsidRDefault="008B5998" w:rsidP="00A11869">
            <w:pPr>
              <w:pStyle w:val="ListParagraph"/>
              <w:numPr>
                <w:ilvl w:val="0"/>
                <w:numId w:val="138"/>
              </w:numPr>
              <w:spacing w:after="0" w:line="240" w:lineRule="auto"/>
              <w:ind w:left="357" w:hanging="357"/>
              <w:rPr>
                <w:rFonts w:ascii="Arial Narrow" w:hAnsi="Arial Narrow"/>
                <w:sz w:val="18"/>
                <w:szCs w:val="18"/>
              </w:rPr>
            </w:pPr>
            <w:hyperlink r:id="rId2009" w:history="1">
              <w:r w:rsidR="00A56EE9" w:rsidRPr="00E70A11">
                <w:rPr>
                  <w:rStyle w:val="Hyperlink"/>
                  <w:rFonts w:ascii="Arial Narrow" w:hAnsi="Arial Narrow"/>
                  <w:sz w:val="18"/>
                  <w:szCs w:val="18"/>
                </w:rPr>
                <w:t>Cumulative impact policy</w:t>
              </w:r>
            </w:hyperlink>
          </w:p>
          <w:p w14:paraId="57620B6B" w14:textId="77777777" w:rsidR="00A56EE9" w:rsidRPr="00E70A11" w:rsidRDefault="008B5998" w:rsidP="00A11869">
            <w:pPr>
              <w:pStyle w:val="ListParagraph"/>
              <w:numPr>
                <w:ilvl w:val="0"/>
                <w:numId w:val="138"/>
              </w:numPr>
              <w:spacing w:after="0" w:line="240" w:lineRule="auto"/>
              <w:ind w:left="357" w:hanging="357"/>
              <w:rPr>
                <w:rStyle w:val="Hyperlink"/>
                <w:rFonts w:ascii="Arial Narrow" w:hAnsi="Arial Narrow"/>
                <w:sz w:val="18"/>
                <w:szCs w:val="18"/>
              </w:rPr>
            </w:pPr>
            <w:hyperlink r:id="rId2010" w:history="1">
              <w:r w:rsidR="00A56EE9" w:rsidRPr="00E70A11">
                <w:rPr>
                  <w:rStyle w:val="Hyperlink"/>
                  <w:rFonts w:ascii="Arial Narrow" w:hAnsi="Arial Narrow"/>
                  <w:sz w:val="18"/>
                  <w:szCs w:val="18"/>
                </w:rPr>
                <w:t xml:space="preserve"> Guidelines: Woppaburra Traditional Owner Heritage</w:t>
              </w:r>
            </w:hyperlink>
            <w:r w:rsidR="00A56EE9" w:rsidRPr="00E70A11">
              <w:rPr>
                <w:rStyle w:val="Hyperlink"/>
                <w:rFonts w:ascii="Arial Narrow" w:hAnsi="Arial Narrow"/>
                <w:sz w:val="18"/>
                <w:szCs w:val="18"/>
              </w:rPr>
              <w:t xml:space="preserve"> Assessment</w:t>
            </w:r>
          </w:p>
          <w:p w14:paraId="57620B6C" w14:textId="77777777" w:rsidR="00A56EE9" w:rsidRPr="00E70A11" w:rsidRDefault="008B5998" w:rsidP="00A11869">
            <w:pPr>
              <w:numPr>
                <w:ilvl w:val="0"/>
                <w:numId w:val="24"/>
              </w:numPr>
              <w:spacing w:after="0" w:line="240" w:lineRule="auto"/>
              <w:ind w:left="357" w:hanging="357"/>
              <w:contextualSpacing/>
              <w:rPr>
                <w:rStyle w:val="Hyperlink"/>
                <w:rFonts w:ascii="Arial Narrow" w:eastAsia="Calibri" w:hAnsi="Arial Narrow"/>
                <w:sz w:val="18"/>
                <w:szCs w:val="18"/>
              </w:rPr>
            </w:pPr>
            <w:hyperlink r:id="rId2011" w:history="1">
              <w:r w:rsidR="00A56EE9" w:rsidRPr="00E70A11">
                <w:rPr>
                  <w:rStyle w:val="Hyperlink"/>
                  <w:rFonts w:ascii="Arial Narrow" w:hAnsi="Arial Narrow"/>
                  <w:sz w:val="18"/>
                  <w:szCs w:val="18"/>
                  <w:lang w:eastAsia="en-AU"/>
                </w:rPr>
                <w:t>Traditional Owner Heritage Assessment Guidelines</w:t>
              </w:r>
            </w:hyperlink>
          </w:p>
          <w:p w14:paraId="57620B6D" w14:textId="77777777" w:rsidR="00A56EE9" w:rsidRPr="00E70A11" w:rsidRDefault="008B5998" w:rsidP="00A11869">
            <w:pPr>
              <w:pStyle w:val="ListParagraph"/>
              <w:numPr>
                <w:ilvl w:val="0"/>
                <w:numId w:val="135"/>
              </w:numPr>
              <w:spacing w:after="0" w:line="240" w:lineRule="auto"/>
              <w:rPr>
                <w:rStyle w:val="Hyperlink"/>
                <w:rFonts w:ascii="Arial Narrow" w:eastAsia="Calibri" w:hAnsi="Arial Narrow"/>
                <w:sz w:val="18"/>
                <w:szCs w:val="18"/>
              </w:rPr>
            </w:pPr>
            <w:hyperlink r:id="rId2012" w:history="1">
              <w:r w:rsidR="00A56EE9" w:rsidRPr="00E70A11">
                <w:rPr>
                  <w:rStyle w:val="Hyperlink"/>
                  <w:rFonts w:ascii="Arial Narrow" w:eastAsia="Calibri" w:hAnsi="Arial Narrow"/>
                  <w:sz w:val="18"/>
                  <w:szCs w:val="18"/>
                </w:rPr>
                <w:t>Raine Island Recovery Project</w:t>
              </w:r>
            </w:hyperlink>
          </w:p>
          <w:p w14:paraId="57620B6E" w14:textId="77777777" w:rsidR="00A56EE9" w:rsidRPr="00AC4AB4"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2013" w:history="1">
              <w:r w:rsidR="00A56EE9" w:rsidRPr="00E70A11">
                <w:rPr>
                  <w:rStyle w:val="Hyperlink"/>
                  <w:rFonts w:ascii="Arial Narrow" w:eastAsia="Calibri" w:hAnsi="Arial Narrow"/>
                  <w:sz w:val="18"/>
                  <w:szCs w:val="18"/>
                </w:rPr>
                <w:t>Recovery Plan for</w:t>
              </w:r>
              <w:r w:rsidR="00A56EE9">
                <w:rPr>
                  <w:rStyle w:val="Hyperlink"/>
                  <w:rFonts w:ascii="Arial Narrow" w:eastAsia="Calibri" w:hAnsi="Arial Narrow"/>
                  <w:sz w:val="18"/>
                  <w:szCs w:val="18"/>
                </w:rPr>
                <w:t xml:space="preserve"> </w:t>
              </w:r>
              <w:r w:rsidR="00A56EE9" w:rsidRPr="00E70A11">
                <w:rPr>
                  <w:rStyle w:val="Hyperlink"/>
                  <w:rFonts w:ascii="Arial Narrow" w:eastAsia="Calibri" w:hAnsi="Arial Narrow"/>
                  <w:sz w:val="18"/>
                  <w:szCs w:val="18"/>
                </w:rPr>
                <w:t>Marine Turtles in Australia 2017-2027</w:t>
              </w:r>
            </w:hyperlink>
            <w:r w:rsidR="00A56EE9" w:rsidRPr="00E70A11">
              <w:rPr>
                <w:rFonts w:ascii="Arial Narrow" w:eastAsia="Calibri" w:hAnsi="Arial Narrow"/>
                <w:sz w:val="18"/>
                <w:szCs w:val="18"/>
              </w:rPr>
              <w:t xml:space="preserve">, </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6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B7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B7B"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B7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PR9</w:t>
            </w:r>
            <w:r>
              <w:rPr>
                <w:rFonts w:ascii="Arial Narrow" w:hAnsi="Arial Narrow"/>
                <w:sz w:val="18"/>
                <w:szCs w:val="18"/>
              </w:rPr>
              <w:t xml:space="preserve"> </w:t>
            </w:r>
            <w:r w:rsidRPr="00E70A11">
              <w:rPr>
                <w:rFonts w:ascii="Arial Narrow" w:hAnsi="Arial Narrow"/>
                <w:sz w:val="18"/>
                <w:szCs w:val="18"/>
              </w:rPr>
              <w:t xml:space="preserve">The best available biophysical research and/or monitoring information is applied appropriately to make relevant management decisions regarding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7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B74"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Information applied to the development of TUMRAs and other permits includes regular surveys and population estimates of both turtles and dugongs. In some cases, Traditional Owners have chosen to forego any take of these species due to concerns about their populations.</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B75" w14:textId="77777777" w:rsidR="00A56EE9" w:rsidRPr="00E70A11" w:rsidRDefault="008B5998" w:rsidP="00A11869">
            <w:pPr>
              <w:numPr>
                <w:ilvl w:val="0"/>
                <w:numId w:val="24"/>
              </w:numPr>
              <w:spacing w:after="0" w:line="240" w:lineRule="auto"/>
              <w:ind w:left="357" w:hanging="357"/>
              <w:contextualSpacing/>
              <w:rPr>
                <w:rFonts w:ascii="Arial Narrow" w:eastAsia="Calibri" w:hAnsi="Arial Narrow"/>
                <w:sz w:val="18"/>
                <w:szCs w:val="18"/>
              </w:rPr>
            </w:pPr>
            <w:hyperlink r:id="rId2014" w:history="1">
              <w:r w:rsidR="00A56EE9" w:rsidRPr="00E70A11">
                <w:rPr>
                  <w:rStyle w:val="Hyperlink"/>
                  <w:rFonts w:ascii="Arial Narrow" w:eastAsia="Calibri" w:hAnsi="Arial Narrow"/>
                  <w:sz w:val="18"/>
                  <w:szCs w:val="18"/>
                </w:rPr>
                <w:t>Regular dugong surveys</w:t>
              </w:r>
            </w:hyperlink>
          </w:p>
          <w:p w14:paraId="57620B76"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Turtle surveys and monitoring</w:t>
            </w:r>
          </w:p>
          <w:p w14:paraId="57620B77" w14:textId="77777777" w:rsidR="00A56EE9" w:rsidRPr="00E70A11" w:rsidRDefault="00A56EE9" w:rsidP="00A11869">
            <w:pPr>
              <w:numPr>
                <w:ilvl w:val="0"/>
                <w:numId w:val="24"/>
              </w:numPr>
              <w:spacing w:after="0" w:line="240" w:lineRule="auto"/>
              <w:ind w:left="357" w:hanging="357"/>
              <w:contextualSpacing/>
              <w:rPr>
                <w:rFonts w:ascii="Arial Narrow" w:eastAsia="Calibri" w:hAnsi="Arial Narrow"/>
                <w:sz w:val="18"/>
                <w:szCs w:val="18"/>
              </w:rPr>
            </w:pPr>
            <w:r w:rsidRPr="00E70A11">
              <w:rPr>
                <w:rFonts w:ascii="Arial Narrow" w:eastAsia="Calibri" w:hAnsi="Arial Narrow"/>
                <w:sz w:val="18"/>
                <w:szCs w:val="18"/>
              </w:rPr>
              <w:t>Seagrass monitoring</w:t>
            </w:r>
          </w:p>
          <w:p w14:paraId="57620B78" w14:textId="77777777" w:rsidR="00A56EE9" w:rsidRPr="00AC4AB4" w:rsidRDefault="008B5998" w:rsidP="00A11869">
            <w:pPr>
              <w:pStyle w:val="EndNoteBibliography"/>
              <w:numPr>
                <w:ilvl w:val="0"/>
                <w:numId w:val="24"/>
              </w:numPr>
              <w:spacing w:after="0"/>
              <w:ind w:left="357" w:hanging="357"/>
              <w:rPr>
                <w:rFonts w:ascii="Arial Narrow" w:eastAsia="Calibri" w:hAnsi="Arial Narrow"/>
                <w:color w:val="0000FF"/>
                <w:sz w:val="18"/>
                <w:szCs w:val="18"/>
                <w:u w:val="single"/>
              </w:rPr>
            </w:pPr>
            <w:hyperlink r:id="rId2015" w:history="1">
              <w:r w:rsidR="00A56EE9" w:rsidRPr="00E70A11">
                <w:rPr>
                  <w:rStyle w:val="Hyperlink"/>
                  <w:rFonts w:ascii="Arial Narrow" w:eastAsia="Calibri" w:hAnsi="Arial Narrow"/>
                  <w:sz w:val="18"/>
                  <w:szCs w:val="18"/>
                </w:rPr>
                <w:t>Dugong report</w:t>
              </w:r>
            </w:hyperlink>
            <w:r w:rsidR="00A56EE9" w:rsidRPr="00E70A11">
              <w:rPr>
                <w:rStyle w:val="Hyperlink"/>
                <w:rFonts w:ascii="Arial Narrow" w:eastAsia="Calibri" w:hAnsi="Arial Narrow"/>
                <w:sz w:val="18"/>
                <w:szCs w:val="18"/>
              </w:rPr>
              <w:t xml:space="preserve"> 2017</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7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B7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B82"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B7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PR10</w:t>
            </w:r>
            <w:r>
              <w:rPr>
                <w:rFonts w:ascii="Arial Narrow" w:hAnsi="Arial Narrow"/>
                <w:sz w:val="18"/>
                <w:szCs w:val="18"/>
              </w:rPr>
              <w:t xml:space="preserve"> </w:t>
            </w:r>
            <w:r w:rsidRPr="00E70A11">
              <w:rPr>
                <w:rFonts w:ascii="Arial Narrow" w:hAnsi="Arial Narrow"/>
                <w:sz w:val="18"/>
                <w:szCs w:val="18"/>
              </w:rPr>
              <w:t xml:space="preserve">The best available socio-economic research and/or monitoring information is applied appropriately to make relevant management decisions regarding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7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n/a</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B7E" w14:textId="77777777" w:rsidR="00A56EE9" w:rsidRPr="00E70A11" w:rsidRDefault="00A56EE9" w:rsidP="00BB6AD5">
            <w:pPr>
              <w:ind w:left="360"/>
              <w:contextualSpacing/>
              <w:rPr>
                <w:rFonts w:ascii="Arial Narrow" w:eastAsia="Calibri" w:hAnsi="Arial Narrow"/>
                <w:sz w:val="18"/>
                <w:szCs w:val="18"/>
              </w:rPr>
            </w:pP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B7F" w14:textId="77777777" w:rsidR="00A56EE9" w:rsidRPr="00E70A11" w:rsidRDefault="00A56EE9" w:rsidP="00BB6AD5">
            <w:pPr>
              <w:contextualSpacing/>
              <w:rPr>
                <w:rFonts w:ascii="Arial Narrow" w:eastAsia="Calibri"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80" w14:textId="77777777" w:rsidR="00A56EE9" w:rsidRPr="00E70A11" w:rsidRDefault="00A56EE9" w:rsidP="00BB6AD5">
            <w:pP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B81" w14:textId="77777777" w:rsidR="00A56EE9" w:rsidRPr="00E70A11" w:rsidRDefault="00A56EE9" w:rsidP="00BB6AD5">
            <w:pPr>
              <w:rPr>
                <w:rFonts w:ascii="Arial Narrow" w:hAnsi="Arial Narrow"/>
                <w:sz w:val="18"/>
                <w:szCs w:val="18"/>
              </w:rPr>
            </w:pPr>
          </w:p>
        </w:tc>
      </w:tr>
      <w:tr w:rsidR="00A56EE9" w:rsidRPr="00E70A11" w14:paraId="57620B8A"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8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PR11</w:t>
            </w:r>
            <w:r>
              <w:rPr>
                <w:rFonts w:ascii="Arial Narrow" w:hAnsi="Arial Narrow"/>
                <w:sz w:val="18"/>
                <w:szCs w:val="18"/>
              </w:rPr>
              <w:t xml:space="preserve"> </w:t>
            </w:r>
            <w:r w:rsidRPr="00E70A11">
              <w:rPr>
                <w:rFonts w:ascii="Arial Narrow" w:hAnsi="Arial Narrow"/>
                <w:sz w:val="18"/>
                <w:szCs w:val="18"/>
              </w:rPr>
              <w:t xml:space="preserve">The best available Indigenous heritage information is applied appropriately to make relevant management decisions regarding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B8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245" w:type="dxa"/>
            <w:tcBorders>
              <w:top w:val="single" w:sz="4" w:space="0" w:color="auto"/>
              <w:left w:val="single" w:sz="4" w:space="0" w:color="auto"/>
              <w:bottom w:val="single" w:sz="4" w:space="0" w:color="auto"/>
              <w:right w:val="single" w:sz="4" w:space="0" w:color="auto"/>
            </w:tcBorders>
          </w:tcPr>
          <w:p w14:paraId="57620B85" w14:textId="77777777" w:rsidR="00A56EE9" w:rsidRPr="00E70A11" w:rsidRDefault="00A56EE9" w:rsidP="00A11869">
            <w:pPr>
              <w:numPr>
                <w:ilvl w:val="0"/>
                <w:numId w:val="24"/>
              </w:numPr>
              <w:spacing w:after="0" w:line="240" w:lineRule="auto"/>
              <w:contextualSpacing/>
              <w:rPr>
                <w:rFonts w:ascii="Arial Narrow" w:eastAsia="Calibri" w:hAnsi="Arial Narrow"/>
                <w:i/>
                <w:sz w:val="18"/>
                <w:szCs w:val="18"/>
              </w:rPr>
            </w:pPr>
            <w:r w:rsidRPr="00E70A11">
              <w:rPr>
                <w:rFonts w:ascii="Arial Narrow" w:eastAsia="Calibri" w:hAnsi="Arial Narrow"/>
                <w:i/>
                <w:sz w:val="18"/>
                <w:szCs w:val="18"/>
              </w:rPr>
              <w:t>See IN5</w:t>
            </w:r>
          </w:p>
          <w:p w14:paraId="57620B8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As part of the consultation process for the development of an Aboriginal and Torres Strait Islander Heritage Strategy, workshops in 2017 discussed Traditional Owner issues and aspirations with Woppaburra, IRAC and the Queensland Senior Ranger Forum. This included socio-economic values relevant to TUMR.</w:t>
            </w:r>
          </w:p>
        </w:tc>
        <w:tc>
          <w:tcPr>
            <w:tcW w:w="4819" w:type="dxa"/>
            <w:tcBorders>
              <w:top w:val="single" w:sz="4" w:space="0" w:color="auto"/>
              <w:left w:val="single" w:sz="4" w:space="0" w:color="auto"/>
              <w:bottom w:val="single" w:sz="4" w:space="0" w:color="auto"/>
              <w:right w:val="single" w:sz="4" w:space="0" w:color="auto"/>
            </w:tcBorders>
          </w:tcPr>
          <w:p w14:paraId="57620B87" w14:textId="77777777" w:rsidR="00A56EE9" w:rsidRPr="00AC4AB4"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hAnsi="Arial Narrow"/>
                <w:sz w:val="18"/>
                <w:szCs w:val="18"/>
                <w:lang w:eastAsia="en-AU"/>
              </w:rPr>
              <w:t>Draft Aboriginal and Torres Strait Islander Heritage Strategy consultation</w:t>
            </w:r>
          </w:p>
        </w:tc>
        <w:tc>
          <w:tcPr>
            <w:tcW w:w="851" w:type="dxa"/>
            <w:tcBorders>
              <w:top w:val="single" w:sz="4" w:space="0" w:color="auto"/>
              <w:left w:val="single" w:sz="4" w:space="0" w:color="auto"/>
              <w:bottom w:val="single" w:sz="4" w:space="0" w:color="auto"/>
              <w:right w:val="single" w:sz="4" w:space="0" w:color="auto"/>
            </w:tcBorders>
          </w:tcPr>
          <w:p w14:paraId="57620B8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92" w:type="dxa"/>
            <w:tcBorders>
              <w:top w:val="single" w:sz="4" w:space="0" w:color="auto"/>
              <w:left w:val="single" w:sz="4" w:space="0" w:color="auto"/>
              <w:bottom w:val="single" w:sz="4" w:space="0" w:color="auto"/>
              <w:right w:val="single" w:sz="4" w:space="0" w:color="auto"/>
            </w:tcBorders>
          </w:tcPr>
          <w:p w14:paraId="57620B8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B91"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8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PR12</w:t>
            </w:r>
            <w:r>
              <w:rPr>
                <w:rFonts w:ascii="Arial Narrow" w:hAnsi="Arial Narrow"/>
                <w:sz w:val="18"/>
                <w:szCs w:val="18"/>
              </w:rPr>
              <w:t xml:space="preserve"> </w:t>
            </w:r>
            <w:r w:rsidRPr="00E70A11">
              <w:rPr>
                <w:rFonts w:ascii="Arial Narrow" w:hAnsi="Arial Narrow"/>
                <w:sz w:val="18"/>
                <w:szCs w:val="18"/>
              </w:rPr>
              <w:t xml:space="preserve">The best available historic heritage information is applied appropriately to make relevant management decisions regarding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B8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n/a</w:t>
            </w:r>
          </w:p>
        </w:tc>
        <w:tc>
          <w:tcPr>
            <w:tcW w:w="5245" w:type="dxa"/>
            <w:tcBorders>
              <w:top w:val="single" w:sz="4" w:space="0" w:color="auto"/>
              <w:left w:val="single" w:sz="4" w:space="0" w:color="auto"/>
              <w:bottom w:val="single" w:sz="4" w:space="0" w:color="auto"/>
              <w:right w:val="single" w:sz="4" w:space="0" w:color="auto"/>
            </w:tcBorders>
          </w:tcPr>
          <w:p w14:paraId="57620B8D" w14:textId="77777777" w:rsidR="00A56EE9" w:rsidRPr="00E70A11" w:rsidRDefault="00A56EE9" w:rsidP="00BB6AD5">
            <w:pPr>
              <w:ind w:left="360"/>
              <w:contextualSpacing/>
              <w:rPr>
                <w:rFonts w:ascii="Arial Narrow" w:eastAsia="Calibri" w:hAnsi="Arial Narrow"/>
                <w:sz w:val="18"/>
                <w:szCs w:val="18"/>
              </w:rPr>
            </w:pPr>
          </w:p>
        </w:tc>
        <w:tc>
          <w:tcPr>
            <w:tcW w:w="4819" w:type="dxa"/>
            <w:tcBorders>
              <w:top w:val="single" w:sz="4" w:space="0" w:color="auto"/>
              <w:left w:val="single" w:sz="4" w:space="0" w:color="auto"/>
              <w:bottom w:val="single" w:sz="4" w:space="0" w:color="auto"/>
              <w:right w:val="single" w:sz="4" w:space="0" w:color="auto"/>
            </w:tcBorders>
          </w:tcPr>
          <w:p w14:paraId="57620B8E" w14:textId="77777777" w:rsidR="00A56EE9" w:rsidRPr="00E70A11" w:rsidRDefault="00A56EE9" w:rsidP="00BB6AD5">
            <w:pPr>
              <w:ind w:left="360"/>
              <w:contextualSpacing/>
              <w:rPr>
                <w:rFonts w:ascii="Arial Narrow" w:eastAsia="Calibri"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tcPr>
          <w:p w14:paraId="57620B8F" w14:textId="77777777" w:rsidR="00A56EE9" w:rsidRPr="00E70A11" w:rsidRDefault="00A56EE9" w:rsidP="00BB6AD5">
            <w:pP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620B90" w14:textId="77777777" w:rsidR="00A56EE9" w:rsidRPr="00E70A11" w:rsidRDefault="00A56EE9" w:rsidP="00BB6AD5">
            <w:pPr>
              <w:rPr>
                <w:rFonts w:ascii="Arial Narrow" w:hAnsi="Arial Narrow"/>
                <w:sz w:val="18"/>
                <w:szCs w:val="18"/>
              </w:rPr>
            </w:pPr>
          </w:p>
        </w:tc>
      </w:tr>
      <w:tr w:rsidR="00A56EE9" w:rsidRPr="00E70A11" w14:paraId="57620B98"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B9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PR13</w:t>
            </w:r>
            <w:r>
              <w:rPr>
                <w:rFonts w:ascii="Arial Narrow" w:hAnsi="Arial Narrow"/>
                <w:sz w:val="18"/>
                <w:szCs w:val="18"/>
              </w:rPr>
              <w:t xml:space="preserve"> </w:t>
            </w:r>
            <w:r w:rsidRPr="00E70A11">
              <w:rPr>
                <w:rFonts w:ascii="Arial Narrow" w:hAnsi="Arial Narrow"/>
                <w:sz w:val="18"/>
                <w:szCs w:val="18"/>
              </w:rPr>
              <w:t xml:space="preserve">Relevant standards are identified and being met regarding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B9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B94" w14:textId="77777777" w:rsidR="00A56EE9" w:rsidRPr="00AC4AB4"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Standards have been set for TUMRAs, both in terms of process and content, and these are being met. TUMRAs cannot be hurried and must be acceptable to all concerned.</w:t>
            </w:r>
          </w:p>
        </w:tc>
        <w:tc>
          <w:tcPr>
            <w:tcW w:w="4819" w:type="dxa"/>
            <w:tcBorders>
              <w:top w:val="single" w:sz="4" w:space="0" w:color="auto"/>
              <w:left w:val="single" w:sz="4" w:space="0" w:color="auto"/>
              <w:bottom w:val="single" w:sz="4" w:space="0" w:color="auto"/>
              <w:right w:val="single" w:sz="4" w:space="0" w:color="auto"/>
            </w:tcBorders>
          </w:tcPr>
          <w:p w14:paraId="57620B95" w14:textId="77777777" w:rsidR="00A56EE9" w:rsidRPr="00AC4AB4"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The Draft Policy on Traditional Use of Marine Resources is a joint policy for consistency (GBRMPA/QP</w:t>
            </w:r>
            <w:r>
              <w:rPr>
                <w:rFonts w:ascii="Arial Narrow" w:hAnsi="Arial Narrow"/>
                <w:sz w:val="18"/>
                <w:szCs w:val="18"/>
              </w:rPr>
              <w:t>WS).</w:t>
            </w:r>
          </w:p>
        </w:tc>
        <w:tc>
          <w:tcPr>
            <w:tcW w:w="851" w:type="dxa"/>
            <w:tcBorders>
              <w:top w:val="single" w:sz="4" w:space="0" w:color="auto"/>
              <w:left w:val="single" w:sz="4" w:space="0" w:color="auto"/>
              <w:bottom w:val="single" w:sz="4" w:space="0" w:color="auto"/>
              <w:right w:val="single" w:sz="4" w:space="0" w:color="auto"/>
            </w:tcBorders>
          </w:tcPr>
          <w:p w14:paraId="57620B9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B9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BA0"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9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PR14</w:t>
            </w:r>
            <w:r>
              <w:rPr>
                <w:rFonts w:ascii="Arial Narrow" w:hAnsi="Arial Narrow"/>
                <w:sz w:val="18"/>
                <w:szCs w:val="18"/>
              </w:rPr>
              <w:t xml:space="preserve"> </w:t>
            </w:r>
            <w:r w:rsidRPr="00E70A11">
              <w:rPr>
                <w:rFonts w:ascii="Arial Narrow" w:hAnsi="Arial Narrow"/>
                <w:sz w:val="18"/>
                <w:szCs w:val="18"/>
              </w:rPr>
              <w:t xml:space="preserve">Targets have been established to benchmark management performance for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B9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B9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joint Field Management Program has a specific 5 year business strategy which includes targets to benchmark performance (e.g. set number of TUMRA meetings attended, target to increase the number of Traditional Owners on </w:t>
            </w:r>
            <w:proofErr w:type="gramStart"/>
            <w:r w:rsidRPr="00E70A11">
              <w:rPr>
                <w:rFonts w:ascii="Arial Narrow" w:eastAsia="Calibri" w:hAnsi="Arial Narrow"/>
                <w:sz w:val="18"/>
                <w:szCs w:val="18"/>
              </w:rPr>
              <w:t>Marine Parks</w:t>
            </w:r>
            <w:proofErr w:type="gramEnd"/>
            <w:r w:rsidRPr="00E70A11">
              <w:rPr>
                <w:rFonts w:ascii="Arial Narrow" w:eastAsia="Calibri" w:hAnsi="Arial Narrow"/>
                <w:sz w:val="18"/>
                <w:szCs w:val="18"/>
              </w:rPr>
              <w:t xml:space="preserve"> vessels over time).</w:t>
            </w:r>
          </w:p>
          <w:p w14:paraId="57620B9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Land and Sea Country Partnership Program also has targets set through its MERI planning process.</w:t>
            </w:r>
          </w:p>
        </w:tc>
        <w:tc>
          <w:tcPr>
            <w:tcW w:w="4819" w:type="dxa"/>
            <w:tcBorders>
              <w:top w:val="single" w:sz="4" w:space="0" w:color="auto"/>
              <w:left w:val="single" w:sz="4" w:space="0" w:color="auto"/>
              <w:bottom w:val="single" w:sz="4" w:space="0" w:color="auto"/>
              <w:right w:val="single" w:sz="4" w:space="0" w:color="auto"/>
            </w:tcBorders>
          </w:tcPr>
          <w:p w14:paraId="57620B9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Field Management Program business strategy</w:t>
            </w:r>
          </w:p>
        </w:tc>
        <w:tc>
          <w:tcPr>
            <w:tcW w:w="851" w:type="dxa"/>
            <w:tcBorders>
              <w:top w:val="single" w:sz="4" w:space="0" w:color="auto"/>
              <w:left w:val="single" w:sz="4" w:space="0" w:color="auto"/>
              <w:bottom w:val="single" w:sz="4" w:space="0" w:color="auto"/>
              <w:right w:val="single" w:sz="4" w:space="0" w:color="auto"/>
            </w:tcBorders>
          </w:tcPr>
          <w:p w14:paraId="57620B9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B9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BA7"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E7E6E6"/>
          </w:tcPr>
          <w:p w14:paraId="57620BA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OUTPUTS</w:t>
            </w:r>
          </w:p>
        </w:tc>
        <w:tc>
          <w:tcPr>
            <w:tcW w:w="851" w:type="dxa"/>
            <w:tcBorders>
              <w:top w:val="single" w:sz="4" w:space="0" w:color="auto"/>
              <w:left w:val="single" w:sz="4" w:space="0" w:color="auto"/>
              <w:bottom w:val="single" w:sz="4" w:space="0" w:color="auto"/>
              <w:right w:val="single" w:sz="4" w:space="0" w:color="auto"/>
            </w:tcBorders>
            <w:shd w:val="clear" w:color="auto" w:fill="E7E6E6"/>
          </w:tcPr>
          <w:p w14:paraId="57620BA2" w14:textId="77777777" w:rsidR="00A56EE9" w:rsidRPr="00E70A11" w:rsidRDefault="00A56EE9" w:rsidP="00BB6AD5">
            <w:pPr>
              <w:rPr>
                <w:rFonts w:ascii="Arial Narrow" w:hAnsi="Arial Narrow"/>
                <w:sz w:val="18"/>
                <w:szCs w:val="18"/>
              </w:rPr>
            </w:pPr>
          </w:p>
        </w:tc>
        <w:tc>
          <w:tcPr>
            <w:tcW w:w="5245" w:type="dxa"/>
            <w:tcBorders>
              <w:top w:val="single" w:sz="4" w:space="0" w:color="auto"/>
              <w:left w:val="single" w:sz="4" w:space="0" w:color="auto"/>
              <w:bottom w:val="single" w:sz="4" w:space="0" w:color="auto"/>
              <w:right w:val="single" w:sz="4" w:space="0" w:color="auto"/>
            </w:tcBorders>
            <w:shd w:val="clear" w:color="auto" w:fill="E7E6E6"/>
          </w:tcPr>
          <w:p w14:paraId="57620BA3" w14:textId="77777777" w:rsidR="00A56EE9" w:rsidRPr="00E70A11" w:rsidRDefault="00A56EE9" w:rsidP="00BB6AD5">
            <w:pPr>
              <w:ind w:left="360"/>
              <w:contextualSpacing/>
              <w:rPr>
                <w:rFonts w:ascii="Arial Narrow" w:eastAsia="Calibri" w:hAnsi="Arial Narrow"/>
                <w:sz w:val="18"/>
                <w:szCs w:val="18"/>
              </w:rPr>
            </w:pPr>
          </w:p>
        </w:tc>
        <w:tc>
          <w:tcPr>
            <w:tcW w:w="4819" w:type="dxa"/>
            <w:tcBorders>
              <w:top w:val="single" w:sz="4" w:space="0" w:color="auto"/>
              <w:left w:val="single" w:sz="4" w:space="0" w:color="auto"/>
              <w:bottom w:val="single" w:sz="4" w:space="0" w:color="auto"/>
              <w:right w:val="single" w:sz="4" w:space="0" w:color="auto"/>
            </w:tcBorders>
            <w:shd w:val="clear" w:color="auto" w:fill="E7E6E6"/>
          </w:tcPr>
          <w:p w14:paraId="57620BA4" w14:textId="77777777" w:rsidR="00A56EE9" w:rsidRPr="00E70A11" w:rsidRDefault="00A56EE9" w:rsidP="00BB6AD5">
            <w:pPr>
              <w:ind w:left="360"/>
              <w:contextualSpacing/>
              <w:rPr>
                <w:rFonts w:ascii="Arial Narrow" w:eastAsia="Calibri"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shd w:val="clear" w:color="auto" w:fill="E7E6E6"/>
          </w:tcPr>
          <w:p w14:paraId="57620BA5" w14:textId="77777777" w:rsidR="00A56EE9" w:rsidRPr="00E70A11" w:rsidRDefault="00A56EE9" w:rsidP="00BB6AD5">
            <w:pP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E7E6E6"/>
          </w:tcPr>
          <w:p w14:paraId="57620BA6" w14:textId="77777777" w:rsidR="00A56EE9" w:rsidRPr="00E70A11" w:rsidRDefault="00A56EE9" w:rsidP="00BB6AD5">
            <w:pPr>
              <w:rPr>
                <w:rFonts w:ascii="Arial Narrow" w:hAnsi="Arial Narrow"/>
                <w:sz w:val="18"/>
                <w:szCs w:val="18"/>
              </w:rPr>
            </w:pPr>
          </w:p>
        </w:tc>
      </w:tr>
      <w:tr w:rsidR="00A56EE9" w:rsidRPr="00E70A11" w14:paraId="57620BB2"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BA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OP1</w:t>
            </w:r>
            <w:r>
              <w:rPr>
                <w:rFonts w:ascii="Arial Narrow" w:hAnsi="Arial Narrow"/>
                <w:sz w:val="18"/>
                <w:szCs w:val="18"/>
              </w:rPr>
              <w:t xml:space="preserve"> </w:t>
            </w:r>
            <w:r w:rsidRPr="00E70A11">
              <w:rPr>
                <w:rFonts w:ascii="Arial Narrow" w:hAnsi="Arial Narrow"/>
                <w:sz w:val="18"/>
                <w:szCs w:val="18"/>
              </w:rPr>
              <w:t xml:space="preserve">To date, the actual management program (or activities) have progressed in accordance with the planned work program for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 xml:space="preserve">Resources </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A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BAA"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GBRMPA’s Land and Sea Country Program, achieved 100 percent completion against all milestone requirements.</w:t>
            </w:r>
            <w:r w:rsidRPr="00E70A11">
              <w:rPr>
                <w:rFonts w:ascii="Arial Narrow" w:hAnsi="Arial Narrow"/>
                <w:sz w:val="18"/>
                <w:szCs w:val="18"/>
                <w:lang w:eastAsia="en-AU"/>
              </w:rPr>
              <w:t xml:space="preserve"> </w:t>
            </w:r>
            <w:r w:rsidRPr="00E70A11">
              <w:rPr>
                <w:rFonts w:ascii="Arial Narrow" w:eastAsia="Calibri" w:hAnsi="Arial Narrow"/>
                <w:sz w:val="18"/>
                <w:szCs w:val="18"/>
              </w:rPr>
              <w:t>Compliance Training has been delivered to over 500 Traditional Owners, which has exceeded the five-year target of training 200 Traditional Owners by 250%.</w:t>
            </w:r>
          </w:p>
          <w:p w14:paraId="57620BAB"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Since Outlook 2014, the target of 10 TUMRAs in development or implementation has been met. There are standardised contracts for all TUMRAs. Enhanced compliance has occurred through the development and delivery of a two year specialised Indigenous Ranger program. </w:t>
            </w:r>
          </w:p>
          <w:p w14:paraId="57620BA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Implementation of other planning and management tools for Traditional Use of Marine Areas (i.e. 39ZA agreement, site management plan, special management area, data sharing agreements and a formal Traditional Use reporting system) have not occurred. </w:t>
            </w:r>
          </w:p>
          <w:p w14:paraId="57620BA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The TUMRA program contributes substantially to 13 Reef 2050 actions, and good progress is being made on all of these.</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BAE" w14:textId="77777777" w:rsidR="00A56EE9" w:rsidRPr="00E70A11"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2017 Progress Report on the Land and Sea Country Program</w:t>
            </w:r>
          </w:p>
          <w:p w14:paraId="57620BAF" w14:textId="77777777" w:rsidR="00A56EE9" w:rsidRPr="00AC4AB4" w:rsidRDefault="00A56EE9" w:rsidP="00A11869">
            <w:pPr>
              <w:pStyle w:val="ListParagraph"/>
              <w:numPr>
                <w:ilvl w:val="0"/>
                <w:numId w:val="24"/>
              </w:numPr>
              <w:spacing w:after="200" w:line="276" w:lineRule="auto"/>
              <w:rPr>
                <w:rFonts w:ascii="Arial Narrow" w:hAnsi="Arial Narrow"/>
                <w:sz w:val="18"/>
                <w:szCs w:val="18"/>
              </w:rPr>
            </w:pPr>
            <w:r w:rsidRPr="00E70A11">
              <w:rPr>
                <w:rFonts w:ascii="Arial Narrow" w:hAnsi="Arial Narrow"/>
                <w:sz w:val="18"/>
                <w:szCs w:val="18"/>
              </w:rPr>
              <w:t>FMP annual reports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B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BB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BBA"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B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OP2</w:t>
            </w:r>
            <w:r>
              <w:rPr>
                <w:rFonts w:ascii="Arial Narrow" w:hAnsi="Arial Narrow"/>
                <w:sz w:val="18"/>
                <w:szCs w:val="18"/>
              </w:rPr>
              <w:t xml:space="preserve"> </w:t>
            </w:r>
            <w:r w:rsidRPr="00E70A11">
              <w:rPr>
                <w:rFonts w:ascii="Arial Narrow" w:hAnsi="Arial Narrow"/>
                <w:sz w:val="18"/>
                <w:szCs w:val="18"/>
              </w:rPr>
              <w:t xml:space="preserve">Implementation of management documents and/or programs relevant to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have progressed in accordance with timeframes specified in those documents</w:t>
            </w:r>
          </w:p>
        </w:tc>
        <w:tc>
          <w:tcPr>
            <w:tcW w:w="851" w:type="dxa"/>
            <w:tcBorders>
              <w:top w:val="single" w:sz="4" w:space="0" w:color="auto"/>
              <w:left w:val="single" w:sz="4" w:space="0" w:color="auto"/>
              <w:bottom w:val="single" w:sz="4" w:space="0" w:color="auto"/>
              <w:right w:val="single" w:sz="4" w:space="0" w:color="auto"/>
            </w:tcBorders>
          </w:tcPr>
          <w:p w14:paraId="57620BB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BB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OP1.</w:t>
            </w:r>
          </w:p>
          <w:p w14:paraId="57620BB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All actions are on track.</w:t>
            </w:r>
          </w:p>
        </w:tc>
        <w:tc>
          <w:tcPr>
            <w:tcW w:w="4819" w:type="dxa"/>
            <w:tcBorders>
              <w:top w:val="single" w:sz="4" w:space="0" w:color="auto"/>
              <w:left w:val="single" w:sz="4" w:space="0" w:color="auto"/>
              <w:bottom w:val="single" w:sz="4" w:space="0" w:color="auto"/>
              <w:right w:val="single" w:sz="4" w:space="0" w:color="auto"/>
            </w:tcBorders>
          </w:tcPr>
          <w:p w14:paraId="57620BB7" w14:textId="77777777" w:rsidR="00A56EE9" w:rsidRPr="00AC4AB4" w:rsidRDefault="00A56EE9" w:rsidP="00A11869">
            <w:pPr>
              <w:pStyle w:val="EndNoteBibliography"/>
              <w:numPr>
                <w:ilvl w:val="0"/>
                <w:numId w:val="24"/>
              </w:numPr>
              <w:rPr>
                <w:rFonts w:ascii="Arial Narrow" w:eastAsia="Calibri" w:hAnsi="Arial Narrow"/>
                <w:noProof w:val="0"/>
                <w:sz w:val="18"/>
                <w:szCs w:val="18"/>
                <w:lang w:val="en-AU"/>
              </w:rPr>
            </w:pPr>
            <w:r w:rsidRPr="00E70A11">
              <w:rPr>
                <w:rFonts w:ascii="Arial Narrow" w:eastAsia="Calibri" w:hAnsi="Arial Narrow"/>
                <w:noProof w:val="0"/>
                <w:sz w:val="18"/>
                <w:szCs w:val="18"/>
                <w:lang w:val="en-AU"/>
              </w:rPr>
              <w:t>2017 Progress Report on the Land and Sea Country Program</w:t>
            </w:r>
          </w:p>
        </w:tc>
        <w:tc>
          <w:tcPr>
            <w:tcW w:w="851" w:type="dxa"/>
            <w:tcBorders>
              <w:top w:val="single" w:sz="4" w:space="0" w:color="auto"/>
              <w:left w:val="single" w:sz="4" w:space="0" w:color="auto"/>
              <w:bottom w:val="single" w:sz="4" w:space="0" w:color="auto"/>
              <w:right w:val="single" w:sz="4" w:space="0" w:color="auto"/>
            </w:tcBorders>
          </w:tcPr>
          <w:p w14:paraId="57620BB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BB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BC3"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B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OP3</w:t>
            </w:r>
            <w:r>
              <w:rPr>
                <w:rFonts w:ascii="Arial Narrow" w:hAnsi="Arial Narrow"/>
                <w:sz w:val="18"/>
                <w:szCs w:val="18"/>
              </w:rPr>
              <w:t xml:space="preserve"> </w:t>
            </w:r>
            <w:r w:rsidRPr="00E70A11">
              <w:rPr>
                <w:rFonts w:ascii="Arial Narrow" w:hAnsi="Arial Narrow"/>
                <w:sz w:val="18"/>
                <w:szCs w:val="18"/>
              </w:rPr>
              <w:t xml:space="preserve">The results (in OP1 above) have achieved their stated management objectives for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BB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BB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OP1</w:t>
            </w:r>
          </w:p>
          <w:p w14:paraId="57620BB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bookmarkStart w:id="239" w:name="_Hlk506645663"/>
            <w:r w:rsidRPr="00E70A11">
              <w:rPr>
                <w:rFonts w:ascii="Arial Narrow" w:eastAsia="Calibri" w:hAnsi="Arial Narrow"/>
                <w:sz w:val="18"/>
                <w:szCs w:val="18"/>
              </w:rPr>
              <w:t xml:space="preserve">In those communities where TUMRAs are established, this has formed a major focus for activities related to management of Sea Country and Indigenous Heritage. Outcomes include better management of marine resources. Social, economic and health outcomes are not known, but are likely to also be substantial, as are outcomes from Indigenous Ranger program generally </w:t>
            </w:r>
            <w:r w:rsidRPr="00E70A11">
              <w:rPr>
                <w:rFonts w:ascii="Arial Narrow" w:eastAsia="Calibri" w:hAnsi="Arial Narrow"/>
                <w:noProof/>
                <w:sz w:val="18"/>
                <w:szCs w:val="18"/>
              </w:rPr>
              <w:t>(van Bueren et al., 2015)</w:t>
            </w:r>
            <w:bookmarkEnd w:id="239"/>
            <w:r w:rsidRPr="00E70A11">
              <w:rPr>
                <w:rFonts w:ascii="Arial Narrow" w:eastAsia="Calibri" w:hAnsi="Arial Narrow"/>
                <w:sz w:val="18"/>
                <w:szCs w:val="18"/>
              </w:rPr>
              <w:t>.</w:t>
            </w:r>
          </w:p>
        </w:tc>
        <w:tc>
          <w:tcPr>
            <w:tcW w:w="4819" w:type="dxa"/>
            <w:tcBorders>
              <w:top w:val="single" w:sz="4" w:space="0" w:color="auto"/>
              <w:left w:val="single" w:sz="4" w:space="0" w:color="auto"/>
              <w:bottom w:val="single" w:sz="4" w:space="0" w:color="auto"/>
              <w:right w:val="single" w:sz="4" w:space="0" w:color="auto"/>
            </w:tcBorders>
          </w:tcPr>
          <w:p w14:paraId="57620BBF" w14:textId="77777777" w:rsidR="00A56EE9" w:rsidRPr="00E70A11" w:rsidRDefault="00A56EE9" w:rsidP="00A11869">
            <w:pPr>
              <w:pStyle w:val="EndNoteBibliography"/>
              <w:numPr>
                <w:ilvl w:val="0"/>
                <w:numId w:val="24"/>
              </w:numPr>
              <w:spacing w:after="0"/>
              <w:rPr>
                <w:rFonts w:ascii="Arial Narrow" w:eastAsia="Calibri" w:hAnsi="Arial Narrow"/>
                <w:noProof w:val="0"/>
                <w:sz w:val="18"/>
                <w:szCs w:val="18"/>
                <w:lang w:val="en-AU"/>
              </w:rPr>
            </w:pPr>
            <w:r w:rsidRPr="00E70A11">
              <w:rPr>
                <w:rFonts w:ascii="Arial Narrow" w:eastAsia="Calibri" w:hAnsi="Arial Narrow"/>
                <w:noProof w:val="0"/>
                <w:sz w:val="18"/>
                <w:szCs w:val="18"/>
                <w:lang w:val="en-AU"/>
              </w:rPr>
              <w:t xml:space="preserve">See Land and Sea Country Program Progress reports </w:t>
            </w:r>
          </w:p>
          <w:p w14:paraId="57620BC0" w14:textId="77777777" w:rsidR="00A56EE9" w:rsidRPr="00AC4AB4" w:rsidRDefault="00A56EE9" w:rsidP="00A11869">
            <w:pPr>
              <w:pStyle w:val="EndNoteBibliography"/>
              <w:numPr>
                <w:ilvl w:val="0"/>
                <w:numId w:val="24"/>
              </w:numPr>
              <w:spacing w:after="0"/>
              <w:rPr>
                <w:rFonts w:ascii="Arial Narrow" w:eastAsia="Calibri" w:hAnsi="Arial Narrow"/>
                <w:noProof w:val="0"/>
                <w:sz w:val="18"/>
                <w:szCs w:val="18"/>
                <w:lang w:val="en-AU"/>
              </w:rPr>
            </w:pPr>
            <w:r w:rsidRPr="00E70A11">
              <w:rPr>
                <w:rFonts w:ascii="Arial Narrow" w:eastAsia="Calibri" w:hAnsi="Arial Narrow"/>
                <w:noProof w:val="0"/>
                <w:sz w:val="18"/>
                <w:szCs w:val="18"/>
                <w:lang w:val="en-AU"/>
              </w:rPr>
              <w:t xml:space="preserve">GBRMPA annual Reports since 2014 </w:t>
            </w:r>
          </w:p>
        </w:tc>
        <w:tc>
          <w:tcPr>
            <w:tcW w:w="851" w:type="dxa"/>
            <w:tcBorders>
              <w:top w:val="single" w:sz="4" w:space="0" w:color="auto"/>
              <w:left w:val="single" w:sz="4" w:space="0" w:color="auto"/>
              <w:bottom w:val="single" w:sz="4" w:space="0" w:color="auto"/>
              <w:right w:val="single" w:sz="4" w:space="0" w:color="auto"/>
            </w:tcBorders>
          </w:tcPr>
          <w:p w14:paraId="57620BC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Limited</w:t>
            </w:r>
          </w:p>
        </w:tc>
        <w:tc>
          <w:tcPr>
            <w:tcW w:w="992" w:type="dxa"/>
            <w:tcBorders>
              <w:top w:val="single" w:sz="4" w:space="0" w:color="auto"/>
              <w:left w:val="single" w:sz="4" w:space="0" w:color="auto"/>
              <w:bottom w:val="single" w:sz="4" w:space="0" w:color="auto"/>
              <w:right w:val="single" w:sz="4" w:space="0" w:color="auto"/>
            </w:tcBorders>
          </w:tcPr>
          <w:p w14:paraId="57620BC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BCB"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C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OP4</w:t>
            </w:r>
            <w:r>
              <w:rPr>
                <w:rFonts w:ascii="Arial Narrow" w:hAnsi="Arial Narrow"/>
                <w:sz w:val="18"/>
                <w:szCs w:val="18"/>
              </w:rPr>
              <w:t xml:space="preserve"> </w:t>
            </w:r>
            <w:r w:rsidRPr="00E70A11">
              <w:rPr>
                <w:rFonts w:ascii="Arial Narrow" w:hAnsi="Arial Narrow"/>
                <w:sz w:val="18"/>
                <w:szCs w:val="18"/>
              </w:rPr>
              <w:t xml:space="preserve">To date, products or services have been produced in accordance with the stated management objectives for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w:t>
            </w:r>
          </w:p>
        </w:tc>
        <w:tc>
          <w:tcPr>
            <w:tcW w:w="851" w:type="dxa"/>
            <w:tcBorders>
              <w:top w:val="single" w:sz="4" w:space="0" w:color="auto"/>
              <w:left w:val="single" w:sz="4" w:space="0" w:color="auto"/>
              <w:bottom w:val="single" w:sz="4" w:space="0" w:color="auto"/>
              <w:right w:val="single" w:sz="4" w:space="0" w:color="auto"/>
            </w:tcBorders>
          </w:tcPr>
          <w:p w14:paraId="57620BC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BC6" w14:textId="77777777" w:rsidR="00A56EE9" w:rsidRPr="00AC4AB4"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OP1. Work has been in accordance with stated objectives.</w:t>
            </w:r>
          </w:p>
        </w:tc>
        <w:tc>
          <w:tcPr>
            <w:tcW w:w="4819" w:type="dxa"/>
            <w:tcBorders>
              <w:top w:val="single" w:sz="4" w:space="0" w:color="auto"/>
              <w:left w:val="single" w:sz="4" w:space="0" w:color="auto"/>
              <w:bottom w:val="single" w:sz="4" w:space="0" w:color="auto"/>
              <w:right w:val="single" w:sz="4" w:space="0" w:color="auto"/>
            </w:tcBorders>
          </w:tcPr>
          <w:p w14:paraId="57620BC7" w14:textId="77777777" w:rsidR="00A56EE9" w:rsidRPr="00E70A11" w:rsidRDefault="00A56EE9" w:rsidP="00A11869">
            <w:pPr>
              <w:pStyle w:val="EndNoteBibliography"/>
              <w:numPr>
                <w:ilvl w:val="0"/>
                <w:numId w:val="24"/>
              </w:numPr>
              <w:spacing w:after="0"/>
              <w:ind w:left="357" w:hanging="357"/>
              <w:rPr>
                <w:rFonts w:ascii="Arial Narrow" w:eastAsia="Calibri" w:hAnsi="Arial Narrow"/>
                <w:noProof w:val="0"/>
                <w:sz w:val="18"/>
                <w:szCs w:val="18"/>
                <w:lang w:val="en-AU"/>
              </w:rPr>
            </w:pPr>
            <w:r w:rsidRPr="00E70A11">
              <w:rPr>
                <w:rFonts w:ascii="Arial Narrow" w:eastAsia="Calibri" w:hAnsi="Arial Narrow"/>
                <w:noProof w:val="0"/>
                <w:sz w:val="18"/>
                <w:szCs w:val="18"/>
                <w:lang w:val="en-AU"/>
              </w:rPr>
              <w:t xml:space="preserve">Land and Sea Country Program Progress reports </w:t>
            </w:r>
          </w:p>
          <w:p w14:paraId="57620BC8" w14:textId="77777777" w:rsidR="00A56EE9" w:rsidRPr="00AC4AB4" w:rsidRDefault="00A56EE9" w:rsidP="00A11869">
            <w:pPr>
              <w:pStyle w:val="EndNoteBibliography"/>
              <w:numPr>
                <w:ilvl w:val="0"/>
                <w:numId w:val="24"/>
              </w:numPr>
              <w:spacing w:after="0"/>
              <w:ind w:left="357" w:hanging="357"/>
              <w:rPr>
                <w:rFonts w:ascii="Arial Narrow" w:eastAsia="Calibri" w:hAnsi="Arial Narrow"/>
                <w:sz w:val="18"/>
                <w:szCs w:val="18"/>
                <w:lang w:val="en-AU"/>
              </w:rPr>
            </w:pPr>
            <w:r w:rsidRPr="00E70A11">
              <w:rPr>
                <w:rFonts w:ascii="Arial Narrow" w:eastAsia="Calibri" w:hAnsi="Arial Narrow"/>
                <w:noProof w:val="0"/>
                <w:sz w:val="18"/>
                <w:szCs w:val="18"/>
                <w:lang w:val="en-AU"/>
              </w:rPr>
              <w:t xml:space="preserve">GBRMPA Annual Reports </w:t>
            </w:r>
          </w:p>
        </w:tc>
        <w:tc>
          <w:tcPr>
            <w:tcW w:w="851" w:type="dxa"/>
            <w:tcBorders>
              <w:top w:val="single" w:sz="4" w:space="0" w:color="auto"/>
              <w:left w:val="single" w:sz="4" w:space="0" w:color="auto"/>
              <w:bottom w:val="single" w:sz="4" w:space="0" w:color="auto"/>
              <w:right w:val="single" w:sz="4" w:space="0" w:color="auto"/>
            </w:tcBorders>
          </w:tcPr>
          <w:p w14:paraId="57620BC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BC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BD3"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BC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OP5</w:t>
            </w:r>
            <w:r>
              <w:rPr>
                <w:rFonts w:ascii="Arial Narrow" w:hAnsi="Arial Narrow"/>
                <w:sz w:val="18"/>
                <w:szCs w:val="18"/>
              </w:rPr>
              <w:t xml:space="preserve"> </w:t>
            </w:r>
            <w:r w:rsidRPr="00E70A11">
              <w:rPr>
                <w:rFonts w:ascii="Arial Narrow" w:hAnsi="Arial Narrow"/>
                <w:sz w:val="18"/>
                <w:szCs w:val="18"/>
              </w:rPr>
              <w:t xml:space="preserve">Effective knowledge management systems regarding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are in place within agencies</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C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2</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BCE" w14:textId="77777777" w:rsidR="00A56EE9" w:rsidRPr="00E70A11" w:rsidRDefault="00A56EE9" w:rsidP="00A11869">
            <w:pPr>
              <w:pStyle w:val="EndNoteBibliography"/>
              <w:numPr>
                <w:ilvl w:val="0"/>
                <w:numId w:val="24"/>
              </w:numPr>
              <w:spacing w:after="0"/>
              <w:rPr>
                <w:rFonts w:ascii="Arial Narrow" w:eastAsia="Calibri" w:hAnsi="Arial Narrow"/>
                <w:noProof w:val="0"/>
                <w:sz w:val="18"/>
                <w:szCs w:val="18"/>
                <w:lang w:val="en-AU"/>
              </w:rPr>
            </w:pPr>
            <w:r w:rsidRPr="00E70A11">
              <w:rPr>
                <w:rFonts w:ascii="Arial Narrow" w:eastAsia="Calibri" w:hAnsi="Arial Narrow"/>
                <w:noProof w:val="0"/>
                <w:sz w:val="18"/>
                <w:szCs w:val="18"/>
                <w:lang w:val="en-AU"/>
              </w:rPr>
              <w:t>Cultural Knowledge Management System (CKMS) designed and implemented. TUMRA staff can use it to record on country meetings and events and will be using it to manage TUMRA contracts and deliverables – however is not being used at present</w:t>
            </w:r>
          </w:p>
          <w:p w14:paraId="57620BCF" w14:textId="77777777" w:rsidR="00A56EE9" w:rsidRPr="00E70A11" w:rsidRDefault="00A56EE9" w:rsidP="00A11869">
            <w:pPr>
              <w:pStyle w:val="EndNoteBibliography"/>
              <w:numPr>
                <w:ilvl w:val="0"/>
                <w:numId w:val="24"/>
              </w:numPr>
              <w:spacing w:after="0"/>
              <w:rPr>
                <w:rFonts w:ascii="Arial Narrow" w:eastAsia="Calibri" w:hAnsi="Arial Narrow"/>
                <w:sz w:val="18"/>
                <w:szCs w:val="18"/>
                <w:lang w:val="en-AU"/>
              </w:rPr>
            </w:pPr>
            <w:r w:rsidRPr="00E70A11">
              <w:rPr>
                <w:rFonts w:ascii="Arial Narrow" w:eastAsia="Calibri" w:hAnsi="Arial Narrow"/>
                <w:noProof w:val="0"/>
                <w:sz w:val="18"/>
                <w:szCs w:val="18"/>
                <w:lang w:val="en-AU"/>
              </w:rPr>
              <w:t>The CKMS has a module to hold culturally sensitive information relevant to different Traditional Owner groups (e.g. story lines, voice recordings, sensitive locations). This database can be accessed externally so Traditional Owners with a login and password can enter their own information and manage it. This component of the system is not being used until the separate project – Cultural Protocol and data sharing agreement template is complete. GBRMPA is using a precautionary approach to ensure the right permission and systems are in place to hold and protect culturally sensitive material.</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BD0" w14:textId="77777777" w:rsidR="00A56EE9" w:rsidRPr="00AC4AB4" w:rsidRDefault="00A56EE9" w:rsidP="00A11869">
            <w:pPr>
              <w:pStyle w:val="ListParagraph"/>
              <w:numPr>
                <w:ilvl w:val="0"/>
                <w:numId w:val="143"/>
              </w:numPr>
              <w:spacing w:after="200" w:line="276" w:lineRule="auto"/>
              <w:rPr>
                <w:rFonts w:ascii="Arial Narrow" w:hAnsi="Arial Narrow"/>
                <w:sz w:val="18"/>
                <w:szCs w:val="18"/>
                <w:u w:val="single"/>
              </w:rPr>
            </w:pPr>
            <w:r w:rsidRPr="00E70A11">
              <w:rPr>
                <w:rFonts w:ascii="Arial Narrow" w:hAnsi="Arial Narrow"/>
                <w:sz w:val="18"/>
                <w:szCs w:val="18"/>
              </w:rPr>
              <w:t xml:space="preserve">Cultural Knowledge Management System implementation and upgrade. </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D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BD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BE2"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D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OP6</w:t>
            </w:r>
            <w:r>
              <w:rPr>
                <w:rFonts w:ascii="Arial Narrow" w:hAnsi="Arial Narrow"/>
                <w:sz w:val="18"/>
                <w:szCs w:val="18"/>
              </w:rPr>
              <w:t xml:space="preserve"> </w:t>
            </w:r>
            <w:r w:rsidRPr="00E70A11">
              <w:rPr>
                <w:rFonts w:ascii="Arial Narrow" w:hAnsi="Arial Narrow"/>
                <w:sz w:val="18"/>
                <w:szCs w:val="18"/>
              </w:rPr>
              <w:t xml:space="preserve">Effective systems are in place to share knowledge on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with the community</w:t>
            </w:r>
          </w:p>
        </w:tc>
        <w:tc>
          <w:tcPr>
            <w:tcW w:w="851" w:type="dxa"/>
            <w:tcBorders>
              <w:top w:val="single" w:sz="4" w:space="0" w:color="auto"/>
              <w:left w:val="single" w:sz="4" w:space="0" w:color="auto"/>
              <w:bottom w:val="single" w:sz="4" w:space="0" w:color="auto"/>
              <w:right w:val="single" w:sz="4" w:space="0" w:color="auto"/>
            </w:tcBorders>
          </w:tcPr>
          <w:p w14:paraId="57620BD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BD6"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Traditional Owners accessing their country share information with other staff, their communities and the wider community, and this is supported through the TUMRA program. Activities including Junior Ranger programs involve young people.</w:t>
            </w:r>
          </w:p>
          <w:p w14:paraId="57620BD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Not all information can be shared with the wider community. TUMRAs are confidential, but maps showing TUMRA areas are available on the internet.</w:t>
            </w:r>
          </w:p>
          <w:p w14:paraId="57620BD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Not all sections of the community and industry understand the rights and protocols around </w:t>
            </w:r>
            <w:r>
              <w:rPr>
                <w:rFonts w:ascii="Arial Narrow" w:eastAsia="Calibri" w:hAnsi="Arial Narrow"/>
                <w:sz w:val="18"/>
                <w:szCs w:val="18"/>
              </w:rPr>
              <w:t>Traditional</w:t>
            </w:r>
            <w:r w:rsidRPr="00E70A11">
              <w:rPr>
                <w:rFonts w:ascii="Arial Narrow" w:eastAsia="Calibri" w:hAnsi="Arial Narrow"/>
                <w:sz w:val="18"/>
                <w:szCs w:val="18"/>
              </w:rPr>
              <w:t xml:space="preserve"> Use of Marine</w:t>
            </w:r>
            <w:r>
              <w:rPr>
                <w:rFonts w:ascii="Arial Narrow" w:eastAsia="Calibri" w:hAnsi="Arial Narrow"/>
                <w:sz w:val="18"/>
                <w:szCs w:val="18"/>
              </w:rPr>
              <w:t xml:space="preserve"> </w:t>
            </w:r>
            <w:r w:rsidRPr="00E70A11">
              <w:rPr>
                <w:rFonts w:ascii="Arial Narrow" w:eastAsia="Calibri" w:hAnsi="Arial Narrow"/>
                <w:sz w:val="18"/>
                <w:szCs w:val="18"/>
              </w:rPr>
              <w:t>Resources</w:t>
            </w:r>
          </w:p>
          <w:p w14:paraId="57620BD9" w14:textId="77777777" w:rsidR="00A56EE9" w:rsidRPr="00E70A11" w:rsidRDefault="00A56EE9" w:rsidP="00A11869">
            <w:pPr>
              <w:pStyle w:val="EndNoteBibliography"/>
              <w:numPr>
                <w:ilvl w:val="0"/>
                <w:numId w:val="24"/>
              </w:numPr>
              <w:spacing w:after="0"/>
              <w:rPr>
                <w:rFonts w:ascii="Arial Narrow" w:eastAsia="Calibri" w:hAnsi="Arial Narrow"/>
                <w:sz w:val="18"/>
                <w:szCs w:val="18"/>
                <w:lang w:val="en-AU"/>
              </w:rPr>
            </w:pPr>
            <w:r w:rsidRPr="00E70A11">
              <w:rPr>
                <w:rFonts w:ascii="Arial Narrow" w:eastAsia="Calibri" w:hAnsi="Arial Narrow"/>
                <w:noProof w:val="0"/>
                <w:sz w:val="18"/>
                <w:szCs w:val="18"/>
                <w:lang w:val="en-AU"/>
              </w:rPr>
              <w:t>A greater understanding of how much traditional use occurs and where is needed to support evidence based statements about traditional use, inform spatial management under TUMRAs and understand its role relative to other pressures such as entanglement, habitat loss, and climate change.</w:t>
            </w:r>
          </w:p>
          <w:p w14:paraId="57620BDA" w14:textId="77777777" w:rsidR="00A56EE9" w:rsidRPr="00E70A11" w:rsidRDefault="00A56EE9" w:rsidP="00A11869">
            <w:pPr>
              <w:pStyle w:val="EndNoteBibliography"/>
              <w:numPr>
                <w:ilvl w:val="0"/>
                <w:numId w:val="24"/>
              </w:numPr>
              <w:spacing w:after="0"/>
              <w:rPr>
                <w:rFonts w:ascii="Arial Narrow" w:eastAsia="Calibri" w:hAnsi="Arial Narrow"/>
                <w:sz w:val="18"/>
                <w:szCs w:val="18"/>
                <w:lang w:val="en-AU"/>
              </w:rPr>
            </w:pPr>
            <w:r w:rsidRPr="00E70A11">
              <w:rPr>
                <w:rFonts w:ascii="Arial Narrow" w:eastAsia="Calibri" w:hAnsi="Arial Narrow"/>
                <w:sz w:val="18"/>
                <w:szCs w:val="18"/>
                <w:lang w:val="en-AU"/>
              </w:rPr>
              <w:t>Some TUMRA groups are active in promoting community activities.</w:t>
            </w:r>
          </w:p>
          <w:p w14:paraId="57620BDB" w14:textId="77777777" w:rsidR="00A56EE9" w:rsidRPr="00E70A11" w:rsidRDefault="00A56EE9" w:rsidP="00A11869">
            <w:pPr>
              <w:pStyle w:val="EndNoteBibliography"/>
              <w:numPr>
                <w:ilvl w:val="0"/>
                <w:numId w:val="24"/>
              </w:numPr>
              <w:spacing w:after="0"/>
              <w:rPr>
                <w:rFonts w:ascii="Arial Narrow" w:eastAsia="Calibri" w:hAnsi="Arial Narrow"/>
                <w:sz w:val="18"/>
                <w:szCs w:val="18"/>
                <w:lang w:val="en-AU"/>
              </w:rPr>
            </w:pPr>
            <w:r w:rsidRPr="00E70A11">
              <w:rPr>
                <w:rFonts w:ascii="Arial Narrow" w:eastAsia="Calibri" w:hAnsi="Arial Narrow"/>
                <w:sz w:val="18"/>
                <w:szCs w:val="18"/>
                <w:lang w:val="en-AU"/>
              </w:rPr>
              <w:t>In 2016 GBRMPA hosted the 40 Year Anniversary of the Reef event open to the public. A specific stall focused on partnerships with Traditional Owners and TUMRAs.</w:t>
            </w:r>
          </w:p>
          <w:p w14:paraId="57620BDC" w14:textId="77777777" w:rsidR="00A56EE9" w:rsidRPr="00E70A11" w:rsidRDefault="00A56EE9" w:rsidP="00A11869">
            <w:pPr>
              <w:pStyle w:val="EndNoteBibliography"/>
              <w:numPr>
                <w:ilvl w:val="0"/>
                <w:numId w:val="24"/>
              </w:numPr>
              <w:spacing w:after="0"/>
              <w:rPr>
                <w:rFonts w:ascii="Arial Narrow" w:eastAsia="Calibri" w:hAnsi="Arial Narrow"/>
                <w:sz w:val="18"/>
                <w:szCs w:val="18"/>
                <w:lang w:val="en-AU"/>
              </w:rPr>
            </w:pPr>
            <w:r w:rsidRPr="00E70A11">
              <w:rPr>
                <w:rFonts w:ascii="Arial Narrow" w:eastAsia="Calibri" w:hAnsi="Arial Narrow"/>
                <w:sz w:val="18"/>
                <w:szCs w:val="18"/>
                <w:lang w:val="en-AU"/>
              </w:rPr>
              <w:t>A 4 page information sheet on Traditional Owner connections to country has been produced</w:t>
            </w:r>
          </w:p>
          <w:p w14:paraId="57620BDD" w14:textId="77777777" w:rsidR="00A56EE9" w:rsidRPr="00E70A11" w:rsidRDefault="00A56EE9" w:rsidP="00A11869">
            <w:pPr>
              <w:pStyle w:val="EndNoteBibliography"/>
              <w:numPr>
                <w:ilvl w:val="0"/>
                <w:numId w:val="24"/>
              </w:numPr>
              <w:spacing w:after="0"/>
              <w:rPr>
                <w:rFonts w:ascii="Arial Narrow" w:eastAsia="Calibri" w:hAnsi="Arial Narrow"/>
                <w:sz w:val="18"/>
                <w:szCs w:val="18"/>
                <w:lang w:val="en-AU"/>
              </w:rPr>
            </w:pPr>
            <w:r w:rsidRPr="00E70A11">
              <w:rPr>
                <w:rFonts w:ascii="Arial Narrow" w:eastAsia="Calibri" w:hAnsi="Arial Narrow"/>
                <w:sz w:val="18"/>
                <w:szCs w:val="18"/>
                <w:lang w:val="en-AU"/>
              </w:rPr>
              <w:t>12 Traditional Owners were supported by GBRMPA under the sponsorship program to attend the IUCN World Conservation Congress in Hawaii in September 2016. They presented on the TUMRA program and shared knowledge of traditional use with the international community</w:t>
            </w:r>
          </w:p>
        </w:tc>
        <w:tc>
          <w:tcPr>
            <w:tcW w:w="4819" w:type="dxa"/>
            <w:tcBorders>
              <w:top w:val="single" w:sz="4" w:space="0" w:color="auto"/>
              <w:left w:val="single" w:sz="4" w:space="0" w:color="auto"/>
              <w:bottom w:val="single" w:sz="4" w:space="0" w:color="auto"/>
              <w:right w:val="single" w:sz="4" w:space="0" w:color="auto"/>
            </w:tcBorders>
          </w:tcPr>
          <w:p w14:paraId="57620BDE" w14:textId="08A93733" w:rsidR="00A56EE9" w:rsidRPr="00E70A11" w:rsidRDefault="008B5998" w:rsidP="00A11869">
            <w:pPr>
              <w:pStyle w:val="EndNoteBibliography"/>
              <w:numPr>
                <w:ilvl w:val="0"/>
                <w:numId w:val="24"/>
              </w:numPr>
              <w:spacing w:after="0"/>
              <w:rPr>
                <w:rFonts w:ascii="Arial Narrow" w:hAnsi="Arial Narrow"/>
                <w:sz w:val="18"/>
                <w:szCs w:val="18"/>
              </w:rPr>
            </w:pPr>
            <w:hyperlink r:id="rId2016" w:tooltip="document link" w:history="1">
              <w:r w:rsidR="00A56EE9" w:rsidRPr="00E70A11">
                <w:rPr>
                  <w:rStyle w:val="Hyperlink"/>
                  <w:rFonts w:ascii="Arial Narrow" w:hAnsi="Arial Narrow"/>
                  <w:sz w:val="18"/>
                  <w:szCs w:val="18"/>
                </w:rPr>
                <w:t>http://www.gbrmpa.gov.au/our-partners/traditional-owners/story-place</w:t>
              </w:r>
            </w:hyperlink>
            <w:r w:rsidR="00A56EE9" w:rsidRPr="00E70A11">
              <w:rPr>
                <w:rFonts w:ascii="Arial Narrow" w:hAnsi="Arial Narrow"/>
                <w:sz w:val="18"/>
                <w:szCs w:val="18"/>
              </w:rPr>
              <w:t xml:space="preserve"> </w:t>
            </w:r>
          </w:p>
          <w:p w14:paraId="57620BDF" w14:textId="77777777" w:rsidR="00A56EE9" w:rsidRPr="00AC4AB4" w:rsidRDefault="008B5998" w:rsidP="00A11869">
            <w:pPr>
              <w:pStyle w:val="EndNoteBibliography"/>
              <w:numPr>
                <w:ilvl w:val="0"/>
                <w:numId w:val="24"/>
              </w:numPr>
              <w:spacing w:after="0"/>
              <w:rPr>
                <w:rFonts w:ascii="Arial Narrow" w:hAnsi="Arial Narrow"/>
                <w:color w:val="0000FF"/>
                <w:sz w:val="18"/>
                <w:szCs w:val="18"/>
                <w:u w:val="single"/>
              </w:rPr>
            </w:pPr>
            <w:hyperlink r:id="rId2017" w:history="1">
              <w:r w:rsidR="00A56EE9" w:rsidRPr="00E70A11">
                <w:rPr>
                  <w:rStyle w:val="Hyperlink"/>
                  <w:rFonts w:ascii="Arial Narrow" w:hAnsi="Arial Narrow"/>
                  <w:sz w:val="18"/>
                  <w:szCs w:val="18"/>
                </w:rPr>
                <w:t>The Yirriganydji TUMRA</w:t>
              </w:r>
            </w:hyperlink>
          </w:p>
        </w:tc>
        <w:tc>
          <w:tcPr>
            <w:tcW w:w="851" w:type="dxa"/>
            <w:tcBorders>
              <w:top w:val="single" w:sz="4" w:space="0" w:color="auto"/>
              <w:left w:val="single" w:sz="4" w:space="0" w:color="auto"/>
              <w:bottom w:val="single" w:sz="4" w:space="0" w:color="auto"/>
              <w:right w:val="single" w:sz="4" w:space="0" w:color="auto"/>
            </w:tcBorders>
          </w:tcPr>
          <w:p w14:paraId="57620BE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BE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BE9"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E7E6E6"/>
          </w:tcPr>
          <w:p w14:paraId="57620BE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OUTCOMES</w:t>
            </w:r>
          </w:p>
        </w:tc>
        <w:tc>
          <w:tcPr>
            <w:tcW w:w="851" w:type="dxa"/>
            <w:tcBorders>
              <w:top w:val="single" w:sz="4" w:space="0" w:color="auto"/>
              <w:left w:val="single" w:sz="4" w:space="0" w:color="auto"/>
              <w:bottom w:val="single" w:sz="4" w:space="0" w:color="auto"/>
              <w:right w:val="single" w:sz="4" w:space="0" w:color="auto"/>
            </w:tcBorders>
            <w:shd w:val="clear" w:color="auto" w:fill="E7E6E6"/>
          </w:tcPr>
          <w:p w14:paraId="57620BE4" w14:textId="77777777" w:rsidR="00A56EE9" w:rsidRPr="00E70A11" w:rsidRDefault="00A56EE9" w:rsidP="00BB6AD5">
            <w:pPr>
              <w:rPr>
                <w:rFonts w:ascii="Arial Narrow" w:hAnsi="Arial Narrow"/>
                <w:sz w:val="18"/>
                <w:szCs w:val="18"/>
              </w:rPr>
            </w:pPr>
          </w:p>
        </w:tc>
        <w:tc>
          <w:tcPr>
            <w:tcW w:w="5245" w:type="dxa"/>
            <w:tcBorders>
              <w:top w:val="single" w:sz="4" w:space="0" w:color="auto"/>
              <w:left w:val="single" w:sz="4" w:space="0" w:color="auto"/>
              <w:bottom w:val="single" w:sz="4" w:space="0" w:color="auto"/>
              <w:right w:val="single" w:sz="4" w:space="0" w:color="auto"/>
            </w:tcBorders>
            <w:shd w:val="clear" w:color="auto" w:fill="E7E6E6"/>
          </w:tcPr>
          <w:p w14:paraId="57620BE5" w14:textId="77777777" w:rsidR="00A56EE9" w:rsidRPr="00E70A11" w:rsidRDefault="00A56EE9" w:rsidP="00BB6AD5">
            <w:pPr>
              <w:ind w:left="360"/>
              <w:contextualSpacing/>
              <w:rPr>
                <w:rFonts w:ascii="Arial Narrow" w:eastAsia="Calibri" w:hAnsi="Arial Narrow"/>
                <w:sz w:val="18"/>
                <w:szCs w:val="18"/>
              </w:rPr>
            </w:pPr>
          </w:p>
        </w:tc>
        <w:tc>
          <w:tcPr>
            <w:tcW w:w="4819" w:type="dxa"/>
            <w:tcBorders>
              <w:top w:val="single" w:sz="4" w:space="0" w:color="auto"/>
              <w:left w:val="single" w:sz="4" w:space="0" w:color="auto"/>
              <w:bottom w:val="single" w:sz="4" w:space="0" w:color="auto"/>
              <w:right w:val="single" w:sz="4" w:space="0" w:color="auto"/>
            </w:tcBorders>
            <w:shd w:val="clear" w:color="auto" w:fill="E7E6E6"/>
          </w:tcPr>
          <w:p w14:paraId="57620BE6" w14:textId="77777777" w:rsidR="00A56EE9" w:rsidRPr="00E70A11" w:rsidRDefault="00A56EE9" w:rsidP="00BB6AD5">
            <w:pPr>
              <w:ind w:left="360"/>
              <w:contextualSpacing/>
              <w:rPr>
                <w:rFonts w:ascii="Arial Narrow" w:eastAsia="Calibri"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shd w:val="clear" w:color="auto" w:fill="E7E6E6"/>
          </w:tcPr>
          <w:p w14:paraId="57620BE7" w14:textId="77777777" w:rsidR="00A56EE9" w:rsidRPr="00E70A11" w:rsidRDefault="00A56EE9" w:rsidP="00BB6AD5">
            <w:pP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E7E6E6"/>
          </w:tcPr>
          <w:p w14:paraId="57620BE8" w14:textId="77777777" w:rsidR="00A56EE9" w:rsidRPr="00E70A11" w:rsidRDefault="00A56EE9" w:rsidP="00BB6AD5">
            <w:pPr>
              <w:rPr>
                <w:rFonts w:ascii="Arial Narrow" w:hAnsi="Arial Narrow"/>
                <w:sz w:val="18"/>
                <w:szCs w:val="18"/>
              </w:rPr>
            </w:pPr>
          </w:p>
        </w:tc>
      </w:tr>
      <w:tr w:rsidR="00A56EE9" w:rsidRPr="00E70A11" w14:paraId="57620BF2"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E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OC1</w:t>
            </w:r>
            <w:r>
              <w:rPr>
                <w:rFonts w:ascii="Arial Narrow" w:hAnsi="Arial Narrow"/>
                <w:sz w:val="18"/>
                <w:szCs w:val="18"/>
              </w:rPr>
              <w:t xml:space="preserve"> </w:t>
            </w:r>
            <w:r w:rsidRPr="00E70A11">
              <w:rPr>
                <w:rFonts w:ascii="Arial Narrow" w:hAnsi="Arial Narrow"/>
                <w:sz w:val="18"/>
                <w:szCs w:val="18"/>
              </w:rPr>
              <w:t xml:space="preserve">The relevant managing agencies are to date effectively addressing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and moving towards the attainment of the desired outcomes.</w:t>
            </w:r>
          </w:p>
        </w:tc>
        <w:tc>
          <w:tcPr>
            <w:tcW w:w="851" w:type="dxa"/>
            <w:tcBorders>
              <w:top w:val="single" w:sz="4" w:space="0" w:color="auto"/>
              <w:left w:val="single" w:sz="4" w:space="0" w:color="auto"/>
              <w:bottom w:val="single" w:sz="4" w:space="0" w:color="auto"/>
              <w:right w:val="single" w:sz="4" w:space="0" w:color="auto"/>
            </w:tcBorders>
          </w:tcPr>
          <w:p w14:paraId="57620BE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BEC"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The TUMRA program is a very effective initiative and is moving towards desired outcomes. Under the program, the GBRMPA is moving towards more TUMRAs across the Great Barrier Reef. </w:t>
            </w:r>
          </w:p>
          <w:p w14:paraId="57620BED"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Sustained resourcing of the program will be needed, with an understanding that all TUMRAs will require continuing support after contracts are signed and renewed. </w:t>
            </w:r>
          </w:p>
          <w:p w14:paraId="57620BEE" w14:textId="77777777" w:rsidR="00A56EE9" w:rsidRPr="00E70A11" w:rsidRDefault="00A56EE9" w:rsidP="00A11869">
            <w:pPr>
              <w:pStyle w:val="EndNoteBibliography"/>
              <w:numPr>
                <w:ilvl w:val="0"/>
                <w:numId w:val="24"/>
              </w:numPr>
              <w:spacing w:after="0"/>
              <w:rPr>
                <w:rFonts w:ascii="Arial Narrow" w:eastAsia="Calibri" w:hAnsi="Arial Narrow"/>
                <w:sz w:val="18"/>
                <w:szCs w:val="18"/>
                <w:lang w:val="en-AU"/>
              </w:rPr>
            </w:pPr>
            <w:r w:rsidRPr="00E70A11">
              <w:rPr>
                <w:rFonts w:ascii="Arial Narrow" w:eastAsia="Calibri" w:hAnsi="Arial Narrow"/>
                <w:noProof w:val="0"/>
                <w:sz w:val="18"/>
                <w:szCs w:val="18"/>
                <w:lang w:val="en-AU"/>
              </w:rPr>
              <w:t>Compliance has focussed on continuing education and training, in particular compliance and investigations training (a first of its kind in Australia).</w:t>
            </w:r>
          </w:p>
        </w:tc>
        <w:tc>
          <w:tcPr>
            <w:tcW w:w="4819" w:type="dxa"/>
            <w:tcBorders>
              <w:top w:val="single" w:sz="4" w:space="0" w:color="auto"/>
              <w:left w:val="single" w:sz="4" w:space="0" w:color="auto"/>
              <w:bottom w:val="single" w:sz="4" w:space="0" w:color="auto"/>
              <w:right w:val="single" w:sz="4" w:space="0" w:color="auto"/>
            </w:tcBorders>
          </w:tcPr>
          <w:p w14:paraId="57620BEF" w14:textId="77777777" w:rsidR="00A56EE9" w:rsidRPr="00E70A11" w:rsidRDefault="00A56EE9" w:rsidP="00A11869">
            <w:pPr>
              <w:pStyle w:val="EndNoteBibliography"/>
              <w:numPr>
                <w:ilvl w:val="0"/>
                <w:numId w:val="24"/>
              </w:numPr>
              <w:rPr>
                <w:rFonts w:ascii="Arial Narrow" w:eastAsia="Calibri" w:hAnsi="Arial Narrow"/>
                <w:sz w:val="18"/>
                <w:szCs w:val="18"/>
                <w:lang w:val="en-AU"/>
              </w:rPr>
            </w:pPr>
            <w:r w:rsidRPr="00E70A11">
              <w:rPr>
                <w:rFonts w:ascii="Arial Narrow" w:eastAsia="Calibri" w:hAnsi="Arial Narrow"/>
                <w:noProof w:val="0"/>
                <w:sz w:val="18"/>
                <w:szCs w:val="18"/>
                <w:lang w:val="en-AU"/>
              </w:rPr>
              <w:t xml:space="preserve">Independent review of the TUMRA program – Oct 2017 </w:t>
            </w:r>
          </w:p>
        </w:tc>
        <w:tc>
          <w:tcPr>
            <w:tcW w:w="851" w:type="dxa"/>
            <w:tcBorders>
              <w:top w:val="single" w:sz="4" w:space="0" w:color="auto"/>
              <w:left w:val="single" w:sz="4" w:space="0" w:color="auto"/>
              <w:bottom w:val="single" w:sz="4" w:space="0" w:color="auto"/>
              <w:right w:val="single" w:sz="4" w:space="0" w:color="auto"/>
            </w:tcBorders>
          </w:tcPr>
          <w:p w14:paraId="57620BF0"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BF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BFB"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shd w:val="clear" w:color="auto" w:fill="auto"/>
          </w:tcPr>
          <w:p w14:paraId="57620BF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OC2</w:t>
            </w:r>
            <w:r>
              <w:rPr>
                <w:rFonts w:ascii="Arial Narrow" w:hAnsi="Arial Narrow"/>
                <w:sz w:val="18"/>
                <w:szCs w:val="18"/>
              </w:rPr>
              <w:t xml:space="preserve"> </w:t>
            </w:r>
            <w:r w:rsidRPr="00E70A11">
              <w:rPr>
                <w:rFonts w:ascii="Arial Narrow" w:hAnsi="Arial Narrow"/>
                <w:sz w:val="18"/>
                <w:szCs w:val="18"/>
              </w:rPr>
              <w:t xml:space="preserve">The outputs relating to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are on track to ensure the values of the Great Barrier Reef are protected (refer CO1)</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F4"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7620BF5"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An aerial survey for dugongs and large juvenile and adult marine turtles that was conducted in October-November 2016 (Sobstzick et al. 2017) add to the evidence that dugongs in the survey region are in much better condition than at the time of the last such survey in 2011. The improvement is especially evident in the southern Great Barrier Reef (GBR) region.</w:t>
            </w:r>
          </w:p>
          <w:p w14:paraId="57620BF6" w14:textId="77777777" w:rsidR="00A56EE9" w:rsidRPr="00E70A11" w:rsidRDefault="00A56EE9" w:rsidP="00BB6AD5">
            <w:pPr>
              <w:contextualSpacing/>
              <w:rPr>
                <w:rFonts w:ascii="Arial Narrow" w:eastAsia="Calibri" w:hAnsi="Arial Narrow"/>
                <w:sz w:val="18"/>
                <w:szCs w:val="18"/>
              </w:rPr>
            </w:pP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7620BF7" w14:textId="77777777" w:rsidR="00A56EE9" w:rsidRPr="00E70A11" w:rsidRDefault="00A56EE9" w:rsidP="00A11869">
            <w:pPr>
              <w:pStyle w:val="EndNoteBibliography"/>
              <w:numPr>
                <w:ilvl w:val="0"/>
                <w:numId w:val="24"/>
              </w:numPr>
              <w:rPr>
                <w:rFonts w:ascii="Arial Narrow" w:eastAsia="Calibri" w:hAnsi="Arial Narrow"/>
                <w:noProof w:val="0"/>
                <w:sz w:val="18"/>
                <w:szCs w:val="18"/>
                <w:lang w:val="en-AU"/>
              </w:rPr>
            </w:pPr>
            <w:r w:rsidRPr="00E70A11">
              <w:rPr>
                <w:rFonts w:ascii="Arial Narrow" w:eastAsia="Calibri" w:hAnsi="Arial Narrow"/>
                <w:noProof w:val="0"/>
                <w:sz w:val="18"/>
                <w:szCs w:val="18"/>
                <w:lang w:val="en-AU"/>
              </w:rPr>
              <w:t>Sobstzick et al. 2017 report on dugong and turtle monitoring – showing signs of recovery in the south for dugong.</w:t>
            </w:r>
          </w:p>
          <w:p w14:paraId="57620BF8" w14:textId="77777777" w:rsidR="00A56EE9" w:rsidRPr="00AC4AB4" w:rsidRDefault="00A56EE9" w:rsidP="00A11869">
            <w:pPr>
              <w:pStyle w:val="EndNoteBibliography"/>
              <w:numPr>
                <w:ilvl w:val="0"/>
                <w:numId w:val="24"/>
              </w:numPr>
              <w:rPr>
                <w:rFonts w:ascii="Arial Narrow" w:eastAsia="Calibri" w:hAnsi="Arial Narrow"/>
                <w:noProof w:val="0"/>
                <w:sz w:val="18"/>
                <w:szCs w:val="18"/>
                <w:lang w:val="en-AU"/>
              </w:rPr>
            </w:pPr>
            <w:r w:rsidRPr="00E70A11">
              <w:rPr>
                <w:rFonts w:ascii="Arial Narrow" w:eastAsia="Calibri" w:hAnsi="Arial Narrow"/>
                <w:noProof w:val="0"/>
                <w:sz w:val="18"/>
                <w:szCs w:val="18"/>
                <w:lang w:val="en-AU"/>
              </w:rPr>
              <w:t>Marine Turtle Recovery Plan 2017 – traditional use is not a major pressure.</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620BF9"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7620BF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Improving</w:t>
            </w:r>
          </w:p>
        </w:tc>
      </w:tr>
      <w:tr w:rsidR="00A56EE9" w:rsidRPr="00E70A11" w14:paraId="57620C04"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BF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OC3</w:t>
            </w:r>
            <w:r>
              <w:rPr>
                <w:rFonts w:ascii="Arial Narrow" w:hAnsi="Arial Narrow"/>
                <w:sz w:val="18"/>
                <w:szCs w:val="18"/>
              </w:rPr>
              <w:t xml:space="preserve"> </w:t>
            </w:r>
            <w:r w:rsidRPr="00E70A11">
              <w:rPr>
                <w:rFonts w:ascii="Arial Narrow" w:hAnsi="Arial Narrow"/>
                <w:sz w:val="18"/>
                <w:szCs w:val="18"/>
              </w:rPr>
              <w:t xml:space="preserve">the outputs (refer OP1 and 3) for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are reducing the major risks and the threats to the Great Barrier Reef</w:t>
            </w:r>
          </w:p>
        </w:tc>
        <w:tc>
          <w:tcPr>
            <w:tcW w:w="851" w:type="dxa"/>
            <w:tcBorders>
              <w:top w:val="single" w:sz="4" w:space="0" w:color="auto"/>
              <w:left w:val="single" w:sz="4" w:space="0" w:color="auto"/>
              <w:bottom w:val="single" w:sz="4" w:space="0" w:color="auto"/>
              <w:right w:val="single" w:sz="4" w:space="0" w:color="auto"/>
            </w:tcBorders>
          </w:tcPr>
          <w:p w14:paraId="57620BFD"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BFE"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Scientists believe that </w:t>
            </w:r>
            <w:r>
              <w:rPr>
                <w:rFonts w:ascii="Arial Narrow" w:eastAsia="Calibri" w:hAnsi="Arial Narrow"/>
                <w:sz w:val="18"/>
                <w:szCs w:val="18"/>
              </w:rPr>
              <w:t>Traditional</w:t>
            </w:r>
            <w:r w:rsidRPr="00E70A11">
              <w:rPr>
                <w:rFonts w:ascii="Arial Narrow" w:eastAsia="Calibri" w:hAnsi="Arial Narrow"/>
                <w:sz w:val="18"/>
                <w:szCs w:val="18"/>
              </w:rPr>
              <w:t xml:space="preserve"> Use of Marine</w:t>
            </w:r>
            <w:r>
              <w:rPr>
                <w:rFonts w:ascii="Arial Narrow" w:eastAsia="Calibri" w:hAnsi="Arial Narrow"/>
                <w:sz w:val="18"/>
                <w:szCs w:val="18"/>
              </w:rPr>
              <w:t xml:space="preserve"> </w:t>
            </w:r>
            <w:r w:rsidRPr="00E70A11">
              <w:rPr>
                <w:rFonts w:ascii="Arial Narrow" w:eastAsia="Calibri" w:hAnsi="Arial Narrow"/>
                <w:sz w:val="18"/>
                <w:szCs w:val="18"/>
              </w:rPr>
              <w:t>Resources in the GBR is not a significant threat to turtle or dugong. Agreements under the TUMRAs ensure that any take of these species is under strict agreed guidelines.</w:t>
            </w:r>
          </w:p>
          <w:p w14:paraId="57620BFF"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TUMRAs with remaining Traditional Owner groups would help to ensure this outcome in the future.</w:t>
            </w:r>
          </w:p>
          <w:p w14:paraId="57620C0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More significant threats to turtles and dugongs are from climate change, cyclones, sedimentation, use outside the Region, pollution and rubbish, and boat strike.</w:t>
            </w:r>
          </w:p>
        </w:tc>
        <w:tc>
          <w:tcPr>
            <w:tcW w:w="4819" w:type="dxa"/>
            <w:tcBorders>
              <w:top w:val="single" w:sz="4" w:space="0" w:color="auto"/>
              <w:left w:val="single" w:sz="4" w:space="0" w:color="auto"/>
              <w:bottom w:val="single" w:sz="4" w:space="0" w:color="auto"/>
              <w:right w:val="single" w:sz="4" w:space="0" w:color="auto"/>
            </w:tcBorders>
          </w:tcPr>
          <w:p w14:paraId="57620C01" w14:textId="77777777" w:rsidR="00A56EE9" w:rsidRPr="00E70A11" w:rsidRDefault="008B5998" w:rsidP="00A11869">
            <w:pPr>
              <w:pStyle w:val="EndNoteBibliography"/>
              <w:numPr>
                <w:ilvl w:val="0"/>
                <w:numId w:val="24"/>
              </w:numPr>
              <w:rPr>
                <w:rFonts w:ascii="Arial Narrow" w:eastAsia="Calibri" w:hAnsi="Arial Narrow"/>
                <w:sz w:val="18"/>
                <w:szCs w:val="18"/>
                <w:lang w:val="en-AU"/>
              </w:rPr>
            </w:pPr>
            <w:hyperlink r:id="rId2018" w:history="1">
              <w:r w:rsidR="00A56EE9" w:rsidRPr="00E70A11">
                <w:rPr>
                  <w:rStyle w:val="Hyperlink"/>
                  <w:rFonts w:ascii="Arial Narrow" w:hAnsi="Arial Narrow"/>
                  <w:sz w:val="18"/>
                  <w:szCs w:val="18"/>
                </w:rPr>
                <w:t>Marsh and Hamman (2016) article “Traditional Hunting gets the headlines but is not the greatest threat”:</w:t>
              </w:r>
            </w:hyperlink>
            <w:r w:rsidR="00A56EE9" w:rsidRPr="00E70A11">
              <w:rPr>
                <w:rFonts w:ascii="Arial Narrow" w:hAnsi="Arial Narrow"/>
                <w:sz w:val="18"/>
                <w:szCs w:val="18"/>
              </w:rPr>
              <w:t xml:space="preserve"> </w:t>
            </w:r>
          </w:p>
        </w:tc>
        <w:tc>
          <w:tcPr>
            <w:tcW w:w="851" w:type="dxa"/>
            <w:tcBorders>
              <w:top w:val="single" w:sz="4" w:space="0" w:color="auto"/>
              <w:left w:val="single" w:sz="4" w:space="0" w:color="auto"/>
              <w:bottom w:val="single" w:sz="4" w:space="0" w:color="auto"/>
              <w:right w:val="single" w:sz="4" w:space="0" w:color="auto"/>
            </w:tcBorders>
          </w:tcPr>
          <w:p w14:paraId="57620C0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C03"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C0D"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C05"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OC4</w:t>
            </w:r>
            <w:r>
              <w:rPr>
                <w:rFonts w:ascii="Arial Narrow" w:hAnsi="Arial Narrow"/>
                <w:sz w:val="18"/>
                <w:szCs w:val="18"/>
              </w:rPr>
              <w:t xml:space="preserve"> </w:t>
            </w:r>
            <w:r w:rsidRPr="00E70A11">
              <w:rPr>
                <w:rFonts w:ascii="Arial Narrow" w:hAnsi="Arial Narrow"/>
                <w:sz w:val="18"/>
                <w:szCs w:val="18"/>
              </w:rPr>
              <w:t xml:space="preserve">Use of the Great Barrier Reef relating to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is demonstrably environmentally sustainable</w:t>
            </w:r>
          </w:p>
        </w:tc>
        <w:tc>
          <w:tcPr>
            <w:tcW w:w="851" w:type="dxa"/>
            <w:tcBorders>
              <w:top w:val="single" w:sz="4" w:space="0" w:color="auto"/>
              <w:left w:val="single" w:sz="4" w:space="0" w:color="auto"/>
              <w:bottom w:val="single" w:sz="4" w:space="0" w:color="auto"/>
              <w:right w:val="single" w:sz="4" w:space="0" w:color="auto"/>
            </w:tcBorders>
          </w:tcPr>
          <w:p w14:paraId="57620C06"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C0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See OC2 and OC3</w:t>
            </w:r>
          </w:p>
          <w:p w14:paraId="57620C08"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 xml:space="preserve">Scientists believe that </w:t>
            </w:r>
            <w:r>
              <w:rPr>
                <w:rFonts w:ascii="Arial Narrow" w:eastAsia="Calibri" w:hAnsi="Arial Narrow"/>
                <w:sz w:val="18"/>
                <w:szCs w:val="18"/>
              </w:rPr>
              <w:t>Traditional</w:t>
            </w:r>
            <w:r w:rsidRPr="00E70A11">
              <w:rPr>
                <w:rFonts w:ascii="Arial Narrow" w:eastAsia="Calibri" w:hAnsi="Arial Narrow"/>
                <w:sz w:val="18"/>
                <w:szCs w:val="18"/>
              </w:rPr>
              <w:t xml:space="preserve"> Use of Marine</w:t>
            </w:r>
            <w:r>
              <w:rPr>
                <w:rFonts w:ascii="Arial Narrow" w:eastAsia="Calibri" w:hAnsi="Arial Narrow"/>
                <w:sz w:val="18"/>
                <w:szCs w:val="18"/>
              </w:rPr>
              <w:t xml:space="preserve"> </w:t>
            </w:r>
            <w:r w:rsidRPr="00E70A11">
              <w:rPr>
                <w:rFonts w:ascii="Arial Narrow" w:eastAsia="Calibri" w:hAnsi="Arial Narrow"/>
                <w:sz w:val="18"/>
                <w:szCs w:val="18"/>
              </w:rPr>
              <w:t>Resources in the GBR is not a significant threat to turtle or dugong. Agreements under the TUMRAs ensure that any take of these species is under strict agreed guidelines.</w:t>
            </w:r>
          </w:p>
          <w:p w14:paraId="57620C09"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TUMRAs with remaining Traditional Owner groups would help to ensure this outcome in the future</w:t>
            </w:r>
          </w:p>
        </w:tc>
        <w:tc>
          <w:tcPr>
            <w:tcW w:w="4819" w:type="dxa"/>
            <w:tcBorders>
              <w:top w:val="single" w:sz="4" w:space="0" w:color="auto"/>
              <w:left w:val="single" w:sz="4" w:space="0" w:color="auto"/>
              <w:bottom w:val="single" w:sz="4" w:space="0" w:color="auto"/>
              <w:right w:val="single" w:sz="4" w:space="0" w:color="auto"/>
            </w:tcBorders>
          </w:tcPr>
          <w:p w14:paraId="57620C0A"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2019" w:history="1">
              <w:r w:rsidR="00A56EE9" w:rsidRPr="00E70A11">
                <w:rPr>
                  <w:rStyle w:val="Hyperlink"/>
                  <w:rFonts w:ascii="Arial Narrow" w:hAnsi="Arial Narrow"/>
                  <w:sz w:val="18"/>
                  <w:szCs w:val="18"/>
                </w:rPr>
                <w:t>Marsh and Hamman (2016) article “Traditional Hunting gets the headlines but is not the greatest threat”:</w:t>
              </w:r>
            </w:hyperlink>
          </w:p>
        </w:tc>
        <w:tc>
          <w:tcPr>
            <w:tcW w:w="851" w:type="dxa"/>
            <w:tcBorders>
              <w:top w:val="single" w:sz="4" w:space="0" w:color="auto"/>
              <w:left w:val="single" w:sz="4" w:space="0" w:color="auto"/>
              <w:bottom w:val="single" w:sz="4" w:space="0" w:color="auto"/>
              <w:right w:val="single" w:sz="4" w:space="0" w:color="auto"/>
            </w:tcBorders>
          </w:tcPr>
          <w:p w14:paraId="57620C0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C0C"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C16"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C0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OC5</w:t>
            </w:r>
            <w:r>
              <w:rPr>
                <w:rFonts w:ascii="Arial Narrow" w:hAnsi="Arial Narrow"/>
                <w:sz w:val="18"/>
                <w:szCs w:val="18"/>
              </w:rPr>
              <w:t xml:space="preserve"> </w:t>
            </w:r>
            <w:r w:rsidRPr="00E70A11">
              <w:rPr>
                <w:rFonts w:ascii="Arial Narrow" w:hAnsi="Arial Narrow"/>
                <w:sz w:val="18"/>
                <w:szCs w:val="18"/>
              </w:rPr>
              <w:t xml:space="preserve">Use of the Great Barrier Reef relating to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is demonstrably economically sustainable</w:t>
            </w:r>
          </w:p>
        </w:tc>
        <w:tc>
          <w:tcPr>
            <w:tcW w:w="851" w:type="dxa"/>
            <w:tcBorders>
              <w:top w:val="single" w:sz="4" w:space="0" w:color="auto"/>
              <w:left w:val="single" w:sz="4" w:space="0" w:color="auto"/>
              <w:bottom w:val="single" w:sz="4" w:space="0" w:color="auto"/>
              <w:right w:val="single" w:sz="4" w:space="0" w:color="auto"/>
            </w:tcBorders>
          </w:tcPr>
          <w:p w14:paraId="57620C0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3</w:t>
            </w:r>
          </w:p>
        </w:tc>
        <w:tc>
          <w:tcPr>
            <w:tcW w:w="5245" w:type="dxa"/>
            <w:tcBorders>
              <w:top w:val="single" w:sz="4" w:space="0" w:color="auto"/>
              <w:left w:val="single" w:sz="4" w:space="0" w:color="auto"/>
              <w:bottom w:val="single" w:sz="4" w:space="0" w:color="auto"/>
              <w:right w:val="single" w:sz="4" w:space="0" w:color="auto"/>
            </w:tcBorders>
          </w:tcPr>
          <w:p w14:paraId="57620C10"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eastAsia="Calibri" w:hAnsi="Arial Narrow"/>
                <w:sz w:val="18"/>
                <w:szCs w:val="18"/>
              </w:rPr>
              <w:t>TUMRAS assist by helping people to get back into the country and through employment. Capacity building enables better opportunities for employment and engagement in other processes.</w:t>
            </w:r>
          </w:p>
        </w:tc>
        <w:tc>
          <w:tcPr>
            <w:tcW w:w="4819" w:type="dxa"/>
            <w:tcBorders>
              <w:top w:val="single" w:sz="4" w:space="0" w:color="auto"/>
              <w:left w:val="single" w:sz="4" w:space="0" w:color="auto"/>
              <w:bottom w:val="single" w:sz="4" w:space="0" w:color="auto"/>
              <w:right w:val="single" w:sz="4" w:space="0" w:color="auto"/>
            </w:tcBorders>
          </w:tcPr>
          <w:p w14:paraId="57620C11" w14:textId="77777777" w:rsidR="00A56EE9" w:rsidRPr="00E70A11" w:rsidRDefault="008B5998" w:rsidP="00A11869">
            <w:pPr>
              <w:pStyle w:val="EndNoteBibliography"/>
              <w:numPr>
                <w:ilvl w:val="0"/>
                <w:numId w:val="24"/>
              </w:numPr>
              <w:spacing w:after="0"/>
              <w:ind w:left="357" w:hanging="357"/>
              <w:rPr>
                <w:rFonts w:ascii="Arial Narrow" w:eastAsia="Calibri" w:hAnsi="Arial Narrow"/>
                <w:color w:val="0000FF"/>
                <w:sz w:val="18"/>
                <w:szCs w:val="18"/>
                <w:u w:val="single"/>
                <w:lang w:eastAsia="en-AU"/>
              </w:rPr>
            </w:pPr>
            <w:hyperlink r:id="rId2020" w:history="1">
              <w:r w:rsidR="00A56EE9" w:rsidRPr="00E70A11">
                <w:rPr>
                  <w:rStyle w:val="Hyperlink"/>
                  <w:rFonts w:ascii="Arial Narrow" w:eastAsia="Calibri" w:hAnsi="Arial Narrow"/>
                  <w:sz w:val="18"/>
                  <w:szCs w:val="18"/>
                </w:rPr>
                <w:t>Working for our country report</w:t>
              </w:r>
            </w:hyperlink>
            <w:r w:rsidR="00A56EE9" w:rsidRPr="00E70A11">
              <w:rPr>
                <w:rFonts w:ascii="Arial Narrow" w:eastAsia="Calibri" w:hAnsi="Arial Narrow"/>
                <w:sz w:val="18"/>
                <w:szCs w:val="18"/>
                <w:lang w:val="en-AU"/>
              </w:rPr>
              <w:t xml:space="preserve"> illustrates general benefits from Indigenous Ranger program</w:t>
            </w:r>
          </w:p>
          <w:p w14:paraId="57620C12" w14:textId="77777777" w:rsidR="00A56EE9" w:rsidRPr="00E70A11" w:rsidRDefault="008B5998" w:rsidP="00A11869">
            <w:pPr>
              <w:pStyle w:val="EndNoteBibliography"/>
              <w:numPr>
                <w:ilvl w:val="0"/>
                <w:numId w:val="24"/>
              </w:numPr>
              <w:spacing w:after="0"/>
              <w:ind w:left="357" w:hanging="357"/>
              <w:rPr>
                <w:rFonts w:ascii="Arial Narrow" w:eastAsia="Calibri" w:hAnsi="Arial Narrow"/>
                <w:color w:val="0000FF"/>
                <w:sz w:val="18"/>
                <w:szCs w:val="18"/>
                <w:u w:val="single"/>
                <w:lang w:eastAsia="en-AU"/>
              </w:rPr>
            </w:pPr>
            <w:hyperlink r:id="rId2021" w:history="1">
              <w:r w:rsidR="00A56EE9" w:rsidRPr="00E70A11">
                <w:rPr>
                  <w:rStyle w:val="Hyperlink"/>
                  <w:rFonts w:ascii="Arial Narrow" w:eastAsia="Calibri" w:hAnsi="Arial Narrow"/>
                  <w:sz w:val="18"/>
                  <w:szCs w:val="18"/>
                  <w:lang w:eastAsia="en-AU"/>
                </w:rPr>
                <w:t>TUMRA video 2015</w:t>
              </w:r>
            </w:hyperlink>
          </w:p>
          <w:p w14:paraId="57620C13" w14:textId="77777777" w:rsidR="00A56EE9" w:rsidRPr="00AC4AB4" w:rsidRDefault="008B5998" w:rsidP="00A11869">
            <w:pPr>
              <w:pStyle w:val="EndNoteBibliography"/>
              <w:numPr>
                <w:ilvl w:val="0"/>
                <w:numId w:val="24"/>
              </w:numPr>
              <w:rPr>
                <w:rFonts w:ascii="Arial Narrow" w:eastAsia="Calibri" w:hAnsi="Arial Narrow"/>
                <w:color w:val="0000FF"/>
                <w:sz w:val="18"/>
                <w:szCs w:val="18"/>
                <w:u w:val="single"/>
                <w:lang w:eastAsia="en-AU"/>
              </w:rPr>
            </w:pPr>
            <w:hyperlink r:id="rId2022" w:history="1">
              <w:r w:rsidR="00A56EE9" w:rsidRPr="00E70A11">
                <w:rPr>
                  <w:rStyle w:val="Hyperlink"/>
                  <w:rFonts w:ascii="Arial Narrow" w:eastAsia="Calibri" w:hAnsi="Arial Narrow"/>
                  <w:sz w:val="18"/>
                  <w:szCs w:val="18"/>
                  <w:lang w:eastAsia="en-AU"/>
                </w:rPr>
                <w:t>The Yirriganydji TUMRA</w:t>
              </w:r>
            </w:hyperlink>
          </w:p>
        </w:tc>
        <w:tc>
          <w:tcPr>
            <w:tcW w:w="851" w:type="dxa"/>
            <w:tcBorders>
              <w:top w:val="single" w:sz="4" w:space="0" w:color="auto"/>
              <w:left w:val="single" w:sz="4" w:space="0" w:color="auto"/>
              <w:bottom w:val="single" w:sz="4" w:space="0" w:color="auto"/>
              <w:right w:val="single" w:sz="4" w:space="0" w:color="auto"/>
            </w:tcBorders>
          </w:tcPr>
          <w:p w14:paraId="57620C14" w14:textId="77777777" w:rsidR="00A56EE9" w:rsidRPr="00E70A11" w:rsidRDefault="00A56EE9" w:rsidP="00BB6AD5">
            <w:pPr>
              <w:rPr>
                <w:rFonts w:ascii="Arial Narrow" w:hAnsi="Arial Narrow"/>
                <w:sz w:val="18"/>
                <w:szCs w:val="18"/>
              </w:rPr>
            </w:pPr>
            <w:r>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C15" w14:textId="77777777" w:rsidR="00A56EE9" w:rsidRPr="00E70A11" w:rsidRDefault="00A56EE9" w:rsidP="00BB6AD5">
            <w:pPr>
              <w:rPr>
                <w:rFonts w:ascii="Arial Narrow" w:hAnsi="Arial Narrow"/>
                <w:sz w:val="18"/>
                <w:szCs w:val="18"/>
              </w:rPr>
            </w:pPr>
            <w:r>
              <w:rPr>
                <w:rFonts w:ascii="Arial Narrow" w:hAnsi="Arial Narrow"/>
                <w:sz w:val="18"/>
                <w:szCs w:val="18"/>
              </w:rPr>
              <w:t>Stable</w:t>
            </w:r>
          </w:p>
        </w:tc>
      </w:tr>
      <w:tr w:rsidR="00A56EE9" w:rsidRPr="00E70A11" w14:paraId="57620C20"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C17"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OC6</w:t>
            </w:r>
            <w:r>
              <w:rPr>
                <w:rFonts w:ascii="Arial Narrow" w:hAnsi="Arial Narrow"/>
                <w:sz w:val="18"/>
                <w:szCs w:val="18"/>
              </w:rPr>
              <w:t xml:space="preserve"> </w:t>
            </w:r>
            <w:r w:rsidRPr="00E70A11">
              <w:rPr>
                <w:rFonts w:ascii="Arial Narrow" w:hAnsi="Arial Narrow"/>
                <w:sz w:val="18"/>
                <w:szCs w:val="18"/>
              </w:rPr>
              <w:t xml:space="preserve">Use of the Great Barrier Reef relating to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Resources is demonstrably socially sustainable, in terms of understanding and/or enjoyment</w:t>
            </w:r>
          </w:p>
        </w:tc>
        <w:tc>
          <w:tcPr>
            <w:tcW w:w="851" w:type="dxa"/>
            <w:tcBorders>
              <w:top w:val="single" w:sz="4" w:space="0" w:color="auto"/>
              <w:left w:val="single" w:sz="4" w:space="0" w:color="auto"/>
              <w:bottom w:val="single" w:sz="4" w:space="0" w:color="auto"/>
              <w:right w:val="single" w:sz="4" w:space="0" w:color="auto"/>
            </w:tcBorders>
          </w:tcPr>
          <w:p w14:paraId="57620C18"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C19" w14:textId="77777777" w:rsidR="00A56EE9" w:rsidRPr="00E70A11" w:rsidRDefault="00A56EE9" w:rsidP="00A11869">
            <w:pPr>
              <w:pStyle w:val="EndNoteBibliography"/>
              <w:numPr>
                <w:ilvl w:val="0"/>
                <w:numId w:val="24"/>
              </w:numPr>
              <w:spacing w:after="0"/>
              <w:rPr>
                <w:rFonts w:ascii="Arial Narrow" w:eastAsia="Calibri" w:hAnsi="Arial Narrow"/>
                <w:sz w:val="18"/>
                <w:szCs w:val="18"/>
                <w:lang w:val="en-AU"/>
              </w:rPr>
            </w:pPr>
            <w:r w:rsidRPr="00E70A11">
              <w:rPr>
                <w:rFonts w:ascii="Arial Narrow" w:eastAsia="Calibri" w:hAnsi="Arial Narrow"/>
                <w:noProof w:val="0"/>
                <w:sz w:val="18"/>
                <w:szCs w:val="18"/>
                <w:lang w:val="en-AU"/>
              </w:rPr>
              <w:t>TUMRAs recognise the responsibilities and management roles for country of Traditional Owners, and enables agreed access to traditional foods on country meeting their customary responsibilities.</w:t>
            </w:r>
          </w:p>
          <w:p w14:paraId="57620C1A" w14:textId="77777777" w:rsidR="00A56EE9" w:rsidRPr="00E70A11" w:rsidRDefault="00A56EE9" w:rsidP="00A11869">
            <w:pPr>
              <w:pStyle w:val="EndNoteBibliography"/>
              <w:numPr>
                <w:ilvl w:val="0"/>
                <w:numId w:val="24"/>
              </w:numPr>
              <w:spacing w:after="0"/>
              <w:rPr>
                <w:rFonts w:ascii="Arial Narrow" w:eastAsia="Calibri" w:hAnsi="Arial Narrow"/>
                <w:sz w:val="18"/>
                <w:szCs w:val="18"/>
                <w:lang w:val="en-AU"/>
              </w:rPr>
            </w:pPr>
            <w:r w:rsidRPr="00E70A11">
              <w:rPr>
                <w:rFonts w:ascii="Arial Narrow" w:eastAsia="Calibri" w:hAnsi="Arial Narrow"/>
                <w:sz w:val="18"/>
                <w:szCs w:val="18"/>
                <w:lang w:val="en-AU"/>
              </w:rPr>
              <w:t>Green Island has been an area of intermittent conflicts of use between tourism, Traditional Owners and on occasion the public. The issues have been associated with Traditional Use in this area (some real and some alleged and unfounded through lack of evidence or reporting).</w:t>
            </w:r>
          </w:p>
        </w:tc>
        <w:tc>
          <w:tcPr>
            <w:tcW w:w="4819" w:type="dxa"/>
            <w:tcBorders>
              <w:top w:val="single" w:sz="4" w:space="0" w:color="auto"/>
              <w:left w:val="single" w:sz="4" w:space="0" w:color="auto"/>
              <w:bottom w:val="single" w:sz="4" w:space="0" w:color="auto"/>
              <w:right w:val="single" w:sz="4" w:space="0" w:color="auto"/>
            </w:tcBorders>
          </w:tcPr>
          <w:p w14:paraId="57620C1B" w14:textId="77777777" w:rsidR="00A56EE9" w:rsidRPr="00E70A11" w:rsidRDefault="008B5998" w:rsidP="00A11869">
            <w:pPr>
              <w:pStyle w:val="EndNoteBibliography"/>
              <w:numPr>
                <w:ilvl w:val="0"/>
                <w:numId w:val="24"/>
              </w:numPr>
              <w:spacing w:after="0"/>
              <w:ind w:left="357" w:hanging="357"/>
              <w:rPr>
                <w:rFonts w:ascii="Arial Narrow" w:eastAsia="Calibri" w:hAnsi="Arial Narrow"/>
                <w:color w:val="0000FF"/>
                <w:sz w:val="18"/>
                <w:szCs w:val="18"/>
                <w:u w:val="single"/>
                <w:lang w:eastAsia="en-AU"/>
              </w:rPr>
            </w:pPr>
            <w:hyperlink r:id="rId2023" w:history="1">
              <w:r w:rsidR="00A56EE9" w:rsidRPr="00E70A11">
                <w:rPr>
                  <w:rStyle w:val="Hyperlink"/>
                  <w:rFonts w:ascii="Arial Narrow" w:eastAsia="Calibri" w:hAnsi="Arial Narrow"/>
                  <w:sz w:val="18"/>
                  <w:szCs w:val="18"/>
                </w:rPr>
                <w:t>Working for our country report</w:t>
              </w:r>
            </w:hyperlink>
            <w:r w:rsidR="00A56EE9" w:rsidRPr="00E70A11">
              <w:rPr>
                <w:rFonts w:ascii="Arial Narrow" w:eastAsia="Calibri" w:hAnsi="Arial Narrow"/>
                <w:sz w:val="18"/>
                <w:szCs w:val="18"/>
                <w:lang w:val="en-AU"/>
              </w:rPr>
              <w:t xml:space="preserve"> illustrates general benefits from Indigenous Ranger program</w:t>
            </w:r>
          </w:p>
          <w:p w14:paraId="57620C1C" w14:textId="77777777" w:rsidR="00A56EE9" w:rsidRPr="00E70A11" w:rsidRDefault="008B5998" w:rsidP="00A11869">
            <w:pPr>
              <w:pStyle w:val="EndNoteBibliography"/>
              <w:numPr>
                <w:ilvl w:val="0"/>
                <w:numId w:val="24"/>
              </w:numPr>
              <w:spacing w:after="0"/>
              <w:ind w:left="357" w:hanging="357"/>
              <w:rPr>
                <w:rFonts w:ascii="Arial Narrow" w:eastAsia="Calibri" w:hAnsi="Arial Narrow"/>
                <w:color w:val="0000FF"/>
                <w:sz w:val="18"/>
                <w:szCs w:val="18"/>
                <w:u w:val="single"/>
                <w:lang w:eastAsia="en-AU"/>
              </w:rPr>
            </w:pPr>
            <w:hyperlink r:id="rId2024" w:history="1">
              <w:r w:rsidR="00A56EE9" w:rsidRPr="00E70A11">
                <w:rPr>
                  <w:rStyle w:val="Hyperlink"/>
                  <w:rFonts w:ascii="Arial Narrow" w:eastAsia="Calibri" w:hAnsi="Arial Narrow"/>
                  <w:sz w:val="18"/>
                  <w:szCs w:val="18"/>
                  <w:lang w:eastAsia="en-AU"/>
                </w:rPr>
                <w:t>TUMRA video 2015</w:t>
              </w:r>
            </w:hyperlink>
          </w:p>
          <w:p w14:paraId="57620C1D" w14:textId="77777777" w:rsidR="00A56EE9" w:rsidRPr="00E70A11" w:rsidRDefault="008B5998" w:rsidP="00A11869">
            <w:pPr>
              <w:numPr>
                <w:ilvl w:val="0"/>
                <w:numId w:val="24"/>
              </w:numPr>
              <w:spacing w:after="0" w:line="240" w:lineRule="auto"/>
              <w:contextualSpacing/>
              <w:rPr>
                <w:rFonts w:ascii="Arial Narrow" w:eastAsia="Calibri" w:hAnsi="Arial Narrow"/>
                <w:sz w:val="18"/>
                <w:szCs w:val="18"/>
              </w:rPr>
            </w:pPr>
            <w:hyperlink r:id="rId2025" w:history="1">
              <w:r w:rsidR="00A56EE9" w:rsidRPr="00E70A11">
                <w:rPr>
                  <w:rStyle w:val="Hyperlink"/>
                  <w:rFonts w:ascii="Arial Narrow" w:eastAsia="Calibri" w:hAnsi="Arial Narrow"/>
                  <w:sz w:val="18"/>
                  <w:szCs w:val="18"/>
                  <w:lang w:eastAsia="en-AU"/>
                </w:rPr>
                <w:t>The Yirriganydji TUMRA</w:t>
              </w:r>
            </w:hyperlink>
          </w:p>
        </w:tc>
        <w:tc>
          <w:tcPr>
            <w:tcW w:w="851" w:type="dxa"/>
            <w:tcBorders>
              <w:top w:val="single" w:sz="4" w:space="0" w:color="auto"/>
              <w:left w:val="single" w:sz="4" w:space="0" w:color="auto"/>
              <w:bottom w:val="single" w:sz="4" w:space="0" w:color="auto"/>
              <w:right w:val="single" w:sz="4" w:space="0" w:color="auto"/>
            </w:tcBorders>
          </w:tcPr>
          <w:p w14:paraId="57620C1E"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C1F"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r w:rsidR="00A56EE9" w:rsidRPr="00E70A11" w14:paraId="57620C2C" w14:textId="77777777" w:rsidTr="004A62B4">
        <w:trPr>
          <w:trHeight w:val="170"/>
        </w:trPr>
        <w:tc>
          <w:tcPr>
            <w:tcW w:w="1696" w:type="dxa"/>
            <w:tcBorders>
              <w:top w:val="single" w:sz="4" w:space="0" w:color="auto"/>
              <w:left w:val="single" w:sz="4" w:space="0" w:color="auto"/>
              <w:bottom w:val="single" w:sz="4" w:space="0" w:color="auto"/>
              <w:right w:val="single" w:sz="4" w:space="0" w:color="auto"/>
            </w:tcBorders>
          </w:tcPr>
          <w:p w14:paraId="57620C21"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OC7</w:t>
            </w:r>
            <w:r>
              <w:rPr>
                <w:rFonts w:ascii="Arial Narrow" w:hAnsi="Arial Narrow"/>
                <w:sz w:val="18"/>
                <w:szCs w:val="18"/>
              </w:rPr>
              <w:t xml:space="preserve"> </w:t>
            </w:r>
            <w:r w:rsidRPr="00E70A11">
              <w:rPr>
                <w:rFonts w:ascii="Arial Narrow" w:hAnsi="Arial Narrow"/>
                <w:sz w:val="18"/>
                <w:szCs w:val="18"/>
              </w:rPr>
              <w:t xml:space="preserve">The relevant managing agencies have developed effective partnerships with local communities and/or stakeholders to address </w:t>
            </w:r>
            <w:r>
              <w:rPr>
                <w:rFonts w:ascii="Arial Narrow" w:hAnsi="Arial Narrow"/>
                <w:sz w:val="18"/>
                <w:szCs w:val="18"/>
              </w:rPr>
              <w:t>Traditional</w:t>
            </w:r>
            <w:r w:rsidRPr="00E70A11">
              <w:rPr>
                <w:rFonts w:ascii="Arial Narrow" w:hAnsi="Arial Narrow"/>
                <w:sz w:val="18"/>
                <w:szCs w:val="18"/>
              </w:rPr>
              <w:t xml:space="preserve"> Use of Marine</w:t>
            </w:r>
            <w:r>
              <w:rPr>
                <w:rFonts w:ascii="Arial Narrow" w:hAnsi="Arial Narrow"/>
                <w:sz w:val="18"/>
                <w:szCs w:val="18"/>
              </w:rPr>
              <w:t xml:space="preserve"> </w:t>
            </w:r>
            <w:r w:rsidRPr="00E70A11">
              <w:rPr>
                <w:rFonts w:ascii="Arial Narrow" w:hAnsi="Arial Narrow"/>
                <w:sz w:val="18"/>
                <w:szCs w:val="18"/>
              </w:rPr>
              <w:t xml:space="preserve">Resources </w:t>
            </w:r>
          </w:p>
        </w:tc>
        <w:tc>
          <w:tcPr>
            <w:tcW w:w="851" w:type="dxa"/>
            <w:tcBorders>
              <w:top w:val="single" w:sz="4" w:space="0" w:color="auto"/>
              <w:left w:val="single" w:sz="4" w:space="0" w:color="auto"/>
              <w:bottom w:val="single" w:sz="4" w:space="0" w:color="auto"/>
              <w:right w:val="single" w:sz="4" w:space="0" w:color="auto"/>
            </w:tcBorders>
          </w:tcPr>
          <w:p w14:paraId="57620C22"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4</w:t>
            </w:r>
          </w:p>
        </w:tc>
        <w:tc>
          <w:tcPr>
            <w:tcW w:w="5245" w:type="dxa"/>
            <w:tcBorders>
              <w:top w:val="single" w:sz="4" w:space="0" w:color="auto"/>
              <w:left w:val="single" w:sz="4" w:space="0" w:color="auto"/>
              <w:bottom w:val="single" w:sz="4" w:space="0" w:color="auto"/>
              <w:right w:val="single" w:sz="4" w:space="0" w:color="auto"/>
            </w:tcBorders>
          </w:tcPr>
          <w:p w14:paraId="57620C23" w14:textId="77777777" w:rsidR="00A56EE9" w:rsidRPr="00E70A11" w:rsidRDefault="00A56EE9" w:rsidP="00A11869">
            <w:pPr>
              <w:pStyle w:val="ListParagraph"/>
              <w:numPr>
                <w:ilvl w:val="0"/>
                <w:numId w:val="139"/>
              </w:numPr>
              <w:spacing w:after="0" w:line="276" w:lineRule="auto"/>
              <w:rPr>
                <w:rFonts w:ascii="Arial Narrow" w:eastAsia="Calibri" w:hAnsi="Arial Narrow"/>
                <w:noProof/>
                <w:sz w:val="18"/>
                <w:szCs w:val="18"/>
              </w:rPr>
            </w:pPr>
            <w:r w:rsidRPr="00E70A11">
              <w:rPr>
                <w:rFonts w:ascii="Arial Narrow" w:eastAsia="Calibri" w:hAnsi="Arial Narrow"/>
                <w:noProof/>
                <w:sz w:val="18"/>
                <w:szCs w:val="18"/>
              </w:rPr>
              <w:t>The TUMRA program has established strong partnerships with over 17 Traditional Owner clan groups (through 10 TUMRAs)</w:t>
            </w:r>
          </w:p>
          <w:p w14:paraId="57620C24" w14:textId="77777777" w:rsidR="00A56EE9" w:rsidRPr="00E70A11" w:rsidRDefault="00A56EE9" w:rsidP="00A11869">
            <w:pPr>
              <w:pStyle w:val="ListParagraph"/>
              <w:numPr>
                <w:ilvl w:val="0"/>
                <w:numId w:val="139"/>
              </w:numPr>
              <w:spacing w:after="0" w:line="276" w:lineRule="auto"/>
              <w:rPr>
                <w:rFonts w:ascii="Arial Narrow" w:eastAsia="Calibri" w:hAnsi="Arial Narrow"/>
                <w:noProof/>
                <w:sz w:val="18"/>
                <w:szCs w:val="18"/>
              </w:rPr>
            </w:pPr>
            <w:r w:rsidRPr="00E70A11">
              <w:rPr>
                <w:rFonts w:ascii="Arial Narrow" w:eastAsia="Calibri" w:hAnsi="Arial Narrow"/>
                <w:noProof/>
                <w:sz w:val="18"/>
                <w:szCs w:val="18"/>
              </w:rPr>
              <w:t xml:space="preserve">Girringun Ranger Fee for service arrangement – strong partnerships have now led to 12 month contracts with the FMP. Due to strong partnerships and extensive capacity on the ground, in 2016 Girringun Rangers supported the Cape Upstart oil spill response with other government agencies. </w:t>
            </w:r>
          </w:p>
          <w:p w14:paraId="57620C25" w14:textId="77777777" w:rsidR="00A56EE9" w:rsidRPr="00E70A11" w:rsidRDefault="00A56EE9" w:rsidP="00A11869">
            <w:pPr>
              <w:pStyle w:val="ListParagraph"/>
              <w:numPr>
                <w:ilvl w:val="0"/>
                <w:numId w:val="139"/>
              </w:numPr>
              <w:spacing w:after="0" w:line="276" w:lineRule="auto"/>
              <w:rPr>
                <w:rFonts w:ascii="Arial Narrow" w:eastAsia="Calibri" w:hAnsi="Arial Narrow"/>
                <w:noProof/>
                <w:sz w:val="18"/>
                <w:szCs w:val="18"/>
              </w:rPr>
            </w:pPr>
            <w:r w:rsidRPr="00E70A11">
              <w:rPr>
                <w:rFonts w:ascii="Arial Narrow" w:eastAsia="Calibri" w:hAnsi="Arial Narrow"/>
                <w:noProof/>
                <w:sz w:val="18"/>
                <w:szCs w:val="18"/>
              </w:rPr>
              <w:t>Raine Island Recovery Project has established effective partnerships with several Traditional Owner Groups.</w:t>
            </w:r>
          </w:p>
          <w:p w14:paraId="57620C26" w14:textId="77777777" w:rsidR="00A56EE9" w:rsidRPr="00E70A11" w:rsidRDefault="00A56EE9" w:rsidP="00A11869">
            <w:pPr>
              <w:pStyle w:val="ListParagraph"/>
              <w:numPr>
                <w:ilvl w:val="0"/>
                <w:numId w:val="139"/>
              </w:numPr>
              <w:spacing w:after="0" w:line="276" w:lineRule="auto"/>
              <w:rPr>
                <w:rFonts w:ascii="Arial Narrow" w:eastAsia="Calibri" w:hAnsi="Arial Narrow"/>
                <w:sz w:val="18"/>
                <w:szCs w:val="18"/>
              </w:rPr>
            </w:pPr>
            <w:r w:rsidRPr="00E70A11">
              <w:rPr>
                <w:rFonts w:ascii="Arial Narrow" w:eastAsia="Calibri" w:hAnsi="Arial Narrow"/>
                <w:noProof/>
                <w:sz w:val="18"/>
                <w:szCs w:val="18"/>
              </w:rPr>
              <w:t>Partnerships developed through TUMRAs are strong and productive, but will take continuing communication to maintain</w:t>
            </w:r>
            <w:r w:rsidRPr="00E70A11">
              <w:rPr>
                <w:rFonts w:ascii="Arial Narrow" w:eastAsia="Calibri" w:hAnsi="Arial Narrow"/>
                <w:sz w:val="18"/>
                <w:szCs w:val="18"/>
              </w:rPr>
              <w:t>.</w:t>
            </w:r>
          </w:p>
        </w:tc>
        <w:tc>
          <w:tcPr>
            <w:tcW w:w="4819" w:type="dxa"/>
            <w:tcBorders>
              <w:top w:val="single" w:sz="4" w:space="0" w:color="auto"/>
              <w:left w:val="single" w:sz="4" w:space="0" w:color="auto"/>
              <w:bottom w:val="single" w:sz="4" w:space="0" w:color="auto"/>
              <w:right w:val="single" w:sz="4" w:space="0" w:color="auto"/>
            </w:tcBorders>
          </w:tcPr>
          <w:p w14:paraId="57620C27" w14:textId="77777777" w:rsidR="00A56EE9" w:rsidRPr="00E70A11" w:rsidRDefault="00A56EE9" w:rsidP="00A11869">
            <w:pPr>
              <w:numPr>
                <w:ilvl w:val="0"/>
                <w:numId w:val="24"/>
              </w:numPr>
              <w:spacing w:after="0" w:line="240" w:lineRule="auto"/>
              <w:contextualSpacing/>
              <w:rPr>
                <w:rFonts w:ascii="Arial Narrow" w:eastAsia="Calibri" w:hAnsi="Arial Narrow"/>
                <w:sz w:val="18"/>
                <w:szCs w:val="18"/>
              </w:rPr>
            </w:pPr>
            <w:r w:rsidRPr="00E70A11">
              <w:rPr>
                <w:rFonts w:ascii="Arial Narrow" w:hAnsi="Arial Narrow"/>
                <w:sz w:val="18"/>
                <w:szCs w:val="18"/>
                <w:lang w:eastAsia="en-AU"/>
              </w:rPr>
              <w:t>Joint Field Management reports</w:t>
            </w:r>
          </w:p>
          <w:p w14:paraId="57620C28" w14:textId="77777777" w:rsidR="00A56EE9" w:rsidRPr="00E70A11" w:rsidRDefault="008B5998" w:rsidP="00A11869">
            <w:pPr>
              <w:pStyle w:val="EndNoteBibliography"/>
              <w:numPr>
                <w:ilvl w:val="0"/>
                <w:numId w:val="24"/>
              </w:numPr>
              <w:spacing w:after="0"/>
              <w:rPr>
                <w:rStyle w:val="Hyperlink"/>
                <w:rFonts w:ascii="Arial Narrow" w:eastAsia="Calibri" w:hAnsi="Arial Narrow"/>
                <w:sz w:val="18"/>
                <w:szCs w:val="18"/>
                <w:lang w:eastAsia="en-AU"/>
              </w:rPr>
            </w:pPr>
            <w:hyperlink r:id="rId2026" w:history="1">
              <w:r w:rsidR="00A56EE9" w:rsidRPr="00E70A11">
                <w:rPr>
                  <w:rStyle w:val="Hyperlink"/>
                  <w:rFonts w:ascii="Arial Narrow" w:eastAsia="Calibri" w:hAnsi="Arial Narrow"/>
                  <w:sz w:val="18"/>
                  <w:szCs w:val="18"/>
                  <w:lang w:eastAsia="en-AU"/>
                </w:rPr>
                <w:t>The Yirriganydji TUMRA</w:t>
              </w:r>
            </w:hyperlink>
          </w:p>
          <w:p w14:paraId="57620C29" w14:textId="77777777" w:rsidR="00A56EE9" w:rsidRPr="00AC4AB4" w:rsidRDefault="008B5998" w:rsidP="00A11869">
            <w:pPr>
              <w:pStyle w:val="EndNoteBibliography"/>
              <w:numPr>
                <w:ilvl w:val="0"/>
                <w:numId w:val="24"/>
              </w:numPr>
              <w:spacing w:after="0"/>
              <w:ind w:left="357" w:hanging="357"/>
              <w:rPr>
                <w:rFonts w:ascii="Arial Narrow" w:eastAsia="Calibri" w:hAnsi="Arial Narrow"/>
                <w:color w:val="0000FF"/>
                <w:sz w:val="18"/>
                <w:szCs w:val="18"/>
                <w:u w:val="single"/>
                <w:lang w:eastAsia="en-AU"/>
              </w:rPr>
            </w:pPr>
            <w:hyperlink r:id="rId2027" w:history="1">
              <w:r w:rsidR="00A56EE9" w:rsidRPr="00E70A11">
                <w:rPr>
                  <w:rStyle w:val="Hyperlink"/>
                  <w:rFonts w:ascii="Arial Narrow" w:eastAsia="Calibri" w:hAnsi="Arial Narrow"/>
                  <w:sz w:val="18"/>
                  <w:szCs w:val="18"/>
                  <w:lang w:eastAsia="en-AU"/>
                </w:rPr>
                <w:t>TUMRA video 2015</w:t>
              </w:r>
            </w:hyperlink>
          </w:p>
        </w:tc>
        <w:tc>
          <w:tcPr>
            <w:tcW w:w="851" w:type="dxa"/>
            <w:tcBorders>
              <w:top w:val="single" w:sz="4" w:space="0" w:color="auto"/>
              <w:left w:val="single" w:sz="4" w:space="0" w:color="auto"/>
              <w:bottom w:val="single" w:sz="4" w:space="0" w:color="auto"/>
              <w:right w:val="single" w:sz="4" w:space="0" w:color="auto"/>
            </w:tcBorders>
          </w:tcPr>
          <w:p w14:paraId="57620C2A"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Adequate</w:t>
            </w:r>
          </w:p>
        </w:tc>
        <w:tc>
          <w:tcPr>
            <w:tcW w:w="992" w:type="dxa"/>
            <w:tcBorders>
              <w:top w:val="single" w:sz="4" w:space="0" w:color="auto"/>
              <w:left w:val="single" w:sz="4" w:space="0" w:color="auto"/>
              <w:bottom w:val="single" w:sz="4" w:space="0" w:color="auto"/>
              <w:right w:val="single" w:sz="4" w:space="0" w:color="auto"/>
            </w:tcBorders>
          </w:tcPr>
          <w:p w14:paraId="57620C2B" w14:textId="77777777" w:rsidR="00A56EE9" w:rsidRPr="00E70A11" w:rsidRDefault="00A56EE9" w:rsidP="00BB6AD5">
            <w:pPr>
              <w:rPr>
                <w:rFonts w:ascii="Arial Narrow" w:hAnsi="Arial Narrow"/>
                <w:sz w:val="18"/>
                <w:szCs w:val="18"/>
              </w:rPr>
            </w:pPr>
            <w:r w:rsidRPr="00E70A11">
              <w:rPr>
                <w:rFonts w:ascii="Arial Narrow" w:hAnsi="Arial Narrow"/>
                <w:sz w:val="18"/>
                <w:szCs w:val="18"/>
              </w:rPr>
              <w:t>Stable</w:t>
            </w:r>
          </w:p>
        </w:tc>
      </w:tr>
    </w:tbl>
    <w:p w14:paraId="57620C2F" w14:textId="77777777" w:rsidR="008161AE" w:rsidRDefault="008161AE"/>
    <w:sectPr w:rsidR="008161AE" w:rsidSect="00BB6AD5">
      <w:pgSz w:w="16838" w:h="11906" w:orient="landscape"/>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EF5CA81" w16cid:durableId="1F4CF21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3B307B" w14:textId="77777777" w:rsidR="008B5998" w:rsidRDefault="008B5998" w:rsidP="00A56EE9">
      <w:pPr>
        <w:spacing w:after="0" w:line="240" w:lineRule="auto"/>
      </w:pPr>
      <w:r>
        <w:separator/>
      </w:r>
    </w:p>
  </w:endnote>
  <w:endnote w:type="continuationSeparator" w:id="0">
    <w:p w14:paraId="1B4F8DCD" w14:textId="77777777" w:rsidR="008B5998" w:rsidRDefault="008B5998" w:rsidP="00A56E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Times">
    <w:panose1 w:val="02020603050405020304"/>
    <w:charset w:val="00"/>
    <w:family w:val="roman"/>
    <w:pitch w:val="variable"/>
    <w:sig w:usb0="E0002AFF" w:usb1="C0007841" w:usb2="00000009" w:usb3="00000000" w:csb0="000001FF" w:csb1="00000000"/>
  </w:font>
  <w:font w:name="Palatino">
    <w:altName w:val="Book Antiqua"/>
    <w:charset w:val="4D"/>
    <w:family w:val="auto"/>
    <w:pitch w:val="variable"/>
    <w:sig w:usb0="A00002FF" w:usb1="7800205A" w:usb2="14600000" w:usb3="00000000" w:csb0="00000193" w:csb1="00000000"/>
  </w:font>
  <w:font w:name="Helvetica">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onaco">
    <w:charset w:val="4D"/>
    <w:family w:val="auto"/>
    <w:pitch w:val="variable"/>
    <w:sig w:usb0="A00002FF" w:usb1="500039FB" w:usb2="00000000" w:usb3="00000000" w:csb0="00000197" w:csb1="00000000"/>
  </w:font>
  <w:font w:name="Courier">
    <w:panose1 w:val="02070409020205020404"/>
    <w:charset w:val="00"/>
    <w:family w:val="modern"/>
    <w:notTrueType/>
    <w:pitch w:val="fixed"/>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Frutiger LT">
    <w:altName w:val="Calibri"/>
    <w:panose1 w:val="00000000000000000000"/>
    <w:charset w:val="00"/>
    <w:family w:val="swiss"/>
    <w:notTrueType/>
    <w:pitch w:val="default"/>
    <w:sig w:usb0="00000003" w:usb1="00000000" w:usb2="00000000" w:usb3="00000000" w:csb0="00000001" w:csb1="00000000"/>
  </w:font>
  <w:font w:name="Meta">
    <w:altName w:val="Cambria"/>
    <w:charset w:val="00"/>
    <w:family w:val="swiss"/>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Gotham HTF Light">
    <w:altName w:val="Calibri"/>
    <w:panose1 w:val="00000000000000000000"/>
    <w:charset w:val="00"/>
    <w:family w:val="swiss"/>
    <w:notTrueType/>
    <w:pitch w:val="default"/>
    <w:sig w:usb0="00000003" w:usb1="00000000" w:usb2="00000000" w:usb3="00000000" w:csb0="00000001" w:csb1="00000000"/>
  </w:font>
  <w:font w:name="Kozuka Gothic Pro R">
    <w:altName w:val="MS Gothic"/>
    <w:panose1 w:val="00000000000000000000"/>
    <w:charset w:val="80"/>
    <w:family w:val="swiss"/>
    <w:notTrueType/>
    <w:pitch w:val="variable"/>
    <w:sig w:usb0="00000283" w:usb1="2AC71C11" w:usb2="00000012" w:usb3="00000000" w:csb0="00020005" w:csb1="00000000"/>
  </w:font>
  <w:font w:name="Kozuka Gothic Pro EL">
    <w:panose1 w:val="00000000000000000000"/>
    <w:charset w:val="80"/>
    <w:family w:val="swiss"/>
    <w:notTrueType/>
    <w:pitch w:val="variable"/>
    <w:sig w:usb0="00000283" w:usb1="2AC71C11" w:usb2="00000012" w:usb3="00000000" w:csb0="00020005" w:csb1="00000000"/>
  </w:font>
  <w:font w:name="Segoe UI Symbol">
    <w:panose1 w:val="020B0502040204020203"/>
    <w:charset w:val="00"/>
    <w:family w:val="swiss"/>
    <w:pitch w:val="variable"/>
    <w:sig w:usb0="8000006F" w:usb1="1200FBEF" w:usb2="0064C000" w:usb3="00000000" w:csb0="00000001" w:csb1="00000000"/>
  </w:font>
  <w:font w:name="Times New Roman (Body CS)">
    <w:panose1 w:val="00000000000000000000"/>
    <w:charset w:val="00"/>
    <w:family w:val="roman"/>
    <w:notTrueType/>
    <w:pitch w:val="variable"/>
    <w:sig w:usb0="E0002AEF" w:usb1="C0007841" w:usb2="00000009" w:usb3="00000000" w:csb0="000001FF" w:csb1="00000000"/>
  </w:font>
  <w:font w:name="Menlo Regular">
    <w:altName w:val="Menlo"/>
    <w:charset w:val="00"/>
    <w:family w:val="auto"/>
    <w:pitch w:val="variable"/>
    <w:sig w:usb0="E60022FF" w:usb1="D200F9FB" w:usb2="02000028" w:usb3="00000000" w:csb0="000001DF" w:csb1="00000000"/>
  </w:font>
  <w:font w:name="Lantinghei TC Heavy">
    <w:charset w:val="00"/>
    <w:family w:val="auto"/>
    <w:pitch w:val="variable"/>
    <w:sig w:usb0="00000003" w:usb1="080E0000" w:usb2="00000000" w:usb3="00000000" w:csb0="00100001" w:csb1="00000000"/>
  </w:font>
  <w:font w:name="Verdana">
    <w:panose1 w:val="020B0604030504040204"/>
    <w:charset w:val="00"/>
    <w:family w:val="swiss"/>
    <w:pitch w:val="variable"/>
    <w:sig w:usb0="A10006FF" w:usb1="4000205B" w:usb2="00000010" w:usb3="00000000" w:csb0="0000019F" w:csb1="00000000"/>
  </w:font>
  <w:font w:name="Helvetica 45 Light">
    <w:altName w:val="Helvetica 45 Light"/>
    <w:panose1 w:val="00000000000000000000"/>
    <w:charset w:val="00"/>
    <w:family w:val="swiss"/>
    <w:notTrueType/>
    <w:pitch w:val="variable"/>
    <w:sig w:usb0="800000AF" w:usb1="4000004A"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Meta Bold LF">
    <w:altName w:val="Meta Bold LF"/>
    <w:panose1 w:val="00000000000000000000"/>
    <w:charset w:val="00"/>
    <w:family w:val="roman"/>
    <w:notTrueType/>
    <w:pitch w:val="default"/>
    <w:sig w:usb0="00000003" w:usb1="00000000" w:usb2="00000000" w:usb3="00000000" w:csb0="00000001" w:csb1="00000000"/>
  </w:font>
  <w:font w:name="Arial-BoldMT">
    <w:altName w:val="Arial"/>
    <w:panose1 w:val="00000000000000000000"/>
    <w:charset w:val="00"/>
    <w:family w:val="auto"/>
    <w:notTrueType/>
    <w:pitch w:val="default"/>
    <w:sig w:usb0="00000003" w:usb1="00000000" w:usb2="00000000" w:usb3="00000000" w:csb0="00000001" w:csb1="00000000"/>
  </w:font>
  <w:font w:name="SymbolMT">
    <w:altName w:val="Arial Unicode MS"/>
    <w:panose1 w:val="00000000000000000000"/>
    <w:charset w:val="00"/>
    <w:family w:val="auto"/>
    <w:notTrueType/>
    <w:pitch w:val="default"/>
    <w:sig w:usb0="00000003" w:usb1="00000000" w:usb2="00000000" w:usb3="00000000" w:csb0="00000001" w:csb1="00000000"/>
  </w:font>
  <w:font w:name="Arial,Bold">
    <w:altName w:val="Arial"/>
    <w:panose1 w:val="00000000000000000000"/>
    <w:charset w:val="00"/>
    <w:family w:val="auto"/>
    <w:notTrueType/>
    <w:pitch w:val="default"/>
    <w:sig w:usb0="00000003" w:usb1="00000000" w:usb2="00000000" w:usb3="00000000" w:csb0="00000001" w:csb1="00000000"/>
  </w:font>
  <w:font w:name="CompactaBT-Bold">
    <w:panose1 w:val="00000000000000000000"/>
    <w:charset w:val="00"/>
    <w:family w:val="swiss"/>
    <w:notTrueType/>
    <w:pitch w:val="default"/>
    <w:sig w:usb0="00000003" w:usb1="00000000" w:usb2="00000000" w:usb3="00000000" w:csb0="00000001" w:csb1="00000000"/>
  </w:font>
  <w:font w:name="AdvGulliv-R">
    <w:panose1 w:val="00000000000000000000"/>
    <w:charset w:val="00"/>
    <w:family w:val="auto"/>
    <w:notTrueType/>
    <w:pitch w:val="default"/>
    <w:sig w:usb0="00000003" w:usb1="00000000" w:usb2="00000000" w:usb3="00000000" w:csb0="00000001" w:csb1="00000000"/>
  </w:font>
  <w:font w:name="HelveticaNeue-HeavyCond">
    <w:panose1 w:val="00000000000000000000"/>
    <w:charset w:val="00"/>
    <w:family w:val="swiss"/>
    <w:notTrueType/>
    <w:pitch w:val="default"/>
    <w:sig w:usb0="00000003" w:usb1="00000000" w:usb2="00000000" w:usb3="00000000" w:csb0="00000001" w:csb1="00000000"/>
  </w:font>
  <w:font w:name="HelveticaNeue-Condensed">
    <w:panose1 w:val="00000000000000000000"/>
    <w:charset w:val="00"/>
    <w:family w:val="swiss"/>
    <w:notTrueType/>
    <w:pitch w:val="default"/>
    <w:sig w:usb0="00000003" w:usb1="00000000" w:usb2="00000000" w:usb3="00000000" w:csb0="00000001" w:csb1="00000000"/>
  </w:font>
  <w:font w:name="FrutigerLTStd-Light">
    <w:panose1 w:val="00000000000000000000"/>
    <w:charset w:val="00"/>
    <w:family w:val="swiss"/>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620CDC" w14:textId="77777777" w:rsidR="008B5998" w:rsidRPr="00336F9A" w:rsidRDefault="008B5998">
    <w:pPr>
      <w:pStyle w:val="Footer"/>
      <w:pBdr>
        <w:top w:val="single" w:sz="4" w:space="1" w:color="D9D9D9" w:themeColor="background1" w:themeShade="D9"/>
      </w:pBdr>
      <w:jc w:val="right"/>
      <w:rPr>
        <w:sz w:val="16"/>
        <w:szCs w:val="16"/>
      </w:rPr>
    </w:pPr>
  </w:p>
  <w:p w14:paraId="57620CDD" w14:textId="77777777" w:rsidR="008B5998" w:rsidRDefault="008B599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2426054"/>
      <w:docPartObj>
        <w:docPartGallery w:val="Page Numbers (Bottom of Page)"/>
        <w:docPartUnique/>
      </w:docPartObj>
    </w:sdtPr>
    <w:sdtEndPr>
      <w:rPr>
        <w:color w:val="7F7F7F" w:themeColor="background1" w:themeShade="7F"/>
        <w:spacing w:val="60"/>
      </w:rPr>
    </w:sdtEndPr>
    <w:sdtContent>
      <w:p w14:paraId="57620CDE" w14:textId="77777777" w:rsidR="008B5998" w:rsidRDefault="008B5998">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10</w:t>
        </w:r>
        <w:r>
          <w:rPr>
            <w:noProof/>
          </w:rPr>
          <w:fldChar w:fldCharType="end"/>
        </w:r>
        <w:r>
          <w:t xml:space="preserve"> | </w:t>
        </w:r>
        <w:r>
          <w:rPr>
            <w:color w:val="7F7F7F" w:themeColor="background1" w:themeShade="7F"/>
            <w:spacing w:val="60"/>
          </w:rPr>
          <w:t>Page</w:t>
        </w:r>
      </w:p>
    </w:sdtContent>
  </w:sdt>
  <w:p w14:paraId="57620CDF" w14:textId="77777777" w:rsidR="008B5998" w:rsidRDefault="008B599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1228983"/>
      <w:docPartObj>
        <w:docPartGallery w:val="Page Numbers (Bottom of Page)"/>
        <w:docPartUnique/>
      </w:docPartObj>
    </w:sdtPr>
    <w:sdtEndPr>
      <w:rPr>
        <w:color w:val="7F7F7F" w:themeColor="background1" w:themeShade="7F"/>
        <w:spacing w:val="60"/>
        <w:sz w:val="16"/>
        <w:szCs w:val="16"/>
      </w:rPr>
    </w:sdtEndPr>
    <w:sdtContent>
      <w:p w14:paraId="57620CE2" w14:textId="3EE38D6D" w:rsidR="008B5998" w:rsidRPr="00336F9A" w:rsidRDefault="008B5998">
        <w:pPr>
          <w:pStyle w:val="Footer"/>
          <w:pBdr>
            <w:top w:val="single" w:sz="4" w:space="1" w:color="D9D9D9" w:themeColor="background1" w:themeShade="D9"/>
          </w:pBdr>
          <w:jc w:val="right"/>
          <w:rPr>
            <w:sz w:val="16"/>
            <w:szCs w:val="16"/>
          </w:rPr>
        </w:pPr>
        <w:r w:rsidRPr="00336F9A">
          <w:rPr>
            <w:sz w:val="16"/>
            <w:szCs w:val="16"/>
          </w:rPr>
          <w:fldChar w:fldCharType="begin"/>
        </w:r>
        <w:r w:rsidRPr="00336F9A">
          <w:rPr>
            <w:sz w:val="16"/>
            <w:szCs w:val="16"/>
          </w:rPr>
          <w:instrText xml:space="preserve"> PAGE   \* MERGEFORMAT </w:instrText>
        </w:r>
        <w:r w:rsidRPr="00336F9A">
          <w:rPr>
            <w:sz w:val="16"/>
            <w:szCs w:val="16"/>
          </w:rPr>
          <w:fldChar w:fldCharType="separate"/>
        </w:r>
        <w:r w:rsidR="00E053BA">
          <w:rPr>
            <w:noProof/>
            <w:sz w:val="16"/>
            <w:szCs w:val="16"/>
          </w:rPr>
          <w:t>vi</w:t>
        </w:r>
        <w:r w:rsidRPr="00336F9A">
          <w:rPr>
            <w:noProof/>
            <w:sz w:val="16"/>
            <w:szCs w:val="16"/>
          </w:rPr>
          <w:fldChar w:fldCharType="end"/>
        </w:r>
        <w:r w:rsidRPr="00336F9A">
          <w:rPr>
            <w:sz w:val="16"/>
            <w:szCs w:val="16"/>
          </w:rPr>
          <w:t xml:space="preserve"> | </w:t>
        </w:r>
        <w:r w:rsidRPr="00336F9A">
          <w:rPr>
            <w:color w:val="7F7F7F" w:themeColor="background1" w:themeShade="7F"/>
            <w:spacing w:val="60"/>
            <w:sz w:val="16"/>
            <w:szCs w:val="16"/>
          </w:rPr>
          <w:t>Page</w: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22819610"/>
      <w:docPartObj>
        <w:docPartGallery w:val="Page Numbers (Bottom of Page)"/>
        <w:docPartUnique/>
      </w:docPartObj>
    </w:sdtPr>
    <w:sdtEndPr>
      <w:rPr>
        <w:color w:val="7F7F7F" w:themeColor="background1" w:themeShade="7F"/>
        <w:spacing w:val="60"/>
      </w:rPr>
    </w:sdtEndPr>
    <w:sdtContent>
      <w:p w14:paraId="57620CE7" w14:textId="77777777" w:rsidR="008B5998" w:rsidRDefault="008B5998">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1</w:t>
        </w:r>
        <w:r>
          <w:rPr>
            <w:noProof/>
          </w:rPr>
          <w:fldChar w:fldCharType="end"/>
        </w:r>
        <w:r>
          <w:t xml:space="preserve"> | </w:t>
        </w:r>
        <w:r>
          <w:rPr>
            <w:color w:val="7F7F7F" w:themeColor="background1" w:themeShade="7F"/>
            <w:spacing w:val="60"/>
          </w:rPr>
          <w:t>Page</w:t>
        </w:r>
      </w:p>
    </w:sdtContent>
  </w:sdt>
  <w:p w14:paraId="57620CE8" w14:textId="77777777" w:rsidR="008B5998" w:rsidRDefault="008B59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95A1BE" w14:textId="77777777" w:rsidR="008B5998" w:rsidRDefault="008B5998" w:rsidP="00A56EE9">
      <w:pPr>
        <w:spacing w:after="0" w:line="240" w:lineRule="auto"/>
      </w:pPr>
      <w:r>
        <w:separator/>
      </w:r>
    </w:p>
  </w:footnote>
  <w:footnote w:type="continuationSeparator" w:id="0">
    <w:p w14:paraId="6692A482" w14:textId="77777777" w:rsidR="008B5998" w:rsidRDefault="008B5998" w:rsidP="00A56EE9">
      <w:pPr>
        <w:spacing w:after="0" w:line="240" w:lineRule="auto"/>
      </w:pPr>
      <w:r>
        <w:continuationSeparator/>
      </w:r>
    </w:p>
  </w:footnote>
  <w:footnote w:id="1">
    <w:p w14:paraId="57620CE9" w14:textId="77777777" w:rsidR="008B5998" w:rsidRDefault="008B5998" w:rsidP="00BB6AD5">
      <w:pPr>
        <w:pStyle w:val="FootnoteText"/>
      </w:pPr>
      <w:r>
        <w:rPr>
          <w:rStyle w:val="FootnoteReference"/>
        </w:rPr>
        <w:footnoteRef/>
      </w:r>
      <w:r>
        <w:t xml:space="preserve"> The Framework has been devised through the International Union for Conservation of Nature (IUCN) World Commission on Protected Areas (WCPA) </w:t>
      </w:r>
    </w:p>
  </w:footnote>
  <w:footnote w:id="2">
    <w:p w14:paraId="57620CEA" w14:textId="42958F36" w:rsidR="008B5998" w:rsidRPr="00703838" w:rsidRDefault="008B5998" w:rsidP="00BB6AD5">
      <w:pPr>
        <w:pStyle w:val="FootnoteText"/>
        <w:rPr>
          <w:lang w:val="en-US"/>
        </w:rPr>
      </w:pPr>
      <w:r>
        <w:rPr>
          <w:rStyle w:val="FootnoteReference"/>
        </w:rPr>
        <w:footnoteRef/>
      </w:r>
      <w:r>
        <w:t xml:space="preserve"> </w:t>
      </w:r>
      <w:r>
        <w:rPr>
          <w:bCs/>
        </w:rPr>
        <w:t xml:space="preserve">Audit Report </w:t>
      </w:r>
      <w:r w:rsidRPr="00703838">
        <w:rPr>
          <w:bCs/>
        </w:rPr>
        <w:t xml:space="preserve">No. 31 1995-96 - </w:t>
      </w:r>
      <w:r w:rsidRPr="00703838">
        <w:rPr>
          <w:bCs/>
          <w:i/>
          <w:iCs/>
        </w:rPr>
        <w:t>Environmental Management of Commonwealth Land: Site Contamination and Pollution Prevention</w:t>
      </w:r>
      <w:r w:rsidRPr="00703838">
        <w:rPr>
          <w:bCs/>
        </w:rPr>
        <w:t xml:space="preserve"> - March 1997</w:t>
      </w:r>
      <w:r>
        <w:rPr>
          <w:lang w:val="en-US"/>
        </w:rPr>
        <w:t xml:space="preserve"> </w:t>
      </w:r>
      <w:hyperlink r:id="rId1" w:tooltip="document" w:history="1">
        <w:r w:rsidRPr="00703838">
          <w:rPr>
            <w:rStyle w:val="Hyperlink"/>
            <w:lang w:val="en-US"/>
          </w:rPr>
          <w:t>https://www.aph.gov.au/Parliamentary_Business/Committees/House_of_Representatives_Committees?url=environ/landinq/landrpt/contents.htm</w:t>
        </w:r>
      </w:hyperlink>
    </w:p>
  </w:footnote>
  <w:footnote w:id="3">
    <w:p w14:paraId="57620CEB" w14:textId="77777777" w:rsidR="008B5998" w:rsidRDefault="008B5998">
      <w:pPr>
        <w:pStyle w:val="FootnoteText"/>
      </w:pPr>
      <w:r>
        <w:rPr>
          <w:rStyle w:val="FootnoteReference"/>
        </w:rPr>
        <w:footnoteRef/>
      </w:r>
      <w:r>
        <w:t xml:space="preserve"> The delineation between the topics of Shipping and Ports requires some clarification. </w:t>
      </w:r>
      <w:r w:rsidRPr="001B6E25">
        <w:t xml:space="preserve">The topic of </w:t>
      </w:r>
      <w:r>
        <w:t>P</w:t>
      </w:r>
      <w:r w:rsidRPr="001B6E25">
        <w:t>orts is considered to encompass all aspects of the development, operations and maintenance of ports, with the exception of ship movements within ports. Ship loading</w:t>
      </w:r>
      <w:r>
        <w:t xml:space="preserve">/ </w:t>
      </w:r>
      <w:r w:rsidRPr="001B6E25">
        <w:t xml:space="preserve">unloading is a </w:t>
      </w:r>
      <w:r>
        <w:t>S</w:t>
      </w:r>
      <w:r w:rsidRPr="001B6E25">
        <w:t xml:space="preserve">hipping activity while the cargo </w:t>
      </w:r>
      <w:r>
        <w:t>is within or over the ship</w:t>
      </w:r>
      <w:r w:rsidRPr="001B6E25">
        <w:t xml:space="preserve">, and a </w:t>
      </w:r>
      <w:r>
        <w:t>P</w:t>
      </w:r>
      <w:r w:rsidRPr="001B6E25">
        <w:t xml:space="preserve">ort activity </w:t>
      </w:r>
      <w:r>
        <w:t>when not in or over the</w:t>
      </w:r>
      <w:r w:rsidRPr="001B6E25">
        <w:t xml:space="preserve"> ship. Under these terms, </w:t>
      </w:r>
      <w:r>
        <w:t>P</w:t>
      </w:r>
      <w:r w:rsidRPr="001B6E25">
        <w:t xml:space="preserve">orts </w:t>
      </w:r>
      <w:r>
        <w:t>are</w:t>
      </w:r>
      <w:r w:rsidRPr="001B6E25">
        <w:t xml:space="preserve"> taken to include the declaration and siting of anchorages but not the actual anchoring of ships within those anchorages or the activities of ships while at anchor (e</w:t>
      </w:r>
      <w:r>
        <w:t>.</w:t>
      </w:r>
      <w:r w:rsidRPr="001B6E25">
        <w:t>g</w:t>
      </w:r>
      <w:r>
        <w:t>.</w:t>
      </w:r>
      <w:r w:rsidRPr="001B6E25">
        <w:t>. ballast water discharge, treated effluent discharge), as these effects from ships in anchorages are essentially controlled by ship-based marine environment pro</w:t>
      </w:r>
      <w:r w:rsidRPr="007566A9">
        <w:t>tection measures derived from international agreements.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620CE0" w14:textId="101FAEAB" w:rsidR="008B5998" w:rsidRDefault="008B599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620CE1" w14:textId="2A7CA1E0" w:rsidR="008B5998" w:rsidRDefault="008B599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620CE3" w14:textId="76CF7746" w:rsidR="008B5998" w:rsidRDefault="008B5998">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620CE4" w14:textId="5A778F94" w:rsidR="008B5998" w:rsidRPr="00444553" w:rsidRDefault="008B5998" w:rsidP="00BB6AD5">
    <w:pPr>
      <w:pStyle w:val="Header"/>
      <w:rPr>
        <w:sz w:val="18"/>
        <w:szCs w:val="18"/>
      </w:rPr>
    </w:pPr>
    <w:r w:rsidRPr="00444553">
      <w:rPr>
        <w:sz w:val="18"/>
        <w:szCs w:val="18"/>
      </w:rPr>
      <w:t>Independent assessment of management effectiveness for the Great Barrier Reef Outlook Report 2014</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620CE5" w14:textId="37CBF549" w:rsidR="008B5998" w:rsidRDefault="008B5998">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620CE6" w14:textId="0A5ADA5B" w:rsidR="008B5998" w:rsidRPr="000E73C4" w:rsidRDefault="008B5998" w:rsidP="00BB6AD5">
    <w:pPr>
      <w:pStyle w:val="Header"/>
      <w:pBdr>
        <w:bottom w:val="single" w:sz="4" w:space="1" w:color="auto"/>
      </w:pBdr>
      <w:rPr>
        <w:i/>
        <w:sz w:val="18"/>
      </w:rPr>
    </w:pPr>
    <w:r w:rsidRPr="000E73C4">
      <w:rPr>
        <w:i/>
        <w:sz w:val="18"/>
      </w:rPr>
      <w:t>Independent assessment of management effectiveness for the Great Barrier Reef Outlook Report 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32DB9"/>
    <w:multiLevelType w:val="multilevel"/>
    <w:tmpl w:val="9552F8D4"/>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lvl>
    <w:lvl w:ilvl="2">
      <w:start w:val="1"/>
      <w:numFmt w:val="none"/>
      <w:pStyle w:val="ListBullet3"/>
      <w:lvlText w:val=":"/>
      <w:lvlJc w:val="left"/>
      <w:pPr>
        <w:ind w:left="1106" w:hanging="369"/>
      </w:pPr>
    </w:lvl>
    <w:lvl w:ilvl="3">
      <w:start w:val="1"/>
      <w:numFmt w:val="none"/>
      <w:pStyle w:val="ListBullet4"/>
      <w:lvlText w:val=""/>
      <w:lvlJc w:val="left"/>
      <w:pPr>
        <w:ind w:left="1474" w:hanging="368"/>
      </w:pPr>
      <w:rPr>
        <w:color w:val="auto"/>
      </w:rPr>
    </w:lvl>
    <w:lvl w:ilvl="4">
      <w:start w:val="1"/>
      <w:numFmt w:val="none"/>
      <w:pStyle w:val="ListBullet5"/>
      <w:lvlText w:val=""/>
      <w:lvlJc w:val="left"/>
      <w:pPr>
        <w:ind w:left="1800" w:hanging="360"/>
      </w:pPr>
      <w:rPr>
        <w:color w:val="auto"/>
      </w:rPr>
    </w:lvl>
    <w:lvl w:ilvl="5">
      <w:start w:val="1"/>
      <w:numFmt w:val="none"/>
      <w:lvlText w:val=""/>
      <w:lvlJc w:val="left"/>
      <w:pPr>
        <w:ind w:left="2160" w:hanging="360"/>
      </w:pPr>
      <w:rPr>
        <w:color w:val="auto"/>
      </w:rPr>
    </w:lvl>
    <w:lvl w:ilvl="6">
      <w:start w:val="1"/>
      <w:numFmt w:val="none"/>
      <w:lvlText w:val=""/>
      <w:lvlJc w:val="left"/>
      <w:pPr>
        <w:ind w:left="2520" w:hanging="360"/>
      </w:pPr>
      <w:rPr>
        <w:color w:val="auto"/>
      </w:rPr>
    </w:lvl>
    <w:lvl w:ilvl="7">
      <w:start w:val="1"/>
      <w:numFmt w:val="none"/>
      <w:lvlText w:val=""/>
      <w:lvlJc w:val="left"/>
      <w:pPr>
        <w:ind w:left="2880" w:hanging="360"/>
      </w:pPr>
      <w:rPr>
        <w:color w:val="auto"/>
      </w:rPr>
    </w:lvl>
    <w:lvl w:ilvl="8">
      <w:start w:val="1"/>
      <w:numFmt w:val="none"/>
      <w:lvlText w:val=""/>
      <w:lvlJc w:val="left"/>
      <w:pPr>
        <w:ind w:left="3240" w:hanging="360"/>
      </w:pPr>
      <w:rPr>
        <w:color w:val="auto"/>
      </w:rPr>
    </w:lvl>
  </w:abstractNum>
  <w:abstractNum w:abstractNumId="1" w15:restartNumberingAfterBreak="0">
    <w:nsid w:val="004F01BB"/>
    <w:multiLevelType w:val="hybridMultilevel"/>
    <w:tmpl w:val="0016C3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0E92000"/>
    <w:multiLevelType w:val="hybridMultilevel"/>
    <w:tmpl w:val="98348EC6"/>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24F31D7"/>
    <w:multiLevelType w:val="hybridMultilevel"/>
    <w:tmpl w:val="69A44700"/>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30A53AD"/>
    <w:multiLevelType w:val="hybridMultilevel"/>
    <w:tmpl w:val="273EC9E0"/>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FF6EB4"/>
    <w:multiLevelType w:val="hybridMultilevel"/>
    <w:tmpl w:val="709EC4B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6" w15:restartNumberingAfterBreak="0">
    <w:nsid w:val="0412544C"/>
    <w:multiLevelType w:val="hybridMultilevel"/>
    <w:tmpl w:val="63041A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04C63E7C"/>
    <w:multiLevelType w:val="hybridMultilevel"/>
    <w:tmpl w:val="AA482B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4D62D8E"/>
    <w:multiLevelType w:val="hybridMultilevel"/>
    <w:tmpl w:val="9DCAB7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57D4033"/>
    <w:multiLevelType w:val="hybridMultilevel"/>
    <w:tmpl w:val="2F68F5D2"/>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004" w:hanging="360"/>
      </w:pPr>
      <w:rPr>
        <w:rFonts w:ascii="Courier New" w:hAnsi="Courier New" w:cs="Courier New" w:hint="default"/>
      </w:rPr>
    </w:lvl>
    <w:lvl w:ilvl="2" w:tplc="04090005" w:tentative="1">
      <w:start w:val="1"/>
      <w:numFmt w:val="bullet"/>
      <w:lvlText w:val=""/>
      <w:lvlJc w:val="left"/>
      <w:pPr>
        <w:ind w:left="1724" w:hanging="360"/>
      </w:pPr>
      <w:rPr>
        <w:rFonts w:ascii="Wingdings" w:hAnsi="Wingdings" w:hint="default"/>
      </w:rPr>
    </w:lvl>
    <w:lvl w:ilvl="3" w:tplc="04090001" w:tentative="1">
      <w:start w:val="1"/>
      <w:numFmt w:val="bullet"/>
      <w:lvlText w:val=""/>
      <w:lvlJc w:val="left"/>
      <w:pPr>
        <w:ind w:left="2444" w:hanging="360"/>
      </w:pPr>
      <w:rPr>
        <w:rFonts w:ascii="Symbol" w:hAnsi="Symbol" w:hint="default"/>
      </w:rPr>
    </w:lvl>
    <w:lvl w:ilvl="4" w:tplc="04090003" w:tentative="1">
      <w:start w:val="1"/>
      <w:numFmt w:val="bullet"/>
      <w:lvlText w:val="o"/>
      <w:lvlJc w:val="left"/>
      <w:pPr>
        <w:ind w:left="3164" w:hanging="360"/>
      </w:pPr>
      <w:rPr>
        <w:rFonts w:ascii="Courier New" w:hAnsi="Courier New" w:cs="Courier New" w:hint="default"/>
      </w:rPr>
    </w:lvl>
    <w:lvl w:ilvl="5" w:tplc="04090005" w:tentative="1">
      <w:start w:val="1"/>
      <w:numFmt w:val="bullet"/>
      <w:lvlText w:val=""/>
      <w:lvlJc w:val="left"/>
      <w:pPr>
        <w:ind w:left="3884" w:hanging="360"/>
      </w:pPr>
      <w:rPr>
        <w:rFonts w:ascii="Wingdings" w:hAnsi="Wingdings" w:hint="default"/>
      </w:rPr>
    </w:lvl>
    <w:lvl w:ilvl="6" w:tplc="04090001" w:tentative="1">
      <w:start w:val="1"/>
      <w:numFmt w:val="bullet"/>
      <w:lvlText w:val=""/>
      <w:lvlJc w:val="left"/>
      <w:pPr>
        <w:ind w:left="4604" w:hanging="360"/>
      </w:pPr>
      <w:rPr>
        <w:rFonts w:ascii="Symbol" w:hAnsi="Symbol" w:hint="default"/>
      </w:rPr>
    </w:lvl>
    <w:lvl w:ilvl="7" w:tplc="04090003" w:tentative="1">
      <w:start w:val="1"/>
      <w:numFmt w:val="bullet"/>
      <w:lvlText w:val="o"/>
      <w:lvlJc w:val="left"/>
      <w:pPr>
        <w:ind w:left="5324" w:hanging="360"/>
      </w:pPr>
      <w:rPr>
        <w:rFonts w:ascii="Courier New" w:hAnsi="Courier New" w:cs="Courier New" w:hint="default"/>
      </w:rPr>
    </w:lvl>
    <w:lvl w:ilvl="8" w:tplc="04090005" w:tentative="1">
      <w:start w:val="1"/>
      <w:numFmt w:val="bullet"/>
      <w:lvlText w:val=""/>
      <w:lvlJc w:val="left"/>
      <w:pPr>
        <w:ind w:left="6044" w:hanging="360"/>
      </w:pPr>
      <w:rPr>
        <w:rFonts w:ascii="Wingdings" w:hAnsi="Wingdings" w:hint="default"/>
      </w:rPr>
    </w:lvl>
  </w:abstractNum>
  <w:abstractNum w:abstractNumId="10" w15:restartNumberingAfterBreak="0">
    <w:nsid w:val="05AF2956"/>
    <w:multiLevelType w:val="hybridMultilevel"/>
    <w:tmpl w:val="0FEAC50E"/>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6215307"/>
    <w:multiLevelType w:val="singleLevel"/>
    <w:tmpl w:val="1A14F49A"/>
    <w:lvl w:ilvl="0">
      <w:start w:val="2"/>
      <w:numFmt w:val="decimal"/>
      <w:pStyle w:val="20m"/>
      <w:lvlText w:val="(%1)"/>
      <w:lvlJc w:val="left"/>
      <w:pPr>
        <w:tabs>
          <w:tab w:val="num" w:pos="930"/>
        </w:tabs>
        <w:ind w:left="930" w:hanging="360"/>
      </w:pPr>
      <w:rPr>
        <w:rFonts w:hint="default"/>
      </w:rPr>
    </w:lvl>
  </w:abstractNum>
  <w:abstractNum w:abstractNumId="12" w15:restartNumberingAfterBreak="0">
    <w:nsid w:val="06691C0E"/>
    <w:multiLevelType w:val="hybridMultilevel"/>
    <w:tmpl w:val="FA44B3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06CF5F70"/>
    <w:multiLevelType w:val="hybridMultilevel"/>
    <w:tmpl w:val="2B5261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06D016FE"/>
    <w:multiLevelType w:val="hybridMultilevel"/>
    <w:tmpl w:val="A1F0F3FA"/>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7737994"/>
    <w:multiLevelType w:val="hybridMultilevel"/>
    <w:tmpl w:val="C6763C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07987717"/>
    <w:multiLevelType w:val="hybridMultilevel"/>
    <w:tmpl w:val="52C0EE6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082F1246"/>
    <w:multiLevelType w:val="hybridMultilevel"/>
    <w:tmpl w:val="9124744C"/>
    <w:lvl w:ilvl="0" w:tplc="6C02EB70">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0871156D"/>
    <w:multiLevelType w:val="hybridMultilevel"/>
    <w:tmpl w:val="4086C6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08EF6CDE"/>
    <w:multiLevelType w:val="hybridMultilevel"/>
    <w:tmpl w:val="7B18A7C6"/>
    <w:lvl w:ilvl="0" w:tplc="D6948E6A">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092B755C"/>
    <w:multiLevelType w:val="hybridMultilevel"/>
    <w:tmpl w:val="2C7E3856"/>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9984E12"/>
    <w:multiLevelType w:val="hybridMultilevel"/>
    <w:tmpl w:val="35A4578C"/>
    <w:lvl w:ilvl="0" w:tplc="05BC62FA">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09A114E6"/>
    <w:multiLevelType w:val="hybridMultilevel"/>
    <w:tmpl w:val="FE9401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0A3C5EE1"/>
    <w:multiLevelType w:val="hybridMultilevel"/>
    <w:tmpl w:val="6A025722"/>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A824247"/>
    <w:multiLevelType w:val="hybridMultilevel"/>
    <w:tmpl w:val="AA3E9C3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0B003AE8"/>
    <w:multiLevelType w:val="hybridMultilevel"/>
    <w:tmpl w:val="155A5D76"/>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B0C0AE4"/>
    <w:multiLevelType w:val="hybridMultilevel"/>
    <w:tmpl w:val="FB348B4C"/>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0B310ABB"/>
    <w:multiLevelType w:val="hybridMultilevel"/>
    <w:tmpl w:val="D27ECD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0B557D88"/>
    <w:multiLevelType w:val="hybridMultilevel"/>
    <w:tmpl w:val="5EB25F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0C0D0449"/>
    <w:multiLevelType w:val="hybridMultilevel"/>
    <w:tmpl w:val="0CCA22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0CF832FE"/>
    <w:multiLevelType w:val="hybridMultilevel"/>
    <w:tmpl w:val="D0DADF0E"/>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0D815197"/>
    <w:multiLevelType w:val="hybridMultilevel"/>
    <w:tmpl w:val="84F2B4D8"/>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0D9B3615"/>
    <w:multiLevelType w:val="hybridMultilevel"/>
    <w:tmpl w:val="1C30A382"/>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0ED073CE"/>
    <w:multiLevelType w:val="hybridMultilevel"/>
    <w:tmpl w:val="EE20EFDE"/>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0FBB2EF7"/>
    <w:multiLevelType w:val="hybridMultilevel"/>
    <w:tmpl w:val="D04A5CDE"/>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0FC35326"/>
    <w:multiLevelType w:val="hybridMultilevel"/>
    <w:tmpl w:val="2E7CB890"/>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0FD04DF2"/>
    <w:multiLevelType w:val="hybridMultilevel"/>
    <w:tmpl w:val="1562AEF8"/>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0FDE642A"/>
    <w:multiLevelType w:val="hybridMultilevel"/>
    <w:tmpl w:val="E77642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10681912"/>
    <w:multiLevelType w:val="hybridMultilevel"/>
    <w:tmpl w:val="07DCF74E"/>
    <w:lvl w:ilvl="0" w:tplc="0E7870FA">
      <w:start w:val="1"/>
      <w:numFmt w:val="bullet"/>
      <w:lvlText w:val=""/>
      <w:lvlJc w:val="left"/>
      <w:pPr>
        <w:ind w:left="360" w:hanging="360"/>
      </w:pPr>
      <w:rPr>
        <w:rFonts w:ascii="Symbol" w:hAnsi="Symbol" w:hint="default"/>
      </w:rPr>
    </w:lvl>
    <w:lvl w:ilvl="1" w:tplc="0C090001">
      <w:start w:val="1"/>
      <w:numFmt w:val="bullet"/>
      <w:lvlText w:val=""/>
      <w:lvlJc w:val="left"/>
      <w:pPr>
        <w:ind w:left="1080" w:hanging="360"/>
      </w:pPr>
      <w:rPr>
        <w:rFonts w:ascii="Symbol" w:hAnsi="Symbo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9" w15:restartNumberingAfterBreak="0">
    <w:nsid w:val="10B069D1"/>
    <w:multiLevelType w:val="hybridMultilevel"/>
    <w:tmpl w:val="7CFC30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10F24581"/>
    <w:multiLevelType w:val="hybridMultilevel"/>
    <w:tmpl w:val="CB9CB76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15:restartNumberingAfterBreak="0">
    <w:nsid w:val="10F54B1C"/>
    <w:multiLevelType w:val="hybridMultilevel"/>
    <w:tmpl w:val="554CC0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11342523"/>
    <w:multiLevelType w:val="hybridMultilevel"/>
    <w:tmpl w:val="D7C66B3A"/>
    <w:lvl w:ilvl="0" w:tplc="0E7870FA">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114959A6"/>
    <w:multiLevelType w:val="hybridMultilevel"/>
    <w:tmpl w:val="EC1C8906"/>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120E43BB"/>
    <w:multiLevelType w:val="hybridMultilevel"/>
    <w:tmpl w:val="B1FEFBD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5" w15:restartNumberingAfterBreak="0">
    <w:nsid w:val="12307382"/>
    <w:multiLevelType w:val="hybridMultilevel"/>
    <w:tmpl w:val="5C94FE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12950CB3"/>
    <w:multiLevelType w:val="hybridMultilevel"/>
    <w:tmpl w:val="A4F60278"/>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13960C5F"/>
    <w:multiLevelType w:val="hybridMultilevel"/>
    <w:tmpl w:val="7390BF70"/>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13AD0D1C"/>
    <w:multiLevelType w:val="hybridMultilevel"/>
    <w:tmpl w:val="208859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14570975"/>
    <w:multiLevelType w:val="hybridMultilevel"/>
    <w:tmpl w:val="0274912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0" w15:restartNumberingAfterBreak="0">
    <w:nsid w:val="14B10A11"/>
    <w:multiLevelType w:val="hybridMultilevel"/>
    <w:tmpl w:val="B8F047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1" w15:restartNumberingAfterBreak="0">
    <w:nsid w:val="15020FF3"/>
    <w:multiLevelType w:val="hybridMultilevel"/>
    <w:tmpl w:val="18BAE374"/>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159A5B16"/>
    <w:multiLevelType w:val="hybridMultilevel"/>
    <w:tmpl w:val="C3A2BAF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15CE2A98"/>
    <w:multiLevelType w:val="hybridMultilevel"/>
    <w:tmpl w:val="7B24A0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4" w15:restartNumberingAfterBreak="0">
    <w:nsid w:val="169621A6"/>
    <w:multiLevelType w:val="hybridMultilevel"/>
    <w:tmpl w:val="3C10C5C8"/>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004" w:hanging="360"/>
      </w:pPr>
      <w:rPr>
        <w:rFonts w:ascii="Courier New" w:hAnsi="Courier New" w:cs="Courier New" w:hint="default"/>
      </w:rPr>
    </w:lvl>
    <w:lvl w:ilvl="2" w:tplc="04090005" w:tentative="1">
      <w:start w:val="1"/>
      <w:numFmt w:val="bullet"/>
      <w:lvlText w:val=""/>
      <w:lvlJc w:val="left"/>
      <w:pPr>
        <w:ind w:left="1724" w:hanging="360"/>
      </w:pPr>
      <w:rPr>
        <w:rFonts w:ascii="Wingdings" w:hAnsi="Wingdings" w:hint="default"/>
      </w:rPr>
    </w:lvl>
    <w:lvl w:ilvl="3" w:tplc="04090001" w:tentative="1">
      <w:start w:val="1"/>
      <w:numFmt w:val="bullet"/>
      <w:lvlText w:val=""/>
      <w:lvlJc w:val="left"/>
      <w:pPr>
        <w:ind w:left="2444" w:hanging="360"/>
      </w:pPr>
      <w:rPr>
        <w:rFonts w:ascii="Symbol" w:hAnsi="Symbol" w:hint="default"/>
      </w:rPr>
    </w:lvl>
    <w:lvl w:ilvl="4" w:tplc="04090003" w:tentative="1">
      <w:start w:val="1"/>
      <w:numFmt w:val="bullet"/>
      <w:lvlText w:val="o"/>
      <w:lvlJc w:val="left"/>
      <w:pPr>
        <w:ind w:left="3164" w:hanging="360"/>
      </w:pPr>
      <w:rPr>
        <w:rFonts w:ascii="Courier New" w:hAnsi="Courier New" w:cs="Courier New" w:hint="default"/>
      </w:rPr>
    </w:lvl>
    <w:lvl w:ilvl="5" w:tplc="04090005" w:tentative="1">
      <w:start w:val="1"/>
      <w:numFmt w:val="bullet"/>
      <w:lvlText w:val=""/>
      <w:lvlJc w:val="left"/>
      <w:pPr>
        <w:ind w:left="3884" w:hanging="360"/>
      </w:pPr>
      <w:rPr>
        <w:rFonts w:ascii="Wingdings" w:hAnsi="Wingdings" w:hint="default"/>
      </w:rPr>
    </w:lvl>
    <w:lvl w:ilvl="6" w:tplc="04090001" w:tentative="1">
      <w:start w:val="1"/>
      <w:numFmt w:val="bullet"/>
      <w:lvlText w:val=""/>
      <w:lvlJc w:val="left"/>
      <w:pPr>
        <w:ind w:left="4604" w:hanging="360"/>
      </w:pPr>
      <w:rPr>
        <w:rFonts w:ascii="Symbol" w:hAnsi="Symbol" w:hint="default"/>
      </w:rPr>
    </w:lvl>
    <w:lvl w:ilvl="7" w:tplc="04090003" w:tentative="1">
      <w:start w:val="1"/>
      <w:numFmt w:val="bullet"/>
      <w:lvlText w:val="o"/>
      <w:lvlJc w:val="left"/>
      <w:pPr>
        <w:ind w:left="5324" w:hanging="360"/>
      </w:pPr>
      <w:rPr>
        <w:rFonts w:ascii="Courier New" w:hAnsi="Courier New" w:cs="Courier New" w:hint="default"/>
      </w:rPr>
    </w:lvl>
    <w:lvl w:ilvl="8" w:tplc="04090005" w:tentative="1">
      <w:start w:val="1"/>
      <w:numFmt w:val="bullet"/>
      <w:lvlText w:val=""/>
      <w:lvlJc w:val="left"/>
      <w:pPr>
        <w:ind w:left="6044" w:hanging="360"/>
      </w:pPr>
      <w:rPr>
        <w:rFonts w:ascii="Wingdings" w:hAnsi="Wingdings" w:hint="default"/>
      </w:rPr>
    </w:lvl>
  </w:abstractNum>
  <w:abstractNum w:abstractNumId="55" w15:restartNumberingAfterBreak="0">
    <w:nsid w:val="17350628"/>
    <w:multiLevelType w:val="hybridMultilevel"/>
    <w:tmpl w:val="A2D43F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15:restartNumberingAfterBreak="0">
    <w:nsid w:val="17F559D2"/>
    <w:multiLevelType w:val="hybridMultilevel"/>
    <w:tmpl w:val="1B40B1C0"/>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19213386"/>
    <w:multiLevelType w:val="multilevel"/>
    <w:tmpl w:val="57A238E0"/>
    <w:numStyleLink w:val="headingsstye"/>
  </w:abstractNum>
  <w:abstractNum w:abstractNumId="58" w15:restartNumberingAfterBreak="0">
    <w:nsid w:val="19BD21C1"/>
    <w:multiLevelType w:val="hybridMultilevel"/>
    <w:tmpl w:val="1E309188"/>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19DD620B"/>
    <w:multiLevelType w:val="hybridMultilevel"/>
    <w:tmpl w:val="2F0A01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0" w15:restartNumberingAfterBreak="0">
    <w:nsid w:val="1A6C4EB1"/>
    <w:multiLevelType w:val="hybridMultilevel"/>
    <w:tmpl w:val="3B1287F8"/>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1A9D3FDA"/>
    <w:multiLevelType w:val="hybridMultilevel"/>
    <w:tmpl w:val="0344B84C"/>
    <w:lvl w:ilvl="0" w:tplc="D6948E6A">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2" w15:restartNumberingAfterBreak="0">
    <w:nsid w:val="1AB72114"/>
    <w:multiLevelType w:val="hybridMultilevel"/>
    <w:tmpl w:val="829637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3" w15:restartNumberingAfterBreak="0">
    <w:nsid w:val="1C1D395B"/>
    <w:multiLevelType w:val="hybridMultilevel"/>
    <w:tmpl w:val="2E70F5C4"/>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1D25595B"/>
    <w:multiLevelType w:val="hybridMultilevel"/>
    <w:tmpl w:val="9F12E746"/>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1D3B28DB"/>
    <w:multiLevelType w:val="hybridMultilevel"/>
    <w:tmpl w:val="35F69D6A"/>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1E276EC9"/>
    <w:multiLevelType w:val="hybridMultilevel"/>
    <w:tmpl w:val="BA1EB9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7" w15:restartNumberingAfterBreak="0">
    <w:nsid w:val="1E2D4CBE"/>
    <w:multiLevelType w:val="hybridMultilevel"/>
    <w:tmpl w:val="B3569C58"/>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1E5A128F"/>
    <w:multiLevelType w:val="hybridMultilevel"/>
    <w:tmpl w:val="3B6CE9A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9" w15:restartNumberingAfterBreak="0">
    <w:nsid w:val="1EE324BB"/>
    <w:multiLevelType w:val="hybridMultilevel"/>
    <w:tmpl w:val="B686B296"/>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1EEA268D"/>
    <w:multiLevelType w:val="hybridMultilevel"/>
    <w:tmpl w:val="BCE658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1" w15:restartNumberingAfterBreak="0">
    <w:nsid w:val="1F3F5EC4"/>
    <w:multiLevelType w:val="hybridMultilevel"/>
    <w:tmpl w:val="AA2864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15:restartNumberingAfterBreak="0">
    <w:nsid w:val="1F745BC2"/>
    <w:multiLevelType w:val="multilevel"/>
    <w:tmpl w:val="E5E89F92"/>
    <w:lvl w:ilvl="0">
      <w:start w:val="1"/>
      <w:numFmt w:val="bullet"/>
      <w:lvlText w:val=""/>
      <w:lvlJc w:val="left"/>
      <w:pPr>
        <w:ind w:left="369" w:hanging="369"/>
      </w:pPr>
      <w:rPr>
        <w:rFonts w:ascii="Symbol" w:hAnsi="Symbol" w:hint="default"/>
      </w:rPr>
    </w:lvl>
    <w:lvl w:ilvl="1">
      <w:start w:val="1"/>
      <w:numFmt w:val="none"/>
      <w:lvlText w:val="-"/>
      <w:lvlJc w:val="left"/>
      <w:pPr>
        <w:ind w:left="737" w:hanging="368"/>
      </w:pPr>
      <w:rPr>
        <w:rFonts w:hint="default"/>
      </w:rPr>
    </w:lvl>
    <w:lvl w:ilvl="2">
      <w:start w:val="1"/>
      <w:numFmt w:val="none"/>
      <w:lvlText w:val=":"/>
      <w:lvlJc w:val="left"/>
      <w:pPr>
        <w:ind w:left="1106" w:hanging="369"/>
      </w:pPr>
      <w:rPr>
        <w:rFonts w:hint="default"/>
      </w:rPr>
    </w:lvl>
    <w:lvl w:ilvl="3">
      <w:start w:val="1"/>
      <w:numFmt w:val="none"/>
      <w:lvlText w:val=""/>
      <w:lvlJc w:val="left"/>
      <w:pPr>
        <w:ind w:left="1474" w:hanging="368"/>
      </w:pPr>
      <w:rPr>
        <w:rFonts w:hint="default"/>
        <w:color w:val="auto"/>
      </w:rPr>
    </w:lvl>
    <w:lvl w:ilvl="4">
      <w:start w:val="1"/>
      <w:numFmt w:val="none"/>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73" w15:restartNumberingAfterBreak="0">
    <w:nsid w:val="1F7A4706"/>
    <w:multiLevelType w:val="hybridMultilevel"/>
    <w:tmpl w:val="CF36D0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4" w15:restartNumberingAfterBreak="0">
    <w:nsid w:val="207316B7"/>
    <w:multiLevelType w:val="hybridMultilevel"/>
    <w:tmpl w:val="540A939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5" w15:restartNumberingAfterBreak="0">
    <w:nsid w:val="213C2B46"/>
    <w:multiLevelType w:val="hybridMultilevel"/>
    <w:tmpl w:val="B7826784"/>
    <w:lvl w:ilvl="0" w:tplc="D6948E6A">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6" w15:restartNumberingAfterBreak="0">
    <w:nsid w:val="21BC5217"/>
    <w:multiLevelType w:val="hybridMultilevel"/>
    <w:tmpl w:val="0E94AC44"/>
    <w:lvl w:ilvl="0" w:tplc="0C090003">
      <w:start w:val="1"/>
      <w:numFmt w:val="bullet"/>
      <w:lvlText w:val="o"/>
      <w:lvlJc w:val="left"/>
      <w:pPr>
        <w:ind w:left="720" w:hanging="360"/>
      </w:pPr>
      <w:rPr>
        <w:rFonts w:ascii="Courier New" w:hAnsi="Courier New" w:cs="Courier New"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7" w15:restartNumberingAfterBreak="0">
    <w:nsid w:val="21C52814"/>
    <w:multiLevelType w:val="hybridMultilevel"/>
    <w:tmpl w:val="5F92F7B4"/>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21E059D0"/>
    <w:multiLevelType w:val="hybridMultilevel"/>
    <w:tmpl w:val="8C505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23EB2315"/>
    <w:multiLevelType w:val="hybridMultilevel"/>
    <w:tmpl w:val="1A1C242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0" w15:restartNumberingAfterBreak="0">
    <w:nsid w:val="24D9472A"/>
    <w:multiLevelType w:val="hybridMultilevel"/>
    <w:tmpl w:val="13A6146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1" w15:restartNumberingAfterBreak="0">
    <w:nsid w:val="24FE5D3D"/>
    <w:multiLevelType w:val="hybridMultilevel"/>
    <w:tmpl w:val="9D7068D4"/>
    <w:lvl w:ilvl="0" w:tplc="F496C636">
      <w:start w:val="1"/>
      <w:numFmt w:val="bullet"/>
      <w:pStyle w:val="Bullets1"/>
      <w:lvlText w:val=""/>
      <w:lvlJc w:val="left"/>
      <w:pPr>
        <w:ind w:left="717" w:hanging="360"/>
      </w:pPr>
      <w:rPr>
        <w:rFonts w:ascii="Symbol" w:hAnsi="Symbol" w:hint="default"/>
      </w:rPr>
    </w:lvl>
    <w:lvl w:ilvl="1" w:tplc="0C090003" w:tentative="1">
      <w:start w:val="1"/>
      <w:numFmt w:val="bullet"/>
      <w:lvlText w:val="o"/>
      <w:lvlJc w:val="left"/>
      <w:pPr>
        <w:ind w:left="726" w:hanging="360"/>
      </w:pPr>
      <w:rPr>
        <w:rFonts w:ascii="Courier New" w:hAnsi="Courier New" w:cs="Courier New" w:hint="default"/>
      </w:rPr>
    </w:lvl>
    <w:lvl w:ilvl="2" w:tplc="0C090005" w:tentative="1">
      <w:start w:val="1"/>
      <w:numFmt w:val="bullet"/>
      <w:lvlText w:val=""/>
      <w:lvlJc w:val="left"/>
      <w:pPr>
        <w:ind w:left="1446" w:hanging="360"/>
      </w:pPr>
      <w:rPr>
        <w:rFonts w:ascii="Wingdings" w:hAnsi="Wingdings" w:hint="default"/>
      </w:rPr>
    </w:lvl>
    <w:lvl w:ilvl="3" w:tplc="0C090001" w:tentative="1">
      <w:start w:val="1"/>
      <w:numFmt w:val="bullet"/>
      <w:lvlText w:val=""/>
      <w:lvlJc w:val="left"/>
      <w:pPr>
        <w:ind w:left="2166" w:hanging="360"/>
      </w:pPr>
      <w:rPr>
        <w:rFonts w:ascii="Symbol" w:hAnsi="Symbol" w:hint="default"/>
      </w:rPr>
    </w:lvl>
    <w:lvl w:ilvl="4" w:tplc="0C090003" w:tentative="1">
      <w:start w:val="1"/>
      <w:numFmt w:val="bullet"/>
      <w:lvlText w:val="o"/>
      <w:lvlJc w:val="left"/>
      <w:pPr>
        <w:ind w:left="2886" w:hanging="360"/>
      </w:pPr>
      <w:rPr>
        <w:rFonts w:ascii="Courier New" w:hAnsi="Courier New" w:cs="Courier New" w:hint="default"/>
      </w:rPr>
    </w:lvl>
    <w:lvl w:ilvl="5" w:tplc="0C090005" w:tentative="1">
      <w:start w:val="1"/>
      <w:numFmt w:val="bullet"/>
      <w:lvlText w:val=""/>
      <w:lvlJc w:val="left"/>
      <w:pPr>
        <w:ind w:left="3606" w:hanging="360"/>
      </w:pPr>
      <w:rPr>
        <w:rFonts w:ascii="Wingdings" w:hAnsi="Wingdings" w:hint="default"/>
      </w:rPr>
    </w:lvl>
    <w:lvl w:ilvl="6" w:tplc="0C090001" w:tentative="1">
      <w:start w:val="1"/>
      <w:numFmt w:val="bullet"/>
      <w:lvlText w:val=""/>
      <w:lvlJc w:val="left"/>
      <w:pPr>
        <w:ind w:left="4326" w:hanging="360"/>
      </w:pPr>
      <w:rPr>
        <w:rFonts w:ascii="Symbol" w:hAnsi="Symbol" w:hint="default"/>
      </w:rPr>
    </w:lvl>
    <w:lvl w:ilvl="7" w:tplc="0C090003" w:tentative="1">
      <w:start w:val="1"/>
      <w:numFmt w:val="bullet"/>
      <w:lvlText w:val="o"/>
      <w:lvlJc w:val="left"/>
      <w:pPr>
        <w:ind w:left="5046" w:hanging="360"/>
      </w:pPr>
      <w:rPr>
        <w:rFonts w:ascii="Courier New" w:hAnsi="Courier New" w:cs="Courier New" w:hint="default"/>
      </w:rPr>
    </w:lvl>
    <w:lvl w:ilvl="8" w:tplc="0C090005" w:tentative="1">
      <w:start w:val="1"/>
      <w:numFmt w:val="bullet"/>
      <w:lvlText w:val=""/>
      <w:lvlJc w:val="left"/>
      <w:pPr>
        <w:ind w:left="5766" w:hanging="360"/>
      </w:pPr>
      <w:rPr>
        <w:rFonts w:ascii="Wingdings" w:hAnsi="Wingdings" w:hint="default"/>
      </w:rPr>
    </w:lvl>
  </w:abstractNum>
  <w:abstractNum w:abstractNumId="82" w15:restartNumberingAfterBreak="0">
    <w:nsid w:val="251C60C8"/>
    <w:multiLevelType w:val="hybridMultilevel"/>
    <w:tmpl w:val="49B63C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3" w15:restartNumberingAfterBreak="0">
    <w:nsid w:val="26123AD8"/>
    <w:multiLevelType w:val="hybridMultilevel"/>
    <w:tmpl w:val="64A6BB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4" w15:restartNumberingAfterBreak="0">
    <w:nsid w:val="26152F16"/>
    <w:multiLevelType w:val="hybridMultilevel"/>
    <w:tmpl w:val="30ACB11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5" w15:restartNumberingAfterBreak="0">
    <w:nsid w:val="265E228D"/>
    <w:multiLevelType w:val="hybridMultilevel"/>
    <w:tmpl w:val="4C105650"/>
    <w:styleLink w:val="BulletList1"/>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6" w15:restartNumberingAfterBreak="0">
    <w:nsid w:val="26F8275E"/>
    <w:multiLevelType w:val="hybridMultilevel"/>
    <w:tmpl w:val="0B307B7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7" w15:restartNumberingAfterBreak="0">
    <w:nsid w:val="279E142F"/>
    <w:multiLevelType w:val="hybridMultilevel"/>
    <w:tmpl w:val="00C60060"/>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28114E8E"/>
    <w:multiLevelType w:val="hybridMultilevel"/>
    <w:tmpl w:val="BB648814"/>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28B67F87"/>
    <w:multiLevelType w:val="hybridMultilevel"/>
    <w:tmpl w:val="4B58CC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0" w15:restartNumberingAfterBreak="0">
    <w:nsid w:val="2A466DE6"/>
    <w:multiLevelType w:val="hybridMultilevel"/>
    <w:tmpl w:val="AAF4D3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1" w15:restartNumberingAfterBreak="0">
    <w:nsid w:val="2A6939B4"/>
    <w:multiLevelType w:val="hybridMultilevel"/>
    <w:tmpl w:val="E2C40BF6"/>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2AB92853"/>
    <w:multiLevelType w:val="hybridMultilevel"/>
    <w:tmpl w:val="734A7F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3" w15:restartNumberingAfterBreak="0">
    <w:nsid w:val="2AE83A7A"/>
    <w:multiLevelType w:val="hybridMultilevel"/>
    <w:tmpl w:val="322886DE"/>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2B5510FF"/>
    <w:multiLevelType w:val="hybridMultilevel"/>
    <w:tmpl w:val="01DC8E70"/>
    <w:lvl w:ilvl="0" w:tplc="0E7870FA">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2BF10AB9"/>
    <w:multiLevelType w:val="hybridMultilevel"/>
    <w:tmpl w:val="30C2D706"/>
    <w:lvl w:ilvl="0" w:tplc="0C090005">
      <w:start w:val="1"/>
      <w:numFmt w:val="bullet"/>
      <w:lvlText w:val=""/>
      <w:lvlJc w:val="left"/>
      <w:pPr>
        <w:ind w:left="644" w:hanging="360"/>
      </w:pPr>
      <w:rPr>
        <w:rFonts w:ascii="Wingdings" w:hAnsi="Wingdings" w:hint="default"/>
      </w:rPr>
    </w:lvl>
    <w:lvl w:ilvl="1" w:tplc="0C090003">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96" w15:restartNumberingAfterBreak="0">
    <w:nsid w:val="2C086762"/>
    <w:multiLevelType w:val="hybridMultilevel"/>
    <w:tmpl w:val="D4B01C08"/>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2C253A66"/>
    <w:multiLevelType w:val="hybridMultilevel"/>
    <w:tmpl w:val="501A8D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8" w15:restartNumberingAfterBreak="0">
    <w:nsid w:val="2C6E2900"/>
    <w:multiLevelType w:val="hybridMultilevel"/>
    <w:tmpl w:val="1B70D702"/>
    <w:lvl w:ilvl="0" w:tplc="0C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2DA6694F"/>
    <w:multiLevelType w:val="hybridMultilevel"/>
    <w:tmpl w:val="92C61E88"/>
    <w:lvl w:ilvl="0" w:tplc="6C02EB70">
      <w:start w:val="1"/>
      <w:numFmt w:val="bullet"/>
      <w:lvlText w:val=""/>
      <w:lvlJc w:val="left"/>
      <w:pPr>
        <w:ind w:left="360" w:hanging="360"/>
      </w:pPr>
      <w:rPr>
        <w:rFonts w:ascii="Symbol" w:hAnsi="Symbol" w:hint="default"/>
      </w:rPr>
    </w:lvl>
    <w:lvl w:ilvl="1" w:tplc="0C090005">
      <w:start w:val="1"/>
      <w:numFmt w:val="bullet"/>
      <w:lvlText w:val=""/>
      <w:lvlJc w:val="left"/>
      <w:pPr>
        <w:ind w:left="1080" w:hanging="360"/>
      </w:pPr>
      <w:rPr>
        <w:rFonts w:ascii="Wingdings" w:hAnsi="Wingdings"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0" w15:restartNumberingAfterBreak="0">
    <w:nsid w:val="2DE26E5D"/>
    <w:multiLevelType w:val="hybridMultilevel"/>
    <w:tmpl w:val="7C2AEAE0"/>
    <w:lvl w:ilvl="0" w:tplc="0C090005">
      <w:start w:val="1"/>
      <w:numFmt w:val="bullet"/>
      <w:lvlText w:val=""/>
      <w:lvlJc w:val="left"/>
      <w:pPr>
        <w:ind w:left="720" w:hanging="360"/>
      </w:pPr>
      <w:rPr>
        <w:rFonts w:ascii="Wingdings" w:hAnsi="Wingdings"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1" w15:restartNumberingAfterBreak="0">
    <w:nsid w:val="2E9A7501"/>
    <w:multiLevelType w:val="hybridMultilevel"/>
    <w:tmpl w:val="D6C601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2" w15:restartNumberingAfterBreak="0">
    <w:nsid w:val="2EDE34CA"/>
    <w:multiLevelType w:val="hybridMultilevel"/>
    <w:tmpl w:val="ABA8CF7E"/>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30101922"/>
    <w:multiLevelType w:val="multilevel"/>
    <w:tmpl w:val="C67889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30560517"/>
    <w:multiLevelType w:val="hybridMultilevel"/>
    <w:tmpl w:val="C682E1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5" w15:restartNumberingAfterBreak="0">
    <w:nsid w:val="310723FB"/>
    <w:multiLevelType w:val="hybridMultilevel"/>
    <w:tmpl w:val="2C6EEC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6" w15:restartNumberingAfterBreak="0">
    <w:nsid w:val="311661D7"/>
    <w:multiLevelType w:val="hybridMultilevel"/>
    <w:tmpl w:val="79BC9366"/>
    <w:lvl w:ilvl="0" w:tplc="0C090001">
      <w:start w:val="1"/>
      <w:numFmt w:val="bullet"/>
      <w:lvlText w:val=""/>
      <w:lvlJc w:val="left"/>
      <w:pPr>
        <w:ind w:left="360" w:hanging="360"/>
      </w:pPr>
      <w:rPr>
        <w:rFonts w:ascii="Symbol" w:hAnsi="Symbol" w:hint="default"/>
      </w:rPr>
    </w:lvl>
    <w:lvl w:ilvl="1" w:tplc="0C090005">
      <w:start w:val="1"/>
      <w:numFmt w:val="bullet"/>
      <w:lvlText w:val=""/>
      <w:lvlJc w:val="left"/>
      <w:pPr>
        <w:ind w:left="1080" w:hanging="360"/>
      </w:pPr>
      <w:rPr>
        <w:rFonts w:ascii="Wingdings" w:hAnsi="Wingdings"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7" w15:restartNumberingAfterBreak="0">
    <w:nsid w:val="31F82585"/>
    <w:multiLevelType w:val="hybridMultilevel"/>
    <w:tmpl w:val="44F830AA"/>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322A4433"/>
    <w:multiLevelType w:val="hybridMultilevel"/>
    <w:tmpl w:val="9B8CDA1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9" w15:restartNumberingAfterBreak="0">
    <w:nsid w:val="33520E50"/>
    <w:multiLevelType w:val="hybridMultilevel"/>
    <w:tmpl w:val="7220D24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0" w15:restartNumberingAfterBreak="0">
    <w:nsid w:val="33771E15"/>
    <w:multiLevelType w:val="hybridMultilevel"/>
    <w:tmpl w:val="647EB15E"/>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34402AD0"/>
    <w:multiLevelType w:val="hybridMultilevel"/>
    <w:tmpl w:val="305A595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2" w15:restartNumberingAfterBreak="0">
    <w:nsid w:val="3483362B"/>
    <w:multiLevelType w:val="hybridMultilevel"/>
    <w:tmpl w:val="AC781C60"/>
    <w:lvl w:ilvl="0" w:tplc="0E7870FA">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3" w15:restartNumberingAfterBreak="0">
    <w:nsid w:val="349731F3"/>
    <w:multiLevelType w:val="hybridMultilevel"/>
    <w:tmpl w:val="CECABE3C"/>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353B542B"/>
    <w:multiLevelType w:val="hybridMultilevel"/>
    <w:tmpl w:val="8DD005AE"/>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36813B37"/>
    <w:multiLevelType w:val="hybridMultilevel"/>
    <w:tmpl w:val="F6385DDE"/>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36C15666"/>
    <w:multiLevelType w:val="hybridMultilevel"/>
    <w:tmpl w:val="A4468198"/>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36FE5E83"/>
    <w:multiLevelType w:val="hybridMultilevel"/>
    <w:tmpl w:val="0BB6A008"/>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37922C42"/>
    <w:multiLevelType w:val="hybridMultilevel"/>
    <w:tmpl w:val="A80C4D76"/>
    <w:lvl w:ilvl="0" w:tplc="D6948E6A">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9" w15:restartNumberingAfterBreak="0">
    <w:nsid w:val="37E624AB"/>
    <w:multiLevelType w:val="hybridMultilevel"/>
    <w:tmpl w:val="E786AD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0" w15:restartNumberingAfterBreak="0">
    <w:nsid w:val="383165FB"/>
    <w:multiLevelType w:val="hybridMultilevel"/>
    <w:tmpl w:val="E23CB4C6"/>
    <w:lvl w:ilvl="0" w:tplc="0E7870FA">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1" w15:restartNumberingAfterBreak="0">
    <w:nsid w:val="38874557"/>
    <w:multiLevelType w:val="hybridMultilevel"/>
    <w:tmpl w:val="C8DC2B3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2" w15:restartNumberingAfterBreak="0">
    <w:nsid w:val="38AC6AFF"/>
    <w:multiLevelType w:val="hybridMultilevel"/>
    <w:tmpl w:val="22800E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3" w15:restartNumberingAfterBreak="0">
    <w:nsid w:val="392923D8"/>
    <w:multiLevelType w:val="hybridMultilevel"/>
    <w:tmpl w:val="83FE3F52"/>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24" w15:restartNumberingAfterBreak="0">
    <w:nsid w:val="3965120B"/>
    <w:multiLevelType w:val="hybridMultilevel"/>
    <w:tmpl w:val="B0F05C6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cs="Wingdings" w:hint="default"/>
      </w:rPr>
    </w:lvl>
    <w:lvl w:ilvl="3" w:tplc="0C090001">
      <w:start w:val="1"/>
      <w:numFmt w:val="bullet"/>
      <w:lvlText w:val=""/>
      <w:lvlJc w:val="left"/>
      <w:pPr>
        <w:ind w:left="2520" w:hanging="360"/>
      </w:pPr>
      <w:rPr>
        <w:rFonts w:ascii="Symbol" w:hAnsi="Symbol" w:cs="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cs="Wingdings" w:hint="default"/>
      </w:rPr>
    </w:lvl>
    <w:lvl w:ilvl="6" w:tplc="0C090001">
      <w:start w:val="1"/>
      <w:numFmt w:val="bullet"/>
      <w:lvlText w:val=""/>
      <w:lvlJc w:val="left"/>
      <w:pPr>
        <w:ind w:left="4680" w:hanging="360"/>
      </w:pPr>
      <w:rPr>
        <w:rFonts w:ascii="Symbol" w:hAnsi="Symbol" w:cs="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cs="Wingdings" w:hint="default"/>
      </w:rPr>
    </w:lvl>
  </w:abstractNum>
  <w:abstractNum w:abstractNumId="125" w15:restartNumberingAfterBreak="0">
    <w:nsid w:val="39E1311E"/>
    <w:multiLevelType w:val="hybridMultilevel"/>
    <w:tmpl w:val="1714D82E"/>
    <w:lvl w:ilvl="0" w:tplc="0E7870FA">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6" w15:restartNumberingAfterBreak="0">
    <w:nsid w:val="3A2A2655"/>
    <w:multiLevelType w:val="hybridMultilevel"/>
    <w:tmpl w:val="66B243CC"/>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3B197E97"/>
    <w:multiLevelType w:val="hybridMultilevel"/>
    <w:tmpl w:val="58DAFC1E"/>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3B5205F2"/>
    <w:multiLevelType w:val="hybridMultilevel"/>
    <w:tmpl w:val="7E88A6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9" w15:restartNumberingAfterBreak="0">
    <w:nsid w:val="3B7838AE"/>
    <w:multiLevelType w:val="hybridMultilevel"/>
    <w:tmpl w:val="5DFE5E1C"/>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3D3A26B6"/>
    <w:multiLevelType w:val="hybridMultilevel"/>
    <w:tmpl w:val="AF9098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1" w15:restartNumberingAfterBreak="0">
    <w:nsid w:val="3D5C25AA"/>
    <w:multiLevelType w:val="hybridMultilevel"/>
    <w:tmpl w:val="D8502300"/>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15:restartNumberingAfterBreak="0">
    <w:nsid w:val="3DAE05B8"/>
    <w:multiLevelType w:val="hybridMultilevel"/>
    <w:tmpl w:val="2B2A4C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3" w15:restartNumberingAfterBreak="0">
    <w:nsid w:val="3DE82CD0"/>
    <w:multiLevelType w:val="hybridMultilevel"/>
    <w:tmpl w:val="DC36C68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34" w15:restartNumberingAfterBreak="0">
    <w:nsid w:val="3EEB0380"/>
    <w:multiLevelType w:val="multilevel"/>
    <w:tmpl w:val="57A238E0"/>
    <w:styleLink w:val="headingsstye"/>
    <w:lvl w:ilvl="0">
      <w:start w:val="1"/>
      <w:numFmt w:val="decimal"/>
      <w:pStyle w:val="Heading1"/>
      <w:lvlText w:val="%1."/>
      <w:lvlJc w:val="left"/>
      <w:pPr>
        <w:ind w:left="360" w:hanging="360"/>
      </w:pPr>
      <w:rPr>
        <w:rFonts w:hint="default"/>
      </w:rPr>
    </w:lvl>
    <w:lvl w:ilvl="1">
      <w:start w:val="1"/>
      <w:numFmt w:val="decimal"/>
      <w:pStyle w:val="Heading2"/>
      <w:lvlText w:val="%2.%1."/>
      <w:lvlJc w:val="left"/>
      <w:pPr>
        <w:ind w:left="720" w:hanging="360"/>
      </w:pPr>
      <w:rPr>
        <w:rFonts w:hint="default"/>
      </w:rPr>
    </w:lvl>
    <w:lvl w:ilvl="2">
      <w:start w:val="1"/>
      <w:numFmt w:val="decimal"/>
      <w:pStyle w:val="Heading3"/>
      <w:lvlText w:val="%1.%3.%2."/>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5" w15:restartNumberingAfterBreak="0">
    <w:nsid w:val="3F183FD7"/>
    <w:multiLevelType w:val="hybridMultilevel"/>
    <w:tmpl w:val="A19C5A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6" w15:restartNumberingAfterBreak="0">
    <w:nsid w:val="3FCE71C2"/>
    <w:multiLevelType w:val="hybridMultilevel"/>
    <w:tmpl w:val="5A64297A"/>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7" w15:restartNumberingAfterBreak="0">
    <w:nsid w:val="410645AD"/>
    <w:multiLevelType w:val="hybridMultilevel"/>
    <w:tmpl w:val="7E946FAA"/>
    <w:lvl w:ilvl="0" w:tplc="0E7870FA">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8" w15:restartNumberingAfterBreak="0">
    <w:nsid w:val="41343727"/>
    <w:multiLevelType w:val="hybridMultilevel"/>
    <w:tmpl w:val="1E04EDE0"/>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41546358"/>
    <w:multiLevelType w:val="hybridMultilevel"/>
    <w:tmpl w:val="EFECC6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0" w15:restartNumberingAfterBreak="0">
    <w:nsid w:val="419D5FF2"/>
    <w:multiLevelType w:val="hybridMultilevel"/>
    <w:tmpl w:val="1B28565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1" w15:restartNumberingAfterBreak="0">
    <w:nsid w:val="433E6522"/>
    <w:multiLevelType w:val="hybridMultilevel"/>
    <w:tmpl w:val="09B0E612"/>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44692DBB"/>
    <w:multiLevelType w:val="hybridMultilevel"/>
    <w:tmpl w:val="30EAD15C"/>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15:restartNumberingAfterBreak="0">
    <w:nsid w:val="45C5542C"/>
    <w:multiLevelType w:val="multilevel"/>
    <w:tmpl w:val="1E66B2A4"/>
    <w:lvl w:ilvl="0">
      <w:start w:val="1"/>
      <w:numFmt w:val="bullet"/>
      <w:pStyle w:val="SPBaseDotList"/>
      <w:lvlText w:val="•"/>
      <w:lvlJc w:val="left"/>
      <w:pPr>
        <w:tabs>
          <w:tab w:val="num" w:pos="360"/>
        </w:tabs>
        <w:ind w:left="340" w:hanging="340"/>
      </w:pPr>
      <w:rPr>
        <w:rFonts w:hAnsi="Arial" w:hint="default"/>
        <w:color w:val="auto"/>
        <w:sz w:val="24"/>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4" w15:restartNumberingAfterBreak="0">
    <w:nsid w:val="46B54113"/>
    <w:multiLevelType w:val="hybridMultilevel"/>
    <w:tmpl w:val="568EFA8E"/>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5" w15:restartNumberingAfterBreak="0">
    <w:nsid w:val="46BA077A"/>
    <w:multiLevelType w:val="multilevel"/>
    <w:tmpl w:val="EEE428D4"/>
    <w:lvl w:ilvl="0">
      <w:start w:val="1"/>
      <w:numFmt w:val="bullet"/>
      <w:lvlText w:val=""/>
      <w:lvlJc w:val="left"/>
      <w:pPr>
        <w:ind w:left="369" w:hanging="369"/>
      </w:pPr>
      <w:rPr>
        <w:rFonts w:ascii="Symbol" w:hAnsi="Symbol" w:hint="default"/>
      </w:rPr>
    </w:lvl>
    <w:lvl w:ilvl="1">
      <w:start w:val="1"/>
      <w:numFmt w:val="none"/>
      <w:lvlText w:val="-"/>
      <w:lvlJc w:val="left"/>
      <w:pPr>
        <w:ind w:left="737" w:hanging="368"/>
      </w:pPr>
      <w:rPr>
        <w:rFonts w:hint="default"/>
      </w:rPr>
    </w:lvl>
    <w:lvl w:ilvl="2">
      <w:start w:val="1"/>
      <w:numFmt w:val="none"/>
      <w:lvlText w:val=":"/>
      <w:lvlJc w:val="left"/>
      <w:pPr>
        <w:ind w:left="1106" w:hanging="369"/>
      </w:pPr>
      <w:rPr>
        <w:rFonts w:hint="default"/>
      </w:rPr>
    </w:lvl>
    <w:lvl w:ilvl="3">
      <w:start w:val="1"/>
      <w:numFmt w:val="none"/>
      <w:lvlText w:val=""/>
      <w:lvlJc w:val="left"/>
      <w:pPr>
        <w:ind w:left="1474" w:hanging="368"/>
      </w:pPr>
      <w:rPr>
        <w:rFonts w:hint="default"/>
        <w:color w:val="auto"/>
      </w:rPr>
    </w:lvl>
    <w:lvl w:ilvl="4">
      <w:start w:val="1"/>
      <w:numFmt w:val="none"/>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46" w15:restartNumberingAfterBreak="0">
    <w:nsid w:val="473208BB"/>
    <w:multiLevelType w:val="hybridMultilevel"/>
    <w:tmpl w:val="F7CA8DCA"/>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7" w15:restartNumberingAfterBreak="0">
    <w:nsid w:val="47A25BAE"/>
    <w:multiLevelType w:val="hybridMultilevel"/>
    <w:tmpl w:val="CCB25C64"/>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15:restartNumberingAfterBreak="0">
    <w:nsid w:val="47D16FF5"/>
    <w:multiLevelType w:val="hybridMultilevel"/>
    <w:tmpl w:val="B96037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9" w15:restartNumberingAfterBreak="0">
    <w:nsid w:val="47D4569E"/>
    <w:multiLevelType w:val="hybridMultilevel"/>
    <w:tmpl w:val="5AD4DC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0" w15:restartNumberingAfterBreak="0">
    <w:nsid w:val="480D5063"/>
    <w:multiLevelType w:val="hybridMultilevel"/>
    <w:tmpl w:val="3E1C2276"/>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15:restartNumberingAfterBreak="0">
    <w:nsid w:val="487C0C18"/>
    <w:multiLevelType w:val="hybridMultilevel"/>
    <w:tmpl w:val="6C0EBE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2" w15:restartNumberingAfterBreak="0">
    <w:nsid w:val="48B935F9"/>
    <w:multiLevelType w:val="hybridMultilevel"/>
    <w:tmpl w:val="B21A44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3" w15:restartNumberingAfterBreak="0">
    <w:nsid w:val="48D26DDB"/>
    <w:multiLevelType w:val="hybridMultilevel"/>
    <w:tmpl w:val="2F2C054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4" w15:restartNumberingAfterBreak="0">
    <w:nsid w:val="48D43B45"/>
    <w:multiLevelType w:val="hybridMultilevel"/>
    <w:tmpl w:val="F06C19D6"/>
    <w:lvl w:ilvl="0" w:tplc="0C090005">
      <w:start w:val="1"/>
      <w:numFmt w:val="bullet"/>
      <w:lvlText w:val=""/>
      <w:lvlJc w:val="left"/>
      <w:pPr>
        <w:tabs>
          <w:tab w:val="num" w:pos="644"/>
        </w:tabs>
        <w:ind w:left="644" w:hanging="360"/>
      </w:pPr>
      <w:rPr>
        <w:rFonts w:ascii="Wingdings" w:hAnsi="Wingdings" w:hint="default"/>
      </w:rPr>
    </w:lvl>
    <w:lvl w:ilvl="1" w:tplc="04090003">
      <w:start w:val="1"/>
      <w:numFmt w:val="bullet"/>
      <w:lvlText w:val="o"/>
      <w:lvlJc w:val="left"/>
      <w:pPr>
        <w:tabs>
          <w:tab w:val="num" w:pos="1364"/>
        </w:tabs>
        <w:ind w:left="1364" w:hanging="360"/>
      </w:pPr>
      <w:rPr>
        <w:rFonts w:ascii="Courier New" w:hAnsi="Courier New" w:hint="default"/>
      </w:rPr>
    </w:lvl>
    <w:lvl w:ilvl="2" w:tplc="04090005" w:tentative="1">
      <w:start w:val="1"/>
      <w:numFmt w:val="bullet"/>
      <w:lvlText w:val=""/>
      <w:lvlJc w:val="left"/>
      <w:pPr>
        <w:tabs>
          <w:tab w:val="num" w:pos="2084"/>
        </w:tabs>
        <w:ind w:left="2084" w:hanging="360"/>
      </w:pPr>
      <w:rPr>
        <w:rFonts w:ascii="Wingdings" w:hAnsi="Wingdings" w:hint="default"/>
      </w:rPr>
    </w:lvl>
    <w:lvl w:ilvl="3" w:tplc="04090001" w:tentative="1">
      <w:start w:val="1"/>
      <w:numFmt w:val="bullet"/>
      <w:lvlText w:val=""/>
      <w:lvlJc w:val="left"/>
      <w:pPr>
        <w:tabs>
          <w:tab w:val="num" w:pos="2804"/>
        </w:tabs>
        <w:ind w:left="2804" w:hanging="360"/>
      </w:pPr>
      <w:rPr>
        <w:rFonts w:ascii="Symbol" w:hAnsi="Symbol" w:hint="default"/>
      </w:rPr>
    </w:lvl>
    <w:lvl w:ilvl="4" w:tplc="04090003" w:tentative="1">
      <w:start w:val="1"/>
      <w:numFmt w:val="bullet"/>
      <w:lvlText w:val="o"/>
      <w:lvlJc w:val="left"/>
      <w:pPr>
        <w:tabs>
          <w:tab w:val="num" w:pos="3524"/>
        </w:tabs>
        <w:ind w:left="3524" w:hanging="360"/>
      </w:pPr>
      <w:rPr>
        <w:rFonts w:ascii="Courier New" w:hAnsi="Courier New" w:hint="default"/>
      </w:rPr>
    </w:lvl>
    <w:lvl w:ilvl="5" w:tplc="04090005" w:tentative="1">
      <w:start w:val="1"/>
      <w:numFmt w:val="bullet"/>
      <w:lvlText w:val=""/>
      <w:lvlJc w:val="left"/>
      <w:pPr>
        <w:tabs>
          <w:tab w:val="num" w:pos="4244"/>
        </w:tabs>
        <w:ind w:left="4244" w:hanging="360"/>
      </w:pPr>
      <w:rPr>
        <w:rFonts w:ascii="Wingdings" w:hAnsi="Wingdings" w:hint="default"/>
      </w:rPr>
    </w:lvl>
    <w:lvl w:ilvl="6" w:tplc="04090001" w:tentative="1">
      <w:start w:val="1"/>
      <w:numFmt w:val="bullet"/>
      <w:lvlText w:val=""/>
      <w:lvlJc w:val="left"/>
      <w:pPr>
        <w:tabs>
          <w:tab w:val="num" w:pos="4964"/>
        </w:tabs>
        <w:ind w:left="4964" w:hanging="360"/>
      </w:pPr>
      <w:rPr>
        <w:rFonts w:ascii="Symbol" w:hAnsi="Symbol" w:hint="default"/>
      </w:rPr>
    </w:lvl>
    <w:lvl w:ilvl="7" w:tplc="04090003" w:tentative="1">
      <w:start w:val="1"/>
      <w:numFmt w:val="bullet"/>
      <w:lvlText w:val="o"/>
      <w:lvlJc w:val="left"/>
      <w:pPr>
        <w:tabs>
          <w:tab w:val="num" w:pos="5684"/>
        </w:tabs>
        <w:ind w:left="5684" w:hanging="360"/>
      </w:pPr>
      <w:rPr>
        <w:rFonts w:ascii="Courier New" w:hAnsi="Courier New" w:hint="default"/>
      </w:rPr>
    </w:lvl>
    <w:lvl w:ilvl="8" w:tplc="04090005" w:tentative="1">
      <w:start w:val="1"/>
      <w:numFmt w:val="bullet"/>
      <w:lvlText w:val=""/>
      <w:lvlJc w:val="left"/>
      <w:pPr>
        <w:tabs>
          <w:tab w:val="num" w:pos="6404"/>
        </w:tabs>
        <w:ind w:left="6404" w:hanging="360"/>
      </w:pPr>
      <w:rPr>
        <w:rFonts w:ascii="Wingdings" w:hAnsi="Wingdings" w:hint="default"/>
      </w:rPr>
    </w:lvl>
  </w:abstractNum>
  <w:abstractNum w:abstractNumId="155" w15:restartNumberingAfterBreak="0">
    <w:nsid w:val="49F4598B"/>
    <w:multiLevelType w:val="hybridMultilevel"/>
    <w:tmpl w:val="822427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6" w15:restartNumberingAfterBreak="0">
    <w:nsid w:val="4ACC2D1D"/>
    <w:multiLevelType w:val="hybridMultilevel"/>
    <w:tmpl w:val="6B74C8C4"/>
    <w:lvl w:ilvl="0" w:tplc="D6948E6A">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7" w15:restartNumberingAfterBreak="0">
    <w:nsid w:val="4AE27E7C"/>
    <w:multiLevelType w:val="hybridMultilevel"/>
    <w:tmpl w:val="8E1653C2"/>
    <w:styleLink w:val="BulletList0"/>
    <w:lvl w:ilvl="0" w:tplc="9BCA1280">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8" w15:restartNumberingAfterBreak="0">
    <w:nsid w:val="4AE7461E"/>
    <w:multiLevelType w:val="hybridMultilevel"/>
    <w:tmpl w:val="0E3EA2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9" w15:restartNumberingAfterBreak="0">
    <w:nsid w:val="4B386EF3"/>
    <w:multiLevelType w:val="hybridMultilevel"/>
    <w:tmpl w:val="4EEAD712"/>
    <w:lvl w:ilvl="0" w:tplc="0E7870FA">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0" w15:restartNumberingAfterBreak="0">
    <w:nsid w:val="4F5A6A47"/>
    <w:multiLevelType w:val="hybridMultilevel"/>
    <w:tmpl w:val="DE48133E"/>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1" w15:restartNumberingAfterBreak="0">
    <w:nsid w:val="504B2241"/>
    <w:multiLevelType w:val="hybridMultilevel"/>
    <w:tmpl w:val="8496000C"/>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2" w15:restartNumberingAfterBreak="0">
    <w:nsid w:val="511600A3"/>
    <w:multiLevelType w:val="hybridMultilevel"/>
    <w:tmpl w:val="3BB632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3" w15:restartNumberingAfterBreak="0">
    <w:nsid w:val="52886E02"/>
    <w:multiLevelType w:val="hybridMultilevel"/>
    <w:tmpl w:val="4262230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4" w15:restartNumberingAfterBreak="0">
    <w:nsid w:val="535941DC"/>
    <w:multiLevelType w:val="hybridMultilevel"/>
    <w:tmpl w:val="93023D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5" w15:restartNumberingAfterBreak="0">
    <w:nsid w:val="53907B79"/>
    <w:multiLevelType w:val="hybridMultilevel"/>
    <w:tmpl w:val="48427C2E"/>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539F4F06"/>
    <w:multiLevelType w:val="hybridMultilevel"/>
    <w:tmpl w:val="D520AFCC"/>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15:restartNumberingAfterBreak="0">
    <w:nsid w:val="53B16279"/>
    <w:multiLevelType w:val="hybridMultilevel"/>
    <w:tmpl w:val="E2E4C20E"/>
    <w:lvl w:ilvl="0" w:tplc="23F269D0">
      <w:start w:val="2"/>
      <w:numFmt w:val="bullet"/>
      <w:lvlText w:val="-"/>
      <w:lvlJc w:val="left"/>
      <w:pPr>
        <w:ind w:left="2064" w:hanging="360"/>
      </w:pPr>
      <w:rPr>
        <w:rFonts w:ascii="Cambria Math" w:eastAsiaTheme="minorHAnsi" w:hAnsi="Cambria Math" w:cs="Cambria Math" w:hint="default"/>
        <w:b/>
        <w:sz w:val="22"/>
      </w:rPr>
    </w:lvl>
    <w:lvl w:ilvl="1" w:tplc="04090003" w:tentative="1">
      <w:start w:val="1"/>
      <w:numFmt w:val="bullet"/>
      <w:lvlText w:val="o"/>
      <w:lvlJc w:val="left"/>
      <w:pPr>
        <w:ind w:left="2784" w:hanging="360"/>
      </w:pPr>
      <w:rPr>
        <w:rFonts w:ascii="Courier New" w:hAnsi="Courier New" w:cs="Courier New" w:hint="default"/>
      </w:rPr>
    </w:lvl>
    <w:lvl w:ilvl="2" w:tplc="04090005" w:tentative="1">
      <w:start w:val="1"/>
      <w:numFmt w:val="bullet"/>
      <w:lvlText w:val=""/>
      <w:lvlJc w:val="left"/>
      <w:pPr>
        <w:ind w:left="3504" w:hanging="360"/>
      </w:pPr>
      <w:rPr>
        <w:rFonts w:ascii="Wingdings" w:hAnsi="Wingdings" w:hint="default"/>
      </w:rPr>
    </w:lvl>
    <w:lvl w:ilvl="3" w:tplc="04090001" w:tentative="1">
      <w:start w:val="1"/>
      <w:numFmt w:val="bullet"/>
      <w:lvlText w:val=""/>
      <w:lvlJc w:val="left"/>
      <w:pPr>
        <w:ind w:left="4224" w:hanging="360"/>
      </w:pPr>
      <w:rPr>
        <w:rFonts w:ascii="Symbol" w:hAnsi="Symbol" w:hint="default"/>
      </w:rPr>
    </w:lvl>
    <w:lvl w:ilvl="4" w:tplc="04090003" w:tentative="1">
      <w:start w:val="1"/>
      <w:numFmt w:val="bullet"/>
      <w:lvlText w:val="o"/>
      <w:lvlJc w:val="left"/>
      <w:pPr>
        <w:ind w:left="4944" w:hanging="360"/>
      </w:pPr>
      <w:rPr>
        <w:rFonts w:ascii="Courier New" w:hAnsi="Courier New" w:cs="Courier New" w:hint="default"/>
      </w:rPr>
    </w:lvl>
    <w:lvl w:ilvl="5" w:tplc="04090005" w:tentative="1">
      <w:start w:val="1"/>
      <w:numFmt w:val="bullet"/>
      <w:lvlText w:val=""/>
      <w:lvlJc w:val="left"/>
      <w:pPr>
        <w:ind w:left="5664" w:hanging="360"/>
      </w:pPr>
      <w:rPr>
        <w:rFonts w:ascii="Wingdings" w:hAnsi="Wingdings" w:hint="default"/>
      </w:rPr>
    </w:lvl>
    <w:lvl w:ilvl="6" w:tplc="04090001" w:tentative="1">
      <w:start w:val="1"/>
      <w:numFmt w:val="bullet"/>
      <w:lvlText w:val=""/>
      <w:lvlJc w:val="left"/>
      <w:pPr>
        <w:ind w:left="6384" w:hanging="360"/>
      </w:pPr>
      <w:rPr>
        <w:rFonts w:ascii="Symbol" w:hAnsi="Symbol" w:hint="default"/>
      </w:rPr>
    </w:lvl>
    <w:lvl w:ilvl="7" w:tplc="04090003" w:tentative="1">
      <w:start w:val="1"/>
      <w:numFmt w:val="bullet"/>
      <w:lvlText w:val="o"/>
      <w:lvlJc w:val="left"/>
      <w:pPr>
        <w:ind w:left="7104" w:hanging="360"/>
      </w:pPr>
      <w:rPr>
        <w:rFonts w:ascii="Courier New" w:hAnsi="Courier New" w:cs="Courier New" w:hint="default"/>
      </w:rPr>
    </w:lvl>
    <w:lvl w:ilvl="8" w:tplc="04090005" w:tentative="1">
      <w:start w:val="1"/>
      <w:numFmt w:val="bullet"/>
      <w:lvlText w:val=""/>
      <w:lvlJc w:val="left"/>
      <w:pPr>
        <w:ind w:left="7824" w:hanging="360"/>
      </w:pPr>
      <w:rPr>
        <w:rFonts w:ascii="Wingdings" w:hAnsi="Wingdings" w:hint="default"/>
      </w:rPr>
    </w:lvl>
  </w:abstractNum>
  <w:abstractNum w:abstractNumId="168" w15:restartNumberingAfterBreak="0">
    <w:nsid w:val="53D854C6"/>
    <w:multiLevelType w:val="multilevel"/>
    <w:tmpl w:val="9EEEBCF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9" w15:restartNumberingAfterBreak="0">
    <w:nsid w:val="53E83CC8"/>
    <w:multiLevelType w:val="hybridMultilevel"/>
    <w:tmpl w:val="F0AE07AE"/>
    <w:lvl w:ilvl="0" w:tplc="0E7870FA">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0" w15:restartNumberingAfterBreak="0">
    <w:nsid w:val="53F223E7"/>
    <w:multiLevelType w:val="hybridMultilevel"/>
    <w:tmpl w:val="01405740"/>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1" w15:restartNumberingAfterBreak="0">
    <w:nsid w:val="54157CD1"/>
    <w:multiLevelType w:val="hybridMultilevel"/>
    <w:tmpl w:val="E3E0A736"/>
    <w:lvl w:ilvl="0" w:tplc="0E7870FA">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2" w15:restartNumberingAfterBreak="0">
    <w:nsid w:val="54A047CB"/>
    <w:multiLevelType w:val="hybridMultilevel"/>
    <w:tmpl w:val="F53215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3" w15:restartNumberingAfterBreak="0">
    <w:nsid w:val="553F1869"/>
    <w:multiLevelType w:val="hybridMultilevel"/>
    <w:tmpl w:val="578630EE"/>
    <w:lvl w:ilvl="0" w:tplc="D6948E6A">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4" w15:restartNumberingAfterBreak="0">
    <w:nsid w:val="55560A51"/>
    <w:multiLevelType w:val="hybridMultilevel"/>
    <w:tmpl w:val="3BCC5CBC"/>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5" w15:restartNumberingAfterBreak="0">
    <w:nsid w:val="556C4ABD"/>
    <w:multiLevelType w:val="hybridMultilevel"/>
    <w:tmpl w:val="0B06255C"/>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6" w15:restartNumberingAfterBreak="0">
    <w:nsid w:val="558C334A"/>
    <w:multiLevelType w:val="hybridMultilevel"/>
    <w:tmpl w:val="C772E18C"/>
    <w:lvl w:ilvl="0" w:tplc="0E7870FA">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7" w15:restartNumberingAfterBreak="0">
    <w:nsid w:val="56D157B5"/>
    <w:multiLevelType w:val="hybridMultilevel"/>
    <w:tmpl w:val="29EEDA90"/>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8" w15:restartNumberingAfterBreak="0">
    <w:nsid w:val="56E55B23"/>
    <w:multiLevelType w:val="hybridMultilevel"/>
    <w:tmpl w:val="B1F47B88"/>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9" w15:restartNumberingAfterBreak="0">
    <w:nsid w:val="57B3388E"/>
    <w:multiLevelType w:val="hybridMultilevel"/>
    <w:tmpl w:val="61985B7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0" w15:restartNumberingAfterBreak="0">
    <w:nsid w:val="58253B1D"/>
    <w:multiLevelType w:val="hybridMultilevel"/>
    <w:tmpl w:val="F104D9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1" w15:restartNumberingAfterBreak="0">
    <w:nsid w:val="58520874"/>
    <w:multiLevelType w:val="hybridMultilevel"/>
    <w:tmpl w:val="7598E7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2" w15:restartNumberingAfterBreak="0">
    <w:nsid w:val="592073E9"/>
    <w:multiLevelType w:val="hybridMultilevel"/>
    <w:tmpl w:val="0C7648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3" w15:restartNumberingAfterBreak="0">
    <w:nsid w:val="59347A7F"/>
    <w:multiLevelType w:val="hybridMultilevel"/>
    <w:tmpl w:val="3C8412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4" w15:restartNumberingAfterBreak="0">
    <w:nsid w:val="59677B66"/>
    <w:multiLevelType w:val="hybridMultilevel"/>
    <w:tmpl w:val="7570B690"/>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5" w15:restartNumberingAfterBreak="0">
    <w:nsid w:val="59974BB1"/>
    <w:multiLevelType w:val="hybridMultilevel"/>
    <w:tmpl w:val="F704FE94"/>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6" w15:restartNumberingAfterBreak="0">
    <w:nsid w:val="59BA0540"/>
    <w:multiLevelType w:val="hybridMultilevel"/>
    <w:tmpl w:val="0FDCD7D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7" w15:restartNumberingAfterBreak="0">
    <w:nsid w:val="59EC0034"/>
    <w:multiLevelType w:val="hybridMultilevel"/>
    <w:tmpl w:val="0A1AE5F0"/>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8" w15:restartNumberingAfterBreak="0">
    <w:nsid w:val="5A6D4F8D"/>
    <w:multiLevelType w:val="hybridMultilevel"/>
    <w:tmpl w:val="23025DFE"/>
    <w:lvl w:ilvl="0" w:tplc="0C090001">
      <w:start w:val="1"/>
      <w:numFmt w:val="bullet"/>
      <w:lvlText w:val=""/>
      <w:lvlJc w:val="left"/>
      <w:pPr>
        <w:ind w:left="1800" w:hanging="360"/>
      </w:pPr>
      <w:rPr>
        <w:rFonts w:ascii="Symbol" w:hAnsi="Symbo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89" w15:restartNumberingAfterBreak="0">
    <w:nsid w:val="5AD612F2"/>
    <w:multiLevelType w:val="hybridMultilevel"/>
    <w:tmpl w:val="FD34538A"/>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0" w15:restartNumberingAfterBreak="0">
    <w:nsid w:val="5AFE1B94"/>
    <w:multiLevelType w:val="hybridMultilevel"/>
    <w:tmpl w:val="659C9B1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1" w15:restartNumberingAfterBreak="0">
    <w:nsid w:val="5B7441F3"/>
    <w:multiLevelType w:val="hybridMultilevel"/>
    <w:tmpl w:val="2B0AA730"/>
    <w:lvl w:ilvl="0" w:tplc="70CA8DAE">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192" w15:restartNumberingAfterBreak="0">
    <w:nsid w:val="5BD832F4"/>
    <w:multiLevelType w:val="hybridMultilevel"/>
    <w:tmpl w:val="F7EE0740"/>
    <w:lvl w:ilvl="0" w:tplc="0C090003">
      <w:start w:val="1"/>
      <w:numFmt w:val="bullet"/>
      <w:lvlText w:val="o"/>
      <w:lvlJc w:val="left"/>
      <w:pPr>
        <w:ind w:left="928" w:hanging="360"/>
      </w:pPr>
      <w:rPr>
        <w:rFonts w:ascii="Courier New" w:hAnsi="Courier New" w:cs="Courier New" w:hint="default"/>
      </w:rPr>
    </w:lvl>
    <w:lvl w:ilvl="1" w:tplc="04090003" w:tentative="1">
      <w:start w:val="1"/>
      <w:numFmt w:val="bullet"/>
      <w:lvlText w:val="o"/>
      <w:lvlJc w:val="left"/>
      <w:pPr>
        <w:ind w:left="1288" w:hanging="360"/>
      </w:pPr>
      <w:rPr>
        <w:rFonts w:ascii="Courier New" w:hAnsi="Courier New" w:cs="Courier New" w:hint="default"/>
      </w:rPr>
    </w:lvl>
    <w:lvl w:ilvl="2" w:tplc="04090005" w:tentative="1">
      <w:start w:val="1"/>
      <w:numFmt w:val="bullet"/>
      <w:lvlText w:val=""/>
      <w:lvlJc w:val="left"/>
      <w:pPr>
        <w:ind w:left="2008" w:hanging="360"/>
      </w:pPr>
      <w:rPr>
        <w:rFonts w:ascii="Wingdings" w:hAnsi="Wingdings" w:hint="default"/>
      </w:rPr>
    </w:lvl>
    <w:lvl w:ilvl="3" w:tplc="04090001" w:tentative="1">
      <w:start w:val="1"/>
      <w:numFmt w:val="bullet"/>
      <w:lvlText w:val=""/>
      <w:lvlJc w:val="left"/>
      <w:pPr>
        <w:ind w:left="2728" w:hanging="360"/>
      </w:pPr>
      <w:rPr>
        <w:rFonts w:ascii="Symbol" w:hAnsi="Symbol" w:hint="default"/>
      </w:rPr>
    </w:lvl>
    <w:lvl w:ilvl="4" w:tplc="04090003" w:tentative="1">
      <w:start w:val="1"/>
      <w:numFmt w:val="bullet"/>
      <w:lvlText w:val="o"/>
      <w:lvlJc w:val="left"/>
      <w:pPr>
        <w:ind w:left="3448" w:hanging="360"/>
      </w:pPr>
      <w:rPr>
        <w:rFonts w:ascii="Courier New" w:hAnsi="Courier New" w:cs="Courier New" w:hint="default"/>
      </w:rPr>
    </w:lvl>
    <w:lvl w:ilvl="5" w:tplc="04090005" w:tentative="1">
      <w:start w:val="1"/>
      <w:numFmt w:val="bullet"/>
      <w:lvlText w:val=""/>
      <w:lvlJc w:val="left"/>
      <w:pPr>
        <w:ind w:left="4168" w:hanging="360"/>
      </w:pPr>
      <w:rPr>
        <w:rFonts w:ascii="Wingdings" w:hAnsi="Wingdings" w:hint="default"/>
      </w:rPr>
    </w:lvl>
    <w:lvl w:ilvl="6" w:tplc="04090001" w:tentative="1">
      <w:start w:val="1"/>
      <w:numFmt w:val="bullet"/>
      <w:lvlText w:val=""/>
      <w:lvlJc w:val="left"/>
      <w:pPr>
        <w:ind w:left="4888" w:hanging="360"/>
      </w:pPr>
      <w:rPr>
        <w:rFonts w:ascii="Symbol" w:hAnsi="Symbol" w:hint="default"/>
      </w:rPr>
    </w:lvl>
    <w:lvl w:ilvl="7" w:tplc="04090003" w:tentative="1">
      <w:start w:val="1"/>
      <w:numFmt w:val="bullet"/>
      <w:lvlText w:val="o"/>
      <w:lvlJc w:val="left"/>
      <w:pPr>
        <w:ind w:left="5608" w:hanging="360"/>
      </w:pPr>
      <w:rPr>
        <w:rFonts w:ascii="Courier New" w:hAnsi="Courier New" w:cs="Courier New" w:hint="default"/>
      </w:rPr>
    </w:lvl>
    <w:lvl w:ilvl="8" w:tplc="04090005" w:tentative="1">
      <w:start w:val="1"/>
      <w:numFmt w:val="bullet"/>
      <w:lvlText w:val=""/>
      <w:lvlJc w:val="left"/>
      <w:pPr>
        <w:ind w:left="6328" w:hanging="360"/>
      </w:pPr>
      <w:rPr>
        <w:rFonts w:ascii="Wingdings" w:hAnsi="Wingdings" w:hint="default"/>
      </w:rPr>
    </w:lvl>
  </w:abstractNum>
  <w:abstractNum w:abstractNumId="193" w15:restartNumberingAfterBreak="0">
    <w:nsid w:val="5C5B577B"/>
    <w:multiLevelType w:val="hybridMultilevel"/>
    <w:tmpl w:val="BEA2D2DA"/>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4" w15:restartNumberingAfterBreak="0">
    <w:nsid w:val="5C9A3949"/>
    <w:multiLevelType w:val="hybridMultilevel"/>
    <w:tmpl w:val="EC446C78"/>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5" w15:restartNumberingAfterBreak="0">
    <w:nsid w:val="5CAB4385"/>
    <w:multiLevelType w:val="hybridMultilevel"/>
    <w:tmpl w:val="EB6C43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6" w15:restartNumberingAfterBreak="0">
    <w:nsid w:val="5D2109CA"/>
    <w:multiLevelType w:val="hybridMultilevel"/>
    <w:tmpl w:val="930A86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7" w15:restartNumberingAfterBreak="0">
    <w:nsid w:val="5D223C07"/>
    <w:multiLevelType w:val="hybridMultilevel"/>
    <w:tmpl w:val="195C2598"/>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8" w15:restartNumberingAfterBreak="0">
    <w:nsid w:val="5D4E4790"/>
    <w:multiLevelType w:val="hybridMultilevel"/>
    <w:tmpl w:val="34C83B9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9" w15:restartNumberingAfterBreak="0">
    <w:nsid w:val="5D597495"/>
    <w:multiLevelType w:val="hybridMultilevel"/>
    <w:tmpl w:val="F0D0E6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0" w15:restartNumberingAfterBreak="0">
    <w:nsid w:val="5E8277C7"/>
    <w:multiLevelType w:val="hybridMultilevel"/>
    <w:tmpl w:val="E1E8461A"/>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1" w15:restartNumberingAfterBreak="0">
    <w:nsid w:val="5EDB4018"/>
    <w:multiLevelType w:val="hybridMultilevel"/>
    <w:tmpl w:val="2654D126"/>
    <w:lvl w:ilvl="0" w:tplc="0E7870FA">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2" w15:restartNumberingAfterBreak="0">
    <w:nsid w:val="5EE012D1"/>
    <w:multiLevelType w:val="hybridMultilevel"/>
    <w:tmpl w:val="BA04B79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03" w15:restartNumberingAfterBreak="0">
    <w:nsid w:val="5F9064E1"/>
    <w:multiLevelType w:val="hybridMultilevel"/>
    <w:tmpl w:val="D61C671A"/>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4" w15:restartNumberingAfterBreak="0">
    <w:nsid w:val="606C5759"/>
    <w:multiLevelType w:val="hybridMultilevel"/>
    <w:tmpl w:val="5366C9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5" w15:restartNumberingAfterBreak="0">
    <w:nsid w:val="608C1CCC"/>
    <w:multiLevelType w:val="hybridMultilevel"/>
    <w:tmpl w:val="D9BA4FC8"/>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6" w15:restartNumberingAfterBreak="0">
    <w:nsid w:val="609E5B43"/>
    <w:multiLevelType w:val="multilevel"/>
    <w:tmpl w:val="65B43DE0"/>
    <w:lvl w:ilvl="0">
      <w:start w:val="1"/>
      <w:numFmt w:val="bullet"/>
      <w:lvlText w:val=""/>
      <w:lvlJc w:val="left"/>
      <w:pPr>
        <w:ind w:left="369" w:hanging="369"/>
      </w:pPr>
      <w:rPr>
        <w:rFonts w:ascii="Symbol" w:hAnsi="Symbol" w:hint="default"/>
      </w:rPr>
    </w:lvl>
    <w:lvl w:ilvl="1">
      <w:start w:val="1"/>
      <w:numFmt w:val="none"/>
      <w:lvlText w:val="-"/>
      <w:lvlJc w:val="left"/>
      <w:pPr>
        <w:ind w:left="737" w:hanging="368"/>
      </w:pPr>
      <w:rPr>
        <w:rFonts w:hint="default"/>
      </w:rPr>
    </w:lvl>
    <w:lvl w:ilvl="2">
      <w:start w:val="1"/>
      <w:numFmt w:val="none"/>
      <w:lvlText w:val=":"/>
      <w:lvlJc w:val="left"/>
      <w:pPr>
        <w:ind w:left="1106" w:hanging="369"/>
      </w:pPr>
      <w:rPr>
        <w:rFonts w:hint="default"/>
      </w:rPr>
    </w:lvl>
    <w:lvl w:ilvl="3">
      <w:start w:val="1"/>
      <w:numFmt w:val="none"/>
      <w:lvlText w:val=""/>
      <w:lvlJc w:val="left"/>
      <w:pPr>
        <w:ind w:left="1474" w:hanging="368"/>
      </w:pPr>
      <w:rPr>
        <w:rFonts w:hint="default"/>
        <w:color w:val="auto"/>
      </w:rPr>
    </w:lvl>
    <w:lvl w:ilvl="4">
      <w:start w:val="1"/>
      <w:numFmt w:val="none"/>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207" w15:restartNumberingAfterBreak="0">
    <w:nsid w:val="616A60D9"/>
    <w:multiLevelType w:val="hybridMultilevel"/>
    <w:tmpl w:val="6366D926"/>
    <w:lvl w:ilvl="0" w:tplc="0E7870FA">
      <w:start w:val="1"/>
      <w:numFmt w:val="bullet"/>
      <w:lvlText w:val=""/>
      <w:lvlJc w:val="left"/>
      <w:pPr>
        <w:ind w:left="644" w:hanging="360"/>
      </w:pPr>
      <w:rPr>
        <w:rFonts w:ascii="Symbol" w:hAnsi="Symbol" w:hint="default"/>
      </w:rPr>
    </w:lvl>
    <w:lvl w:ilvl="1" w:tplc="04090003" w:tentative="1">
      <w:start w:val="1"/>
      <w:numFmt w:val="bullet"/>
      <w:lvlText w:val="o"/>
      <w:lvlJc w:val="left"/>
      <w:pPr>
        <w:ind w:left="1004" w:hanging="360"/>
      </w:pPr>
      <w:rPr>
        <w:rFonts w:ascii="Courier New" w:hAnsi="Courier New" w:cs="Courier New" w:hint="default"/>
      </w:rPr>
    </w:lvl>
    <w:lvl w:ilvl="2" w:tplc="04090005" w:tentative="1">
      <w:start w:val="1"/>
      <w:numFmt w:val="bullet"/>
      <w:lvlText w:val=""/>
      <w:lvlJc w:val="left"/>
      <w:pPr>
        <w:ind w:left="1724" w:hanging="360"/>
      </w:pPr>
      <w:rPr>
        <w:rFonts w:ascii="Wingdings" w:hAnsi="Wingdings" w:hint="default"/>
      </w:rPr>
    </w:lvl>
    <w:lvl w:ilvl="3" w:tplc="04090001" w:tentative="1">
      <w:start w:val="1"/>
      <w:numFmt w:val="bullet"/>
      <w:lvlText w:val=""/>
      <w:lvlJc w:val="left"/>
      <w:pPr>
        <w:ind w:left="2444" w:hanging="360"/>
      </w:pPr>
      <w:rPr>
        <w:rFonts w:ascii="Symbol" w:hAnsi="Symbol" w:hint="default"/>
      </w:rPr>
    </w:lvl>
    <w:lvl w:ilvl="4" w:tplc="04090003" w:tentative="1">
      <w:start w:val="1"/>
      <w:numFmt w:val="bullet"/>
      <w:lvlText w:val="o"/>
      <w:lvlJc w:val="left"/>
      <w:pPr>
        <w:ind w:left="3164" w:hanging="360"/>
      </w:pPr>
      <w:rPr>
        <w:rFonts w:ascii="Courier New" w:hAnsi="Courier New" w:cs="Courier New" w:hint="default"/>
      </w:rPr>
    </w:lvl>
    <w:lvl w:ilvl="5" w:tplc="04090005" w:tentative="1">
      <w:start w:val="1"/>
      <w:numFmt w:val="bullet"/>
      <w:lvlText w:val=""/>
      <w:lvlJc w:val="left"/>
      <w:pPr>
        <w:ind w:left="3884" w:hanging="360"/>
      </w:pPr>
      <w:rPr>
        <w:rFonts w:ascii="Wingdings" w:hAnsi="Wingdings" w:hint="default"/>
      </w:rPr>
    </w:lvl>
    <w:lvl w:ilvl="6" w:tplc="04090001" w:tentative="1">
      <w:start w:val="1"/>
      <w:numFmt w:val="bullet"/>
      <w:lvlText w:val=""/>
      <w:lvlJc w:val="left"/>
      <w:pPr>
        <w:ind w:left="4604" w:hanging="360"/>
      </w:pPr>
      <w:rPr>
        <w:rFonts w:ascii="Symbol" w:hAnsi="Symbol" w:hint="default"/>
      </w:rPr>
    </w:lvl>
    <w:lvl w:ilvl="7" w:tplc="04090003" w:tentative="1">
      <w:start w:val="1"/>
      <w:numFmt w:val="bullet"/>
      <w:lvlText w:val="o"/>
      <w:lvlJc w:val="left"/>
      <w:pPr>
        <w:ind w:left="5324" w:hanging="360"/>
      </w:pPr>
      <w:rPr>
        <w:rFonts w:ascii="Courier New" w:hAnsi="Courier New" w:cs="Courier New" w:hint="default"/>
      </w:rPr>
    </w:lvl>
    <w:lvl w:ilvl="8" w:tplc="04090005" w:tentative="1">
      <w:start w:val="1"/>
      <w:numFmt w:val="bullet"/>
      <w:lvlText w:val=""/>
      <w:lvlJc w:val="left"/>
      <w:pPr>
        <w:ind w:left="6044" w:hanging="360"/>
      </w:pPr>
      <w:rPr>
        <w:rFonts w:ascii="Wingdings" w:hAnsi="Wingdings" w:hint="default"/>
      </w:rPr>
    </w:lvl>
  </w:abstractNum>
  <w:abstractNum w:abstractNumId="208" w15:restartNumberingAfterBreak="0">
    <w:nsid w:val="62B2204A"/>
    <w:multiLevelType w:val="hybridMultilevel"/>
    <w:tmpl w:val="D33087B2"/>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9" w15:restartNumberingAfterBreak="0">
    <w:nsid w:val="63A57EB1"/>
    <w:multiLevelType w:val="hybridMultilevel"/>
    <w:tmpl w:val="34225036"/>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0" w15:restartNumberingAfterBreak="0">
    <w:nsid w:val="63D64C96"/>
    <w:multiLevelType w:val="hybridMultilevel"/>
    <w:tmpl w:val="A360375A"/>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004" w:hanging="360"/>
      </w:pPr>
      <w:rPr>
        <w:rFonts w:ascii="Courier New" w:hAnsi="Courier New" w:cs="Courier New" w:hint="default"/>
      </w:rPr>
    </w:lvl>
    <w:lvl w:ilvl="2" w:tplc="04090005" w:tentative="1">
      <w:start w:val="1"/>
      <w:numFmt w:val="bullet"/>
      <w:lvlText w:val=""/>
      <w:lvlJc w:val="left"/>
      <w:pPr>
        <w:ind w:left="1724" w:hanging="360"/>
      </w:pPr>
      <w:rPr>
        <w:rFonts w:ascii="Wingdings" w:hAnsi="Wingdings" w:hint="default"/>
      </w:rPr>
    </w:lvl>
    <w:lvl w:ilvl="3" w:tplc="04090001" w:tentative="1">
      <w:start w:val="1"/>
      <w:numFmt w:val="bullet"/>
      <w:lvlText w:val=""/>
      <w:lvlJc w:val="left"/>
      <w:pPr>
        <w:ind w:left="2444" w:hanging="360"/>
      </w:pPr>
      <w:rPr>
        <w:rFonts w:ascii="Symbol" w:hAnsi="Symbol" w:hint="default"/>
      </w:rPr>
    </w:lvl>
    <w:lvl w:ilvl="4" w:tplc="04090003" w:tentative="1">
      <w:start w:val="1"/>
      <w:numFmt w:val="bullet"/>
      <w:lvlText w:val="o"/>
      <w:lvlJc w:val="left"/>
      <w:pPr>
        <w:ind w:left="3164" w:hanging="360"/>
      </w:pPr>
      <w:rPr>
        <w:rFonts w:ascii="Courier New" w:hAnsi="Courier New" w:cs="Courier New" w:hint="default"/>
      </w:rPr>
    </w:lvl>
    <w:lvl w:ilvl="5" w:tplc="04090005" w:tentative="1">
      <w:start w:val="1"/>
      <w:numFmt w:val="bullet"/>
      <w:lvlText w:val=""/>
      <w:lvlJc w:val="left"/>
      <w:pPr>
        <w:ind w:left="3884" w:hanging="360"/>
      </w:pPr>
      <w:rPr>
        <w:rFonts w:ascii="Wingdings" w:hAnsi="Wingdings" w:hint="default"/>
      </w:rPr>
    </w:lvl>
    <w:lvl w:ilvl="6" w:tplc="04090001" w:tentative="1">
      <w:start w:val="1"/>
      <w:numFmt w:val="bullet"/>
      <w:lvlText w:val=""/>
      <w:lvlJc w:val="left"/>
      <w:pPr>
        <w:ind w:left="4604" w:hanging="360"/>
      </w:pPr>
      <w:rPr>
        <w:rFonts w:ascii="Symbol" w:hAnsi="Symbol" w:hint="default"/>
      </w:rPr>
    </w:lvl>
    <w:lvl w:ilvl="7" w:tplc="04090003" w:tentative="1">
      <w:start w:val="1"/>
      <w:numFmt w:val="bullet"/>
      <w:lvlText w:val="o"/>
      <w:lvlJc w:val="left"/>
      <w:pPr>
        <w:ind w:left="5324" w:hanging="360"/>
      </w:pPr>
      <w:rPr>
        <w:rFonts w:ascii="Courier New" w:hAnsi="Courier New" w:cs="Courier New" w:hint="default"/>
      </w:rPr>
    </w:lvl>
    <w:lvl w:ilvl="8" w:tplc="04090005" w:tentative="1">
      <w:start w:val="1"/>
      <w:numFmt w:val="bullet"/>
      <w:lvlText w:val=""/>
      <w:lvlJc w:val="left"/>
      <w:pPr>
        <w:ind w:left="6044" w:hanging="360"/>
      </w:pPr>
      <w:rPr>
        <w:rFonts w:ascii="Wingdings" w:hAnsi="Wingdings" w:hint="default"/>
      </w:rPr>
    </w:lvl>
  </w:abstractNum>
  <w:abstractNum w:abstractNumId="211" w15:restartNumberingAfterBreak="0">
    <w:nsid w:val="645D0DE3"/>
    <w:multiLevelType w:val="hybridMultilevel"/>
    <w:tmpl w:val="3070ACF6"/>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2" w15:restartNumberingAfterBreak="0">
    <w:nsid w:val="64E859A1"/>
    <w:multiLevelType w:val="hybridMultilevel"/>
    <w:tmpl w:val="7DC670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3" w15:restartNumberingAfterBreak="0">
    <w:nsid w:val="65216578"/>
    <w:multiLevelType w:val="hybridMultilevel"/>
    <w:tmpl w:val="D1EAB826"/>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4" w15:restartNumberingAfterBreak="0">
    <w:nsid w:val="6535789C"/>
    <w:multiLevelType w:val="hybridMultilevel"/>
    <w:tmpl w:val="743E0A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5" w15:restartNumberingAfterBreak="0">
    <w:nsid w:val="67487989"/>
    <w:multiLevelType w:val="hybridMultilevel"/>
    <w:tmpl w:val="83B08874"/>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6" w15:restartNumberingAfterBreak="0">
    <w:nsid w:val="67864164"/>
    <w:multiLevelType w:val="hybridMultilevel"/>
    <w:tmpl w:val="D9FAE2F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7" w15:restartNumberingAfterBreak="0">
    <w:nsid w:val="67AB617C"/>
    <w:multiLevelType w:val="hybridMultilevel"/>
    <w:tmpl w:val="4A04D0A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8" w15:restartNumberingAfterBreak="0">
    <w:nsid w:val="67C11164"/>
    <w:multiLevelType w:val="hybridMultilevel"/>
    <w:tmpl w:val="A69A11A2"/>
    <w:lvl w:ilvl="0" w:tplc="0E7870FA">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9" w15:restartNumberingAfterBreak="0">
    <w:nsid w:val="68EB434C"/>
    <w:multiLevelType w:val="hybridMultilevel"/>
    <w:tmpl w:val="F2624482"/>
    <w:lvl w:ilvl="0" w:tplc="9E6AC38C">
      <w:start w:val="1"/>
      <w:numFmt w:val="bullet"/>
      <w:pStyle w:val="dashpoint"/>
      <w:lvlText w:val=""/>
      <w:lvlJc w:val="left"/>
      <w:pPr>
        <w:tabs>
          <w:tab w:val="num" w:pos="1069"/>
        </w:tabs>
        <w:ind w:left="1069" w:hanging="360"/>
      </w:pPr>
      <w:rPr>
        <w:rFonts w:ascii="Symbol" w:hAnsi="Symbol" w:hint="default"/>
        <w:sz w:val="24"/>
      </w:rPr>
    </w:lvl>
    <w:lvl w:ilvl="1" w:tplc="82FA368A" w:tentative="1">
      <w:start w:val="1"/>
      <w:numFmt w:val="bullet"/>
      <w:lvlText w:val="o"/>
      <w:lvlJc w:val="left"/>
      <w:pPr>
        <w:tabs>
          <w:tab w:val="num" w:pos="1069"/>
        </w:tabs>
        <w:ind w:left="1069" w:hanging="360"/>
      </w:pPr>
      <w:rPr>
        <w:rFonts w:ascii="Courier New" w:hAnsi="Courier New" w:hint="default"/>
      </w:rPr>
    </w:lvl>
    <w:lvl w:ilvl="2" w:tplc="BF90B2E4" w:tentative="1">
      <w:start w:val="1"/>
      <w:numFmt w:val="bullet"/>
      <w:lvlText w:val=""/>
      <w:lvlJc w:val="left"/>
      <w:pPr>
        <w:tabs>
          <w:tab w:val="num" w:pos="1789"/>
        </w:tabs>
        <w:ind w:left="1789" w:hanging="360"/>
      </w:pPr>
      <w:rPr>
        <w:rFonts w:ascii="Wingdings" w:hAnsi="Wingdings" w:hint="default"/>
      </w:rPr>
    </w:lvl>
    <w:lvl w:ilvl="3" w:tplc="481235A6" w:tentative="1">
      <w:start w:val="1"/>
      <w:numFmt w:val="bullet"/>
      <w:lvlText w:val=""/>
      <w:lvlJc w:val="left"/>
      <w:pPr>
        <w:tabs>
          <w:tab w:val="num" w:pos="2509"/>
        </w:tabs>
        <w:ind w:left="2509" w:hanging="360"/>
      </w:pPr>
      <w:rPr>
        <w:rFonts w:ascii="Symbol" w:hAnsi="Symbol" w:hint="default"/>
      </w:rPr>
    </w:lvl>
    <w:lvl w:ilvl="4" w:tplc="AEEE74DA" w:tentative="1">
      <w:start w:val="1"/>
      <w:numFmt w:val="bullet"/>
      <w:lvlText w:val="o"/>
      <w:lvlJc w:val="left"/>
      <w:pPr>
        <w:tabs>
          <w:tab w:val="num" w:pos="3229"/>
        </w:tabs>
        <w:ind w:left="3229" w:hanging="360"/>
      </w:pPr>
      <w:rPr>
        <w:rFonts w:ascii="Courier New" w:hAnsi="Courier New" w:hint="default"/>
      </w:rPr>
    </w:lvl>
    <w:lvl w:ilvl="5" w:tplc="4B960BEA" w:tentative="1">
      <w:start w:val="1"/>
      <w:numFmt w:val="bullet"/>
      <w:lvlText w:val=""/>
      <w:lvlJc w:val="left"/>
      <w:pPr>
        <w:tabs>
          <w:tab w:val="num" w:pos="3949"/>
        </w:tabs>
        <w:ind w:left="3949" w:hanging="360"/>
      </w:pPr>
      <w:rPr>
        <w:rFonts w:ascii="Wingdings" w:hAnsi="Wingdings" w:hint="default"/>
      </w:rPr>
    </w:lvl>
    <w:lvl w:ilvl="6" w:tplc="7B7E048C" w:tentative="1">
      <w:start w:val="1"/>
      <w:numFmt w:val="bullet"/>
      <w:lvlText w:val=""/>
      <w:lvlJc w:val="left"/>
      <w:pPr>
        <w:tabs>
          <w:tab w:val="num" w:pos="4669"/>
        </w:tabs>
        <w:ind w:left="4669" w:hanging="360"/>
      </w:pPr>
      <w:rPr>
        <w:rFonts w:ascii="Symbol" w:hAnsi="Symbol" w:hint="default"/>
      </w:rPr>
    </w:lvl>
    <w:lvl w:ilvl="7" w:tplc="DE749956" w:tentative="1">
      <w:start w:val="1"/>
      <w:numFmt w:val="bullet"/>
      <w:lvlText w:val="o"/>
      <w:lvlJc w:val="left"/>
      <w:pPr>
        <w:tabs>
          <w:tab w:val="num" w:pos="5389"/>
        </w:tabs>
        <w:ind w:left="5389" w:hanging="360"/>
      </w:pPr>
      <w:rPr>
        <w:rFonts w:ascii="Courier New" w:hAnsi="Courier New" w:hint="default"/>
      </w:rPr>
    </w:lvl>
    <w:lvl w:ilvl="8" w:tplc="F84C294E" w:tentative="1">
      <w:start w:val="1"/>
      <w:numFmt w:val="bullet"/>
      <w:lvlText w:val=""/>
      <w:lvlJc w:val="left"/>
      <w:pPr>
        <w:tabs>
          <w:tab w:val="num" w:pos="6109"/>
        </w:tabs>
        <w:ind w:left="6109" w:hanging="360"/>
      </w:pPr>
      <w:rPr>
        <w:rFonts w:ascii="Wingdings" w:hAnsi="Wingdings" w:hint="default"/>
      </w:rPr>
    </w:lvl>
  </w:abstractNum>
  <w:abstractNum w:abstractNumId="220" w15:restartNumberingAfterBreak="0">
    <w:nsid w:val="69E840FA"/>
    <w:multiLevelType w:val="hybridMultilevel"/>
    <w:tmpl w:val="D49ACF6A"/>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1" w15:restartNumberingAfterBreak="0">
    <w:nsid w:val="6A411CB6"/>
    <w:multiLevelType w:val="hybridMultilevel"/>
    <w:tmpl w:val="57802F2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2" w15:restartNumberingAfterBreak="0">
    <w:nsid w:val="6A796A09"/>
    <w:multiLevelType w:val="hybridMultilevel"/>
    <w:tmpl w:val="327E9494"/>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3" w15:restartNumberingAfterBreak="0">
    <w:nsid w:val="6AEA5A6B"/>
    <w:multiLevelType w:val="hybridMultilevel"/>
    <w:tmpl w:val="0F0E03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4" w15:restartNumberingAfterBreak="0">
    <w:nsid w:val="6AEC2C88"/>
    <w:multiLevelType w:val="hybridMultilevel"/>
    <w:tmpl w:val="518CCE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5" w15:restartNumberingAfterBreak="0">
    <w:nsid w:val="6AEE0A0D"/>
    <w:multiLevelType w:val="hybridMultilevel"/>
    <w:tmpl w:val="A6661CF8"/>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6" w15:restartNumberingAfterBreak="0">
    <w:nsid w:val="6B3116D2"/>
    <w:multiLevelType w:val="hybridMultilevel"/>
    <w:tmpl w:val="7786EE0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7" w15:restartNumberingAfterBreak="0">
    <w:nsid w:val="6B9909ED"/>
    <w:multiLevelType w:val="hybridMultilevel"/>
    <w:tmpl w:val="D19CF812"/>
    <w:lvl w:ilvl="0" w:tplc="0C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8" w15:restartNumberingAfterBreak="0">
    <w:nsid w:val="6BB41B73"/>
    <w:multiLevelType w:val="hybridMultilevel"/>
    <w:tmpl w:val="89C862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9" w15:restartNumberingAfterBreak="0">
    <w:nsid w:val="6BF733E1"/>
    <w:multiLevelType w:val="hybridMultilevel"/>
    <w:tmpl w:val="D36C72F2"/>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0" w15:restartNumberingAfterBreak="0">
    <w:nsid w:val="6CC93974"/>
    <w:multiLevelType w:val="hybridMultilevel"/>
    <w:tmpl w:val="A014BD0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1" w15:restartNumberingAfterBreak="0">
    <w:nsid w:val="6CD61041"/>
    <w:multiLevelType w:val="hybridMultilevel"/>
    <w:tmpl w:val="81A05204"/>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2" w15:restartNumberingAfterBreak="0">
    <w:nsid w:val="6DE071CD"/>
    <w:multiLevelType w:val="hybridMultilevel"/>
    <w:tmpl w:val="25547174"/>
    <w:lvl w:ilvl="0" w:tplc="0C090005">
      <w:start w:val="1"/>
      <w:numFmt w:val="bullet"/>
      <w:lvlText w:val=""/>
      <w:lvlJc w:val="left"/>
      <w:pPr>
        <w:ind w:left="644" w:hanging="360"/>
      </w:pPr>
      <w:rPr>
        <w:rFonts w:ascii="Wingdings" w:hAnsi="Wingdings" w:hint="default"/>
      </w:rPr>
    </w:lvl>
    <w:lvl w:ilvl="1" w:tplc="0C090003">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33" w15:restartNumberingAfterBreak="0">
    <w:nsid w:val="6E686BF9"/>
    <w:multiLevelType w:val="hybridMultilevel"/>
    <w:tmpl w:val="E20C6A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4" w15:restartNumberingAfterBreak="0">
    <w:nsid w:val="6F090CC5"/>
    <w:multiLevelType w:val="hybridMultilevel"/>
    <w:tmpl w:val="1AA0D3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5" w15:restartNumberingAfterBreak="0">
    <w:nsid w:val="6F113253"/>
    <w:multiLevelType w:val="hybridMultilevel"/>
    <w:tmpl w:val="C7209A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6" w15:restartNumberingAfterBreak="0">
    <w:nsid w:val="6F1E2FE0"/>
    <w:multiLevelType w:val="hybridMultilevel"/>
    <w:tmpl w:val="BC42D974"/>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7" w15:restartNumberingAfterBreak="0">
    <w:nsid w:val="6F6F5690"/>
    <w:multiLevelType w:val="hybridMultilevel"/>
    <w:tmpl w:val="1F86AB0E"/>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8" w15:restartNumberingAfterBreak="0">
    <w:nsid w:val="6FFB4CD4"/>
    <w:multiLevelType w:val="hybridMultilevel"/>
    <w:tmpl w:val="F7CCEF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9" w15:restartNumberingAfterBreak="0">
    <w:nsid w:val="70413875"/>
    <w:multiLevelType w:val="hybridMultilevel"/>
    <w:tmpl w:val="5CF480F2"/>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0" w15:restartNumberingAfterBreak="0">
    <w:nsid w:val="70FD7BB0"/>
    <w:multiLevelType w:val="hybridMultilevel"/>
    <w:tmpl w:val="CE7640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1" w15:restartNumberingAfterBreak="0">
    <w:nsid w:val="718C499B"/>
    <w:multiLevelType w:val="hybridMultilevel"/>
    <w:tmpl w:val="BBA062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2" w15:restartNumberingAfterBreak="0">
    <w:nsid w:val="71E65EC2"/>
    <w:multiLevelType w:val="hybridMultilevel"/>
    <w:tmpl w:val="E96C837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43" w15:restartNumberingAfterBreak="0">
    <w:nsid w:val="724E5FCF"/>
    <w:multiLevelType w:val="hybridMultilevel"/>
    <w:tmpl w:val="CB82BB06"/>
    <w:lvl w:ilvl="0" w:tplc="0E7870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4" w15:restartNumberingAfterBreak="0">
    <w:nsid w:val="7282310E"/>
    <w:multiLevelType w:val="hybridMultilevel"/>
    <w:tmpl w:val="FBAE0128"/>
    <w:lvl w:ilvl="0" w:tplc="D6948E6A">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5" w15:restartNumberingAfterBreak="0">
    <w:nsid w:val="72E8026B"/>
    <w:multiLevelType w:val="hybridMultilevel"/>
    <w:tmpl w:val="F924A2F6"/>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6" w15:restartNumberingAfterBreak="0">
    <w:nsid w:val="72F45E1F"/>
    <w:multiLevelType w:val="hybridMultilevel"/>
    <w:tmpl w:val="1C3233A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47" w15:restartNumberingAfterBreak="0">
    <w:nsid w:val="737D483E"/>
    <w:multiLevelType w:val="hybridMultilevel"/>
    <w:tmpl w:val="5AD2B3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8" w15:restartNumberingAfterBreak="0">
    <w:nsid w:val="73875C96"/>
    <w:multiLevelType w:val="hybridMultilevel"/>
    <w:tmpl w:val="7DFA6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9" w15:restartNumberingAfterBreak="0">
    <w:nsid w:val="73B06DAB"/>
    <w:multiLevelType w:val="hybridMultilevel"/>
    <w:tmpl w:val="7460F0F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0" w15:restartNumberingAfterBreak="0">
    <w:nsid w:val="743E2F8F"/>
    <w:multiLevelType w:val="hybridMultilevel"/>
    <w:tmpl w:val="6408E6C0"/>
    <w:lvl w:ilvl="0" w:tplc="0E7870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15:restartNumberingAfterBreak="0">
    <w:nsid w:val="75713CB7"/>
    <w:multiLevelType w:val="hybridMultilevel"/>
    <w:tmpl w:val="0446296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52" w15:restartNumberingAfterBreak="0">
    <w:nsid w:val="7571534F"/>
    <w:multiLevelType w:val="hybridMultilevel"/>
    <w:tmpl w:val="989E86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3" w15:restartNumberingAfterBreak="0">
    <w:nsid w:val="758A0840"/>
    <w:multiLevelType w:val="hybridMultilevel"/>
    <w:tmpl w:val="78747CBC"/>
    <w:lvl w:ilvl="0" w:tplc="0E7870FA">
      <w:start w:val="1"/>
      <w:numFmt w:val="bullet"/>
      <w:lvlText w:val=""/>
      <w:lvlJc w:val="left"/>
      <w:pPr>
        <w:ind w:left="360" w:hanging="360"/>
      </w:pPr>
      <w:rPr>
        <w:rFonts w:ascii="Symbol" w:hAnsi="Symbol" w:hint="default"/>
      </w:rPr>
    </w:lvl>
    <w:lvl w:ilvl="1" w:tplc="0C090005">
      <w:start w:val="1"/>
      <w:numFmt w:val="bullet"/>
      <w:lvlText w:val=""/>
      <w:lvlJc w:val="left"/>
      <w:pPr>
        <w:ind w:left="1080" w:hanging="360"/>
      </w:pPr>
      <w:rPr>
        <w:rFonts w:ascii="Wingdings" w:hAnsi="Wingdings"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4" w15:restartNumberingAfterBreak="0">
    <w:nsid w:val="76752A57"/>
    <w:multiLevelType w:val="hybridMultilevel"/>
    <w:tmpl w:val="2A5C56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5" w15:restartNumberingAfterBreak="0">
    <w:nsid w:val="77885B61"/>
    <w:multiLevelType w:val="hybridMultilevel"/>
    <w:tmpl w:val="AC8AD6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6" w15:restartNumberingAfterBreak="0">
    <w:nsid w:val="77AD09EC"/>
    <w:multiLevelType w:val="hybridMultilevel"/>
    <w:tmpl w:val="BA3E6E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7" w15:restartNumberingAfterBreak="0">
    <w:nsid w:val="78134683"/>
    <w:multiLevelType w:val="hybridMultilevel"/>
    <w:tmpl w:val="CBC028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8" w15:restartNumberingAfterBreak="0">
    <w:nsid w:val="7CB63539"/>
    <w:multiLevelType w:val="hybridMultilevel"/>
    <w:tmpl w:val="FFAAD17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9" w15:restartNumberingAfterBreak="0">
    <w:nsid w:val="7CF10B2E"/>
    <w:multiLevelType w:val="hybridMultilevel"/>
    <w:tmpl w:val="4B08D4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0" w15:restartNumberingAfterBreak="0">
    <w:nsid w:val="7D3659DB"/>
    <w:multiLevelType w:val="hybridMultilevel"/>
    <w:tmpl w:val="639814F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1" w15:restartNumberingAfterBreak="0">
    <w:nsid w:val="7D365D57"/>
    <w:multiLevelType w:val="hybridMultilevel"/>
    <w:tmpl w:val="540A59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2" w15:restartNumberingAfterBreak="0">
    <w:nsid w:val="7E7512E8"/>
    <w:multiLevelType w:val="hybridMultilevel"/>
    <w:tmpl w:val="FF424AE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3" w15:restartNumberingAfterBreak="0">
    <w:nsid w:val="7EAC60C1"/>
    <w:multiLevelType w:val="hybridMultilevel"/>
    <w:tmpl w:val="1C508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4" w15:restartNumberingAfterBreak="0">
    <w:nsid w:val="7EB41E97"/>
    <w:multiLevelType w:val="hybridMultilevel"/>
    <w:tmpl w:val="9C7CE2DC"/>
    <w:lvl w:ilvl="0" w:tplc="0C090003">
      <w:start w:val="1"/>
      <w:numFmt w:val="bullet"/>
      <w:lvlText w:val="o"/>
      <w:lvlJc w:val="left"/>
      <w:pPr>
        <w:ind w:left="1004" w:hanging="360"/>
      </w:pPr>
      <w:rPr>
        <w:rFonts w:ascii="Courier New" w:hAnsi="Courier New" w:cs="Courier New"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265" w15:restartNumberingAfterBreak="0">
    <w:nsid w:val="7EEC6592"/>
    <w:multiLevelType w:val="hybridMultilevel"/>
    <w:tmpl w:val="0E1EE940"/>
    <w:lvl w:ilvl="0" w:tplc="D6948E6A">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6" w15:restartNumberingAfterBreak="0">
    <w:nsid w:val="7EF668DD"/>
    <w:multiLevelType w:val="multilevel"/>
    <w:tmpl w:val="2486946C"/>
    <w:lvl w:ilvl="0">
      <w:start w:val="1"/>
      <w:numFmt w:val="bullet"/>
      <w:lvlText w:val=""/>
      <w:lvlJc w:val="left"/>
      <w:pPr>
        <w:ind w:left="369" w:hanging="369"/>
      </w:pPr>
      <w:rPr>
        <w:rFonts w:ascii="Symbol" w:hAnsi="Symbol" w:hint="default"/>
      </w:rPr>
    </w:lvl>
    <w:lvl w:ilvl="1">
      <w:start w:val="1"/>
      <w:numFmt w:val="none"/>
      <w:lvlText w:val="-"/>
      <w:lvlJc w:val="left"/>
      <w:pPr>
        <w:ind w:left="737" w:hanging="368"/>
      </w:pPr>
      <w:rPr>
        <w:rFonts w:hint="default"/>
      </w:rPr>
    </w:lvl>
    <w:lvl w:ilvl="2">
      <w:start w:val="1"/>
      <w:numFmt w:val="none"/>
      <w:lvlText w:val=":"/>
      <w:lvlJc w:val="left"/>
      <w:pPr>
        <w:ind w:left="1106" w:hanging="369"/>
      </w:pPr>
      <w:rPr>
        <w:rFonts w:hint="default"/>
      </w:rPr>
    </w:lvl>
    <w:lvl w:ilvl="3">
      <w:start w:val="1"/>
      <w:numFmt w:val="none"/>
      <w:lvlText w:val=""/>
      <w:lvlJc w:val="left"/>
      <w:pPr>
        <w:ind w:left="1474" w:hanging="368"/>
      </w:pPr>
      <w:rPr>
        <w:rFonts w:hint="default"/>
        <w:color w:val="auto"/>
      </w:rPr>
    </w:lvl>
    <w:lvl w:ilvl="4">
      <w:start w:val="1"/>
      <w:numFmt w:val="none"/>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267" w15:restartNumberingAfterBreak="0">
    <w:nsid w:val="7F2F0A16"/>
    <w:multiLevelType w:val="hybridMultilevel"/>
    <w:tmpl w:val="5D260704"/>
    <w:lvl w:ilvl="0" w:tplc="0C090003">
      <w:start w:val="1"/>
      <w:numFmt w:val="bullet"/>
      <w:lvlText w:val="o"/>
      <w:lvlJc w:val="left"/>
      <w:pPr>
        <w:ind w:left="264" w:hanging="360"/>
      </w:pPr>
      <w:rPr>
        <w:rFonts w:ascii="Courier New" w:hAnsi="Courier New" w:cs="Courier New" w:hint="default"/>
      </w:rPr>
    </w:lvl>
    <w:lvl w:ilvl="1" w:tplc="0C090003">
      <w:start w:val="1"/>
      <w:numFmt w:val="bullet"/>
      <w:lvlText w:val="o"/>
      <w:lvlJc w:val="left"/>
      <w:pPr>
        <w:ind w:left="984" w:hanging="360"/>
      </w:pPr>
      <w:rPr>
        <w:rFonts w:ascii="Courier New" w:hAnsi="Courier New" w:cs="Courier New" w:hint="default"/>
      </w:rPr>
    </w:lvl>
    <w:lvl w:ilvl="2" w:tplc="0C090005" w:tentative="1">
      <w:start w:val="1"/>
      <w:numFmt w:val="bullet"/>
      <w:lvlText w:val=""/>
      <w:lvlJc w:val="left"/>
      <w:pPr>
        <w:ind w:left="1704" w:hanging="360"/>
      </w:pPr>
      <w:rPr>
        <w:rFonts w:ascii="Wingdings" w:hAnsi="Wingdings" w:hint="default"/>
      </w:rPr>
    </w:lvl>
    <w:lvl w:ilvl="3" w:tplc="0C090001" w:tentative="1">
      <w:start w:val="1"/>
      <w:numFmt w:val="bullet"/>
      <w:lvlText w:val=""/>
      <w:lvlJc w:val="left"/>
      <w:pPr>
        <w:ind w:left="2424" w:hanging="360"/>
      </w:pPr>
      <w:rPr>
        <w:rFonts w:ascii="Symbol" w:hAnsi="Symbol" w:hint="default"/>
      </w:rPr>
    </w:lvl>
    <w:lvl w:ilvl="4" w:tplc="0C090003" w:tentative="1">
      <w:start w:val="1"/>
      <w:numFmt w:val="bullet"/>
      <w:lvlText w:val="o"/>
      <w:lvlJc w:val="left"/>
      <w:pPr>
        <w:ind w:left="3144" w:hanging="360"/>
      </w:pPr>
      <w:rPr>
        <w:rFonts w:ascii="Courier New" w:hAnsi="Courier New" w:cs="Courier New" w:hint="default"/>
      </w:rPr>
    </w:lvl>
    <w:lvl w:ilvl="5" w:tplc="0C090005" w:tentative="1">
      <w:start w:val="1"/>
      <w:numFmt w:val="bullet"/>
      <w:lvlText w:val=""/>
      <w:lvlJc w:val="left"/>
      <w:pPr>
        <w:ind w:left="3864" w:hanging="360"/>
      </w:pPr>
      <w:rPr>
        <w:rFonts w:ascii="Wingdings" w:hAnsi="Wingdings" w:hint="default"/>
      </w:rPr>
    </w:lvl>
    <w:lvl w:ilvl="6" w:tplc="0C090001" w:tentative="1">
      <w:start w:val="1"/>
      <w:numFmt w:val="bullet"/>
      <w:lvlText w:val=""/>
      <w:lvlJc w:val="left"/>
      <w:pPr>
        <w:ind w:left="4584" w:hanging="360"/>
      </w:pPr>
      <w:rPr>
        <w:rFonts w:ascii="Symbol" w:hAnsi="Symbol" w:hint="default"/>
      </w:rPr>
    </w:lvl>
    <w:lvl w:ilvl="7" w:tplc="0C090003" w:tentative="1">
      <w:start w:val="1"/>
      <w:numFmt w:val="bullet"/>
      <w:lvlText w:val="o"/>
      <w:lvlJc w:val="left"/>
      <w:pPr>
        <w:ind w:left="5304" w:hanging="360"/>
      </w:pPr>
      <w:rPr>
        <w:rFonts w:ascii="Courier New" w:hAnsi="Courier New" w:cs="Courier New" w:hint="default"/>
      </w:rPr>
    </w:lvl>
    <w:lvl w:ilvl="8" w:tplc="0C090005" w:tentative="1">
      <w:start w:val="1"/>
      <w:numFmt w:val="bullet"/>
      <w:lvlText w:val=""/>
      <w:lvlJc w:val="left"/>
      <w:pPr>
        <w:ind w:left="6024" w:hanging="360"/>
      </w:pPr>
      <w:rPr>
        <w:rFonts w:ascii="Wingdings" w:hAnsi="Wingdings" w:hint="default"/>
      </w:rPr>
    </w:lvl>
  </w:abstractNum>
  <w:abstractNum w:abstractNumId="268" w15:restartNumberingAfterBreak="0">
    <w:nsid w:val="7FE55136"/>
    <w:multiLevelType w:val="hybridMultilevel"/>
    <w:tmpl w:val="707223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68"/>
  </w:num>
  <w:num w:numId="2">
    <w:abstractNumId w:val="133"/>
  </w:num>
  <w:num w:numId="3">
    <w:abstractNumId w:val="251"/>
  </w:num>
  <w:num w:numId="4">
    <w:abstractNumId w:val="5"/>
  </w:num>
  <w:num w:numId="5">
    <w:abstractNumId w:val="223"/>
  </w:num>
  <w:num w:numId="6">
    <w:abstractNumId w:val="188"/>
  </w:num>
  <w:num w:numId="7">
    <w:abstractNumId w:val="199"/>
  </w:num>
  <w:num w:numId="8">
    <w:abstractNumId w:val="262"/>
  </w:num>
  <w:num w:numId="9">
    <w:abstractNumId w:val="11"/>
  </w:num>
  <w:num w:numId="10">
    <w:abstractNumId w:val="143"/>
  </w:num>
  <w:num w:numId="11">
    <w:abstractNumId w:val="219"/>
  </w:num>
  <w:num w:numId="12">
    <w:abstractNumId w:val="120"/>
  </w:num>
  <w:num w:numId="13">
    <w:abstractNumId w:val="157"/>
  </w:num>
  <w:num w:numId="14">
    <w:abstractNumId w:val="0"/>
  </w:num>
  <w:num w:numId="15">
    <w:abstractNumId w:val="81"/>
  </w:num>
  <w:num w:numId="16">
    <w:abstractNumId w:val="263"/>
  </w:num>
  <w:num w:numId="17">
    <w:abstractNumId w:val="57"/>
    <w:lvlOverride w:ilvl="0">
      <w:lvl w:ilvl="0">
        <w:start w:val="1"/>
        <w:numFmt w:val="decimal"/>
        <w:lvlText w:val="%1."/>
        <w:lvlJc w:val="left"/>
        <w:pPr>
          <w:tabs>
            <w:tab w:val="num" w:pos="360"/>
          </w:tabs>
          <w:ind w:left="360" w:hanging="360"/>
        </w:pPr>
      </w:lvl>
    </w:lvlOverride>
    <w:lvlOverride w:ilvl="1">
      <w:lvl w:ilvl="1">
        <w:start w:val="1"/>
        <w:numFmt w:val="decimal"/>
        <w:isLgl/>
        <w:lvlText w:val="%1.%2"/>
        <w:lvlJc w:val="left"/>
        <w:pPr>
          <w:tabs>
            <w:tab w:val="num" w:pos="786"/>
          </w:tabs>
          <w:ind w:left="786" w:hanging="360"/>
        </w:pPr>
      </w:lvl>
    </w:lvlOverride>
    <w:lvlOverride w:ilvl="2">
      <w:lvl w:ilvl="2">
        <w:start w:val="1"/>
        <w:numFmt w:val="decimal"/>
        <w:isLgl/>
        <w:lvlText w:val="%1.%2.%3"/>
        <w:lvlJc w:val="left"/>
        <w:pPr>
          <w:tabs>
            <w:tab w:val="num" w:pos="360"/>
          </w:tabs>
          <w:ind w:left="360" w:hanging="360"/>
        </w:pPr>
      </w:lvl>
    </w:lvlOverride>
    <w:lvlOverride w:ilvl="3">
      <w:lvl w:ilvl="3">
        <w:start w:val="1"/>
        <w:numFmt w:val="decimal"/>
        <w:isLgl/>
        <w:lvlText w:val="%1.%2.%3.%4"/>
        <w:lvlJc w:val="left"/>
        <w:pPr>
          <w:tabs>
            <w:tab w:val="num" w:pos="720"/>
          </w:tabs>
          <w:ind w:left="720" w:hanging="720"/>
        </w:pPr>
      </w:lvl>
    </w:lvlOverride>
    <w:lvlOverride w:ilvl="4">
      <w:lvl w:ilvl="4">
        <w:start w:val="1"/>
        <w:numFmt w:val="decimal"/>
        <w:isLgl/>
        <w:lvlText w:val="%1.%2.%3.%4.%5"/>
        <w:lvlJc w:val="left"/>
        <w:pPr>
          <w:tabs>
            <w:tab w:val="num" w:pos="720"/>
          </w:tabs>
          <w:ind w:left="720" w:hanging="720"/>
        </w:pPr>
      </w:lvl>
    </w:lvlOverride>
    <w:lvlOverride w:ilvl="5">
      <w:lvl w:ilvl="5">
        <w:start w:val="1"/>
        <w:numFmt w:val="decimal"/>
        <w:isLgl/>
        <w:lvlText w:val="%1.%2.%3.%4.%5.%6"/>
        <w:lvlJc w:val="left"/>
        <w:pPr>
          <w:tabs>
            <w:tab w:val="num" w:pos="720"/>
          </w:tabs>
          <w:ind w:left="720" w:hanging="720"/>
        </w:pPr>
      </w:lvl>
    </w:lvlOverride>
    <w:lvlOverride w:ilvl="6">
      <w:lvl w:ilvl="6">
        <w:start w:val="1"/>
        <w:numFmt w:val="decimal"/>
        <w:isLgl/>
        <w:lvlText w:val="%1.%2.%3.%4.%5.%6.%7"/>
        <w:lvlJc w:val="left"/>
        <w:pPr>
          <w:tabs>
            <w:tab w:val="num" w:pos="1080"/>
          </w:tabs>
          <w:ind w:left="1080" w:hanging="1080"/>
        </w:pPr>
      </w:lvl>
    </w:lvlOverride>
    <w:lvlOverride w:ilvl="7">
      <w:lvl w:ilvl="7">
        <w:start w:val="1"/>
        <w:numFmt w:val="decimal"/>
        <w:isLgl/>
        <w:lvlText w:val="%1.%2.%3.%4.%5.%6.%7.%8"/>
        <w:lvlJc w:val="left"/>
        <w:pPr>
          <w:tabs>
            <w:tab w:val="num" w:pos="1080"/>
          </w:tabs>
          <w:ind w:left="1080" w:hanging="1080"/>
        </w:pPr>
      </w:lvl>
    </w:lvlOverride>
    <w:lvlOverride w:ilvl="8">
      <w:lvl w:ilvl="8">
        <w:start w:val="1"/>
        <w:numFmt w:val="decimal"/>
        <w:isLgl/>
        <w:lvlText w:val="%1.%2.%3.%4.%5.%6.%7.%8.%9"/>
        <w:lvlJc w:val="left"/>
        <w:pPr>
          <w:tabs>
            <w:tab w:val="num" w:pos="1440"/>
          </w:tabs>
          <w:ind w:left="1440" w:hanging="1440"/>
        </w:pPr>
      </w:lvl>
    </w:lvlOverride>
  </w:num>
  <w:num w:numId="18">
    <w:abstractNumId w:val="134"/>
  </w:num>
  <w:num w:numId="19">
    <w:abstractNumId w:val="78"/>
  </w:num>
  <w:num w:numId="20">
    <w:abstractNumId w:val="248"/>
  </w:num>
  <w:num w:numId="21">
    <w:abstractNumId w:val="202"/>
  </w:num>
  <w:num w:numId="22">
    <w:abstractNumId w:val="167"/>
  </w:num>
  <w:num w:numId="23">
    <w:abstractNumId w:val="33"/>
  </w:num>
  <w:num w:numId="24">
    <w:abstractNumId w:val="120"/>
    <w:lvlOverride w:ilvl="0">
      <w:lvl w:ilvl="0" w:tplc="0E7870FA">
        <w:start w:val="1"/>
        <w:numFmt w:val="bullet"/>
        <w:lvlText w:val=""/>
        <w:lvlJc w:val="left"/>
        <w:pPr>
          <w:ind w:left="360" w:hanging="360"/>
        </w:pPr>
        <w:rPr>
          <w:rFonts w:ascii="Symbol" w:hAnsi="Symbol" w:hint="default"/>
        </w:rPr>
      </w:lvl>
    </w:lvlOverride>
    <w:lvlOverride w:ilvl="1">
      <w:lvl w:ilvl="1" w:tplc="0C090003">
        <w:start w:val="1"/>
        <w:numFmt w:val="bullet"/>
        <w:lvlText w:val="o"/>
        <w:lvlJc w:val="left"/>
        <w:pPr>
          <w:ind w:left="1440" w:hanging="360"/>
        </w:pPr>
        <w:rPr>
          <w:rFonts w:ascii="Courier New" w:hAnsi="Courier New" w:cs="Courier New" w:hint="default"/>
        </w:rPr>
      </w:lvl>
    </w:lvlOverride>
    <w:lvlOverride w:ilvl="2">
      <w:lvl w:ilvl="2" w:tplc="0C090005" w:tentative="1">
        <w:start w:val="1"/>
        <w:numFmt w:val="bullet"/>
        <w:lvlText w:val=""/>
        <w:lvlJc w:val="left"/>
        <w:pPr>
          <w:ind w:left="2160" w:hanging="360"/>
        </w:pPr>
        <w:rPr>
          <w:rFonts w:ascii="Wingdings" w:hAnsi="Wingdings" w:hint="default"/>
        </w:rPr>
      </w:lvl>
    </w:lvlOverride>
    <w:lvlOverride w:ilvl="3">
      <w:lvl w:ilvl="3" w:tplc="0C090001" w:tentative="1">
        <w:start w:val="1"/>
        <w:numFmt w:val="bullet"/>
        <w:lvlText w:val=""/>
        <w:lvlJc w:val="left"/>
        <w:pPr>
          <w:ind w:left="2880" w:hanging="360"/>
        </w:pPr>
        <w:rPr>
          <w:rFonts w:ascii="Symbol" w:hAnsi="Symbol" w:hint="default"/>
        </w:rPr>
      </w:lvl>
    </w:lvlOverride>
    <w:lvlOverride w:ilvl="4">
      <w:lvl w:ilvl="4" w:tplc="0C090003" w:tentative="1">
        <w:start w:val="1"/>
        <w:numFmt w:val="bullet"/>
        <w:lvlText w:val="o"/>
        <w:lvlJc w:val="left"/>
        <w:pPr>
          <w:ind w:left="3600" w:hanging="360"/>
        </w:pPr>
        <w:rPr>
          <w:rFonts w:ascii="Courier New" w:hAnsi="Courier New" w:cs="Courier New" w:hint="default"/>
        </w:rPr>
      </w:lvl>
    </w:lvlOverride>
    <w:lvlOverride w:ilvl="5">
      <w:lvl w:ilvl="5" w:tplc="0C090005" w:tentative="1">
        <w:start w:val="1"/>
        <w:numFmt w:val="bullet"/>
        <w:lvlText w:val=""/>
        <w:lvlJc w:val="left"/>
        <w:pPr>
          <w:ind w:left="4320" w:hanging="360"/>
        </w:pPr>
        <w:rPr>
          <w:rFonts w:ascii="Wingdings" w:hAnsi="Wingdings" w:hint="default"/>
        </w:rPr>
      </w:lvl>
    </w:lvlOverride>
    <w:lvlOverride w:ilvl="6">
      <w:lvl w:ilvl="6" w:tplc="0C090001" w:tentative="1">
        <w:start w:val="1"/>
        <w:numFmt w:val="bullet"/>
        <w:lvlText w:val=""/>
        <w:lvlJc w:val="left"/>
        <w:pPr>
          <w:ind w:left="5040" w:hanging="360"/>
        </w:pPr>
        <w:rPr>
          <w:rFonts w:ascii="Symbol" w:hAnsi="Symbol" w:hint="default"/>
        </w:rPr>
      </w:lvl>
    </w:lvlOverride>
    <w:lvlOverride w:ilvl="7">
      <w:lvl w:ilvl="7" w:tplc="0C090003" w:tentative="1">
        <w:start w:val="1"/>
        <w:numFmt w:val="bullet"/>
        <w:lvlText w:val="o"/>
        <w:lvlJc w:val="left"/>
        <w:pPr>
          <w:ind w:left="5760" w:hanging="360"/>
        </w:pPr>
        <w:rPr>
          <w:rFonts w:ascii="Courier New" w:hAnsi="Courier New" w:cs="Courier New" w:hint="default"/>
        </w:rPr>
      </w:lvl>
    </w:lvlOverride>
    <w:lvlOverride w:ilvl="8">
      <w:lvl w:ilvl="8" w:tplc="0C090005" w:tentative="1">
        <w:start w:val="1"/>
        <w:numFmt w:val="bullet"/>
        <w:lvlText w:val=""/>
        <w:lvlJc w:val="left"/>
        <w:pPr>
          <w:ind w:left="6480" w:hanging="360"/>
        </w:pPr>
        <w:rPr>
          <w:rFonts w:ascii="Wingdings" w:hAnsi="Wingdings" w:hint="default"/>
        </w:rPr>
      </w:lvl>
    </w:lvlOverride>
  </w:num>
  <w:num w:numId="25">
    <w:abstractNumId w:val="246"/>
  </w:num>
  <w:num w:numId="26">
    <w:abstractNumId w:val="72"/>
    <w:lvlOverride w:ilvl="0">
      <w:lvl w:ilvl="0">
        <w:start w:val="1"/>
        <w:numFmt w:val="bullet"/>
        <w:lvlText w:val=""/>
        <w:lvlJc w:val="left"/>
        <w:pPr>
          <w:ind w:left="369" w:hanging="369"/>
        </w:pPr>
        <w:rPr>
          <w:rFonts w:ascii="Symbol" w:hAnsi="Symbol" w:hint="default"/>
          <w:color w:val="auto"/>
        </w:rPr>
      </w:lvl>
    </w:lvlOverride>
    <w:lvlOverride w:ilvl="1">
      <w:lvl w:ilvl="1">
        <w:start w:val="1"/>
        <w:numFmt w:val="none"/>
        <w:lvlText w:val="-"/>
        <w:lvlJc w:val="left"/>
        <w:pPr>
          <w:ind w:left="737" w:hanging="368"/>
        </w:pPr>
        <w:rPr>
          <w:rFonts w:hint="default"/>
        </w:rPr>
      </w:lvl>
    </w:lvlOverride>
    <w:lvlOverride w:ilvl="2">
      <w:lvl w:ilvl="2">
        <w:start w:val="1"/>
        <w:numFmt w:val="none"/>
        <w:lvlText w:val=":"/>
        <w:lvlJc w:val="left"/>
        <w:pPr>
          <w:ind w:left="1106" w:hanging="369"/>
        </w:pPr>
        <w:rPr>
          <w:rFonts w:hint="default"/>
        </w:rPr>
      </w:lvl>
    </w:lvlOverride>
    <w:lvlOverride w:ilvl="3">
      <w:lvl w:ilvl="3">
        <w:start w:val="1"/>
        <w:numFmt w:val="none"/>
        <w:lvlText w:val=""/>
        <w:lvlJc w:val="left"/>
        <w:pPr>
          <w:ind w:left="1474" w:hanging="368"/>
        </w:pPr>
        <w:rPr>
          <w:rFonts w:hint="default"/>
          <w:color w:val="auto"/>
        </w:rPr>
      </w:lvl>
    </w:lvlOverride>
    <w:lvlOverride w:ilvl="4">
      <w:lvl w:ilvl="4">
        <w:start w:val="1"/>
        <w:numFmt w:val="none"/>
        <w:lvlText w:val=""/>
        <w:lvlJc w:val="left"/>
        <w:pPr>
          <w:ind w:left="1800" w:hanging="360"/>
        </w:pPr>
        <w:rPr>
          <w:rFonts w:hint="default"/>
          <w:color w:val="auto"/>
        </w:rPr>
      </w:lvl>
    </w:lvlOverride>
    <w:lvlOverride w:ilvl="5">
      <w:lvl w:ilvl="5">
        <w:start w:val="1"/>
        <w:numFmt w:val="none"/>
        <w:lvlText w:val=""/>
        <w:lvlJc w:val="left"/>
        <w:pPr>
          <w:ind w:left="2160" w:hanging="360"/>
        </w:pPr>
        <w:rPr>
          <w:rFonts w:hint="default"/>
          <w:color w:val="auto"/>
        </w:rPr>
      </w:lvl>
    </w:lvlOverride>
    <w:lvlOverride w:ilvl="6">
      <w:lvl w:ilvl="6">
        <w:start w:val="1"/>
        <w:numFmt w:val="none"/>
        <w:lvlText w:val=""/>
        <w:lvlJc w:val="left"/>
        <w:pPr>
          <w:ind w:left="2520" w:hanging="360"/>
        </w:pPr>
        <w:rPr>
          <w:rFonts w:hint="default"/>
          <w:color w:val="auto"/>
        </w:rPr>
      </w:lvl>
    </w:lvlOverride>
    <w:lvlOverride w:ilvl="7">
      <w:lvl w:ilvl="7">
        <w:start w:val="1"/>
        <w:numFmt w:val="none"/>
        <w:lvlText w:val=""/>
        <w:lvlJc w:val="left"/>
        <w:pPr>
          <w:ind w:left="2880" w:hanging="360"/>
        </w:pPr>
        <w:rPr>
          <w:rFonts w:hint="default"/>
          <w:color w:val="auto"/>
        </w:rPr>
      </w:lvl>
    </w:lvlOverride>
    <w:lvlOverride w:ilvl="8">
      <w:lvl w:ilvl="8">
        <w:start w:val="1"/>
        <w:numFmt w:val="none"/>
        <w:lvlText w:val=""/>
        <w:lvlJc w:val="left"/>
        <w:pPr>
          <w:ind w:left="3240" w:hanging="360"/>
        </w:pPr>
        <w:rPr>
          <w:rFonts w:hint="default"/>
          <w:color w:val="auto"/>
        </w:rPr>
      </w:lvl>
    </w:lvlOverride>
  </w:num>
  <w:num w:numId="27">
    <w:abstractNumId w:val="211"/>
  </w:num>
  <w:num w:numId="28">
    <w:abstractNumId w:val="165"/>
  </w:num>
  <w:num w:numId="29">
    <w:abstractNumId w:val="243"/>
  </w:num>
  <w:num w:numId="30">
    <w:abstractNumId w:val="35"/>
  </w:num>
  <w:num w:numId="31">
    <w:abstractNumId w:val="32"/>
  </w:num>
  <w:num w:numId="32">
    <w:abstractNumId w:val="129"/>
  </w:num>
  <w:num w:numId="33">
    <w:abstractNumId w:val="205"/>
  </w:num>
  <w:num w:numId="34">
    <w:abstractNumId w:val="2"/>
  </w:num>
  <w:num w:numId="35">
    <w:abstractNumId w:val="208"/>
  </w:num>
  <w:num w:numId="36">
    <w:abstractNumId w:val="58"/>
  </w:num>
  <w:num w:numId="37">
    <w:abstractNumId w:val="126"/>
  </w:num>
  <w:num w:numId="38">
    <w:abstractNumId w:val="63"/>
  </w:num>
  <w:num w:numId="39">
    <w:abstractNumId w:val="51"/>
  </w:num>
  <w:num w:numId="40">
    <w:abstractNumId w:val="110"/>
  </w:num>
  <w:num w:numId="41">
    <w:abstractNumId w:val="26"/>
  </w:num>
  <w:num w:numId="42">
    <w:abstractNumId w:val="113"/>
  </w:num>
  <w:num w:numId="43">
    <w:abstractNumId w:val="150"/>
  </w:num>
  <w:num w:numId="44">
    <w:abstractNumId w:val="91"/>
  </w:num>
  <w:num w:numId="45">
    <w:abstractNumId w:val="20"/>
  </w:num>
  <w:num w:numId="46">
    <w:abstractNumId w:val="147"/>
  </w:num>
  <w:num w:numId="47">
    <w:abstractNumId w:val="197"/>
  </w:num>
  <w:num w:numId="48">
    <w:abstractNumId w:val="138"/>
  </w:num>
  <w:num w:numId="49">
    <w:abstractNumId w:val="69"/>
  </w:num>
  <w:num w:numId="50">
    <w:abstractNumId w:val="176"/>
  </w:num>
  <w:num w:numId="51">
    <w:abstractNumId w:val="65"/>
  </w:num>
  <w:num w:numId="52">
    <w:abstractNumId w:val="185"/>
  </w:num>
  <w:num w:numId="53">
    <w:abstractNumId w:val="47"/>
  </w:num>
  <w:num w:numId="54">
    <w:abstractNumId w:val="215"/>
  </w:num>
  <w:num w:numId="55">
    <w:abstractNumId w:val="116"/>
  </w:num>
  <w:num w:numId="56">
    <w:abstractNumId w:val="31"/>
  </w:num>
  <w:num w:numId="57">
    <w:abstractNumId w:val="98"/>
  </w:num>
  <w:num w:numId="58">
    <w:abstractNumId w:val="123"/>
  </w:num>
  <w:num w:numId="59">
    <w:abstractNumId w:val="237"/>
  </w:num>
  <w:num w:numId="60">
    <w:abstractNumId w:val="222"/>
  </w:num>
  <w:num w:numId="61">
    <w:abstractNumId w:val="96"/>
  </w:num>
  <w:num w:numId="62">
    <w:abstractNumId w:val="166"/>
  </w:num>
  <w:num w:numId="63">
    <w:abstractNumId w:val="245"/>
  </w:num>
  <w:num w:numId="64">
    <w:abstractNumId w:val="34"/>
  </w:num>
  <w:num w:numId="65">
    <w:abstractNumId w:val="10"/>
  </w:num>
  <w:num w:numId="66">
    <w:abstractNumId w:val="64"/>
  </w:num>
  <w:num w:numId="67">
    <w:abstractNumId w:val="4"/>
  </w:num>
  <w:num w:numId="68">
    <w:abstractNumId w:val="114"/>
  </w:num>
  <w:num w:numId="69">
    <w:abstractNumId w:val="25"/>
  </w:num>
  <w:num w:numId="70">
    <w:abstractNumId w:val="250"/>
  </w:num>
  <w:num w:numId="71">
    <w:abstractNumId w:val="220"/>
  </w:num>
  <w:num w:numId="72">
    <w:abstractNumId w:val="170"/>
  </w:num>
  <w:num w:numId="73">
    <w:abstractNumId w:val="239"/>
  </w:num>
  <w:num w:numId="74">
    <w:abstractNumId w:val="43"/>
  </w:num>
  <w:num w:numId="75">
    <w:abstractNumId w:val="236"/>
  </w:num>
  <w:num w:numId="76">
    <w:abstractNumId w:val="189"/>
  </w:num>
  <w:num w:numId="77">
    <w:abstractNumId w:val="102"/>
  </w:num>
  <w:num w:numId="78">
    <w:abstractNumId w:val="203"/>
  </w:num>
  <w:num w:numId="79">
    <w:abstractNumId w:val="194"/>
  </w:num>
  <w:num w:numId="80">
    <w:abstractNumId w:val="225"/>
  </w:num>
  <w:num w:numId="81">
    <w:abstractNumId w:val="161"/>
  </w:num>
  <w:num w:numId="82">
    <w:abstractNumId w:val="77"/>
  </w:num>
  <w:num w:numId="83">
    <w:abstractNumId w:val="115"/>
  </w:num>
  <w:num w:numId="84">
    <w:abstractNumId w:val="131"/>
  </w:num>
  <w:num w:numId="85">
    <w:abstractNumId w:val="30"/>
  </w:num>
  <w:num w:numId="86">
    <w:abstractNumId w:val="201"/>
  </w:num>
  <w:num w:numId="87">
    <w:abstractNumId w:val="117"/>
  </w:num>
  <w:num w:numId="88">
    <w:abstractNumId w:val="209"/>
  </w:num>
  <w:num w:numId="89">
    <w:abstractNumId w:val="67"/>
  </w:num>
  <w:num w:numId="90">
    <w:abstractNumId w:val="136"/>
  </w:num>
  <w:num w:numId="91">
    <w:abstractNumId w:val="173"/>
  </w:num>
  <w:num w:numId="92">
    <w:abstractNumId w:val="156"/>
  </w:num>
  <w:num w:numId="93">
    <w:abstractNumId w:val="17"/>
  </w:num>
  <w:num w:numId="94">
    <w:abstractNumId w:val="179"/>
  </w:num>
  <w:num w:numId="95">
    <w:abstractNumId w:val="260"/>
  </w:num>
  <w:num w:numId="96">
    <w:abstractNumId w:val="249"/>
  </w:num>
  <w:num w:numId="97">
    <w:abstractNumId w:val="226"/>
  </w:num>
  <w:num w:numId="98">
    <w:abstractNumId w:val="153"/>
  </w:num>
  <w:num w:numId="99">
    <w:abstractNumId w:val="146"/>
  </w:num>
  <w:num w:numId="100">
    <w:abstractNumId w:val="76"/>
  </w:num>
  <w:num w:numId="101">
    <w:abstractNumId w:val="16"/>
  </w:num>
  <w:num w:numId="102">
    <w:abstractNumId w:val="267"/>
  </w:num>
  <w:num w:numId="103">
    <w:abstractNumId w:val="244"/>
  </w:num>
  <w:num w:numId="104">
    <w:abstractNumId w:val="118"/>
  </w:num>
  <w:num w:numId="105">
    <w:abstractNumId w:val="124"/>
  </w:num>
  <w:num w:numId="106">
    <w:abstractNumId w:val="217"/>
  </w:num>
  <w:num w:numId="107">
    <w:abstractNumId w:val="265"/>
  </w:num>
  <w:num w:numId="108">
    <w:abstractNumId w:val="101"/>
  </w:num>
  <w:num w:numId="109">
    <w:abstractNumId w:val="29"/>
  </w:num>
  <w:num w:numId="110">
    <w:abstractNumId w:val="83"/>
  </w:num>
  <w:num w:numId="111">
    <w:abstractNumId w:val="164"/>
  </w:num>
  <w:num w:numId="112">
    <w:abstractNumId w:val="221"/>
  </w:num>
  <w:num w:numId="113">
    <w:abstractNumId w:val="80"/>
  </w:num>
  <w:num w:numId="114">
    <w:abstractNumId w:val="45"/>
  </w:num>
  <w:num w:numId="115">
    <w:abstractNumId w:val="255"/>
  </w:num>
  <w:num w:numId="116">
    <w:abstractNumId w:val="70"/>
  </w:num>
  <w:num w:numId="117">
    <w:abstractNumId w:val="261"/>
  </w:num>
  <w:num w:numId="118">
    <w:abstractNumId w:val="19"/>
  </w:num>
  <w:num w:numId="119">
    <w:abstractNumId w:val="15"/>
  </w:num>
  <w:num w:numId="120">
    <w:abstractNumId w:val="128"/>
  </w:num>
  <w:num w:numId="121">
    <w:abstractNumId w:val="264"/>
  </w:num>
  <w:num w:numId="122">
    <w:abstractNumId w:val="106"/>
  </w:num>
  <w:num w:numId="123">
    <w:abstractNumId w:val="95"/>
  </w:num>
  <w:num w:numId="124">
    <w:abstractNumId w:val="253"/>
  </w:num>
  <w:num w:numId="125">
    <w:abstractNumId w:val="232"/>
  </w:num>
  <w:num w:numId="126">
    <w:abstractNumId w:val="44"/>
  </w:num>
  <w:num w:numId="127">
    <w:abstractNumId w:val="154"/>
  </w:num>
  <w:num w:numId="128">
    <w:abstractNumId w:val="99"/>
  </w:num>
  <w:num w:numId="129">
    <w:abstractNumId w:val="84"/>
  </w:num>
  <w:num w:numId="130">
    <w:abstractNumId w:val="100"/>
  </w:num>
  <w:num w:numId="131">
    <w:abstractNumId w:val="159"/>
  </w:num>
  <w:num w:numId="132">
    <w:abstractNumId w:val="181"/>
  </w:num>
  <w:num w:numId="133">
    <w:abstractNumId w:val="112"/>
  </w:num>
  <w:num w:numId="134">
    <w:abstractNumId w:val="125"/>
  </w:num>
  <w:num w:numId="135">
    <w:abstractNumId w:val="171"/>
  </w:num>
  <w:num w:numId="136">
    <w:abstractNumId w:val="195"/>
  </w:num>
  <w:num w:numId="137">
    <w:abstractNumId w:val="174"/>
  </w:num>
  <w:num w:numId="138">
    <w:abstractNumId w:val="40"/>
  </w:num>
  <w:num w:numId="139">
    <w:abstractNumId w:val="108"/>
  </w:num>
  <w:num w:numId="140">
    <w:abstractNumId w:val="74"/>
  </w:num>
  <w:num w:numId="141">
    <w:abstractNumId w:val="242"/>
  </w:num>
  <w:num w:numId="142">
    <w:abstractNumId w:val="230"/>
  </w:num>
  <w:num w:numId="143">
    <w:abstractNumId w:val="213"/>
  </w:num>
  <w:num w:numId="144">
    <w:abstractNumId w:val="21"/>
  </w:num>
  <w:num w:numId="145">
    <w:abstractNumId w:val="214"/>
  </w:num>
  <w:num w:numId="146">
    <w:abstractNumId w:val="206"/>
  </w:num>
  <w:num w:numId="147">
    <w:abstractNumId w:val="145"/>
  </w:num>
  <w:num w:numId="148">
    <w:abstractNumId w:val="75"/>
  </w:num>
  <w:num w:numId="149">
    <w:abstractNumId w:val="266"/>
  </w:num>
  <w:num w:numId="150">
    <w:abstractNumId w:val="49"/>
  </w:num>
  <w:num w:numId="151">
    <w:abstractNumId w:val="190"/>
  </w:num>
  <w:num w:numId="152">
    <w:abstractNumId w:val="6"/>
  </w:num>
  <w:num w:numId="153">
    <w:abstractNumId w:val="247"/>
  </w:num>
  <w:num w:numId="154">
    <w:abstractNumId w:val="191"/>
  </w:num>
  <w:num w:numId="155">
    <w:abstractNumId w:val="158"/>
  </w:num>
  <w:num w:numId="156">
    <w:abstractNumId w:val="7"/>
  </w:num>
  <w:num w:numId="157">
    <w:abstractNumId w:val="103"/>
  </w:num>
  <w:num w:numId="158">
    <w:abstractNumId w:val="238"/>
  </w:num>
  <w:num w:numId="159">
    <w:abstractNumId w:val="151"/>
  </w:num>
  <w:num w:numId="160">
    <w:abstractNumId w:val="218"/>
  </w:num>
  <w:num w:numId="161">
    <w:abstractNumId w:val="169"/>
  </w:num>
  <w:num w:numId="162">
    <w:abstractNumId w:val="42"/>
  </w:num>
  <w:num w:numId="163">
    <w:abstractNumId w:val="137"/>
  </w:num>
  <w:num w:numId="164">
    <w:abstractNumId w:val="155"/>
  </w:num>
  <w:num w:numId="165">
    <w:abstractNumId w:val="241"/>
  </w:num>
  <w:num w:numId="166">
    <w:abstractNumId w:val="71"/>
  </w:num>
  <w:num w:numId="167">
    <w:abstractNumId w:val="36"/>
  </w:num>
  <w:num w:numId="168">
    <w:abstractNumId w:val="14"/>
  </w:num>
  <w:num w:numId="169">
    <w:abstractNumId w:val="107"/>
  </w:num>
  <w:num w:numId="170">
    <w:abstractNumId w:val="127"/>
  </w:num>
  <w:num w:numId="171">
    <w:abstractNumId w:val="144"/>
  </w:num>
  <w:num w:numId="172">
    <w:abstractNumId w:val="227"/>
  </w:num>
  <w:num w:numId="173">
    <w:abstractNumId w:val="93"/>
  </w:num>
  <w:num w:numId="174">
    <w:abstractNumId w:val="142"/>
  </w:num>
  <w:num w:numId="175">
    <w:abstractNumId w:val="60"/>
  </w:num>
  <w:num w:numId="176">
    <w:abstractNumId w:val="160"/>
  </w:num>
  <w:num w:numId="177">
    <w:abstractNumId w:val="178"/>
  </w:num>
  <w:num w:numId="178">
    <w:abstractNumId w:val="207"/>
  </w:num>
  <w:num w:numId="179">
    <w:abstractNumId w:val="9"/>
  </w:num>
  <w:num w:numId="180">
    <w:abstractNumId w:val="54"/>
  </w:num>
  <w:num w:numId="181">
    <w:abstractNumId w:val="210"/>
  </w:num>
  <w:num w:numId="182">
    <w:abstractNumId w:val="46"/>
  </w:num>
  <w:num w:numId="183">
    <w:abstractNumId w:val="3"/>
  </w:num>
  <w:num w:numId="184">
    <w:abstractNumId w:val="177"/>
  </w:num>
  <w:num w:numId="185">
    <w:abstractNumId w:val="23"/>
  </w:num>
  <w:num w:numId="186">
    <w:abstractNumId w:val="56"/>
  </w:num>
  <w:num w:numId="187">
    <w:abstractNumId w:val="184"/>
  </w:num>
  <w:num w:numId="188">
    <w:abstractNumId w:val="94"/>
  </w:num>
  <w:num w:numId="189">
    <w:abstractNumId w:val="192"/>
  </w:num>
  <w:num w:numId="190">
    <w:abstractNumId w:val="88"/>
  </w:num>
  <w:num w:numId="191">
    <w:abstractNumId w:val="231"/>
  </w:num>
  <w:num w:numId="192">
    <w:abstractNumId w:val="200"/>
  </w:num>
  <w:num w:numId="193">
    <w:abstractNumId w:val="229"/>
  </w:num>
  <w:num w:numId="194">
    <w:abstractNumId w:val="87"/>
  </w:num>
  <w:num w:numId="195">
    <w:abstractNumId w:val="175"/>
  </w:num>
  <w:num w:numId="196">
    <w:abstractNumId w:val="187"/>
  </w:num>
  <w:num w:numId="197">
    <w:abstractNumId w:val="193"/>
  </w:num>
  <w:num w:numId="198">
    <w:abstractNumId w:val="141"/>
  </w:num>
  <w:num w:numId="199">
    <w:abstractNumId w:val="61"/>
  </w:num>
  <w:num w:numId="200">
    <w:abstractNumId w:val="119"/>
  </w:num>
  <w:num w:numId="201">
    <w:abstractNumId w:val="55"/>
  </w:num>
  <w:num w:numId="202">
    <w:abstractNumId w:val="198"/>
  </w:num>
  <w:num w:numId="203">
    <w:abstractNumId w:val="52"/>
  </w:num>
  <w:num w:numId="204">
    <w:abstractNumId w:val="180"/>
  </w:num>
  <w:num w:numId="205">
    <w:abstractNumId w:val="140"/>
  </w:num>
  <w:num w:numId="206">
    <w:abstractNumId w:val="105"/>
  </w:num>
  <w:num w:numId="207">
    <w:abstractNumId w:val="130"/>
  </w:num>
  <w:num w:numId="208">
    <w:abstractNumId w:val="18"/>
  </w:num>
  <w:num w:numId="209">
    <w:abstractNumId w:val="59"/>
  </w:num>
  <w:num w:numId="210">
    <w:abstractNumId w:val="256"/>
  </w:num>
  <w:num w:numId="211">
    <w:abstractNumId w:val="268"/>
  </w:num>
  <w:num w:numId="212">
    <w:abstractNumId w:val="132"/>
  </w:num>
  <w:num w:numId="213">
    <w:abstractNumId w:val="50"/>
  </w:num>
  <w:num w:numId="214">
    <w:abstractNumId w:val="73"/>
  </w:num>
  <w:num w:numId="215">
    <w:abstractNumId w:val="122"/>
  </w:num>
  <w:num w:numId="216">
    <w:abstractNumId w:val="92"/>
  </w:num>
  <w:num w:numId="217">
    <w:abstractNumId w:val="240"/>
  </w:num>
  <w:num w:numId="218">
    <w:abstractNumId w:val="235"/>
  </w:num>
  <w:num w:numId="219">
    <w:abstractNumId w:val="79"/>
  </w:num>
  <w:num w:numId="220">
    <w:abstractNumId w:val="254"/>
  </w:num>
  <w:num w:numId="221">
    <w:abstractNumId w:val="24"/>
  </w:num>
  <w:num w:numId="222">
    <w:abstractNumId w:val="149"/>
  </w:num>
  <w:num w:numId="223">
    <w:abstractNumId w:val="204"/>
  </w:num>
  <w:num w:numId="224">
    <w:abstractNumId w:val="8"/>
  </w:num>
  <w:num w:numId="225">
    <w:abstractNumId w:val="233"/>
  </w:num>
  <w:num w:numId="226">
    <w:abstractNumId w:val="1"/>
  </w:num>
  <w:num w:numId="227">
    <w:abstractNumId w:val="259"/>
  </w:num>
  <w:num w:numId="228">
    <w:abstractNumId w:val="228"/>
  </w:num>
  <w:num w:numId="229">
    <w:abstractNumId w:val="27"/>
  </w:num>
  <w:num w:numId="230">
    <w:abstractNumId w:val="257"/>
  </w:num>
  <w:num w:numId="231">
    <w:abstractNumId w:val="104"/>
  </w:num>
  <w:num w:numId="232">
    <w:abstractNumId w:val="224"/>
  </w:num>
  <w:num w:numId="233">
    <w:abstractNumId w:val="212"/>
  </w:num>
  <w:num w:numId="234">
    <w:abstractNumId w:val="66"/>
  </w:num>
  <w:num w:numId="235">
    <w:abstractNumId w:val="97"/>
  </w:num>
  <w:num w:numId="236">
    <w:abstractNumId w:val="148"/>
  </w:num>
  <w:num w:numId="237">
    <w:abstractNumId w:val="252"/>
  </w:num>
  <w:num w:numId="238">
    <w:abstractNumId w:val="216"/>
  </w:num>
  <w:num w:numId="239">
    <w:abstractNumId w:val="89"/>
  </w:num>
  <w:num w:numId="240">
    <w:abstractNumId w:val="13"/>
  </w:num>
  <w:num w:numId="241">
    <w:abstractNumId w:val="234"/>
  </w:num>
  <w:num w:numId="242">
    <w:abstractNumId w:val="48"/>
  </w:num>
  <w:num w:numId="243">
    <w:abstractNumId w:val="139"/>
  </w:num>
  <w:num w:numId="244">
    <w:abstractNumId w:val="62"/>
  </w:num>
  <w:num w:numId="245">
    <w:abstractNumId w:val="82"/>
  </w:num>
  <w:num w:numId="246">
    <w:abstractNumId w:val="85"/>
  </w:num>
  <w:num w:numId="247">
    <w:abstractNumId w:val="162"/>
  </w:num>
  <w:num w:numId="248">
    <w:abstractNumId w:val="12"/>
  </w:num>
  <w:num w:numId="249">
    <w:abstractNumId w:val="37"/>
  </w:num>
  <w:num w:numId="250">
    <w:abstractNumId w:val="28"/>
  </w:num>
  <w:num w:numId="251">
    <w:abstractNumId w:val="38"/>
  </w:num>
  <w:num w:numId="252">
    <w:abstractNumId w:val="111"/>
  </w:num>
  <w:num w:numId="253">
    <w:abstractNumId w:val="41"/>
  </w:num>
  <w:num w:numId="254">
    <w:abstractNumId w:val="196"/>
  </w:num>
  <w:num w:numId="255">
    <w:abstractNumId w:val="53"/>
  </w:num>
  <w:num w:numId="256">
    <w:abstractNumId w:val="135"/>
  </w:num>
  <w:num w:numId="257">
    <w:abstractNumId w:val="258"/>
  </w:num>
  <w:num w:numId="258">
    <w:abstractNumId w:val="109"/>
  </w:num>
  <w:num w:numId="259">
    <w:abstractNumId w:val="152"/>
  </w:num>
  <w:num w:numId="260">
    <w:abstractNumId w:val="183"/>
  </w:num>
  <w:num w:numId="261">
    <w:abstractNumId w:val="172"/>
  </w:num>
  <w:num w:numId="262">
    <w:abstractNumId w:val="68"/>
  </w:num>
  <w:num w:numId="263">
    <w:abstractNumId w:val="39"/>
  </w:num>
  <w:num w:numId="264">
    <w:abstractNumId w:val="121"/>
  </w:num>
  <w:num w:numId="265">
    <w:abstractNumId w:val="186"/>
  </w:num>
  <w:num w:numId="266">
    <w:abstractNumId w:val="163"/>
  </w:num>
  <w:num w:numId="267">
    <w:abstractNumId w:val="22"/>
  </w:num>
  <w:num w:numId="268">
    <w:abstractNumId w:val="90"/>
  </w:num>
  <w:num w:numId="269">
    <w:abstractNumId w:val="86"/>
  </w:num>
  <w:num w:numId="270">
    <w:abstractNumId w:val="182"/>
  </w:num>
  <w:num w:numId="271">
    <w:abstractNumId w:val="134"/>
  </w:num>
  <w:numIdMacAtCleanup w:val="2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activeWritingStyle w:appName="MSWord" w:lang="fr-FR" w:vendorID="64" w:dllVersion="131078" w:nlCheck="1" w:checkStyle="0"/>
  <w:activeWritingStyle w:appName="MSWord" w:lang="en-AU" w:vendorID="64" w:dllVersion="131078" w:nlCheck="1" w:checkStyle="1"/>
  <w:activeWritingStyle w:appName="MSWord" w:lang="en-US" w:vendorID="64" w:dllVersion="131078" w:nlCheck="1" w:checkStyle="1"/>
  <w:activeWritingStyle w:appName="MSWord" w:lang="en-GB" w:vendorID="64" w:dllVersion="131078" w:nlCheck="1" w:checkStyle="1"/>
  <w:activeWritingStyle w:appName="MSWord" w:lang="es-ES" w:vendorID="64" w:dllVersion="131078" w:nlCheck="1" w:checkStyle="0"/>
  <w:proofState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A56EE9"/>
    <w:rsid w:val="00000811"/>
    <w:rsid w:val="0002000E"/>
    <w:rsid w:val="00091656"/>
    <w:rsid w:val="00093CB1"/>
    <w:rsid w:val="00093D43"/>
    <w:rsid w:val="000B087E"/>
    <w:rsid w:val="000B6C3F"/>
    <w:rsid w:val="000C499E"/>
    <w:rsid w:val="000D4C9D"/>
    <w:rsid w:val="000F45F3"/>
    <w:rsid w:val="000F6834"/>
    <w:rsid w:val="001068CD"/>
    <w:rsid w:val="001104B9"/>
    <w:rsid w:val="001136D5"/>
    <w:rsid w:val="001333DB"/>
    <w:rsid w:val="00150DCC"/>
    <w:rsid w:val="00153CDB"/>
    <w:rsid w:val="00172686"/>
    <w:rsid w:val="001A6A7E"/>
    <w:rsid w:val="001A7B0E"/>
    <w:rsid w:val="001C5106"/>
    <w:rsid w:val="001E0DD7"/>
    <w:rsid w:val="00207A38"/>
    <w:rsid w:val="0021241D"/>
    <w:rsid w:val="00232EF4"/>
    <w:rsid w:val="0023746C"/>
    <w:rsid w:val="00240221"/>
    <w:rsid w:val="00242993"/>
    <w:rsid w:val="002510A5"/>
    <w:rsid w:val="0025269E"/>
    <w:rsid w:val="00263EB9"/>
    <w:rsid w:val="00266C86"/>
    <w:rsid w:val="002848B8"/>
    <w:rsid w:val="00285EA9"/>
    <w:rsid w:val="00290369"/>
    <w:rsid w:val="002B2533"/>
    <w:rsid w:val="002C6559"/>
    <w:rsid w:val="002D3C43"/>
    <w:rsid w:val="002D6DD6"/>
    <w:rsid w:val="003021F5"/>
    <w:rsid w:val="00304FEE"/>
    <w:rsid w:val="003074D1"/>
    <w:rsid w:val="003314E0"/>
    <w:rsid w:val="003531A3"/>
    <w:rsid w:val="00363056"/>
    <w:rsid w:val="003742B7"/>
    <w:rsid w:val="00375EDE"/>
    <w:rsid w:val="00381D0D"/>
    <w:rsid w:val="003862C9"/>
    <w:rsid w:val="003B0AD0"/>
    <w:rsid w:val="003D1424"/>
    <w:rsid w:val="003D2E3F"/>
    <w:rsid w:val="00403B1C"/>
    <w:rsid w:val="00407498"/>
    <w:rsid w:val="00426101"/>
    <w:rsid w:val="00434FF3"/>
    <w:rsid w:val="00436A76"/>
    <w:rsid w:val="00437A3A"/>
    <w:rsid w:val="004463D8"/>
    <w:rsid w:val="00466CF2"/>
    <w:rsid w:val="00470332"/>
    <w:rsid w:val="004710E2"/>
    <w:rsid w:val="00472BAC"/>
    <w:rsid w:val="0049203B"/>
    <w:rsid w:val="004A2714"/>
    <w:rsid w:val="004A62B4"/>
    <w:rsid w:val="004C5663"/>
    <w:rsid w:val="004E3DE1"/>
    <w:rsid w:val="004E6923"/>
    <w:rsid w:val="004F6A82"/>
    <w:rsid w:val="00522FC0"/>
    <w:rsid w:val="0052554C"/>
    <w:rsid w:val="00541601"/>
    <w:rsid w:val="00541D9B"/>
    <w:rsid w:val="00543E9D"/>
    <w:rsid w:val="00557477"/>
    <w:rsid w:val="00564158"/>
    <w:rsid w:val="005771CB"/>
    <w:rsid w:val="00596012"/>
    <w:rsid w:val="005A15D4"/>
    <w:rsid w:val="005A18DF"/>
    <w:rsid w:val="005A2016"/>
    <w:rsid w:val="005B4EDB"/>
    <w:rsid w:val="005B74CE"/>
    <w:rsid w:val="005D4C4C"/>
    <w:rsid w:val="005E5F0B"/>
    <w:rsid w:val="005F28B9"/>
    <w:rsid w:val="006045F9"/>
    <w:rsid w:val="00615DDA"/>
    <w:rsid w:val="0063229F"/>
    <w:rsid w:val="006440C4"/>
    <w:rsid w:val="0066577E"/>
    <w:rsid w:val="0067753A"/>
    <w:rsid w:val="006937F5"/>
    <w:rsid w:val="00693BC0"/>
    <w:rsid w:val="006B4AE9"/>
    <w:rsid w:val="006C5948"/>
    <w:rsid w:val="007049ED"/>
    <w:rsid w:val="00706DA1"/>
    <w:rsid w:val="00714795"/>
    <w:rsid w:val="00762551"/>
    <w:rsid w:val="007665E5"/>
    <w:rsid w:val="00775E81"/>
    <w:rsid w:val="00777C6F"/>
    <w:rsid w:val="00781D16"/>
    <w:rsid w:val="007B120A"/>
    <w:rsid w:val="007B6F09"/>
    <w:rsid w:val="007C02D0"/>
    <w:rsid w:val="007C4EF6"/>
    <w:rsid w:val="007D0D95"/>
    <w:rsid w:val="007E42E4"/>
    <w:rsid w:val="007F1AA6"/>
    <w:rsid w:val="0080793A"/>
    <w:rsid w:val="008161AE"/>
    <w:rsid w:val="0083290B"/>
    <w:rsid w:val="00833BE8"/>
    <w:rsid w:val="00835984"/>
    <w:rsid w:val="00847D6E"/>
    <w:rsid w:val="0086089F"/>
    <w:rsid w:val="00866E1C"/>
    <w:rsid w:val="00870DCB"/>
    <w:rsid w:val="0087531E"/>
    <w:rsid w:val="00880F9D"/>
    <w:rsid w:val="008817CC"/>
    <w:rsid w:val="008B5998"/>
    <w:rsid w:val="008B75C4"/>
    <w:rsid w:val="008C6015"/>
    <w:rsid w:val="008E414A"/>
    <w:rsid w:val="008F5DF2"/>
    <w:rsid w:val="009000A5"/>
    <w:rsid w:val="00924693"/>
    <w:rsid w:val="00926029"/>
    <w:rsid w:val="00926E2C"/>
    <w:rsid w:val="00957108"/>
    <w:rsid w:val="00966A8E"/>
    <w:rsid w:val="00970E4B"/>
    <w:rsid w:val="0097787B"/>
    <w:rsid w:val="00991FFA"/>
    <w:rsid w:val="009A2DFA"/>
    <w:rsid w:val="009A5057"/>
    <w:rsid w:val="009B066B"/>
    <w:rsid w:val="009B1264"/>
    <w:rsid w:val="009B69A1"/>
    <w:rsid w:val="009C4D00"/>
    <w:rsid w:val="009C7D6F"/>
    <w:rsid w:val="009D4DCB"/>
    <w:rsid w:val="009E0BEC"/>
    <w:rsid w:val="00A04396"/>
    <w:rsid w:val="00A06FC5"/>
    <w:rsid w:val="00A076DD"/>
    <w:rsid w:val="00A11869"/>
    <w:rsid w:val="00A2436F"/>
    <w:rsid w:val="00A4170C"/>
    <w:rsid w:val="00A5205E"/>
    <w:rsid w:val="00A56EE9"/>
    <w:rsid w:val="00A759A5"/>
    <w:rsid w:val="00A75D7F"/>
    <w:rsid w:val="00A80228"/>
    <w:rsid w:val="00A856FF"/>
    <w:rsid w:val="00AA2524"/>
    <w:rsid w:val="00AA4C7F"/>
    <w:rsid w:val="00AC1F37"/>
    <w:rsid w:val="00AC436C"/>
    <w:rsid w:val="00AD61AA"/>
    <w:rsid w:val="00AF67E6"/>
    <w:rsid w:val="00B026A1"/>
    <w:rsid w:val="00B10631"/>
    <w:rsid w:val="00B2070F"/>
    <w:rsid w:val="00B323DC"/>
    <w:rsid w:val="00B32470"/>
    <w:rsid w:val="00B3346A"/>
    <w:rsid w:val="00B40300"/>
    <w:rsid w:val="00B55C05"/>
    <w:rsid w:val="00B75BD6"/>
    <w:rsid w:val="00B87DD3"/>
    <w:rsid w:val="00B95F39"/>
    <w:rsid w:val="00BA4651"/>
    <w:rsid w:val="00BB539E"/>
    <w:rsid w:val="00BB6AD5"/>
    <w:rsid w:val="00BB7D3B"/>
    <w:rsid w:val="00BC2CF8"/>
    <w:rsid w:val="00BD0EA4"/>
    <w:rsid w:val="00BE3400"/>
    <w:rsid w:val="00BE6345"/>
    <w:rsid w:val="00BF07EE"/>
    <w:rsid w:val="00C013A1"/>
    <w:rsid w:val="00C11915"/>
    <w:rsid w:val="00C26684"/>
    <w:rsid w:val="00C47E61"/>
    <w:rsid w:val="00C51234"/>
    <w:rsid w:val="00C569B2"/>
    <w:rsid w:val="00C5782D"/>
    <w:rsid w:val="00C70717"/>
    <w:rsid w:val="00C70E92"/>
    <w:rsid w:val="00C74B5F"/>
    <w:rsid w:val="00C916F3"/>
    <w:rsid w:val="00C92B0B"/>
    <w:rsid w:val="00CC20A1"/>
    <w:rsid w:val="00CD1C06"/>
    <w:rsid w:val="00CF7EC8"/>
    <w:rsid w:val="00D1702B"/>
    <w:rsid w:val="00D333A7"/>
    <w:rsid w:val="00D511FE"/>
    <w:rsid w:val="00D53310"/>
    <w:rsid w:val="00D8332E"/>
    <w:rsid w:val="00DA3594"/>
    <w:rsid w:val="00DA4EBC"/>
    <w:rsid w:val="00DC49C6"/>
    <w:rsid w:val="00DD6FCE"/>
    <w:rsid w:val="00DF1526"/>
    <w:rsid w:val="00E04F87"/>
    <w:rsid w:val="00E053BA"/>
    <w:rsid w:val="00E05AE6"/>
    <w:rsid w:val="00E230C0"/>
    <w:rsid w:val="00E3690C"/>
    <w:rsid w:val="00E42EA5"/>
    <w:rsid w:val="00E61D6D"/>
    <w:rsid w:val="00E62D51"/>
    <w:rsid w:val="00E62EA0"/>
    <w:rsid w:val="00E931E7"/>
    <w:rsid w:val="00EB0038"/>
    <w:rsid w:val="00ED046A"/>
    <w:rsid w:val="00ED0F5A"/>
    <w:rsid w:val="00EE17BF"/>
    <w:rsid w:val="00F0073C"/>
    <w:rsid w:val="00F01A3F"/>
    <w:rsid w:val="00F36A6D"/>
    <w:rsid w:val="00F36D0B"/>
    <w:rsid w:val="00F42395"/>
    <w:rsid w:val="00F44C3B"/>
    <w:rsid w:val="00F52CDC"/>
    <w:rsid w:val="00F61C12"/>
    <w:rsid w:val="00F773C7"/>
    <w:rsid w:val="00F777FA"/>
    <w:rsid w:val="00F86B76"/>
    <w:rsid w:val="00F97658"/>
    <w:rsid w:val="00FB3AA7"/>
    <w:rsid w:val="00FC130B"/>
    <w:rsid w:val="00FC79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761CEB1"/>
  <w15:chartTrackingRefBased/>
  <w15:docId w15:val="{C9BFE6A2-BB7F-45DC-9D2B-1759A49FD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qFormat="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6EE9"/>
    <w:rPr>
      <w:rFonts w:ascii="Arial" w:hAnsi="Arial"/>
      <w:lang w:val="en-AU"/>
    </w:rPr>
  </w:style>
  <w:style w:type="paragraph" w:styleId="Heading1">
    <w:name w:val="heading 1"/>
    <w:next w:val="Normal"/>
    <w:link w:val="Heading1Char"/>
    <w:qFormat/>
    <w:rsid w:val="00A56EE9"/>
    <w:pPr>
      <w:keepNext/>
      <w:keepLines/>
      <w:numPr>
        <w:numId w:val="18"/>
      </w:numPr>
      <w:spacing w:before="240" w:after="120"/>
      <w:outlineLvl w:val="0"/>
    </w:pPr>
    <w:rPr>
      <w:rFonts w:ascii="Segoe UI" w:eastAsiaTheme="majorEastAsia" w:hAnsi="Segoe UI" w:cstheme="majorBidi"/>
      <w:b/>
      <w:color w:val="2F5496" w:themeColor="accent1" w:themeShade="BF"/>
      <w:sz w:val="32"/>
      <w:szCs w:val="32"/>
      <w:lang w:val="en-AU"/>
    </w:rPr>
  </w:style>
  <w:style w:type="paragraph" w:styleId="Heading2">
    <w:name w:val="heading 2"/>
    <w:basedOn w:val="Heading1"/>
    <w:next w:val="Normal"/>
    <w:link w:val="Heading2Char"/>
    <w:unhideWhenUsed/>
    <w:qFormat/>
    <w:rsid w:val="00A56EE9"/>
    <w:pPr>
      <w:numPr>
        <w:ilvl w:val="1"/>
      </w:numPr>
      <w:spacing w:before="40"/>
      <w:outlineLvl w:val="1"/>
    </w:pPr>
    <w:rPr>
      <w:sz w:val="26"/>
      <w:szCs w:val="26"/>
    </w:rPr>
  </w:style>
  <w:style w:type="paragraph" w:styleId="Heading3">
    <w:name w:val="heading 3"/>
    <w:basedOn w:val="Heading2"/>
    <w:next w:val="Normal"/>
    <w:link w:val="Heading3Char"/>
    <w:unhideWhenUsed/>
    <w:qFormat/>
    <w:rsid w:val="00A56EE9"/>
    <w:pPr>
      <w:numPr>
        <w:ilvl w:val="2"/>
      </w:numPr>
      <w:ind w:left="357" w:hanging="357"/>
      <w:outlineLvl w:val="2"/>
    </w:pPr>
    <w:rPr>
      <w:color w:val="1F3763" w:themeColor="accent1" w:themeShade="7F"/>
      <w:sz w:val="24"/>
      <w:szCs w:val="24"/>
    </w:rPr>
  </w:style>
  <w:style w:type="paragraph" w:styleId="Heading4">
    <w:name w:val="heading 4"/>
    <w:basedOn w:val="Normal"/>
    <w:next w:val="BodyText"/>
    <w:link w:val="Heading4Char"/>
    <w:qFormat/>
    <w:rsid w:val="00A56EE9"/>
    <w:pPr>
      <w:keepNext/>
      <w:keepLines/>
      <w:spacing w:before="240" w:after="0" w:line="276" w:lineRule="auto"/>
      <w:ind w:left="720" w:hanging="720"/>
      <w:outlineLvl w:val="3"/>
    </w:pPr>
    <w:rPr>
      <w:rFonts w:eastAsiaTheme="majorEastAsia" w:cs="Arial"/>
      <w:b/>
      <w:bCs/>
      <w:iCs/>
    </w:rPr>
  </w:style>
  <w:style w:type="paragraph" w:styleId="Heading5">
    <w:name w:val="heading 5"/>
    <w:basedOn w:val="HeadingBase"/>
    <w:next w:val="BodyText"/>
    <w:link w:val="Heading5Char"/>
    <w:qFormat/>
    <w:rsid w:val="00A56EE9"/>
    <w:pPr>
      <w:spacing w:before="160" w:line="300" w:lineRule="atLeast"/>
      <w:ind w:left="0" w:firstLine="0"/>
      <w:outlineLvl w:val="4"/>
    </w:pPr>
    <w:rPr>
      <w:rFonts w:ascii="Times" w:hAnsi="Times"/>
    </w:rPr>
  </w:style>
  <w:style w:type="paragraph" w:styleId="Heading6">
    <w:name w:val="heading 6"/>
    <w:basedOn w:val="Normal"/>
    <w:next w:val="BodyTextFirst"/>
    <w:link w:val="Heading6Char"/>
    <w:qFormat/>
    <w:rsid w:val="00A56EE9"/>
    <w:pPr>
      <w:keepNext/>
      <w:keepLines/>
      <w:spacing w:before="280" w:after="140" w:line="276" w:lineRule="auto"/>
      <w:outlineLvl w:val="5"/>
    </w:pPr>
    <w:rPr>
      <w:rFonts w:ascii="Palatino" w:hAnsi="Palatino" w:cs="Arial"/>
      <w:b/>
      <w:smallCaps/>
      <w:kern w:val="28"/>
      <w:sz w:val="36"/>
      <w:szCs w:val="20"/>
    </w:rPr>
  </w:style>
  <w:style w:type="paragraph" w:styleId="Heading7">
    <w:name w:val="heading 7"/>
    <w:basedOn w:val="Normal"/>
    <w:next w:val="BodyTextFirst"/>
    <w:link w:val="Heading7Char"/>
    <w:qFormat/>
    <w:rsid w:val="00A56EE9"/>
    <w:pPr>
      <w:keepNext/>
      <w:keepLines/>
      <w:spacing w:line="276" w:lineRule="auto"/>
      <w:outlineLvl w:val="6"/>
    </w:pPr>
    <w:rPr>
      <w:rFonts w:ascii="Palatino" w:hAnsi="Palatino" w:cs="Arial"/>
      <w:b/>
      <w:kern w:val="28"/>
      <w:sz w:val="20"/>
      <w:szCs w:val="20"/>
    </w:rPr>
  </w:style>
  <w:style w:type="paragraph" w:styleId="Heading8">
    <w:name w:val="heading 8"/>
    <w:basedOn w:val="Normal"/>
    <w:next w:val="BodyTextFirst"/>
    <w:link w:val="Heading8Char"/>
    <w:qFormat/>
    <w:rsid w:val="00A56EE9"/>
    <w:pPr>
      <w:keepNext/>
      <w:keepLines/>
      <w:spacing w:after="40" w:line="276" w:lineRule="auto"/>
      <w:outlineLvl w:val="7"/>
    </w:pPr>
    <w:rPr>
      <w:rFonts w:ascii="Palatino" w:hAnsi="Palatino" w:cs="Arial"/>
      <w:i/>
      <w:kern w:val="28"/>
      <w:sz w:val="20"/>
      <w:szCs w:val="20"/>
    </w:rPr>
  </w:style>
  <w:style w:type="paragraph" w:styleId="Heading9">
    <w:name w:val="heading 9"/>
    <w:basedOn w:val="Normal"/>
    <w:next w:val="BodyTextFirst"/>
    <w:link w:val="Heading9Char"/>
    <w:qFormat/>
    <w:rsid w:val="00A56EE9"/>
    <w:pPr>
      <w:keepNext/>
      <w:keepLines/>
      <w:spacing w:before="80" w:after="60" w:line="276" w:lineRule="auto"/>
      <w:outlineLvl w:val="8"/>
    </w:pPr>
    <w:rPr>
      <w:rFonts w:ascii="Helvetica" w:hAnsi="Helvetica" w:cs="Arial"/>
      <w:i/>
      <w:kern w:val="28"/>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56EE9"/>
    <w:rPr>
      <w:rFonts w:ascii="Segoe UI" w:eastAsiaTheme="majorEastAsia" w:hAnsi="Segoe UI" w:cstheme="majorBidi"/>
      <w:b/>
      <w:color w:val="2F5496" w:themeColor="accent1" w:themeShade="BF"/>
      <w:sz w:val="32"/>
      <w:szCs w:val="32"/>
      <w:lang w:val="en-AU"/>
    </w:rPr>
  </w:style>
  <w:style w:type="character" w:customStyle="1" w:styleId="Heading2Char">
    <w:name w:val="Heading 2 Char"/>
    <w:basedOn w:val="DefaultParagraphFont"/>
    <w:link w:val="Heading2"/>
    <w:rsid w:val="00A56EE9"/>
    <w:rPr>
      <w:rFonts w:ascii="Segoe UI" w:eastAsiaTheme="majorEastAsia" w:hAnsi="Segoe UI" w:cstheme="majorBidi"/>
      <w:b/>
      <w:color w:val="2F5496" w:themeColor="accent1" w:themeShade="BF"/>
      <w:sz w:val="26"/>
      <w:szCs w:val="26"/>
      <w:lang w:val="en-AU"/>
    </w:rPr>
  </w:style>
  <w:style w:type="character" w:customStyle="1" w:styleId="Heading3Char">
    <w:name w:val="Heading 3 Char"/>
    <w:basedOn w:val="DefaultParagraphFont"/>
    <w:link w:val="Heading3"/>
    <w:rsid w:val="00A56EE9"/>
    <w:rPr>
      <w:rFonts w:ascii="Segoe UI" w:eastAsiaTheme="majorEastAsia" w:hAnsi="Segoe UI" w:cstheme="majorBidi"/>
      <w:b/>
      <w:color w:val="1F3763" w:themeColor="accent1" w:themeShade="7F"/>
      <w:sz w:val="24"/>
      <w:szCs w:val="24"/>
      <w:lang w:val="en-AU"/>
    </w:rPr>
  </w:style>
  <w:style w:type="character" w:customStyle="1" w:styleId="Heading4Char">
    <w:name w:val="Heading 4 Char"/>
    <w:basedOn w:val="DefaultParagraphFont"/>
    <w:link w:val="Heading4"/>
    <w:rsid w:val="00A56EE9"/>
    <w:rPr>
      <w:rFonts w:ascii="Arial" w:eastAsiaTheme="majorEastAsia" w:hAnsi="Arial" w:cs="Arial"/>
      <w:b/>
      <w:bCs/>
      <w:iCs/>
      <w:lang w:val="en-AU"/>
    </w:rPr>
  </w:style>
  <w:style w:type="character" w:customStyle="1" w:styleId="Heading5Char">
    <w:name w:val="Heading 5 Char"/>
    <w:basedOn w:val="DefaultParagraphFont"/>
    <w:link w:val="Heading5"/>
    <w:rsid w:val="00A56EE9"/>
    <w:rPr>
      <w:rFonts w:ascii="Times" w:hAnsi="Times" w:cs="Arial"/>
      <w:b/>
      <w:kern w:val="28"/>
      <w:sz w:val="20"/>
      <w:szCs w:val="20"/>
      <w:lang w:val="en-AU"/>
    </w:rPr>
  </w:style>
  <w:style w:type="character" w:customStyle="1" w:styleId="Heading6Char">
    <w:name w:val="Heading 6 Char"/>
    <w:basedOn w:val="DefaultParagraphFont"/>
    <w:link w:val="Heading6"/>
    <w:rsid w:val="00A56EE9"/>
    <w:rPr>
      <w:rFonts w:ascii="Palatino" w:hAnsi="Palatino" w:cs="Arial"/>
      <w:b/>
      <w:smallCaps/>
      <w:kern w:val="28"/>
      <w:sz w:val="36"/>
      <w:szCs w:val="20"/>
      <w:lang w:val="en-AU"/>
    </w:rPr>
  </w:style>
  <w:style w:type="character" w:customStyle="1" w:styleId="Heading7Char">
    <w:name w:val="Heading 7 Char"/>
    <w:basedOn w:val="DefaultParagraphFont"/>
    <w:link w:val="Heading7"/>
    <w:rsid w:val="00A56EE9"/>
    <w:rPr>
      <w:rFonts w:ascii="Palatino" w:hAnsi="Palatino" w:cs="Arial"/>
      <w:b/>
      <w:kern w:val="28"/>
      <w:sz w:val="20"/>
      <w:szCs w:val="20"/>
      <w:lang w:val="en-AU"/>
    </w:rPr>
  </w:style>
  <w:style w:type="character" w:customStyle="1" w:styleId="Heading8Char">
    <w:name w:val="Heading 8 Char"/>
    <w:basedOn w:val="DefaultParagraphFont"/>
    <w:link w:val="Heading8"/>
    <w:rsid w:val="00A56EE9"/>
    <w:rPr>
      <w:rFonts w:ascii="Palatino" w:hAnsi="Palatino" w:cs="Arial"/>
      <w:i/>
      <w:kern w:val="28"/>
      <w:sz w:val="20"/>
      <w:szCs w:val="20"/>
      <w:lang w:val="en-AU"/>
    </w:rPr>
  </w:style>
  <w:style w:type="character" w:customStyle="1" w:styleId="Heading9Char">
    <w:name w:val="Heading 9 Char"/>
    <w:basedOn w:val="DefaultParagraphFont"/>
    <w:link w:val="Heading9"/>
    <w:rsid w:val="00A56EE9"/>
    <w:rPr>
      <w:rFonts w:ascii="Helvetica" w:hAnsi="Helvetica" w:cs="Arial"/>
      <w:i/>
      <w:kern w:val="28"/>
      <w:sz w:val="20"/>
      <w:szCs w:val="20"/>
      <w:lang w:val="en-AU"/>
    </w:rPr>
  </w:style>
  <w:style w:type="character" w:styleId="Hyperlink">
    <w:name w:val="Hyperlink"/>
    <w:basedOn w:val="DefaultParagraphFont"/>
    <w:uiPriority w:val="99"/>
    <w:rsid w:val="00A56EE9"/>
    <w:rPr>
      <w:color w:val="0000FF"/>
      <w:u w:val="single"/>
    </w:rPr>
  </w:style>
  <w:style w:type="paragraph" w:styleId="TOC1">
    <w:name w:val="toc 1"/>
    <w:basedOn w:val="Normal"/>
    <w:next w:val="Normal"/>
    <w:autoRedefine/>
    <w:uiPriority w:val="39"/>
    <w:unhideWhenUsed/>
    <w:qFormat/>
    <w:rsid w:val="00A56EE9"/>
    <w:pPr>
      <w:spacing w:before="120" w:after="120"/>
    </w:pPr>
    <w:rPr>
      <w:rFonts w:asciiTheme="minorHAnsi" w:hAnsiTheme="minorHAnsi" w:cstheme="minorHAnsi"/>
      <w:b/>
      <w:bCs/>
      <w:caps/>
      <w:sz w:val="20"/>
      <w:szCs w:val="20"/>
    </w:rPr>
  </w:style>
  <w:style w:type="paragraph" w:styleId="ListParagraph">
    <w:name w:val="List Paragraph"/>
    <w:aliases w:val="List Paragraph Body,List Paragraph_TF,DDM Gen Text,List Paragraph1,Bullet 1,CV text,Colorful List - Accent 11,Dot pt,F5 List Paragraph,Indicator Text,L,List Paragraph Char Char Char,List Paragraph11,NFP GP Bulleted List,No Spacing1"/>
    <w:basedOn w:val="Normal"/>
    <w:link w:val="ListParagraphChar"/>
    <w:uiPriority w:val="99"/>
    <w:qFormat/>
    <w:rsid w:val="00A56EE9"/>
    <w:pPr>
      <w:ind w:left="720"/>
      <w:contextualSpacing/>
    </w:pPr>
  </w:style>
  <w:style w:type="paragraph" w:styleId="Caption">
    <w:name w:val="caption"/>
    <w:aliases w:val="Tables,Caption Char Char,Caption Char Char1,Caption Char Char2,Figures"/>
    <w:basedOn w:val="Normal"/>
    <w:next w:val="BodyText"/>
    <w:link w:val="CaptionChar"/>
    <w:uiPriority w:val="35"/>
    <w:qFormat/>
    <w:rsid w:val="00A56EE9"/>
    <w:pPr>
      <w:spacing w:before="120" w:after="240" w:line="276" w:lineRule="auto"/>
      <w:ind w:left="851" w:right="851"/>
    </w:pPr>
    <w:rPr>
      <w:rFonts w:cs="Arial"/>
      <w:b/>
      <w:sz w:val="20"/>
      <w:szCs w:val="20"/>
    </w:rPr>
  </w:style>
  <w:style w:type="paragraph" w:customStyle="1" w:styleId="Tablebulletlist">
    <w:name w:val="Table bullet list"/>
    <w:basedOn w:val="Normal"/>
    <w:uiPriority w:val="99"/>
    <w:qFormat/>
    <w:rsid w:val="00A56EE9"/>
    <w:pPr>
      <w:spacing w:after="0" w:line="240" w:lineRule="auto"/>
    </w:pPr>
    <w:rPr>
      <w:rFonts w:ascii="Arial Narrow" w:eastAsia="Times New Roman" w:hAnsi="Arial Narrow" w:cs="Times New Roman"/>
      <w:sz w:val="18"/>
      <w:szCs w:val="18"/>
    </w:rPr>
  </w:style>
  <w:style w:type="table" w:styleId="TableGrid">
    <w:name w:val="Table Grid"/>
    <w:basedOn w:val="TableNormal"/>
    <w:uiPriority w:val="59"/>
    <w:rsid w:val="00A56EE9"/>
    <w:pPr>
      <w:spacing w:after="0" w:line="240" w:lineRule="auto"/>
    </w:pPr>
    <w:rPr>
      <w:rFonts w:ascii="Times" w:eastAsia="Times New Roman" w:hAnsi="Times"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List Paragraph Body Char,List Paragraph_TF Char,DDM Gen Text Char,List Paragraph1 Char,Bullet 1 Char,CV text Char,Colorful List - Accent 11 Char,Dot pt Char,F5 List Paragraph Char,Indicator Text Char,L Char,List Paragraph11 Char"/>
    <w:link w:val="ListParagraph"/>
    <w:uiPriority w:val="99"/>
    <w:qFormat/>
    <w:locked/>
    <w:rsid w:val="00A56EE9"/>
    <w:rPr>
      <w:rFonts w:ascii="Arial" w:hAnsi="Arial"/>
      <w:lang w:val="en-AU"/>
    </w:rPr>
  </w:style>
  <w:style w:type="paragraph" w:styleId="BodyText">
    <w:name w:val="Body Text"/>
    <w:aliases w:val="Body Text1,Body Text Char Char Char Char"/>
    <w:basedOn w:val="Normal"/>
    <w:link w:val="BodyTextChar"/>
    <w:unhideWhenUsed/>
    <w:rsid w:val="00A56EE9"/>
    <w:pPr>
      <w:spacing w:after="120"/>
    </w:pPr>
  </w:style>
  <w:style w:type="character" w:customStyle="1" w:styleId="BodyTextChar">
    <w:name w:val="Body Text Char"/>
    <w:aliases w:val="Body Text1 Char,Body Text Char Char Char Char Char1"/>
    <w:basedOn w:val="DefaultParagraphFont"/>
    <w:link w:val="BodyText"/>
    <w:uiPriority w:val="99"/>
    <w:rsid w:val="00A56EE9"/>
    <w:rPr>
      <w:rFonts w:ascii="Arial" w:hAnsi="Arial"/>
      <w:lang w:val="en-AU"/>
    </w:rPr>
  </w:style>
  <w:style w:type="paragraph" w:styleId="Header">
    <w:name w:val="header"/>
    <w:basedOn w:val="Normal"/>
    <w:link w:val="HeaderChar"/>
    <w:unhideWhenUsed/>
    <w:rsid w:val="00A56EE9"/>
    <w:pPr>
      <w:tabs>
        <w:tab w:val="center" w:pos="4513"/>
        <w:tab w:val="right" w:pos="9026"/>
      </w:tabs>
      <w:spacing w:after="0" w:line="240" w:lineRule="auto"/>
    </w:pPr>
    <w:rPr>
      <w:rFonts w:cs="Arial"/>
      <w:sz w:val="20"/>
      <w:szCs w:val="20"/>
    </w:rPr>
  </w:style>
  <w:style w:type="character" w:customStyle="1" w:styleId="HeaderChar">
    <w:name w:val="Header Char"/>
    <w:basedOn w:val="DefaultParagraphFont"/>
    <w:link w:val="Header"/>
    <w:uiPriority w:val="99"/>
    <w:rsid w:val="00A56EE9"/>
    <w:rPr>
      <w:rFonts w:ascii="Arial" w:hAnsi="Arial" w:cs="Arial"/>
      <w:sz w:val="20"/>
      <w:szCs w:val="20"/>
      <w:lang w:val="en-AU"/>
    </w:rPr>
  </w:style>
  <w:style w:type="paragraph" w:styleId="Footer">
    <w:name w:val="footer"/>
    <w:basedOn w:val="Normal"/>
    <w:link w:val="FooterChar"/>
    <w:uiPriority w:val="99"/>
    <w:unhideWhenUsed/>
    <w:rsid w:val="00A56E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56EE9"/>
    <w:rPr>
      <w:rFonts w:ascii="Arial" w:hAnsi="Arial"/>
      <w:lang w:val="en-AU"/>
    </w:rPr>
  </w:style>
  <w:style w:type="paragraph" w:styleId="TOC2">
    <w:name w:val="toc 2"/>
    <w:basedOn w:val="Normal"/>
    <w:next w:val="Normal"/>
    <w:autoRedefine/>
    <w:uiPriority w:val="39"/>
    <w:unhideWhenUsed/>
    <w:qFormat/>
    <w:rsid w:val="00A56EE9"/>
    <w:pPr>
      <w:spacing w:after="0"/>
      <w:ind w:left="220"/>
    </w:pPr>
    <w:rPr>
      <w:rFonts w:asciiTheme="minorHAnsi" w:hAnsiTheme="minorHAnsi" w:cstheme="minorHAnsi"/>
      <w:smallCaps/>
      <w:sz w:val="20"/>
      <w:szCs w:val="20"/>
    </w:rPr>
  </w:style>
  <w:style w:type="paragraph" w:styleId="NoSpacing">
    <w:name w:val="No Spacing"/>
    <w:uiPriority w:val="1"/>
    <w:qFormat/>
    <w:rsid w:val="00A56EE9"/>
    <w:pPr>
      <w:spacing w:after="0" w:line="240" w:lineRule="auto"/>
    </w:pPr>
    <w:rPr>
      <w:lang w:val="en-AU"/>
    </w:rPr>
  </w:style>
  <w:style w:type="paragraph" w:customStyle="1" w:styleId="HeadingBase">
    <w:name w:val="Heading Base"/>
    <w:basedOn w:val="Normal"/>
    <w:next w:val="BodyText"/>
    <w:rsid w:val="00A56EE9"/>
    <w:pPr>
      <w:keepNext/>
      <w:keepLines/>
      <w:spacing w:after="200" w:line="276" w:lineRule="auto"/>
      <w:ind w:left="794" w:hanging="794"/>
    </w:pPr>
    <w:rPr>
      <w:rFonts w:ascii="Helvetica" w:hAnsi="Helvetica" w:cs="Arial"/>
      <w:b/>
      <w:kern w:val="28"/>
      <w:sz w:val="20"/>
      <w:szCs w:val="20"/>
    </w:rPr>
  </w:style>
  <w:style w:type="paragraph" w:customStyle="1" w:styleId="BodyTextFirst">
    <w:name w:val="Body Text First"/>
    <w:basedOn w:val="Normal"/>
    <w:next w:val="BodyText"/>
    <w:rsid w:val="00A56EE9"/>
    <w:pPr>
      <w:spacing w:before="480" w:after="200" w:line="300" w:lineRule="exact"/>
      <w:jc w:val="both"/>
    </w:pPr>
    <w:rPr>
      <w:rFonts w:cs="Arial"/>
      <w:sz w:val="20"/>
      <w:szCs w:val="20"/>
    </w:rPr>
  </w:style>
  <w:style w:type="paragraph" w:customStyle="1" w:styleId="Abbreviations">
    <w:name w:val="Abbreviations"/>
    <w:basedOn w:val="BodyText"/>
    <w:rsid w:val="00A56EE9"/>
    <w:pPr>
      <w:spacing w:after="80" w:line="300" w:lineRule="exact"/>
      <w:ind w:left="1588" w:hanging="1588"/>
      <w:jc w:val="both"/>
    </w:pPr>
    <w:rPr>
      <w:rFonts w:ascii="Times New Roman" w:hAnsi="Times New Roman" w:cs="Arial"/>
      <w:sz w:val="20"/>
      <w:szCs w:val="20"/>
    </w:rPr>
  </w:style>
  <w:style w:type="paragraph" w:customStyle="1" w:styleId="BlockQuotationFirst">
    <w:name w:val="Block Quotation First"/>
    <w:basedOn w:val="Normal"/>
    <w:next w:val="Normal"/>
    <w:rsid w:val="00A56EE9"/>
    <w:pPr>
      <w:keepLines/>
      <w:spacing w:before="160" w:line="300" w:lineRule="exact"/>
      <w:ind w:left="851" w:right="851"/>
      <w:jc w:val="both"/>
    </w:pPr>
    <w:rPr>
      <w:rFonts w:cs="Arial"/>
      <w:i/>
      <w:sz w:val="20"/>
      <w:szCs w:val="20"/>
    </w:rPr>
  </w:style>
  <w:style w:type="paragraph" w:customStyle="1" w:styleId="BlockQuotationContinue">
    <w:name w:val="Block Quotation†Continue"/>
    <w:basedOn w:val="Normal"/>
    <w:rsid w:val="00A56EE9"/>
    <w:pPr>
      <w:keepLines/>
      <w:spacing w:line="300" w:lineRule="exact"/>
      <w:ind w:left="851" w:right="851"/>
      <w:jc w:val="both"/>
    </w:pPr>
    <w:rPr>
      <w:rFonts w:cs="Arial"/>
      <w:i/>
      <w:sz w:val="20"/>
      <w:szCs w:val="20"/>
    </w:rPr>
  </w:style>
  <w:style w:type="paragraph" w:customStyle="1" w:styleId="BodyTextFirstSpacious">
    <w:name w:val="Body Text First Spacious"/>
    <w:basedOn w:val="BodyTextFirst"/>
    <w:rsid w:val="00A56EE9"/>
    <w:pPr>
      <w:spacing w:before="80" w:after="80"/>
    </w:pPr>
  </w:style>
  <w:style w:type="paragraph" w:customStyle="1" w:styleId="BodyTextSpacious">
    <w:name w:val="Body Text Spacious"/>
    <w:basedOn w:val="BodyTextFirstSpacious"/>
    <w:rsid w:val="00A56EE9"/>
  </w:style>
  <w:style w:type="character" w:customStyle="1" w:styleId="CaptionAnnouncement">
    <w:name w:val="Caption Announcement"/>
    <w:basedOn w:val="DefaultParagraphFont"/>
    <w:rsid w:val="00A56EE9"/>
    <w:rPr>
      <w:b/>
      <w:i/>
    </w:rPr>
  </w:style>
  <w:style w:type="character" w:customStyle="1" w:styleId="Citation">
    <w:name w:val="Citation"/>
    <w:rsid w:val="00A56EE9"/>
    <w:rPr>
      <w:i/>
    </w:rPr>
  </w:style>
  <w:style w:type="character" w:customStyle="1" w:styleId="DefinedTerm">
    <w:name w:val="Defined Term"/>
    <w:rsid w:val="00A56EE9"/>
    <w:rPr>
      <w:i/>
    </w:rPr>
  </w:style>
  <w:style w:type="character" w:styleId="Emphasis">
    <w:name w:val="Emphasis"/>
    <w:qFormat/>
    <w:rsid w:val="00A56EE9"/>
    <w:rPr>
      <w:i/>
    </w:rPr>
  </w:style>
  <w:style w:type="paragraph" w:customStyle="1" w:styleId="Equation">
    <w:name w:val="Equation"/>
    <w:basedOn w:val="BodyTextFirst"/>
    <w:next w:val="BodyTextFirst"/>
    <w:rsid w:val="00A56EE9"/>
    <w:pPr>
      <w:tabs>
        <w:tab w:val="center" w:pos="3912"/>
        <w:tab w:val="right" w:pos="7938"/>
      </w:tabs>
      <w:spacing w:before="160" w:after="160" w:line="240" w:lineRule="auto"/>
    </w:pPr>
  </w:style>
  <w:style w:type="paragraph" w:customStyle="1" w:styleId="FooterEven">
    <w:name w:val="Footer Even"/>
    <w:basedOn w:val="Footer"/>
    <w:rsid w:val="00A56EE9"/>
    <w:pPr>
      <w:pBdr>
        <w:top w:val="single" w:sz="6" w:space="1" w:color="auto"/>
      </w:pBdr>
      <w:tabs>
        <w:tab w:val="clear" w:pos="4513"/>
        <w:tab w:val="clear" w:pos="9026"/>
        <w:tab w:val="right" w:pos="8641"/>
      </w:tabs>
      <w:spacing w:after="200" w:line="276" w:lineRule="auto"/>
    </w:pPr>
    <w:rPr>
      <w:rFonts w:cs="Arial"/>
      <w:i/>
      <w:sz w:val="20"/>
      <w:szCs w:val="20"/>
    </w:rPr>
  </w:style>
  <w:style w:type="paragraph" w:customStyle="1" w:styleId="FooterFirst">
    <w:name w:val="Footer First"/>
    <w:basedOn w:val="Footer"/>
    <w:rsid w:val="00A56EE9"/>
    <w:pPr>
      <w:pBdr>
        <w:top w:val="single" w:sz="6" w:space="1" w:color="auto"/>
      </w:pBdr>
      <w:tabs>
        <w:tab w:val="clear" w:pos="4513"/>
        <w:tab w:val="clear" w:pos="9026"/>
        <w:tab w:val="right" w:pos="8641"/>
      </w:tabs>
      <w:spacing w:after="200" w:line="276" w:lineRule="auto"/>
    </w:pPr>
    <w:rPr>
      <w:rFonts w:cs="Arial"/>
      <w:i/>
      <w:sz w:val="20"/>
      <w:szCs w:val="20"/>
    </w:rPr>
  </w:style>
  <w:style w:type="paragraph" w:customStyle="1" w:styleId="FooterOdd">
    <w:name w:val="Footer Odd"/>
    <w:basedOn w:val="Footer"/>
    <w:rsid w:val="00A56EE9"/>
    <w:pPr>
      <w:pBdr>
        <w:top w:val="single" w:sz="6" w:space="1" w:color="auto"/>
      </w:pBdr>
      <w:tabs>
        <w:tab w:val="clear" w:pos="4513"/>
        <w:tab w:val="clear" w:pos="9026"/>
        <w:tab w:val="right" w:pos="8641"/>
      </w:tabs>
      <w:spacing w:after="200" w:line="276" w:lineRule="auto"/>
    </w:pPr>
    <w:rPr>
      <w:rFonts w:cs="Arial"/>
      <w:i/>
      <w:sz w:val="20"/>
      <w:szCs w:val="20"/>
    </w:rPr>
  </w:style>
  <w:style w:type="paragraph" w:customStyle="1" w:styleId="FootnoteBase">
    <w:name w:val="Footnote Base"/>
    <w:basedOn w:val="Normal"/>
    <w:rsid w:val="00A56EE9"/>
    <w:pPr>
      <w:tabs>
        <w:tab w:val="left" w:pos="187"/>
      </w:tabs>
      <w:spacing w:after="200" w:line="220" w:lineRule="exact"/>
      <w:ind w:left="187" w:hanging="187"/>
    </w:pPr>
    <w:rPr>
      <w:rFonts w:cs="Arial"/>
      <w:sz w:val="18"/>
      <w:szCs w:val="20"/>
    </w:rPr>
  </w:style>
  <w:style w:type="character" w:styleId="FootnoteReference">
    <w:name w:val="footnote reference"/>
    <w:semiHidden/>
    <w:rsid w:val="00A56EE9"/>
    <w:rPr>
      <w:vertAlign w:val="superscript"/>
    </w:rPr>
  </w:style>
  <w:style w:type="paragraph" w:styleId="FootnoteText">
    <w:name w:val="footnote text"/>
    <w:basedOn w:val="FootnoteBase"/>
    <w:link w:val="FootnoteTextChar"/>
    <w:semiHidden/>
    <w:rsid w:val="00A56EE9"/>
    <w:pPr>
      <w:spacing w:after="120"/>
    </w:pPr>
  </w:style>
  <w:style w:type="character" w:customStyle="1" w:styleId="FootnoteTextChar">
    <w:name w:val="Footnote Text Char"/>
    <w:basedOn w:val="DefaultParagraphFont"/>
    <w:link w:val="FootnoteText"/>
    <w:uiPriority w:val="99"/>
    <w:semiHidden/>
    <w:rsid w:val="00A56EE9"/>
    <w:rPr>
      <w:rFonts w:ascii="Arial" w:hAnsi="Arial" w:cs="Arial"/>
      <w:sz w:val="18"/>
      <w:szCs w:val="20"/>
      <w:lang w:val="en-AU"/>
    </w:rPr>
  </w:style>
  <w:style w:type="paragraph" w:customStyle="1" w:styleId="Glossary">
    <w:name w:val="Glossary"/>
    <w:basedOn w:val="BodyTextFirst"/>
    <w:rsid w:val="00A56EE9"/>
    <w:pPr>
      <w:spacing w:after="80"/>
      <w:ind w:left="2268" w:hanging="2268"/>
    </w:pPr>
  </w:style>
  <w:style w:type="paragraph" w:customStyle="1" w:styleId="HeaderEven">
    <w:name w:val="Header Even"/>
    <w:basedOn w:val="Header"/>
    <w:rsid w:val="00A56EE9"/>
    <w:pPr>
      <w:pBdr>
        <w:bottom w:val="single" w:sz="6" w:space="2" w:color="auto"/>
      </w:pBdr>
      <w:tabs>
        <w:tab w:val="clear" w:pos="4513"/>
        <w:tab w:val="clear" w:pos="9026"/>
        <w:tab w:val="right" w:pos="8641"/>
      </w:tabs>
      <w:spacing w:after="200" w:line="276" w:lineRule="auto"/>
    </w:pPr>
    <w:rPr>
      <w:i/>
    </w:rPr>
  </w:style>
  <w:style w:type="paragraph" w:customStyle="1" w:styleId="HeaderFirst">
    <w:name w:val="Header First"/>
    <w:basedOn w:val="Header"/>
    <w:rsid w:val="00A56EE9"/>
    <w:pPr>
      <w:pBdr>
        <w:bottom w:val="single" w:sz="6" w:space="2" w:color="auto"/>
      </w:pBdr>
      <w:tabs>
        <w:tab w:val="clear" w:pos="4513"/>
        <w:tab w:val="clear" w:pos="9026"/>
        <w:tab w:val="right" w:pos="8641"/>
      </w:tabs>
      <w:spacing w:after="200" w:line="276" w:lineRule="auto"/>
    </w:pPr>
    <w:rPr>
      <w:i/>
    </w:rPr>
  </w:style>
  <w:style w:type="paragraph" w:customStyle="1" w:styleId="HeaderOdd">
    <w:name w:val="Header Odd"/>
    <w:basedOn w:val="Header"/>
    <w:rsid w:val="00A56EE9"/>
    <w:pPr>
      <w:pBdr>
        <w:bottom w:val="single" w:sz="6" w:space="2" w:color="auto"/>
      </w:pBdr>
      <w:tabs>
        <w:tab w:val="clear" w:pos="4513"/>
        <w:tab w:val="clear" w:pos="9026"/>
        <w:tab w:val="right" w:pos="8641"/>
      </w:tabs>
      <w:spacing w:after="200" w:line="276" w:lineRule="auto"/>
    </w:pPr>
    <w:rPr>
      <w:i/>
    </w:rPr>
  </w:style>
  <w:style w:type="character" w:customStyle="1" w:styleId="HeadingInLine">
    <w:name w:val="Heading (In Line)"/>
    <w:basedOn w:val="DefaultParagraphFont"/>
    <w:rsid w:val="00A56EE9"/>
    <w:rPr>
      <w:b/>
    </w:rPr>
  </w:style>
  <w:style w:type="paragraph" w:customStyle="1" w:styleId="Heading1Imitate">
    <w:name w:val="Heading 1 Imitate"/>
    <w:basedOn w:val="Heading1"/>
    <w:next w:val="BodyText"/>
    <w:rsid w:val="00A56EE9"/>
    <w:pPr>
      <w:spacing w:before="0" w:after="240" w:line="276" w:lineRule="auto"/>
      <w:ind w:left="431" w:hanging="431"/>
      <w:outlineLvl w:val="9"/>
    </w:pPr>
    <w:rPr>
      <w:rFonts w:cs="Segoe UI"/>
      <w:bCs/>
      <w:color w:val="000000" w:themeColor="text1"/>
    </w:rPr>
  </w:style>
  <w:style w:type="paragraph" w:customStyle="1" w:styleId="Heading2Imitate">
    <w:name w:val="Heading 2 Imitate"/>
    <w:basedOn w:val="Heading2"/>
    <w:next w:val="BodyText"/>
    <w:rsid w:val="00A56EE9"/>
    <w:pPr>
      <w:spacing w:before="200" w:line="276" w:lineRule="auto"/>
      <w:ind w:left="567" w:hanging="567"/>
      <w:outlineLvl w:val="9"/>
    </w:pPr>
    <w:rPr>
      <w:rFonts w:cs="Segoe UI"/>
      <w:color w:val="auto"/>
    </w:rPr>
  </w:style>
  <w:style w:type="paragraph" w:customStyle="1" w:styleId="Heading3Imitate">
    <w:name w:val="Heading 3 Imitate"/>
    <w:basedOn w:val="Heading3"/>
    <w:next w:val="BodyText"/>
    <w:rsid w:val="00A56EE9"/>
    <w:pPr>
      <w:spacing w:before="240" w:line="276" w:lineRule="auto"/>
      <w:ind w:left="720" w:hanging="720"/>
      <w:outlineLvl w:val="9"/>
    </w:pPr>
    <w:rPr>
      <w:rFonts w:cs="Segoe UI"/>
      <w:bCs/>
      <w:color w:val="auto"/>
      <w:szCs w:val="22"/>
    </w:rPr>
  </w:style>
  <w:style w:type="paragraph" w:customStyle="1" w:styleId="Heading4Imitate">
    <w:name w:val="Heading 4 Imitate"/>
    <w:basedOn w:val="Heading4"/>
    <w:next w:val="BodyText"/>
    <w:rsid w:val="00A56EE9"/>
    <w:pPr>
      <w:outlineLvl w:val="9"/>
    </w:pPr>
  </w:style>
  <w:style w:type="paragraph" w:styleId="Index1">
    <w:name w:val="index 1"/>
    <w:basedOn w:val="Normal"/>
    <w:semiHidden/>
    <w:rsid w:val="00A56EE9"/>
    <w:pPr>
      <w:tabs>
        <w:tab w:val="right" w:pos="11907"/>
      </w:tabs>
      <w:spacing w:after="200" w:line="276" w:lineRule="auto"/>
      <w:ind w:left="238" w:hanging="238"/>
    </w:pPr>
    <w:rPr>
      <w:rFonts w:cs="Arial"/>
      <w:sz w:val="20"/>
      <w:szCs w:val="20"/>
    </w:rPr>
  </w:style>
  <w:style w:type="paragraph" w:styleId="Index2">
    <w:name w:val="index 2"/>
    <w:basedOn w:val="Normal"/>
    <w:semiHidden/>
    <w:rsid w:val="00A56EE9"/>
    <w:pPr>
      <w:tabs>
        <w:tab w:val="right" w:pos="11907"/>
      </w:tabs>
      <w:spacing w:after="200" w:line="276" w:lineRule="auto"/>
      <w:ind w:left="578" w:hanging="238"/>
    </w:pPr>
    <w:rPr>
      <w:rFonts w:cs="Arial"/>
      <w:sz w:val="20"/>
      <w:szCs w:val="20"/>
    </w:rPr>
  </w:style>
  <w:style w:type="paragraph" w:styleId="Index3">
    <w:name w:val="index 3"/>
    <w:basedOn w:val="Normal"/>
    <w:semiHidden/>
    <w:rsid w:val="00A56EE9"/>
    <w:pPr>
      <w:tabs>
        <w:tab w:val="right" w:pos="11907"/>
      </w:tabs>
      <w:spacing w:after="200" w:line="276" w:lineRule="auto"/>
      <w:ind w:left="918" w:hanging="238"/>
    </w:pPr>
    <w:rPr>
      <w:rFonts w:cs="Arial"/>
      <w:sz w:val="20"/>
      <w:szCs w:val="20"/>
    </w:rPr>
  </w:style>
  <w:style w:type="paragraph" w:styleId="Index4">
    <w:name w:val="index 4"/>
    <w:basedOn w:val="Normal"/>
    <w:semiHidden/>
    <w:rsid w:val="00A56EE9"/>
    <w:pPr>
      <w:tabs>
        <w:tab w:val="right" w:pos="11907"/>
      </w:tabs>
      <w:spacing w:after="200" w:line="276" w:lineRule="auto"/>
      <w:ind w:left="1259" w:hanging="238"/>
    </w:pPr>
    <w:rPr>
      <w:rFonts w:cs="Arial"/>
      <w:sz w:val="20"/>
      <w:szCs w:val="20"/>
    </w:rPr>
  </w:style>
  <w:style w:type="paragraph" w:styleId="Index5">
    <w:name w:val="index 5"/>
    <w:basedOn w:val="Normal"/>
    <w:semiHidden/>
    <w:rsid w:val="00A56EE9"/>
    <w:pPr>
      <w:tabs>
        <w:tab w:val="right" w:pos="11907"/>
      </w:tabs>
      <w:spacing w:after="200" w:line="276" w:lineRule="auto"/>
      <w:ind w:left="1599" w:hanging="238"/>
    </w:pPr>
    <w:rPr>
      <w:rFonts w:cs="Arial"/>
      <w:sz w:val="20"/>
      <w:szCs w:val="20"/>
    </w:rPr>
  </w:style>
  <w:style w:type="paragraph" w:styleId="Index6">
    <w:name w:val="index 6"/>
    <w:basedOn w:val="Normal"/>
    <w:semiHidden/>
    <w:rsid w:val="00A56EE9"/>
    <w:pPr>
      <w:tabs>
        <w:tab w:val="right" w:pos="11907"/>
      </w:tabs>
      <w:spacing w:after="200" w:line="276" w:lineRule="auto"/>
      <w:ind w:left="1939" w:hanging="238"/>
    </w:pPr>
    <w:rPr>
      <w:rFonts w:cs="Arial"/>
      <w:sz w:val="20"/>
      <w:szCs w:val="20"/>
    </w:rPr>
  </w:style>
  <w:style w:type="paragraph" w:styleId="Index7">
    <w:name w:val="index 7"/>
    <w:basedOn w:val="Normal"/>
    <w:semiHidden/>
    <w:rsid w:val="00A56EE9"/>
    <w:pPr>
      <w:tabs>
        <w:tab w:val="right" w:pos="11907"/>
      </w:tabs>
      <w:spacing w:after="200" w:line="276" w:lineRule="auto"/>
      <w:ind w:left="2279" w:hanging="238"/>
    </w:pPr>
    <w:rPr>
      <w:rFonts w:cs="Arial"/>
      <w:sz w:val="20"/>
      <w:szCs w:val="20"/>
    </w:rPr>
  </w:style>
  <w:style w:type="paragraph" w:styleId="Index8">
    <w:name w:val="index 8"/>
    <w:basedOn w:val="Normal"/>
    <w:semiHidden/>
    <w:rsid w:val="00A56EE9"/>
    <w:pPr>
      <w:tabs>
        <w:tab w:val="right" w:pos="11907"/>
      </w:tabs>
      <w:spacing w:after="200" w:line="276" w:lineRule="auto"/>
      <w:ind w:left="2619" w:hanging="238"/>
    </w:pPr>
    <w:rPr>
      <w:rFonts w:cs="Arial"/>
      <w:sz w:val="20"/>
      <w:szCs w:val="20"/>
    </w:rPr>
  </w:style>
  <w:style w:type="paragraph" w:styleId="Index9">
    <w:name w:val="index 9"/>
    <w:basedOn w:val="Normal"/>
    <w:semiHidden/>
    <w:rsid w:val="00A56EE9"/>
    <w:pPr>
      <w:tabs>
        <w:tab w:val="right" w:pos="11907"/>
      </w:tabs>
      <w:spacing w:after="200" w:line="276" w:lineRule="auto"/>
      <w:ind w:left="2960" w:hanging="238"/>
    </w:pPr>
    <w:rPr>
      <w:rFonts w:cs="Arial"/>
      <w:sz w:val="20"/>
      <w:szCs w:val="20"/>
    </w:rPr>
  </w:style>
  <w:style w:type="paragraph" w:customStyle="1" w:styleId="IndexBase">
    <w:name w:val="Index Base"/>
    <w:basedOn w:val="Normal"/>
    <w:rsid w:val="00A56EE9"/>
    <w:pPr>
      <w:tabs>
        <w:tab w:val="right" w:pos="11907"/>
      </w:tabs>
      <w:spacing w:after="200" w:line="276" w:lineRule="auto"/>
    </w:pPr>
    <w:rPr>
      <w:rFonts w:cs="Arial"/>
      <w:sz w:val="20"/>
      <w:szCs w:val="20"/>
    </w:rPr>
  </w:style>
  <w:style w:type="paragraph" w:styleId="List">
    <w:name w:val="List"/>
    <w:basedOn w:val="BodyText"/>
    <w:rsid w:val="00A56EE9"/>
    <w:pPr>
      <w:spacing w:after="40" w:line="240" w:lineRule="exact"/>
      <w:ind w:left="357" w:hanging="357"/>
      <w:jc w:val="both"/>
    </w:pPr>
    <w:rPr>
      <w:rFonts w:ascii="Times New Roman" w:hAnsi="Times New Roman" w:cs="Arial"/>
      <w:sz w:val="20"/>
      <w:szCs w:val="20"/>
    </w:rPr>
  </w:style>
  <w:style w:type="paragraph" w:styleId="List2">
    <w:name w:val="List 2"/>
    <w:basedOn w:val="List"/>
    <w:rsid w:val="00A56EE9"/>
    <w:pPr>
      <w:ind w:left="924"/>
    </w:pPr>
  </w:style>
  <w:style w:type="paragraph" w:styleId="List3">
    <w:name w:val="List 3"/>
    <w:basedOn w:val="List"/>
    <w:rsid w:val="00A56EE9"/>
    <w:pPr>
      <w:ind w:left="1491"/>
    </w:pPr>
  </w:style>
  <w:style w:type="paragraph" w:styleId="List4">
    <w:name w:val="List 4"/>
    <w:basedOn w:val="List"/>
    <w:rsid w:val="00A56EE9"/>
    <w:pPr>
      <w:ind w:left="2058"/>
    </w:pPr>
  </w:style>
  <w:style w:type="paragraph" w:styleId="List5">
    <w:name w:val="List 5"/>
    <w:basedOn w:val="List"/>
    <w:rsid w:val="00A56EE9"/>
    <w:pPr>
      <w:ind w:left="2625"/>
    </w:pPr>
  </w:style>
  <w:style w:type="paragraph" w:styleId="ListContinue">
    <w:name w:val="List Continue"/>
    <w:basedOn w:val="List"/>
    <w:rsid w:val="00A56EE9"/>
    <w:pPr>
      <w:spacing w:after="80"/>
      <w:ind w:firstLine="0"/>
    </w:pPr>
  </w:style>
  <w:style w:type="paragraph" w:styleId="ListContinue2">
    <w:name w:val="List Continue 2"/>
    <w:basedOn w:val="ListContinue"/>
    <w:rsid w:val="00A56EE9"/>
    <w:pPr>
      <w:ind w:left="924"/>
    </w:pPr>
  </w:style>
  <w:style w:type="paragraph" w:styleId="ListContinue3">
    <w:name w:val="List Continue 3"/>
    <w:basedOn w:val="ListContinue"/>
    <w:rsid w:val="00A56EE9"/>
    <w:pPr>
      <w:ind w:left="1491"/>
    </w:pPr>
  </w:style>
  <w:style w:type="paragraph" w:styleId="ListContinue4">
    <w:name w:val="List Continue 4"/>
    <w:basedOn w:val="ListContinue"/>
    <w:rsid w:val="00A56EE9"/>
    <w:pPr>
      <w:ind w:left="2058"/>
    </w:pPr>
  </w:style>
  <w:style w:type="paragraph" w:styleId="ListContinue5">
    <w:name w:val="List Continue 5"/>
    <w:basedOn w:val="ListContinue"/>
    <w:rsid w:val="00A56EE9"/>
    <w:pPr>
      <w:ind w:left="2625"/>
    </w:pPr>
  </w:style>
  <w:style w:type="paragraph" w:customStyle="1" w:styleId="ListFirst">
    <w:name w:val="List First"/>
    <w:basedOn w:val="List"/>
    <w:next w:val="List"/>
    <w:rsid w:val="00A56EE9"/>
    <w:pPr>
      <w:spacing w:before="120"/>
    </w:pPr>
  </w:style>
  <w:style w:type="paragraph" w:customStyle="1" w:styleId="ListFirst2">
    <w:name w:val="List First 2"/>
    <w:basedOn w:val="ListFirst"/>
    <w:next w:val="List2"/>
    <w:rsid w:val="00A56EE9"/>
    <w:pPr>
      <w:ind w:left="924"/>
    </w:pPr>
  </w:style>
  <w:style w:type="paragraph" w:customStyle="1" w:styleId="ListFirst3">
    <w:name w:val="List First 3"/>
    <w:basedOn w:val="ListFirst"/>
    <w:next w:val="List3"/>
    <w:rsid w:val="00A56EE9"/>
    <w:pPr>
      <w:ind w:left="1491"/>
    </w:pPr>
  </w:style>
  <w:style w:type="paragraph" w:customStyle="1" w:styleId="ListFirst4">
    <w:name w:val="List First 4"/>
    <w:basedOn w:val="ListFirst"/>
    <w:next w:val="List4"/>
    <w:rsid w:val="00A56EE9"/>
    <w:pPr>
      <w:ind w:left="2058"/>
    </w:pPr>
  </w:style>
  <w:style w:type="paragraph" w:customStyle="1" w:styleId="ListFirst5">
    <w:name w:val="List First 5"/>
    <w:basedOn w:val="ListFirst"/>
    <w:next w:val="List5"/>
    <w:rsid w:val="00A56EE9"/>
    <w:pPr>
      <w:ind w:left="2625"/>
    </w:pPr>
  </w:style>
  <w:style w:type="paragraph" w:customStyle="1" w:styleId="ListLast">
    <w:name w:val="List Last"/>
    <w:basedOn w:val="List"/>
    <w:next w:val="BodyText"/>
    <w:rsid w:val="00A56EE9"/>
    <w:pPr>
      <w:spacing w:after="120"/>
    </w:pPr>
  </w:style>
  <w:style w:type="paragraph" w:customStyle="1" w:styleId="ListLast2">
    <w:name w:val="List Last 2"/>
    <w:basedOn w:val="ListLast"/>
    <w:next w:val="List2"/>
    <w:rsid w:val="00A56EE9"/>
    <w:pPr>
      <w:ind w:left="924"/>
    </w:pPr>
  </w:style>
  <w:style w:type="paragraph" w:customStyle="1" w:styleId="ListLast3">
    <w:name w:val="List Last 3"/>
    <w:basedOn w:val="ListLast"/>
    <w:next w:val="List3"/>
    <w:rsid w:val="00A56EE9"/>
    <w:pPr>
      <w:ind w:left="1491"/>
    </w:pPr>
  </w:style>
  <w:style w:type="paragraph" w:customStyle="1" w:styleId="ListLast4">
    <w:name w:val="List Last 4"/>
    <w:basedOn w:val="ListLast"/>
    <w:next w:val="List4"/>
    <w:rsid w:val="00A56EE9"/>
    <w:pPr>
      <w:ind w:left="2058"/>
    </w:pPr>
  </w:style>
  <w:style w:type="paragraph" w:customStyle="1" w:styleId="ListLast5">
    <w:name w:val="List Last 5"/>
    <w:basedOn w:val="ListLast"/>
    <w:next w:val="List5"/>
    <w:rsid w:val="00A56EE9"/>
    <w:pPr>
      <w:ind w:left="2625"/>
    </w:pPr>
  </w:style>
  <w:style w:type="paragraph" w:customStyle="1" w:styleId="ListSpacious">
    <w:name w:val="List Spacious"/>
    <w:basedOn w:val="List"/>
    <w:rsid w:val="00A56EE9"/>
    <w:pPr>
      <w:spacing w:before="60" w:after="60" w:line="280" w:lineRule="atLeast"/>
      <w:ind w:right="3969"/>
    </w:pPr>
  </w:style>
  <w:style w:type="paragraph" w:customStyle="1" w:styleId="ListSpacious2">
    <w:name w:val="List Spacious 2"/>
    <w:basedOn w:val="List2"/>
    <w:rsid w:val="00A56EE9"/>
    <w:pPr>
      <w:spacing w:before="60" w:after="60" w:line="280" w:lineRule="atLeast"/>
      <w:ind w:right="3969"/>
    </w:pPr>
  </w:style>
  <w:style w:type="paragraph" w:customStyle="1" w:styleId="ListSpacious3">
    <w:name w:val="List Spacious 3"/>
    <w:basedOn w:val="List3"/>
    <w:rsid w:val="00A56EE9"/>
    <w:pPr>
      <w:spacing w:before="60" w:after="60" w:line="280" w:lineRule="atLeast"/>
      <w:ind w:right="3969"/>
    </w:pPr>
  </w:style>
  <w:style w:type="paragraph" w:customStyle="1" w:styleId="ListSpacious4">
    <w:name w:val="List Spacious 4"/>
    <w:basedOn w:val="List4"/>
    <w:rsid w:val="00A56EE9"/>
    <w:pPr>
      <w:spacing w:before="60" w:after="60" w:line="280" w:lineRule="atLeast"/>
      <w:ind w:right="3969"/>
    </w:pPr>
  </w:style>
  <w:style w:type="paragraph" w:customStyle="1" w:styleId="ListSpacious5">
    <w:name w:val="List Spacious 5"/>
    <w:basedOn w:val="List5"/>
    <w:rsid w:val="00A56EE9"/>
    <w:pPr>
      <w:spacing w:before="60" w:after="60" w:line="280" w:lineRule="atLeast"/>
      <w:ind w:right="3969"/>
    </w:pPr>
  </w:style>
  <w:style w:type="paragraph" w:customStyle="1" w:styleId="Monospace">
    <w:name w:val="Monospace"/>
    <w:basedOn w:val="Normal"/>
    <w:rsid w:val="00A56EE9"/>
    <w:pPr>
      <w:spacing w:after="200" w:line="276" w:lineRule="auto"/>
    </w:pPr>
    <w:rPr>
      <w:rFonts w:ascii="Monaco" w:hAnsi="Monaco" w:cs="Arial"/>
      <w:sz w:val="18"/>
      <w:szCs w:val="20"/>
    </w:rPr>
  </w:style>
  <w:style w:type="character" w:styleId="PageNumber">
    <w:name w:val="page number"/>
    <w:rsid w:val="00A56EE9"/>
    <w:rPr>
      <w:rFonts w:ascii="Helvetica" w:hAnsi="Helvetica"/>
      <w:b/>
      <w:i/>
      <w:sz w:val="20"/>
    </w:rPr>
  </w:style>
  <w:style w:type="paragraph" w:customStyle="1" w:styleId="Picture">
    <w:name w:val="Picture"/>
    <w:basedOn w:val="BodyTextFirst"/>
    <w:next w:val="Caption"/>
    <w:rsid w:val="00A56EE9"/>
    <w:pPr>
      <w:keepNext/>
      <w:spacing w:line="240" w:lineRule="auto"/>
      <w:jc w:val="center"/>
    </w:pPr>
  </w:style>
  <w:style w:type="paragraph" w:customStyle="1" w:styleId="References">
    <w:name w:val="References"/>
    <w:basedOn w:val="BodyText"/>
    <w:rsid w:val="00A56EE9"/>
    <w:pPr>
      <w:spacing w:after="200" w:line="240" w:lineRule="exact"/>
      <w:ind w:left="851" w:hanging="851"/>
      <w:jc w:val="both"/>
    </w:pPr>
    <w:rPr>
      <w:rFonts w:ascii="Times New Roman" w:hAnsi="Times New Roman" w:cs="Arial"/>
      <w:sz w:val="20"/>
      <w:szCs w:val="20"/>
    </w:rPr>
  </w:style>
  <w:style w:type="paragraph" w:customStyle="1" w:styleId="Rsum">
    <w:name w:val="Résumé"/>
    <w:basedOn w:val="BodyText"/>
    <w:rsid w:val="00A56EE9"/>
    <w:pPr>
      <w:spacing w:after="200" w:line="240" w:lineRule="exact"/>
      <w:ind w:left="1588" w:hanging="1588"/>
      <w:jc w:val="both"/>
    </w:pPr>
    <w:rPr>
      <w:rFonts w:ascii="Times New Roman" w:hAnsi="Times New Roman" w:cs="Arial"/>
      <w:sz w:val="20"/>
      <w:szCs w:val="20"/>
    </w:rPr>
  </w:style>
  <w:style w:type="paragraph" w:customStyle="1" w:styleId="RsumList">
    <w:name w:val="Résumé List"/>
    <w:basedOn w:val="Rsum"/>
    <w:rsid w:val="00A56EE9"/>
    <w:pPr>
      <w:ind w:left="2285" w:hanging="357"/>
    </w:pPr>
  </w:style>
  <w:style w:type="paragraph" w:styleId="Subtitle">
    <w:name w:val="Subtitle"/>
    <w:basedOn w:val="TitlePageStuffEmphasis"/>
    <w:next w:val="Normal"/>
    <w:link w:val="SubtitleChar"/>
    <w:qFormat/>
    <w:rsid w:val="00A56EE9"/>
    <w:rPr>
      <w:rFonts w:ascii="Segoe UI" w:hAnsi="Segoe UI"/>
      <w:b w:val="0"/>
    </w:rPr>
  </w:style>
  <w:style w:type="character" w:customStyle="1" w:styleId="SubtitleChar">
    <w:name w:val="Subtitle Char"/>
    <w:basedOn w:val="DefaultParagraphFont"/>
    <w:link w:val="Subtitle"/>
    <w:rsid w:val="00A56EE9"/>
    <w:rPr>
      <w:rFonts w:ascii="Segoe UI" w:hAnsi="Segoe UI" w:cs="Arial"/>
      <w:kern w:val="28"/>
      <w:sz w:val="28"/>
      <w:szCs w:val="20"/>
      <w:lang w:val="en-AU"/>
    </w:rPr>
  </w:style>
  <w:style w:type="paragraph" w:styleId="Title">
    <w:name w:val="Title"/>
    <w:basedOn w:val="Normal"/>
    <w:next w:val="Subtitle"/>
    <w:link w:val="TitleChar"/>
    <w:qFormat/>
    <w:rsid w:val="00A56EE9"/>
    <w:pPr>
      <w:keepNext/>
      <w:keepLines/>
      <w:spacing w:before="120" w:after="120" w:line="276" w:lineRule="auto"/>
      <w:jc w:val="center"/>
    </w:pPr>
    <w:rPr>
      <w:rFonts w:cs="Arial"/>
      <w:b/>
      <w:bCs/>
      <w:kern w:val="28"/>
      <w:sz w:val="48"/>
      <w:szCs w:val="20"/>
    </w:rPr>
  </w:style>
  <w:style w:type="character" w:customStyle="1" w:styleId="TitleChar">
    <w:name w:val="Title Char"/>
    <w:basedOn w:val="DefaultParagraphFont"/>
    <w:link w:val="Title"/>
    <w:rsid w:val="00A56EE9"/>
    <w:rPr>
      <w:rFonts w:ascii="Arial" w:hAnsi="Arial" w:cs="Arial"/>
      <w:b/>
      <w:bCs/>
      <w:kern w:val="28"/>
      <w:sz w:val="48"/>
      <w:szCs w:val="20"/>
      <w:lang w:val="en-AU"/>
    </w:rPr>
  </w:style>
  <w:style w:type="paragraph" w:customStyle="1" w:styleId="TitleBase">
    <w:name w:val="Title Base"/>
    <w:basedOn w:val="Normal"/>
    <w:rsid w:val="00A56EE9"/>
    <w:pPr>
      <w:keepNext/>
      <w:keepLines/>
      <w:spacing w:after="200" w:line="276" w:lineRule="auto"/>
    </w:pPr>
    <w:rPr>
      <w:rFonts w:ascii="Helvetica" w:hAnsi="Helvetica" w:cs="Arial"/>
      <w:kern w:val="28"/>
      <w:sz w:val="20"/>
      <w:szCs w:val="20"/>
    </w:rPr>
  </w:style>
  <w:style w:type="paragraph" w:customStyle="1" w:styleId="TitlePageBoxed">
    <w:name w:val="Title Page Boxed"/>
    <w:basedOn w:val="BodyText"/>
    <w:rsid w:val="00A56EE9"/>
    <w:pPr>
      <w:framePr w:w="8844" w:h="1800" w:wrap="auto" w:hAnchor="margin"/>
      <w:pBdr>
        <w:top w:val="single" w:sz="6" w:space="3" w:color="auto"/>
        <w:left w:val="single" w:sz="6" w:space="3" w:color="auto"/>
        <w:bottom w:val="single" w:sz="6" w:space="3" w:color="auto"/>
        <w:right w:val="single" w:sz="6" w:space="3" w:color="auto"/>
      </w:pBdr>
      <w:spacing w:after="200" w:line="240" w:lineRule="exact"/>
      <w:jc w:val="center"/>
    </w:pPr>
    <w:rPr>
      <w:rFonts w:ascii="Times New Roman" w:hAnsi="Times New Roman" w:cs="Arial"/>
      <w:sz w:val="20"/>
      <w:szCs w:val="20"/>
    </w:rPr>
  </w:style>
  <w:style w:type="paragraph" w:customStyle="1" w:styleId="TitlePageStuffEmphasis">
    <w:name w:val="Title Page Stuff Emphasis"/>
    <w:basedOn w:val="Normal"/>
    <w:rsid w:val="00A56EE9"/>
    <w:pPr>
      <w:keepLines/>
      <w:spacing w:before="40" w:after="80" w:line="360" w:lineRule="exact"/>
      <w:jc w:val="center"/>
    </w:pPr>
    <w:rPr>
      <w:rFonts w:ascii="Helvetica" w:hAnsi="Helvetica" w:cs="Arial"/>
      <w:b/>
      <w:kern w:val="28"/>
      <w:sz w:val="28"/>
      <w:szCs w:val="20"/>
    </w:rPr>
  </w:style>
  <w:style w:type="paragraph" w:customStyle="1" w:styleId="TitlePageStuffPlain">
    <w:name w:val="Title Page Stuff Plain"/>
    <w:basedOn w:val="TitleBase"/>
    <w:rsid w:val="00A56EE9"/>
    <w:pPr>
      <w:keepNext w:val="0"/>
      <w:spacing w:before="40" w:after="80" w:line="360" w:lineRule="exact"/>
      <w:jc w:val="center"/>
    </w:pPr>
    <w:rPr>
      <w:sz w:val="28"/>
    </w:rPr>
  </w:style>
  <w:style w:type="paragraph" w:styleId="TOC3">
    <w:name w:val="toc 3"/>
    <w:basedOn w:val="Normal"/>
    <w:autoRedefine/>
    <w:uiPriority w:val="39"/>
    <w:qFormat/>
    <w:rsid w:val="00A56EE9"/>
    <w:pPr>
      <w:spacing w:after="0"/>
      <w:ind w:left="440"/>
    </w:pPr>
    <w:rPr>
      <w:rFonts w:asciiTheme="minorHAnsi" w:hAnsiTheme="minorHAnsi" w:cstheme="minorHAnsi"/>
      <w:i/>
      <w:iCs/>
      <w:sz w:val="20"/>
      <w:szCs w:val="20"/>
    </w:rPr>
  </w:style>
  <w:style w:type="paragraph" w:styleId="TOC4">
    <w:name w:val="toc 4"/>
    <w:basedOn w:val="Normal"/>
    <w:semiHidden/>
    <w:rsid w:val="00A56EE9"/>
    <w:pPr>
      <w:spacing w:after="0"/>
      <w:ind w:left="660"/>
    </w:pPr>
    <w:rPr>
      <w:rFonts w:asciiTheme="minorHAnsi" w:hAnsiTheme="minorHAnsi" w:cstheme="minorHAnsi"/>
      <w:sz w:val="18"/>
      <w:szCs w:val="18"/>
    </w:rPr>
  </w:style>
  <w:style w:type="paragraph" w:styleId="TOC5">
    <w:name w:val="toc 5"/>
    <w:basedOn w:val="Normal"/>
    <w:semiHidden/>
    <w:rsid w:val="00A56EE9"/>
    <w:pPr>
      <w:spacing w:after="0"/>
      <w:ind w:left="880"/>
    </w:pPr>
    <w:rPr>
      <w:rFonts w:asciiTheme="minorHAnsi" w:hAnsiTheme="minorHAnsi" w:cstheme="minorHAnsi"/>
      <w:sz w:val="18"/>
      <w:szCs w:val="18"/>
    </w:rPr>
  </w:style>
  <w:style w:type="paragraph" w:styleId="TOC6">
    <w:name w:val="toc 6"/>
    <w:basedOn w:val="Normal"/>
    <w:semiHidden/>
    <w:rsid w:val="00A56EE9"/>
    <w:pPr>
      <w:spacing w:after="0"/>
      <w:ind w:left="1100"/>
    </w:pPr>
    <w:rPr>
      <w:rFonts w:asciiTheme="minorHAnsi" w:hAnsiTheme="minorHAnsi" w:cstheme="minorHAnsi"/>
      <w:sz w:val="18"/>
      <w:szCs w:val="18"/>
    </w:rPr>
  </w:style>
  <w:style w:type="paragraph" w:styleId="TOC7">
    <w:name w:val="toc 7"/>
    <w:basedOn w:val="Normal"/>
    <w:semiHidden/>
    <w:rsid w:val="00A56EE9"/>
    <w:pPr>
      <w:spacing w:after="0"/>
      <w:ind w:left="1320"/>
    </w:pPr>
    <w:rPr>
      <w:rFonts w:asciiTheme="minorHAnsi" w:hAnsiTheme="minorHAnsi" w:cstheme="minorHAnsi"/>
      <w:sz w:val="18"/>
      <w:szCs w:val="18"/>
    </w:rPr>
  </w:style>
  <w:style w:type="paragraph" w:styleId="TOC8">
    <w:name w:val="toc 8"/>
    <w:basedOn w:val="Normal"/>
    <w:semiHidden/>
    <w:rsid w:val="00A56EE9"/>
    <w:pPr>
      <w:spacing w:after="0"/>
      <w:ind w:left="1540"/>
    </w:pPr>
    <w:rPr>
      <w:rFonts w:asciiTheme="minorHAnsi" w:hAnsiTheme="minorHAnsi" w:cstheme="minorHAnsi"/>
      <w:sz w:val="18"/>
      <w:szCs w:val="18"/>
    </w:rPr>
  </w:style>
  <w:style w:type="paragraph" w:styleId="TOC9">
    <w:name w:val="toc 9"/>
    <w:basedOn w:val="Normal"/>
    <w:semiHidden/>
    <w:rsid w:val="00A56EE9"/>
    <w:pPr>
      <w:spacing w:after="0"/>
      <w:ind w:left="1760"/>
    </w:pPr>
    <w:rPr>
      <w:rFonts w:asciiTheme="minorHAnsi" w:hAnsiTheme="minorHAnsi" w:cstheme="minorHAnsi"/>
      <w:sz w:val="18"/>
      <w:szCs w:val="18"/>
    </w:rPr>
  </w:style>
  <w:style w:type="paragraph" w:customStyle="1" w:styleId="TOCBase">
    <w:name w:val="TOC Base"/>
    <w:basedOn w:val="Normal"/>
    <w:rsid w:val="00A56EE9"/>
    <w:pPr>
      <w:tabs>
        <w:tab w:val="right" w:pos="8641"/>
      </w:tabs>
      <w:spacing w:after="200" w:line="300" w:lineRule="exact"/>
    </w:pPr>
    <w:rPr>
      <w:rFonts w:cs="Arial"/>
      <w:sz w:val="20"/>
      <w:szCs w:val="20"/>
    </w:rPr>
  </w:style>
  <w:style w:type="paragraph" w:customStyle="1" w:styleId="TOCIntroStuff">
    <w:name w:val="TOC Intro Stuff"/>
    <w:basedOn w:val="TOCBase"/>
    <w:rsid w:val="00A56EE9"/>
    <w:pPr>
      <w:tabs>
        <w:tab w:val="right" w:leader="dot" w:pos="8641"/>
      </w:tabs>
      <w:spacing w:before="40" w:after="80"/>
      <w:ind w:left="567" w:right="794" w:hanging="567"/>
    </w:pPr>
  </w:style>
  <w:style w:type="paragraph" w:customStyle="1" w:styleId="TOCAppendix">
    <w:name w:val="TOC Appendix"/>
    <w:basedOn w:val="TOCBase"/>
    <w:rsid w:val="00A56EE9"/>
    <w:pPr>
      <w:tabs>
        <w:tab w:val="left" w:pos="1758"/>
        <w:tab w:val="right" w:leader="dot" w:pos="8641"/>
      </w:tabs>
      <w:spacing w:after="40"/>
      <w:ind w:left="1418" w:right="794" w:hanging="1418"/>
    </w:pPr>
  </w:style>
  <w:style w:type="paragraph" w:customStyle="1" w:styleId="RsumFirst">
    <w:name w:val="Résumé First"/>
    <w:basedOn w:val="Rsum"/>
    <w:next w:val="Rsum"/>
    <w:rsid w:val="00A56EE9"/>
    <w:pPr>
      <w:spacing w:before="120"/>
    </w:pPr>
  </w:style>
  <w:style w:type="paragraph" w:customStyle="1" w:styleId="RsumLast">
    <w:name w:val="Résumé Last"/>
    <w:basedOn w:val="Rsum"/>
    <w:rsid w:val="00A56EE9"/>
    <w:pPr>
      <w:spacing w:after="120"/>
    </w:pPr>
  </w:style>
  <w:style w:type="paragraph" w:customStyle="1" w:styleId="RsumListFirst">
    <w:name w:val="Résumé List First"/>
    <w:basedOn w:val="RsumList"/>
    <w:rsid w:val="00A56EE9"/>
    <w:pPr>
      <w:spacing w:before="120"/>
    </w:pPr>
  </w:style>
  <w:style w:type="paragraph" w:customStyle="1" w:styleId="RsumListLast">
    <w:name w:val="Résumé List Last"/>
    <w:basedOn w:val="RsumList"/>
    <w:rsid w:val="00A56EE9"/>
    <w:pPr>
      <w:spacing w:after="120"/>
    </w:pPr>
  </w:style>
  <w:style w:type="paragraph" w:customStyle="1" w:styleId="TblBody">
    <w:name w:val="Tbl Body"/>
    <w:basedOn w:val="BodyText"/>
    <w:rsid w:val="00A56EE9"/>
    <w:pPr>
      <w:spacing w:before="100" w:after="60" w:line="240" w:lineRule="exact"/>
      <w:jc w:val="both"/>
    </w:pPr>
    <w:rPr>
      <w:rFonts w:ascii="Times New Roman" w:hAnsi="Times New Roman" w:cs="Arial"/>
      <w:sz w:val="20"/>
      <w:szCs w:val="20"/>
    </w:rPr>
  </w:style>
  <w:style w:type="paragraph" w:customStyle="1" w:styleId="TblHeading">
    <w:name w:val="Tbl Heading"/>
    <w:basedOn w:val="BodyText"/>
    <w:rsid w:val="00A56EE9"/>
    <w:pPr>
      <w:spacing w:before="100" w:after="60" w:line="360" w:lineRule="exact"/>
      <w:jc w:val="both"/>
    </w:pPr>
    <w:rPr>
      <w:rFonts w:ascii="Helvetica" w:hAnsi="Helvetica" w:cs="Arial"/>
      <w:b/>
      <w:sz w:val="20"/>
      <w:szCs w:val="20"/>
    </w:rPr>
  </w:style>
  <w:style w:type="paragraph" w:customStyle="1" w:styleId="12">
    <w:name w:val="12"/>
    <w:basedOn w:val="Normal"/>
    <w:rsid w:val="00A56EE9"/>
    <w:pPr>
      <w:widowControl w:val="0"/>
      <w:spacing w:after="200" w:line="276" w:lineRule="auto"/>
    </w:pPr>
    <w:rPr>
      <w:rFonts w:ascii="Courier" w:hAnsi="Courier" w:cs="Arial"/>
      <w:snapToGrid w:val="0"/>
      <w:sz w:val="20"/>
      <w:szCs w:val="20"/>
    </w:rPr>
  </w:style>
  <w:style w:type="paragraph" w:customStyle="1" w:styleId="13">
    <w:name w:val="13"/>
    <w:basedOn w:val="Normal"/>
    <w:rsid w:val="00A56EE9"/>
    <w:pPr>
      <w:widowControl w:val="0"/>
      <w:spacing w:after="200" w:line="276" w:lineRule="auto"/>
      <w:ind w:left="1296"/>
    </w:pPr>
    <w:rPr>
      <w:rFonts w:ascii="Courier" w:hAnsi="Courier" w:cs="Arial"/>
      <w:snapToGrid w:val="0"/>
      <w:sz w:val="20"/>
      <w:szCs w:val="20"/>
    </w:rPr>
  </w:style>
  <w:style w:type="paragraph" w:customStyle="1" w:styleId="17">
    <w:name w:val="17"/>
    <w:basedOn w:val="Normal"/>
    <w:rsid w:val="00A56EE9"/>
    <w:pPr>
      <w:widowControl w:val="0"/>
      <w:spacing w:after="200" w:line="120" w:lineRule="atLeast"/>
      <w:ind w:left="144"/>
      <w:jc w:val="both"/>
    </w:pPr>
    <w:rPr>
      <w:rFonts w:ascii="Courier" w:hAnsi="Courier" w:cs="Arial"/>
      <w:snapToGrid w:val="0"/>
      <w:sz w:val="20"/>
      <w:szCs w:val="20"/>
    </w:rPr>
  </w:style>
  <w:style w:type="paragraph" w:customStyle="1" w:styleId="50">
    <w:name w:val="50"/>
    <w:basedOn w:val="Normal"/>
    <w:rsid w:val="00A56EE9"/>
    <w:pPr>
      <w:widowControl w:val="0"/>
      <w:spacing w:after="200" w:line="276" w:lineRule="auto"/>
    </w:pPr>
    <w:rPr>
      <w:rFonts w:ascii="Courier" w:hAnsi="Courier" w:cs="Arial"/>
      <w:snapToGrid w:val="0"/>
      <w:sz w:val="20"/>
      <w:szCs w:val="20"/>
    </w:rPr>
  </w:style>
  <w:style w:type="paragraph" w:customStyle="1" w:styleId="20m">
    <w:name w:val="20m"/>
    <w:basedOn w:val="Normal"/>
    <w:rsid w:val="00A56EE9"/>
    <w:pPr>
      <w:numPr>
        <w:numId w:val="9"/>
      </w:numPr>
      <w:tabs>
        <w:tab w:val="right" w:pos="636"/>
        <w:tab w:val="left" w:pos="864"/>
        <w:tab w:val="right" w:pos="1512"/>
        <w:tab w:val="left" w:pos="1728"/>
        <w:tab w:val="left" w:pos="3024"/>
        <w:tab w:val="left" w:pos="4176"/>
        <w:tab w:val="left" w:pos="5040"/>
        <w:tab w:val="left" w:pos="8640"/>
      </w:tabs>
      <w:spacing w:after="200" w:line="240" w:lineRule="exact"/>
      <w:jc w:val="both"/>
    </w:pPr>
    <w:rPr>
      <w:rFonts w:cs="Arial"/>
      <w:sz w:val="20"/>
      <w:szCs w:val="20"/>
    </w:rPr>
  </w:style>
  <w:style w:type="paragraph" w:customStyle="1" w:styleId="20n">
    <w:name w:val="20n"/>
    <w:basedOn w:val="Normal"/>
    <w:rsid w:val="00A56EE9"/>
    <w:pPr>
      <w:widowControl w:val="0"/>
      <w:spacing w:after="200" w:line="276" w:lineRule="auto"/>
      <w:ind w:left="1296"/>
    </w:pPr>
    <w:rPr>
      <w:rFonts w:ascii="Courier" w:hAnsi="Courier" w:cs="Arial"/>
      <w:snapToGrid w:val="0"/>
      <w:sz w:val="20"/>
      <w:szCs w:val="20"/>
    </w:rPr>
  </w:style>
  <w:style w:type="paragraph" w:customStyle="1" w:styleId="18m">
    <w:name w:val="18m"/>
    <w:basedOn w:val="Normal"/>
    <w:rsid w:val="00A56EE9"/>
    <w:pPr>
      <w:widowControl w:val="0"/>
      <w:spacing w:after="200" w:line="120" w:lineRule="atLeast"/>
      <w:jc w:val="both"/>
    </w:pPr>
    <w:rPr>
      <w:rFonts w:ascii="Courier" w:hAnsi="Courier" w:cs="Arial"/>
      <w:snapToGrid w:val="0"/>
      <w:sz w:val="20"/>
      <w:szCs w:val="20"/>
    </w:rPr>
  </w:style>
  <w:style w:type="paragraph" w:customStyle="1" w:styleId="18n">
    <w:name w:val="18n"/>
    <w:basedOn w:val="Normal"/>
    <w:rsid w:val="00A56EE9"/>
    <w:pPr>
      <w:widowControl w:val="0"/>
      <w:spacing w:after="200" w:line="276" w:lineRule="auto"/>
      <w:ind w:left="1296"/>
    </w:pPr>
    <w:rPr>
      <w:rFonts w:ascii="Courier" w:hAnsi="Courier" w:cs="Arial"/>
      <w:snapToGrid w:val="0"/>
      <w:sz w:val="20"/>
      <w:szCs w:val="20"/>
    </w:rPr>
  </w:style>
  <w:style w:type="paragraph" w:customStyle="1" w:styleId="61">
    <w:name w:val="61"/>
    <w:basedOn w:val="Normal"/>
    <w:rsid w:val="00A56EE9"/>
    <w:pPr>
      <w:widowControl w:val="0"/>
      <w:spacing w:after="200" w:line="120" w:lineRule="atLeast"/>
      <w:ind w:left="864"/>
    </w:pPr>
    <w:rPr>
      <w:rFonts w:ascii="Courier" w:hAnsi="Courier" w:cs="Arial"/>
      <w:snapToGrid w:val="0"/>
      <w:sz w:val="20"/>
      <w:szCs w:val="20"/>
    </w:rPr>
  </w:style>
  <w:style w:type="paragraph" w:customStyle="1" w:styleId="SubjectLine">
    <w:name w:val="Subject Line"/>
    <w:basedOn w:val="Normal"/>
    <w:next w:val="BodyText"/>
    <w:rsid w:val="00A56EE9"/>
    <w:pPr>
      <w:spacing w:after="220" w:line="220" w:lineRule="atLeast"/>
    </w:pPr>
    <w:rPr>
      <w:rFonts w:ascii="Arial Black" w:hAnsi="Arial Black" w:cs="Arial"/>
      <w:spacing w:val="-10"/>
      <w:sz w:val="20"/>
      <w:szCs w:val="20"/>
    </w:rPr>
  </w:style>
  <w:style w:type="paragraph" w:customStyle="1" w:styleId="SPBaseDotList">
    <w:name w:val="SP Base Dot List"/>
    <w:basedOn w:val="Normal"/>
    <w:rsid w:val="00A56EE9"/>
    <w:pPr>
      <w:numPr>
        <w:numId w:val="10"/>
      </w:numPr>
      <w:autoSpaceDE w:val="0"/>
      <w:autoSpaceDN w:val="0"/>
      <w:spacing w:before="60" w:after="200" w:line="200" w:lineRule="exact"/>
    </w:pPr>
    <w:rPr>
      <w:rFonts w:cs="Arial"/>
      <w:sz w:val="16"/>
      <w:szCs w:val="20"/>
    </w:rPr>
  </w:style>
  <w:style w:type="paragraph" w:styleId="BalloonText">
    <w:name w:val="Balloon Text"/>
    <w:basedOn w:val="Normal"/>
    <w:link w:val="BalloonTextChar"/>
    <w:uiPriority w:val="99"/>
    <w:semiHidden/>
    <w:rsid w:val="00A56EE9"/>
    <w:pPr>
      <w:spacing w:after="200" w:line="276" w:lineRule="auto"/>
    </w:pPr>
    <w:rPr>
      <w:rFonts w:ascii="Tahoma" w:hAnsi="Tahoma" w:cs="Arial Black"/>
      <w:sz w:val="16"/>
      <w:szCs w:val="16"/>
    </w:rPr>
  </w:style>
  <w:style w:type="character" w:customStyle="1" w:styleId="BalloonTextChar">
    <w:name w:val="Balloon Text Char"/>
    <w:basedOn w:val="DefaultParagraphFont"/>
    <w:link w:val="BalloonText"/>
    <w:uiPriority w:val="99"/>
    <w:semiHidden/>
    <w:rsid w:val="00A56EE9"/>
    <w:rPr>
      <w:rFonts w:ascii="Tahoma" w:hAnsi="Tahoma" w:cs="Arial Black"/>
      <w:sz w:val="16"/>
      <w:szCs w:val="16"/>
      <w:lang w:val="en-AU"/>
    </w:rPr>
  </w:style>
  <w:style w:type="paragraph" w:customStyle="1" w:styleId="SPBase">
    <w:name w:val="SP Base"/>
    <w:basedOn w:val="BodyText"/>
    <w:rsid w:val="00A56EE9"/>
    <w:pPr>
      <w:autoSpaceDE w:val="0"/>
      <w:autoSpaceDN w:val="0"/>
      <w:spacing w:before="60" w:after="200" w:line="200" w:lineRule="exact"/>
    </w:pPr>
    <w:rPr>
      <w:rFonts w:cs="Arial"/>
      <w:sz w:val="16"/>
      <w:szCs w:val="20"/>
    </w:rPr>
  </w:style>
  <w:style w:type="paragraph" w:styleId="BodyTextIndent">
    <w:name w:val="Body Text Indent"/>
    <w:basedOn w:val="Normal"/>
    <w:link w:val="BodyTextIndentChar"/>
    <w:uiPriority w:val="99"/>
    <w:rsid w:val="00A56EE9"/>
    <w:pPr>
      <w:spacing w:after="200" w:line="240" w:lineRule="exact"/>
      <w:ind w:left="720"/>
      <w:jc w:val="both"/>
    </w:pPr>
    <w:rPr>
      <w:rFonts w:cs="Arial"/>
      <w:sz w:val="20"/>
      <w:szCs w:val="20"/>
    </w:rPr>
  </w:style>
  <w:style w:type="character" w:customStyle="1" w:styleId="BodyTextIndentChar">
    <w:name w:val="Body Text Indent Char"/>
    <w:basedOn w:val="DefaultParagraphFont"/>
    <w:link w:val="BodyTextIndent"/>
    <w:uiPriority w:val="99"/>
    <w:rsid w:val="00A56EE9"/>
    <w:rPr>
      <w:rFonts w:ascii="Arial" w:hAnsi="Arial" w:cs="Arial"/>
      <w:sz w:val="20"/>
      <w:szCs w:val="20"/>
      <w:lang w:val="en-AU"/>
    </w:rPr>
  </w:style>
  <w:style w:type="paragraph" w:styleId="BodyText3">
    <w:name w:val="Body Text 3"/>
    <w:basedOn w:val="Normal"/>
    <w:link w:val="BodyText3Char"/>
    <w:rsid w:val="00A56EE9"/>
    <w:pPr>
      <w:spacing w:after="200" w:line="276" w:lineRule="auto"/>
      <w:jc w:val="both"/>
    </w:pPr>
    <w:rPr>
      <w:rFonts w:cs="Arial"/>
      <w:sz w:val="20"/>
      <w:szCs w:val="20"/>
    </w:rPr>
  </w:style>
  <w:style w:type="character" w:customStyle="1" w:styleId="BodyText3Char">
    <w:name w:val="Body Text 3 Char"/>
    <w:basedOn w:val="DefaultParagraphFont"/>
    <w:link w:val="BodyText3"/>
    <w:rsid w:val="00A56EE9"/>
    <w:rPr>
      <w:rFonts w:ascii="Arial" w:hAnsi="Arial" w:cs="Arial"/>
      <w:sz w:val="20"/>
      <w:szCs w:val="20"/>
      <w:lang w:val="en-AU"/>
    </w:rPr>
  </w:style>
  <w:style w:type="paragraph" w:styleId="BodyText2">
    <w:name w:val="Body Text 2"/>
    <w:basedOn w:val="Normal"/>
    <w:link w:val="BodyText2Char"/>
    <w:rsid w:val="00A56EE9"/>
    <w:pPr>
      <w:spacing w:after="200" w:line="276" w:lineRule="auto"/>
    </w:pPr>
    <w:rPr>
      <w:rFonts w:ascii="Times New Roman" w:hAnsi="Times New Roman" w:cs="Arial"/>
      <w:i/>
      <w:sz w:val="20"/>
      <w:szCs w:val="20"/>
      <w:u w:val="single"/>
    </w:rPr>
  </w:style>
  <w:style w:type="character" w:customStyle="1" w:styleId="BodyText2Char">
    <w:name w:val="Body Text 2 Char"/>
    <w:basedOn w:val="DefaultParagraphFont"/>
    <w:link w:val="BodyText2"/>
    <w:rsid w:val="00A56EE9"/>
    <w:rPr>
      <w:rFonts w:ascii="Times New Roman" w:hAnsi="Times New Roman" w:cs="Arial"/>
      <w:i/>
      <w:sz w:val="20"/>
      <w:szCs w:val="20"/>
      <w:u w:val="single"/>
      <w:lang w:val="en-AU"/>
    </w:rPr>
  </w:style>
  <w:style w:type="paragraph" w:styleId="BodyTextIndent2">
    <w:name w:val="Body Text Indent 2"/>
    <w:basedOn w:val="Normal"/>
    <w:link w:val="BodyTextIndent2Char"/>
    <w:rsid w:val="00A56EE9"/>
    <w:pPr>
      <w:spacing w:after="200" w:line="276" w:lineRule="auto"/>
      <w:ind w:left="720" w:hanging="720"/>
      <w:jc w:val="both"/>
    </w:pPr>
    <w:rPr>
      <w:rFonts w:cs="Arial"/>
      <w:sz w:val="20"/>
      <w:szCs w:val="20"/>
    </w:rPr>
  </w:style>
  <w:style w:type="character" w:customStyle="1" w:styleId="BodyTextIndent2Char">
    <w:name w:val="Body Text Indent 2 Char"/>
    <w:basedOn w:val="DefaultParagraphFont"/>
    <w:link w:val="BodyTextIndent2"/>
    <w:rsid w:val="00A56EE9"/>
    <w:rPr>
      <w:rFonts w:ascii="Arial" w:hAnsi="Arial" w:cs="Arial"/>
      <w:sz w:val="20"/>
      <w:szCs w:val="20"/>
      <w:lang w:val="en-AU"/>
    </w:rPr>
  </w:style>
  <w:style w:type="character" w:styleId="FollowedHyperlink">
    <w:name w:val="FollowedHyperlink"/>
    <w:basedOn w:val="DefaultParagraphFont"/>
    <w:uiPriority w:val="99"/>
    <w:rsid w:val="00A56EE9"/>
    <w:rPr>
      <w:color w:val="800080"/>
      <w:u w:val="single"/>
    </w:rPr>
  </w:style>
  <w:style w:type="character" w:styleId="CommentReference">
    <w:name w:val="annotation reference"/>
    <w:basedOn w:val="DefaultParagraphFont"/>
    <w:uiPriority w:val="99"/>
    <w:semiHidden/>
    <w:rsid w:val="00A56EE9"/>
    <w:rPr>
      <w:sz w:val="16"/>
      <w:szCs w:val="16"/>
    </w:rPr>
  </w:style>
  <w:style w:type="paragraph" w:styleId="CommentText">
    <w:name w:val="annotation text"/>
    <w:basedOn w:val="Normal"/>
    <w:link w:val="CommentTextChar"/>
    <w:uiPriority w:val="99"/>
    <w:rsid w:val="00A56EE9"/>
    <w:pPr>
      <w:spacing w:after="200" w:line="276" w:lineRule="auto"/>
    </w:pPr>
    <w:rPr>
      <w:rFonts w:cs="Arial"/>
      <w:sz w:val="20"/>
      <w:szCs w:val="20"/>
    </w:rPr>
  </w:style>
  <w:style w:type="character" w:customStyle="1" w:styleId="CommentTextChar">
    <w:name w:val="Comment Text Char"/>
    <w:basedOn w:val="DefaultParagraphFont"/>
    <w:link w:val="CommentText"/>
    <w:uiPriority w:val="99"/>
    <w:rsid w:val="00A56EE9"/>
    <w:rPr>
      <w:rFonts w:ascii="Arial" w:hAnsi="Arial" w:cs="Arial"/>
      <w:sz w:val="20"/>
      <w:szCs w:val="20"/>
      <w:lang w:val="en-AU"/>
    </w:rPr>
  </w:style>
  <w:style w:type="paragraph" w:styleId="CommentSubject">
    <w:name w:val="annotation subject"/>
    <w:basedOn w:val="CommentText"/>
    <w:next w:val="CommentText"/>
    <w:link w:val="CommentSubjectChar"/>
    <w:uiPriority w:val="99"/>
    <w:semiHidden/>
    <w:rsid w:val="00A56EE9"/>
    <w:rPr>
      <w:b/>
      <w:bCs/>
    </w:rPr>
  </w:style>
  <w:style w:type="character" w:customStyle="1" w:styleId="CommentSubjectChar">
    <w:name w:val="Comment Subject Char"/>
    <w:basedOn w:val="CommentTextChar"/>
    <w:link w:val="CommentSubject"/>
    <w:uiPriority w:val="99"/>
    <w:rsid w:val="00A56EE9"/>
    <w:rPr>
      <w:rFonts w:ascii="Arial" w:hAnsi="Arial" w:cs="Arial"/>
      <w:b/>
      <w:bCs/>
      <w:sz w:val="20"/>
      <w:szCs w:val="20"/>
      <w:lang w:val="en-AU"/>
    </w:rPr>
  </w:style>
  <w:style w:type="paragraph" w:customStyle="1" w:styleId="MELegal1">
    <w:name w:val="ME Legal 1"/>
    <w:basedOn w:val="Normal"/>
    <w:next w:val="Normal"/>
    <w:rsid w:val="00A56EE9"/>
    <w:pPr>
      <w:keepNext/>
      <w:tabs>
        <w:tab w:val="num" w:pos="680"/>
      </w:tabs>
      <w:spacing w:before="280" w:after="140" w:line="280" w:lineRule="atLeast"/>
      <w:ind w:left="680" w:hanging="680"/>
      <w:outlineLvl w:val="0"/>
    </w:pPr>
    <w:rPr>
      <w:rFonts w:cs="Arial"/>
      <w:spacing w:val="-10"/>
      <w:w w:val="95"/>
      <w:sz w:val="32"/>
      <w:szCs w:val="20"/>
    </w:rPr>
  </w:style>
  <w:style w:type="paragraph" w:customStyle="1" w:styleId="MELegal2">
    <w:name w:val="ME Legal 2"/>
    <w:basedOn w:val="Normal"/>
    <w:next w:val="Normal"/>
    <w:rsid w:val="00A56EE9"/>
    <w:pPr>
      <w:keepNext/>
      <w:tabs>
        <w:tab w:val="num" w:pos="680"/>
      </w:tabs>
      <w:spacing w:before="60" w:after="60" w:line="280" w:lineRule="atLeast"/>
      <w:ind w:left="680" w:hanging="680"/>
      <w:outlineLvl w:val="1"/>
    </w:pPr>
    <w:rPr>
      <w:rFonts w:cs="Arial"/>
      <w:b/>
      <w:w w:val="95"/>
      <w:sz w:val="20"/>
      <w:szCs w:val="20"/>
    </w:rPr>
  </w:style>
  <w:style w:type="paragraph" w:customStyle="1" w:styleId="MELegal3">
    <w:name w:val="ME Legal 3"/>
    <w:basedOn w:val="Normal"/>
    <w:next w:val="Normal"/>
    <w:rsid w:val="00A56EE9"/>
    <w:pPr>
      <w:tabs>
        <w:tab w:val="num" w:pos="1361"/>
      </w:tabs>
      <w:spacing w:after="140" w:line="280" w:lineRule="atLeast"/>
      <w:ind w:left="1361" w:hanging="681"/>
      <w:outlineLvl w:val="2"/>
    </w:pPr>
    <w:rPr>
      <w:rFonts w:ascii="Times New Roman" w:hAnsi="Times New Roman" w:cs="Arial"/>
      <w:sz w:val="20"/>
      <w:szCs w:val="20"/>
    </w:rPr>
  </w:style>
  <w:style w:type="paragraph" w:customStyle="1" w:styleId="MELegal4">
    <w:name w:val="ME Legal 4"/>
    <w:basedOn w:val="Normal"/>
    <w:next w:val="Normal"/>
    <w:rsid w:val="00A56EE9"/>
    <w:pPr>
      <w:tabs>
        <w:tab w:val="left" w:pos="2041"/>
      </w:tabs>
      <w:spacing w:after="140" w:line="280" w:lineRule="atLeast"/>
      <w:ind w:left="2041" w:hanging="680"/>
      <w:outlineLvl w:val="3"/>
    </w:pPr>
    <w:rPr>
      <w:rFonts w:ascii="Times New Roman" w:hAnsi="Times New Roman" w:cs="Arial"/>
      <w:sz w:val="20"/>
      <w:szCs w:val="20"/>
    </w:rPr>
  </w:style>
  <w:style w:type="paragraph" w:customStyle="1" w:styleId="MELegal5">
    <w:name w:val="ME Legal 5"/>
    <w:basedOn w:val="Normal"/>
    <w:next w:val="Normal"/>
    <w:rsid w:val="00A56EE9"/>
    <w:pPr>
      <w:tabs>
        <w:tab w:val="num" w:pos="2722"/>
      </w:tabs>
      <w:spacing w:after="140" w:line="280" w:lineRule="atLeast"/>
      <w:ind w:left="2722" w:hanging="681"/>
      <w:outlineLvl w:val="4"/>
    </w:pPr>
    <w:rPr>
      <w:rFonts w:ascii="Times New Roman" w:hAnsi="Times New Roman" w:cs="Arial"/>
      <w:sz w:val="20"/>
      <w:szCs w:val="20"/>
    </w:rPr>
  </w:style>
  <w:style w:type="paragraph" w:customStyle="1" w:styleId="MELegal6">
    <w:name w:val="ME Legal 6"/>
    <w:basedOn w:val="Normal"/>
    <w:next w:val="Normal"/>
    <w:rsid w:val="00A56EE9"/>
    <w:pPr>
      <w:tabs>
        <w:tab w:val="left" w:pos="3402"/>
      </w:tabs>
      <w:spacing w:after="140" w:line="280" w:lineRule="atLeast"/>
      <w:ind w:left="3402" w:hanging="680"/>
      <w:outlineLvl w:val="5"/>
    </w:pPr>
    <w:rPr>
      <w:rFonts w:ascii="Times New Roman" w:hAnsi="Times New Roman" w:cs="Arial"/>
      <w:sz w:val="20"/>
      <w:szCs w:val="20"/>
    </w:rPr>
  </w:style>
  <w:style w:type="paragraph" w:customStyle="1" w:styleId="MELegal7">
    <w:name w:val="ME Legal 7"/>
    <w:basedOn w:val="Normal"/>
    <w:next w:val="Normal"/>
    <w:rsid w:val="00A56EE9"/>
    <w:pPr>
      <w:spacing w:after="240" w:line="276" w:lineRule="auto"/>
      <w:outlineLvl w:val="6"/>
    </w:pPr>
    <w:rPr>
      <w:rFonts w:ascii="Times New Roman" w:hAnsi="Times New Roman" w:cs="Arial"/>
      <w:sz w:val="20"/>
      <w:szCs w:val="20"/>
    </w:rPr>
  </w:style>
  <w:style w:type="paragraph" w:customStyle="1" w:styleId="SectionL1">
    <w:name w:val="Section L1"/>
    <w:basedOn w:val="Normal"/>
    <w:next w:val="Normal"/>
    <w:rsid w:val="00A56EE9"/>
    <w:pPr>
      <w:spacing w:after="240" w:line="276" w:lineRule="auto"/>
      <w:outlineLvl w:val="0"/>
    </w:pPr>
    <w:rPr>
      <w:rFonts w:ascii="Times New Roman" w:hAnsi="Times New Roman" w:cs="Arial"/>
      <w:sz w:val="20"/>
      <w:szCs w:val="20"/>
    </w:rPr>
  </w:style>
  <w:style w:type="paragraph" w:customStyle="1" w:styleId="SectionL2">
    <w:name w:val="Section L2"/>
    <w:basedOn w:val="Normal"/>
    <w:next w:val="Normal"/>
    <w:rsid w:val="00A56EE9"/>
    <w:pPr>
      <w:spacing w:after="240" w:line="276" w:lineRule="auto"/>
      <w:outlineLvl w:val="1"/>
    </w:pPr>
    <w:rPr>
      <w:rFonts w:ascii="Times New Roman" w:hAnsi="Times New Roman" w:cs="Arial"/>
      <w:sz w:val="20"/>
      <w:szCs w:val="20"/>
    </w:rPr>
  </w:style>
  <w:style w:type="paragraph" w:customStyle="1" w:styleId="SectionL3">
    <w:name w:val="Section L3"/>
    <w:basedOn w:val="Normal"/>
    <w:next w:val="Normal"/>
    <w:rsid w:val="00A56EE9"/>
    <w:pPr>
      <w:spacing w:after="240" w:line="276" w:lineRule="auto"/>
      <w:outlineLvl w:val="2"/>
    </w:pPr>
    <w:rPr>
      <w:rFonts w:ascii="Times New Roman" w:hAnsi="Times New Roman" w:cs="Arial"/>
      <w:sz w:val="20"/>
      <w:szCs w:val="20"/>
    </w:rPr>
  </w:style>
  <w:style w:type="paragraph" w:customStyle="1" w:styleId="SectionL4">
    <w:name w:val="Section L4"/>
    <w:basedOn w:val="Normal"/>
    <w:next w:val="Normal"/>
    <w:rsid w:val="00A56EE9"/>
    <w:pPr>
      <w:spacing w:after="240" w:line="276" w:lineRule="auto"/>
      <w:outlineLvl w:val="3"/>
    </w:pPr>
    <w:rPr>
      <w:rFonts w:ascii="Times New Roman" w:hAnsi="Times New Roman" w:cs="Arial"/>
      <w:sz w:val="20"/>
      <w:szCs w:val="20"/>
    </w:rPr>
  </w:style>
  <w:style w:type="paragraph" w:customStyle="1" w:styleId="SectionL5">
    <w:name w:val="Section L5"/>
    <w:basedOn w:val="Normal"/>
    <w:next w:val="Normal"/>
    <w:rsid w:val="00A56EE9"/>
    <w:pPr>
      <w:spacing w:after="240" w:line="276" w:lineRule="auto"/>
      <w:outlineLvl w:val="4"/>
    </w:pPr>
    <w:rPr>
      <w:rFonts w:ascii="Times New Roman" w:hAnsi="Times New Roman" w:cs="Arial"/>
      <w:sz w:val="20"/>
      <w:szCs w:val="20"/>
    </w:rPr>
  </w:style>
  <w:style w:type="paragraph" w:customStyle="1" w:styleId="SectionL6">
    <w:name w:val="Section L6"/>
    <w:basedOn w:val="Normal"/>
    <w:next w:val="Normal"/>
    <w:rsid w:val="00A56EE9"/>
    <w:pPr>
      <w:spacing w:after="240" w:line="276" w:lineRule="auto"/>
      <w:outlineLvl w:val="5"/>
    </w:pPr>
    <w:rPr>
      <w:rFonts w:ascii="Times New Roman" w:hAnsi="Times New Roman" w:cs="Arial"/>
      <w:sz w:val="20"/>
      <w:szCs w:val="20"/>
    </w:rPr>
  </w:style>
  <w:style w:type="paragraph" w:customStyle="1" w:styleId="SectionL7">
    <w:name w:val="Section L7"/>
    <w:basedOn w:val="Normal"/>
    <w:next w:val="Normal"/>
    <w:rsid w:val="00A56EE9"/>
    <w:pPr>
      <w:spacing w:after="240" w:line="276" w:lineRule="auto"/>
      <w:outlineLvl w:val="6"/>
    </w:pPr>
    <w:rPr>
      <w:rFonts w:ascii="Times New Roman" w:hAnsi="Times New Roman" w:cs="Arial"/>
      <w:sz w:val="20"/>
      <w:szCs w:val="20"/>
    </w:rPr>
  </w:style>
  <w:style w:type="paragraph" w:customStyle="1" w:styleId="asubheadtext">
    <w:name w:val="asubheadtext"/>
    <w:basedOn w:val="Normal"/>
    <w:rsid w:val="00A56EE9"/>
    <w:pPr>
      <w:widowControl w:val="0"/>
      <w:spacing w:after="200" w:line="360" w:lineRule="auto"/>
      <w:ind w:left="1134"/>
      <w:jc w:val="both"/>
    </w:pPr>
    <w:rPr>
      <w:rFonts w:cs="Arial"/>
      <w:sz w:val="20"/>
      <w:szCs w:val="20"/>
      <w:lang w:val="en-GB"/>
    </w:rPr>
  </w:style>
  <w:style w:type="paragraph" w:customStyle="1" w:styleId="Body2">
    <w:name w:val="Body2"/>
    <w:rsid w:val="00A56EE9"/>
    <w:pPr>
      <w:spacing w:before="80" w:after="0" w:line="240" w:lineRule="auto"/>
    </w:pPr>
    <w:rPr>
      <w:rFonts w:ascii="Times New Roman" w:eastAsia="Times New Roman" w:hAnsi="Times New Roman" w:cs="Times New Roman"/>
      <w:sz w:val="20"/>
      <w:szCs w:val="20"/>
      <w:lang w:val="en-AU"/>
    </w:rPr>
  </w:style>
  <w:style w:type="paragraph" w:customStyle="1" w:styleId="H1">
    <w:name w:val="H1"/>
    <w:basedOn w:val="Normal"/>
    <w:next w:val="Normal"/>
    <w:rsid w:val="00A56EE9"/>
    <w:pPr>
      <w:keepNext/>
      <w:autoSpaceDE w:val="0"/>
      <w:autoSpaceDN w:val="0"/>
      <w:adjustRightInd w:val="0"/>
      <w:spacing w:before="100" w:after="100" w:line="276" w:lineRule="auto"/>
      <w:outlineLvl w:val="1"/>
    </w:pPr>
    <w:rPr>
      <w:rFonts w:ascii="Times New Roman" w:hAnsi="Times New Roman" w:cs="Arial"/>
      <w:b/>
      <w:kern w:val="36"/>
      <w:sz w:val="48"/>
      <w:szCs w:val="20"/>
    </w:rPr>
  </w:style>
  <w:style w:type="character" w:customStyle="1" w:styleId="BodyText20">
    <w:name w:val="Body Text2"/>
    <w:aliases w:val="Body Text Char Char Char Char Char"/>
    <w:basedOn w:val="DefaultParagraphFont"/>
    <w:rsid w:val="00A56EE9"/>
    <w:rPr>
      <w:rFonts w:ascii="Times" w:hAnsi="Times"/>
      <w:noProof w:val="0"/>
      <w:sz w:val="24"/>
      <w:lang w:val="en-AU" w:eastAsia="en-US" w:bidi="ar-SA"/>
    </w:rPr>
  </w:style>
  <w:style w:type="paragraph" w:customStyle="1" w:styleId="BodyText30">
    <w:name w:val="Body Text3"/>
    <w:rsid w:val="00A56EE9"/>
    <w:pPr>
      <w:spacing w:after="0" w:line="240" w:lineRule="auto"/>
      <w:jc w:val="both"/>
    </w:pPr>
    <w:rPr>
      <w:rFonts w:ascii="Times New Roman" w:eastAsia="Times New Roman" w:hAnsi="Times New Roman" w:cs="Times New Roman"/>
      <w:szCs w:val="20"/>
      <w:lang w:val="en-AU"/>
    </w:rPr>
  </w:style>
  <w:style w:type="paragraph" w:customStyle="1" w:styleId="Assignmentheader">
    <w:name w:val="Assignment header"/>
    <w:basedOn w:val="BodyText"/>
    <w:rsid w:val="00A56EE9"/>
    <w:pPr>
      <w:autoSpaceDE w:val="0"/>
      <w:autoSpaceDN w:val="0"/>
      <w:spacing w:before="240" w:after="200" w:line="200" w:lineRule="exact"/>
    </w:pPr>
    <w:rPr>
      <w:rFonts w:cs="Arial"/>
      <w:smallCaps/>
      <w:sz w:val="20"/>
      <w:szCs w:val="20"/>
    </w:rPr>
  </w:style>
  <w:style w:type="paragraph" w:customStyle="1" w:styleId="Heading2Shaded">
    <w:name w:val="Heading 2 Shaded"/>
    <w:basedOn w:val="Heading2Imitate"/>
    <w:rsid w:val="00A56EE9"/>
    <w:pPr>
      <w:keepNext w:val="0"/>
      <w:autoSpaceDE w:val="0"/>
      <w:autoSpaceDN w:val="0"/>
      <w:spacing w:before="720" w:after="300" w:line="480" w:lineRule="exact"/>
    </w:pPr>
    <w:rPr>
      <w:rFonts w:ascii="Helvetica" w:hAnsi="Helvetica"/>
      <w:b w:val="0"/>
      <w:smallCaps/>
      <w:sz w:val="44"/>
      <w14:shadow w14:blurRad="50800" w14:dist="38100" w14:dir="2700000" w14:sx="100000" w14:sy="100000" w14:kx="0" w14:ky="0" w14:algn="tl">
        <w14:srgbClr w14:val="000000">
          <w14:alpha w14:val="60000"/>
        </w14:srgbClr>
      </w14:shadow>
    </w:rPr>
  </w:style>
  <w:style w:type="paragraph" w:customStyle="1" w:styleId="SP1">
    <w:name w:val="SP1"/>
    <w:basedOn w:val="BodyText"/>
    <w:rsid w:val="00A56EE9"/>
    <w:pPr>
      <w:autoSpaceDE w:val="0"/>
      <w:autoSpaceDN w:val="0"/>
      <w:spacing w:before="120" w:after="200" w:line="200" w:lineRule="exact"/>
    </w:pPr>
    <w:rPr>
      <w:rFonts w:cs="Arial"/>
      <w:sz w:val="28"/>
      <w:szCs w:val="20"/>
    </w:rPr>
  </w:style>
  <w:style w:type="paragraph" w:customStyle="1" w:styleId="P4">
    <w:name w:val="P4"/>
    <w:basedOn w:val="BodyText"/>
    <w:rsid w:val="00A56EE9"/>
    <w:pPr>
      <w:autoSpaceDE w:val="0"/>
      <w:autoSpaceDN w:val="0"/>
      <w:spacing w:before="120" w:after="200" w:line="200" w:lineRule="exact"/>
    </w:pPr>
    <w:rPr>
      <w:rFonts w:cs="Arial"/>
      <w:smallCaps/>
      <w:sz w:val="16"/>
      <w:szCs w:val="20"/>
    </w:rPr>
  </w:style>
  <w:style w:type="paragraph" w:customStyle="1" w:styleId="SPBaseList">
    <w:name w:val="SP Base List"/>
    <w:basedOn w:val="SPBase"/>
    <w:rsid w:val="00A56EE9"/>
  </w:style>
  <w:style w:type="paragraph" w:styleId="BodyTextIndent3">
    <w:name w:val="Body Text Indent 3"/>
    <w:basedOn w:val="Normal"/>
    <w:link w:val="BodyTextIndent3Char"/>
    <w:rsid w:val="00A56EE9"/>
    <w:pPr>
      <w:spacing w:before="120" w:after="120" w:line="276" w:lineRule="auto"/>
      <w:ind w:left="283"/>
    </w:pPr>
    <w:rPr>
      <w:rFonts w:ascii="Times New Roman" w:hAnsi="Times New Roman" w:cs="Arial"/>
      <w:sz w:val="16"/>
      <w:szCs w:val="16"/>
      <w:lang w:val="en-US"/>
    </w:rPr>
  </w:style>
  <w:style w:type="character" w:customStyle="1" w:styleId="BodyTextIndent3Char">
    <w:name w:val="Body Text Indent 3 Char"/>
    <w:basedOn w:val="DefaultParagraphFont"/>
    <w:link w:val="BodyTextIndent3"/>
    <w:rsid w:val="00A56EE9"/>
    <w:rPr>
      <w:rFonts w:ascii="Times New Roman" w:hAnsi="Times New Roman" w:cs="Arial"/>
      <w:sz w:val="16"/>
      <w:szCs w:val="16"/>
      <w:lang w:val="en-US"/>
    </w:rPr>
  </w:style>
  <w:style w:type="character" w:customStyle="1" w:styleId="HeadingBaseChar">
    <w:name w:val="Heading Base Char"/>
    <w:basedOn w:val="DefaultParagraphFont"/>
    <w:rsid w:val="00A56EE9"/>
    <w:rPr>
      <w:rFonts w:ascii="Helvetica" w:hAnsi="Helvetica"/>
      <w:b/>
      <w:noProof w:val="0"/>
      <w:kern w:val="28"/>
      <w:sz w:val="24"/>
      <w:lang w:val="en-AU" w:eastAsia="en-US" w:bidi="ar-SA"/>
    </w:rPr>
  </w:style>
  <w:style w:type="paragraph" w:styleId="NormalWeb">
    <w:name w:val="Normal (Web)"/>
    <w:basedOn w:val="Normal"/>
    <w:rsid w:val="00A56EE9"/>
    <w:pPr>
      <w:spacing w:before="100" w:beforeAutospacing="1" w:after="100" w:afterAutospacing="1" w:line="276" w:lineRule="auto"/>
    </w:pPr>
    <w:rPr>
      <w:rFonts w:ascii="Times New Roman" w:hAnsi="Times New Roman" w:cs="Arial"/>
      <w:sz w:val="20"/>
      <w:szCs w:val="24"/>
      <w:lang w:val="en-US"/>
    </w:rPr>
  </w:style>
  <w:style w:type="paragraph" w:customStyle="1" w:styleId="Normal3">
    <w:name w:val="Normal 3"/>
    <w:basedOn w:val="Normal"/>
    <w:rsid w:val="00A56EE9"/>
    <w:pPr>
      <w:widowControl w:val="0"/>
      <w:overflowPunct w:val="0"/>
      <w:autoSpaceDE w:val="0"/>
      <w:autoSpaceDN w:val="0"/>
      <w:adjustRightInd w:val="0"/>
      <w:spacing w:before="120" w:after="200" w:line="320" w:lineRule="exact"/>
      <w:ind w:left="709"/>
      <w:jc w:val="both"/>
      <w:textAlignment w:val="baseline"/>
    </w:pPr>
    <w:rPr>
      <w:rFonts w:cs="Arial"/>
      <w:sz w:val="20"/>
      <w:szCs w:val="20"/>
    </w:rPr>
  </w:style>
  <w:style w:type="paragraph" w:customStyle="1" w:styleId="dashpoint">
    <w:name w:val="dash point"/>
    <w:basedOn w:val="Normal"/>
    <w:rsid w:val="00A56EE9"/>
    <w:pPr>
      <w:widowControl w:val="0"/>
      <w:numPr>
        <w:numId w:val="11"/>
      </w:numPr>
      <w:tabs>
        <w:tab w:val="clear" w:pos="1069"/>
        <w:tab w:val="num" w:pos="2127"/>
      </w:tabs>
      <w:overflowPunct w:val="0"/>
      <w:autoSpaceDE w:val="0"/>
      <w:autoSpaceDN w:val="0"/>
      <w:adjustRightInd w:val="0"/>
      <w:spacing w:before="120" w:after="200" w:line="320" w:lineRule="exact"/>
      <w:ind w:left="2127" w:hanging="709"/>
      <w:jc w:val="both"/>
      <w:textAlignment w:val="baseline"/>
    </w:pPr>
    <w:rPr>
      <w:rFonts w:cs="Arial"/>
      <w:sz w:val="20"/>
      <w:szCs w:val="20"/>
    </w:rPr>
  </w:style>
  <w:style w:type="paragraph" w:customStyle="1" w:styleId="Paragraph">
    <w:name w:val="Paragraph"/>
    <w:basedOn w:val="Normal"/>
    <w:rsid w:val="00A56EE9"/>
    <w:pPr>
      <w:spacing w:after="240" w:line="276" w:lineRule="auto"/>
      <w:ind w:left="1440"/>
      <w:jc w:val="both"/>
    </w:pPr>
    <w:rPr>
      <w:rFonts w:ascii="Times New Roman" w:hAnsi="Times New Roman" w:cs="Arial"/>
      <w:sz w:val="20"/>
      <w:szCs w:val="20"/>
    </w:rPr>
  </w:style>
  <w:style w:type="paragraph" w:styleId="Revision">
    <w:name w:val="Revision"/>
    <w:hidden/>
    <w:uiPriority w:val="99"/>
    <w:semiHidden/>
    <w:rsid w:val="00A56EE9"/>
    <w:pPr>
      <w:spacing w:after="0" w:line="240" w:lineRule="auto"/>
    </w:pPr>
    <w:rPr>
      <w:rFonts w:ascii="Times" w:eastAsia="Times New Roman" w:hAnsi="Times" w:cs="Times New Roman"/>
      <w:sz w:val="24"/>
      <w:szCs w:val="20"/>
      <w:lang w:val="en-AU"/>
    </w:rPr>
  </w:style>
  <w:style w:type="paragraph" w:styleId="HTMLPreformatted">
    <w:name w:val="HTML Preformatted"/>
    <w:basedOn w:val="Normal"/>
    <w:link w:val="HTMLPreformattedChar"/>
    <w:rsid w:val="00A56E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76" w:lineRule="auto"/>
    </w:pPr>
    <w:rPr>
      <w:rFonts w:ascii="Arial Unicode MS" w:eastAsia="Arial Unicode MS" w:hAnsi="Arial Unicode MS" w:cs="Arial Unicode MS"/>
      <w:sz w:val="20"/>
      <w:szCs w:val="20"/>
    </w:rPr>
  </w:style>
  <w:style w:type="character" w:customStyle="1" w:styleId="HTMLPreformattedChar">
    <w:name w:val="HTML Preformatted Char"/>
    <w:basedOn w:val="DefaultParagraphFont"/>
    <w:link w:val="HTMLPreformatted"/>
    <w:rsid w:val="00A56EE9"/>
    <w:rPr>
      <w:rFonts w:ascii="Arial Unicode MS" w:eastAsia="Arial Unicode MS" w:hAnsi="Arial Unicode MS" w:cs="Arial Unicode MS"/>
      <w:sz w:val="20"/>
      <w:szCs w:val="20"/>
      <w:lang w:val="en-AU"/>
    </w:rPr>
  </w:style>
  <w:style w:type="paragraph" w:customStyle="1" w:styleId="xl65">
    <w:name w:val="xl65"/>
    <w:basedOn w:val="Normal"/>
    <w:rsid w:val="00A56EE9"/>
    <w:pPr>
      <w:spacing w:before="100" w:beforeAutospacing="1" w:after="100" w:afterAutospacing="1" w:line="276" w:lineRule="auto"/>
      <w:jc w:val="center"/>
    </w:pPr>
    <w:rPr>
      <w:rFonts w:ascii="Times New Roman" w:hAnsi="Times New Roman" w:cs="Arial"/>
      <w:sz w:val="20"/>
      <w:szCs w:val="24"/>
      <w:lang w:eastAsia="en-AU"/>
    </w:rPr>
  </w:style>
  <w:style w:type="paragraph" w:customStyle="1" w:styleId="xl66">
    <w:name w:val="xl66"/>
    <w:basedOn w:val="Normal"/>
    <w:rsid w:val="00A56EE9"/>
    <w:pPr>
      <w:spacing w:before="100" w:beforeAutospacing="1" w:after="100" w:afterAutospacing="1" w:line="276" w:lineRule="auto"/>
      <w:jc w:val="center"/>
    </w:pPr>
    <w:rPr>
      <w:rFonts w:ascii="Times New Roman" w:hAnsi="Times New Roman" w:cs="Arial"/>
      <w:sz w:val="20"/>
      <w:szCs w:val="24"/>
      <w:lang w:eastAsia="en-AU"/>
    </w:rPr>
  </w:style>
  <w:style w:type="paragraph" w:customStyle="1" w:styleId="Symbols">
    <w:name w:val="Symbols"/>
    <w:basedOn w:val="Normal"/>
    <w:qFormat/>
    <w:rsid w:val="00A56EE9"/>
    <w:pPr>
      <w:framePr w:hSpace="180" w:wrap="around" w:vAnchor="page" w:hAnchor="page" w:x="1863" w:y="4321"/>
      <w:spacing w:after="200" w:line="276" w:lineRule="auto"/>
    </w:pPr>
    <w:rPr>
      <w:rFonts w:ascii="Batang" w:eastAsia="Batang" w:hAnsi="Batang" w:cs="Arial"/>
      <w:sz w:val="20"/>
      <w:szCs w:val="20"/>
    </w:rPr>
  </w:style>
  <w:style w:type="paragraph" w:customStyle="1" w:styleId="Figure">
    <w:name w:val="Figure"/>
    <w:basedOn w:val="Normal"/>
    <w:uiPriority w:val="99"/>
    <w:qFormat/>
    <w:rsid w:val="00A56EE9"/>
    <w:pPr>
      <w:spacing w:after="200" w:line="276" w:lineRule="auto"/>
    </w:pPr>
    <w:rPr>
      <w:rFonts w:cs="Arial"/>
      <w:b/>
      <w:sz w:val="20"/>
      <w:szCs w:val="24"/>
    </w:rPr>
  </w:style>
  <w:style w:type="character" w:styleId="BookTitle">
    <w:name w:val="Book Title"/>
    <w:aliases w:val="FigTableBody"/>
    <w:uiPriority w:val="33"/>
    <w:qFormat/>
    <w:rsid w:val="00A56EE9"/>
    <w:rPr>
      <w:rFonts w:cs="Arial"/>
    </w:rPr>
  </w:style>
  <w:style w:type="character" w:customStyle="1" w:styleId="CaptionChar">
    <w:name w:val="Caption Char"/>
    <w:aliases w:val="Tables Char,Caption Char Char Char,Caption Char Char1 Char,Caption Char Char2 Char,Figures Char"/>
    <w:basedOn w:val="DefaultParagraphFont"/>
    <w:link w:val="Caption"/>
    <w:uiPriority w:val="35"/>
    <w:locked/>
    <w:rsid w:val="00A56EE9"/>
    <w:rPr>
      <w:rFonts w:ascii="Arial" w:hAnsi="Arial" w:cs="Arial"/>
      <w:b/>
      <w:sz w:val="20"/>
      <w:szCs w:val="20"/>
      <w:lang w:val="en-AU"/>
    </w:rPr>
  </w:style>
  <w:style w:type="paragraph" w:styleId="TOCHeading">
    <w:name w:val="TOC Heading"/>
    <w:basedOn w:val="Heading1"/>
    <w:next w:val="Normal"/>
    <w:uiPriority w:val="39"/>
    <w:unhideWhenUsed/>
    <w:qFormat/>
    <w:rsid w:val="00A56EE9"/>
    <w:pPr>
      <w:spacing w:before="0" w:line="276" w:lineRule="auto"/>
      <w:outlineLvl w:val="9"/>
    </w:pPr>
    <w:rPr>
      <w:rFonts w:cs="Segoe UI"/>
      <w:bCs/>
      <w:color w:val="auto"/>
      <w:sz w:val="20"/>
      <w:szCs w:val="20"/>
      <w:lang w:val="en-US" w:eastAsia="ja-JP"/>
    </w:rPr>
  </w:style>
  <w:style w:type="table" w:customStyle="1" w:styleId="TableGrid1">
    <w:name w:val="Table Grid1"/>
    <w:basedOn w:val="TableNormal"/>
    <w:next w:val="TableGrid"/>
    <w:uiPriority w:val="59"/>
    <w:rsid w:val="00A56EE9"/>
    <w:pPr>
      <w:spacing w:after="0" w:line="240" w:lineRule="auto"/>
    </w:pPr>
    <w:rPr>
      <w:rFonts w:ascii="Calibri" w:eastAsia="Calibri" w:hAnsi="Calibri" w:cs="Times New Roman"/>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BA4651"/>
    <w:pPr>
      <w:spacing w:after="60" w:line="240" w:lineRule="auto"/>
      <w:jc w:val="both"/>
    </w:pPr>
    <w:rPr>
      <w:rFonts w:asciiTheme="minorHAnsi" w:hAnsiTheme="minorHAnsi" w:cs="Arial"/>
      <w:sz w:val="20"/>
      <w:szCs w:val="18"/>
      <w:lang w:val="en-US"/>
    </w:rPr>
  </w:style>
  <w:style w:type="character" w:customStyle="1" w:styleId="InstructionText">
    <w:name w:val="Instruction Text"/>
    <w:qFormat/>
    <w:rsid w:val="00A56EE9"/>
    <w:rPr>
      <w:rFonts w:cs="Times New Roman"/>
      <w:i/>
      <w:color w:val="0070C0"/>
    </w:rPr>
  </w:style>
  <w:style w:type="table" w:customStyle="1" w:styleId="TableGrid2">
    <w:name w:val="Table Grid2"/>
    <w:basedOn w:val="TableNormal"/>
    <w:next w:val="TableGrid"/>
    <w:uiPriority w:val="59"/>
    <w:rsid w:val="00A56EE9"/>
    <w:pPr>
      <w:spacing w:after="0" w:line="240" w:lineRule="auto"/>
    </w:pPr>
    <w:rPr>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eymessage">
    <w:name w:val="Key message"/>
    <w:basedOn w:val="Normal"/>
    <w:qFormat/>
    <w:rsid w:val="00A56EE9"/>
    <w:pPr>
      <w:spacing w:after="0" w:line="240" w:lineRule="auto"/>
    </w:pPr>
    <w:rPr>
      <w:rFonts w:eastAsia="Times New Roman" w:cs="Times New Roman"/>
      <w:i/>
      <w:sz w:val="20"/>
      <w:szCs w:val="24"/>
    </w:rPr>
  </w:style>
  <w:style w:type="paragraph" w:styleId="EndnoteText">
    <w:name w:val="endnote text"/>
    <w:basedOn w:val="Normal"/>
    <w:link w:val="EndnoteTextChar"/>
    <w:rsid w:val="00A56EE9"/>
    <w:pPr>
      <w:spacing w:after="0" w:line="240" w:lineRule="auto"/>
    </w:pPr>
    <w:rPr>
      <w:rFonts w:cs="Arial"/>
      <w:sz w:val="24"/>
      <w:szCs w:val="24"/>
    </w:rPr>
  </w:style>
  <w:style w:type="character" w:customStyle="1" w:styleId="EndnoteTextChar">
    <w:name w:val="Endnote Text Char"/>
    <w:basedOn w:val="DefaultParagraphFont"/>
    <w:link w:val="EndnoteText"/>
    <w:rsid w:val="00A56EE9"/>
    <w:rPr>
      <w:rFonts w:ascii="Arial" w:hAnsi="Arial" w:cs="Arial"/>
      <w:sz w:val="24"/>
      <w:szCs w:val="24"/>
      <w:lang w:val="en-AU"/>
    </w:rPr>
  </w:style>
  <w:style w:type="character" w:styleId="EndnoteReference">
    <w:name w:val="endnote reference"/>
    <w:basedOn w:val="DefaultParagraphFont"/>
    <w:uiPriority w:val="99"/>
    <w:rsid w:val="00A56EE9"/>
    <w:rPr>
      <w:vertAlign w:val="superscript"/>
    </w:rPr>
  </w:style>
  <w:style w:type="paragraph" w:styleId="ListBullet">
    <w:name w:val="List Bullet"/>
    <w:basedOn w:val="Normal"/>
    <w:uiPriority w:val="99"/>
    <w:unhideWhenUsed/>
    <w:qFormat/>
    <w:rsid w:val="00A56EE9"/>
    <w:pPr>
      <w:numPr>
        <w:numId w:val="14"/>
      </w:numPr>
      <w:spacing w:after="0" w:line="276" w:lineRule="auto"/>
    </w:pPr>
    <w:rPr>
      <w:rFonts w:ascii="Arial Narrow" w:eastAsia="Calibri" w:hAnsi="Arial Narrow" w:cs="Times New Roman"/>
      <w:sz w:val="18"/>
      <w:szCs w:val="18"/>
    </w:rPr>
  </w:style>
  <w:style w:type="paragraph" w:styleId="ListBullet2">
    <w:name w:val="List Bullet 2"/>
    <w:basedOn w:val="Normal"/>
    <w:uiPriority w:val="99"/>
    <w:unhideWhenUsed/>
    <w:rsid w:val="00A56EE9"/>
    <w:pPr>
      <w:numPr>
        <w:ilvl w:val="1"/>
        <w:numId w:val="14"/>
      </w:numPr>
      <w:spacing w:after="200" w:line="276" w:lineRule="auto"/>
    </w:pPr>
    <w:rPr>
      <w:rFonts w:eastAsia="Calibri" w:cs="Times New Roman"/>
    </w:rPr>
  </w:style>
  <w:style w:type="paragraph" w:styleId="ListBullet3">
    <w:name w:val="List Bullet 3"/>
    <w:basedOn w:val="Normal"/>
    <w:uiPriority w:val="99"/>
    <w:unhideWhenUsed/>
    <w:rsid w:val="00A56EE9"/>
    <w:pPr>
      <w:numPr>
        <w:ilvl w:val="2"/>
        <w:numId w:val="14"/>
      </w:numPr>
      <w:spacing w:after="200" w:line="276" w:lineRule="auto"/>
    </w:pPr>
    <w:rPr>
      <w:rFonts w:eastAsia="Calibri" w:cs="Times New Roman"/>
    </w:rPr>
  </w:style>
  <w:style w:type="paragraph" w:styleId="ListBullet4">
    <w:name w:val="List Bullet 4"/>
    <w:basedOn w:val="Normal"/>
    <w:uiPriority w:val="99"/>
    <w:unhideWhenUsed/>
    <w:rsid w:val="00A56EE9"/>
    <w:pPr>
      <w:numPr>
        <w:ilvl w:val="3"/>
        <w:numId w:val="14"/>
      </w:numPr>
      <w:spacing w:after="200" w:line="276" w:lineRule="auto"/>
    </w:pPr>
    <w:rPr>
      <w:rFonts w:eastAsia="Calibri" w:cs="Times New Roman"/>
    </w:rPr>
  </w:style>
  <w:style w:type="paragraph" w:styleId="ListBullet5">
    <w:name w:val="List Bullet 5"/>
    <w:basedOn w:val="Normal"/>
    <w:uiPriority w:val="99"/>
    <w:unhideWhenUsed/>
    <w:rsid w:val="00A56EE9"/>
    <w:pPr>
      <w:numPr>
        <w:ilvl w:val="4"/>
        <w:numId w:val="14"/>
      </w:numPr>
      <w:spacing w:after="200" w:line="276" w:lineRule="auto"/>
    </w:pPr>
    <w:rPr>
      <w:rFonts w:eastAsia="Calibri" w:cs="Times New Roman"/>
    </w:rPr>
  </w:style>
  <w:style w:type="numbering" w:customStyle="1" w:styleId="BulletList">
    <w:name w:val="Bullet List"/>
    <w:uiPriority w:val="99"/>
    <w:rsid w:val="00A56EE9"/>
    <w:pPr>
      <w:numPr>
        <w:numId w:val="14"/>
      </w:numPr>
    </w:pPr>
  </w:style>
  <w:style w:type="paragraph" w:customStyle="1" w:styleId="Pa2">
    <w:name w:val="Pa2"/>
    <w:basedOn w:val="Normal"/>
    <w:next w:val="Normal"/>
    <w:uiPriority w:val="99"/>
    <w:rsid w:val="00A56EE9"/>
    <w:pPr>
      <w:autoSpaceDE w:val="0"/>
      <w:autoSpaceDN w:val="0"/>
      <w:adjustRightInd w:val="0"/>
      <w:spacing w:after="0" w:line="181" w:lineRule="atLeast"/>
    </w:pPr>
    <w:rPr>
      <w:rFonts w:ascii="Frutiger LT" w:eastAsia="Calibri" w:hAnsi="Frutiger LT" w:cs="Frutiger LT"/>
      <w:sz w:val="24"/>
      <w:szCs w:val="24"/>
      <w:lang w:eastAsia="en-AU"/>
    </w:rPr>
  </w:style>
  <w:style w:type="character" w:styleId="HTMLCite">
    <w:name w:val="HTML Cite"/>
    <w:basedOn w:val="DefaultParagraphFont"/>
    <w:uiPriority w:val="99"/>
    <w:unhideWhenUsed/>
    <w:rsid w:val="00A56EE9"/>
    <w:rPr>
      <w:i/>
      <w:iCs/>
    </w:rPr>
  </w:style>
  <w:style w:type="paragraph" w:customStyle="1" w:styleId="Pa7">
    <w:name w:val="Pa7"/>
    <w:basedOn w:val="Normal"/>
    <w:next w:val="Normal"/>
    <w:uiPriority w:val="99"/>
    <w:rsid w:val="00A56EE9"/>
    <w:pPr>
      <w:autoSpaceDE w:val="0"/>
      <w:autoSpaceDN w:val="0"/>
      <w:adjustRightInd w:val="0"/>
      <w:spacing w:after="0" w:line="191" w:lineRule="atLeast"/>
    </w:pPr>
    <w:rPr>
      <w:rFonts w:ascii="Meta" w:eastAsia="Times New Roman" w:hAnsi="Meta" w:cs="Times New Roman"/>
      <w:sz w:val="24"/>
      <w:szCs w:val="24"/>
      <w:lang w:eastAsia="en-AU"/>
    </w:rPr>
  </w:style>
  <w:style w:type="paragraph" w:customStyle="1" w:styleId="Pa27">
    <w:name w:val="Pa27"/>
    <w:basedOn w:val="Normal"/>
    <w:next w:val="Normal"/>
    <w:uiPriority w:val="99"/>
    <w:rsid w:val="00A56EE9"/>
    <w:pPr>
      <w:autoSpaceDE w:val="0"/>
      <w:autoSpaceDN w:val="0"/>
      <w:adjustRightInd w:val="0"/>
      <w:spacing w:after="0" w:line="191" w:lineRule="atLeast"/>
    </w:pPr>
    <w:rPr>
      <w:rFonts w:ascii="Meta" w:eastAsia="Times New Roman" w:hAnsi="Meta" w:cs="Times New Roman"/>
      <w:sz w:val="24"/>
      <w:szCs w:val="24"/>
      <w:lang w:eastAsia="en-AU"/>
    </w:rPr>
  </w:style>
  <w:style w:type="paragraph" w:customStyle="1" w:styleId="Bullets1">
    <w:name w:val="Bullets 1"/>
    <w:uiPriority w:val="99"/>
    <w:qFormat/>
    <w:rsid w:val="00A56EE9"/>
    <w:pPr>
      <w:numPr>
        <w:numId w:val="15"/>
      </w:numPr>
      <w:spacing w:before="120" w:after="0" w:line="360" w:lineRule="auto"/>
      <w:ind w:left="568" w:hanging="284"/>
      <w:outlineLvl w:val="0"/>
    </w:pPr>
    <w:rPr>
      <w:rFonts w:ascii="Arial" w:eastAsia="Calibri" w:hAnsi="Arial" w:cs="Times New Roman"/>
      <w:lang w:val="en-AU"/>
    </w:rPr>
  </w:style>
  <w:style w:type="numbering" w:customStyle="1" w:styleId="BulletList0">
    <w:name w:val="BulletList"/>
    <w:uiPriority w:val="99"/>
    <w:rsid w:val="00A56EE9"/>
    <w:pPr>
      <w:numPr>
        <w:numId w:val="13"/>
      </w:numPr>
    </w:pPr>
  </w:style>
  <w:style w:type="character" w:customStyle="1" w:styleId="filesize1">
    <w:name w:val="file_size1"/>
    <w:rsid w:val="00A56EE9"/>
    <w:rPr>
      <w:color w:val="333333"/>
    </w:rPr>
  </w:style>
  <w:style w:type="character" w:styleId="Strong">
    <w:name w:val="Strong"/>
    <w:uiPriority w:val="22"/>
    <w:qFormat/>
    <w:rsid w:val="00A56EE9"/>
    <w:rPr>
      <w:b/>
      <w:bCs/>
    </w:rPr>
  </w:style>
  <w:style w:type="paragraph" w:customStyle="1" w:styleId="Default">
    <w:name w:val="Default"/>
    <w:rsid w:val="00A56EE9"/>
    <w:pPr>
      <w:widowControl w:val="0"/>
      <w:autoSpaceDE w:val="0"/>
      <w:autoSpaceDN w:val="0"/>
      <w:adjustRightInd w:val="0"/>
      <w:spacing w:after="0" w:line="240" w:lineRule="auto"/>
    </w:pPr>
    <w:rPr>
      <w:rFonts w:ascii="Segoe UI" w:eastAsia="Times New Roman" w:hAnsi="Segoe UI" w:cs="Segoe UI"/>
      <w:color w:val="000000"/>
      <w:sz w:val="24"/>
      <w:szCs w:val="24"/>
      <w:lang w:val="en-US" w:eastAsia="en-AU"/>
    </w:rPr>
  </w:style>
  <w:style w:type="paragraph" w:styleId="TOAHeading">
    <w:name w:val="toa heading"/>
    <w:basedOn w:val="Normal"/>
    <w:next w:val="Normal"/>
    <w:rsid w:val="00A56EE9"/>
    <w:pPr>
      <w:spacing w:before="120" w:after="200" w:line="276" w:lineRule="auto"/>
    </w:pPr>
    <w:rPr>
      <w:rFonts w:asciiTheme="majorHAnsi" w:eastAsiaTheme="majorEastAsia" w:hAnsiTheme="majorHAnsi" w:cstheme="majorBidi"/>
      <w:b/>
      <w:bCs/>
      <w:sz w:val="24"/>
      <w:szCs w:val="24"/>
    </w:rPr>
  </w:style>
  <w:style w:type="character" w:customStyle="1" w:styleId="background-default">
    <w:name w:val="background-default"/>
    <w:basedOn w:val="DefaultParagraphFont"/>
    <w:rsid w:val="00A56EE9"/>
  </w:style>
  <w:style w:type="paragraph" w:customStyle="1" w:styleId="EndNoteBibliography">
    <w:name w:val="EndNote Bibliography"/>
    <w:basedOn w:val="Normal"/>
    <w:link w:val="EndNoteBibliographyChar"/>
    <w:rsid w:val="00A56EE9"/>
    <w:pPr>
      <w:spacing w:line="240" w:lineRule="auto"/>
    </w:pPr>
    <w:rPr>
      <w:rFonts w:cs="Arial"/>
      <w:noProof/>
      <w:lang w:val="en-US"/>
    </w:rPr>
  </w:style>
  <w:style w:type="character" w:customStyle="1" w:styleId="EndNoteBibliographyChar">
    <w:name w:val="EndNote Bibliography Char"/>
    <w:basedOn w:val="DefaultParagraphFont"/>
    <w:link w:val="EndNoteBibliography"/>
    <w:rsid w:val="00A56EE9"/>
    <w:rPr>
      <w:rFonts w:ascii="Arial" w:hAnsi="Arial" w:cs="Arial"/>
      <w:noProof/>
      <w:lang w:val="en-US"/>
    </w:rPr>
  </w:style>
  <w:style w:type="character" w:customStyle="1" w:styleId="UnresolvedMention1">
    <w:name w:val="Unresolved Mention1"/>
    <w:basedOn w:val="DefaultParagraphFont"/>
    <w:uiPriority w:val="99"/>
    <w:rsid w:val="00A56EE9"/>
    <w:rPr>
      <w:color w:val="808080"/>
      <w:shd w:val="clear" w:color="auto" w:fill="E6E6E6"/>
    </w:rPr>
  </w:style>
  <w:style w:type="paragraph" w:customStyle="1" w:styleId="EndNoteBibliographyTitle">
    <w:name w:val="EndNote Bibliography Title"/>
    <w:basedOn w:val="Normal"/>
    <w:link w:val="EndNoteBibliographyTitleChar"/>
    <w:rsid w:val="00A56EE9"/>
    <w:pPr>
      <w:spacing w:after="0"/>
      <w:jc w:val="center"/>
    </w:pPr>
    <w:rPr>
      <w:rFonts w:cs="Arial"/>
      <w:noProof/>
      <w:lang w:val="en-US"/>
    </w:rPr>
  </w:style>
  <w:style w:type="character" w:customStyle="1" w:styleId="EndNoteBibliographyTitleChar">
    <w:name w:val="EndNote Bibliography Title Char"/>
    <w:basedOn w:val="DefaultParagraphFont"/>
    <w:link w:val="EndNoteBibliographyTitle"/>
    <w:rsid w:val="00A56EE9"/>
    <w:rPr>
      <w:rFonts w:ascii="Arial" w:hAnsi="Arial" w:cs="Arial"/>
      <w:noProof/>
      <w:lang w:val="en-US"/>
    </w:rPr>
  </w:style>
  <w:style w:type="numbering" w:customStyle="1" w:styleId="headingsstye">
    <w:name w:val="headingsstye"/>
    <w:uiPriority w:val="99"/>
    <w:rsid w:val="00A56EE9"/>
    <w:pPr>
      <w:numPr>
        <w:numId w:val="18"/>
      </w:numPr>
    </w:pPr>
  </w:style>
  <w:style w:type="paragraph" w:customStyle="1" w:styleId="Header1">
    <w:name w:val="Header1"/>
    <w:basedOn w:val="Heading1"/>
    <w:link w:val="Header1Char"/>
    <w:qFormat/>
    <w:rsid w:val="00A56EE9"/>
    <w:pPr>
      <w:numPr>
        <w:numId w:val="0"/>
      </w:numPr>
    </w:pPr>
  </w:style>
  <w:style w:type="paragraph" w:customStyle="1" w:styleId="Header2">
    <w:name w:val="Header2"/>
    <w:basedOn w:val="Heading2"/>
    <w:link w:val="Header2Char"/>
    <w:qFormat/>
    <w:rsid w:val="00A56EE9"/>
    <w:pPr>
      <w:numPr>
        <w:ilvl w:val="0"/>
        <w:numId w:val="0"/>
      </w:numPr>
    </w:pPr>
  </w:style>
  <w:style w:type="character" w:customStyle="1" w:styleId="Header1Char">
    <w:name w:val="Header1 Char"/>
    <w:basedOn w:val="Heading1Char"/>
    <w:link w:val="Header1"/>
    <w:rsid w:val="00A56EE9"/>
    <w:rPr>
      <w:rFonts w:ascii="Segoe UI" w:eastAsiaTheme="majorEastAsia" w:hAnsi="Segoe UI" w:cstheme="majorBidi"/>
      <w:b/>
      <w:color w:val="2F5496" w:themeColor="accent1" w:themeShade="BF"/>
      <w:sz w:val="32"/>
      <w:szCs w:val="32"/>
      <w:lang w:val="en-AU"/>
    </w:rPr>
  </w:style>
  <w:style w:type="paragraph" w:customStyle="1" w:styleId="Header3">
    <w:name w:val="Header3"/>
    <w:basedOn w:val="Header2"/>
    <w:link w:val="Header3Char"/>
    <w:qFormat/>
    <w:rsid w:val="00A56EE9"/>
  </w:style>
  <w:style w:type="character" w:customStyle="1" w:styleId="Header2Char">
    <w:name w:val="Header2 Char"/>
    <w:basedOn w:val="Header1Char"/>
    <w:link w:val="Header2"/>
    <w:rsid w:val="00A56EE9"/>
    <w:rPr>
      <w:rFonts w:ascii="Segoe UI" w:eastAsiaTheme="majorEastAsia" w:hAnsi="Segoe UI" w:cstheme="majorBidi"/>
      <w:b/>
      <w:color w:val="2F5496" w:themeColor="accent1" w:themeShade="BF"/>
      <w:sz w:val="26"/>
      <w:szCs w:val="26"/>
      <w:lang w:val="en-AU"/>
    </w:rPr>
  </w:style>
  <w:style w:type="character" w:customStyle="1" w:styleId="Header3Char">
    <w:name w:val="Header3 Char"/>
    <w:basedOn w:val="Header2Char"/>
    <w:link w:val="Header3"/>
    <w:rsid w:val="00A56EE9"/>
    <w:rPr>
      <w:rFonts w:ascii="Segoe UI" w:eastAsiaTheme="majorEastAsia" w:hAnsi="Segoe UI" w:cstheme="majorBidi"/>
      <w:b/>
      <w:color w:val="2F5496" w:themeColor="accent1" w:themeShade="BF"/>
      <w:sz w:val="26"/>
      <w:szCs w:val="26"/>
      <w:lang w:val="en-AU"/>
    </w:rPr>
  </w:style>
  <w:style w:type="character" w:customStyle="1" w:styleId="apple-converted-space">
    <w:name w:val="apple-converted-space"/>
    <w:basedOn w:val="DefaultParagraphFont"/>
    <w:rsid w:val="00A56EE9"/>
  </w:style>
  <w:style w:type="character" w:customStyle="1" w:styleId="UnresolvedMention2">
    <w:name w:val="Unresolved Mention2"/>
    <w:basedOn w:val="DefaultParagraphFont"/>
    <w:uiPriority w:val="99"/>
    <w:semiHidden/>
    <w:unhideWhenUsed/>
    <w:rsid w:val="00A56EE9"/>
    <w:rPr>
      <w:color w:val="605E5C"/>
      <w:shd w:val="clear" w:color="auto" w:fill="E1DFDD"/>
    </w:rPr>
  </w:style>
  <w:style w:type="paragraph" w:customStyle="1" w:styleId="ref">
    <w:name w:val="ref"/>
    <w:basedOn w:val="Normal"/>
    <w:link w:val="refChar"/>
    <w:autoRedefine/>
    <w:qFormat/>
    <w:rsid w:val="00A56EE9"/>
    <w:pPr>
      <w:spacing w:afterLines="60" w:after="144" w:line="240" w:lineRule="auto"/>
      <w:ind w:left="567" w:hanging="567"/>
    </w:pPr>
    <w:rPr>
      <w:rFonts w:asciiTheme="minorHAnsi" w:eastAsiaTheme="minorEastAsia" w:hAnsiTheme="minorHAnsi"/>
      <w:noProof/>
      <w:sz w:val="20"/>
      <w:lang w:val="en-US" w:bidi="en-US"/>
    </w:rPr>
  </w:style>
  <w:style w:type="character" w:customStyle="1" w:styleId="refChar">
    <w:name w:val="ref Char"/>
    <w:basedOn w:val="DefaultParagraphFont"/>
    <w:link w:val="ref"/>
    <w:rsid w:val="00A56EE9"/>
    <w:rPr>
      <w:rFonts w:eastAsiaTheme="minorEastAsia"/>
      <w:noProof/>
      <w:sz w:val="20"/>
      <w:lang w:val="en-US" w:bidi="en-US"/>
    </w:rPr>
  </w:style>
  <w:style w:type="character" w:styleId="HTMLCode">
    <w:name w:val="HTML Code"/>
    <w:basedOn w:val="DefaultParagraphFont"/>
    <w:uiPriority w:val="99"/>
    <w:semiHidden/>
    <w:unhideWhenUsed/>
    <w:rsid w:val="00A56EE9"/>
    <w:rPr>
      <w:rFonts w:ascii="Arial" w:eastAsia="Times New Roman" w:hAnsi="Arial" w:cs="Arial" w:hint="default"/>
      <w:color w:val="C7254E"/>
      <w:sz w:val="22"/>
      <w:szCs w:val="22"/>
      <w:shd w:val="clear" w:color="auto" w:fill="F9F2F4"/>
    </w:rPr>
  </w:style>
  <w:style w:type="character" w:customStyle="1" w:styleId="A7">
    <w:name w:val="A7"/>
    <w:uiPriority w:val="99"/>
    <w:rsid w:val="00A56EE9"/>
    <w:rPr>
      <w:rFonts w:cs="Gotham HTF Light"/>
      <w:color w:val="000000"/>
      <w:sz w:val="19"/>
      <w:szCs w:val="19"/>
    </w:rPr>
  </w:style>
  <w:style w:type="character" w:customStyle="1" w:styleId="file-metadata">
    <w:name w:val="file-metadata"/>
    <w:basedOn w:val="DefaultParagraphFont"/>
    <w:rsid w:val="00A56EE9"/>
  </w:style>
  <w:style w:type="character" w:customStyle="1" w:styleId="h1span1">
    <w:name w:val="h1span1"/>
    <w:basedOn w:val="DefaultParagraphFont"/>
    <w:rsid w:val="00A56EE9"/>
  </w:style>
  <w:style w:type="paragraph" w:customStyle="1" w:styleId="subsection">
    <w:name w:val="subsection"/>
    <w:basedOn w:val="Normal"/>
    <w:rsid w:val="00A56EE9"/>
    <w:pPr>
      <w:spacing w:before="100" w:beforeAutospacing="1" w:after="100" w:afterAutospacing="1" w:line="240" w:lineRule="auto"/>
    </w:pPr>
    <w:rPr>
      <w:rFonts w:ascii="Times New Roman" w:eastAsia="Times New Roman" w:hAnsi="Times New Roman" w:cs="Times New Roman"/>
      <w:sz w:val="24"/>
      <w:szCs w:val="24"/>
      <w:lang w:eastAsia="en-AU"/>
    </w:rPr>
  </w:style>
  <w:style w:type="numbering" w:customStyle="1" w:styleId="BulletList1">
    <w:name w:val="Bullet List1"/>
    <w:uiPriority w:val="99"/>
    <w:rsid w:val="00A56EE9"/>
    <w:pPr>
      <w:numPr>
        <w:numId w:val="246"/>
      </w:numPr>
    </w:pPr>
  </w:style>
  <w:style w:type="character" w:customStyle="1" w:styleId="UnresolvedMention3">
    <w:name w:val="Unresolved Mention3"/>
    <w:basedOn w:val="DefaultParagraphFont"/>
    <w:uiPriority w:val="99"/>
    <w:semiHidden/>
    <w:unhideWhenUsed/>
    <w:rsid w:val="00A56EE9"/>
    <w:rPr>
      <w:color w:val="605E5C"/>
      <w:shd w:val="clear" w:color="auto" w:fill="E1DFDD"/>
    </w:rPr>
  </w:style>
  <w:style w:type="numbering" w:customStyle="1" w:styleId="BulletList11">
    <w:name w:val="Bullet List11"/>
    <w:uiPriority w:val="99"/>
    <w:rsid w:val="00A56EE9"/>
  </w:style>
  <w:style w:type="character" w:customStyle="1" w:styleId="UnresolvedMention4">
    <w:name w:val="Unresolved Mention4"/>
    <w:basedOn w:val="DefaultParagraphFont"/>
    <w:uiPriority w:val="99"/>
    <w:semiHidden/>
    <w:unhideWhenUsed/>
    <w:rsid w:val="00ED0F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5746977">
      <w:bodyDiv w:val="1"/>
      <w:marLeft w:val="0"/>
      <w:marRight w:val="0"/>
      <w:marTop w:val="0"/>
      <w:marBottom w:val="0"/>
      <w:divBdr>
        <w:top w:val="none" w:sz="0" w:space="0" w:color="auto"/>
        <w:left w:val="none" w:sz="0" w:space="0" w:color="auto"/>
        <w:bottom w:val="none" w:sz="0" w:space="0" w:color="auto"/>
        <w:right w:val="none" w:sz="0" w:space="0" w:color="auto"/>
      </w:divBdr>
    </w:div>
    <w:div w:id="617226321">
      <w:bodyDiv w:val="1"/>
      <w:marLeft w:val="0"/>
      <w:marRight w:val="0"/>
      <w:marTop w:val="0"/>
      <w:marBottom w:val="0"/>
      <w:divBdr>
        <w:top w:val="none" w:sz="0" w:space="0" w:color="auto"/>
        <w:left w:val="none" w:sz="0" w:space="0" w:color="auto"/>
        <w:bottom w:val="none" w:sz="0" w:space="0" w:color="auto"/>
        <w:right w:val="none" w:sz="0" w:space="0" w:color="auto"/>
      </w:divBdr>
    </w:div>
    <w:div w:id="732001822">
      <w:bodyDiv w:val="1"/>
      <w:marLeft w:val="0"/>
      <w:marRight w:val="0"/>
      <w:marTop w:val="0"/>
      <w:marBottom w:val="0"/>
      <w:divBdr>
        <w:top w:val="none" w:sz="0" w:space="0" w:color="auto"/>
        <w:left w:val="none" w:sz="0" w:space="0" w:color="auto"/>
        <w:bottom w:val="none" w:sz="0" w:space="0" w:color="auto"/>
        <w:right w:val="none" w:sz="0" w:space="0" w:color="auto"/>
      </w:divBdr>
    </w:div>
    <w:div w:id="1293054492">
      <w:bodyDiv w:val="1"/>
      <w:marLeft w:val="0"/>
      <w:marRight w:val="0"/>
      <w:marTop w:val="0"/>
      <w:marBottom w:val="0"/>
      <w:divBdr>
        <w:top w:val="none" w:sz="0" w:space="0" w:color="auto"/>
        <w:left w:val="none" w:sz="0" w:space="0" w:color="auto"/>
        <w:bottom w:val="none" w:sz="0" w:space="0" w:color="auto"/>
        <w:right w:val="none" w:sz="0" w:space="0" w:color="auto"/>
      </w:divBdr>
    </w:div>
    <w:div w:id="1671133843">
      <w:bodyDiv w:val="1"/>
      <w:marLeft w:val="0"/>
      <w:marRight w:val="0"/>
      <w:marTop w:val="0"/>
      <w:marBottom w:val="0"/>
      <w:divBdr>
        <w:top w:val="none" w:sz="0" w:space="0" w:color="auto"/>
        <w:left w:val="none" w:sz="0" w:space="0" w:color="auto"/>
        <w:bottom w:val="none" w:sz="0" w:space="0" w:color="auto"/>
        <w:right w:val="none" w:sz="0" w:space="0" w:color="auto"/>
      </w:divBdr>
    </w:div>
    <w:div w:id="1953902739">
      <w:bodyDiv w:val="1"/>
      <w:marLeft w:val="0"/>
      <w:marRight w:val="0"/>
      <w:marTop w:val="0"/>
      <w:marBottom w:val="0"/>
      <w:divBdr>
        <w:top w:val="none" w:sz="0" w:space="0" w:color="auto"/>
        <w:left w:val="none" w:sz="0" w:space="0" w:color="auto"/>
        <w:bottom w:val="none" w:sz="0" w:space="0" w:color="auto"/>
        <w:right w:val="none" w:sz="0" w:space="0" w:color="auto"/>
      </w:divBdr>
    </w:div>
    <w:div w:id="2124496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522" Type="http://schemas.openxmlformats.org/officeDocument/2006/relationships/hyperlink" Target="http://www.creektocoral.org/wqip/index.html" TargetMode="External"/><Relationship Id="rId1827" Type="http://schemas.openxmlformats.org/officeDocument/2006/relationships/hyperlink" Target="https://data.marinemammals.gov.au/report/shipstrike" TargetMode="External"/><Relationship Id="rId21" Type="http://schemas.openxmlformats.org/officeDocument/2006/relationships/hyperlink" Target="mailto:info@gbrmpa.gov.au" TargetMode="External"/><Relationship Id="rId170" Type="http://schemas.openxmlformats.org/officeDocument/2006/relationships/hyperlink" Target="http://www.reefplan.qld.gov.au/about/assets/2017-scientific-consensus-statement-summary-chap04.pdf" TargetMode="External"/><Relationship Id="rId268" Type="http://schemas.openxmlformats.org/officeDocument/2006/relationships/hyperlink" Target="http://www.gbrmpa.gov.au/__data/assets/pdf_file/0004/29272/AE_GBRMP_19MAR08.pdf" TargetMode="External"/><Relationship Id="rId475" Type="http://schemas.openxmlformats.org/officeDocument/2006/relationships/hyperlink" Target="https://www.cms.bmpgrazing.com.au/" TargetMode="External"/><Relationship Id="rId682" Type="http://schemas.openxmlformats.org/officeDocument/2006/relationships/hyperlink" Target="http://www.google.com.au/url?sa=t&amp;rct=j&amp;q=&amp;esrc=s&amp;source=web&amp;cd=2&amp;cad=rja&amp;uact=8&amp;ved=0ahUKEwje0buj8I_WAhVDXbwKHTiDB4IQjBAILTAB&amp;url=http%3A%2F%2Fwww.defence.gov.au%2Fwhitepaper%2Fdocs%2F2016-defence-white-paper.pdf&amp;usg=AFQjCNGajfiCD9iVxCUPOmSh1jQI4W75Lg" TargetMode="External"/><Relationship Id="rId128" Type="http://schemas.openxmlformats.org/officeDocument/2006/relationships/hyperlink" Target="https://haveyoursay.dilgp.qld.gov.au/north-queensland" TargetMode="External"/><Relationship Id="rId335" Type="http://schemas.openxmlformats.org/officeDocument/2006/relationships/hyperlink" Target="http://www.gbrmpa.gov.au/about-the-reef/how-the-reefs-managed/field-management-of-the-great-barrier-reef-marine-park" TargetMode="External"/><Relationship Id="rId542" Type="http://schemas.openxmlformats.org/officeDocument/2006/relationships/hyperlink" Target="http://www.gbrmpa.gov.au/__data/assets/pdf_file/0015/3390/GBRMPA-zoning-plan-2003.pdf" TargetMode="External"/><Relationship Id="rId987" Type="http://schemas.openxmlformats.org/officeDocument/2006/relationships/hyperlink" Target="http://seltmp.eatlas.org.au/seltmp" TargetMode="External"/><Relationship Id="rId1172" Type="http://schemas.openxmlformats.org/officeDocument/2006/relationships/hyperlink" Target="http://www.environment.gov.au/marine/gbr/publications/reef-2050-long-term-sustainability-plan" TargetMode="External"/><Relationship Id="rId2016" Type="http://schemas.openxmlformats.org/officeDocument/2006/relationships/hyperlink" Target="http://www.gbrmpa.gov.au/our-partners/traditional-owners/story-place" TargetMode="External"/><Relationship Id="rId402" Type="http://schemas.openxmlformats.org/officeDocument/2006/relationships/hyperlink" Target="http://www.environment.gov.au/marine/gbr/publications/reef-2050-long-term-sustainability-plan" TargetMode="External"/><Relationship Id="rId847" Type="http://schemas.openxmlformats.org/officeDocument/2006/relationships/hyperlink" Target="https://www.daf.qld.gov.au/fisheries/monitoring-our-fisheries/data-reports/sustainability-reporting/stock-status-assessments/summary-2016" TargetMode="External"/><Relationship Id="rId1032" Type="http://schemas.openxmlformats.org/officeDocument/2006/relationships/hyperlink" Target="http://elibrary.gbrmpa.gov.au/jspui/handle/11017/3339" TargetMode="External"/><Relationship Id="rId1477" Type="http://schemas.openxmlformats.org/officeDocument/2006/relationships/hyperlink" Target="http://elibrary.gbrmpa.gov.au/jspui/handle/11017/3213" TargetMode="External"/><Relationship Id="rId1684" Type="http://schemas.openxmlformats.org/officeDocument/2006/relationships/hyperlink" Target="https://www.npsr.qld.gov.au/marine-parks/gbr_coast_marine_park.html" TargetMode="External"/><Relationship Id="rId1891" Type="http://schemas.openxmlformats.org/officeDocument/2006/relationships/hyperlink" Target="http://www.amsa.gov.au/navigation/services/aton/dent-island/index.asp" TargetMode="External"/><Relationship Id="rId707" Type="http://schemas.openxmlformats.org/officeDocument/2006/relationships/hyperlink" Target="http://elibrary.gbrmpa.gov.au/jspui/handle/11017/2855" TargetMode="External"/><Relationship Id="rId914" Type="http://schemas.openxmlformats.org/officeDocument/2006/relationships/hyperlink" Target="https://www2.deloitte.com/content/dam/Deloitte/au/Documents/Economics/deloitte-au-economics-great-barrier-reef-230617.pdf" TargetMode="External"/><Relationship Id="rId1337" Type="http://schemas.openxmlformats.org/officeDocument/2006/relationships/hyperlink" Target="http://elibrary.gbrmpa.gov.au/jspui/handle/11017/595" TargetMode="External"/><Relationship Id="rId1544" Type="http://schemas.openxmlformats.org/officeDocument/2006/relationships/hyperlink" Target="http://www.environment.gov.au/marine/gbr/publications/improved-dredge-material-management-great-barrier-reef-region" TargetMode="External"/><Relationship Id="rId1751" Type="http://schemas.openxmlformats.org/officeDocument/2006/relationships/hyperlink" Target="https://www.msq.qld.gov.au/Marine-pollution" TargetMode="External"/><Relationship Id="rId1989" Type="http://schemas.openxmlformats.org/officeDocument/2006/relationships/hyperlink" Target="http://www.environment.gov.au/marine/publications/recovery-plan-marine-turtles-australia-2017" TargetMode="External"/><Relationship Id="rId43" Type="http://schemas.openxmlformats.org/officeDocument/2006/relationships/header" Target="header4.xml"/><Relationship Id="rId1404" Type="http://schemas.openxmlformats.org/officeDocument/2006/relationships/hyperlink" Target="http://dx.doi.org/10.1016/j.marpolbul.2013.07.013" TargetMode="External"/><Relationship Id="rId1611" Type="http://schemas.openxmlformats.org/officeDocument/2006/relationships/hyperlink" Target="http://www.environment.gov.au/marine/gbr/publications/reef-2050-long-term-sustainability-plan" TargetMode="External"/><Relationship Id="rId1849" Type="http://schemas.openxmlformats.org/officeDocument/2006/relationships/hyperlink" Target="https://www.msq.qld.gov.au/Shipping/Port-procedures.aspx" TargetMode="External"/><Relationship Id="rId192" Type="http://schemas.openxmlformats.org/officeDocument/2006/relationships/hyperlink" Target="http://www.seagrasswatch.org" TargetMode="External"/><Relationship Id="rId1709" Type="http://schemas.openxmlformats.org/officeDocument/2006/relationships/hyperlink" Target="http://hdl.handle.net/11017/2855" TargetMode="External"/><Relationship Id="rId1916" Type="http://schemas.openxmlformats.org/officeDocument/2006/relationships/hyperlink" Target="https://apps.amsa.gov.au/MOReview/MarineNoticeExternal.html" TargetMode="External"/><Relationship Id="rId497" Type="http://schemas.openxmlformats.org/officeDocument/2006/relationships/hyperlink" Target="http://www.environment.gov.au/sustainability/regional-development/gbr/publications/gbr-aesthetic-values.html" TargetMode="External"/><Relationship Id="rId357" Type="http://schemas.openxmlformats.org/officeDocument/2006/relationships/hyperlink" Target="http://www.gbrmpa.gov.au/visit-the-reef/visitor-contributions/gbr_visitation/numbers" TargetMode="External"/><Relationship Id="rId1194" Type="http://schemas.openxmlformats.org/officeDocument/2006/relationships/hyperlink" Target="http://ereefs.org.au/ereefs" TargetMode="External"/><Relationship Id="rId217" Type="http://schemas.openxmlformats.org/officeDocument/2006/relationships/hyperlink" Target="https://www.environment.gov.au/marine/gbr/protecting-the-reef/intergovernmental-agreement" TargetMode="External"/><Relationship Id="rId564" Type="http://schemas.openxmlformats.org/officeDocument/2006/relationships/hyperlink" Target="http://www.gbrmpa.gov.au/__data/assets/pdf_file/0020/7049/Defence-Management-Agreement-with-GBRMPA.pdf" TargetMode="External"/><Relationship Id="rId771" Type="http://schemas.openxmlformats.org/officeDocument/2006/relationships/hyperlink" Target="http://frdc.com.au/Archived-Reports/FRDC%20Projects/2011-030-DLD.pdf" TargetMode="External"/><Relationship Id="rId869" Type="http://schemas.openxmlformats.org/officeDocument/2006/relationships/hyperlink" Target="https://publications.qld.gov.au/dataset/queensland-fisheries-harvest-strategy" TargetMode="External"/><Relationship Id="rId1499" Type="http://schemas.openxmlformats.org/officeDocument/2006/relationships/hyperlink" Target="http://www.gbrmpa.gov.au/managing-the-reef/reef-2050/reef-integrated-monitoring-and-reporting-program" TargetMode="External"/><Relationship Id="rId424" Type="http://schemas.openxmlformats.org/officeDocument/2006/relationships/hyperlink" Target="http://nesptropical.edu.au/index.php/round-2-projects/project-2-3-4/" TargetMode="External"/><Relationship Id="rId631" Type="http://schemas.openxmlformats.org/officeDocument/2006/relationships/hyperlink" Target="http://www.defence.gov.au/Environment/PFAS/" TargetMode="External"/><Relationship Id="rId729" Type="http://schemas.openxmlformats.org/officeDocument/2006/relationships/hyperlink" Target="https://publications.qld.gov.au/dataset/queensland-sustainable-fisheries-strategy/resource/319c7e02-f07b-4b2e-8fd5-a435d2c2f3c9" TargetMode="External"/><Relationship Id="rId1054" Type="http://schemas.openxmlformats.org/officeDocument/2006/relationships/hyperlink" Target="http://dawulwuru.com.au/files/4314/0360/2666/Yirrganydji_Plan_Online.pdf" TargetMode="External"/><Relationship Id="rId1261"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1359" Type="http://schemas.openxmlformats.org/officeDocument/2006/relationships/hyperlink" Target="http://elibrary.gbrmpa.gov.au/jspui/browse?type=series&amp;order=ASC&amp;rpp=20&amp;value=Permission+system" TargetMode="External"/><Relationship Id="rId936" Type="http://schemas.openxmlformats.org/officeDocument/2006/relationships/hyperlink" Target="http://www.gbrmpa.gov.au/managing-the-reef/strategic-assessment" TargetMode="External"/><Relationship Id="rId1121" Type="http://schemas.openxmlformats.org/officeDocument/2006/relationships/hyperlink" Target="http://www.gbrmpa.gov.au/managing-the-reef/how-the-reefs-managed/reef-2050-marine-monitoring-program/marine-monitoring-program-publications" TargetMode="External"/><Relationship Id="rId1219" Type="http://schemas.openxmlformats.org/officeDocument/2006/relationships/hyperlink" Target="https://www2.deloitte.com/content/dam/Deloitte/au/Documents/Economics/deloitte-au-economics-great-barrier-reef-230617.pdf" TargetMode="External"/><Relationship Id="rId1566" Type="http://schemas.openxmlformats.org/officeDocument/2006/relationships/hyperlink" Target="http://elibrary.gbrmpa.gov.au/jspui/handle/11017/595" TargetMode="External"/><Relationship Id="rId1773" Type="http://schemas.openxmlformats.org/officeDocument/2006/relationships/hyperlink" Target="https://www.legislation.gov.au/Details/F2017L01123" TargetMode="External"/><Relationship Id="rId1980" Type="http://schemas.openxmlformats.org/officeDocument/2006/relationships/hyperlink" Target="http://thedock.gbrmpa.gov.au/sites/SM/Planning/Operational/_layouts/DocIdRedir.aspx?ID=STRATMGT-112-120" TargetMode="External"/><Relationship Id="rId65" Type="http://schemas.openxmlformats.org/officeDocument/2006/relationships/hyperlink" Target="https://wetlandinfo.ehp.qld.gov.au/wetlands/what-are-wetlands/definitions-classification/classification-systems-background/intertidal-subtidal/" TargetMode="External"/><Relationship Id="rId1426" Type="http://schemas.openxmlformats.org/officeDocument/2006/relationships/hyperlink" Target="http://www.gbrmpa.gov.au/__data/assets/pdf_file/0015/3390/GBRMPA-zoning-plan-2003.pdf" TargetMode="External"/><Relationship Id="rId1633" Type="http://schemas.openxmlformats.org/officeDocument/2006/relationships/hyperlink" Target="http://www.gbrmpa.gov.au/__data/assets/pdf_file/0013/3325/gbrmpa_Hinchinbrook_POM_2004.pdfCairns" TargetMode="External"/><Relationship Id="rId1840" Type="http://schemas.openxmlformats.org/officeDocument/2006/relationships/hyperlink" Target="http://www.amsa.gov.au/forms-and-publications/Publications/AMSA439.pdf" TargetMode="External"/><Relationship Id="rId1700" Type="http://schemas.openxmlformats.org/officeDocument/2006/relationships/hyperlink" Target="http://www.gbrmpa.gov.au/about-us/local-marine-advisory-committees" TargetMode="External"/><Relationship Id="rId1938" Type="http://schemas.openxmlformats.org/officeDocument/2006/relationships/hyperlink" Target="http://elibrary.gbrmpa.gov.au/jspui/handle/11017/2861" TargetMode="External"/><Relationship Id="rId281" Type="http://schemas.openxmlformats.org/officeDocument/2006/relationships/hyperlink" Target="http://www.gbrmpa.gov.au/zoning-permits-and-plans/site-specific-management" TargetMode="External"/><Relationship Id="rId141" Type="http://schemas.openxmlformats.org/officeDocument/2006/relationships/hyperlink" Target="http://www.dilgp.qld.gov.au/planning/state-planning-instruments/state-planning-policy.html" TargetMode="External"/><Relationship Id="rId379" Type="http://schemas.openxmlformats.org/officeDocument/2006/relationships/hyperlink" Target="http://www.gbrmpa.gov.au/__data/assets/pdf_file/0015/3390/GBRMPA-zoning-plan-2003.pdf" TargetMode="External"/><Relationship Id="rId586" Type="http://schemas.openxmlformats.org/officeDocument/2006/relationships/hyperlink" Target="http://www.seagrasswatch.org/shoalwater_bay.html" TargetMode="External"/><Relationship Id="rId793" Type="http://schemas.openxmlformats.org/officeDocument/2006/relationships/hyperlink" Target="https://www.daf.qld.gov.au/fisheries/monitoring-our-fisheries/commercial-fisheries/data-reports/sustainability-reporting/ecological-risk-assessments" TargetMode="External"/><Relationship Id="rId7" Type="http://schemas.openxmlformats.org/officeDocument/2006/relationships/styles" Target="styles.xml"/><Relationship Id="rId239" Type="http://schemas.openxmlformats.org/officeDocument/2006/relationships/hyperlink" Target="https://secure.gbrmpa.gov.au/PermitsOnline/" TargetMode="External"/><Relationship Id="rId446" Type="http://schemas.openxmlformats.org/officeDocument/2006/relationships/hyperlink" Target="https://www.google.com.au/url?sa=t&amp;rct=j&amp;q=&amp;esrc=s&amp;source=web&amp;cd=1&amp;cad=rja&amp;uact=8&amp;ved=0ahUKEwj5jK2D5LDXAhUBNJQKHWB0BN8QFggmMAA&amp;url=https%3A%2F%2Fsecure.gbrmpa.gov.au%2Fbookingsonline%2F&amp;usg=AOvVaw3xYvC4V7q4ZqLDc1Hj0nmG" TargetMode="External"/><Relationship Id="rId653"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1076" Type="http://schemas.openxmlformats.org/officeDocument/2006/relationships/hyperlink" Target="http://www.gbrmpa.gov.au/zoning-permits-and-plans/plans-of-management/whitsunday-plan-of-management" TargetMode="External"/><Relationship Id="rId1283" Type="http://schemas.openxmlformats.org/officeDocument/2006/relationships/hyperlink" Target="http://www.gbrmpa.gov.au/zoning-permits-and-plans/plans-of-management" TargetMode="External"/><Relationship Id="rId1490" Type="http://schemas.openxmlformats.org/officeDocument/2006/relationships/hyperlink" Target="http://www.gbrmpa.gov.au/about-us/corporate-information/annual-report" TargetMode="External"/><Relationship Id="rId306" Type="http://schemas.openxmlformats.org/officeDocument/2006/relationships/hyperlink" Target="http://hdl.handle.net/11017/3167" TargetMode="External"/><Relationship Id="rId860" Type="http://schemas.openxmlformats.org/officeDocument/2006/relationships/hyperlink" Target="https://publications.qld.gov.au/dataset/queensland-sustainable-fisheries-strategy/resource/319c7e02-f07b-4b2e-8fd5-a435d2c2f3c9" TargetMode="External"/><Relationship Id="rId958" Type="http://schemas.openxmlformats.org/officeDocument/2006/relationships/hyperlink" Target="http://www.environment.gov.au/marine/gbr/protecting-the-reef/intergovernmental-agreement" TargetMode="External"/><Relationship Id="rId1143" Type="http://schemas.openxmlformats.org/officeDocument/2006/relationships/hyperlink" Target="http://www.reefplan.qld.gov.au/about/committees/partnership/" TargetMode="External"/><Relationship Id="rId1588" Type="http://schemas.openxmlformats.org/officeDocument/2006/relationships/hyperlink" Target="http://www.gpcl.com.au/Pages/Annual-Report.aspx" TargetMode="External"/><Relationship Id="rId1795" Type="http://schemas.openxmlformats.org/officeDocument/2006/relationships/hyperlink" Target="https://www.amsa.gov.au/environment/regulations/gbr-pssa/" TargetMode="External"/><Relationship Id="rId87" Type="http://schemas.openxmlformats.org/officeDocument/2006/relationships/hyperlink" Target="https://www.reefplan.qld.gov.au/measuring-success/report-cards/2014/" TargetMode="External"/><Relationship Id="rId513" Type="http://schemas.openxmlformats.org/officeDocument/2006/relationships/hyperlink" Target="http://hdl.handle.net/11017/2855" TargetMode="External"/><Relationship Id="rId720" Type="http://schemas.openxmlformats.org/officeDocument/2006/relationships/hyperlink" Target="http://www.environment.gov.au/marine/fisheries/qld-managed-fisheries" TargetMode="External"/><Relationship Id="rId818" Type="http://schemas.openxmlformats.org/officeDocument/2006/relationships/hyperlink" Target="https://publications.qld.gov.au/dataset/queensland-sustainable-fisheries-strategy/resource/319c7e02-f07b-4b2e-8fd5-a435d2c2f3c9" TargetMode="External"/><Relationship Id="rId1350" Type="http://schemas.openxmlformats.org/officeDocument/2006/relationships/hyperlink" Target="http://www.gbrmpa.gov.au/zoning-permits-and-plans/zoning" TargetMode="External"/><Relationship Id="rId1448" Type="http://schemas.openxmlformats.org/officeDocument/2006/relationships/hyperlink" Target="http://elibrary.gbrmpa.gov.au/jspui/handle/11017/3235" TargetMode="External"/><Relationship Id="rId1655" Type="http://schemas.openxmlformats.org/officeDocument/2006/relationships/hyperlink" Target="http://www.environment.gov.au/protection/environment-assessments/bilateral-agreements/qld" TargetMode="External"/><Relationship Id="rId1003" Type="http://schemas.openxmlformats.org/officeDocument/2006/relationships/hyperlink" Target="http://hdl.handle.net/11017/3369" TargetMode="External"/><Relationship Id="rId1210" Type="http://schemas.openxmlformats.org/officeDocument/2006/relationships/hyperlink" Target="http://www.ehp.qld.gov.au/assets/documents/reef/gbrwst-finalreport-2016.pdf" TargetMode="External"/><Relationship Id="rId1308" Type="http://schemas.openxmlformats.org/officeDocument/2006/relationships/hyperlink" Target="http://www.portsnorth.com.au/environment/environment.php" TargetMode="External"/><Relationship Id="rId1862" Type="http://schemas.openxmlformats.org/officeDocument/2006/relationships/hyperlink" Target="http://hdl.handle.net/11017/2872" TargetMode="External"/><Relationship Id="rId1515" Type="http://schemas.openxmlformats.org/officeDocument/2006/relationships/hyperlink" Target="https://www.google.com.au/url?sa=t&amp;rct=j&amp;q=&amp;esrc=s&amp;source=web&amp;cd=2&amp;ved=0ahUKEwjWhYq84_vWAhWJJJQKHebYBIgQFggsMAE&amp;url=https%3A%2F%2Fwww.tmr.qld.gov.au%2F-%2Fmedia%2Fbusind%2FTransport-sectors%2FPorts%2Fmaintenancedredgingstrategy%2FMaintenance-Dredging-Strategy---November-2016.pdf%3Fla%3Den&amp;usg=AOvVaw0nhn5tAZegVAmoQhew_olB" TargetMode="External"/><Relationship Id="rId1722" Type="http://schemas.openxmlformats.org/officeDocument/2006/relationships/hyperlink" Target="http://elibrary.gbrmpa.gov.au/jspui/handle/11017/2861" TargetMode="External"/><Relationship Id="rId14" Type="http://schemas.openxmlformats.org/officeDocument/2006/relationships/image" Target="media/image3.jpeg"/><Relationship Id="rId163" Type="http://schemas.openxmlformats.org/officeDocument/2006/relationships/hyperlink" Target="http://www.reefplan.qld.gov.au/about/" TargetMode="External"/><Relationship Id="rId370" Type="http://schemas.openxmlformats.org/officeDocument/2006/relationships/hyperlink" Target="http://www.gbrmpa.gov.au/managing-the-reef/reef-2050/reef-integrated-monitoring-and-reporting-program" TargetMode="External"/><Relationship Id="rId230" Type="http://schemas.openxmlformats.org/officeDocument/2006/relationships/hyperlink" Target="http://www.dilgp.qld.gov.au/planning/state-planning-instruments/state-planning-policy.html" TargetMode="External"/><Relationship Id="rId468" Type="http://schemas.openxmlformats.org/officeDocument/2006/relationships/hyperlink" Target="http://www.environment.gov.au/resource/economic-contribution-great-barrier-reef-march-2013" TargetMode="External"/><Relationship Id="rId675" Type="http://schemas.openxmlformats.org/officeDocument/2006/relationships/hyperlink" Target="https://link.springer.com/article/10.1007/s00343-010-9113-3" TargetMode="External"/><Relationship Id="rId882" Type="http://schemas.openxmlformats.org/officeDocument/2006/relationships/hyperlink" Target="http://www.gbrmpa.gov.au/zoning-permits-and-plans/special-management-areas/protecting-our-maritime-cultural-heritage" TargetMode="External"/><Relationship Id="rId1098" Type="http://schemas.openxmlformats.org/officeDocument/2006/relationships/hyperlink" Target="https://www.environment.gov.au/system/files/resources/d98b3e53-146b-4b9c-a84a-2a22454b9a83/files/reef-2050-long-term-sustainability-plan.pdf" TargetMode="External"/><Relationship Id="rId328" Type="http://schemas.openxmlformats.org/officeDocument/2006/relationships/hyperlink" Target="http://www.gbrmpa.gov.au/our-partners/australian-government-agencies" TargetMode="External"/><Relationship Id="rId535" Type="http://schemas.openxmlformats.org/officeDocument/2006/relationships/hyperlink" Target="http://www.defence.gov.au/uxo/" TargetMode="External"/><Relationship Id="rId742" Type="http://schemas.openxmlformats.org/officeDocument/2006/relationships/hyperlink" Target="https://publications.qld.gov.au/dataset/queensland-fisheries-harvest-strategy" TargetMode="External"/><Relationship Id="rId1165" Type="http://schemas.openxmlformats.org/officeDocument/2006/relationships/hyperlink" Target="http://www.environment.gov.au/marine/gbr/publications/independent-review" TargetMode="External"/><Relationship Id="rId1372" Type="http://schemas.openxmlformats.org/officeDocument/2006/relationships/hyperlink" Target="http://www.gbrmpa.gov.au/managing-the-reef/reef-2050/reef-integrated-monitoring-and-reporting-program" TargetMode="External"/><Relationship Id="rId2009" Type="http://schemas.openxmlformats.org/officeDocument/2006/relationships/hyperlink" Target="http://elibrary.gbrmpa.gov.au/jspui/handle/11017/3213" TargetMode="External"/><Relationship Id="rId602"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1025" Type="http://schemas.openxmlformats.org/officeDocument/2006/relationships/hyperlink" Target="https://www.youtube.com/watch?v=Y2Y_gHuklyc" TargetMode="External"/><Relationship Id="rId1232" Type="http://schemas.openxmlformats.org/officeDocument/2006/relationships/hyperlink" Target="https://www.dnrm.qld.gov.au/__data/assets/pdf_file/0004/228973/4462-ResourcesQ-Vision-update.pdf" TargetMode="External"/><Relationship Id="rId1677"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1884" Type="http://schemas.openxmlformats.org/officeDocument/2006/relationships/hyperlink" Target="http://hdl.handle.net/11017/3227" TargetMode="External"/><Relationship Id="rId907" Type="http://schemas.openxmlformats.org/officeDocument/2006/relationships/hyperlink" Target="http://elibrary.gbrmpa.gov.au/jspui/bitstream/11017/3252/1/Spearfishing-map.pdf" TargetMode="External"/><Relationship Id="rId1537" Type="http://schemas.openxmlformats.org/officeDocument/2006/relationships/hyperlink" Target="http://www.fba.org.au/planning-for-water-quality-improvement/" TargetMode="External"/><Relationship Id="rId1744" Type="http://schemas.openxmlformats.org/officeDocument/2006/relationships/hyperlink" Target="http://hdl.handle.net/11017/3245" TargetMode="External"/><Relationship Id="rId1951" Type="http://schemas.openxmlformats.org/officeDocument/2006/relationships/hyperlink" Target="https://www.youtube.com/watch?v=Y2Y_gHuklyc" TargetMode="External"/><Relationship Id="rId36" Type="http://schemas.openxmlformats.org/officeDocument/2006/relationships/hyperlink" Target="http://dspace-prod.gbrmpa.gov.au/jspui/bitstream/11017/3108/1/GBRMPA-Recreation-Management-Strategy-2012.pdf" TargetMode="External"/><Relationship Id="rId1604" Type="http://schemas.openxmlformats.org/officeDocument/2006/relationships/hyperlink" Target="https://www.ehp.qld.gov.au/water/policy/pdf/draft-protecting-ev-gbr-catchment.pdf" TargetMode="External"/><Relationship Id="rId185" Type="http://schemas.openxmlformats.org/officeDocument/2006/relationships/hyperlink" Target="http://www.sunfishqld.com.au/" TargetMode="External"/><Relationship Id="rId1811" Type="http://schemas.openxmlformats.org/officeDocument/2006/relationships/hyperlink" Target="https://www.amsa.gov.au/forms-and-publications/Fact-Sheets/UKCM_FS.pdf" TargetMode="External"/><Relationship Id="rId1909" Type="http://schemas.openxmlformats.org/officeDocument/2006/relationships/hyperlink" Target="http://hdl.handle.net/11017/3227" TargetMode="External"/><Relationship Id="rId392" Type="http://schemas.openxmlformats.org/officeDocument/2006/relationships/hyperlink" Target="http://elibrary.gbrmpa.gov.au/jspui/bitstream/11017/3213/1/Reef-2050-cumulative-impact-mngt-draft-for-public-consultation.pdf" TargetMode="External"/><Relationship Id="rId697" Type="http://schemas.openxmlformats.org/officeDocument/2006/relationships/hyperlink" Target="https://www.daf.qld.gov.au/fisheries/commercial-fisheries/queenslands-commercial-fisheries" TargetMode="External"/><Relationship Id="rId252" Type="http://schemas.openxmlformats.org/officeDocument/2006/relationships/hyperlink" Target="http://www.reefplan.qld.gov.au/about/" TargetMode="External"/><Relationship Id="rId1187" Type="http://schemas.openxmlformats.org/officeDocument/2006/relationships/hyperlink" Target="http://data.aims.gov.au/metadataviewer/uuid/8a698de1-3fbf-48a5-b068-358b07aad35c" TargetMode="External"/><Relationship Id="rId112" Type="http://schemas.openxmlformats.org/officeDocument/2006/relationships/hyperlink" Target="http://www.gbrmpa.gov.au/our-partners" TargetMode="External"/><Relationship Id="rId557" Type="http://schemas.openxmlformats.org/officeDocument/2006/relationships/hyperlink" Target="https://link.springer.com/article/10.1007/s00343-010-9113-3" TargetMode="External"/><Relationship Id="rId764" Type="http://schemas.openxmlformats.org/officeDocument/2006/relationships/hyperlink" Target="https://www.daf.qld.gov.au/fisheries/monitoring-our-fisheries/data-reports/sustainability-reporting/stock-status-assessments/summary-2016" TargetMode="External"/><Relationship Id="rId971" Type="http://schemas.openxmlformats.org/officeDocument/2006/relationships/hyperlink" Target="http://thedock.gbrmpa.gov.au/sites/Projects/P000020/_layouts/DocIdRedir.aspx?ID=PROJ-56-180" TargetMode="External"/><Relationship Id="rId1394" Type="http://schemas.openxmlformats.org/officeDocument/2006/relationships/hyperlink" Target="http://elibrary.gbrmpa.gov.au/jspui/handle/11017/3235" TargetMode="External"/><Relationship Id="rId1699" Type="http://schemas.openxmlformats.org/officeDocument/2006/relationships/hyperlink" Target="https://www2.deloitte.com/content/dam/Deloitte/au/Documents/Economics/deloitte-au-economics-great-barrier-reef-230617.pdf" TargetMode="External"/><Relationship Id="rId2000" Type="http://schemas.openxmlformats.org/officeDocument/2006/relationships/hyperlink" Target="https://www.npsr.qld.gov.au/raineisland/" TargetMode="External"/><Relationship Id="rId417" Type="http://schemas.openxmlformats.org/officeDocument/2006/relationships/hyperlink" Target="http://www.reefplan.qld.gov.au/about/scientific-consensus-statement/" TargetMode="External"/><Relationship Id="rId624" Type="http://schemas.openxmlformats.org/officeDocument/2006/relationships/hyperlink" Target="http://www.defence.gov.au/Exercises/TS17" TargetMode="External"/><Relationship Id="rId831" Type="http://schemas.openxmlformats.org/officeDocument/2006/relationships/hyperlink" Target="https://researchonline.jcu.edu.au/29814/" TargetMode="External"/><Relationship Id="rId1047" Type="http://schemas.openxmlformats.org/officeDocument/2006/relationships/hyperlink" Target="http://www.gbrmpa.gov.au/zoning-permits-and-plans/plans-of-management/whitsunday-plan-of-management" TargetMode="External"/><Relationship Id="rId1254" Type="http://schemas.openxmlformats.org/officeDocument/2006/relationships/hyperlink" Target="http://elibrary.gbrmpa.gov.au/jspui/handle/11017/3214" TargetMode="External"/><Relationship Id="rId1461" Type="http://schemas.openxmlformats.org/officeDocument/2006/relationships/hyperlink" Target="http://www.fba.org.au/planning-for-water-quality-improvement/" TargetMode="External"/><Relationship Id="rId929" Type="http://schemas.openxmlformats.org/officeDocument/2006/relationships/hyperlink" Target="http://hdl.handle.net/11017/3372" TargetMode="External"/><Relationship Id="rId1114" Type="http://schemas.openxmlformats.org/officeDocument/2006/relationships/hyperlink" Target="http://elibrary.gbrmpa.gov.au/jspui/handle/11017/3339" TargetMode="External"/><Relationship Id="rId1321" Type="http://schemas.openxmlformats.org/officeDocument/2006/relationships/hyperlink" Target="http://www.portsaustralia.com.au/assets/Publications/Ports-Australia-Dredging-Code-of-Practice.pdf" TargetMode="External"/><Relationship Id="rId1559" Type="http://schemas.openxmlformats.org/officeDocument/2006/relationships/hyperlink" Target="http://hdl.handle.net/11017/3009" TargetMode="External"/><Relationship Id="rId1766" Type="http://schemas.openxmlformats.org/officeDocument/2006/relationships/hyperlink" Target="http://www.statedevelopment.qld.gov.au/resources/great-barrier-reef-coastal-zone-strategic-assessment-final-reports.html" TargetMode="External"/><Relationship Id="rId1973" Type="http://schemas.openxmlformats.org/officeDocument/2006/relationships/hyperlink" Target="http://thedock.gbrmpa.gov.au/sites/Indigenous/Admin/Reporting/_layouts/DocIdRedir.aspx?ID=INDIGENOUS-17-59" TargetMode="External"/><Relationship Id="rId58" Type="http://schemas.openxmlformats.org/officeDocument/2006/relationships/hyperlink" Target="https://wetlandinfo.ehp.qld.gov.au/wetlands/what-are-wetlands/definitions-classification/classification-systems-background/intertidal-subtidal/" TargetMode="External"/><Relationship Id="rId1419" Type="http://schemas.openxmlformats.org/officeDocument/2006/relationships/hyperlink" Target="https://www.google.com.au/url?sa=t&amp;rct=j&amp;q=&amp;esrc=s&amp;source=web&amp;cd=2&amp;ved=0ahUKEwjWhYq84_vWAhWJJJQKHebYBIgQFggsMAE&amp;url=https%3A%2F%2Fwww.tmr.qld.gov.au%2F-%2Fmedia%2Fbusind%2FTransport-sectors%2FPorts%2Fmaintenancedredgingstrategy%2FMaintenance-Dredging-Strategy---November-2016.pdf%3Fla%3Den&amp;usg=AOvVaw0nhn5tAZegVAmoQhew_olB" TargetMode="External"/><Relationship Id="rId1626" Type="http://schemas.openxmlformats.org/officeDocument/2006/relationships/hyperlink" Target="http://www.gbrmpa.gov.au/__data/assets/pdf_file/0020/3854/gbrmpa_SewageDischargePolicy_2005.pdf" TargetMode="External"/><Relationship Id="rId1833" Type="http://schemas.openxmlformats.org/officeDocument/2006/relationships/hyperlink" Target="http://www.amsa.gov.au/forms-and-publications/Publications/AMSA340.pdf" TargetMode="External"/><Relationship Id="rId1900" Type="http://schemas.openxmlformats.org/officeDocument/2006/relationships/hyperlink" Target="http://www.amsa.gov.au/forms-and-publications/Publications/AMSA439.pdf" TargetMode="External"/><Relationship Id="rId274" Type="http://schemas.openxmlformats.org/officeDocument/2006/relationships/hyperlink" Target="http://hdl.handle.net/11017/3237" TargetMode="External"/><Relationship Id="rId481" Type="http://schemas.openxmlformats.org/officeDocument/2006/relationships/hyperlink" Target="http://www.defence.gov.au/environment/envstate_apr06.pdf" TargetMode="External"/><Relationship Id="rId134" Type="http://schemas.openxmlformats.org/officeDocument/2006/relationships/hyperlink" Target="http://www.environment.gov.au/marine/gbr/publications/reef-2050-long-term-sustainability-plan" TargetMode="External"/><Relationship Id="rId579" Type="http://schemas.openxmlformats.org/officeDocument/2006/relationships/hyperlink" Target="https://www.minister.defence.gov.au/minister/marise-payne/media-releases/budget-2017-18-defence-budget-overview" TargetMode="External"/><Relationship Id="rId786" Type="http://schemas.openxmlformats.org/officeDocument/2006/relationships/hyperlink" Target="https://publications.qld.gov.au/dataset/queensland-sustainable-fisheries-strategy/resource/319c7e02-f07b-4b2e-8fd5-a435d2c2f3c9" TargetMode="External"/><Relationship Id="rId993" Type="http://schemas.openxmlformats.org/officeDocument/2006/relationships/hyperlink" Target="http://www.gbrmpa.gov.au/__data/assets/pdf_file/0004/248980/Historic-heritage-value-assessment-guidelines.pdf" TargetMode="External"/><Relationship Id="rId341" Type="http://schemas.openxmlformats.org/officeDocument/2006/relationships/hyperlink" Target="http://hdl.handle.net/11017/827" TargetMode="External"/><Relationship Id="rId439" Type="http://schemas.openxmlformats.org/officeDocument/2006/relationships/hyperlink" Target="http://www.gbrmpa.gov.au/managing-the-reef/reef-2050/reef-integrated-monitoring-and-reporting-program" TargetMode="External"/><Relationship Id="rId646" Type="http://schemas.openxmlformats.org/officeDocument/2006/relationships/hyperlink" Target="http://www.defence.gov.au/estatemanagement/governance/Policy/Environment/Heritage/Docs/DefenceHeritageStrategy.pdf" TargetMode="External"/><Relationship Id="rId1069" Type="http://schemas.openxmlformats.org/officeDocument/2006/relationships/hyperlink" Target="http://elibrary.gbrmpa.gov.au/jspui/bitstream/11017/3211/1/FINAL-Case-Study-TUMRAs.pdf" TargetMode="External"/><Relationship Id="rId1276" Type="http://schemas.openxmlformats.org/officeDocument/2006/relationships/hyperlink" Target="http://thedock.gbrmpa.gov.au/sites/Projects/P000097/MEA/Evidence-collection-templates/Sustainable%20Ports%20Development%20Act%202015" TargetMode="External"/><Relationship Id="rId1483" Type="http://schemas.openxmlformats.org/officeDocument/2006/relationships/hyperlink" Target="http://www.environment.gov.au/marine/gbr/publications/reef-2050-long-term-sustainability-plan" TargetMode="External"/><Relationship Id="rId2022" Type="http://schemas.openxmlformats.org/officeDocument/2006/relationships/hyperlink" Target="https://www.youtube.com/watch?v=Y2Y_gHuklyc" TargetMode="External"/><Relationship Id="rId201" Type="http://schemas.openxmlformats.org/officeDocument/2006/relationships/hyperlink" Target="http://www.environment.gov.au/system/files/pages/1542be6d-c5bb-4259-b20e-c4847abc373f/files/reef-trust-phaseiv-applicant-guidelines.pdf" TargetMode="External"/><Relationship Id="rId506" Type="http://schemas.openxmlformats.org/officeDocument/2006/relationships/hyperlink" Target="http://hdl.handle.net/11017/2978" TargetMode="External"/><Relationship Id="rId853" Type="http://schemas.openxmlformats.org/officeDocument/2006/relationships/hyperlink" Target="http://www.gbrmpa.gov.au/about-the-reef/biodiversity/biodiversity-conservation-strategy-for-public-consultation/vulnerability-assessments" TargetMode="External"/><Relationship Id="rId1136" Type="http://schemas.openxmlformats.org/officeDocument/2006/relationships/hyperlink" Target="http://www.reefplan.qld.gov.au/about/assets/2017-scientific-consensus-statement-summary.pdf" TargetMode="External"/><Relationship Id="rId1690" Type="http://schemas.openxmlformats.org/officeDocument/2006/relationships/hyperlink" Target="http://elibrary.gbrmpa.gov.au/jspui/bitstream/11017/3252/1/Spearfishing-map.pdf" TargetMode="External"/><Relationship Id="rId1788" Type="http://schemas.openxmlformats.org/officeDocument/2006/relationships/hyperlink" Target="http://www.statedevelopment.qld.gov.au/resources/factsheet/planning/coastal-protection-sprp.pdf" TargetMode="External"/><Relationship Id="rId1995" Type="http://schemas.openxmlformats.org/officeDocument/2006/relationships/hyperlink" Target="http://hdl.handle.net/11017/3215" TargetMode="External"/><Relationship Id="rId713" Type="http://schemas.openxmlformats.org/officeDocument/2006/relationships/hyperlink" Target="http://www.gbrmpa.gov.au/managing-the-reef/how-the-reefs-managed/fisheries-in-the-marine-park/east-coast-otter-trawl-fishery/ecological-risk-assessment-of-trawling" TargetMode="External"/><Relationship Id="rId920" Type="http://schemas.openxmlformats.org/officeDocument/2006/relationships/hyperlink" Target="http://www.environment.gov.au/marine/gbr/publications/reef-2050-indigenous-implementation-plan" TargetMode="External"/><Relationship Id="rId1343" Type="http://schemas.openxmlformats.org/officeDocument/2006/relationships/hyperlink" Target="http://elibrary.gbrmpa.gov.au/jspui/handle/11017/595" TargetMode="External"/><Relationship Id="rId1550" Type="http://schemas.openxmlformats.org/officeDocument/2006/relationships/hyperlink" Target="http://nqbp.com.au/" TargetMode="External"/><Relationship Id="rId1648" Type="http://schemas.openxmlformats.org/officeDocument/2006/relationships/hyperlink" Target="http://www.gbrmpa.gov.au/managing-the-reef/threats-to-the-reef/marine-debris" TargetMode="External"/><Relationship Id="rId1203" Type="http://schemas.openxmlformats.org/officeDocument/2006/relationships/hyperlink" Target="http://www.environment.gov.au/marine/gbr/publications/reef-2050-plan-annual-report-implementation-strategy" TargetMode="External"/><Relationship Id="rId1410" Type="http://schemas.openxmlformats.org/officeDocument/2006/relationships/hyperlink" Target="https://research.jcu.edu.au/tropwater/research-programs/seagrass-ecology-1/queensland-ports-seagrass-monitoring" TargetMode="External"/><Relationship Id="rId1508" Type="http://schemas.openxmlformats.org/officeDocument/2006/relationships/hyperlink" Target="http://elibrary.gbrmpa.gov.au/jspui/handle/11017/595" TargetMode="External"/><Relationship Id="rId1855" Type="http://schemas.openxmlformats.org/officeDocument/2006/relationships/hyperlink" Target="https://www.environment.gov.au/marine/gbr/long-term-sustainability-plan" TargetMode="External"/><Relationship Id="rId1715" Type="http://schemas.openxmlformats.org/officeDocument/2006/relationships/hyperlink" Target="http://hdl.handle.net/11017/3223" TargetMode="External"/><Relationship Id="rId1922" Type="http://schemas.openxmlformats.org/officeDocument/2006/relationships/hyperlink" Target="https://www.amsa.gov.au/navigation/shipping-management/nesm/documents/nesm-plan-work-program.pdf" TargetMode="External"/><Relationship Id="rId296" Type="http://schemas.openxmlformats.org/officeDocument/2006/relationships/hyperlink" Target="http://www.gbrmpa.gov.au/about-us/legislation-regulations-and-policies/vessel-sewage-regulations" TargetMode="External"/><Relationship Id="rId156" Type="http://schemas.openxmlformats.org/officeDocument/2006/relationships/hyperlink" Target="http://www.gbrmpa.gov.au/managing-the-reef/how-the-reefs-managed/register-of-management-arrangements" TargetMode="External"/><Relationship Id="rId363" Type="http://schemas.openxmlformats.org/officeDocument/2006/relationships/hyperlink" Target="http://elibrary.gbrmpa.gov.au/jspui/bitstream/11017/3214/1/Reef-2050-net-benefit-policy-draft-for-consultation.pdf" TargetMode="External"/><Relationship Id="rId570" Type="http://schemas.openxmlformats.org/officeDocument/2006/relationships/hyperlink" Target="http://www.gbrmpa.gov.au/__data/assets/pdf_file/0020/7049/Defence-Management-Agreement-with-GBRMPA.pdf" TargetMode="External"/><Relationship Id="rId223" Type="http://schemas.openxmlformats.org/officeDocument/2006/relationships/hyperlink" Target="http://www.environment.gov.au/science/nesp" TargetMode="External"/><Relationship Id="rId430" Type="http://schemas.openxmlformats.org/officeDocument/2006/relationships/hyperlink" Target="http://www.abs.gov.au/ausstats/abs@.nsf/mf/4680.0" TargetMode="External"/><Relationship Id="rId668" Type="http://schemas.openxmlformats.org/officeDocument/2006/relationships/hyperlink" Target="http://www.defence.gov.au/Exercises/TS17/EnvironmentalPlanning.asp" TargetMode="External"/><Relationship Id="rId875" Type="http://schemas.openxmlformats.org/officeDocument/2006/relationships/hyperlink" Target="http://www.gbrmpa.gov.au/about-us/corporate-information/annual-report/annual-report-2016-2017" TargetMode="External"/><Relationship Id="rId1060" Type="http://schemas.openxmlformats.org/officeDocument/2006/relationships/hyperlink" Target="https://www.npsr.qld.gov.au/managing/plans-strategies/" TargetMode="External"/><Relationship Id="rId1298" Type="http://schemas.openxmlformats.org/officeDocument/2006/relationships/hyperlink" Target="http://nqbp.com.au/wp-content/uploads/2017/06/2017-Annual-Report-Abbot-Point-Ambient-Coral-Monitoring-Program.pdf" TargetMode="External"/><Relationship Id="rId528" Type="http://schemas.openxmlformats.org/officeDocument/2006/relationships/hyperlink" Target="http://www.google.com.au/url?sa=t&amp;rct=j&amp;q=&amp;esrc=s&amp;source=web&amp;cd=2&amp;cad=rja&amp;uact=8&amp;ved=0ahUKEwje0buj8I_WAhVDXbwKHTiDB4IQjBAILTAB&amp;url=http%3A%2F%2Fwww.defence.gov.au%2Fwhitepaper%2Fdocs%2F2016-defence-white-paper.pdf&amp;usg=AFQjCNGajfiCD9iVxCUPOmSh1jQI4W75Lg" TargetMode="External"/><Relationship Id="rId735" Type="http://schemas.openxmlformats.org/officeDocument/2006/relationships/hyperlink" Target="https://www.daf.qld.gov.au/fisheries/consultations-and-legislation/legislation" TargetMode="External"/><Relationship Id="rId942" Type="http://schemas.openxmlformats.org/officeDocument/2006/relationships/hyperlink" Target="http://www.gbrmpa.gov.au/managing-the-reef/strategic-assessment" TargetMode="External"/><Relationship Id="rId1158" Type="http://schemas.openxmlformats.org/officeDocument/2006/relationships/hyperlink" Target="http://www.abs.gov.au/ausstats/abs@.nsf/mf/4680.0" TargetMode="External"/><Relationship Id="rId1365" Type="http://schemas.openxmlformats.org/officeDocument/2006/relationships/hyperlink" Target="http://www.environment.gov.au/sustainability/regional-development/gbr/publications/gbr-dredge-material-management.html" TargetMode="External"/><Relationship Id="rId1572" Type="http://schemas.openxmlformats.org/officeDocument/2006/relationships/hyperlink" Target="http://www.ehp.qld.gov.au/gladstone/healthy-harbour/" TargetMode="External"/><Relationship Id="rId1018" Type="http://schemas.openxmlformats.org/officeDocument/2006/relationships/hyperlink" Target="http://www.gbrmpa.gov.au/about-the-reef/heritage/lady-elliot-island-heritage-values" TargetMode="External"/><Relationship Id="rId1225" Type="http://schemas.openxmlformats.org/officeDocument/2006/relationships/hyperlink" Target="https://research.jcu.edu.au/tropwater/research-programs/seagrass-ecology-1/queensland-ports-seagrass-monitoring" TargetMode="External"/><Relationship Id="rId1432" Type="http://schemas.openxmlformats.org/officeDocument/2006/relationships/hyperlink" Target="http://elibrary.gbrmpa.gov.au/jspui/browse?type=series&amp;order=ASC&amp;rpp=20&amp;value=Permission+system" TargetMode="External"/><Relationship Id="rId1877" Type="http://schemas.openxmlformats.org/officeDocument/2006/relationships/hyperlink" Target="http://nesptropical.edu.au/index.php/round-3-projects/project-3-2-2/" TargetMode="External"/><Relationship Id="rId71" Type="http://schemas.openxmlformats.org/officeDocument/2006/relationships/hyperlink" Target="https://wetlandinfo.ehp.qld.gov.au/wetlands/management/policy-legislation/" TargetMode="External"/><Relationship Id="rId802" Type="http://schemas.openxmlformats.org/officeDocument/2006/relationships/hyperlink" Target="https://publications.qld.gov.au/dataset/queensland-sustainable-fisheries-strategy/resource/319c7e02-f07b-4b2e-8fd5-a435d2c2f3c9" TargetMode="External"/><Relationship Id="rId1737" Type="http://schemas.openxmlformats.org/officeDocument/2006/relationships/hyperlink" Target="http://www.amsa.gov.au/forms-and-publications/Publications/AMSA439.pdf" TargetMode="External"/><Relationship Id="rId1944" Type="http://schemas.openxmlformats.org/officeDocument/2006/relationships/hyperlink" Target="http://hdl.handle.net/11017/2855" TargetMode="External"/><Relationship Id="rId29" Type="http://schemas.openxmlformats.org/officeDocument/2006/relationships/image" Target="media/image8.jpeg"/><Relationship Id="rId178" Type="http://schemas.openxmlformats.org/officeDocument/2006/relationships/hyperlink" Target="http://www.conservationvolunteers.com.au/" TargetMode="External"/><Relationship Id="rId1804" Type="http://schemas.openxmlformats.org/officeDocument/2006/relationships/hyperlink" Target="https://www.amsa.gov.au/navigation/shipping-management/pilotage/pans/documents/2017/PAN10-17.pdf" TargetMode="External"/><Relationship Id="rId385" Type="http://schemas.openxmlformats.org/officeDocument/2006/relationships/hyperlink" Target="http://www.environment.gov.au/marine/gbr/publications/reef-2050-long-term-sustainability-plan" TargetMode="External"/><Relationship Id="rId592" Type="http://schemas.openxmlformats.org/officeDocument/2006/relationships/hyperlink" Target="http://www.defence.gov.au/Initiatives/ASMTI/Overview.asp" TargetMode="External"/><Relationship Id="rId245" Type="http://schemas.openxmlformats.org/officeDocument/2006/relationships/hyperlink" Target="http://www.agriculture.gov.au/abares/aclump/land-use" TargetMode="External"/><Relationship Id="rId452" Type="http://schemas.openxmlformats.org/officeDocument/2006/relationships/hyperlink" Target="http://www.gbrmpa.gov.au/learn-about-the-reef/resources-by-theme" TargetMode="External"/><Relationship Id="rId897" Type="http://schemas.openxmlformats.org/officeDocument/2006/relationships/hyperlink" Target="http://www.environment.gov.au/marine/fisheries/qld-managed-fisheries" TargetMode="External"/><Relationship Id="rId1082" Type="http://schemas.openxmlformats.org/officeDocument/2006/relationships/hyperlink" Target="http://hdl.handle.net/11017/3215" TargetMode="External"/><Relationship Id="rId105" Type="http://schemas.openxmlformats.org/officeDocument/2006/relationships/hyperlink" Target="http://www.gbrmpa.gov.au/__data/assets/pdf_file/0003/28254/Coastal-Ecosystems-Assessment-Framework.pdf" TargetMode="External"/><Relationship Id="rId312" Type="http://schemas.openxmlformats.org/officeDocument/2006/relationships/hyperlink" Target="http://thedock.gbrmpa.gov.au/sites/Projects/P000097/_layouts/DocIdRedir.aspx?ID=PROJ-781534870-109" TargetMode="External"/><Relationship Id="rId757" Type="http://schemas.openxmlformats.org/officeDocument/2006/relationships/hyperlink" Target="https://www.daf.qld.gov.au/fisheries/consultations-and-legislation/legislation" TargetMode="External"/><Relationship Id="rId964" Type="http://schemas.openxmlformats.org/officeDocument/2006/relationships/hyperlink" Target="http://hdl.handle.net/11017/3369" TargetMode="External"/><Relationship Id="rId1387" Type="http://schemas.openxmlformats.org/officeDocument/2006/relationships/hyperlink" Target="http://elibrary.gbrmpa.gov.au/jspui/handle/11017/3215" TargetMode="External"/><Relationship Id="rId1594" Type="http://schemas.openxmlformats.org/officeDocument/2006/relationships/hyperlink" Target="https://file.ac/fSFmYS7Errs/" TargetMode="External"/><Relationship Id="rId93" Type="http://schemas.openxmlformats.org/officeDocument/2006/relationships/hyperlink" Target="https://gate.gbrmpa.gov.au/OR2019/Shared%20Documents/Coastal%20Development%20References/Mackay%20Whitsunday%20Fish%20Barrier%20Prioritisation%20Report.pdf" TargetMode="External"/><Relationship Id="rId617"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824" Type="http://schemas.openxmlformats.org/officeDocument/2006/relationships/hyperlink" Target="https://publications.qld.gov.au/dataset/queensland-sustainable-fisheries-strategy/resource/319c7e02-f07b-4b2e-8fd5-a435d2c2f3c9" TargetMode="External"/><Relationship Id="rId1247" Type="http://schemas.openxmlformats.org/officeDocument/2006/relationships/hyperlink" Target="http://www.ehp.qld.gov.au/water/policy/index.html" TargetMode="External"/><Relationship Id="rId1454" Type="http://schemas.openxmlformats.org/officeDocument/2006/relationships/hyperlink" Target="http://elibrary.gbrmpa.gov.au/jspui/handle/11017/3238" TargetMode="External"/><Relationship Id="rId1661" Type="http://schemas.openxmlformats.org/officeDocument/2006/relationships/hyperlink" Target="http://elibrary.gbrmpa.gov.au/jspui/bitstream/11017/3252/1/Spearfishing-map.pdf" TargetMode="External"/><Relationship Id="rId1899" Type="http://schemas.openxmlformats.org/officeDocument/2006/relationships/hyperlink" Target="http://www.amsa.gov.au/forms-and-publications/about-amsa/publications/Annual-Reports/2016-2017/AMSA-Annual-Report-2016-17.pdf" TargetMode="External"/><Relationship Id="rId1107" Type="http://schemas.openxmlformats.org/officeDocument/2006/relationships/hyperlink" Target="https://www.youtube.com/watch?v=elAWJiHAKVY" TargetMode="External"/><Relationship Id="rId1314" Type="http://schemas.openxmlformats.org/officeDocument/2006/relationships/hyperlink" Target="http://www.gbrmpa.gov.au/managing-the-reef/how-the-reefs-managed/Managing-multiple-uses/ports/ban-on-capital-dredge-material-disposal" TargetMode="External"/><Relationship Id="rId1521" Type="http://schemas.openxmlformats.org/officeDocument/2006/relationships/hyperlink" Target="http://waterquality.capeyorknrm.com.au/water-quality/eastern-cape" TargetMode="External"/><Relationship Id="rId1759" Type="http://schemas.openxmlformats.org/officeDocument/2006/relationships/hyperlink" Target="http://nesptropical.edu.au/index.php/news-events/e-newsletters-2/may-2016/emerging-contaminants-on-the-great-barrier-reef" TargetMode="External"/><Relationship Id="rId1966" Type="http://schemas.openxmlformats.org/officeDocument/2006/relationships/hyperlink" Target="http://www.gbrmpa.gov.au/our-partners/traditional-owners/traditional-use-of-marine-resources-agreements/tumra-managers-workshop" TargetMode="External"/><Relationship Id="rId1619" Type="http://schemas.openxmlformats.org/officeDocument/2006/relationships/hyperlink" Target="http://www.environment.gov.au/marine/gbr/publications/reef-2050-long-term-sustainability-plan" TargetMode="External"/><Relationship Id="rId1826" Type="http://schemas.openxmlformats.org/officeDocument/2006/relationships/hyperlink" Target="file:///C:\Users\John\Documents\aJP\PGM\Projects\GBRMPA\2018%20Review\Report\Shipping\&#8226;%09https:\www.msq.qld.gov.au\Shipping\Vessel-traffic-services" TargetMode="External"/><Relationship Id="rId20" Type="http://schemas.openxmlformats.org/officeDocument/2006/relationships/image" Target="media/image7.jpeg"/><Relationship Id="rId267" Type="http://schemas.openxmlformats.org/officeDocument/2006/relationships/hyperlink" Target="https://www2.deloitte.com/content/dam/Deloitte/au/Documents/Economics/deloitte-au-economics-great-barrier-reef-230617.pdf" TargetMode="External"/><Relationship Id="rId474" Type="http://schemas.openxmlformats.org/officeDocument/2006/relationships/hyperlink" Target="https://www.smartcane.com.au/home.aspx" TargetMode="External"/><Relationship Id="rId127" Type="http://schemas.openxmlformats.org/officeDocument/2006/relationships/hyperlink" Target="https://www.dilgp.qld.gov.au/resources/map/regional-plan-areas.pdf3" TargetMode="External"/><Relationship Id="rId681" Type="http://schemas.openxmlformats.org/officeDocument/2006/relationships/hyperlink" Target="http://www.nerptropical.edu.au/publication/project-12-technical-report-aerial-survey-urban-coast-queensland-evaluate-response" TargetMode="External"/><Relationship Id="rId779" Type="http://schemas.openxmlformats.org/officeDocument/2006/relationships/hyperlink" Target="https://www.daf.qld.gov.au/business-priorities/fisheries/sustainable-fisheries-strategy/fishery-working-groups" TargetMode="External"/><Relationship Id="rId986" Type="http://schemas.openxmlformats.org/officeDocument/2006/relationships/hyperlink" Target="http://hdl.handle.net/11017/3372" TargetMode="External"/><Relationship Id="rId334" Type="http://schemas.openxmlformats.org/officeDocument/2006/relationships/hyperlink" Target="http://www.gbrmpa.gov.au/zoning-permits-and-plans/permits" TargetMode="External"/><Relationship Id="rId541" Type="http://schemas.openxmlformats.org/officeDocument/2006/relationships/hyperlink" Target="http://www.google.com.au/url?sa=t&amp;rct=j&amp;q=&amp;esrc=s&amp;source=web&amp;cd=1&amp;cad=rja&amp;uact=8&amp;ved=0ahUKEwjQh4e69I_WAhWHTrwKHTm5ChgQFggmMAA&amp;url=http%3A%2F%2Fwww.navy.gov.au%2Fsites%2Fdefault%2Ffiles%2Fdocuments%2FProcedure_Card.pdf&amp;usg=AFQjCNHQrkBMRNxGSWPw0GhHBWdItOCylw" TargetMode="External"/><Relationship Id="rId639" Type="http://schemas.openxmlformats.org/officeDocument/2006/relationships/hyperlink" Target="http://www.environment.gov.au/marine/gbr/publications/reef-2050-long-term-sustainability-plan" TargetMode="External"/><Relationship Id="rId1171" Type="http://schemas.openxmlformats.org/officeDocument/2006/relationships/hyperlink" Target="http://www.reefplan.qld.gov.au/about/assets/2017-scientific-consensus-statement-summary.pdf" TargetMode="External"/><Relationship Id="rId1269" Type="http://schemas.openxmlformats.org/officeDocument/2006/relationships/hyperlink" Target="https://www.statedevelopment.qld.gov.au/industry-development/port-master-planning-for-priority-ports.html" TargetMode="External"/><Relationship Id="rId1476" Type="http://schemas.openxmlformats.org/officeDocument/2006/relationships/hyperlink" Target="https://www.ehp.qld.gov.au/water/policy/water_quality_improvement_plans.html" TargetMode="External"/><Relationship Id="rId2015" Type="http://schemas.openxmlformats.org/officeDocument/2006/relationships/hyperlink" Target="https://www.researchgate.net/publication/318124280_Distribution_and_abundance_of_dugong_and_large_marine_turtles_in_Moreton_Bay_Hervey_Bay_and_the_southern_Great_Barrier_Reef" TargetMode="External"/><Relationship Id="rId401" Type="http://schemas.openxmlformats.org/officeDocument/2006/relationships/hyperlink" Target="http://www.gbrmpa.gov.au/managing-the-reef/reef-2050/reef-integrated-monitoring-and-reporting-program" TargetMode="External"/><Relationship Id="rId846" Type="http://schemas.openxmlformats.org/officeDocument/2006/relationships/hyperlink" Target="http://www.fish.gov.au/reports/Documents/2014_refs/Pratchett%20et%20al%202013%20FRDC%202010-554.pdf" TargetMode="External"/><Relationship Id="rId1031" Type="http://schemas.openxmlformats.org/officeDocument/2006/relationships/hyperlink" Target="http://elibrary.gbrmpa.gov.au/jspui/bitstream/11017/3241/5/Traditional-Owner-Heritage-Assessment-Guideline.pdf" TargetMode="External"/><Relationship Id="rId1129" Type="http://schemas.openxmlformats.org/officeDocument/2006/relationships/hyperlink" Target="http://www.gbrmpa.gov.au/managing-the-reef/how-the-reefs-managed/reef-2050-marine-monitoring-program/marine-monitoring-program-publications" TargetMode="External"/><Relationship Id="rId1683" Type="http://schemas.openxmlformats.org/officeDocument/2006/relationships/hyperlink" Target="https://www.qld.gov.au/environment/coasts-waterways/reef" TargetMode="External"/><Relationship Id="rId1890" Type="http://schemas.openxmlformats.org/officeDocument/2006/relationships/hyperlink" Target="https://www.amsa.gov.au/navigation/services/aton/" TargetMode="External"/><Relationship Id="rId1988" Type="http://schemas.openxmlformats.org/officeDocument/2006/relationships/hyperlink" Target="http://www.gbrmpa.gov.au/zoning-permits-and-plans/plans-of-management/whitsunday-plan-of-management" TargetMode="External"/><Relationship Id="rId706" Type="http://schemas.openxmlformats.org/officeDocument/2006/relationships/hyperlink" Target="https://advance.qld.gov.au/small-business/sbir/challenges.aspx" TargetMode="External"/><Relationship Id="rId913" Type="http://schemas.openxmlformats.org/officeDocument/2006/relationships/hyperlink" Target="http://frdc.com.au/Archived-Reports/FRDC%20Projects/2010-007-DLD.pdf" TargetMode="External"/><Relationship Id="rId1336" Type="http://schemas.openxmlformats.org/officeDocument/2006/relationships/hyperlink" Target="http://elibrary.gbrmpa.gov.au/jspui/handle/11017/2935" TargetMode="External"/><Relationship Id="rId1543" Type="http://schemas.openxmlformats.org/officeDocument/2006/relationships/hyperlink" Target="http://elibrary.gbrmpa.gov.au/jspui/handle/11017/595" TargetMode="External"/><Relationship Id="rId1750" Type="http://schemas.openxmlformats.org/officeDocument/2006/relationships/hyperlink" Target="https://www.amsa.gov.au/environment/national-plan/" TargetMode="External"/><Relationship Id="rId42" Type="http://schemas.openxmlformats.org/officeDocument/2006/relationships/hyperlink" Target="https://terrain.org.au/wp-content/uploads/2018/06/Terrain-WQIP-combined.pdf" TargetMode="External"/><Relationship Id="rId1403" Type="http://schemas.openxmlformats.org/officeDocument/2006/relationships/hyperlink" Target="http://www.gbrmpa.gov.au/__data/assets/word_doc/0005/248576/2015-2018-LMAC-Terms-of-Reference.docx" TargetMode="External"/><Relationship Id="rId1610" Type="http://schemas.openxmlformats.org/officeDocument/2006/relationships/hyperlink" Target="http://www.gbrmpa.gov.au/VesselRegistrations/" TargetMode="External"/><Relationship Id="rId1848" Type="http://schemas.openxmlformats.org/officeDocument/2006/relationships/hyperlink" Target="http://elibrary.gbrmpa.gov.au/jspui/bitstream/11017/3226/1/Application-for-Joint-Permissions-Guideline.pdf" TargetMode="External"/><Relationship Id="rId191" Type="http://schemas.openxmlformats.org/officeDocument/2006/relationships/hyperlink" Target="http://www.conservationvolunteers.com.au" TargetMode="External"/><Relationship Id="rId1708" Type="http://schemas.openxmlformats.org/officeDocument/2006/relationships/hyperlink" Target="http://www.statedevelopment.qld.gov.au/resources/great-barrier-reef-coastal-zone-strategic-assessment-final-reports.html" TargetMode="External"/><Relationship Id="rId1915" Type="http://schemas.openxmlformats.org/officeDocument/2006/relationships/hyperlink" Target="https://www.amsa.gov.au/vessels/standards-regulations/" TargetMode="External"/><Relationship Id="rId289" Type="http://schemas.openxmlformats.org/officeDocument/2006/relationships/hyperlink" Target="http://hdl.handle.net/11017/3246" TargetMode="External"/><Relationship Id="rId496" Type="http://schemas.openxmlformats.org/officeDocument/2006/relationships/hyperlink" Target="http://www.nerptropical.edu.au/publication/project-12-technical-report-aerial-survey-urban-coast-queensland-evaluate-response" TargetMode="External"/><Relationship Id="rId149" Type="http://schemas.openxmlformats.org/officeDocument/2006/relationships/hyperlink" Target="http://www.gbrmpa.gov.au/__data/assets/pdf_file/0006/28257/Informing-the-Outlook-for-Great-Barrier-Reef-coastal-ecosystems.pdf" TargetMode="External"/><Relationship Id="rId356" Type="http://schemas.openxmlformats.org/officeDocument/2006/relationships/hyperlink" Target="http://www.gbrmpa.gov.au/visit-the-reef/visitor-contributions/gbr_visitation/numbers" TargetMode="External"/><Relationship Id="rId563" Type="http://schemas.openxmlformats.org/officeDocument/2006/relationships/hyperlink" Target="https://link.springer.com/article/10.1007/s00343-010-9113-3" TargetMode="External"/><Relationship Id="rId770" Type="http://schemas.openxmlformats.org/officeDocument/2006/relationships/hyperlink" Target="http://frdc.com.au/project?id=425" TargetMode="External"/><Relationship Id="rId1193" Type="http://schemas.openxmlformats.org/officeDocument/2006/relationships/hyperlink" Target="http://qgsp.maps.arcgis.com/apps/webappviewer/index.html?id=fdaf974d7ef040f9a5522cefcc6cc80c" TargetMode="External"/><Relationship Id="rId2037" Type="http://schemas.microsoft.com/office/2016/09/relationships/commentsIds" Target="commentsIds.xml"/><Relationship Id="rId216" Type="http://schemas.openxmlformats.org/officeDocument/2006/relationships/hyperlink" Target="https://www.environment.gov.au/system/files/resources/879f95f9-f548-4b41-8215-3c3e3c2100bc/files/fact-sheet-gbr-gully-streambank.pdf" TargetMode="External"/><Relationship Id="rId423" Type="http://schemas.openxmlformats.org/officeDocument/2006/relationships/hyperlink" Target="http://nesptropical.edu.au/index.php/round-2-projects/project-2-3-3/" TargetMode="External"/><Relationship Id="rId868" Type="http://schemas.openxmlformats.org/officeDocument/2006/relationships/hyperlink" Target="http://www.environment.gov.au/marine/gbr/protecting-the-reef/intergovernmental-agreement" TargetMode="External"/><Relationship Id="rId1053" Type="http://schemas.openxmlformats.org/officeDocument/2006/relationships/hyperlink" Target="http://www.gbrmpa.gov.au/zoning-permits-and-plans/plans-of-management/whitsunday-plan-of-management" TargetMode="External"/><Relationship Id="rId1260" Type="http://schemas.openxmlformats.org/officeDocument/2006/relationships/hyperlink" Target="http://www.environment.gov.au/marine/gbr/reef-trust/offsets" TargetMode="External"/><Relationship Id="rId1498" Type="http://schemas.openxmlformats.org/officeDocument/2006/relationships/hyperlink" Target="https://www.statedevelopment.qld.gov.au/industry-development/port-master-planning-for-priority-ports.html" TargetMode="External"/><Relationship Id="rId630" Type="http://schemas.openxmlformats.org/officeDocument/2006/relationships/hyperlink" Target="http://www.gbrmpa.gov.au/about-us/corporate-information/annual-report/annual-report-2015-16" TargetMode="External"/><Relationship Id="rId728" Type="http://schemas.openxmlformats.org/officeDocument/2006/relationships/hyperlink" Target="https://www.daf.qld.gov.au/business-priorities/fisheries/sustainable-fisheries-strategy/sustainable-fisheries-expert-panel" TargetMode="External"/><Relationship Id="rId935" Type="http://schemas.openxmlformats.org/officeDocument/2006/relationships/hyperlink" Target="http://www.gbrmpa.gov.au/managing-the-reef/strategic-assessment" TargetMode="External"/><Relationship Id="rId1358" Type="http://schemas.openxmlformats.org/officeDocument/2006/relationships/hyperlink" Target="http://hdl.handle.net/11017/3224" TargetMode="External"/><Relationship Id="rId1565" Type="http://schemas.openxmlformats.org/officeDocument/2006/relationships/hyperlink" Target="http://elibrary.gbrmpa.gov.au/jspui/handle/11017/2935" TargetMode="External"/><Relationship Id="rId1772" Type="http://schemas.openxmlformats.org/officeDocument/2006/relationships/hyperlink" Target="http://www.agriculture.gov.au/biosecurity/avm/vessels/ballast/australian-ballast-water-management-requirements" TargetMode="External"/><Relationship Id="rId64" Type="http://schemas.openxmlformats.org/officeDocument/2006/relationships/hyperlink" Target="http://elibrary.gbrmpa.gov.au/jspui/handle/11017/3206" TargetMode="External"/><Relationship Id="rId1120" Type="http://schemas.openxmlformats.org/officeDocument/2006/relationships/hyperlink" Target="http://www.reefplan.qld.gov.au/measuring-success/paddock-to-reef/" TargetMode="External"/><Relationship Id="rId1218" Type="http://schemas.openxmlformats.org/officeDocument/2006/relationships/hyperlink" Target="http://www.reefplan.qld.gov.au/about/" TargetMode="External"/><Relationship Id="rId1425" Type="http://schemas.openxmlformats.org/officeDocument/2006/relationships/hyperlink" Target="http://www.parliament.qld.gov.au/Documents/TableOffice/TabledPapers/2014/5414T5335.pdf" TargetMode="External"/><Relationship Id="rId1632" Type="http://schemas.openxmlformats.org/officeDocument/2006/relationships/hyperlink" Target="http://www.gbrmpa.gov.au/zoning-permits-and-plans/plans-of-management/whitsunday-plan-of-management" TargetMode="External"/><Relationship Id="rId1937" Type="http://schemas.openxmlformats.org/officeDocument/2006/relationships/hyperlink" Target="http://hdl.handle.net/11017/2855" TargetMode="External"/><Relationship Id="rId280" Type="http://schemas.openxmlformats.org/officeDocument/2006/relationships/hyperlink" Target="http://www.gbrmpa.gov.au/__data/assets/pdf_file/0017/5471/marine-tourism-contingency-plan-2004.pdf" TargetMode="External"/><Relationship Id="rId140" Type="http://schemas.openxmlformats.org/officeDocument/2006/relationships/hyperlink" Target="http://www.gbrmpa.gov.au/__data/assets/pdf_file/0006/28257/Informing-the-Outlook-for-Great-Barrier-Reef-coastal-ecosystems.pdf" TargetMode="External"/><Relationship Id="rId378" Type="http://schemas.openxmlformats.org/officeDocument/2006/relationships/hyperlink" Target="http://www.gbrmpa.gov.au/zoning-permits-and-plans/zoning" TargetMode="External"/><Relationship Id="rId585" Type="http://schemas.openxmlformats.org/officeDocument/2006/relationships/hyperlink" Target="http://elibrary.gbrmpa.gov.au/jspui/browse?type=series&amp;order=ASC&amp;rpp=20&amp;value=Marine+Monitoring+Program+-+Inshore+Seagrass" TargetMode="External"/><Relationship Id="rId792" Type="http://schemas.openxmlformats.org/officeDocument/2006/relationships/hyperlink" Target="https://www.daf.qld.gov.au/fisheries/monitoring-our-fisheries/data-reports/sustainability-reporting/stock-assessment-reports" TargetMode="External"/><Relationship Id="rId6" Type="http://schemas.openxmlformats.org/officeDocument/2006/relationships/numbering" Target="numbering.xml"/><Relationship Id="rId238" Type="http://schemas.openxmlformats.org/officeDocument/2006/relationships/hyperlink" Target="http://darts.information.qld.gov.au/darts/" TargetMode="External"/><Relationship Id="rId445" Type="http://schemas.openxmlformats.org/officeDocument/2006/relationships/hyperlink" Target="https://www.google.com.au/url?sa=t&amp;rct=j&amp;q=&amp;esrc=s&amp;source=web&amp;cd=1&amp;cad=rja&amp;uact=8&amp;ved=0ahUKEwiO2cP747DXAhUHl5QKHeLXA9cQFggmMAA&amp;url=https%3A%2F%2Fsecure.gbrmpa.gov.au%2FENQEXT&amp;usg=AOvVaw11GJm-p2J4yjWxrMcYGWAy" TargetMode="External"/><Relationship Id="rId652" Type="http://schemas.openxmlformats.org/officeDocument/2006/relationships/hyperlink" Target="http://www.gbrmpa.gov.au/__data/assets/pdf_file/0020/7049/Defence-Management-Agreement-with-GBRMPA.pdf" TargetMode="External"/><Relationship Id="rId1075" Type="http://schemas.openxmlformats.org/officeDocument/2006/relationships/hyperlink" Target="http://www.gbrmpa.gov.au/media-room/latest-news/sea-country-partnerships/2017/woppaburra-traditional-owner-values-protected-under-new-guidelines" TargetMode="External"/><Relationship Id="rId1282" Type="http://schemas.openxmlformats.org/officeDocument/2006/relationships/hyperlink" Target="http://www.gbrmpa.gov.au/zoning-permits-and-plans/site-specific-management/" TargetMode="External"/><Relationship Id="rId305" Type="http://schemas.openxmlformats.org/officeDocument/2006/relationships/hyperlink" Target="http://hdl.handle.net/11017/3221" TargetMode="External"/><Relationship Id="rId512" Type="http://schemas.openxmlformats.org/officeDocument/2006/relationships/hyperlink" Target="https://link.springer.com/article/10.1007/s00343-010-9113-3" TargetMode="External"/><Relationship Id="rId957" Type="http://schemas.openxmlformats.org/officeDocument/2006/relationships/hyperlink" Target="http://www.environment.gov.au/heritage/historic-shipwrecks/laws" TargetMode="External"/><Relationship Id="rId1142" Type="http://schemas.openxmlformats.org/officeDocument/2006/relationships/hyperlink" Target="http://www.environment.gov.au/marine/gbr/protecting-the-reef/intergovernmental-agreement" TargetMode="External"/><Relationship Id="rId1587" Type="http://schemas.openxmlformats.org/officeDocument/2006/relationships/hyperlink" Target="https://www.townsville-port.com.au/potl-2015-16-annual-report-released/" TargetMode="External"/><Relationship Id="rId1794" Type="http://schemas.openxmlformats.org/officeDocument/2006/relationships/hyperlink" Target="https://www.amsa.gov.au/about-amsa/recent-events/2014/jun-twoway/index.asp" TargetMode="External"/><Relationship Id="rId86" Type="http://schemas.openxmlformats.org/officeDocument/2006/relationships/hyperlink" Target="https://www.ehp.qld.gov.au/management/planning-guidelines/method-mapping-mses.html" TargetMode="External"/><Relationship Id="rId817" Type="http://schemas.openxmlformats.org/officeDocument/2006/relationships/hyperlink" Target="https://publications.qld.gov.au/dataset/queensland-sustainable-fisheries-strategy/resource/319c7e02-f07b-4b2e-8fd5-a435d2c2f3c9" TargetMode="External"/><Relationship Id="rId1002" Type="http://schemas.openxmlformats.org/officeDocument/2006/relationships/hyperlink" Target="http://hdl.handle.net/11017/3372" TargetMode="External"/><Relationship Id="rId1447" Type="http://schemas.openxmlformats.org/officeDocument/2006/relationships/hyperlink" Target="http://elibrary.gbrmpa.gov.au/jspui/handle/11017/3241" TargetMode="External"/><Relationship Id="rId1654"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1861" Type="http://schemas.openxmlformats.org/officeDocument/2006/relationships/hyperlink" Target="http://www.amsa.gov.au/forms-and-publications/Publications/AMSA439.pdf" TargetMode="External"/><Relationship Id="rId1307" Type="http://schemas.openxmlformats.org/officeDocument/2006/relationships/hyperlink" Target="https://research.jcu.edu.au/tropwater/research-programs/seagrass-ecology-1/queensland-ports-seagrass-monitoring" TargetMode="External"/><Relationship Id="rId1514" Type="http://schemas.openxmlformats.org/officeDocument/2006/relationships/hyperlink" Target="https://www.statedevelopment.qld.gov.au/industry-development/port-master-planning-for-priority-ports.html" TargetMode="External"/><Relationship Id="rId1721" Type="http://schemas.openxmlformats.org/officeDocument/2006/relationships/hyperlink" Target="http://hdl.handle.net/11017/2855" TargetMode="External"/><Relationship Id="rId1959" Type="http://schemas.openxmlformats.org/officeDocument/2006/relationships/hyperlink" Target="http://elibrary.gbrmpa.gov.au/jspui/handle/11017/3339" TargetMode="External"/><Relationship Id="rId13" Type="http://schemas.openxmlformats.org/officeDocument/2006/relationships/image" Target="media/image2.png"/><Relationship Id="rId1819" Type="http://schemas.openxmlformats.org/officeDocument/2006/relationships/hyperlink" Target="https://www.environment.gov.au/marine/gbr/long-term-sustainability-plan" TargetMode="External"/><Relationship Id="rId162" Type="http://schemas.openxmlformats.org/officeDocument/2006/relationships/hyperlink" Target="https://wetlandinfo.ehp.qld.gov.au/resources/static/pdf/management/policy/wetlands-gbr-strategy2016-21v13.pdf" TargetMode="External"/><Relationship Id="rId467" Type="http://schemas.openxmlformats.org/officeDocument/2006/relationships/hyperlink" Target="https://www2.deloitte.com/content/dam/Deloitte/au/Documents/Economics/deloitte-au-economics-great-barrier-reef-230617.pdf" TargetMode="External"/><Relationship Id="rId1097" Type="http://schemas.openxmlformats.org/officeDocument/2006/relationships/hyperlink" Target="http://elibrary.gbrmpa.gov.au/jspui/handle/11017/3339" TargetMode="External"/><Relationship Id="rId674" Type="http://schemas.openxmlformats.org/officeDocument/2006/relationships/hyperlink" Target="http://www.google.com.au/url?sa=t&amp;rct=j&amp;q=&amp;esrc=s&amp;source=web&amp;cd=1&amp;cad=rja&amp;uact=8&amp;ved=0ahUKEwjr-92E5o_WAhWFjZQKHTsxAo0QFggmMAA&amp;url=http%3A%2F%2Fnla.gov.au%2Fanbd.bib-an44731729&amp;usg=AFQjCNGR1VsxTxdizlFOTZZV5KxRvtnpZw" TargetMode="External"/><Relationship Id="rId881" Type="http://schemas.openxmlformats.org/officeDocument/2006/relationships/hyperlink" Target="https://publications.qld.gov.au/dataset/queensland-sustainable-fisheries-strategy/resource/319c7e02-f07b-4b2e-8fd5-a435d2c2f3c9" TargetMode="External"/><Relationship Id="rId979" Type="http://schemas.openxmlformats.org/officeDocument/2006/relationships/hyperlink" Target="http://www.environment.gov.au/heritage/shipwrecks/database.html" TargetMode="External"/><Relationship Id="rId327" Type="http://schemas.openxmlformats.org/officeDocument/2006/relationships/hyperlink" Target="http://www.gbrmpa.gov.au/our-partners/queensland-government-agencies" TargetMode="External"/><Relationship Id="rId534" Type="http://schemas.openxmlformats.org/officeDocument/2006/relationships/hyperlink" Target="http://www.google.com.au/url?sa=t&amp;rct=j&amp;q=&amp;esrc=s&amp;source=web&amp;cd=1&amp;cad=rja&amp;uact=8&amp;ved=0ahUKEwjQh4e69I_WAhWHTrwKHTm5ChgQFggmMAA&amp;url=http%3A%2F%2Fwww.navy.gov.au%2Fsites%2Fdefault%2Ffiles%2Fdocuments%2FProcedure_Card.pdf&amp;usg=AFQjCNHQrkBMRNxGSWPw0GhHBWdItOCylw" TargetMode="External"/><Relationship Id="rId741" Type="http://schemas.openxmlformats.org/officeDocument/2006/relationships/hyperlink" Target="https://publications.qld.gov.au/dataset/queensland-sustainable-fisheries-strategy/resource/319c7e02-f07b-4b2e-8fd5-a435d2c2f3c9" TargetMode="External"/><Relationship Id="rId839" Type="http://schemas.openxmlformats.org/officeDocument/2006/relationships/hyperlink" Target="https://publications.qld.gov.au/dataset/baseline-report-for-fisheries-qld-recreational-boat-based-fishing-survey" TargetMode="External"/><Relationship Id="rId1164" Type="http://schemas.openxmlformats.org/officeDocument/2006/relationships/hyperlink" Target="http://www.reefplan.qld.gov.au/about/committees/" TargetMode="External"/><Relationship Id="rId1371" Type="http://schemas.openxmlformats.org/officeDocument/2006/relationships/hyperlink" Target="https://research.jcu.edu.au/tropwater/research-programs/seagrass-ecology-1/queensland-ports-seagrass-monitoring" TargetMode="External"/><Relationship Id="rId1469" Type="http://schemas.openxmlformats.org/officeDocument/2006/relationships/hyperlink" Target="http://www.portsaustralia.com.au/assets/Publications/Ports-Australia-Dredging-Code-of-Practice.pdf" TargetMode="External"/><Relationship Id="rId2008" Type="http://schemas.openxmlformats.org/officeDocument/2006/relationships/hyperlink" Target="https://www.youtube.com/watch?v=ic1Ik7Aemuw" TargetMode="External"/><Relationship Id="rId601" Type="http://schemas.openxmlformats.org/officeDocument/2006/relationships/hyperlink" Target="http://www.defence.gov.au/estatemanagement/governance/Policy/Environment/Heritage/Docs/DefenceHeritageStrategy.pdf" TargetMode="External"/><Relationship Id="rId1024" Type="http://schemas.openxmlformats.org/officeDocument/2006/relationships/hyperlink" Target="http://www.archerpoint.com.au/" TargetMode="External"/><Relationship Id="rId1231" Type="http://schemas.openxmlformats.org/officeDocument/2006/relationships/hyperlink" Target="http://www.gbrmpa.gov.au/managing-the-reef/how-the-reefs-managed/Managing-multiple-uses/ports-along-the-Great-Barrier-Reef/expanding-knowledge-of-dredging" TargetMode="External"/><Relationship Id="rId1676"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1883" Type="http://schemas.openxmlformats.org/officeDocument/2006/relationships/hyperlink" Target="http://environment.gov.au/heritage/historic-shipwrecks/australian-national-shipwreck-database" TargetMode="External"/><Relationship Id="rId906" Type="http://schemas.openxmlformats.org/officeDocument/2006/relationships/hyperlink" Target="https://www.daf.qld.gov.au/fisheries/recreational" TargetMode="External"/><Relationship Id="rId1329" Type="http://schemas.openxmlformats.org/officeDocument/2006/relationships/hyperlink" Target="http://riverhealth.org.au/report_card/ehi/2015/overview" TargetMode="External"/><Relationship Id="rId1536" Type="http://schemas.openxmlformats.org/officeDocument/2006/relationships/hyperlink" Target="https://terrain.org.au/projects/water-quality-improvement-plan/" TargetMode="External"/><Relationship Id="rId1743" Type="http://schemas.openxmlformats.org/officeDocument/2006/relationships/hyperlink" Target="https://www.amsa.gov.au/navigation/shipping-management/nesm/" TargetMode="External"/><Relationship Id="rId1950" Type="http://schemas.openxmlformats.org/officeDocument/2006/relationships/hyperlink" Target="https://www.youtube.com/watch?v=ic1Ik7Aemuw" TargetMode="External"/><Relationship Id="rId35" Type="http://schemas.openxmlformats.org/officeDocument/2006/relationships/hyperlink" Target="http://statedevelopment.qld.gov.au/industry-development/port-master-planning-for-priority-ports.html" TargetMode="External"/><Relationship Id="rId1603" Type="http://schemas.openxmlformats.org/officeDocument/2006/relationships/hyperlink" Target="https://www.ehp.qld.gov.au/water/policy/pdf/capricorn-curtis-ev-economic-social-impacts.pdf" TargetMode="External"/><Relationship Id="rId1810" Type="http://schemas.openxmlformats.org/officeDocument/2006/relationships/hyperlink" Target="https://www.amsa.gov.au/navigation/services/ukcm/index.asp" TargetMode="External"/><Relationship Id="rId184" Type="http://schemas.openxmlformats.org/officeDocument/2006/relationships/hyperlink" Target="http://www.greeningaustralia.org.au/" TargetMode="External"/><Relationship Id="rId391" Type="http://schemas.openxmlformats.org/officeDocument/2006/relationships/hyperlink" Target="http://www.environment.gov.au/marine/gbr/publications/reef-2050-long-term-sustainability-plan" TargetMode="External"/><Relationship Id="rId1908" Type="http://schemas.openxmlformats.org/officeDocument/2006/relationships/hyperlink" Target="http://www.amsa.gov.au/navigation/services/aton/lighthouses/" TargetMode="External"/><Relationship Id="rId251" Type="http://schemas.openxmlformats.org/officeDocument/2006/relationships/hyperlink" Target="https://www.qld.gov.au/environment/plants-animals/plants/herbarium/mapping-ecosystems" TargetMode="External"/><Relationship Id="rId489" Type="http://schemas.openxmlformats.org/officeDocument/2006/relationships/hyperlink" Target="http://www.gbrmpa.gov.au/about-the-reef/Managing-multiple-uses/defence" TargetMode="External"/><Relationship Id="rId696" Type="http://schemas.openxmlformats.org/officeDocument/2006/relationships/hyperlink" Target="https://www.daf.qld.gov.au/business-priorities/fisheries/sustainable-fisheries-strategy/ecological-risk-assessment-guidelines" TargetMode="External"/><Relationship Id="rId349" Type="http://schemas.openxmlformats.org/officeDocument/2006/relationships/hyperlink" Target="http://www.gbrmpa.gov.au/corp_site/key_issues/tourism/how_to_choose_a_tour/certification" TargetMode="External"/><Relationship Id="rId556" Type="http://schemas.openxmlformats.org/officeDocument/2006/relationships/hyperlink" Target="http://www.defence.gov.au/Exercises/TS17" TargetMode="External"/><Relationship Id="rId763" Type="http://schemas.openxmlformats.org/officeDocument/2006/relationships/hyperlink" Target="https://publications.qld.gov.au/dataset/queensland-sustainable-fisheries-strategy/resource/319c7e02-f07b-4b2e-8fd5-a435d2c2f3c9" TargetMode="External"/><Relationship Id="rId1186" Type="http://schemas.openxmlformats.org/officeDocument/2006/relationships/hyperlink" Target="http://darts.information.qld.gov.au/darts/" TargetMode="External"/><Relationship Id="rId1393" Type="http://schemas.openxmlformats.org/officeDocument/2006/relationships/hyperlink" Target="http://www.gidarjil.com.au/news/muendem-gaangu" TargetMode="External"/><Relationship Id="rId111" Type="http://schemas.openxmlformats.org/officeDocument/2006/relationships/hyperlink" Target="http://www.gbrmpa.gov.au/our-partners/reef-guardians" TargetMode="External"/><Relationship Id="rId209" Type="http://schemas.openxmlformats.org/officeDocument/2006/relationships/hyperlink" Target="http://www.fba.org.au/planning-for-water-quality-improvement/" TargetMode="External"/><Relationship Id="rId416" Type="http://schemas.openxmlformats.org/officeDocument/2006/relationships/hyperlink" Target="http://www.gbrmpa.gov.au/managing-the-reef/reef-2050/reef-integrated-monitoring-and-reporting-program" TargetMode="External"/><Relationship Id="rId970" Type="http://schemas.openxmlformats.org/officeDocument/2006/relationships/hyperlink" Target="http://thedock.gbrmpa.gov.au/sites/Projects/P000020/_layouts/DocIdRedir.aspx?ID=PROJ-56-100" TargetMode="External"/><Relationship Id="rId1046" Type="http://schemas.openxmlformats.org/officeDocument/2006/relationships/hyperlink" Target="http://elibrary.gbrmpa.gov.au/jspui/handle/11017/3339" TargetMode="External"/><Relationship Id="rId1253" Type="http://schemas.openxmlformats.org/officeDocument/2006/relationships/hyperlink" Target="http://elibrary.gbrmpa.gov.au/jspui/handle/11017/3225" TargetMode="External"/><Relationship Id="rId1698"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623" Type="http://schemas.openxmlformats.org/officeDocument/2006/relationships/hyperlink" Target="http://www.defence.gov.au/Exercises/TS17/EnvironmentalPlanning.asp" TargetMode="External"/><Relationship Id="rId830" Type="http://schemas.openxmlformats.org/officeDocument/2006/relationships/hyperlink" Target="http://www.fish.gov.au/reports/Documents/2014_refs/Pratchett%20et%20al%202013%20FRDC%202010-554.pdf" TargetMode="External"/><Relationship Id="rId928" Type="http://schemas.openxmlformats.org/officeDocument/2006/relationships/hyperlink" Target="http://hdl.handle.net/11017/3371" TargetMode="External"/><Relationship Id="rId1460" Type="http://schemas.openxmlformats.org/officeDocument/2006/relationships/hyperlink" Target="https://terrain.org.au/projects/water-quality-improvement-plan/" TargetMode="External"/><Relationship Id="rId1558" Type="http://schemas.openxmlformats.org/officeDocument/2006/relationships/hyperlink" Target="http://elibrary.gbrmpa.gov.au/jspui/handle/11017/595" TargetMode="External"/><Relationship Id="rId1765" Type="http://schemas.openxmlformats.org/officeDocument/2006/relationships/hyperlink" Target="http://elibrary.gbrmpa.gov.au/jspui/handle/11017/2861" TargetMode="External"/><Relationship Id="rId57" Type="http://schemas.openxmlformats.org/officeDocument/2006/relationships/hyperlink" Target="https://www.ehp.qld.gov.au/management/planning-guidelines/method-mapping-mses.html" TargetMode="External"/><Relationship Id="rId1113" Type="http://schemas.openxmlformats.org/officeDocument/2006/relationships/hyperlink" Target="http://www.gbrmpa.gov.au/our-partners/reef-advisory-committee/indigenous-reef-advisory-committee" TargetMode="External"/><Relationship Id="rId1320" Type="http://schemas.openxmlformats.org/officeDocument/2006/relationships/hyperlink" Target="https://www.statedevelopment.qld.gov.au/industry-development/port-master-planning-for-priority-ports.html" TargetMode="External"/><Relationship Id="rId1418" Type="http://schemas.openxmlformats.org/officeDocument/2006/relationships/hyperlink" Target="http://hdl.handle.net/11017/3009" TargetMode="External"/><Relationship Id="rId1972" Type="http://schemas.openxmlformats.org/officeDocument/2006/relationships/hyperlink" Target="https://www.environment.gov.au/system/files/resources/d98b3e53-146b-4b9c-a84a-2a22454b9a83/files/reef-2050-long-term-sustainability-plan.pdf" TargetMode="External"/><Relationship Id="rId1625" Type="http://schemas.openxmlformats.org/officeDocument/2006/relationships/hyperlink" Target="http://www.gbrmpa.gov.au/__data/assets/pdf_file/0005/3893/gbrmpa_DugongPositionStatement_2007.pdf" TargetMode="External"/><Relationship Id="rId1832" Type="http://schemas.openxmlformats.org/officeDocument/2006/relationships/hyperlink" Target="https://www.amsa.gov.au/about-amsa/corporate-information/compliance-and-enforcement-policy/" TargetMode="External"/><Relationship Id="rId273" Type="http://schemas.openxmlformats.org/officeDocument/2006/relationships/hyperlink" Target="http://hdl.handle.net/11017/3237" TargetMode="External"/><Relationship Id="rId480" Type="http://schemas.openxmlformats.org/officeDocument/2006/relationships/hyperlink" Target="https://link.springer.com/article/10.1007/s00343-010-9113-3" TargetMode="External"/><Relationship Id="rId133" Type="http://schemas.openxmlformats.org/officeDocument/2006/relationships/hyperlink" Target="http://www.dilgp.qld.gov.au/planning/state-planning-instruments/state-planning-policy.html" TargetMode="External"/><Relationship Id="rId340" Type="http://schemas.openxmlformats.org/officeDocument/2006/relationships/hyperlink" Target="http://hdl.handle.net/11017/3224" TargetMode="External"/><Relationship Id="rId578" Type="http://schemas.openxmlformats.org/officeDocument/2006/relationships/hyperlink" Target="http://www.defence.gov.au/Exercises/TS17" TargetMode="External"/><Relationship Id="rId785" Type="http://schemas.openxmlformats.org/officeDocument/2006/relationships/hyperlink" Target="https://publications.qld.gov.au/dataset/queensland-sustainable-fisheries-strategy/resource/319c7e02-f07b-4b2e-8fd5-a435d2c2f3c9" TargetMode="External"/><Relationship Id="rId992" Type="http://schemas.openxmlformats.org/officeDocument/2006/relationships/hyperlink" Target="https://www.youtube.com/watch?v=vPsKxFXqU0g&amp;feature=player_embedded" TargetMode="External"/><Relationship Id="rId2021" Type="http://schemas.openxmlformats.org/officeDocument/2006/relationships/hyperlink" Target="https://www.youtube.com/watch?v=ic1Ik7Aemuw" TargetMode="External"/><Relationship Id="rId200" Type="http://schemas.openxmlformats.org/officeDocument/2006/relationships/hyperlink" Target="http://www.gbrmpa.gov.au/our-partners/reef-guardians" TargetMode="External"/><Relationship Id="rId438" Type="http://schemas.openxmlformats.org/officeDocument/2006/relationships/hyperlink" Target="http://www.google.com.au/url?sa=t&amp;rct=j&amp;q=&amp;esrc=s&amp;source=web&amp;cd=1&amp;cad=rja&amp;uact=8&amp;ved=0ahUKEwj-vszx4bDXAhXIHZQKHbikC80QFggmMAA&amp;url=http%3A%2F%2Fwww.reefhq.com.au%2F&amp;usg=AOvVaw1BOapGNYBWNPr74m-jCCTk" TargetMode="External"/><Relationship Id="rId645" Type="http://schemas.openxmlformats.org/officeDocument/2006/relationships/hyperlink" Target="http://www.defence.gov.au/estatemanagement/governance/Policy/Environment/Heritage/Docs/HeritageToolkit.pdf" TargetMode="External"/><Relationship Id="rId852" Type="http://schemas.openxmlformats.org/officeDocument/2006/relationships/hyperlink" Target="https://publications.qld.gov.au/dataset/queensland-sustainable-fisheries-strategy/resource/319c7e02-f07b-4b2e-8fd5-a435d2c2f3c9" TargetMode="External"/><Relationship Id="rId1068" Type="http://schemas.openxmlformats.org/officeDocument/2006/relationships/hyperlink" Target="http://elibrary.gbrmpa.gov.au/jspui/handle/11017/3339" TargetMode="External"/><Relationship Id="rId1275" Type="http://schemas.openxmlformats.org/officeDocument/2006/relationships/hyperlink" Target="http://thedock.gbrmpa.gov.au/sites/Projects/P000097/MEA/Evidence-collection-templates/Sustainable%20Ports%20Development%20Act%202015" TargetMode="External"/><Relationship Id="rId1482" Type="http://schemas.openxmlformats.org/officeDocument/2006/relationships/hyperlink" Target="http://www.portsaustralia.com.au/assets/Publications/Dredge-Report-Low-Res.pdf" TargetMode="External"/><Relationship Id="rId505" Type="http://schemas.openxmlformats.org/officeDocument/2006/relationships/hyperlink" Target="http://nesptropical.edu.au/index.php/round-3-projects/project-3-2-4/" TargetMode="External"/><Relationship Id="rId712" Type="http://schemas.openxmlformats.org/officeDocument/2006/relationships/hyperlink" Target="https://www.daf.qld.gov.au/fisheries/monitoring-our-fisheries/commercial-fisheries/data-reports/sustainability-reporting/ecological-risk-assessments" TargetMode="External"/><Relationship Id="rId1135" Type="http://schemas.openxmlformats.org/officeDocument/2006/relationships/hyperlink" Target="http://www.reefplan.qld.gov.au/about/" TargetMode="External"/><Relationship Id="rId1342" Type="http://schemas.openxmlformats.org/officeDocument/2006/relationships/hyperlink" Target="http://www.environment.gov.au/marine/gbr/publications/reef-2050-long-term-sustainability-plan" TargetMode="External"/><Relationship Id="rId1787" Type="http://schemas.openxmlformats.org/officeDocument/2006/relationships/hyperlink" Target="http://www.amsa.gov.au/navigation/shipping-management/pilotage/fatigue-management/index.asp" TargetMode="External"/><Relationship Id="rId1994" Type="http://schemas.openxmlformats.org/officeDocument/2006/relationships/hyperlink" Target="http://www.gbrmpa.gov.au/managing-the-reef/reef-integrated-monitoring-and-reporting-program/heritage2" TargetMode="External"/><Relationship Id="rId79" Type="http://schemas.openxmlformats.org/officeDocument/2006/relationships/hyperlink" Target="https://wetlandinfo.ehp.qld.gov.au/wetlands/management/wetland-values/" TargetMode="External"/><Relationship Id="rId1202" Type="http://schemas.openxmlformats.org/officeDocument/2006/relationships/hyperlink" Target="http://www.reefplan.qld.gov.au" TargetMode="External"/><Relationship Id="rId1647" Type="http://schemas.openxmlformats.org/officeDocument/2006/relationships/hyperlink" Target="http://www.gbrmpa.gov.au/about-us/local-marine-advisory-committees" TargetMode="External"/><Relationship Id="rId1854" Type="http://schemas.openxmlformats.org/officeDocument/2006/relationships/hyperlink" Target="http://hdl.handle.net/11017/3261" TargetMode="External"/><Relationship Id="rId1507" Type="http://schemas.openxmlformats.org/officeDocument/2006/relationships/hyperlink" Target="http://elibrary.gbrmpa.gov.au/jspui/handle/11017/3214" TargetMode="External"/><Relationship Id="rId1714" Type="http://schemas.openxmlformats.org/officeDocument/2006/relationships/hyperlink" Target="http://hdl.handle.net/11017/3229" TargetMode="External"/><Relationship Id="rId295" Type="http://schemas.openxmlformats.org/officeDocument/2006/relationships/hyperlink" Target="file:///C:/Users/lowj/AppData/Local/Microsoft/Windows/INetCache/Content.Outlook/2CABNX4R/o%09http:/www.gbrmpa.gov.au/about-the-reef/how-the-reefs-managed/tourism-on-the-great-barrier-reef" TargetMode="External"/><Relationship Id="rId1921" Type="http://schemas.openxmlformats.org/officeDocument/2006/relationships/hyperlink" Target="https://www.amsa.gov.au/navigation/shipping-management/nesm/documents/nesm-plan-work-program.pdf" TargetMode="External"/><Relationship Id="rId155" Type="http://schemas.openxmlformats.org/officeDocument/2006/relationships/hyperlink" Target="http://www.gbrmpa.gov.au/managing-the-reef/reef-2050/reef-integrated-monitoring-and-reporting-program" TargetMode="External"/><Relationship Id="rId362" Type="http://schemas.openxmlformats.org/officeDocument/2006/relationships/hyperlink" Target="http://elibrary.gbrmpa.gov.au/jspui/bitstream/11017/3213/1/Reef-2050-cumulative-impact-mngt-draft-for-public-consultation.pdf" TargetMode="External"/><Relationship Id="rId1297" Type="http://schemas.openxmlformats.org/officeDocument/2006/relationships/hyperlink" Target="http://nqbp.com.au/trade-port-development/" TargetMode="External"/><Relationship Id="rId222" Type="http://schemas.openxmlformats.org/officeDocument/2006/relationships/hyperlink" Target="https://www.qld.gov.au/environment/plants-animals/plants/herbarium" TargetMode="External"/><Relationship Id="rId667" Type="http://schemas.openxmlformats.org/officeDocument/2006/relationships/hyperlink" Target="https://www.legislation.gov.au/Details/C2016C00551" TargetMode="External"/><Relationship Id="rId874" Type="http://schemas.openxmlformats.org/officeDocument/2006/relationships/hyperlink" Target="https://publications.qld.gov.au/dataset/queensland-sustainable-fisheries-strategy/resource/319c7e02-f07b-4b2e-8fd5-a435d2c2f3c9" TargetMode="External"/><Relationship Id="rId527" Type="http://schemas.openxmlformats.org/officeDocument/2006/relationships/hyperlink" Target="http://www.gbrmpa.gov.au/__data/assets/pdf_file/0008/248633/2014_Strategic-Environmental-Assessment_Defence.pdf" TargetMode="External"/><Relationship Id="rId734" Type="http://schemas.openxmlformats.org/officeDocument/2006/relationships/hyperlink" Target="https://publications.qld.gov.au/dataset/queensland-sustainable-fisheries-strategy/resource/319c7e02-f07b-4b2e-8fd5-a435d2c2f3c9" TargetMode="External"/><Relationship Id="rId941" Type="http://schemas.openxmlformats.org/officeDocument/2006/relationships/hyperlink" Target="http://www.gbrmpa.gov.au/managing-the-reef/strategic-assessment" TargetMode="External"/><Relationship Id="rId1157" Type="http://schemas.openxmlformats.org/officeDocument/2006/relationships/hyperlink" Target="http://www.environment.gov.au/resource/economic-contribution-great-barrier-reef-march-2013" TargetMode="External"/><Relationship Id="rId1364" Type="http://schemas.openxmlformats.org/officeDocument/2006/relationships/hyperlink" Target="https://www.amsa.gov.au/environment/maritime-environmental-emergencies/national-plan/" TargetMode="External"/><Relationship Id="rId1571" Type="http://schemas.openxmlformats.org/officeDocument/2006/relationships/hyperlink" Target="http://www.gbrmpa.gov.au/__data/assets/pdf_file/0003/28812/Ecological-sustainable-development-of-ports-in-the-Great-Barrier-Reef.pdf" TargetMode="External"/><Relationship Id="rId70" Type="http://schemas.openxmlformats.org/officeDocument/2006/relationships/hyperlink" Target="https://wetlandinfo.ehp.qld.gov.au/wetlands/management/bird-management/bird-legislation/" TargetMode="External"/><Relationship Id="rId801" Type="http://schemas.openxmlformats.org/officeDocument/2006/relationships/hyperlink" Target="http://www.environment.gov.au/marine/gbr/publications/reef-2050-long-term-sustainability-plan" TargetMode="External"/><Relationship Id="rId1017" Type="http://schemas.openxmlformats.org/officeDocument/2006/relationships/hyperlink" Target="http://www.lips.org.au/" TargetMode="External"/><Relationship Id="rId1224" Type="http://schemas.openxmlformats.org/officeDocument/2006/relationships/hyperlink" Target="https://www.statedevelopment.qld.gov.au/industry-development/sustainable-ports-development-act-2015.html" TargetMode="External"/><Relationship Id="rId1431" Type="http://schemas.openxmlformats.org/officeDocument/2006/relationships/hyperlink" Target="http://hdl.handle.net/11017/3224" TargetMode="External"/><Relationship Id="rId1669" Type="http://schemas.openxmlformats.org/officeDocument/2006/relationships/hyperlink" Target="http://www.msq.qld.gov.au/Home/Registration/" TargetMode="External"/><Relationship Id="rId1876" Type="http://schemas.openxmlformats.org/officeDocument/2006/relationships/hyperlink" Target="https://www2.deloitte.com/content/dam/Deloitte/au/Documents/Economics/deloitte-au-economics-great-barrier-reef-230617.pdf" TargetMode="External"/><Relationship Id="rId1529" Type="http://schemas.openxmlformats.org/officeDocument/2006/relationships/hyperlink" Target="http://www.parliament.qld.gov.au/Documents/TableOffice/TabledPapers/2014/5414T5335.pdf" TargetMode="External"/><Relationship Id="rId1736" Type="http://schemas.openxmlformats.org/officeDocument/2006/relationships/hyperlink" Target="http://www.sciencedirect.com/science/article/pii/S0025326X13003822" TargetMode="External"/><Relationship Id="rId1943" Type="http://schemas.openxmlformats.org/officeDocument/2006/relationships/hyperlink" Target="http://www.environment.gov.au/sustainability/regional-development/gbr/publications/gbr-anchorage-management.html" TargetMode="External"/><Relationship Id="rId28" Type="http://schemas.openxmlformats.org/officeDocument/2006/relationships/header" Target="header3.xml"/><Relationship Id="rId1803" Type="http://schemas.openxmlformats.org/officeDocument/2006/relationships/hyperlink" Target="https://www.msq.qld.gov.au/Marine-pollution/Contingency-plans" TargetMode="External"/><Relationship Id="rId177" Type="http://schemas.openxmlformats.org/officeDocument/2006/relationships/hyperlink" Target="http://www.landcareonline.com.au/" TargetMode="External"/><Relationship Id="rId384" Type="http://schemas.openxmlformats.org/officeDocument/2006/relationships/hyperlink" Target="http://nesptropical.edu.au/index.php/round-3-projects/project-3-2-2/" TargetMode="External"/><Relationship Id="rId591" Type="http://schemas.openxmlformats.org/officeDocument/2006/relationships/hyperlink" Target="http://www.defence.gov.au/Initiatives/ASMTI/Assessment.asp" TargetMode="External"/><Relationship Id="rId244" Type="http://schemas.openxmlformats.org/officeDocument/2006/relationships/hyperlink" Target="https://wetlandinfo.ehp.qld.gov.au/wetlands/facts-maps/get-mapping-help/wetland-maps/" TargetMode="External"/><Relationship Id="rId689" Type="http://schemas.openxmlformats.org/officeDocument/2006/relationships/hyperlink" Target="http://elibrary.gbrmpa.gov.au/jspui/handle/11017/2855" TargetMode="External"/><Relationship Id="rId896" Type="http://schemas.openxmlformats.org/officeDocument/2006/relationships/hyperlink" Target="http://www.environment.gov.au/coasts/fisheries/qld/east-coast-finfish/pubs/fishery-obs-2011.pdf" TargetMode="External"/><Relationship Id="rId1081" Type="http://schemas.openxmlformats.org/officeDocument/2006/relationships/hyperlink" Target="http://thedock.gbrmpa.gov.au/sites/Projects/P000175/Documents/Final-NOUS-reports/GBRMPA-operational-review-final-report.pdf" TargetMode="External"/><Relationship Id="rId451" Type="http://schemas.openxmlformats.org/officeDocument/2006/relationships/hyperlink" Target="http://www.gbrmpa.gov.au/about-the-reef" TargetMode="External"/><Relationship Id="rId549" Type="http://schemas.openxmlformats.org/officeDocument/2006/relationships/hyperlink" Target="http://www.defence.gov.au/estatemanagement/Governance/Policy/Environment/EIA/Default.asp" TargetMode="External"/><Relationship Id="rId756" Type="http://schemas.openxmlformats.org/officeDocument/2006/relationships/hyperlink" Target="http://www.gbrmpa.gov.au/zoning-permits-and-plans/zoning/zoning-guide-to-using-the-marine-park/interpreting-zones" TargetMode="External"/><Relationship Id="rId1179" Type="http://schemas.openxmlformats.org/officeDocument/2006/relationships/hyperlink" Target="http://www.reefplan.qld.gov.au" TargetMode="External"/><Relationship Id="rId1386" Type="http://schemas.openxmlformats.org/officeDocument/2006/relationships/hyperlink" Target="http://elibrary.gbrmpa.gov.au/jspui/handle/11017/3241" TargetMode="External"/><Relationship Id="rId1593" Type="http://schemas.openxmlformats.org/officeDocument/2006/relationships/hyperlink" Target="https://www.statedevelopment.qld.gov.au/industry-development/port-master-planning-for-priority-ports.html" TargetMode="External"/><Relationship Id="rId104" Type="http://schemas.openxmlformats.org/officeDocument/2006/relationships/hyperlink" Target="http://www.reefplan.qld.gov.au/about/assets/2017-scientific-consensus-statement-summary.pdf" TargetMode="External"/><Relationship Id="rId311" Type="http://schemas.openxmlformats.org/officeDocument/2006/relationships/hyperlink" Target="http://www.dtesb.qld.gov.au/about-us/publications" TargetMode="External"/><Relationship Id="rId409" Type="http://schemas.openxmlformats.org/officeDocument/2006/relationships/hyperlink" Target="https://www.reefplan.qld.gov.au/implementation/research-development/" TargetMode="External"/><Relationship Id="rId963" Type="http://schemas.openxmlformats.org/officeDocument/2006/relationships/hyperlink" Target="http://hdl.handle.net/11017/3372" TargetMode="External"/><Relationship Id="rId1039" Type="http://schemas.openxmlformats.org/officeDocument/2006/relationships/hyperlink" Target="http://www.ehp.qld.gov.au/assets/documents/land/heritage/heritage-strategy.pdf" TargetMode="External"/><Relationship Id="rId1246" Type="http://schemas.openxmlformats.org/officeDocument/2006/relationships/hyperlink" Target="https://planning.dilgp.qld.gov.au/planning/better-planning/state-planning" TargetMode="External"/><Relationship Id="rId1898" Type="http://schemas.openxmlformats.org/officeDocument/2006/relationships/hyperlink" Target="https://www.amsa.gov.au/navigation/shipping-management/nesm/documents/nesm-plan-work-program.pdf" TargetMode="External"/><Relationship Id="rId92" Type="http://schemas.openxmlformats.org/officeDocument/2006/relationships/hyperlink" Target="https://gate.gbrmpa.gov.au/OR2019/Shared%20Documents/Coastal%20Development%20References/BDTNRM-Fish-Passage-Study-Final-Report-V03-1-.pdf" TargetMode="External"/><Relationship Id="rId616" Type="http://schemas.openxmlformats.org/officeDocument/2006/relationships/hyperlink" Target="http://www.gbrmpa.gov.au/about-us/corporate-information/annual-report/annual-report-2015-16" TargetMode="External"/><Relationship Id="rId823" Type="http://schemas.openxmlformats.org/officeDocument/2006/relationships/hyperlink" Target="https://publications.qld.gov.au/dataset/queensland-sustainable-fisheries-strategy/resource/319c7e02-f07b-4b2e-8fd5-a435d2c2f3c9" TargetMode="External"/><Relationship Id="rId1453" Type="http://schemas.openxmlformats.org/officeDocument/2006/relationships/hyperlink" Target="http://elibrary.gbrmpa.gov.au/jspui/handle/11017/3240" TargetMode="External"/><Relationship Id="rId1660"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1758" Type="http://schemas.openxmlformats.org/officeDocument/2006/relationships/hyperlink" Target="http://www.nature.com/articles/533036a" TargetMode="External"/><Relationship Id="rId1106" Type="http://schemas.openxmlformats.org/officeDocument/2006/relationships/hyperlink" Target="http://elibrary.gbrmpa.gov.au/jspui/handle/11017/2861" TargetMode="External"/><Relationship Id="rId1313" Type="http://schemas.openxmlformats.org/officeDocument/2006/relationships/hyperlink" Target="https://www.tmr.qld.gov.au/business-industry/transport-sectors/ports/maintenance-dredging-strategy" TargetMode="External"/><Relationship Id="rId1520" Type="http://schemas.openxmlformats.org/officeDocument/2006/relationships/hyperlink" Target="http://www.fba.org.au/planning-for-water-quality-improvement/" TargetMode="External"/><Relationship Id="rId1965" Type="http://schemas.openxmlformats.org/officeDocument/2006/relationships/hyperlink" Target="http://thedock.gbrmpa.gov.au/sites/Indigenous/Admin/Reporting/_layouts/DocIdRedir.aspx?ID=INDIGENOUS-17-59" TargetMode="External"/><Relationship Id="rId1618" Type="http://schemas.openxmlformats.org/officeDocument/2006/relationships/hyperlink" Target="http://www.environment.gov.au/marine/gbr/publications/reef-2050-long-term-sustainability-plan" TargetMode="External"/><Relationship Id="rId1825" Type="http://schemas.openxmlformats.org/officeDocument/2006/relationships/hyperlink" Target="https://www.environment.gov.au/marine/gbr/long-term-sustainability-plan" TargetMode="External"/><Relationship Id="rId199" Type="http://schemas.openxmlformats.org/officeDocument/2006/relationships/hyperlink" Target="http://www.cleanupaustraliaday.org.au" TargetMode="External"/><Relationship Id="rId266" Type="http://schemas.openxmlformats.org/officeDocument/2006/relationships/hyperlink" Target="https://www2.deloitte.com/content/dam/Deloitte/au/Documents/Economics/deloitte-au-economics-great-barrier-reef-230617.pdf" TargetMode="External"/><Relationship Id="rId473" Type="http://schemas.openxmlformats.org/officeDocument/2006/relationships/hyperlink" Target="https://preservethewonder.initiatives.qld.gov.au/" TargetMode="External"/><Relationship Id="rId680" Type="http://schemas.openxmlformats.org/officeDocument/2006/relationships/hyperlink" Target="http://www.gbrmpa.gov.au/__data/assets/pdf_file/0017/5543/gbrmpa_RP41_The_Status_Of_The_Dugong_In_The_Southern_GBRMP_1996.pdf" TargetMode="External"/><Relationship Id="rId126" Type="http://schemas.openxmlformats.org/officeDocument/2006/relationships/hyperlink" Target="https://planning.dilgp.qld.gov.au/planning/better-planning/state-planning" TargetMode="External"/><Relationship Id="rId333" Type="http://schemas.openxmlformats.org/officeDocument/2006/relationships/hyperlink" Target="http://elibrary.gbrmpa.gov.au/jspui/handle/11017/3247" TargetMode="External"/><Relationship Id="rId540"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778" Type="http://schemas.openxmlformats.org/officeDocument/2006/relationships/hyperlink" Target="https://publications.qld.gov.au/dataset/queensland-sustainable-fisheries-strategy/resource/319c7e02-f07b-4b2e-8fd5-a435d2c2f3c9" TargetMode="External"/><Relationship Id="rId985" Type="http://schemas.openxmlformats.org/officeDocument/2006/relationships/hyperlink" Target="http://hdl.handle.net/11017/3371" TargetMode="External"/><Relationship Id="rId1170" Type="http://schemas.openxmlformats.org/officeDocument/2006/relationships/hyperlink" Target="http://elibrary.gbrmpa.gov.au/jspui/handle/11017/3213" TargetMode="External"/><Relationship Id="rId2014" Type="http://schemas.openxmlformats.org/officeDocument/2006/relationships/hyperlink" Target="http://www.gbrmpa.gov.au/media-room/latest-news/reef-2050-integrated-monitoring-and-reporting-program/2017/dugong-calf-population-shows-significant-increase" TargetMode="External"/><Relationship Id="rId638" Type="http://schemas.openxmlformats.org/officeDocument/2006/relationships/hyperlink" Target="https://research.jcu.edu.au/tropwater/publications/1721Distributionandabundanceofdugongandlargemarineturtles.pdf" TargetMode="External"/><Relationship Id="rId845" Type="http://schemas.openxmlformats.org/officeDocument/2006/relationships/hyperlink" Target="https://publications.qld.gov.au/dataset/baseline-report-for-fisheries-qld-recreational-boat-based-fishing-survey" TargetMode="External"/><Relationship Id="rId1030" Type="http://schemas.openxmlformats.org/officeDocument/2006/relationships/hyperlink" Target="http://hdl.handle.net/11017/3215" TargetMode="External"/><Relationship Id="rId1268" Type="http://schemas.openxmlformats.org/officeDocument/2006/relationships/hyperlink" Target="http://www.environment.gov.au/sustainability/regional-development/gbr/publications/gbr-ports-environmental-standards.html" TargetMode="External"/><Relationship Id="rId1475" Type="http://schemas.openxmlformats.org/officeDocument/2006/relationships/hyperlink" Target="https://file.ac/fSFmYS7Errs/" TargetMode="External"/><Relationship Id="rId1682" Type="http://schemas.openxmlformats.org/officeDocument/2006/relationships/hyperlink" Target="http://www.gbrmpa.gov.au/visit-the-reef/responsible-reef-practices" TargetMode="External"/><Relationship Id="rId400" Type="http://schemas.openxmlformats.org/officeDocument/2006/relationships/hyperlink" Target="http://www.gbrmpa.gov.au/visit-the-reef/site-specific-management" TargetMode="External"/><Relationship Id="rId705" Type="http://schemas.openxmlformats.org/officeDocument/2006/relationships/hyperlink" Target="http://www.fish.gov.au/reports/Documents/2014_refs/Pratchett%20et%20al%202013%20FRDC%202010-554.pdf" TargetMode="External"/><Relationship Id="rId1128" Type="http://schemas.openxmlformats.org/officeDocument/2006/relationships/hyperlink" Target="http://qgsp.maps.arcgis.com/apps/webappviewer/index.html?id=fdaf974d7ef040f9a5522cefcc6cc80c" TargetMode="External"/><Relationship Id="rId1335" Type="http://schemas.openxmlformats.org/officeDocument/2006/relationships/hyperlink" Target="https://www.business.qld.gov.au/running-business/environment/licences-permits/dredging-quarry" TargetMode="External"/><Relationship Id="rId1542" Type="http://schemas.openxmlformats.org/officeDocument/2006/relationships/hyperlink" Target="http://elibrary.gbrmpa.gov.au/jspui/handle/11017/3214" TargetMode="External"/><Relationship Id="rId1987" Type="http://schemas.openxmlformats.org/officeDocument/2006/relationships/hyperlink" Target="https://www.environment.gov.au/system/files/resources/d98b3e53-146b-4b9c-a84a-2a22454b9a83/files/reef-2050-long-term-sustainability-plan.pdf" TargetMode="External"/><Relationship Id="rId912" Type="http://schemas.openxmlformats.org/officeDocument/2006/relationships/hyperlink" Target="https://www.daf.qld.gov.au/fisheries/monitoring-our-fisheries/data-reports/sustainability-reporting/stock-status-assessments/summary-2016" TargetMode="External"/><Relationship Id="rId1847" Type="http://schemas.openxmlformats.org/officeDocument/2006/relationships/hyperlink" Target="https://www.amsa.gov.au/navigation/shipping-management/nesm/" TargetMode="External"/><Relationship Id="rId41" Type="http://schemas.openxmlformats.org/officeDocument/2006/relationships/hyperlink" Target="https://www.amsa.gov.au/sites/default/files/amsa439-north-east-shipping-management-plan.pdf" TargetMode="External"/><Relationship Id="rId1402" Type="http://schemas.openxmlformats.org/officeDocument/2006/relationships/hyperlink" Target="http://www.amsa.gov.au/forms-and-publications/Publications/AMSA439.pdf" TargetMode="External"/><Relationship Id="rId1707" Type="http://schemas.openxmlformats.org/officeDocument/2006/relationships/hyperlink" Target="http://elibrary.gbrmpa.gov.au/jspui/handle/11017/2861" TargetMode="External"/><Relationship Id="rId190" Type="http://schemas.openxmlformats.org/officeDocument/2006/relationships/hyperlink" Target="http://www.landcareonline.com.au" TargetMode="External"/><Relationship Id="rId288" Type="http://schemas.openxmlformats.org/officeDocument/2006/relationships/hyperlink" Target="http://www.nprsr.qld.gov.au/tourism/pdf/ecotourism-plan-2013.pdf" TargetMode="External"/><Relationship Id="rId1914" Type="http://schemas.openxmlformats.org/officeDocument/2006/relationships/hyperlink" Target="http://www.amsa.gov.au/environment/regulations/" TargetMode="External"/><Relationship Id="rId495" Type="http://schemas.openxmlformats.org/officeDocument/2006/relationships/hyperlink" Target="http://www.defence.gov.au/environment/swbta/Defence%20SOE%20report_chapter%201f.pdf" TargetMode="External"/><Relationship Id="rId148" Type="http://schemas.openxmlformats.org/officeDocument/2006/relationships/hyperlink" Target="http://www.reefplan.qld.gov.au/about/" TargetMode="External"/><Relationship Id="rId355" Type="http://schemas.openxmlformats.org/officeDocument/2006/relationships/hyperlink" Target="http://www.gbrmpa.gov.au/corp_site/key_issues/tourism/how_to_choose_a_tour/certification" TargetMode="External"/><Relationship Id="rId562" Type="http://schemas.openxmlformats.org/officeDocument/2006/relationships/hyperlink" Target="https://www.aph.gov.au/Parliamentary_Business/Committees/Senate/Foreign_Affairs_Defence_and_Trade/Defencetraining" TargetMode="External"/><Relationship Id="rId1192" Type="http://schemas.openxmlformats.org/officeDocument/2006/relationships/hyperlink" Target="http://www.gbrmpa.gov.au/managing-the-reef/reef-2050/reef-integrated-monitoring-and-reporting-program" TargetMode="External"/><Relationship Id="rId215" Type="http://schemas.openxmlformats.org/officeDocument/2006/relationships/hyperlink" Target="http://www.reefplan.qld.gov.au/about/" TargetMode="External"/><Relationship Id="rId422" Type="http://schemas.openxmlformats.org/officeDocument/2006/relationships/hyperlink" Target="http://elibrary.gbrmpa.gov.au/jspui/handle/11017/3238" TargetMode="External"/><Relationship Id="rId867" Type="http://schemas.openxmlformats.org/officeDocument/2006/relationships/hyperlink" Target="https://publications.qld.gov.au/dataset/queensland-sustainable-fisheries-strategy/resource/319c7e02-f07b-4b2e-8fd5-a435d2c2f3c9" TargetMode="External"/><Relationship Id="rId1052" Type="http://schemas.openxmlformats.org/officeDocument/2006/relationships/hyperlink" Target="http://elibrary.gbrmpa.gov.au/jspui/handle/11017/3339" TargetMode="External"/><Relationship Id="rId1497" Type="http://schemas.openxmlformats.org/officeDocument/2006/relationships/hyperlink" Target="https://www.portsnorth.com.au/news-publications/annual-reports/" TargetMode="External"/><Relationship Id="rId727" Type="http://schemas.openxmlformats.org/officeDocument/2006/relationships/hyperlink" Target="https://www.daf.qld.gov.au/business-priorities/fisheries/sustainable-fisheries-strategy/fishery-working-groups" TargetMode="External"/><Relationship Id="rId934" Type="http://schemas.openxmlformats.org/officeDocument/2006/relationships/hyperlink" Target="http://www.gbrmpa.gov.au/managing-the-reef/strategic-assessment" TargetMode="External"/><Relationship Id="rId1357" Type="http://schemas.openxmlformats.org/officeDocument/2006/relationships/hyperlink" Target="http://thedock.gbrmpa.gov.au/sites/Projects/P000097/MEA/Evidence-collection-templates/Sustainable%20Ports%20Development%20Act%202015" TargetMode="External"/><Relationship Id="rId1564" Type="http://schemas.openxmlformats.org/officeDocument/2006/relationships/hyperlink" Target="http://www.environment.gov.au/marine/gbr/publications/reef-2050-long-term-sustainability-plan" TargetMode="External"/><Relationship Id="rId1771" Type="http://schemas.openxmlformats.org/officeDocument/2006/relationships/hyperlink" Target="http://www.agriculture.gov.au/biosecurity/avm/vessels/ballast" TargetMode="External"/><Relationship Id="rId63" Type="http://schemas.openxmlformats.org/officeDocument/2006/relationships/hyperlink" Target="https://soe.environment.gov.au/sites/g/files/net806/f/soe2016-biodiversity-launch-version2-24feb17.pdf?v=1488792935" TargetMode="External"/><Relationship Id="rId1217" Type="http://schemas.openxmlformats.org/officeDocument/2006/relationships/hyperlink" Target="http://www.environment.gov.au/system/files/resources/cb36afd7-7f52-468a-9d69-a6bdd7da156b/files/gbr-state-party-report-2015.pdf" TargetMode="External"/><Relationship Id="rId1424" Type="http://schemas.openxmlformats.org/officeDocument/2006/relationships/hyperlink" Target="https://www.statedevelopment.qld.gov.au/industry-development/port-master-planning-for-priority-ports.html" TargetMode="External"/><Relationship Id="rId1631" Type="http://schemas.openxmlformats.org/officeDocument/2006/relationships/hyperlink" Target="http://www.gbrmpa.gov.au/__data/assets/pdf_file/0015/3390/GBRMPA-zoning-plan-2003.pdf" TargetMode="External"/><Relationship Id="rId1869" Type="http://schemas.openxmlformats.org/officeDocument/2006/relationships/hyperlink" Target="http://www.gbrmpa.gov.au/managing-the-reef/reef-2050/reef-integrated-monitoring-and-reporting-program" TargetMode="External"/><Relationship Id="rId1729" Type="http://schemas.openxmlformats.org/officeDocument/2006/relationships/hyperlink" Target="http://hdl.handle.net/11017/2787" TargetMode="External"/><Relationship Id="rId1936" Type="http://schemas.openxmlformats.org/officeDocument/2006/relationships/hyperlink" Target="http://www.sciencedirect.com/science/article/pii/S0025326X13003822" TargetMode="External"/><Relationship Id="rId377" Type="http://schemas.openxmlformats.org/officeDocument/2006/relationships/hyperlink" Target="http://www.comlaw.gov.au/Details/C2011C00149" TargetMode="External"/><Relationship Id="rId584" Type="http://schemas.openxmlformats.org/officeDocument/2006/relationships/hyperlink" Target="http://www.google.com.au/url?sa=t&amp;rct=j&amp;q=&amp;esrc=s&amp;source=web&amp;cd=1&amp;cad=rja&amp;uact=8&amp;ved=0ahUKEwjr-92E5o_WAhWFjZQKHTsxAo0QFggmMAA&amp;url=http%3A%2F%2Fnla.gov.au%2Fanbd.bib-an44731729&amp;usg=AFQjCNGR1VsxTxdizlFOTZZV5KxRvtnpZw" TargetMode="External"/><Relationship Id="rId5" Type="http://schemas.openxmlformats.org/officeDocument/2006/relationships/customXml" Target="../customXml/item5.xml"/><Relationship Id="rId237" Type="http://schemas.openxmlformats.org/officeDocument/2006/relationships/hyperlink" Target="https://wetlandinfo.ehp.qld.gov.au/resources/static/pdf/ecology/connectivity/walking-the-landscape-15-02-13.pdf" TargetMode="External"/><Relationship Id="rId791" Type="http://schemas.openxmlformats.org/officeDocument/2006/relationships/hyperlink" Target="https://www.daf.qld.gov.au/fisheries/monitoring-our-fisheries/data-reports/sustainability-reporting/stock-status-assessments/summary-2016" TargetMode="External"/><Relationship Id="rId889" Type="http://schemas.openxmlformats.org/officeDocument/2006/relationships/hyperlink" Target="http://www.gbrmpa.gov.au/zoning-permits-and-plans/plans-of-management" TargetMode="External"/><Relationship Id="rId1074" Type="http://schemas.openxmlformats.org/officeDocument/2006/relationships/hyperlink" Target="http://elibrary.gbrmpa.gov.au/jspui/bitstream/11017/3241/5/Traditional-Owner-Heritage-Assessment-Guideline.pdf" TargetMode="External"/><Relationship Id="rId444" Type="http://schemas.openxmlformats.org/officeDocument/2006/relationships/hyperlink" Target="https://abgc.org.au/projects-resources/best-management-practices-bmp/" TargetMode="External"/><Relationship Id="rId651" Type="http://schemas.openxmlformats.org/officeDocument/2006/relationships/hyperlink" Target="http://www.defence.gov.au/EstateManagement/Governance/Docs/DefenceEstateStrategy2016-36.pdf" TargetMode="External"/><Relationship Id="rId749" Type="http://schemas.openxmlformats.org/officeDocument/2006/relationships/hyperlink" Target="https://publications.qld.gov.au/dataset/queensland-sustainable-fisheries-strategy/resource/319c7e02-f07b-4b2e-8fd5-a435d2c2f3c9" TargetMode="External"/><Relationship Id="rId1281" Type="http://schemas.openxmlformats.org/officeDocument/2006/relationships/hyperlink" Target="https://www.msq.qld.gov.au/Marine-pollution/Contingency-plans" TargetMode="External"/><Relationship Id="rId1379" Type="http://schemas.openxmlformats.org/officeDocument/2006/relationships/hyperlink" Target="http://www.nerptropical.edu.au/sites/default/files/publications/files/NERP-TE-PROJ-10.1-SELTMP-2014-TOURISM-Completec.pdf" TargetMode="External"/><Relationship Id="rId1586" Type="http://schemas.openxmlformats.org/officeDocument/2006/relationships/hyperlink" Target="https://nqbpannualreport.com.au/" TargetMode="External"/><Relationship Id="rId304" Type="http://schemas.openxmlformats.org/officeDocument/2006/relationships/hyperlink" Target="https://secure.gbrmpa.gov.au/permitsonline/" TargetMode="External"/><Relationship Id="rId511" Type="http://schemas.openxmlformats.org/officeDocument/2006/relationships/hyperlink" Target="http://www.gbrmpa.gov.au/__data/assets/pdf_file/0013/7051/strategic_env_assessment_defence.pdf.pdf" TargetMode="External"/><Relationship Id="rId609"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956" Type="http://schemas.openxmlformats.org/officeDocument/2006/relationships/hyperlink" Target="http://www.environment.gov.au/minister/frydenberg/media-releases/mr20161129.html" TargetMode="External"/><Relationship Id="rId1141" Type="http://schemas.openxmlformats.org/officeDocument/2006/relationships/hyperlink" Target="http://www.environment.gov.au/system/files/resources/cb36afd7-7f52-468a-9d69-a6bdd7da156b/files/gbr-state-party-report-2015.pdf" TargetMode="External"/><Relationship Id="rId1239" Type="http://schemas.openxmlformats.org/officeDocument/2006/relationships/hyperlink" Target="http://healthyriverstoreef.org.au/report-card-results/" TargetMode="External"/><Relationship Id="rId1793" Type="http://schemas.openxmlformats.org/officeDocument/2006/relationships/hyperlink" Target="http://www.amsa.gov.au/forms-and-publications/about-amsa/publications/Annual-Reports/2015-2016/page-contents/AMSA-Annual-Report-2015-16.pdf" TargetMode="External"/><Relationship Id="rId85" Type="http://schemas.openxmlformats.org/officeDocument/2006/relationships/hyperlink" Target="https://www.legislation.qld.gov.au/view/html/inforce/current/sl-2014-0145" TargetMode="External"/><Relationship Id="rId816" Type="http://schemas.openxmlformats.org/officeDocument/2006/relationships/hyperlink" Target="https://www.daf.qld.gov.au/business-priorities/fisheries/sustainable-fisheries-strategy/changes-to-queenslands-fisheries-legislation" TargetMode="External"/><Relationship Id="rId1001" Type="http://schemas.openxmlformats.org/officeDocument/2006/relationships/hyperlink" Target="http://hdl.handle.net/11017/3371" TargetMode="External"/><Relationship Id="rId1446" Type="http://schemas.openxmlformats.org/officeDocument/2006/relationships/hyperlink" Target="http://www.nntt.gov.au/searchRegApps/NativeTitleRegisters/Pages/Search-Register-of-Indigenous-Land-Use-Agreements.aspx" TargetMode="External"/><Relationship Id="rId1653" Type="http://schemas.openxmlformats.org/officeDocument/2006/relationships/hyperlink" Target="http://www.environment.gov.au/marine/gbr/publications/reef-2050-long-term-sustainability-plan" TargetMode="External"/><Relationship Id="rId1860" Type="http://schemas.openxmlformats.org/officeDocument/2006/relationships/hyperlink" Target="http://hdl.handle.net/11017/2855" TargetMode="External"/><Relationship Id="rId1306" Type="http://schemas.openxmlformats.org/officeDocument/2006/relationships/hyperlink" Target="https://www.townsville-port.com.au/environment-community/environment-planning/other-monitoring-programs/" TargetMode="External"/><Relationship Id="rId1513" Type="http://schemas.openxmlformats.org/officeDocument/2006/relationships/hyperlink" Target="http://thedock.gbrmpa.gov.au/sites/Projects/P000097/MEA/Evidence-collection-templates/Sustainable%20Ports%20Development%20Act%202015" TargetMode="External"/><Relationship Id="rId1720" Type="http://schemas.openxmlformats.org/officeDocument/2006/relationships/hyperlink" Target="http://www.environment.gov.au/sustainability/regional-development/gbr/publications/gbr-aesthetic-values.html" TargetMode="External"/><Relationship Id="rId1958" Type="http://schemas.openxmlformats.org/officeDocument/2006/relationships/hyperlink" Target="http://www.gbrmpa.gov.au/our-partners/traditional-owners/traditional-use-of-marine-resources-agreements/tumra-managers-workshop" TargetMode="External"/><Relationship Id="rId12" Type="http://schemas.openxmlformats.org/officeDocument/2006/relationships/image" Target="media/image1.jpeg"/><Relationship Id="rId1818" Type="http://schemas.openxmlformats.org/officeDocument/2006/relationships/hyperlink" Target="http://www.environment.gov.au/system/files/resources/cb36afd7-7f52-468a-9d69-a6bdd7da156b/files/2015-state-party-report-addendum.pdf" TargetMode="External"/><Relationship Id="rId161" Type="http://schemas.openxmlformats.org/officeDocument/2006/relationships/hyperlink" Target="http://www.gbrmpa.gov.au/__data/assets/pdf_file/0011/253928/CE-position-statement-draft-May-2017.pdf" TargetMode="External"/><Relationship Id="rId399" Type="http://schemas.openxmlformats.org/officeDocument/2006/relationships/hyperlink" Target="http://www.gbrmpa.gov.au/about-us/legislation-regulations-and-policies/policies-and-position-statements" TargetMode="External"/><Relationship Id="rId259" Type="http://schemas.openxmlformats.org/officeDocument/2006/relationships/hyperlink" Target="http://elibrary.gbrmpa.gov.au/jspui/handle/11017/2855" TargetMode="External"/><Relationship Id="rId466" Type="http://schemas.openxmlformats.org/officeDocument/2006/relationships/hyperlink" Target="https://abgc.org.au/projects-resources/best-management-practices-bmp/" TargetMode="External"/><Relationship Id="rId673" Type="http://schemas.openxmlformats.org/officeDocument/2006/relationships/hyperlink" Target="http://www.defence.gov.au/Exercises/TS17" TargetMode="External"/><Relationship Id="rId880" Type="http://schemas.openxmlformats.org/officeDocument/2006/relationships/hyperlink" Target="https://www2.deloitte.com/content/dam/Deloitte/au/Documents/Economics/deloitte-au-economics-great-barrier-reef-executive-summary-130717.pdf" TargetMode="External"/><Relationship Id="rId1096" Type="http://schemas.openxmlformats.org/officeDocument/2006/relationships/hyperlink" Target="https://www.datsip.qld.gov.au/people-communities/cultural-capability" TargetMode="External"/><Relationship Id="rId119" Type="http://schemas.openxmlformats.org/officeDocument/2006/relationships/hyperlink" Target="http://www.nqdrytropics.com.au/" TargetMode="External"/><Relationship Id="rId326" Type="http://schemas.openxmlformats.org/officeDocument/2006/relationships/hyperlink" Target="http://www.gbrmpa.gov.au/our-partners/local-marine-advisory-committees" TargetMode="External"/><Relationship Id="rId533" Type="http://schemas.openxmlformats.org/officeDocument/2006/relationships/hyperlink" Target="http://elibrary.gbrmpa.gov.au/jspui/handle/11017/2861" TargetMode="External"/><Relationship Id="rId978" Type="http://schemas.openxmlformats.org/officeDocument/2006/relationships/hyperlink" Target="http://www.environment.gov.au/heritage/publications/australian-underwater-cultural-heritage-intergovernmental-agreement" TargetMode="External"/><Relationship Id="rId1163" Type="http://schemas.openxmlformats.org/officeDocument/2006/relationships/hyperlink" Target="http://www.gbrmpa.gov.au/about-us/local-marine-advisory-committees" TargetMode="External"/><Relationship Id="rId1370" Type="http://schemas.openxmlformats.org/officeDocument/2006/relationships/hyperlink" Target="https://www.statedevelopment.qld.gov.au/industry-development/port-master-planning-for-priority-ports.html" TargetMode="External"/><Relationship Id="rId2007" Type="http://schemas.openxmlformats.org/officeDocument/2006/relationships/hyperlink" Target="http://www.gbrmpa.gov.au/about-us/reef-advisory-committee" TargetMode="External"/><Relationship Id="rId740" Type="http://schemas.openxmlformats.org/officeDocument/2006/relationships/hyperlink" Target="http://www.environment.gov.au/coasts/fisheries/qld/east-coast-finfish/pubs/fishery-obs-2011.pdf" TargetMode="External"/><Relationship Id="rId838" Type="http://schemas.openxmlformats.org/officeDocument/2006/relationships/hyperlink" Target="https://www.daf.qld.gov.au/business-priorities/fisheries/monitoring-our-fisheries/recreational-fisheries/get-involved-in-fisheries-monitoring/let-us-measure-your-catch" TargetMode="External"/><Relationship Id="rId1023" Type="http://schemas.openxmlformats.org/officeDocument/2006/relationships/hyperlink" Target="file:///C:\Users\andrealeverington\Dropbox\protected%20area%20solutions\consultancies\GBRMPA%20outlook\tables\tables_Draft%20final\%20http\www.girringun.com.au\resources\newsletters" TargetMode="External"/><Relationship Id="rId1468" Type="http://schemas.openxmlformats.org/officeDocument/2006/relationships/hyperlink" Target="http://www.environment.gov.au/marine/gbr/publications/improved-dredge-material-management-great-barrier-reef-region" TargetMode="External"/><Relationship Id="rId1675"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1882" Type="http://schemas.openxmlformats.org/officeDocument/2006/relationships/hyperlink" Target="http://www.environment.gov.au/sustainability/regional-development/gbr/publications/gbr-anchorage-management.html" TargetMode="External"/><Relationship Id="rId600" Type="http://schemas.openxmlformats.org/officeDocument/2006/relationships/hyperlink" Target="http://hdl.handle.net/11017/2855" TargetMode="External"/><Relationship Id="rId1230" Type="http://schemas.openxmlformats.org/officeDocument/2006/relationships/hyperlink" Target="http://www.environment.gov.au/marine/gbr/reef-trust/offsets" TargetMode="External"/><Relationship Id="rId1328" Type="http://schemas.openxmlformats.org/officeDocument/2006/relationships/hyperlink" Target="http://healthyriverstoreef.org.au/report-card-results/" TargetMode="External"/><Relationship Id="rId1535" Type="http://schemas.openxmlformats.org/officeDocument/2006/relationships/hyperlink" Target="https://www.ehp.qld.gov.au/water/policy/water_quality_improvement_plans.html" TargetMode="External"/><Relationship Id="rId905" Type="http://schemas.openxmlformats.org/officeDocument/2006/relationships/hyperlink" Target="https://www.daf.qld.gov.au/fisheries/monitoring-our-fisheries/data-reports/sustainability-reporting/performance-measurement-systems" TargetMode="External"/><Relationship Id="rId1742" Type="http://schemas.openxmlformats.org/officeDocument/2006/relationships/hyperlink" Target="http://www.amsa.gov.au/forms-and-publications/Publications/AMSA439.pdf" TargetMode="External"/><Relationship Id="rId34" Type="http://schemas.openxmlformats.org/officeDocument/2006/relationships/hyperlink" Target="https://dilgpprd.blob.core.windows.net/general/spp-july-2017.pdf" TargetMode="External"/><Relationship Id="rId1602" Type="http://schemas.openxmlformats.org/officeDocument/2006/relationships/hyperlink" Target="https://www.ehp.qld.gov.au/water/pdf/factsheet-evs-wqos-faq.pdf" TargetMode="External"/><Relationship Id="rId183" Type="http://schemas.openxmlformats.org/officeDocument/2006/relationships/hyperlink" Target="http://www.qwalc.org.au/" TargetMode="External"/><Relationship Id="rId390" Type="http://schemas.openxmlformats.org/officeDocument/2006/relationships/hyperlink" Target="http://www.gbrmpa.gov.au/managing-the-reef/reef-2050/reef-integrated-monitoring-and-reporting-program" TargetMode="External"/><Relationship Id="rId1907" Type="http://schemas.openxmlformats.org/officeDocument/2006/relationships/hyperlink" Target="http://www.amsa.gov.au/navigation/services/aton/dent-island/index.asp" TargetMode="External"/><Relationship Id="rId250" Type="http://schemas.openxmlformats.org/officeDocument/2006/relationships/hyperlink" Target="http://www.agriculture.gov.au/abares/aclump/land-use" TargetMode="External"/><Relationship Id="rId488" Type="http://schemas.openxmlformats.org/officeDocument/2006/relationships/hyperlink" Target="https://www.npsr.qld.gov.au/policies/pdf/pg-pk-cor-adf-activities-qpws-managed-areas.pdf" TargetMode="External"/><Relationship Id="rId695" Type="http://schemas.openxmlformats.org/officeDocument/2006/relationships/hyperlink" Target="https://www.daf.qld.gov.au/fisheries/monitoring-our-fisheries/data-reports/sustainability-reporting/stock-status-assessments/summary-2016" TargetMode="External"/><Relationship Id="rId110" Type="http://schemas.openxmlformats.org/officeDocument/2006/relationships/hyperlink" Target="http://www.gbrmpa.gov.au/about-us/local-marine-advisory-committees" TargetMode="External"/><Relationship Id="rId348" Type="http://schemas.openxmlformats.org/officeDocument/2006/relationships/hyperlink" Target="http://www.gbrmpa.gov.au/about-the-reef/how-the-reefs-managed/our-monitoring-and-assessment-programs/eye-on-the-reef" TargetMode="External"/><Relationship Id="rId555" Type="http://schemas.openxmlformats.org/officeDocument/2006/relationships/hyperlink" Target="http://www.defence.gov.au/Exercises/TS17/EnvironmentalPlanning.asp" TargetMode="External"/><Relationship Id="rId762" Type="http://schemas.openxmlformats.org/officeDocument/2006/relationships/hyperlink" Target="https://publications.qld.gov.au/dataset/queensland-sustainable-fisheries-strategy/resource/319c7e02-f07b-4b2e-8fd5-a435d2c2f3c9" TargetMode="External"/><Relationship Id="rId1185" Type="http://schemas.openxmlformats.org/officeDocument/2006/relationships/hyperlink" Target="https://www.reefplan.qld.gov.au/about/catchment-targets/" TargetMode="External"/><Relationship Id="rId1392" Type="http://schemas.openxmlformats.org/officeDocument/2006/relationships/hyperlink" Target="http://www.gidarjil.com.au/what-we-do/tumra" TargetMode="External"/><Relationship Id="rId2029" Type="http://schemas.openxmlformats.org/officeDocument/2006/relationships/theme" Target="theme/theme1.xml"/><Relationship Id="rId208" Type="http://schemas.openxmlformats.org/officeDocument/2006/relationships/hyperlink" Target="https://terrain.org.au/projects/water-quality-improvement-plan/" TargetMode="External"/><Relationship Id="rId415" Type="http://schemas.openxmlformats.org/officeDocument/2006/relationships/hyperlink" Target="https://www2.deloitte.com/content/dam/Deloitte/au/Documents/Economics/deloitte-au-economics-great-barrier-reef-230617.pdf" TargetMode="External"/><Relationship Id="rId622" Type="http://schemas.openxmlformats.org/officeDocument/2006/relationships/hyperlink" Target="http://www.gbrmpa.gov.au/__data/assets/pdf_file/0008/248633/2014_Strategic-Environmental-Assessment_Defence.pdf" TargetMode="External"/><Relationship Id="rId1045" Type="http://schemas.openxmlformats.org/officeDocument/2006/relationships/hyperlink" Target="https://www.environment.gov.au/system/files/resources/d98b3e53-146b-4b9c-a84a-2a22454b9a83/files/reef-2050-long-term-sustainability-plan.pdf" TargetMode="External"/><Relationship Id="rId1252" Type="http://schemas.openxmlformats.org/officeDocument/2006/relationships/hyperlink" Target="http://www.environment.gov.au/marine/gbr/publications/improved-dredge-material-management-great-barrier-reef-region" TargetMode="External"/><Relationship Id="rId1697" Type="http://schemas.openxmlformats.org/officeDocument/2006/relationships/hyperlink" Target="http://www.environment.gov.au/marine/gbr/publications/reef-2050-long-term-sustainability-plan" TargetMode="External"/><Relationship Id="rId927" Type="http://schemas.openxmlformats.org/officeDocument/2006/relationships/hyperlink" Target="http://hdl.handle.net/11017/3370" TargetMode="External"/><Relationship Id="rId1112" Type="http://schemas.openxmlformats.org/officeDocument/2006/relationships/hyperlink" Target="https://www.pmc.gov.au/indigenous-affairs/environment/indigenous-rangers-working-country" TargetMode="External"/><Relationship Id="rId1557" Type="http://schemas.openxmlformats.org/officeDocument/2006/relationships/hyperlink" Target="https://www.tmr.qld.gov.au/business-industry/transport-sectors/ports/maintenance-dredging-strategy" TargetMode="External"/><Relationship Id="rId1764" Type="http://schemas.openxmlformats.org/officeDocument/2006/relationships/hyperlink" Target="https://bitre.gov.au/publications/2017/water_059.aspx" TargetMode="External"/><Relationship Id="rId1971" Type="http://schemas.openxmlformats.org/officeDocument/2006/relationships/hyperlink" Target="https://www.daf.qld.gov.au/business-priorities/fisheries/sustainable-fisheries-strategy" TargetMode="External"/><Relationship Id="rId56" Type="http://schemas.openxmlformats.org/officeDocument/2006/relationships/hyperlink" Target="https://wetlandinfo.ehp.qld.gov.au/wetlands/assessment/assessment-methods/aca/great-barrier-reef.html" TargetMode="External"/><Relationship Id="rId1417" Type="http://schemas.openxmlformats.org/officeDocument/2006/relationships/hyperlink" Target="http://elibrary.gbrmpa.gov.au/jspui/handle/11017/595" TargetMode="External"/><Relationship Id="rId1624" Type="http://schemas.openxmlformats.org/officeDocument/2006/relationships/hyperlink" Target="http://www.gbrmpa.gov.au/about-us/reef-advisory-committee" TargetMode="External"/><Relationship Id="rId1831" Type="http://schemas.openxmlformats.org/officeDocument/2006/relationships/hyperlink" Target="http://www.gbrmpa.gov.au/__data/assets/pdf_file/0017/3392/GBRMPA-ManagementArrangements-SuperyachtsMay-2011.pdf" TargetMode="External"/><Relationship Id="rId1929" Type="http://schemas.openxmlformats.org/officeDocument/2006/relationships/hyperlink" Target="http://hdl.handle.net/11017/2855" TargetMode="External"/><Relationship Id="rId272" Type="http://schemas.openxmlformats.org/officeDocument/2006/relationships/hyperlink" Target="http://hdl.handle.net/11017/3224" TargetMode="External"/><Relationship Id="rId577" Type="http://schemas.openxmlformats.org/officeDocument/2006/relationships/hyperlink" Target="http://www.defence.gov.au/Exercises/TS17/EnvironmentalPlanning.asp" TargetMode="External"/><Relationship Id="rId132" Type="http://schemas.openxmlformats.org/officeDocument/2006/relationships/hyperlink" Target="https://planning.dilgp.qld.gov.au/planning/better-planning/state-planning" TargetMode="External"/><Relationship Id="rId784" Type="http://schemas.openxmlformats.org/officeDocument/2006/relationships/hyperlink" Target="http://www.sciencedirect.com/science/article/pii/S0308597X13001279" TargetMode="External"/><Relationship Id="rId991" Type="http://schemas.openxmlformats.org/officeDocument/2006/relationships/hyperlink" Target="https://www.youtube.com/watch?v=QpM8lk6U-pk&amp;feature=player_embedded" TargetMode="External"/><Relationship Id="rId1067" Type="http://schemas.openxmlformats.org/officeDocument/2006/relationships/hyperlink" Target="http://elibrary.gbrmpa.gov.au/jspui/handle/11017/3339" TargetMode="External"/><Relationship Id="rId2020" Type="http://schemas.openxmlformats.org/officeDocument/2006/relationships/hyperlink" Target="https://www.countryneedspeople.org.au/working_for_our_country_report" TargetMode="External"/><Relationship Id="rId437" Type="http://schemas.openxmlformats.org/officeDocument/2006/relationships/hyperlink" Target="http://www.gbrmpa.gov.au/our-partners/tourism-industry/high-standard-tourism" TargetMode="External"/><Relationship Id="rId644" Type="http://schemas.openxmlformats.org/officeDocument/2006/relationships/hyperlink" Target="http://australia.icomos.org/publications/charters/" TargetMode="External"/><Relationship Id="rId851" Type="http://schemas.openxmlformats.org/officeDocument/2006/relationships/hyperlink" Target="mailto:Randall.owens@gbrmpa.gov.au" TargetMode="External"/><Relationship Id="rId1274" Type="http://schemas.openxmlformats.org/officeDocument/2006/relationships/hyperlink" Target="http://adl.brs.gov.au/mapserv/marinepest/html/emerg.php" TargetMode="External"/><Relationship Id="rId1481" Type="http://schemas.openxmlformats.org/officeDocument/2006/relationships/hyperlink" Target="http://www.portsaustralia.com.au/assets/Publications/Ports-Australia-Dredging-Code-of-Practice.pdf" TargetMode="External"/><Relationship Id="rId1579" Type="http://schemas.openxmlformats.org/officeDocument/2006/relationships/hyperlink" Target="http://www.gbrmpa.gov.au/managing-the-reef/reef-2050/reef-integrated-monitoring-and-reporting-program" TargetMode="External"/><Relationship Id="rId504" Type="http://schemas.openxmlformats.org/officeDocument/2006/relationships/hyperlink" Target="http://elibrary.gbrmpa.gov.au/jspui/browse?type=series&amp;order=ASC&amp;rpp=20&amp;value=Marine+Monitoring+Program+-+Inshore+Seagrass" TargetMode="External"/><Relationship Id="rId711" Type="http://schemas.openxmlformats.org/officeDocument/2006/relationships/hyperlink" Target="http://frdc.com.au/Archived-Reports/FRDC%20Projects/2010-007-DLD.pdf" TargetMode="External"/><Relationship Id="rId949" Type="http://schemas.openxmlformats.org/officeDocument/2006/relationships/hyperlink" Target="http://www.worldheritageoutlook.iucn.org/search-sites/-/wdpaid/en/2571?p_p_auth=MvXO7h12" TargetMode="External"/><Relationship Id="rId1134"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1341" Type="http://schemas.openxmlformats.org/officeDocument/2006/relationships/hyperlink" Target="http://elibrary.gbrmpa.gov.au/jspui/browse?type=series&amp;order=ASC&amp;rpp=20&amp;value=Permission+system" TargetMode="External"/><Relationship Id="rId1786" Type="http://schemas.openxmlformats.org/officeDocument/2006/relationships/hyperlink" Target="http://www.gbrmpa.gov.au/about-us/legislation-regulations-and-policies/vessel-sewage-regulations/commerical-vessels,-cruise-ships-and-ships-on-international-voyages" TargetMode="External"/><Relationship Id="rId1993" Type="http://schemas.openxmlformats.org/officeDocument/2006/relationships/hyperlink" Target="https://www.npsr.qld.gov.au/raineisland/" TargetMode="External"/><Relationship Id="rId78" Type="http://schemas.openxmlformats.org/officeDocument/2006/relationships/hyperlink" Target="https://wetlandinfo.ehp.qld.gov.au/resources/static/pdf/resources/fact-sheets/fs-inter-sub-tidal-class-map-aca-cq-31-05-2017.pdf" TargetMode="External"/><Relationship Id="rId809" Type="http://schemas.openxmlformats.org/officeDocument/2006/relationships/hyperlink" Target="https://www.daf.qld.gov.au/fisheries/sustainable-fisheries-strategy/vessel-tracking/satellite-tracking" TargetMode="External"/><Relationship Id="rId1201" Type="http://schemas.openxmlformats.org/officeDocument/2006/relationships/hyperlink" Target="http://www.ehp.qld.gov.au/assets/documents/reef/gbrwst-finalreport-2016.pdf" TargetMode="External"/><Relationship Id="rId1439" Type="http://schemas.openxmlformats.org/officeDocument/2006/relationships/hyperlink" Target="http://www.reefplan.qld.gov.au" TargetMode="External"/><Relationship Id="rId1646" Type="http://schemas.openxmlformats.org/officeDocument/2006/relationships/hyperlink" Target="https://www.coralwatch.org/web/guest;jsessionid=096556689711843382846B5899A0B47F" TargetMode="External"/><Relationship Id="rId1853" Type="http://schemas.openxmlformats.org/officeDocument/2006/relationships/hyperlink" Target="http://www.gbrmpa.gov.au/media-room/latest-news/corporate/2016/statement-on-out-of-court-settlement-with-owners-of-shen-neng-1" TargetMode="External"/><Relationship Id="rId1506" Type="http://schemas.openxmlformats.org/officeDocument/2006/relationships/hyperlink" Target="http://elibrary.gbrmpa.gov.au/jspui/handle/11017/3213" TargetMode="External"/><Relationship Id="rId1713" Type="http://schemas.openxmlformats.org/officeDocument/2006/relationships/hyperlink" Target="http://www.gbrmpa.gov.au/zoning-permits-and-plans/permits" TargetMode="External"/><Relationship Id="rId1920" Type="http://schemas.openxmlformats.org/officeDocument/2006/relationships/hyperlink" Target="http://www.amsa.gov.au/forms-and-publications/about-amsa/publications/Annual-Reports/2014-2015/page-contents/full-report.pdf" TargetMode="External"/><Relationship Id="rId294" Type="http://schemas.openxmlformats.org/officeDocument/2006/relationships/hyperlink" Target="http://www.gbrmpa.gov.au/visit-the-reef/responsible-reef-practices" TargetMode="External"/><Relationship Id="rId154" Type="http://schemas.openxmlformats.org/officeDocument/2006/relationships/hyperlink" Target="http://www.reefplan.qld.gov.au/about/" TargetMode="External"/><Relationship Id="rId361" Type="http://schemas.openxmlformats.org/officeDocument/2006/relationships/hyperlink" Target="http://www.reefplan.qld.gov.au/about/" TargetMode="External"/><Relationship Id="rId599" Type="http://schemas.openxmlformats.org/officeDocument/2006/relationships/hyperlink" Target="http://www.environment.gov.au/heritage/historic-shipwrecks/australian-national-shipwreck-database" TargetMode="External"/><Relationship Id="rId459" Type="http://schemas.openxmlformats.org/officeDocument/2006/relationships/hyperlink" Target="https://secure.gbrmpa.gov.au/bookingsonline/" TargetMode="External"/><Relationship Id="rId666" Type="http://schemas.openxmlformats.org/officeDocument/2006/relationships/hyperlink" Target="http://www.defence.gov.au/Publications/" TargetMode="External"/><Relationship Id="rId873" Type="http://schemas.openxmlformats.org/officeDocument/2006/relationships/hyperlink" Target="https://publications.qld.gov.au/dataset/queensland-sustainable-fisheries-strategy/resource/319c7e02-f07b-4b2e-8fd5-a435d2c2f3c9" TargetMode="External"/><Relationship Id="rId1089" Type="http://schemas.openxmlformats.org/officeDocument/2006/relationships/hyperlink" Target="http://hdl.handle.net/11017/3215" TargetMode="External"/><Relationship Id="rId1296" Type="http://schemas.openxmlformats.org/officeDocument/2006/relationships/hyperlink" Target="http://nqbp.com.au/environment/" TargetMode="External"/><Relationship Id="rId221" Type="http://schemas.openxmlformats.org/officeDocument/2006/relationships/hyperlink" Target="http://www.environment.gov.au/water/wetlands/programs/queensland-wetlands-program" TargetMode="External"/><Relationship Id="rId319" Type="http://schemas.openxmlformats.org/officeDocument/2006/relationships/hyperlink" Target="http://www.landcareonline.com/case_study.asp?cID=32" TargetMode="External"/><Relationship Id="rId526"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1156" Type="http://schemas.openxmlformats.org/officeDocument/2006/relationships/hyperlink" Target="https://www2.deloitte.com/content/dam/Deloitte/au/Documents/Economics/deloitte-au-economics-great-barrier-reef-230617.pdf" TargetMode="External"/><Relationship Id="rId1363" Type="http://schemas.openxmlformats.org/officeDocument/2006/relationships/hyperlink" Target="http://thedock.gbrmpa.gov.au/sites/Projects/P000097/MEA/Evidence-collection-templates/Sustainable%20Ports%20Development%20Act%202015" TargetMode="External"/><Relationship Id="rId733" Type="http://schemas.openxmlformats.org/officeDocument/2006/relationships/hyperlink" Target="http://www.environment.gov.au/marine/fisheries/qld-managed-fisheries" TargetMode="External"/><Relationship Id="rId940" Type="http://schemas.openxmlformats.org/officeDocument/2006/relationships/hyperlink" Target="http://www.gbrmpa.gov.au/managing-the-reef/strategic-assessment" TargetMode="External"/><Relationship Id="rId1016" Type="http://schemas.openxmlformats.org/officeDocument/2006/relationships/hyperlink" Target="http://www.gbrmpa.gov.au/about-us/local-marine-advisory-committees" TargetMode="External"/><Relationship Id="rId1570" Type="http://schemas.openxmlformats.org/officeDocument/2006/relationships/hyperlink" Target="http://www.gbrmpa.gov.au/managing-the-reef/strategic-assessment" TargetMode="External"/><Relationship Id="rId1668" Type="http://schemas.openxmlformats.org/officeDocument/2006/relationships/hyperlink" Target="http://www.environment.gov.au/coasts/publications/whale-watching-guidelines-2005.html" TargetMode="External"/><Relationship Id="rId1875" Type="http://schemas.openxmlformats.org/officeDocument/2006/relationships/hyperlink" Target="http://elibrary.gbrmpa.gov.au/jspui/handle/11017/2861" TargetMode="External"/><Relationship Id="rId800" Type="http://schemas.openxmlformats.org/officeDocument/2006/relationships/hyperlink" Target="https://www.daf.qld.gov.au/fisheries/monitoring-our-fisheries/data-reports/sustainability-reporting/stock-assessment-reports" TargetMode="External"/><Relationship Id="rId1223"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1430" Type="http://schemas.openxmlformats.org/officeDocument/2006/relationships/hyperlink" Target="http://www.dsdip.qld.gov.au/infrastructure-and-planning/queensland-ports-strategy.html" TargetMode="External"/><Relationship Id="rId1528" Type="http://schemas.openxmlformats.org/officeDocument/2006/relationships/hyperlink" Target="https://www.statedevelopment.qld.gov.au/industry-development/port-master-planning-for-priority-ports.html" TargetMode="External"/><Relationship Id="rId1735" Type="http://schemas.openxmlformats.org/officeDocument/2006/relationships/hyperlink" Target="http://www.marinepests.gov.au/Pages/default.aspx" TargetMode="External"/><Relationship Id="rId1942" Type="http://schemas.openxmlformats.org/officeDocument/2006/relationships/hyperlink" Target="http://www.statedevelopment.qld.gov.au/resources/great-barrier-reef-coastal-zone-strategic-assessment-final-reports.html" TargetMode="External"/><Relationship Id="rId27" Type="http://schemas.openxmlformats.org/officeDocument/2006/relationships/footer" Target="footer3.xml"/><Relationship Id="rId1802" Type="http://schemas.openxmlformats.org/officeDocument/2006/relationships/hyperlink" Target="https://www.msq.qld.gov.au/Marine-pollution" TargetMode="External"/><Relationship Id="rId176" Type="http://schemas.openxmlformats.org/officeDocument/2006/relationships/hyperlink" Target="https://wetlandinfo.ehp.qld.gov.au/wetlands/ecology/aquatic-ecosystems-natural/groundwater-dependent/" TargetMode="External"/><Relationship Id="rId383" Type="http://schemas.openxmlformats.org/officeDocument/2006/relationships/hyperlink" Target="http://www.environment.gov.au/marine/gbr/publications/reef-2050-long-term-sustainability-plan" TargetMode="External"/><Relationship Id="rId590" Type="http://schemas.openxmlformats.org/officeDocument/2006/relationships/hyperlink" Target="https://www.aph.gov.au/Parliamentary_Business/Committees/Senate/Foreign_Affairs_Defence_and_Trade/Defencetraining" TargetMode="External"/><Relationship Id="rId243" Type="http://schemas.openxmlformats.org/officeDocument/2006/relationships/hyperlink" Target="http://elibrary.gbrmpa.gov.au/jspui/browse?type=series&amp;order=ASC&amp;rpp=20&amp;value=Permission+system" TargetMode="External"/><Relationship Id="rId450" Type="http://schemas.openxmlformats.org/officeDocument/2006/relationships/hyperlink" Target="http://www2.dpi.qld.gov.au/extra/era/index.html" TargetMode="External"/><Relationship Id="rId688" Type="http://schemas.openxmlformats.org/officeDocument/2006/relationships/hyperlink" Target="http://www.defence.gov.au/Exercises/TS17" TargetMode="External"/><Relationship Id="rId895" Type="http://schemas.openxmlformats.org/officeDocument/2006/relationships/hyperlink" Target="http://www.fao.org/docrep/016/i2708e/i2708e00.pdf" TargetMode="External"/><Relationship Id="rId1080" Type="http://schemas.openxmlformats.org/officeDocument/2006/relationships/hyperlink" Target="http://thedock.gbrmpa.gov.au/sites/Projects/P000175/Documents/Final-NOUS-reports/GBRMPA-operational-review-final-report.pdf" TargetMode="External"/><Relationship Id="rId103" Type="http://schemas.openxmlformats.org/officeDocument/2006/relationships/hyperlink" Target="http://www.gbrmpa.gov.au/__data/assets/pdf_file/0011/253928/CE-position-statement-draft-May-2017.pdf" TargetMode="External"/><Relationship Id="rId310" Type="http://schemas.openxmlformats.org/officeDocument/2006/relationships/hyperlink" Target="http://www.gbrmpa.gov.au/zoning-permits-and-plans/environmental-management-charge" TargetMode="External"/><Relationship Id="rId548" Type="http://schemas.openxmlformats.org/officeDocument/2006/relationships/hyperlink" Target="https://link.springer.com/article/10.1007/s00343-010-9113-3" TargetMode="External"/><Relationship Id="rId755" Type="http://schemas.openxmlformats.org/officeDocument/2006/relationships/hyperlink" Target="https://publications.qld.gov.au/dataset/queensland-sustainable-fisheries-strategy/resource/319c7e02-f07b-4b2e-8fd5-a435d2c2f3c9" TargetMode="External"/><Relationship Id="rId962" Type="http://schemas.openxmlformats.org/officeDocument/2006/relationships/hyperlink" Target="http://hdl.handle.net/11017/3371" TargetMode="External"/><Relationship Id="rId1178" Type="http://schemas.openxmlformats.org/officeDocument/2006/relationships/hyperlink" Target="https://www.ehp.qld.gov.au/assets/documents/reef/gbrwst-finalreport-2016.pdf" TargetMode="External"/><Relationship Id="rId1385" Type="http://schemas.openxmlformats.org/officeDocument/2006/relationships/hyperlink" Target="http://gpcl.com.au/SiteAssets/Community/GPC_STRETCH_Reconciliation_Action_Plan_2015-2018.pdf" TargetMode="External"/><Relationship Id="rId1592" Type="http://schemas.openxmlformats.org/officeDocument/2006/relationships/hyperlink" Target="http://www.environment.gov.au/marine/gbr/publications/reef-2050-long-term-sustainability-plan" TargetMode="External"/><Relationship Id="rId91" Type="http://schemas.openxmlformats.org/officeDocument/2006/relationships/hyperlink" Target="https://wetlandinfo.ehp.qld.gov.au/wetlands/facts-maps/get-mapping-help/wetland-maps/" TargetMode="External"/><Relationship Id="rId408" Type="http://schemas.openxmlformats.org/officeDocument/2006/relationships/hyperlink" Target="http://nesptropical.edu.au/index.php/round-3-projects/project-3-2-2/" TargetMode="External"/><Relationship Id="rId615" Type="http://schemas.openxmlformats.org/officeDocument/2006/relationships/hyperlink" Target="http://www.defence.gov.au/Exercises/TS17" TargetMode="External"/><Relationship Id="rId822" Type="http://schemas.openxmlformats.org/officeDocument/2006/relationships/hyperlink" Target="http://www.gbrmpa.gov.au/managing-the-reef/how-the-reefs-managed/fisheries-in-the-marine-park/east-coast-otter-trawl-fishery/ecological-risk-assessment-of-trawling" TargetMode="External"/><Relationship Id="rId1038" Type="http://schemas.openxmlformats.org/officeDocument/2006/relationships/hyperlink" Target="https://espace.library.uq.edu.au/view/UQ:84658" TargetMode="External"/><Relationship Id="rId1245" Type="http://schemas.openxmlformats.org/officeDocument/2006/relationships/hyperlink" Target="http://epbcnotices.environment.gov.au/referralslist/" TargetMode="External"/><Relationship Id="rId1452" Type="http://schemas.openxmlformats.org/officeDocument/2006/relationships/hyperlink" Target="http://elibrary.gbrmpa.gov.au/jspui/handle/11017/3235" TargetMode="External"/><Relationship Id="rId1897" Type="http://schemas.openxmlformats.org/officeDocument/2006/relationships/hyperlink" Target="https://www.amsa.gov.au/navigation/shipping-management/nesm/documents/nesm-plan-work-program.pdf" TargetMode="External"/><Relationship Id="rId1105" Type="http://schemas.openxmlformats.org/officeDocument/2006/relationships/hyperlink" Target="http://elibrary.gbrmpa.gov.au/jspui/handle/11017/2861" TargetMode="External"/><Relationship Id="rId1312" Type="http://schemas.openxmlformats.org/officeDocument/2006/relationships/hyperlink" Target="http://www.environment.gov.au/marine/gbr/publications/reef-2050-long-term-sustainability-plan" TargetMode="External"/><Relationship Id="rId1757" Type="http://schemas.openxmlformats.org/officeDocument/2006/relationships/hyperlink" Target="https://www.sciencedirect.com/science/article/pii/S0308597X16302615" TargetMode="External"/><Relationship Id="rId1964" Type="http://schemas.openxmlformats.org/officeDocument/2006/relationships/hyperlink" Target="https://www.daf.qld.gov.au/business-priorities/fisheries/sustainable-fisheries-strategy" TargetMode="External"/><Relationship Id="rId49" Type="http://schemas.openxmlformats.org/officeDocument/2006/relationships/hyperlink" Target="http://www.gbrmpa.gov.au/about-the-reef/heritage/great-barrier-reef-world-heritage-area/criteria-values-and-attributes" TargetMode="External"/><Relationship Id="rId1617" Type="http://schemas.openxmlformats.org/officeDocument/2006/relationships/hyperlink" Target="http://www.gbrmpa.gov.au/zoning-permits-and-plans/plans-of-management/whitsunday-plan-of-management" TargetMode="External"/><Relationship Id="rId1824" Type="http://schemas.openxmlformats.org/officeDocument/2006/relationships/hyperlink" Target="http://www.environment.gov.au/marine/marine-species" TargetMode="External"/><Relationship Id="rId198" Type="http://schemas.openxmlformats.org/officeDocument/2006/relationships/hyperlink" Target="http://www.sunfishqld.com.au" TargetMode="External"/><Relationship Id="rId265" Type="http://schemas.openxmlformats.org/officeDocument/2006/relationships/hyperlink" Target="http://edocs.gbrmpa.gov.au/RefWorks/2011-2020/2015/Waltham_etal_2015_Expanding_coastal_urban_and_industrial_24722.pdf" TargetMode="External"/><Relationship Id="rId472" Type="http://schemas.openxmlformats.org/officeDocument/2006/relationships/hyperlink" Target="http://www.abs.gov.au/ausstats/abs@.nsf/mf/4680.0" TargetMode="External"/><Relationship Id="rId125" Type="http://schemas.openxmlformats.org/officeDocument/2006/relationships/hyperlink" Target="https://planning.dilgp.qld.gov.au/planning/resources" TargetMode="External"/><Relationship Id="rId332" Type="http://schemas.openxmlformats.org/officeDocument/2006/relationships/hyperlink" Target="http://www.gbrmpa.gov.au/corp_site/permits/pems_public/dsp_index.cfm" TargetMode="External"/><Relationship Id="rId777" Type="http://schemas.openxmlformats.org/officeDocument/2006/relationships/hyperlink" Target="https://www.daf.qld.gov.au/fisheries/consultations-and-legislation/reviews-surveys-and-consultations/green-paper-on-fisheries-management-reform-in-queensland" TargetMode="External"/><Relationship Id="rId984" Type="http://schemas.openxmlformats.org/officeDocument/2006/relationships/hyperlink" Target="http://hdl.handle.net/11017/3370" TargetMode="External"/><Relationship Id="rId2013" Type="http://schemas.openxmlformats.org/officeDocument/2006/relationships/hyperlink" Target="http://www.environment.gov.au/marine/publications/recovery-plan-marine-turtles-australia-2017" TargetMode="External"/><Relationship Id="rId637" Type="http://schemas.openxmlformats.org/officeDocument/2006/relationships/hyperlink" Target="http://www.defence.gov.au/Exercises/TS17" TargetMode="External"/><Relationship Id="rId844" Type="http://schemas.openxmlformats.org/officeDocument/2006/relationships/hyperlink" Target="https://www.daf.qld.gov.au/business-priorities/fisheries/monitoring-our-fisheries/recreational-fisheries/get-involved-in-fisheries-monitoring/let-us-measure-your-catch" TargetMode="External"/><Relationship Id="rId1267" Type="http://schemas.openxmlformats.org/officeDocument/2006/relationships/hyperlink" Target="http://www.environment.gov.au/sustainability/regional-development/gbr/publications/gbr-dredge-material-management.html" TargetMode="External"/><Relationship Id="rId1474" Type="http://schemas.openxmlformats.org/officeDocument/2006/relationships/hyperlink" Target="http://www.gbrmpa.gov.au/managing-the-reef/reef-2050/reef-integrated-monitoring-and-reporting-program" TargetMode="External"/><Relationship Id="rId1681" Type="http://schemas.openxmlformats.org/officeDocument/2006/relationships/hyperlink" Target="http://elibrary.gbrmpa.gov.au/jspui/bitstream/11017/3252/1/Spearfishing-map.pdf" TargetMode="External"/><Relationship Id="rId704" Type="http://schemas.openxmlformats.org/officeDocument/2006/relationships/hyperlink" Target="http://frdc.com.au/Archived-Reports/FRDC%20Projects/2010-007-DLD.pdf" TargetMode="External"/><Relationship Id="rId911" Type="http://schemas.openxmlformats.org/officeDocument/2006/relationships/hyperlink" Target="https://researchonline.jcu.edu.au/41755/" TargetMode="External"/><Relationship Id="rId1127" Type="http://schemas.openxmlformats.org/officeDocument/2006/relationships/hyperlink" Target="http://www.reefplan.qld.gov.au/measuring-success/paddock-to-reef/" TargetMode="External"/><Relationship Id="rId1334" Type="http://schemas.openxmlformats.org/officeDocument/2006/relationships/hyperlink" Target="https://www.legislation.qld.gov.au/view/pdf/inforce/current/act-1993-028/" TargetMode="External"/><Relationship Id="rId1541" Type="http://schemas.openxmlformats.org/officeDocument/2006/relationships/hyperlink" Target="http://elibrary.gbrmpa.gov.au/jspui/handle/11017/3213" TargetMode="External"/><Relationship Id="rId1779" Type="http://schemas.openxmlformats.org/officeDocument/2006/relationships/hyperlink" Target="http://www.ifaw.org/sites/default/files/IFAW%20Australia%20%20Breaking%20the%20silence-how%20our%20noise%20pollution%20is%20harming.pdf" TargetMode="External"/><Relationship Id="rId1986" Type="http://schemas.openxmlformats.org/officeDocument/2006/relationships/hyperlink" Target="http://elibrary.gbrmpa.gov.au/jspui/handle/11017/3339" TargetMode="External"/><Relationship Id="rId40" Type="http://schemas.openxmlformats.org/officeDocument/2006/relationships/hyperlink" Target="http://search.informit.com.au/documentSummary;dn=952527306859388;res=IELHSS?" TargetMode="External"/><Relationship Id="rId1401" Type="http://schemas.openxmlformats.org/officeDocument/2006/relationships/hyperlink" Target="https://www.environment.gov.au/marine/gbr/long-term-sustainability-plan" TargetMode="External"/><Relationship Id="rId1639" Type="http://schemas.openxmlformats.org/officeDocument/2006/relationships/hyperlink" Target="http://www.gbrmpa.gov.au/__data/assets/pdf_file/0006/28257/Informing-the-Outlook-for-Great-Barrier-Reef-coastal-ecosystems.pdf" TargetMode="External"/><Relationship Id="rId1846" Type="http://schemas.openxmlformats.org/officeDocument/2006/relationships/hyperlink" Target="http://www.amsa.gov.au/forms-and-publications/Publications/AMSA439.pdf" TargetMode="External"/><Relationship Id="rId1706" Type="http://schemas.openxmlformats.org/officeDocument/2006/relationships/hyperlink" Target="http://www.environment.gov.au/sustainability/regional-development/gbr/publications/gbr-anchorage-management.html" TargetMode="External"/><Relationship Id="rId1913" Type="http://schemas.openxmlformats.org/officeDocument/2006/relationships/hyperlink" Target="http://hdl.handle.net/11017/3240" TargetMode="External"/><Relationship Id="rId287" Type="http://schemas.openxmlformats.org/officeDocument/2006/relationships/hyperlink" Target="http://www.gbrmpa.gov.au/__data/assets/pdf_file/0017/3392/GBRMPA-ManagementArrangements-SuperyachtsMay-2011.pdf" TargetMode="External"/><Relationship Id="rId494"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147"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354" Type="http://schemas.openxmlformats.org/officeDocument/2006/relationships/hyperlink" Target="http://www.gbrmpa.gov.au/corp_site/permits/pems_public/dsp_index.cfm" TargetMode="External"/><Relationship Id="rId799" Type="http://schemas.openxmlformats.org/officeDocument/2006/relationships/hyperlink" Target="https://www.daf.qld.gov.au/fisheries/monitoring-our-fisheries/data-reports/sustainability-reporting/stock-status-assessments/summary-2016" TargetMode="External"/><Relationship Id="rId1191" Type="http://schemas.openxmlformats.org/officeDocument/2006/relationships/hyperlink" Target="http://ereefs.org.au/ereefs" TargetMode="External"/><Relationship Id="rId561" Type="http://schemas.openxmlformats.org/officeDocument/2006/relationships/hyperlink" Target="http://www.defence.gov.au/Exercises/TS17" TargetMode="External"/><Relationship Id="rId659" Type="http://schemas.openxmlformats.org/officeDocument/2006/relationships/hyperlink" Target="http://www.aurecongroup.com/en/talismanSaber/public-environment-report.aspx" TargetMode="External"/><Relationship Id="rId866" Type="http://schemas.openxmlformats.org/officeDocument/2006/relationships/hyperlink" Target="https://www.daf.qld.gov.au/business-priorities/fisheries/sustainable-fisheries-strategy/changes-to-queenslands-fisheries-legislation" TargetMode="External"/><Relationship Id="rId1289" Type="http://schemas.openxmlformats.org/officeDocument/2006/relationships/hyperlink" Target="http://thedock.gbrmpa.gov.au/sites/Projects/P000097/MEA/Evidence-collection-templates/Sustainable%20Ports%20Development%20Act%202015" TargetMode="External"/><Relationship Id="rId1496" Type="http://schemas.openxmlformats.org/officeDocument/2006/relationships/hyperlink" Target="http://www.gpcl.com.au/Pages/Annual-Report.aspx" TargetMode="External"/><Relationship Id="rId214" Type="http://schemas.openxmlformats.org/officeDocument/2006/relationships/hyperlink" Target="http://www.reefplan.qld.gov.au/about/" TargetMode="External"/><Relationship Id="rId421" Type="http://schemas.openxmlformats.org/officeDocument/2006/relationships/hyperlink" Target="http://elibrary.gbrmpa.gov.au/jspui/handle/11017/3240" TargetMode="External"/><Relationship Id="rId519" Type="http://schemas.openxmlformats.org/officeDocument/2006/relationships/hyperlink" Target="http://www.defence.gov.au/environment/_Master/docs/strat_plan.pdf" TargetMode="External"/><Relationship Id="rId1051" Type="http://schemas.openxmlformats.org/officeDocument/2006/relationships/hyperlink" Target="https://www.environment.gov.au/system/files/resources/d98b3e53-146b-4b9c-a84a-2a22454b9a83/files/reef-2050-long-term-sustainability-plan.pdf" TargetMode="External"/><Relationship Id="rId1149" Type="http://schemas.openxmlformats.org/officeDocument/2006/relationships/hyperlink" Target="https://www.ehp.qld.gov.au/water/policy/water_quality_improvement_plans.html" TargetMode="External"/><Relationship Id="rId1356"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726" Type="http://schemas.openxmlformats.org/officeDocument/2006/relationships/hyperlink" Target="https://www.daf.qld.gov.au/fisheries/consultations-and-legislation/reviews-surveys-and-consultations/green-paper-on-fisheries-management-reform-in-queensland" TargetMode="External"/><Relationship Id="rId933" Type="http://schemas.openxmlformats.org/officeDocument/2006/relationships/hyperlink" Target="http://elibrary.gbrmpa.gov.au/jspui/handle/11017/3238" TargetMode="External"/><Relationship Id="rId1009" Type="http://schemas.openxmlformats.org/officeDocument/2006/relationships/hyperlink" Target="http://hdl.handle.net/11017/3371" TargetMode="External"/><Relationship Id="rId1563" Type="http://schemas.openxmlformats.org/officeDocument/2006/relationships/hyperlink" Target="https://file.ac/fSFmYS7Errs/" TargetMode="External"/><Relationship Id="rId1770" Type="http://schemas.openxmlformats.org/officeDocument/2006/relationships/hyperlink" Target="http://www.agriculture.gov.au/SiteCollectionDocuments/pests-diseases-weeds/marine-pests/monitoring-marine-pests.pdf" TargetMode="External"/><Relationship Id="rId1868" Type="http://schemas.openxmlformats.org/officeDocument/2006/relationships/hyperlink" Target="http://www.reefplan.qld.gov.au/about/scientific-consensus-statement.aspx" TargetMode="External"/><Relationship Id="rId62" Type="http://schemas.openxmlformats.org/officeDocument/2006/relationships/hyperlink" Target="http://www.environment.gov.au/system/files/resources/cb36afd7-7f52-468a-9d69-a6bdd7da156b/files/gbr-state-party-report-2015.pdf" TargetMode="External"/><Relationship Id="rId1216" Type="http://schemas.openxmlformats.org/officeDocument/2006/relationships/hyperlink" Target="https://www2.deloitte.com/content/dam/Deloitte/au/Documents/Economics/deloitte-au-economics-great-barrier-reef-230617.pdf" TargetMode="External"/><Relationship Id="rId1423" Type="http://schemas.openxmlformats.org/officeDocument/2006/relationships/hyperlink" Target="http://www.google.com.au/url?sa=t&amp;rct=j&amp;q=&amp;esrc=s&amp;source=web&amp;cd=1&amp;cad=rja&amp;uact=8&amp;ved=0ahUKEwjvp8K2kK7XAhVBFpQKHYBCDZoQFggmMAA&amp;url=http%3A%2F%2Fwww.environment.gov.au%2Fmarine%2Fpublications%2Fnational-assessment-guidelines-dredging-2009&amp;usg=AOvVaw1lZ51sDJRQ77xK6pk7rdqo" TargetMode="External"/><Relationship Id="rId1630" Type="http://schemas.openxmlformats.org/officeDocument/2006/relationships/hyperlink" Target="http://www.gbrmpa.gov.au/__data/assets/pdf_file/0006/3939/gbrmpa_TranslocationPositionStatement_2007.pdf" TargetMode="External"/><Relationship Id="rId1728" Type="http://schemas.openxmlformats.org/officeDocument/2006/relationships/hyperlink" Target="https://www.environment.gov.au/system/files/pages/884f8778-caa4-4bd9-b370-318518827db6/files/23qrc-doc3.pdf" TargetMode="External"/><Relationship Id="rId1935" Type="http://schemas.openxmlformats.org/officeDocument/2006/relationships/hyperlink" Target="https://www.amsa.gov.au/navigation/shipping-management/nesm/documents/nesm-plan-work-program.pdf" TargetMode="External"/><Relationship Id="rId169" Type="http://schemas.openxmlformats.org/officeDocument/2006/relationships/hyperlink" Target="http://www.reefplan.qld.gov.au/about/assets/2017-scientific-consensus-statement-summary.pdf" TargetMode="External"/><Relationship Id="rId376" Type="http://schemas.openxmlformats.org/officeDocument/2006/relationships/hyperlink" Target="http://www.gbrmpa.gov.au/about-the-reef/Managing-multiple-uses" TargetMode="External"/><Relationship Id="rId583" Type="http://schemas.openxmlformats.org/officeDocument/2006/relationships/hyperlink" Target="http://www.gbrmpa.gov.au/about-us/corporate-information/annual-report" TargetMode="External"/><Relationship Id="rId790" Type="http://schemas.openxmlformats.org/officeDocument/2006/relationships/hyperlink" Target="https://publications.qld.gov.au/dataset/queensland-sustainable-fisheries-strategy/resource/319c7e02-f07b-4b2e-8fd5-a435d2c2f3c9" TargetMode="External"/><Relationship Id="rId4" Type="http://schemas.openxmlformats.org/officeDocument/2006/relationships/customXml" Target="../customXml/item4.xml"/><Relationship Id="rId236" Type="http://schemas.openxmlformats.org/officeDocument/2006/relationships/hyperlink" Target="https://wetlandinfo.ehp.qld.gov.au/wetlands/management/policy-legislation/gbr.html" TargetMode="External"/><Relationship Id="rId443" Type="http://schemas.openxmlformats.org/officeDocument/2006/relationships/hyperlink" Target="https://www.cms.bmpgrazing.com.au/" TargetMode="External"/><Relationship Id="rId650" Type="http://schemas.openxmlformats.org/officeDocument/2006/relationships/hyperlink" Target="http://www.defence.gov.au/estatemanagement/governance/Policy/Environment/Heritage/Docs/DefenceHeritageStrategy.pdf" TargetMode="External"/><Relationship Id="rId888" Type="http://schemas.openxmlformats.org/officeDocument/2006/relationships/hyperlink" Target="https://www.daf.qld.gov.au/about-us/corporate-publications/annual-report" TargetMode="External"/><Relationship Id="rId1073" Type="http://schemas.openxmlformats.org/officeDocument/2006/relationships/hyperlink" Target="http://hdl.handle.net/11017/3215" TargetMode="External"/><Relationship Id="rId1280" Type="http://schemas.openxmlformats.org/officeDocument/2006/relationships/hyperlink" Target="https://www.msq.qld.gov.au/-/media/MSQInternet/MSQFiles/Home/Environment/preventshipsourcedpollution.pdf?la=en" TargetMode="External"/><Relationship Id="rId303" Type="http://schemas.openxmlformats.org/officeDocument/2006/relationships/hyperlink" Target="http://www.environment.gov.au/marine/gbr/protecting-the-reef/intergovernmental-agreement" TargetMode="External"/><Relationship Id="rId748" Type="http://schemas.openxmlformats.org/officeDocument/2006/relationships/hyperlink" Target="https://www.daf.qld.gov.au/business-priorities/fisheries/monitoring-our-fisheries/monitoring-interactive-map" TargetMode="External"/><Relationship Id="rId955" Type="http://schemas.openxmlformats.org/officeDocument/2006/relationships/hyperlink" Target="http://thedock.gbrmpa.gov.au/sites/Projects/P000043/_layouts/DocIdRedir.aspx?ID=PROJ-160-301" TargetMode="External"/><Relationship Id="rId1140"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1378" Type="http://schemas.openxmlformats.org/officeDocument/2006/relationships/hyperlink" Target="http://www.environment.gov.au/sustainability/regional-development/gbr/publications/gbr-anchorage-management.html" TargetMode="External"/><Relationship Id="rId1585" Type="http://schemas.openxmlformats.org/officeDocument/2006/relationships/hyperlink" Target="http://www.nerptropical.edu.au/sites/default/files/publications/files/NERP-TE-PROJ-10.1-SELTMP-2014-PORTS-SHIPPING-Completeb.pdf" TargetMode="External"/><Relationship Id="rId1792" Type="http://schemas.openxmlformats.org/officeDocument/2006/relationships/hyperlink" Target="https://www.amsa.gov.au/navigation/services/reefvts/" TargetMode="External"/><Relationship Id="rId84" Type="http://schemas.openxmlformats.org/officeDocument/2006/relationships/hyperlink" Target="https://planning.dilgp.qld.gov.au/planning/better-planning/state-planning" TargetMode="External"/><Relationship Id="rId510" Type="http://schemas.openxmlformats.org/officeDocument/2006/relationships/hyperlink" Target="https://link.springer.com/article/10.1007/s00343-010-9113-3" TargetMode="External"/><Relationship Id="rId608" Type="http://schemas.openxmlformats.org/officeDocument/2006/relationships/hyperlink" Target="http://www.defence.gov.au/estatemanagement/Governance/Policy/Environment/EIA/Default.asp" TargetMode="External"/><Relationship Id="rId815" Type="http://schemas.openxmlformats.org/officeDocument/2006/relationships/hyperlink" Target="https://onlinelibrary.wiley.com/doi/abs/10.1111/faf.12059" TargetMode="External"/><Relationship Id="rId1238" Type="http://schemas.openxmlformats.org/officeDocument/2006/relationships/hyperlink" Target="https://www.statedevelopment.qld.gov.au/industry-development/port-master-planning-for-priority-ports.html" TargetMode="External"/><Relationship Id="rId1445" Type="http://schemas.openxmlformats.org/officeDocument/2006/relationships/hyperlink" Target="http://www.nerptropical.edu.au/sites/default/files/publications/files/NERP-TE-PROJ-10.1-SELTMP-2014-PORTS-SHIPPING-Completeb.pdf" TargetMode="External"/><Relationship Id="rId1652"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1000" Type="http://schemas.openxmlformats.org/officeDocument/2006/relationships/hyperlink" Target="http://hdl.handle.net/11017/3370" TargetMode="External"/><Relationship Id="rId1305" Type="http://schemas.openxmlformats.org/officeDocument/2006/relationships/hyperlink" Target="https://www.townsville-port.com.au/environment-community/environment-planning/dredging/" TargetMode="External"/><Relationship Id="rId1957" Type="http://schemas.openxmlformats.org/officeDocument/2006/relationships/hyperlink" Target="http://elibrary.gbrmpa.gov.au/jspui/handle/11017/3339" TargetMode="External"/><Relationship Id="rId1512" Type="http://schemas.openxmlformats.org/officeDocument/2006/relationships/hyperlink" Target="https://www.statedevelopment.qld.gov.au/industry-development/port-master-planning-for-priority-ports.html" TargetMode="External"/><Relationship Id="rId1817" Type="http://schemas.openxmlformats.org/officeDocument/2006/relationships/hyperlink" Target="http://www.ehp.qld.gov.au/be-involved/pdf/trans-shipping-draft-policy.pdf" TargetMode="External"/><Relationship Id="rId11" Type="http://schemas.openxmlformats.org/officeDocument/2006/relationships/endnotes" Target="endnotes.xml"/><Relationship Id="rId398" Type="http://schemas.openxmlformats.org/officeDocument/2006/relationships/hyperlink" Target="http://www.gbrmpa.gov.au/zoning-permits-and-plans/plans-of-management/whitsunday-plan-of-management/guide-to-visiting-the-whitsundays-plan-of-management-area-for-recreational-users" TargetMode="External"/><Relationship Id="rId160" Type="http://schemas.openxmlformats.org/officeDocument/2006/relationships/hyperlink" Target="http://www.environment.gov.au/marine/gbr/publications/reef-2050-long-term-sustainability-plan" TargetMode="External"/><Relationship Id="rId258"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465" Type="http://schemas.openxmlformats.org/officeDocument/2006/relationships/hyperlink" Target="https://www.cms.bmpgrazing.com.au/" TargetMode="External"/><Relationship Id="rId672" Type="http://schemas.openxmlformats.org/officeDocument/2006/relationships/hyperlink" Target="http://www.defence.gov.au/Exercises/TS17/EnvironmentalPlanning.asp" TargetMode="External"/><Relationship Id="rId1095" Type="http://schemas.openxmlformats.org/officeDocument/2006/relationships/hyperlink" Target="http://elibrary.gbrmpa.gov.au/jspui/handle/11017/3339" TargetMode="External"/><Relationship Id="rId118" Type="http://schemas.openxmlformats.org/officeDocument/2006/relationships/hyperlink" Target="http://www.fba.org.au/" TargetMode="External"/><Relationship Id="rId325" Type="http://schemas.openxmlformats.org/officeDocument/2006/relationships/hyperlink" Target="http://www.gbrmpa.gov.au/our-partners/reef-advisory-committee/tourism-and-recreation-reef-advisory-committee" TargetMode="External"/><Relationship Id="rId532" Type="http://schemas.openxmlformats.org/officeDocument/2006/relationships/hyperlink" Target="http://www.environment.gov.au/system/files/resources/797b46e9-af09-48ab-835b-2a5350f89ba1/files/gbr-strat-assessment-ind-review-report.pdf" TargetMode="External"/><Relationship Id="rId977" Type="http://schemas.openxmlformats.org/officeDocument/2006/relationships/hyperlink" Target="http://www.environment.gov.au/marine/gbr/protecting-the-reef/intergovernmental-agreement" TargetMode="External"/><Relationship Id="rId1162" Type="http://schemas.openxmlformats.org/officeDocument/2006/relationships/hyperlink" Target="https://www.environment.gov.au/system/files/resources/879f95f9-f548-4b41-8215-3c3e3c2100bc/files/fact-sheet-gbr-gully-streambank.pdf" TargetMode="External"/><Relationship Id="rId2006" Type="http://schemas.openxmlformats.org/officeDocument/2006/relationships/hyperlink" Target="http://hdl.handle.net/11017/3215" TargetMode="External"/><Relationship Id="rId837" Type="http://schemas.openxmlformats.org/officeDocument/2006/relationships/hyperlink" Target="https://www.daf.qld.gov.au/fisheries/monitoring-our-fisheries/data-reports/sustainability-reporting/stock-assessment-reports" TargetMode="External"/><Relationship Id="rId1022" Type="http://schemas.openxmlformats.org/officeDocument/2006/relationships/hyperlink" Target="http://elibrary.gbrmpa.gov.au/jspui/bitstream/11017/3364/1/FMP-Ann-Rep-Summary-2016%E2%80%9317.pdf" TargetMode="External"/><Relationship Id="rId1467" Type="http://schemas.openxmlformats.org/officeDocument/2006/relationships/hyperlink" Target="http://elibrary.gbrmpa.gov.au/jspui/handle/11017/595" TargetMode="External"/><Relationship Id="rId1674" Type="http://schemas.openxmlformats.org/officeDocument/2006/relationships/hyperlink" Target="http://www.gbrmpa.gov.au/zoning-permits-and-plans/plans-of-management/whitsunday-plan-of-management" TargetMode="External"/><Relationship Id="rId1881" Type="http://schemas.openxmlformats.org/officeDocument/2006/relationships/hyperlink" Target="http://hdl.handle.net/11017/3215" TargetMode="External"/><Relationship Id="rId904" Type="http://schemas.openxmlformats.org/officeDocument/2006/relationships/hyperlink" Target="https://publications.qld.gov.au/dataset/baseline-report-for-fisheries-qld-recreational-boat-based-fishing-survey" TargetMode="External"/><Relationship Id="rId1327" Type="http://schemas.openxmlformats.org/officeDocument/2006/relationships/hyperlink" Target="https://www.townsville-port.com.au/environment-community/community/community-liaison-group/" TargetMode="External"/><Relationship Id="rId1534" Type="http://schemas.openxmlformats.org/officeDocument/2006/relationships/hyperlink" Target="http://www.gbrmpa.gov.au/managing-the-reef/reef-2050/reef-integrated-monitoring-and-reporting-program" TargetMode="External"/><Relationship Id="rId1741" Type="http://schemas.openxmlformats.org/officeDocument/2006/relationships/hyperlink" Target="https://www.environment.gov.au/protection/assessments/key-assessments" TargetMode="External"/><Relationship Id="rId1979" Type="http://schemas.openxmlformats.org/officeDocument/2006/relationships/hyperlink" Target="http://thedock.gbrmpa.gov.au/sites/Indigenous/Admin/Reporting/_layouts/DocIdRedir.aspx?ID=INDIGENOUS-17-59" TargetMode="External"/><Relationship Id="rId33" Type="http://schemas.openxmlformats.org/officeDocument/2006/relationships/hyperlink" Target="https://www2.deloitte.com/content/dam/Deloitte/au/Documents/Economics/deloitte-au-economics-great-barrier-reef-230617.pdf" TargetMode="External"/><Relationship Id="rId1601" Type="http://schemas.openxmlformats.org/officeDocument/2006/relationships/hyperlink" Target="http://www.nerptropical.edu.au/sites/default/files/publications/files/NERP-PROJECT-10.1-FACTSHEET-RECREATION.pdf" TargetMode="External"/><Relationship Id="rId1839" Type="http://schemas.openxmlformats.org/officeDocument/2006/relationships/hyperlink" Target="https://www.msq.qld.gov.au/About-us/Maritime-statistics-and-reports-library" TargetMode="External"/><Relationship Id="rId182" Type="http://schemas.openxmlformats.org/officeDocument/2006/relationships/hyperlink" Target="http://www.qccqld.org.au/" TargetMode="External"/><Relationship Id="rId1906" Type="http://schemas.openxmlformats.org/officeDocument/2006/relationships/hyperlink" Target="https://www.amsa.gov.au/navigation/services/aton/" TargetMode="External"/><Relationship Id="rId487" Type="http://schemas.openxmlformats.org/officeDocument/2006/relationships/hyperlink" Target="http://www.defence.gov.au/Exercises/TS17/EnvironmentalPlanning.asp" TargetMode="External"/><Relationship Id="rId694" Type="http://schemas.openxmlformats.org/officeDocument/2006/relationships/hyperlink" Target="https://www.daf.qld.gov.au/fisheries/monitoring-our-fisheries/data-reports/sustainability-reporting" TargetMode="External"/><Relationship Id="rId347" Type="http://schemas.openxmlformats.org/officeDocument/2006/relationships/hyperlink" Target="http://www.gbrmpa.gov.au/visit-the-reef/choose-a-high-standard-operator/high-standard-tourism-operation" TargetMode="External"/><Relationship Id="rId999" Type="http://schemas.openxmlformats.org/officeDocument/2006/relationships/hyperlink" Target="http://hdl.handle.net/11017/3369" TargetMode="External"/><Relationship Id="rId1184" Type="http://schemas.openxmlformats.org/officeDocument/2006/relationships/hyperlink" Target="https://www.reefplan.qld.gov.au/about/reef-science/scientific-consensus-statement/" TargetMode="External"/><Relationship Id="rId2028" Type="http://schemas.openxmlformats.org/officeDocument/2006/relationships/fontTable" Target="fontTable.xml"/><Relationship Id="rId554" Type="http://schemas.openxmlformats.org/officeDocument/2006/relationships/hyperlink" Target="http://www.defence.gov.au/estatemanagement/governance/Policy/Environment/EnergyEfficiency/Docs/DefenceEstateEnergyStrategyV2May14.pdf" TargetMode="External"/><Relationship Id="rId761" Type="http://schemas.openxmlformats.org/officeDocument/2006/relationships/hyperlink" Target="http://www.gbrmpa.gov.au/about-us/corporate-information/annual-report/annual-report-2016-2017" TargetMode="External"/><Relationship Id="rId859" Type="http://schemas.openxmlformats.org/officeDocument/2006/relationships/hyperlink" Target="https://publications.qld.gov.au/dataset/queensland-sustainable-fisheries-strategy/resource/319c7e02-f07b-4b2e-8fd5-a435d2c2f3c9" TargetMode="External"/><Relationship Id="rId1391" Type="http://schemas.openxmlformats.org/officeDocument/2006/relationships/hyperlink" Target="http://www.gpcl.com.au/community/indigenous-relations" TargetMode="External"/><Relationship Id="rId1489"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1696"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207" Type="http://schemas.openxmlformats.org/officeDocument/2006/relationships/hyperlink" Target="https://www.ehp.qld.gov.au/water/policy/water_quality_improvement_plans.html" TargetMode="External"/><Relationship Id="rId414" Type="http://schemas.openxmlformats.org/officeDocument/2006/relationships/hyperlink" Target="http://www.abs.gov.au/ausstats/abs@.nsf/mf/4680.0" TargetMode="External"/><Relationship Id="rId621" Type="http://schemas.openxmlformats.org/officeDocument/2006/relationships/hyperlink" Target="https://link.springer.com/article/10.1007/s00343-010-9113-3" TargetMode="External"/><Relationship Id="rId1044" Type="http://schemas.openxmlformats.org/officeDocument/2006/relationships/hyperlink" Target="https://www.youtube.com/watch?v=Y2Y_gHuklyc" TargetMode="External"/><Relationship Id="rId1251" Type="http://schemas.openxmlformats.org/officeDocument/2006/relationships/hyperlink" Target="http://hdl.handle.net/11017/3009" TargetMode="External"/><Relationship Id="rId1349" Type="http://schemas.openxmlformats.org/officeDocument/2006/relationships/hyperlink" Target="http://www.environment.gov.au/sustainability/regional-development/gbr/publications/gbr-anchorage-management.html" TargetMode="External"/><Relationship Id="rId719" Type="http://schemas.openxmlformats.org/officeDocument/2006/relationships/hyperlink" Target="https://publications.qld.gov.au/dataset/queensland-sustainable-fisheries-strategy/resource/319c7e02-f07b-4b2e-8fd5-a435d2c2f3c9" TargetMode="External"/><Relationship Id="rId926" Type="http://schemas.openxmlformats.org/officeDocument/2006/relationships/hyperlink" Target="http://www.environment.gov.au/heritage/places/world/great-barrier-reef/values.html" TargetMode="External"/><Relationship Id="rId1111" Type="http://schemas.openxmlformats.org/officeDocument/2006/relationships/hyperlink" Target="http://hdl.handle.net/11017/3215" TargetMode="External"/><Relationship Id="rId1556" Type="http://schemas.openxmlformats.org/officeDocument/2006/relationships/hyperlink" Target="http://hdl.handle.net/11017/3009" TargetMode="External"/><Relationship Id="rId1763" Type="http://schemas.openxmlformats.org/officeDocument/2006/relationships/hyperlink" Target="http://unctad.org/en/Pages/Publications/Review-of-Maritime-Transport-(Series).aspx" TargetMode="External"/><Relationship Id="rId1970" Type="http://schemas.openxmlformats.org/officeDocument/2006/relationships/hyperlink" Target="http://www.environment.gov.au/marine/publications/recovery-plan-marine-turtles-australia-2017" TargetMode="External"/><Relationship Id="rId55" Type="http://schemas.openxmlformats.org/officeDocument/2006/relationships/hyperlink" Target="https://www.npsr.qld.gov.au/managing/pest-plants-animals/nest-ocean-turtle-protection-program.html" TargetMode="External"/><Relationship Id="rId1209" Type="http://schemas.openxmlformats.org/officeDocument/2006/relationships/hyperlink" Target="http://www.reefplan.qld.gov.au/about/assets/2017-scientific-consensus-statement-summary-chap04.pdf" TargetMode="External"/><Relationship Id="rId1416" Type="http://schemas.openxmlformats.org/officeDocument/2006/relationships/hyperlink" Target="http://thedock.gbrmpa.gov.au/sites/Projects/P000097/MEA/Evidence-collection-templates/Sustainable%20Ports%20Development%20Act%202015" TargetMode="External"/><Relationship Id="rId1623" Type="http://schemas.openxmlformats.org/officeDocument/2006/relationships/hyperlink" Target="http://www.environment.gov.au/marine/gbr/publications/reef-2050-long-term-sustainability-plan" TargetMode="External"/><Relationship Id="rId1830" Type="http://schemas.openxmlformats.org/officeDocument/2006/relationships/hyperlink" Target="http://www.gbrmpa.gov.au/__data/assets/pdf_file/0016/3832/gbrmpa_CruiseShippingPolicy_1999.pdf" TargetMode="External"/><Relationship Id="rId1928" Type="http://schemas.openxmlformats.org/officeDocument/2006/relationships/hyperlink" Target="https://www.amsa.gov.au/marine-environment/marine-pollution/shipping-management-plans" TargetMode="External"/><Relationship Id="rId271" Type="http://schemas.openxmlformats.org/officeDocument/2006/relationships/hyperlink" Target="http://edocs.gbrmpa.gov.au/RefWorks/2011-2020/2017/Heron_etal_2017_Impact-CC-WHAs.pdf" TargetMode="External"/><Relationship Id="rId131" Type="http://schemas.openxmlformats.org/officeDocument/2006/relationships/hyperlink" Target="https://wetlandinfo.ehp.qld.gov.au/resources/static/pdf/management/policy/wetlands-gbr-strategy2016-21v13.pdf" TargetMode="External"/><Relationship Id="rId369" Type="http://schemas.openxmlformats.org/officeDocument/2006/relationships/hyperlink" Target="http://www.environment.gov.au/system/files/resources/cb36afd7-7f52-468a-9d69-a6bdd7da156b/files/gbr-state-party-report-2015.pdf" TargetMode="External"/><Relationship Id="rId576" Type="http://schemas.openxmlformats.org/officeDocument/2006/relationships/hyperlink" Target="http://www.gbrmpa.gov.au/about-us/corporate-information/annual-report" TargetMode="External"/><Relationship Id="rId783" Type="http://schemas.openxmlformats.org/officeDocument/2006/relationships/hyperlink" Target="https://publications.qld.gov.au/dataset/queensland-sustainable-fisheries-strategy/resource/319c7e02-f07b-4b2e-8fd5-a435d2c2f3c9" TargetMode="External"/><Relationship Id="rId990" Type="http://schemas.openxmlformats.org/officeDocument/2006/relationships/hyperlink" Target="http://www.gbrmpa.gov.au/media-room/latest-news/heritage/2017/celebrating-great-barrier-reef-heritage" TargetMode="External"/><Relationship Id="rId229" Type="http://schemas.openxmlformats.org/officeDocument/2006/relationships/hyperlink" Target="http://www.environment.gov.au/marine/gbr/publications/reef-2050-plan-annual-report-implementation-strategy" TargetMode="External"/><Relationship Id="rId436" Type="http://schemas.openxmlformats.org/officeDocument/2006/relationships/hyperlink" Target="http://www.gbrmpa.gov.au/managing-the-reef/how-the-reefs-managed/eye-on-the-reef" TargetMode="External"/><Relationship Id="rId643" Type="http://schemas.openxmlformats.org/officeDocument/2006/relationships/hyperlink" Target="http://www.environment.gov.au/heritage/ahc/publications/ask-first-guide-respecting-indigenous-heritage-places-and-values" TargetMode="External"/><Relationship Id="rId1066" Type="http://schemas.openxmlformats.org/officeDocument/2006/relationships/hyperlink" Target="https://www.npsr.qld.gov.au/managing/plans-strategies/" TargetMode="External"/><Relationship Id="rId1273" Type="http://schemas.openxmlformats.org/officeDocument/2006/relationships/hyperlink" Target="http://healthyriverstoreef.org.au/report-card-results/" TargetMode="External"/><Relationship Id="rId1480" Type="http://schemas.openxmlformats.org/officeDocument/2006/relationships/hyperlink" Target="http://www.environment.gov.au/marine/gbr/publications/improved-dredge-material-management-great-barrier-reef-region" TargetMode="External"/><Relationship Id="rId850" Type="http://schemas.openxmlformats.org/officeDocument/2006/relationships/hyperlink" Target="https://www.daf.qld.gov.au/fisheries/monitoring-our-fisheries/recreational-fisheries/statewide-and-regional-recreational-fishing-survey" TargetMode="External"/><Relationship Id="rId948" Type="http://schemas.openxmlformats.org/officeDocument/2006/relationships/hyperlink" Target="http://www.landcareillawarra.org.au/useful-links/cultural-heritage/" TargetMode="External"/><Relationship Id="rId1133" Type="http://schemas.openxmlformats.org/officeDocument/2006/relationships/hyperlink" Target="http://elibrary.gbrmpa.gov.au/jspui/handle/11017/2861" TargetMode="External"/><Relationship Id="rId1578" Type="http://schemas.openxmlformats.org/officeDocument/2006/relationships/hyperlink" Target="http://www.portsaustralia.com.au/assets/Publications/Ports-Australia-Dredging-Code-of-Practice.pdf" TargetMode="External"/><Relationship Id="rId1785" Type="http://schemas.openxmlformats.org/officeDocument/2006/relationships/hyperlink" Target="http://www.amsa.gov.au/navigation/shipping-management/pilotage/qcpp/index.asp" TargetMode="External"/><Relationship Id="rId1992" Type="http://schemas.openxmlformats.org/officeDocument/2006/relationships/hyperlink" Target="http://www.environment.gov.au/marine/publications/recovery-plan-marine-turtles-australia-2017" TargetMode="External"/><Relationship Id="rId77" Type="http://schemas.openxmlformats.org/officeDocument/2006/relationships/hyperlink" Target="https://wetlandinfo.ehp.qld.gov.au/wetlands/ecology/processes-systems/water/catchment-stories/" TargetMode="External"/><Relationship Id="rId503" Type="http://schemas.openxmlformats.org/officeDocument/2006/relationships/hyperlink" Target="https://research.jcu.edu.au/tropwater/publications/1721Distributionandabundanceofdugongandlargemarineturtles.pdf" TargetMode="External"/><Relationship Id="rId710" Type="http://schemas.openxmlformats.org/officeDocument/2006/relationships/hyperlink" Target="http://onlinelibrary.wiley.com/doi/10.1111/cobi.12940/epdf" TargetMode="External"/><Relationship Id="rId808" Type="http://schemas.openxmlformats.org/officeDocument/2006/relationships/hyperlink" Target="https://www.daf.qld.gov.au/fisheries/monitoring-our-fisheries/data-reports" TargetMode="External"/><Relationship Id="rId1340" Type="http://schemas.openxmlformats.org/officeDocument/2006/relationships/hyperlink" Target="http://hdl.handle.net/11017/3224" TargetMode="External"/><Relationship Id="rId1438" Type="http://schemas.openxmlformats.org/officeDocument/2006/relationships/hyperlink" Target="http://elibrary.gbrmpa.gov.au/jspui/browse?type=series&amp;order=ASC&amp;rpp=20&amp;value=Marine+Monitoring+Program+-+Inshore+Seagrass" TargetMode="External"/><Relationship Id="rId1645" Type="http://schemas.openxmlformats.org/officeDocument/2006/relationships/hyperlink" Target="http://www.reefcheckaustralia.org/" TargetMode="External"/><Relationship Id="rId1200" Type="http://schemas.openxmlformats.org/officeDocument/2006/relationships/hyperlink" Target="http://www.reefplan.qld.gov.au/about/assets/2017-scientific-consensus-statement-summary-chap04.pdf" TargetMode="External"/><Relationship Id="rId1852" Type="http://schemas.openxmlformats.org/officeDocument/2006/relationships/hyperlink" Target="http://hdl.handle.net/11017/3109" TargetMode="External"/><Relationship Id="rId1505" Type="http://schemas.openxmlformats.org/officeDocument/2006/relationships/hyperlink" Target="http://www.nqdrytropics.com.au/wqip2016/" TargetMode="External"/><Relationship Id="rId1712" Type="http://schemas.openxmlformats.org/officeDocument/2006/relationships/hyperlink" Target="https://www.amsa.gov.au/navigation/shipping-management/nesm/" TargetMode="External"/><Relationship Id="rId293" Type="http://schemas.openxmlformats.org/officeDocument/2006/relationships/hyperlink" Target="http://www.gbrmpa.gov.au/__data/assets/pdf_file/0018/29421/Marine_Tourism_Framework_A4-Access.pdf" TargetMode="External"/><Relationship Id="rId153" Type="http://schemas.openxmlformats.org/officeDocument/2006/relationships/hyperlink" Target="http://www.gbrmpa.gov.au/our-partners/reef-guardians" TargetMode="External"/><Relationship Id="rId360" Type="http://schemas.openxmlformats.org/officeDocument/2006/relationships/hyperlink" Target="http://www.environment.gov.au/marine/gbr/publications/reef-2050-long-term-sustainability-plan" TargetMode="External"/><Relationship Id="rId598" Type="http://schemas.openxmlformats.org/officeDocument/2006/relationships/hyperlink" Target="http://www.defence.gov.au/estatemanagement/governance/Policy/Environment/Heritage/Docs/DefenceHeritageStrategy.pdf" TargetMode="External"/><Relationship Id="rId220" Type="http://schemas.openxmlformats.org/officeDocument/2006/relationships/hyperlink" Target="http://www.reefplan.qld.gov.au/about/" TargetMode="External"/><Relationship Id="rId458" Type="http://schemas.openxmlformats.org/officeDocument/2006/relationships/hyperlink" Target="https://www.nqdrytropics.com.au/grantshub/" TargetMode="External"/><Relationship Id="rId665" Type="http://schemas.openxmlformats.org/officeDocument/2006/relationships/hyperlink" Target="http://www.defence.gov.au/Exercises/TS17/EnvironmentalPlanning.asp" TargetMode="External"/><Relationship Id="rId872" Type="http://schemas.openxmlformats.org/officeDocument/2006/relationships/hyperlink" Target="https://publications.qld.gov.au/dataset/queensland-sustainable-fisheries-strategy/resource/319c7e02-f07b-4b2e-8fd5-a435d2c2f3c9" TargetMode="External"/><Relationship Id="rId1088" Type="http://schemas.openxmlformats.org/officeDocument/2006/relationships/hyperlink" Target="http://elibrary.gbrmpa.gov.au/jspui/handle/11017/3213" TargetMode="External"/><Relationship Id="rId1295" Type="http://schemas.openxmlformats.org/officeDocument/2006/relationships/hyperlink" Target="http://nqbp.com.au/wp-content/uploads/2017/03/NQB16669_YourPorts_12pp_Brochure_FA_Online.pdf" TargetMode="External"/><Relationship Id="rId318" Type="http://schemas.openxmlformats.org/officeDocument/2006/relationships/hyperlink" Target="http://www.gbrmpa.gov.au/__data/assets/pdf_file/0013/4612/GBRMPA-sightings-information-sheet-A4-web.pdf" TargetMode="External"/><Relationship Id="rId525" Type="http://schemas.openxmlformats.org/officeDocument/2006/relationships/hyperlink" Target="http://www.environment.gov.au/system/files/resources/797b46e9-af09-48ab-835b-2a5350f89ba1/files/gbr-strat-assessment-ind-review-report.pdf" TargetMode="External"/><Relationship Id="rId732" Type="http://schemas.openxmlformats.org/officeDocument/2006/relationships/hyperlink" Target="https://www.daf.qld.gov.au/business-priorities/fisheries/sustainable-fisheries-strategy/changes-to-queenslands-fisheries-legislation" TargetMode="External"/><Relationship Id="rId1155" Type="http://schemas.openxmlformats.org/officeDocument/2006/relationships/hyperlink" Target="http://www.ehp.qld.gov.au/water/policy/pdf/capricorn-curtis-ev-economic-social-impacts.pdf" TargetMode="External"/><Relationship Id="rId1362"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99" Type="http://schemas.openxmlformats.org/officeDocument/2006/relationships/hyperlink" Target="http://www.reefplan.qld.gov.au/measuring-success/report-cards/" TargetMode="External"/><Relationship Id="rId1015" Type="http://schemas.openxmlformats.org/officeDocument/2006/relationships/hyperlink" Target="http://www.npsr.qld.gov.au/raineisland/" TargetMode="External"/><Relationship Id="rId1222" Type="http://schemas.openxmlformats.org/officeDocument/2006/relationships/hyperlink" Target="http://elibrary.gbrmpa.gov.au/jspui/handle/11017/2861" TargetMode="External"/><Relationship Id="rId1667" Type="http://schemas.openxmlformats.org/officeDocument/2006/relationships/hyperlink" Target="http://www.gbrmpa.gov.au/visit-the-reef/responsible-reef-practices" TargetMode="External"/><Relationship Id="rId1874" Type="http://schemas.openxmlformats.org/officeDocument/2006/relationships/hyperlink" Target="http://hdl.handle.net/11017/2855" TargetMode="External"/><Relationship Id="rId1527" Type="http://schemas.openxmlformats.org/officeDocument/2006/relationships/hyperlink" Target="http://www.environment.gov.au/marine/gbr/publications/improved-dredge-material-management-great-barrier-reef-region" TargetMode="External"/><Relationship Id="rId1734" Type="http://schemas.openxmlformats.org/officeDocument/2006/relationships/hyperlink" Target="https://www.daf.qld.gov.au/plants/weeds-pest-animals-ants/marine-pests" TargetMode="External"/><Relationship Id="rId1941" Type="http://schemas.openxmlformats.org/officeDocument/2006/relationships/hyperlink" Target="http://elibrary.gbrmpa.gov.au/jspui/handle/11017/2861" TargetMode="External"/><Relationship Id="rId26" Type="http://schemas.openxmlformats.org/officeDocument/2006/relationships/header" Target="header2.xml"/><Relationship Id="rId175" Type="http://schemas.openxmlformats.org/officeDocument/2006/relationships/hyperlink" Target="https://wetlandinfo.ehp.qld.gov.au/wetlands/ecology/processes-systems/water/catchment-stories/" TargetMode="External"/><Relationship Id="rId1801" Type="http://schemas.openxmlformats.org/officeDocument/2006/relationships/hyperlink" Target="https://www.amsa.gov.au/forms-and-publications/environment/publications/NP-Reports/documents/Natplan_Review_Report.pdf" TargetMode="External"/><Relationship Id="rId382" Type="http://schemas.openxmlformats.org/officeDocument/2006/relationships/hyperlink" Target="http://nesptropical.edu.au/index.php/round-3-projects/project-3-2-2/" TargetMode="External"/><Relationship Id="rId687" Type="http://schemas.openxmlformats.org/officeDocument/2006/relationships/hyperlink" Target="http://www.defence.gov.au/Exercises/TS17/EnvironmentalPlanning.asp" TargetMode="External"/><Relationship Id="rId242" Type="http://schemas.openxmlformats.org/officeDocument/2006/relationships/hyperlink" Target="http://hdl.handle.net/11017/3224" TargetMode="External"/><Relationship Id="rId894" Type="http://schemas.openxmlformats.org/officeDocument/2006/relationships/hyperlink" Target="http://www.gbrmpa.gov.au/zoning-permits-and-plans/special-management-areas/protecting-our-maritime-cultural-heritage" TargetMode="External"/><Relationship Id="rId1177" Type="http://schemas.openxmlformats.org/officeDocument/2006/relationships/hyperlink" Target="https://www.ehp.qld.gov.au/assets/documents/reef/taskforce-final-report-response.pdf" TargetMode="External"/><Relationship Id="rId102" Type="http://schemas.openxmlformats.org/officeDocument/2006/relationships/hyperlink" Target="https://publications.qld.gov.au/dataset/4dbd1416-52b7-467a-8410-17a70ddf16bf/resource/60a7902d-7a9d-49a7-90b1-a54686fbcef5/download/edocs-5799682-v1-slatsreport2015-16.pdf" TargetMode="External"/><Relationship Id="rId547" Type="http://schemas.openxmlformats.org/officeDocument/2006/relationships/hyperlink" Target="http://www.defence.gov.au/estatemanagement/governance/Policy/Environment/Water/Docs/DefenceEstateWaterStrategyV2May14.pdf" TargetMode="External"/><Relationship Id="rId754" Type="http://schemas.openxmlformats.org/officeDocument/2006/relationships/hyperlink" Target="http://www.environment.gov.au/marine/gbr/protecting-the-reef/intergovernmental-agreement" TargetMode="External"/><Relationship Id="rId961" Type="http://schemas.openxmlformats.org/officeDocument/2006/relationships/hyperlink" Target="http://hdl.handle.net/11017/3370" TargetMode="External"/><Relationship Id="rId1384" Type="http://schemas.openxmlformats.org/officeDocument/2006/relationships/hyperlink" Target="http://www.gbrmpa.gov.au/about-us/reef-advisory-committee" TargetMode="External"/><Relationship Id="rId1591" Type="http://schemas.openxmlformats.org/officeDocument/2006/relationships/hyperlink" Target="http://www.environment.gov.au/system/files/resources/ea14e16d-15c1-4599-ac4a-53b9f1375f59/files/reef-2050-investment-framework.pdf" TargetMode="External"/><Relationship Id="rId1689" Type="http://schemas.openxmlformats.org/officeDocument/2006/relationships/hyperlink" Target="http://www.gbrmpa.gov.au/visit-the-reef/responsible-reef-practices/waste" TargetMode="External"/><Relationship Id="rId90" Type="http://schemas.openxmlformats.org/officeDocument/2006/relationships/hyperlink" Target="http://www.reefplan.qld.gov.au/about/assets/2017-scientific-consensus-statement-summary.pdf" TargetMode="External"/><Relationship Id="rId407" Type="http://schemas.openxmlformats.org/officeDocument/2006/relationships/hyperlink" Target="http://www.gbrmpa.gov.au/managing-the-reef/reef-2050/reef-integrated-monitoring-and-reporting-program" TargetMode="External"/><Relationship Id="rId614" Type="http://schemas.openxmlformats.org/officeDocument/2006/relationships/hyperlink" Target="http://www.defence.gov.au/Exercises/TS17/EnvironmentalPlanning.asp" TargetMode="External"/><Relationship Id="rId821" Type="http://schemas.openxmlformats.org/officeDocument/2006/relationships/hyperlink" Target="http://www.environment.gov.au/protection/assessments/strategic/great-barrier-reef" TargetMode="External"/><Relationship Id="rId1037" Type="http://schemas.openxmlformats.org/officeDocument/2006/relationships/hyperlink" Target="http://elibrary.gbrmpa.gov.au/jspui/handle/11017/2861" TargetMode="External"/><Relationship Id="rId1244" Type="http://schemas.openxmlformats.org/officeDocument/2006/relationships/hyperlink" Target="http://www.gbrmpa.gov.au/managing-the-reef/strategic-assessment" TargetMode="External"/><Relationship Id="rId1451" Type="http://schemas.openxmlformats.org/officeDocument/2006/relationships/hyperlink" Target="http://elibrary.gbrmpa.gov.au/jspui/handle/11017/3215" TargetMode="External"/><Relationship Id="rId1896" Type="http://schemas.openxmlformats.org/officeDocument/2006/relationships/hyperlink" Target="http://www.environment.gov.au/protection/environment-assessments/bilateral-agreements/qld" TargetMode="External"/><Relationship Id="rId919" Type="http://schemas.openxmlformats.org/officeDocument/2006/relationships/hyperlink" Target="https://www.environment.gov.au/system/files/resources/d98b3e53-146b-4b9c-a84a-2a22454b9a83/files/reef-2050-long-term-sustainability-plan.pdf" TargetMode="External"/><Relationship Id="rId1104" Type="http://schemas.openxmlformats.org/officeDocument/2006/relationships/hyperlink" Target="https://www.youtube.com/watch?v=elAWJiHAKVY" TargetMode="External"/><Relationship Id="rId1311" Type="http://schemas.openxmlformats.org/officeDocument/2006/relationships/hyperlink" Target="http://www.portsaustralia.com.au/assets/Publications/Ports-Australia-Dredging-Code-of-Practice.pdf%20%5d" TargetMode="External"/><Relationship Id="rId1549" Type="http://schemas.openxmlformats.org/officeDocument/2006/relationships/hyperlink" Target="https://file.ac/fSFmYS7Errs/" TargetMode="External"/><Relationship Id="rId1756" Type="http://schemas.openxmlformats.org/officeDocument/2006/relationships/hyperlink" Target="http://www.gbrmpa.gov.au/about-us/corporate-information/annual-report/annual-report-2015-16" TargetMode="External"/><Relationship Id="rId1963" Type="http://schemas.openxmlformats.org/officeDocument/2006/relationships/hyperlink" Target="http://elibrary.gbrmpa.gov.au/jspui/handle/11017/3339" TargetMode="External"/><Relationship Id="rId48" Type="http://schemas.openxmlformats.org/officeDocument/2006/relationships/hyperlink" Target="http://www.gbrmpa.gov.au/zoning-permits-and-plans/site-specific-management" TargetMode="External"/><Relationship Id="rId1409" Type="http://schemas.openxmlformats.org/officeDocument/2006/relationships/hyperlink" Target="http://www.environment.gov.au/protection/environment-assessments/bilateral-agreements/qld" TargetMode="External"/><Relationship Id="rId1616" Type="http://schemas.openxmlformats.org/officeDocument/2006/relationships/hyperlink" Target="http://www.gbrmpa.gov.au/about-the-reef/how-the-reefs-managed/recreation-in-the-great-barrier-reef-marine-park" TargetMode="External"/><Relationship Id="rId1823" Type="http://schemas.openxmlformats.org/officeDocument/2006/relationships/hyperlink" Target="http://www.amsa.gov.au/forms-and-publications/Publications/AMSA439.pdf" TargetMode="External"/><Relationship Id="rId197" Type="http://schemas.openxmlformats.org/officeDocument/2006/relationships/hyperlink" Target="http://www.greeningaustralia.org.au" TargetMode="External"/><Relationship Id="rId264" Type="http://schemas.openxmlformats.org/officeDocument/2006/relationships/hyperlink" Target="http://www.gbrmpa.gov.au/managing-the-reef/threats-to-the-reef/extreme-weather/ecosystem-impacts/management-responses" TargetMode="External"/><Relationship Id="rId471" Type="http://schemas.openxmlformats.org/officeDocument/2006/relationships/hyperlink" Target="http://www.environment.gov.au/resource/economic-contribution-great-barrier-reef-march-2013" TargetMode="External"/><Relationship Id="rId124" Type="http://schemas.openxmlformats.org/officeDocument/2006/relationships/hyperlink" Target="https://www.dilgp.qld.gov.au/resources/policy/sdap/v2/sdap.pdf" TargetMode="External"/><Relationship Id="rId569"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776" Type="http://schemas.openxmlformats.org/officeDocument/2006/relationships/hyperlink" Target="https://publications.qld.gov.au/dataset/queensland-sustainable-fisheries-strategy/resource/319c7e02-f07b-4b2e-8fd5-a435d2c2f3c9" TargetMode="External"/><Relationship Id="rId983" Type="http://schemas.openxmlformats.org/officeDocument/2006/relationships/hyperlink" Target="http://thedock.gbrmpa.gov.au/sites/Projects/P000020/_layouts/DocIdRedir.aspx?ID=PROJ-56-190" TargetMode="External"/><Relationship Id="rId1199" Type="http://schemas.openxmlformats.org/officeDocument/2006/relationships/hyperlink" Target="https://www.reefplan.qld.gov.au/about/targets/" TargetMode="External"/><Relationship Id="rId331" Type="http://schemas.openxmlformats.org/officeDocument/2006/relationships/hyperlink" Target="http://www.gbrmpa.gov.au/onboard/home/emc" TargetMode="External"/><Relationship Id="rId429" Type="http://schemas.openxmlformats.org/officeDocument/2006/relationships/hyperlink" Target="http://nesptropical.edu.au/index.php/round-2-projects/project-2-3-2/" TargetMode="External"/><Relationship Id="rId636" Type="http://schemas.openxmlformats.org/officeDocument/2006/relationships/hyperlink" Target="http://www.defence.gov.au/Exercises/TS17/EnvironmentalPlanning.asp" TargetMode="External"/><Relationship Id="rId1059" Type="http://schemas.openxmlformats.org/officeDocument/2006/relationships/hyperlink" Target="https://www.environment.gov.au/marine/gbr/publications/reef-2050-long-term-sustainability-plan" TargetMode="External"/><Relationship Id="rId1266" Type="http://schemas.openxmlformats.org/officeDocument/2006/relationships/hyperlink" Target="http://elibrary.gbrmpa.gov.au/jspui/handle/11017/2861" TargetMode="External"/><Relationship Id="rId1473" Type="http://schemas.openxmlformats.org/officeDocument/2006/relationships/hyperlink" Target="https://www.statedevelopment.qld.gov.au/industry-development/port-master-planning-for-priority-ports.html" TargetMode="External"/><Relationship Id="rId2012" Type="http://schemas.openxmlformats.org/officeDocument/2006/relationships/hyperlink" Target="https://www.npsr.qld.gov.au/raineisland/" TargetMode="External"/><Relationship Id="rId843" Type="http://schemas.openxmlformats.org/officeDocument/2006/relationships/hyperlink" Target="http://frdc.com.au/Archived-Reports/FRDC%20Projects/2010-007-DLD.pdf" TargetMode="External"/><Relationship Id="rId1126" Type="http://schemas.openxmlformats.org/officeDocument/2006/relationships/hyperlink" Target="http://www.reefplan.qld.gov.au/measuring-success/report-cards/" TargetMode="External"/><Relationship Id="rId1680" Type="http://schemas.openxmlformats.org/officeDocument/2006/relationships/hyperlink" Target="http://www.gbrmpa.gov.au/visit-the-reef/responsible-reef-practices/waste" TargetMode="External"/><Relationship Id="rId1778" Type="http://schemas.openxmlformats.org/officeDocument/2006/relationships/hyperlink" Target="https://www.amsa.gov.au/natship12/documents/Day%202%20-%20Session%206%20-%20No%201%20of%204%20-%20Darren%20Kindleysides.pdf" TargetMode="External"/><Relationship Id="rId1985" Type="http://schemas.openxmlformats.org/officeDocument/2006/relationships/hyperlink" Target="http://elibrary.gbrmpa.gov.au/jspui/bitstream/11017/3241/5/Traditional-Owner-Heritage-Assessment-Guideline.pdf" TargetMode="External"/><Relationship Id="rId703" Type="http://schemas.openxmlformats.org/officeDocument/2006/relationships/hyperlink" Target="http://marinepalaeoecology.org/wp-content/uploads/2016/05/Thurstan-et-al-2016-Fish-Fisheries.pdf" TargetMode="External"/><Relationship Id="rId910" Type="http://schemas.openxmlformats.org/officeDocument/2006/relationships/hyperlink" Target="https://publications.qld.gov.au/dataset/queensland-sustainable-fisheries-strategy/resource/319c7e02-f07b-4b2e-8fd5-a435d2c2f3c9" TargetMode="External"/><Relationship Id="rId1333" Type="http://schemas.openxmlformats.org/officeDocument/2006/relationships/hyperlink" Target="http://www.environment.gov.au/marine/gbr/publications/reef-2050-long-term-sustainability-plan" TargetMode="External"/><Relationship Id="rId1540" Type="http://schemas.openxmlformats.org/officeDocument/2006/relationships/hyperlink" Target="http://www.nqdrytropics.com.au/wqip2016/" TargetMode="External"/><Relationship Id="rId1638" Type="http://schemas.openxmlformats.org/officeDocument/2006/relationships/hyperlink" Target="http://elibrary.gbrmpa.gov.au/jspui/handle/11017/2855" TargetMode="External"/><Relationship Id="rId1400" Type="http://schemas.openxmlformats.org/officeDocument/2006/relationships/hyperlink" Target="http://www.ehp.qld.gov.au/gladstone/healthy-harbour/" TargetMode="External"/><Relationship Id="rId1845" Type="http://schemas.openxmlformats.org/officeDocument/2006/relationships/hyperlink" Target="http://www.gbrmpa.gov.au/managing-the-reef/how-the-reefs-managed/Managing-multiple-uses/shipping/designated-shipping-areas" TargetMode="External"/><Relationship Id="rId1705" Type="http://schemas.openxmlformats.org/officeDocument/2006/relationships/hyperlink" Target="http://www.amsa.gov.au/about-amsa/corporate-information/legislation/index.asp" TargetMode="External"/><Relationship Id="rId1912" Type="http://schemas.openxmlformats.org/officeDocument/2006/relationships/hyperlink" Target="http://hdl.handle.net/11017/3238" TargetMode="External"/><Relationship Id="rId286" Type="http://schemas.openxmlformats.org/officeDocument/2006/relationships/hyperlink" Target="http://www.gbrmpa.gov.au/about-the-reef/animals/crown-of-thorns-starfish" TargetMode="External"/><Relationship Id="rId493" Type="http://schemas.openxmlformats.org/officeDocument/2006/relationships/hyperlink" Target="http://www.defence.gov.au/estatemanagement/governance/Policy/Environment/Heritage/Docs/DefenceHeritageStrategy.pdf" TargetMode="External"/><Relationship Id="rId146" Type="http://schemas.openxmlformats.org/officeDocument/2006/relationships/hyperlink" Target="http://www.environment.gov.au/marine/gbr/publications/reef-2050-long-term-sustainability-plan" TargetMode="External"/><Relationship Id="rId353" Type="http://schemas.openxmlformats.org/officeDocument/2006/relationships/hyperlink" Target="http://onboard.gbrmpa.gov.au/" TargetMode="External"/><Relationship Id="rId560" Type="http://schemas.openxmlformats.org/officeDocument/2006/relationships/hyperlink" Target="http://www.defence.gov.au/Exercises/TS17/EnvironmentalPlanning.asp" TargetMode="External"/><Relationship Id="rId798" Type="http://schemas.openxmlformats.org/officeDocument/2006/relationships/hyperlink" Target="https://publications.qld.gov.au/dataset/queensland-sustainable-fisheries-strategy/resource/319c7e02-f07b-4b2e-8fd5-a435d2c2f3c9" TargetMode="External"/><Relationship Id="rId1190" Type="http://schemas.openxmlformats.org/officeDocument/2006/relationships/hyperlink" Target="http://qgsp.maps.arcgis.com/apps/webappviewer/index.html?id=fdaf974d7ef040f9a5522cefcc6cc80c" TargetMode="External"/><Relationship Id="rId213" Type="http://schemas.openxmlformats.org/officeDocument/2006/relationships/hyperlink" Target="http://www.reefplan.qld.gov.au/about/" TargetMode="External"/><Relationship Id="rId420" Type="http://schemas.openxmlformats.org/officeDocument/2006/relationships/hyperlink" Target="http://elibrary.gbrmpa.gov.au/jspui/handle/11017/3235" TargetMode="External"/><Relationship Id="rId658" Type="http://schemas.openxmlformats.org/officeDocument/2006/relationships/hyperlink" Target="https://link.springer.com/article/10.1007/s00343-010-9113-3" TargetMode="External"/><Relationship Id="rId865" Type="http://schemas.openxmlformats.org/officeDocument/2006/relationships/hyperlink" Target="https://publications.qld.gov.au/dataset/queensland-fisheries-harvest-strategy/resource/1a6d9dc6-73ac-4d32-9422-065649c34bba" TargetMode="External"/><Relationship Id="rId1050" Type="http://schemas.openxmlformats.org/officeDocument/2006/relationships/hyperlink" Target="https://www.npsr.qld.gov.au/managing/plans-strategies/" TargetMode="External"/><Relationship Id="rId1288" Type="http://schemas.openxmlformats.org/officeDocument/2006/relationships/hyperlink" Target="http://www.environment.gov.au/marine/gbr/reef-trust/offsets" TargetMode="External"/><Relationship Id="rId1495" Type="http://schemas.openxmlformats.org/officeDocument/2006/relationships/hyperlink" Target="https://www.townsville-port.com.au/potl-2015-16-annual-report-released/" TargetMode="External"/><Relationship Id="rId518" Type="http://schemas.openxmlformats.org/officeDocument/2006/relationships/hyperlink" Target="http://www.defence.gov.au/Exercises/TS17" TargetMode="External"/><Relationship Id="rId725" Type="http://schemas.openxmlformats.org/officeDocument/2006/relationships/hyperlink" Target="https://www.daf.qld.gov.au/fisheries/consultations-and-legislation/reviews-surveys-and-consultations/fisheries-management-review" TargetMode="External"/><Relationship Id="rId932" Type="http://schemas.openxmlformats.org/officeDocument/2006/relationships/hyperlink" Target="http://elibrary.gbrmpa.gov.au/jspui/handle/11017/3240" TargetMode="External"/><Relationship Id="rId1148" Type="http://schemas.openxmlformats.org/officeDocument/2006/relationships/hyperlink" Target="http://www.gbrmpa.gov.au/managing-the-reef/reef-2050/reef-2050-long-term-sustainability-plan" TargetMode="External"/><Relationship Id="rId1355" Type="http://schemas.openxmlformats.org/officeDocument/2006/relationships/hyperlink" Target="http://www.parliament.qld.gov.au/Documents/TableOffice/TabledPapers/2014/5414T5335.pdf" TargetMode="External"/><Relationship Id="rId1562" Type="http://schemas.openxmlformats.org/officeDocument/2006/relationships/hyperlink" Target="http://elibrary.gbrmpa.gov.au/jspui/browse?type=series&amp;order=ASC&amp;rpp=20&amp;value=Permission+system" TargetMode="External"/><Relationship Id="rId1008" Type="http://schemas.openxmlformats.org/officeDocument/2006/relationships/hyperlink" Target="http://hdl.handle.net/11017/3370" TargetMode="External"/><Relationship Id="rId1215" Type="http://schemas.openxmlformats.org/officeDocument/2006/relationships/hyperlink" Target="https://theconversation.com/the-new-great-barrier-reef-pollution-plan-is-better-but-still-not-good-enough-83233" TargetMode="External"/><Relationship Id="rId1422" Type="http://schemas.openxmlformats.org/officeDocument/2006/relationships/hyperlink" Target="https://www.statedevelopment.qld.gov.au/industry-development/port-master-planning-for-priority-ports.html" TargetMode="External"/><Relationship Id="rId1867" Type="http://schemas.openxmlformats.org/officeDocument/2006/relationships/hyperlink" Target="https://www.nespmarine.edu.au/" TargetMode="External"/><Relationship Id="rId61" Type="http://schemas.openxmlformats.org/officeDocument/2006/relationships/hyperlink" Target="https://soe.environment.gov.au/download/reports" TargetMode="External"/><Relationship Id="rId1727" Type="http://schemas.openxmlformats.org/officeDocument/2006/relationships/hyperlink" Target="http://www.environment.gov.au/sustainability/regional-development/gbr/publications/gbr-anchorage-management.html" TargetMode="External"/><Relationship Id="rId1934" Type="http://schemas.openxmlformats.org/officeDocument/2006/relationships/hyperlink" Target="https://www.amsa.gov.au/navigation/shipping-management/nesm/documents/nesm-plan-work-program.pdf" TargetMode="External"/><Relationship Id="rId19" Type="http://schemas.openxmlformats.org/officeDocument/2006/relationships/image" Target="cid:image001.jpg@01CF69F7.3B2060D0" TargetMode="External"/><Relationship Id="rId168" Type="http://schemas.openxmlformats.org/officeDocument/2006/relationships/hyperlink" Target="https://wetlandinfo.ehp.qld.gov.au/wetlands/ecology/aquatic-ecosystems-natural/groundwater-dependent/" TargetMode="External"/><Relationship Id="rId375" Type="http://schemas.openxmlformats.org/officeDocument/2006/relationships/hyperlink" Target="http://www.gbrmpa.gov.au/zoning-permits-and-plans/zoning" TargetMode="External"/><Relationship Id="rId582" Type="http://schemas.openxmlformats.org/officeDocument/2006/relationships/hyperlink" Target="http://www.defence.gov.au/annualreports/" TargetMode="External"/><Relationship Id="rId3" Type="http://schemas.openxmlformats.org/officeDocument/2006/relationships/customXml" Target="../customXml/item3.xml"/><Relationship Id="rId235" Type="http://schemas.openxmlformats.org/officeDocument/2006/relationships/hyperlink" Target="http://www.environment.gov.au/marine/gbr/publications/reef-2050-plan-annual-report-implementation-strategy" TargetMode="External"/><Relationship Id="rId442" Type="http://schemas.openxmlformats.org/officeDocument/2006/relationships/hyperlink" Target="https://www.smartcane.com.au/home.aspx" TargetMode="External"/><Relationship Id="rId887" Type="http://schemas.openxmlformats.org/officeDocument/2006/relationships/hyperlink" Target="http://www.gbrmpa.gov.au/zoning-permits-and-plans" TargetMode="External"/><Relationship Id="rId1072" Type="http://schemas.openxmlformats.org/officeDocument/2006/relationships/hyperlink" Target="http://www.environment.gov.au/marine/gbr/protecting-the-reef/intergovernmental-agreement" TargetMode="External"/><Relationship Id="rId302" Type="http://schemas.openxmlformats.org/officeDocument/2006/relationships/hyperlink" Target="http://www.gbrmpa.gov.au/__data/assets/pdf_file/0004/7582/Bareboat_Policy_050606.pdf" TargetMode="External"/><Relationship Id="rId747" Type="http://schemas.openxmlformats.org/officeDocument/2006/relationships/hyperlink" Target="https://www.daf.qld.gov.au/corporate-publications" TargetMode="External"/><Relationship Id="rId954" Type="http://schemas.openxmlformats.org/officeDocument/2006/relationships/hyperlink" Target="http://www.gbrmpa.gov.au/about-the-reef/heritage/lady-elliot-island-heritage-values" TargetMode="External"/><Relationship Id="rId1377" Type="http://schemas.openxmlformats.org/officeDocument/2006/relationships/hyperlink" Target="http://wettropicswaterways.org.au/report-card/" TargetMode="External"/><Relationship Id="rId1584" Type="http://schemas.openxmlformats.org/officeDocument/2006/relationships/hyperlink" Target="http://www.environment.gov.au/resource/economic-contribution-great-barrier-reef-march-2013" TargetMode="External"/><Relationship Id="rId1791" Type="http://schemas.openxmlformats.org/officeDocument/2006/relationships/hyperlink" Target="https://www.msq.qld.gov.au/Shipping/Reefvts.aspx" TargetMode="External"/><Relationship Id="rId83" Type="http://schemas.openxmlformats.org/officeDocument/2006/relationships/hyperlink" Target="https://wetlandinfo.ehp.qld.gov.au/wetlands/management/wetland-management/" TargetMode="External"/><Relationship Id="rId607" Type="http://schemas.openxmlformats.org/officeDocument/2006/relationships/hyperlink" Target="https://www.aph.gov.au/Parliamentary_Business/Committees/Senate/Foreign_Affairs_Defence_and_Trade/Defencetraining" TargetMode="External"/><Relationship Id="rId814" Type="http://schemas.openxmlformats.org/officeDocument/2006/relationships/hyperlink" Target="https://publications.qld.gov.au/dataset/queensland-sustainable-fisheries-strategy/resource/319c7e02-f07b-4b2e-8fd5-a435d2c2f3c9" TargetMode="External"/><Relationship Id="rId1237" Type="http://schemas.openxmlformats.org/officeDocument/2006/relationships/hyperlink" Target="http://www.gbrmpa.gov.au/managing-the-reef/reef-2050/reef-integrated-monitoring-and-reporting-program" TargetMode="External"/><Relationship Id="rId1444" Type="http://schemas.openxmlformats.org/officeDocument/2006/relationships/hyperlink" Target="http://www.gbrmpa.gov.au/managing-the-reef/reef-integrated-monitoring-and-reporting-program" TargetMode="External"/><Relationship Id="rId1651" Type="http://schemas.openxmlformats.org/officeDocument/2006/relationships/hyperlink" Target="http://www.gbrmpa.gov.au/zoning-permits-and-plans/plans-of-management" TargetMode="External"/><Relationship Id="rId1889" Type="http://schemas.openxmlformats.org/officeDocument/2006/relationships/hyperlink" Target="http://elibrary.gbrmpa.gov.au/jspui/bitstream/11017/2978/4/GBRMPA_2014_15%20AnnualReport_FINAL.pdf" TargetMode="External"/><Relationship Id="rId246" Type="http://schemas.openxmlformats.org/officeDocument/2006/relationships/hyperlink" Target="http://eatlas.org.au/content/about-e-atlas" TargetMode="External"/><Relationship Id="rId453" Type="http://schemas.openxmlformats.org/officeDocument/2006/relationships/hyperlink" Target="https://www.fba.org.au/visit-flow/visit-flow/" TargetMode="External"/><Relationship Id="rId660" Type="http://schemas.openxmlformats.org/officeDocument/2006/relationships/hyperlink" Target="http://www.defence.gov.au/Exercises/TS17/EnvironmentalPlanning.asp" TargetMode="External"/><Relationship Id="rId898" Type="http://schemas.openxmlformats.org/officeDocument/2006/relationships/hyperlink" Target="http://www.gbrmpa.gov.au/about-the-reef/how-the-reefs-managed/recreation-in-the-great-barrier-reef-marine-park" TargetMode="External"/><Relationship Id="rId1083" Type="http://schemas.openxmlformats.org/officeDocument/2006/relationships/hyperlink" Target="http://thedock.gbrmpa.gov.au/sites/Projects/P000097/_layouts/DocIdRedir.aspx?ID=PROJ-781534870-94" TargetMode="External"/><Relationship Id="rId1290" Type="http://schemas.openxmlformats.org/officeDocument/2006/relationships/hyperlink" Target="https://www.dilgp.qld.gov.au/resources/policy/sdap/v2/sdap.pdf" TargetMode="External"/><Relationship Id="rId1304" Type="http://schemas.openxmlformats.org/officeDocument/2006/relationships/hyperlink" Target="https://www.townsville-port.com.au/environment-community/environment-planning/air-quality-monitoring/" TargetMode="External"/><Relationship Id="rId1511"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1749" Type="http://schemas.openxmlformats.org/officeDocument/2006/relationships/hyperlink" Target="http://www.environment.gov.au/marine/marine-species" TargetMode="External"/><Relationship Id="rId1956" Type="http://schemas.openxmlformats.org/officeDocument/2006/relationships/hyperlink" Target="https://www.environment.gov.au/system/files/resources/d98b3e53-146b-4b9c-a84a-2a22454b9a83/files/reef-2050-long-term-sustainability-plan.pdf" TargetMode="External"/><Relationship Id="rId106" Type="http://schemas.openxmlformats.org/officeDocument/2006/relationships/hyperlink" Target="http://www.austlii.edu.au/au/other/dfat/treaties/1981/6.html" TargetMode="External"/><Relationship Id="rId313" Type="http://schemas.openxmlformats.org/officeDocument/2006/relationships/hyperlink" Target="http://www.gbrmpa.gov.au/corp_site/key_issues/tourism/how_to_choose_a_tour/certification" TargetMode="External"/><Relationship Id="rId758" Type="http://schemas.openxmlformats.org/officeDocument/2006/relationships/hyperlink" Target="https://publications.qld.gov.au/dataset/queensland-sustainable-fisheries-strategy/resource/319c7e02-f07b-4b2e-8fd5-a435d2c2f3c9" TargetMode="External"/><Relationship Id="rId965" Type="http://schemas.openxmlformats.org/officeDocument/2006/relationships/hyperlink" Target="http://www.gbrmpa.gov.au/managing-the-reef/reef-integrated-monitoring-and-reporting-program" TargetMode="External"/><Relationship Id="rId1150" Type="http://schemas.openxmlformats.org/officeDocument/2006/relationships/hyperlink" Target="https://www.legislation.qld.gov.au/view/html/inforce/current/sl-2008-0370" TargetMode="External"/><Relationship Id="rId1388" Type="http://schemas.openxmlformats.org/officeDocument/2006/relationships/hyperlink" Target="http://www.gbrmpa.gov.au/managing-the-reef/reef-2050/reef-integrated-monitoring-and-reporting-program" TargetMode="External"/><Relationship Id="rId1595" Type="http://schemas.openxmlformats.org/officeDocument/2006/relationships/hyperlink" Target="http://dspace-prod.gbrmpa.gov.au/jspui/bitstream/11017/3108/1/GBRMPA-Recreation-Management-Strategy-2012.pdf" TargetMode="External"/><Relationship Id="rId1609" Type="http://schemas.openxmlformats.org/officeDocument/2006/relationships/hyperlink" Target="http://www.gbrmpa.gov.au/about-us/local-marine-advisory-committees" TargetMode="External"/><Relationship Id="rId1816" Type="http://schemas.openxmlformats.org/officeDocument/2006/relationships/hyperlink" Target="https://www.ehp.qld.gov.au/be-involved/commenton.html" TargetMode="External"/><Relationship Id="rId10" Type="http://schemas.openxmlformats.org/officeDocument/2006/relationships/footnotes" Target="footnotes.xml"/><Relationship Id="rId94" Type="http://schemas.openxmlformats.org/officeDocument/2006/relationships/hyperlink" Target="http://www.reefplan.qld.gov.au/measuring-success/report-cards/" TargetMode="External"/><Relationship Id="rId397" Type="http://schemas.openxmlformats.org/officeDocument/2006/relationships/hyperlink" Target="http://www.gbrmpa.gov.au/__data/assets/pdf_file/0015/3390/GBRMPA-zoning-plan-2003.pdf" TargetMode="External"/><Relationship Id="rId520" Type="http://schemas.openxmlformats.org/officeDocument/2006/relationships/hyperlink" Target="http://www.gbrmpa.gov.au/__data/assets/pdf_file/0020/7049/Defence-Management-Agreement-with-GBRMPA.pdf" TargetMode="External"/><Relationship Id="rId618"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825" Type="http://schemas.openxmlformats.org/officeDocument/2006/relationships/hyperlink" Target="https://publications.qld.gov.au/dataset/queensland-sustainable-fisheries-strategy/resource/319c7e02-f07b-4b2e-8fd5-a435d2c2f3c9" TargetMode="External"/><Relationship Id="rId1248" Type="http://schemas.openxmlformats.org/officeDocument/2006/relationships/hyperlink" Target="https://www.statedevelopment.qld.gov.au/industry-development/sustainable-ports-development-act-2015.html" TargetMode="External"/><Relationship Id="rId1455" Type="http://schemas.openxmlformats.org/officeDocument/2006/relationships/hyperlink" Target="http://www.gbrmpa.gov.au/managing-the-reef/reef-2050/reef-2050-long-term-sustainability-plan" TargetMode="External"/><Relationship Id="rId1662" Type="http://schemas.openxmlformats.org/officeDocument/2006/relationships/hyperlink" Target="http://www.gbrmpa.gov.au/about-the-reef/how-the-reefs-managed/recreation-in-the-great-barrier-reef-marine-park" TargetMode="External"/><Relationship Id="rId257" Type="http://schemas.openxmlformats.org/officeDocument/2006/relationships/hyperlink" Target="http://elibrary.gbrmpa.gov.au/jspui/handle/11017/2861" TargetMode="External"/><Relationship Id="rId464" Type="http://schemas.openxmlformats.org/officeDocument/2006/relationships/hyperlink" Target="https://www.smartcane.com.au/home.aspx" TargetMode="External"/><Relationship Id="rId1010" Type="http://schemas.openxmlformats.org/officeDocument/2006/relationships/hyperlink" Target="http://hdl.handle.net/11017/3372" TargetMode="External"/><Relationship Id="rId1094" Type="http://schemas.openxmlformats.org/officeDocument/2006/relationships/hyperlink" Target="http://hdl.handle.net/11017/3215" TargetMode="External"/><Relationship Id="rId1108" Type="http://schemas.openxmlformats.org/officeDocument/2006/relationships/hyperlink" Target="https://www.youtube.com/watch?v=Y2Y_gHuklyc" TargetMode="External"/><Relationship Id="rId1315" Type="http://schemas.openxmlformats.org/officeDocument/2006/relationships/hyperlink" Target="http://www.comlaw.gov.au/Series/F1996B01950" TargetMode="External"/><Relationship Id="rId1967" Type="http://schemas.openxmlformats.org/officeDocument/2006/relationships/hyperlink" Target="http://elibrary.gbrmpa.gov.au/jspui/handle/11017/3339" TargetMode="External"/><Relationship Id="rId117" Type="http://schemas.openxmlformats.org/officeDocument/2006/relationships/hyperlink" Target="http://www.capeyorknrm.com.au/" TargetMode="External"/><Relationship Id="rId671" Type="http://schemas.openxmlformats.org/officeDocument/2006/relationships/hyperlink" Target="http://www.aurecongroup.com/en/talismanSaber/public-environment-report.aspx" TargetMode="External"/><Relationship Id="rId769" Type="http://schemas.openxmlformats.org/officeDocument/2006/relationships/hyperlink" Target="http://frdc.com.au/project?id=425" TargetMode="External"/><Relationship Id="rId976" Type="http://schemas.openxmlformats.org/officeDocument/2006/relationships/hyperlink" Target="http://www.environment.gov.au/heritage/historic-shipwrecks/review-act-1976" TargetMode="External"/><Relationship Id="rId1399" Type="http://schemas.openxmlformats.org/officeDocument/2006/relationships/hyperlink" Target="http://www.gbrmpa.gov.au/about-us/reef-advisory-committee" TargetMode="External"/><Relationship Id="rId324" Type="http://schemas.openxmlformats.org/officeDocument/2006/relationships/hyperlink" Target="http://whatsonmagneticisland.com.au/community-groups/52-tobmi" TargetMode="External"/><Relationship Id="rId531" Type="http://schemas.openxmlformats.org/officeDocument/2006/relationships/hyperlink" Target="http://www.gbrmpa.gov.au/about-us/corporate-information/annual-report/annual-report-2015-16" TargetMode="External"/><Relationship Id="rId629" Type="http://schemas.openxmlformats.org/officeDocument/2006/relationships/hyperlink" Target="http://www.environment.gov.au/marine/gbr/publications/reef-2050-long-term-sustainability-plan" TargetMode="External"/><Relationship Id="rId1161" Type="http://schemas.openxmlformats.org/officeDocument/2006/relationships/hyperlink" Target="http://www.gbrmpa.gov.au/our-partners/reef-guardians" TargetMode="External"/><Relationship Id="rId1259" Type="http://schemas.openxmlformats.org/officeDocument/2006/relationships/hyperlink" Target="http://www.portsaustralia.com.au/assets/Publications/Ports-Australia-Dredging-Code-of-Practice.pdf" TargetMode="External"/><Relationship Id="rId1466" Type="http://schemas.openxmlformats.org/officeDocument/2006/relationships/hyperlink" Target="http://elibrary.gbrmpa.gov.au/jspui/handle/11017/3214" TargetMode="External"/><Relationship Id="rId2005" Type="http://schemas.openxmlformats.org/officeDocument/2006/relationships/hyperlink" Target="https://www.npsr.qld.gov.au/raineisland/" TargetMode="External"/><Relationship Id="rId836" Type="http://schemas.openxmlformats.org/officeDocument/2006/relationships/hyperlink" Target="https://www.daf.qld.gov.au/fisheries/monitoring-our-fisheries/data-reports/sustainability-reporting/stock-status-assessments/summary-2016" TargetMode="External"/><Relationship Id="rId1021" Type="http://schemas.openxmlformats.org/officeDocument/2006/relationships/hyperlink" Target="http://hdl.handle.net/11017/3241" TargetMode="External"/><Relationship Id="rId1119" Type="http://schemas.openxmlformats.org/officeDocument/2006/relationships/hyperlink" Target="http://www.reefplan.qld.gov.au/measuring-success/report-cards/" TargetMode="External"/><Relationship Id="rId1673"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1880" Type="http://schemas.openxmlformats.org/officeDocument/2006/relationships/hyperlink" Target="http://www.environment.gov.au/sustainability/regional-development/gbr/publications/gbr-anchorage-management.html" TargetMode="External"/><Relationship Id="rId1978" Type="http://schemas.openxmlformats.org/officeDocument/2006/relationships/hyperlink" Target="https://www.daf.qld.gov.au/business-priorities/fisheries/sustainable-fisheries-strategy" TargetMode="External"/><Relationship Id="rId903" Type="http://schemas.openxmlformats.org/officeDocument/2006/relationships/hyperlink" Target="https://www.daf.qld.gov.au/business-priorities/fisheries/monitoring-our-fisheries/recreational-fisheries/get-involved-in-fisheries-monitoring/let-us-measure-your-catch" TargetMode="External"/><Relationship Id="rId1326" Type="http://schemas.openxmlformats.org/officeDocument/2006/relationships/hyperlink" Target="https://file.ac/fSFmYS7Errs/" TargetMode="External"/><Relationship Id="rId1533" Type="http://schemas.openxmlformats.org/officeDocument/2006/relationships/hyperlink" Target="https://www.statedevelopment.qld.gov.au/industry-development/port-master-planning-for-priority-ports.html" TargetMode="External"/><Relationship Id="rId1740" Type="http://schemas.openxmlformats.org/officeDocument/2006/relationships/hyperlink" Target="http://hdl.handle.net/11017/2855" TargetMode="External"/><Relationship Id="rId32" Type="http://schemas.openxmlformats.org/officeDocument/2006/relationships/hyperlink" Target="https://unfccc.int/news/achieving-long-term-ambition-on-climate-change%20Accessed%2017/7/2018" TargetMode="External"/><Relationship Id="rId1600" Type="http://schemas.openxmlformats.org/officeDocument/2006/relationships/hyperlink" Target="http://www.gbrmpa.gov.au/VesselRegistrations/" TargetMode="External"/><Relationship Id="rId1838" Type="http://schemas.openxmlformats.org/officeDocument/2006/relationships/hyperlink" Target="http://www.gbrmpa.gov.au/media-room/latest-news/consultation/2017/consultation-open-on-the-great-barrier-reef-cruise-ship-policy" TargetMode="External"/><Relationship Id="rId181" Type="http://schemas.openxmlformats.org/officeDocument/2006/relationships/hyperlink" Target="http://www.coastcare.com.au/" TargetMode="External"/><Relationship Id="rId1905" Type="http://schemas.openxmlformats.org/officeDocument/2006/relationships/hyperlink" Target="http://www.environment.gov.au/sustainability/regional-development/gbr/publications/gbr-anchorage-management.html" TargetMode="External"/><Relationship Id="rId279" Type="http://schemas.openxmlformats.org/officeDocument/2006/relationships/hyperlink" Target="http://www.gbrmpa.gov.au/onboard/home/marine_park/management_arrangements/whos_who_of_management" TargetMode="External"/><Relationship Id="rId486" Type="http://schemas.openxmlformats.org/officeDocument/2006/relationships/hyperlink" Target="http://hdl.handle.net/11017/2855" TargetMode="External"/><Relationship Id="rId693" Type="http://schemas.openxmlformats.org/officeDocument/2006/relationships/hyperlink" Target="https://publications.qld.gov.au/dataset/queensland-sustainable-fisheries-strategy/resource/319c7e02-f07b-4b2e-8fd5-a435d2c2f3c9" TargetMode="External"/><Relationship Id="rId139" Type="http://schemas.openxmlformats.org/officeDocument/2006/relationships/hyperlink" Target="http://www.environment.gov.au/marine/gbr/publications/reef-2050-long-term-sustainability-plan" TargetMode="External"/><Relationship Id="rId346" Type="http://schemas.openxmlformats.org/officeDocument/2006/relationships/hyperlink" Target="http://www.gbrmpa.gov.au/onboard/stewardship-and-best-practice/responsible-reef-practices" TargetMode="External"/><Relationship Id="rId553" Type="http://schemas.openxmlformats.org/officeDocument/2006/relationships/hyperlink" Target="http://www.defence.gov.au/estatemanagement/Governance/Policy/Environment/Default.asp" TargetMode="External"/><Relationship Id="rId760" Type="http://schemas.openxmlformats.org/officeDocument/2006/relationships/hyperlink" Target="https://publications.qld.gov.au/dataset/queensland-sustainable-fisheries-strategy/resource/319c7e02-f07b-4b2e-8fd5-a435d2c2f3c9" TargetMode="External"/><Relationship Id="rId998" Type="http://schemas.openxmlformats.org/officeDocument/2006/relationships/hyperlink" Target="http://hdl.handle.net/11017/3372" TargetMode="External"/><Relationship Id="rId1183" Type="http://schemas.openxmlformats.org/officeDocument/2006/relationships/hyperlink" Target="http://www.reefplan.qld.gov.au/measuring-success/report-cards/2016/" TargetMode="External"/><Relationship Id="rId1390" Type="http://schemas.openxmlformats.org/officeDocument/2006/relationships/hyperlink" Target="http://gpcl.com.au/SiteAssets/Community/GPC_STRETCH_Reconciliation_Action_Plan_2015-2018.pdf" TargetMode="External"/><Relationship Id="rId2027" Type="http://schemas.openxmlformats.org/officeDocument/2006/relationships/hyperlink" Target="https://www.youtube.com/watch?v=ic1Ik7Aemuw" TargetMode="External"/><Relationship Id="rId206" Type="http://schemas.openxmlformats.org/officeDocument/2006/relationships/hyperlink" Target="http://www.environment.gov.au/water/wetlands/programs/queensland-wetlands-program" TargetMode="External"/><Relationship Id="rId413" Type="http://schemas.openxmlformats.org/officeDocument/2006/relationships/hyperlink" Target="http://nesptropical.edu.au/index.php/round-3-projects/project-3-2-4/" TargetMode="External"/><Relationship Id="rId858" Type="http://schemas.openxmlformats.org/officeDocument/2006/relationships/hyperlink" Target="https://www.daf.qld.gov.au/fisheries/monitoring-our-fisheries/recreational-fisheries/statewide-and-regional-recreational-fishing-survey" TargetMode="External"/><Relationship Id="rId1043" Type="http://schemas.openxmlformats.org/officeDocument/2006/relationships/hyperlink" Target="http://www.gbrmpa.gov.au/our-partners/reef-advisory-committee/indigenous-reef-advisory-committee" TargetMode="External"/><Relationship Id="rId1488" Type="http://schemas.openxmlformats.org/officeDocument/2006/relationships/hyperlink" Target="http://www.gbrmpa.gov.au/managing-the-reef/reef-2050/reef-integrated-monitoring-and-reporting-program" TargetMode="External"/><Relationship Id="rId1695" Type="http://schemas.openxmlformats.org/officeDocument/2006/relationships/hyperlink" Target="http://www.environment.gov.au/marine/gbr/publications/reef-2050-long-term-sustainability-plan" TargetMode="External"/><Relationship Id="rId620" Type="http://schemas.openxmlformats.org/officeDocument/2006/relationships/hyperlink" Target="http://www.navy.gov.au/hmas-bungaree" TargetMode="External"/><Relationship Id="rId718" Type="http://schemas.openxmlformats.org/officeDocument/2006/relationships/hyperlink" Target="https://www.daf.qld.gov.au/business-priorities/fisheries/sustainable-fisheries-strategy/fisheries-reforms" TargetMode="External"/><Relationship Id="rId925" Type="http://schemas.openxmlformats.org/officeDocument/2006/relationships/hyperlink" Target="http://www.environment.gov.au/heritage/shipwrecks/database.html" TargetMode="External"/><Relationship Id="rId1250" Type="http://schemas.openxmlformats.org/officeDocument/2006/relationships/hyperlink" Target="http://elibrary.gbrmpa.gov.au/jspui/handle/11017/595" TargetMode="External"/><Relationship Id="rId1348" Type="http://schemas.openxmlformats.org/officeDocument/2006/relationships/hyperlink" Target="http://www.environment.gov.au/marine/gbr/publications/reef-2050-long-term-sustainability-plan" TargetMode="External"/><Relationship Id="rId1555" Type="http://schemas.openxmlformats.org/officeDocument/2006/relationships/hyperlink" Target="http://elibrary.gbrmpa.gov.au/jspui/handle/11017/595" TargetMode="External"/><Relationship Id="rId1762" Type="http://schemas.openxmlformats.org/officeDocument/2006/relationships/hyperlink" Target="http://www.environment.gov.au/sustainability/regional-development/gbr/publications/gbr-anchorage-management.html" TargetMode="External"/><Relationship Id="rId1110" Type="http://schemas.openxmlformats.org/officeDocument/2006/relationships/hyperlink" Target="https://www.npsr.qld.gov.au/raineisland/" TargetMode="External"/><Relationship Id="rId1208" Type="http://schemas.openxmlformats.org/officeDocument/2006/relationships/hyperlink" Target="http://www.environment.gov.au/marine/gbr/publications/reef-2050-plan-annual-report-implementation-strategy" TargetMode="External"/><Relationship Id="rId1415"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54" Type="http://schemas.openxmlformats.org/officeDocument/2006/relationships/hyperlink" Target="https://www.qld.gov.au/environment/plants-animals/conservation/raineisland-recovery" TargetMode="External"/><Relationship Id="rId1622" Type="http://schemas.openxmlformats.org/officeDocument/2006/relationships/hyperlink" Target="http://dspace-prod.gbrmpa.gov.au/jspui/bitstream/11017/3108/1/GBRMPA-Recreation-Management-Strategy-2012.pdf" TargetMode="External"/><Relationship Id="rId1927" Type="http://schemas.openxmlformats.org/officeDocument/2006/relationships/hyperlink" Target="https://www.msq.qld.gov.au/About-us/Maritime-Matters" TargetMode="External"/><Relationship Id="rId270" Type="http://schemas.openxmlformats.org/officeDocument/2006/relationships/hyperlink" Target="http://www.gbrmpa.gov.au/about-us/legislation-regulations-and-policies/policies-and-position-statements" TargetMode="External"/><Relationship Id="rId130" Type="http://schemas.openxmlformats.org/officeDocument/2006/relationships/hyperlink" Target="https://www.npsr.qld.gov.au/managing/pdf/guideline-state-development-assessment-provisions.pdf" TargetMode="External"/><Relationship Id="rId368" Type="http://schemas.openxmlformats.org/officeDocument/2006/relationships/hyperlink" Target="http://www.environment.gov.au/marine/gbr/publications/reef-2050-long-term-sustainability-plan" TargetMode="External"/><Relationship Id="rId575" Type="http://schemas.openxmlformats.org/officeDocument/2006/relationships/hyperlink" Target="http://www.defence.gov.au/annualreports/" TargetMode="External"/><Relationship Id="rId782" Type="http://schemas.openxmlformats.org/officeDocument/2006/relationships/hyperlink" Target="https://www.daf.qld.gov.au/fisheries/consultations-and-legislation/legislation" TargetMode="External"/><Relationship Id="rId228" Type="http://schemas.openxmlformats.org/officeDocument/2006/relationships/hyperlink" Target="http://www.gbrmpa.gov.au/__data/assets/pdf_file/0011/253928/CE-position-statement-draft-May-2017.pdf" TargetMode="External"/><Relationship Id="rId435" Type="http://schemas.openxmlformats.org/officeDocument/2006/relationships/hyperlink" Target="http://www.gbrmpa.gov.au/__data/assets/pdf_file/0006/248991/Social-value-assessment-guidelines.pdf" TargetMode="External"/><Relationship Id="rId642" Type="http://schemas.openxmlformats.org/officeDocument/2006/relationships/hyperlink" Target="http://www.defence.gov.au/Initiatives/ASMTI/Overview.asp" TargetMode="External"/><Relationship Id="rId1065" Type="http://schemas.openxmlformats.org/officeDocument/2006/relationships/hyperlink" Target="https://eatlas.org.au/nwa/indigenous/guide" TargetMode="External"/><Relationship Id="rId1272" Type="http://schemas.openxmlformats.org/officeDocument/2006/relationships/hyperlink" Target="http://ghhp.org.au/report-cards/2016" TargetMode="External"/><Relationship Id="rId502" Type="http://schemas.openxmlformats.org/officeDocument/2006/relationships/hyperlink" Target="https://www.npsr.qld.gov.au/policies/pdf/pg-pk-cor-adf-activities-qpws-managed-areas.pdf" TargetMode="External"/><Relationship Id="rId947" Type="http://schemas.openxmlformats.org/officeDocument/2006/relationships/hyperlink" Target="https://soe.environment.gov.au/sites/g/files/net806/f/soe2016-heritage-launch-v27march17.pdf?v=1488843770" TargetMode="External"/><Relationship Id="rId1132" Type="http://schemas.openxmlformats.org/officeDocument/2006/relationships/hyperlink" Target="http://aims.gov.au/docs/research/monitoring/reef/sampling-methods.html" TargetMode="External"/><Relationship Id="rId1577" Type="http://schemas.openxmlformats.org/officeDocument/2006/relationships/hyperlink" Target="http://www.portsaustralia.com.au/assets/Publications/Dredge-Report-Low-Res.pdf" TargetMode="External"/><Relationship Id="rId1784" Type="http://schemas.openxmlformats.org/officeDocument/2006/relationships/hyperlink" Target="https://www.amsa.gov.au/forms-and-publications/Fact-Sheets/PSA_FS.pdf" TargetMode="External"/><Relationship Id="rId1991" Type="http://schemas.openxmlformats.org/officeDocument/2006/relationships/hyperlink" Target="http://thedock.gbrmpa.gov.au/sites/Projects/P000175/Documents/Final-NOUS-reports/GBRMPA-operational-review-final-report.pdf" TargetMode="External"/><Relationship Id="rId76" Type="http://schemas.openxmlformats.org/officeDocument/2006/relationships/hyperlink" Target="https://wetlandinfo.ehp.qld.gov.au/resources/static/pdf/ecology/connectivity/walking-the-landscape-15-02-13.pdf" TargetMode="External"/><Relationship Id="rId807" Type="http://schemas.openxmlformats.org/officeDocument/2006/relationships/hyperlink" Target="http://www.gbrmpa.gov.au/zoning-permits-and-plans/zoning/zoning-guide-to-using-the-marine-park/interpreting-zones" TargetMode="External"/><Relationship Id="rId1437" Type="http://schemas.openxmlformats.org/officeDocument/2006/relationships/hyperlink" Target="http://www.ehp.qld.gov.au/gladstone/healthy-harbour/" TargetMode="External"/><Relationship Id="rId1644" Type="http://schemas.openxmlformats.org/officeDocument/2006/relationships/hyperlink" Target="http://www.seagrasswatch.org/home.html" TargetMode="External"/><Relationship Id="rId1851" Type="http://schemas.openxmlformats.org/officeDocument/2006/relationships/hyperlink" Target="http://hdl.handle.net/11017/682" TargetMode="External"/><Relationship Id="rId1504" Type="http://schemas.openxmlformats.org/officeDocument/2006/relationships/hyperlink" Target="http://www.creektocoral.org/wqip/index.html" TargetMode="External"/><Relationship Id="rId1711" Type="http://schemas.openxmlformats.org/officeDocument/2006/relationships/hyperlink" Target="http://www.amsa.gov.au/forms-and-publications/Publications/AMSA439.pdf" TargetMode="External"/><Relationship Id="rId1949" Type="http://schemas.openxmlformats.org/officeDocument/2006/relationships/hyperlink" Target="http://elibrary.gbrmpa.gov.au/jspui/handle/11017/3241" TargetMode="External"/><Relationship Id="rId292" Type="http://schemas.openxmlformats.org/officeDocument/2006/relationships/hyperlink" Target="http://www.gbrmpa.gov.au/zoning-permits-and-plans/plans-of-management" TargetMode="External"/><Relationship Id="rId1809" Type="http://schemas.openxmlformats.org/officeDocument/2006/relationships/hyperlink" Target="http://www.agriculture.gov.au/biosecurity/avm/vessels/ballast/australian-ballast-water-management-requirements" TargetMode="External"/><Relationship Id="rId597" Type="http://schemas.openxmlformats.org/officeDocument/2006/relationships/hyperlink" Target="http://www.defence.gov.au/Exercises/TS17" TargetMode="External"/><Relationship Id="rId152" Type="http://schemas.openxmlformats.org/officeDocument/2006/relationships/hyperlink" Target="http://www.gbrmpa.gov.au/our-partners/reef-guardians/reef-guardian-councils" TargetMode="External"/><Relationship Id="rId457" Type="http://schemas.openxmlformats.org/officeDocument/2006/relationships/hyperlink" Target="http://www.environment.gov.au/epbc/public-notices" TargetMode="External"/><Relationship Id="rId1087" Type="http://schemas.openxmlformats.org/officeDocument/2006/relationships/hyperlink" Target="http://hdl.handle.net/11017/3241" TargetMode="External"/><Relationship Id="rId1294" Type="http://schemas.openxmlformats.org/officeDocument/2006/relationships/hyperlink" Target="http://www.gpcl.com.au/envirodocs-desc?j=*&amp;y=1" TargetMode="External"/><Relationship Id="rId664" Type="http://schemas.openxmlformats.org/officeDocument/2006/relationships/hyperlink" Target="https://news.defence.gov.au/media/media-releases/" TargetMode="External"/><Relationship Id="rId871" Type="http://schemas.openxmlformats.org/officeDocument/2006/relationships/hyperlink" Target="https://www.daf.qld.gov.au/fisheries/monitoring-our-fisheries/recreational-fisheries/statewide-and-regional-recreational-fishing-survey" TargetMode="External"/><Relationship Id="rId969" Type="http://schemas.openxmlformats.org/officeDocument/2006/relationships/hyperlink" Target="http://thedock.gbrmpa.gov.au/sites/Projects/P000020/_layouts/DocIdRedir.aspx?ID=PROJ-56-190" TargetMode="External"/><Relationship Id="rId1599" Type="http://schemas.openxmlformats.org/officeDocument/2006/relationships/hyperlink" Target="https://www.environment.gov.au/system/files/resources/7524507e-37a6-4cff-9195-cb5fe19d8f52/files/gbr-aesthetic-values.pdf" TargetMode="External"/><Relationship Id="rId317" Type="http://schemas.openxmlformats.org/officeDocument/2006/relationships/hyperlink" Target="http://www.gbrmpa.gov.au/onboard/stewardship-and-best-practice/responsible-reef-practices/reporting" TargetMode="External"/><Relationship Id="rId524" Type="http://schemas.openxmlformats.org/officeDocument/2006/relationships/hyperlink" Target="http://elibrary.gbrmpa.gov.au/jspui/handle/11017/2861" TargetMode="External"/><Relationship Id="rId731" Type="http://schemas.openxmlformats.org/officeDocument/2006/relationships/hyperlink" Target="https://www.qld.gov.au/environment/coasts-waterways/marine-parks/gbrc" TargetMode="External"/><Relationship Id="rId1154" Type="http://schemas.openxmlformats.org/officeDocument/2006/relationships/hyperlink" Target="https://www.legislation.qld.gov.au/view/html/inforce/current/sl-2008-0370" TargetMode="External"/><Relationship Id="rId1361" Type="http://schemas.openxmlformats.org/officeDocument/2006/relationships/hyperlink" Target="http://www.parliament.qld.gov.au/Documents/TableOffice/TabledPapers/2014/5414T5335.pdf" TargetMode="External"/><Relationship Id="rId1459" Type="http://schemas.openxmlformats.org/officeDocument/2006/relationships/hyperlink" Target="https://www.ehp.qld.gov.au/water/policy/water_quality_improvement_plans.html" TargetMode="External"/><Relationship Id="rId98" Type="http://schemas.openxmlformats.org/officeDocument/2006/relationships/hyperlink" Target="https://wetlandinfo.ehp.qld.gov.au/wetlands/facts-maps/get-mapping-help/wetland-maps/" TargetMode="External"/><Relationship Id="rId829" Type="http://schemas.openxmlformats.org/officeDocument/2006/relationships/hyperlink" Target="http://marinepalaeoecology.org/wp-content/uploads/2016/05/Thurstan-et-al-2016-Fish-Fisheries.pdf" TargetMode="External"/><Relationship Id="rId1014" Type="http://schemas.openxmlformats.org/officeDocument/2006/relationships/hyperlink" Target="https://www.youtube.com/watch?v=vPsKxFXqU0g&amp;feature=player_embedded" TargetMode="External"/><Relationship Id="rId1221" Type="http://schemas.openxmlformats.org/officeDocument/2006/relationships/hyperlink" Target="http://www.reefplan.qld.gov.au/about/" TargetMode="External"/><Relationship Id="rId1666" Type="http://schemas.openxmlformats.org/officeDocument/2006/relationships/hyperlink" Target="http://www.gbrmpa.gov.au/about-the-reef/how-the-reefs-managed/recreation-in-the-great-barrier-reef-marine-park" TargetMode="External"/><Relationship Id="rId1873" Type="http://schemas.openxmlformats.org/officeDocument/2006/relationships/hyperlink" Target="http://www.environment.gov.au/sustainability/regional-development/gbr/publications/gbr-aesthetic-values.html" TargetMode="External"/><Relationship Id="rId1319" Type="http://schemas.openxmlformats.org/officeDocument/2006/relationships/hyperlink" Target="http://www.gbrmpa.gov.au/__data/assets/pdf_file/0015/3390/GBRMPA-zoning-plan-2003.pdf" TargetMode="External"/><Relationship Id="rId1526" Type="http://schemas.openxmlformats.org/officeDocument/2006/relationships/hyperlink" Target="http://elibrary.gbrmpa.gov.au/jspui/handle/11017/595" TargetMode="External"/><Relationship Id="rId1733" Type="http://schemas.openxmlformats.org/officeDocument/2006/relationships/hyperlink" Target="http://www.ecoaus.com.au/case-studies/port-of-abbot-point-cumulative-impact-assessment" TargetMode="External"/><Relationship Id="rId1940" Type="http://schemas.openxmlformats.org/officeDocument/2006/relationships/hyperlink" Target="http://hdl.handle.net/11017/2855" TargetMode="External"/><Relationship Id="rId25" Type="http://schemas.openxmlformats.org/officeDocument/2006/relationships/header" Target="header1.xml"/><Relationship Id="rId1800" Type="http://schemas.openxmlformats.org/officeDocument/2006/relationships/hyperlink" Target="https://www.amsa.gov.au/environment/national-plan/" TargetMode="External"/><Relationship Id="rId174" Type="http://schemas.openxmlformats.org/officeDocument/2006/relationships/hyperlink" Target="http://edocs.gbrmpa.gov.au/RefWorks/2011-2020/2015/Waltham_etal_2015_Expanding_coastal_urban_and_industrial_24722.pdf" TargetMode="External"/><Relationship Id="rId381" Type="http://schemas.openxmlformats.org/officeDocument/2006/relationships/hyperlink" Target="http://www.environment.gov.au/marine/gbr/publications/reef-2050-long-term-sustainability-plan" TargetMode="External"/><Relationship Id="rId241" Type="http://schemas.openxmlformats.org/officeDocument/2006/relationships/hyperlink" Target="http://hdl.handle.net/11017/3223" TargetMode="External"/><Relationship Id="rId479" Type="http://schemas.openxmlformats.org/officeDocument/2006/relationships/hyperlink" Target="http://www.google.com.au/url?sa=t&amp;rct=j&amp;q=&amp;esrc=s&amp;source=web&amp;cd=1&amp;cad=rja&amp;uact=8&amp;ved=0ahUKEwjr-92E5o_WAhWFjZQKHTsxAo0QFggmMAA&amp;url=http%3A%2F%2Fnla.gov.au%2Fanbd.bib-an44731729&amp;usg=AFQjCNGR1VsxTxdizlFOTZZV5KxRvtnpZw" TargetMode="External"/><Relationship Id="rId686" Type="http://schemas.openxmlformats.org/officeDocument/2006/relationships/hyperlink" Target="mailto:nature.org/cs/groups/webcontent/@web/@" TargetMode="External"/><Relationship Id="rId893" Type="http://schemas.openxmlformats.org/officeDocument/2006/relationships/hyperlink" Target="https://www.daf.qld.gov.au/fisheries/monitoring-our-fisheries/commercial-fisheries/data-reports/sustainability-reporting/ecological-risk-assessments" TargetMode="External"/><Relationship Id="rId339" Type="http://schemas.openxmlformats.org/officeDocument/2006/relationships/hyperlink" Target="http://www.gbrmpa.gov.au/zoning-permits-and-plans/permits" TargetMode="External"/><Relationship Id="rId546" Type="http://schemas.openxmlformats.org/officeDocument/2006/relationships/hyperlink" Target="http://www.defence.gov.au/estatemanagement/governance/Policy/Environment/EnergyEfficiency/Docs/DefenceEstateEnergyStrategyV2May14.pdf" TargetMode="External"/><Relationship Id="rId753" Type="http://schemas.openxmlformats.org/officeDocument/2006/relationships/hyperlink" Target="https://publications.qld.gov.au/dataset/queensland-fisheries-harvest-strategy" TargetMode="External"/><Relationship Id="rId1176" Type="http://schemas.openxmlformats.org/officeDocument/2006/relationships/hyperlink" Target="http://www.reefplan.qld.gov.au/about/assets/2017-scientific-consensus-statement-summary-chap04.pdf" TargetMode="External"/><Relationship Id="rId1383" Type="http://schemas.openxmlformats.org/officeDocument/2006/relationships/hyperlink" Target="http://seltmp.eatlas.org.au/seltmp/ports-and-shipping" TargetMode="External"/><Relationship Id="rId101" Type="http://schemas.openxmlformats.org/officeDocument/2006/relationships/hyperlink" Target="http://www.reefplan.qld.gov.au/about/" TargetMode="External"/><Relationship Id="rId406" Type="http://schemas.openxmlformats.org/officeDocument/2006/relationships/hyperlink" Target="http://www.environment.gov.au/marine/gbr/publications/reef-2050-long-term-sustainability-plan" TargetMode="External"/><Relationship Id="rId960" Type="http://schemas.openxmlformats.org/officeDocument/2006/relationships/hyperlink" Target="http://www.environment.gov.au/heritage/historic-shipwrecks/review-act-1976" TargetMode="External"/><Relationship Id="rId1036" Type="http://schemas.openxmlformats.org/officeDocument/2006/relationships/hyperlink" Target="http://www.worldheritageoutlook.iucn.org/search-sites/-/wdpaid/en/2571?p_p_auth=MvXO7h12" TargetMode="External"/><Relationship Id="rId1243" Type="http://schemas.openxmlformats.org/officeDocument/2006/relationships/hyperlink" Target="https://www.ehp.qld.gov.au/water/policy/water_quality_improvement_plans.html" TargetMode="External"/><Relationship Id="rId1590" Type="http://schemas.openxmlformats.org/officeDocument/2006/relationships/hyperlink" Target="http://www.portsaustralia.com.au/assets/Publications/Dredge-Report-Low-Res.pdf" TargetMode="External"/><Relationship Id="rId1688" Type="http://schemas.openxmlformats.org/officeDocument/2006/relationships/hyperlink" Target="https://www.qld.gov.au/recreation/activities/camping/barrier-reef" TargetMode="External"/><Relationship Id="rId1895" Type="http://schemas.openxmlformats.org/officeDocument/2006/relationships/hyperlink" Target="https://www.amsa.gov.au/environment/national-plan/" TargetMode="External"/><Relationship Id="rId613" Type="http://schemas.openxmlformats.org/officeDocument/2006/relationships/hyperlink" Target="https://link.springer.com/article/10.1007/s00343-010-9113-3" TargetMode="External"/><Relationship Id="rId820" Type="http://schemas.openxmlformats.org/officeDocument/2006/relationships/hyperlink" Target="https://publications.qld.gov.au/dataset/queensland-sustainable-fisheries-strategy/resource/319c7e02-f07b-4b2e-8fd5-a435d2c2f3c9" TargetMode="External"/><Relationship Id="rId918" Type="http://schemas.openxmlformats.org/officeDocument/2006/relationships/hyperlink" Target="http://elibrary.gbrmpa.gov.au/jspui/handle/11017/2861" TargetMode="External"/><Relationship Id="rId1450" Type="http://schemas.openxmlformats.org/officeDocument/2006/relationships/hyperlink" Target="http://elibrary.gbrmpa.gov.au/jspui/handle/11017/3241" TargetMode="External"/><Relationship Id="rId1548" Type="http://schemas.openxmlformats.org/officeDocument/2006/relationships/hyperlink" Target="http://www.reefplan.qld.gov.au" TargetMode="External"/><Relationship Id="rId1755" Type="http://schemas.openxmlformats.org/officeDocument/2006/relationships/hyperlink" Target="https://www.legislation.gov.au/Details/F2017L01123" TargetMode="External"/><Relationship Id="rId1103" Type="http://schemas.openxmlformats.org/officeDocument/2006/relationships/hyperlink" Target="https://www.youtube.com/watch?v=elAWJiHAKVY" TargetMode="External"/><Relationship Id="rId1310" Type="http://schemas.openxmlformats.org/officeDocument/2006/relationships/hyperlink" Target="http://www.portsnorth.com.au/pdfs/csdp/EISFactsSummary2017-July.pdf" TargetMode="External"/><Relationship Id="rId1408" Type="http://schemas.openxmlformats.org/officeDocument/2006/relationships/hyperlink" Target="http://www.environment.gov.au/marine/gbr/reef-trust/offsets" TargetMode="External"/><Relationship Id="rId1962" Type="http://schemas.openxmlformats.org/officeDocument/2006/relationships/hyperlink" Target="http://www.environment.gov.au/marine/publications/recovery-plan-marine-turtles-australia-2017" TargetMode="External"/><Relationship Id="rId47" Type="http://schemas.openxmlformats.org/officeDocument/2006/relationships/hyperlink" Target="https://wetlandinfo.ehp.qld.gov.au/wetlands/management/policy-legislation/gbr.html" TargetMode="External"/><Relationship Id="rId1615" Type="http://schemas.openxmlformats.org/officeDocument/2006/relationships/hyperlink" Target="http://www.gbrmpa.gov.au/visit-the-reef/responsible-reef-practices" TargetMode="External"/><Relationship Id="rId1822" Type="http://schemas.openxmlformats.org/officeDocument/2006/relationships/hyperlink" Target="https://www.environment.gov.au/marine/gbr/long-term-sustainability-plan" TargetMode="External"/><Relationship Id="rId196" Type="http://schemas.openxmlformats.org/officeDocument/2006/relationships/hyperlink" Target="http://www.qwalc.org.au" TargetMode="External"/><Relationship Id="rId263" Type="http://schemas.openxmlformats.org/officeDocument/2006/relationships/hyperlink" Target="http://www.gbrmpa.gov.au/managing-the-reef/how-the-reefs-managed/reef-2050-marine-monitoring-program" TargetMode="External"/><Relationship Id="rId470" Type="http://schemas.openxmlformats.org/officeDocument/2006/relationships/hyperlink" Target="https://www2.deloitte.com/content/dam/Deloitte/au/Documents/Economics/deloitte-au-economics-great-barrier-reef-230617.pdf" TargetMode="External"/><Relationship Id="rId123" Type="http://schemas.openxmlformats.org/officeDocument/2006/relationships/hyperlink" Target="https://planning.dilgp.qld.gov.au/planning/better-planning/state-planning" TargetMode="External"/><Relationship Id="rId330" Type="http://schemas.openxmlformats.org/officeDocument/2006/relationships/hyperlink" Target="http://www.gbrmpa.gov.au/about-us/local-marine-advisory-committees" TargetMode="External"/><Relationship Id="rId568" Type="http://schemas.openxmlformats.org/officeDocument/2006/relationships/hyperlink" Target="http://www.gbrmpa.gov.au/__data/assets/pdf_file/0020/7049/Defence-Management-Agreement-with-GBRMPA.pdf" TargetMode="External"/><Relationship Id="rId775" Type="http://schemas.openxmlformats.org/officeDocument/2006/relationships/hyperlink" Target="http://www.gbrmpa.gov.au/zoning-permits-and-plans/special-management-areas/protecting-our-maritime-cultural-heritage" TargetMode="External"/><Relationship Id="rId982" Type="http://schemas.openxmlformats.org/officeDocument/2006/relationships/hyperlink" Target="http://elibrary.gbrmpa.gov.au/jspui/handle/11017/3238" TargetMode="External"/><Relationship Id="rId1198" Type="http://schemas.openxmlformats.org/officeDocument/2006/relationships/hyperlink" Target="http://www.environment.gov.au/" TargetMode="External"/><Relationship Id="rId2011" Type="http://schemas.openxmlformats.org/officeDocument/2006/relationships/hyperlink" Target="http://elibrary.gbrmpa.gov.au/jspui/bitstream/11017/3241/5/Traditional-Owner-Heritage-Assessment-Guideline.pdf" TargetMode="External"/><Relationship Id="rId428" Type="http://schemas.openxmlformats.org/officeDocument/2006/relationships/hyperlink" Target="http://www.gbrmpa.gov.au/about-us/corporate-information/annual-report/annual-report-2016-2017" TargetMode="External"/><Relationship Id="rId635" Type="http://schemas.openxmlformats.org/officeDocument/2006/relationships/hyperlink" Target="http://www.gbrmpa.gov.au/__data/assets/pdf_file/0008/248633/2014_Strategic-Environmental-Assessment_Defence.pdf" TargetMode="External"/><Relationship Id="rId842" Type="http://schemas.openxmlformats.org/officeDocument/2006/relationships/hyperlink" Target="http://onlinelibrary.wiley.com/doi/10.1111/cobi.12940/epdf" TargetMode="External"/><Relationship Id="rId1058" Type="http://schemas.openxmlformats.org/officeDocument/2006/relationships/hyperlink" Target="http://elibrary.gbrmpa.gov.au/jspui/handle/11017/3339" TargetMode="External"/><Relationship Id="rId1265" Type="http://schemas.openxmlformats.org/officeDocument/2006/relationships/hyperlink" Target="http://www.environment.gov.au/resource/economic-contribution-great-barrier-reef-march-2013" TargetMode="External"/><Relationship Id="rId1472" Type="http://schemas.openxmlformats.org/officeDocument/2006/relationships/hyperlink" Target="https://www.google.com.au/url?sa=t&amp;rct=j&amp;q=&amp;esrc=s&amp;source=web&amp;cd=2&amp;ved=0ahUKEwjWhYq84_vWAhWJJJQKHebYBIgQFggsMAE&amp;url=https%3A%2F%2Fwww.tmr.qld.gov.au%2F-%2Fmedia%2Fbusind%2FTransport-sectors%2FPorts%2Fmaintenancedredgingstrategy%2FMaintenance-Dredging-Strategy---November-2016.pdf%3Fla%3Den&amp;usg=AOvVaw0nhn5tAZegVAmoQhew_olB" TargetMode="External"/><Relationship Id="rId702" Type="http://schemas.openxmlformats.org/officeDocument/2006/relationships/hyperlink" Target="https://www.daf.qld.gov.au/fisheries/monitoring-our-fisheries/data-reports/sustainability-reporting/stock-assessment-reports" TargetMode="External"/><Relationship Id="rId1125" Type="http://schemas.openxmlformats.org/officeDocument/2006/relationships/hyperlink" Target="http://www.reefplan.qld.gov.au/about/assets/2017-scientific-consensus-statement-summary.pdf" TargetMode="External"/><Relationship Id="rId1332" Type="http://schemas.openxmlformats.org/officeDocument/2006/relationships/hyperlink" Target="https://www.statedevelopment.qld.gov.au/industry-development/port-master-planning-for-priority-ports.html" TargetMode="External"/><Relationship Id="rId1777" Type="http://schemas.openxmlformats.org/officeDocument/2006/relationships/hyperlink" Target="http://www.gbrmpa.gov.au/managing-the-reef/how-the-reefs-managed/Managing-multiple-uses/defence" TargetMode="External"/><Relationship Id="rId1984" Type="http://schemas.openxmlformats.org/officeDocument/2006/relationships/hyperlink" Target="http://hdl.handle.net/11017/3215" TargetMode="External"/><Relationship Id="rId69" Type="http://schemas.openxmlformats.org/officeDocument/2006/relationships/hyperlink" Target="https://wetlandinfo.ehp.qld.gov.au/wetlands/resources/training/13-ramsar-qld/" TargetMode="External"/><Relationship Id="rId1637"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1844" Type="http://schemas.openxmlformats.org/officeDocument/2006/relationships/hyperlink" Target="https://www.amsa.gov.au/navigation/quick-guide-gbr-torres/" TargetMode="External"/><Relationship Id="rId1704" Type="http://schemas.openxmlformats.org/officeDocument/2006/relationships/hyperlink" Target="https://www.amsa.gov.au/forms-and-publications/Fact-Sheets/PSA_FS.pdf" TargetMode="External"/><Relationship Id="rId285" Type="http://schemas.openxmlformats.org/officeDocument/2006/relationships/hyperlink" Target="http://www.gbrmpa.gov.au/__data/assets/pdf_file/0009/3987/gbrmpa_CCActionStrategyFull_2011.pdf" TargetMode="External"/><Relationship Id="rId1911" Type="http://schemas.openxmlformats.org/officeDocument/2006/relationships/hyperlink" Target="http://hdl.handle.net/11017/3235" TargetMode="External"/><Relationship Id="rId492" Type="http://schemas.openxmlformats.org/officeDocument/2006/relationships/hyperlink" Target="http://www.defence.gov.au/estatemanagement/Governance/Policy/Environment/Policy/EnvironmentStrategy2016.PDF" TargetMode="External"/><Relationship Id="rId797" Type="http://schemas.openxmlformats.org/officeDocument/2006/relationships/hyperlink" Target="https://publications.qld.gov.au/dataset/queensland-sustainable-fisheries-strategy/resource/319c7e02-f07b-4b2e-8fd5-a435d2c2f3c9" TargetMode="External"/><Relationship Id="rId145" Type="http://schemas.openxmlformats.org/officeDocument/2006/relationships/hyperlink" Target="http://www.reefplan.qld.gov.au/about/" TargetMode="External"/><Relationship Id="rId352" Type="http://schemas.openxmlformats.org/officeDocument/2006/relationships/hyperlink" Target="http://www.gbrmpa.gov.au/about-the-reef/how-the-reefs-managed/tourism-on-the-great-barrier-reef" TargetMode="External"/><Relationship Id="rId1287" Type="http://schemas.openxmlformats.org/officeDocument/2006/relationships/hyperlink" Target="http://hdl.handle.net/11017/3009" TargetMode="External"/><Relationship Id="rId212" Type="http://schemas.openxmlformats.org/officeDocument/2006/relationships/hyperlink" Target="http://www.nqdrytropics.com.au/wqip2016/" TargetMode="External"/><Relationship Id="rId657" Type="http://schemas.openxmlformats.org/officeDocument/2006/relationships/hyperlink" Target="http://www.defence.gov.au/Exercises/TS17" TargetMode="External"/><Relationship Id="rId864" Type="http://schemas.openxmlformats.org/officeDocument/2006/relationships/hyperlink" Target="http://www.fao.org/docrep/016/i2708e/i2708e00.pdf" TargetMode="External"/><Relationship Id="rId1494" Type="http://schemas.openxmlformats.org/officeDocument/2006/relationships/hyperlink" Target="https://nqbpannualreport.com.au/" TargetMode="External"/><Relationship Id="rId1799" Type="http://schemas.openxmlformats.org/officeDocument/2006/relationships/hyperlink" Target="http://www.amsa.gov.au/forms-and-publications/about-amsa/publications/Annual-Reports/2014-2015/page-contents/full-report.pdf" TargetMode="External"/><Relationship Id="rId517" Type="http://schemas.openxmlformats.org/officeDocument/2006/relationships/hyperlink" Target="http://www.defence.gov.au/Exercises/TS17/EnvironmentalPlanning.asp" TargetMode="External"/><Relationship Id="rId724" Type="http://schemas.openxmlformats.org/officeDocument/2006/relationships/hyperlink" Target="http://www.gbrmpa.gov.au/our-partners/reef-guardians/reef-guardian-fishers" TargetMode="External"/><Relationship Id="rId931" Type="http://schemas.openxmlformats.org/officeDocument/2006/relationships/hyperlink" Target="http://elibrary.gbrmpa.gov.au/jspui/handle/11017/3235" TargetMode="External"/><Relationship Id="rId1147" Type="http://schemas.openxmlformats.org/officeDocument/2006/relationships/hyperlink" Target="http://www.gbrmpa.gov.au/managing-the-reef/reef-2050/reef-integrated-monitoring-and-reporting-program" TargetMode="External"/><Relationship Id="rId1354" Type="http://schemas.openxmlformats.org/officeDocument/2006/relationships/hyperlink" Target="http://www.environment.gov.au/system/files/resources/cb36afd7-7f52-468a-9d69-a6bdd7da156b/files/gbr-state-party-report-2015.pdf" TargetMode="External"/><Relationship Id="rId1561" Type="http://schemas.openxmlformats.org/officeDocument/2006/relationships/hyperlink" Target="http://hdl.handle.net/11017/3224" TargetMode="External"/><Relationship Id="rId60" Type="http://schemas.openxmlformats.org/officeDocument/2006/relationships/hyperlink" Target="https://wetlandinfo.ehp.qld.gov.au/resources/static/pdf/resources/fact-sheets/fs-inter-sub-tidal-class-map-aca-cq-31-05-2017.pdf" TargetMode="External"/><Relationship Id="rId1007" Type="http://schemas.openxmlformats.org/officeDocument/2006/relationships/hyperlink" Target="http://hdl.handle.net/11017/3369" TargetMode="External"/><Relationship Id="rId1214" Type="http://schemas.openxmlformats.org/officeDocument/2006/relationships/hyperlink" Target="http://www.reefplan.qld.gov.au/about/scientific-consensus-statement/" TargetMode="External"/><Relationship Id="rId1421" Type="http://schemas.openxmlformats.org/officeDocument/2006/relationships/hyperlink" Target="http://www.environment.gov.au/marine/gbr/publications/reef-2050-long-term-sustainability-plan" TargetMode="External"/><Relationship Id="rId1659" Type="http://schemas.openxmlformats.org/officeDocument/2006/relationships/hyperlink" Target="http://elibrary.gbrmpa.gov.au/jspui/bitstream/11017/3219/1/GBRMPA-ManagementArrangements-SuperyachtsMay-2011.pdf" TargetMode="External"/><Relationship Id="rId1866" Type="http://schemas.openxmlformats.org/officeDocument/2006/relationships/hyperlink" Target="http://nesptropical.edu.au/" TargetMode="External"/><Relationship Id="rId1519" Type="http://schemas.openxmlformats.org/officeDocument/2006/relationships/hyperlink" Target="https://terrain.org.au/projects/water-quality-improvement-plan/" TargetMode="External"/><Relationship Id="rId1726" Type="http://schemas.openxmlformats.org/officeDocument/2006/relationships/hyperlink" Target="https://www.amsa.gov.au/forms-and-publications/Fact-Sheets/PSA_FS.pdf" TargetMode="External"/><Relationship Id="rId1933" Type="http://schemas.openxmlformats.org/officeDocument/2006/relationships/hyperlink" Target="http://www.amsa.gov.au/forms-and-publications/about-amsa/publications/Annual-Reports/2014-2015/page-contents/full-report.pdf" TargetMode="External"/><Relationship Id="rId18" Type="http://schemas.openxmlformats.org/officeDocument/2006/relationships/image" Target="media/image6.jpeg"/><Relationship Id="rId167" Type="http://schemas.openxmlformats.org/officeDocument/2006/relationships/hyperlink" Target="http://www.qcoast2100.com.au/" TargetMode="External"/><Relationship Id="rId374" Type="http://schemas.openxmlformats.org/officeDocument/2006/relationships/hyperlink" Target="http://www.comlaw.gov.au/Details/C2011C00149" TargetMode="External"/><Relationship Id="rId581" Type="http://schemas.openxmlformats.org/officeDocument/2006/relationships/hyperlink" Target="https://budget.gov.au/2018-19/content/bp2/download/bp2_combined.pdf" TargetMode="External"/><Relationship Id="rId234" Type="http://schemas.openxmlformats.org/officeDocument/2006/relationships/hyperlink" Target="http://elibrary.gbrmpa.gov.au/jspui/bitstream/11017/3213/1/Reef-2050-cumulative-impact-mngt-draft-for-public-consultation.pdf" TargetMode="External"/><Relationship Id="rId679" Type="http://schemas.openxmlformats.org/officeDocument/2006/relationships/hyperlink" Target="https://researchonline.jcu.edu.au/16418/" TargetMode="External"/><Relationship Id="rId886" Type="http://schemas.openxmlformats.org/officeDocument/2006/relationships/hyperlink" Target="https://www.daf.qld.gov.au/fisheries/consultations-and-legislation/legislation" TargetMode="External"/><Relationship Id="rId2" Type="http://schemas.openxmlformats.org/officeDocument/2006/relationships/customXml" Target="../customXml/item2.xml"/><Relationship Id="rId441" Type="http://schemas.openxmlformats.org/officeDocument/2006/relationships/hyperlink" Target="http://www.gbrmpa.gov.au/about-us/corporate-information/annual-report/annual-report-2016-2017" TargetMode="External"/><Relationship Id="rId539" Type="http://schemas.openxmlformats.org/officeDocument/2006/relationships/hyperlink" Target="http://www.defence.gov.au/estatemanagement/Governance/Policy/Environment/EIA/Default.asp" TargetMode="External"/><Relationship Id="rId746" Type="http://schemas.openxmlformats.org/officeDocument/2006/relationships/hyperlink" Target="https://publications.qld.gov.au/dataset/queensland-sustainable-fisheries-strategy/resource/319c7e02-f07b-4b2e-8fd5-a435d2c2f3c9" TargetMode="External"/><Relationship Id="rId1071" Type="http://schemas.openxmlformats.org/officeDocument/2006/relationships/hyperlink" Target="http://elibrary.gbrmpa.gov.au/jspui/bitstream/11017/3241/5/Traditional-Owner-Heritage-Assessment-Guideline.pdf" TargetMode="External"/><Relationship Id="rId1169" Type="http://schemas.openxmlformats.org/officeDocument/2006/relationships/hyperlink" Target="http://www.reefplan.qld.gov.au/about/" TargetMode="External"/><Relationship Id="rId1376" Type="http://schemas.openxmlformats.org/officeDocument/2006/relationships/hyperlink" Target="http://ghhp.org.au/report-cards/2016" TargetMode="External"/><Relationship Id="rId1583" Type="http://schemas.openxmlformats.org/officeDocument/2006/relationships/hyperlink" Target="https://soe.environment.gov.au/download/reports" TargetMode="External"/><Relationship Id="rId301" Type="http://schemas.openxmlformats.org/officeDocument/2006/relationships/hyperlink" Target="http://www.gbrmpa.gov.au/__data/assets/pdf_file/0015/7602/managing_tourism_permissions_policy.pdf" TargetMode="External"/><Relationship Id="rId953" Type="http://schemas.openxmlformats.org/officeDocument/2006/relationships/hyperlink" Target="http://elibrary.gbrmpa.gov.au/jspui/bitstream/11017/3240/1/Historic-Heritage-assessment-Other-Places-Guideline.pdf" TargetMode="External"/><Relationship Id="rId1029" Type="http://schemas.openxmlformats.org/officeDocument/2006/relationships/hyperlink" Target="http://hdl.handle.net/11017/3241" TargetMode="External"/><Relationship Id="rId1236" Type="http://schemas.openxmlformats.org/officeDocument/2006/relationships/hyperlink" Target="https://research.jcu.edu.au/tropwater/research-programs/seagrass-ecology-1/queensland-ports-seagrass-monitoring" TargetMode="External"/><Relationship Id="rId1790" Type="http://schemas.openxmlformats.org/officeDocument/2006/relationships/hyperlink" Target="http://www.environment.gov.au/sustainability/regional-development/gbr/publications/gbr-anchorage-management.html" TargetMode="External"/><Relationship Id="rId1888" Type="http://schemas.openxmlformats.org/officeDocument/2006/relationships/hyperlink" Target="http://hdl.handle.net/11017/3240" TargetMode="External"/><Relationship Id="rId82" Type="http://schemas.openxmlformats.org/officeDocument/2006/relationships/hyperlink" Target="https://wetlandinfo.ehp.qld.gov.au/wetlands/management/policy-legislation/" TargetMode="External"/><Relationship Id="rId606" Type="http://schemas.openxmlformats.org/officeDocument/2006/relationships/hyperlink" Target="http://www.defence.gov.au/Exercises/TS17" TargetMode="External"/><Relationship Id="rId813" Type="http://schemas.openxmlformats.org/officeDocument/2006/relationships/hyperlink" Target="https://publications.qld.gov.au/dataset/queensland-sustainable-fisheries-strategy/resource/319c7e02-f07b-4b2e-8fd5-a435d2c2f3c9" TargetMode="External"/><Relationship Id="rId1443" Type="http://schemas.openxmlformats.org/officeDocument/2006/relationships/hyperlink" Target="http://elibrary.gbrmpa.gov.au/jspui/handle/11017/3228" TargetMode="External"/><Relationship Id="rId1650" Type="http://schemas.openxmlformats.org/officeDocument/2006/relationships/hyperlink" Target="http://www.gbrmpa.gov.au/zoning-permits-and-plans/plans-of-management" TargetMode="External"/><Relationship Id="rId1748" Type="http://schemas.openxmlformats.org/officeDocument/2006/relationships/hyperlink" Target="https://www.acoustics.asn.au/conference_proceedings/INTERNOISE2014/papers/p671.pdf" TargetMode="External"/><Relationship Id="rId1303" Type="http://schemas.openxmlformats.org/officeDocument/2006/relationships/hyperlink" Target="https://www.townsville-port.com.au/1-64b-port-expansion-project-gets-green-light-from-qld-government/" TargetMode="External"/><Relationship Id="rId1510" Type="http://schemas.openxmlformats.org/officeDocument/2006/relationships/hyperlink" Target="http://www.portsaustralia.com.au/assets/Publications/Ports-Australia-Dredging-Code-of-Practice.pdf" TargetMode="External"/><Relationship Id="rId1955" Type="http://schemas.openxmlformats.org/officeDocument/2006/relationships/hyperlink" Target="http://elibrary.gbrmpa.gov.au/jspui/handle/11017/3339" TargetMode="External"/><Relationship Id="rId1608" Type="http://schemas.openxmlformats.org/officeDocument/2006/relationships/hyperlink" Target="http://www.environment.gov.au/marine/gbr/publications/reef-2050-long-term-sustainability-plan" TargetMode="External"/><Relationship Id="rId1815" Type="http://schemas.openxmlformats.org/officeDocument/2006/relationships/hyperlink" Target="https://apps.amsa.gov.au/MOReview/MarineNoticeExternal.html" TargetMode="External"/><Relationship Id="rId189" Type="http://schemas.openxmlformats.org/officeDocument/2006/relationships/hyperlink" Target="http://www.reefcheckaustralia.org/" TargetMode="External"/><Relationship Id="rId396" Type="http://schemas.openxmlformats.org/officeDocument/2006/relationships/hyperlink" Target="http://www.gbrmpa.gov.au/__data/assets/pdf_file/0006/248982/Joint-Marine-Parks-permissions-guidelines.pdf" TargetMode="External"/><Relationship Id="rId256" Type="http://schemas.openxmlformats.org/officeDocument/2006/relationships/hyperlink" Target="http://www.environment.gov.au/marine/gbr/publications/reef-2050-plan-annual-report-implementation-strategy" TargetMode="External"/><Relationship Id="rId463" Type="http://schemas.openxmlformats.org/officeDocument/2006/relationships/hyperlink" Target="https://preservethewonder.initiatives.qld.gov.au/" TargetMode="External"/><Relationship Id="rId670" Type="http://schemas.openxmlformats.org/officeDocument/2006/relationships/hyperlink" Target="https://link.springer.com/article/10.1007/s00343-010-9113-3" TargetMode="External"/><Relationship Id="rId1093" Type="http://schemas.openxmlformats.org/officeDocument/2006/relationships/hyperlink" Target="http://hdl.handle.net/11017/3241" TargetMode="External"/><Relationship Id="rId116" Type="http://schemas.openxmlformats.org/officeDocument/2006/relationships/hyperlink" Target="http://www.bmrg.org.au/index.php" TargetMode="External"/><Relationship Id="rId323" Type="http://schemas.openxmlformats.org/officeDocument/2006/relationships/hyperlink" Target="https://www.greatbarrierreeflegacy.org/" TargetMode="External"/><Relationship Id="rId530" Type="http://schemas.openxmlformats.org/officeDocument/2006/relationships/hyperlink" Target="http://www.environment.gov.au/marine/gbr/publications/reef-2050-long-term-sustainability-plan" TargetMode="External"/><Relationship Id="rId768" Type="http://schemas.openxmlformats.org/officeDocument/2006/relationships/hyperlink" Target="http://seltmp.eatlas.org.au/seltmp/commercial-fishers" TargetMode="External"/><Relationship Id="rId975" Type="http://schemas.openxmlformats.org/officeDocument/2006/relationships/hyperlink" Target="http://www.environment.gov.au/heritage/historic-shipwrecks/laws" TargetMode="External"/><Relationship Id="rId1160" Type="http://schemas.openxmlformats.org/officeDocument/2006/relationships/hyperlink" Target="http://www.ehp.qld.gov.au/water/policy/pdf/capricorn-curtis-ev-economic-social-impacts.pdf" TargetMode="External"/><Relationship Id="rId1398" Type="http://schemas.openxmlformats.org/officeDocument/2006/relationships/hyperlink" Target="http://greatbarrierreefcitizenscience.org.au/organisations/mangrovewatch" TargetMode="External"/><Relationship Id="rId2004" Type="http://schemas.openxmlformats.org/officeDocument/2006/relationships/hyperlink" Target="https://www.youtube.com/watch?v=ic1Ik7Aemuw" TargetMode="External"/><Relationship Id="rId628" Type="http://schemas.openxmlformats.org/officeDocument/2006/relationships/hyperlink" Target="http://www.defence.gov.au/EstateManagement/Governance/Docs/DefenceEstateStrategy2016-36.pdf" TargetMode="External"/><Relationship Id="rId835" Type="http://schemas.openxmlformats.org/officeDocument/2006/relationships/hyperlink" Target="https://www.daf.qld.gov.au/fisheries/monitoring-our-fisheries/data-reports/sustainability-reporting" TargetMode="External"/><Relationship Id="rId1258" Type="http://schemas.openxmlformats.org/officeDocument/2006/relationships/hyperlink" Target="http://www.portsaustralia.com.au/assets/Publications/Dredge-Report-Low-Res.pdf" TargetMode="External"/><Relationship Id="rId1465" Type="http://schemas.openxmlformats.org/officeDocument/2006/relationships/hyperlink" Target="http://elibrary.gbrmpa.gov.au/jspui/handle/11017/3213" TargetMode="External"/><Relationship Id="rId1672" Type="http://schemas.openxmlformats.org/officeDocument/2006/relationships/hyperlink" Target="http://www.gbrmpa.gov.au/about-us/corporate-information/annual-report" TargetMode="External"/><Relationship Id="rId1020" Type="http://schemas.openxmlformats.org/officeDocument/2006/relationships/hyperlink" Target="file:////Users/andrealeverington/Dropbox/protected%20area%20solutions/consultancies/GBRMPA%20outlook/tables/tables_Draft%20final/&#8226;http:/www.gbrmpa.gov.au/media-room/latest-news/sea-country-partnerships/2018/aboriginal-and-torres-strait-islander-heritage-strategy-for-the-reef-open-for-public-comment" TargetMode="External"/><Relationship Id="rId1118" Type="http://schemas.openxmlformats.org/officeDocument/2006/relationships/hyperlink" Target="http://www.reefplan.qld.gov.au/about/assets/2017-scientific-consensus-statement-summary.pdf" TargetMode="External"/><Relationship Id="rId1325" Type="http://schemas.openxmlformats.org/officeDocument/2006/relationships/hyperlink" Target="http://www.environment.gov.au/marine/marine-species/draft-national-vessel-strike-strategy" TargetMode="External"/><Relationship Id="rId1532" Type="http://schemas.openxmlformats.org/officeDocument/2006/relationships/hyperlink" Target="http://elibrary.gbrmpa.gov.au/jspui/handle/11017/595" TargetMode="External"/><Relationship Id="rId1977" Type="http://schemas.openxmlformats.org/officeDocument/2006/relationships/hyperlink" Target="http://www.environment.gov.au/marine/publications/recovery-plan-marine-turtles-australia-2017" TargetMode="External"/><Relationship Id="rId902" Type="http://schemas.openxmlformats.org/officeDocument/2006/relationships/hyperlink" Target="https://www.daf.qld.gov.au/fisheries/monitoring-our-fisheries/data-reports" TargetMode="External"/><Relationship Id="rId1837" Type="http://schemas.openxmlformats.org/officeDocument/2006/relationships/hyperlink" Target="http://elibrary.gbrmpa.gov.au/jspui/bitstream/11017/3226/1/Application-for-Joint-Permissions-Guideline.pdf" TargetMode="External"/><Relationship Id="rId31" Type="http://schemas.openxmlformats.org/officeDocument/2006/relationships/hyperlink" Target="https://www.aph.gov.au/Parliamentary_Business/Committees/Senate/Environment_and_Communications/ClimateChangeOceans/Report" TargetMode="External"/><Relationship Id="rId180" Type="http://schemas.openxmlformats.org/officeDocument/2006/relationships/hyperlink" Target="http://www.wildlife.org.au/" TargetMode="External"/><Relationship Id="rId278" Type="http://schemas.openxmlformats.org/officeDocument/2006/relationships/hyperlink" Target="http://www.gbrmpa.gov.au/corp_site/management/who_participates/lmac" TargetMode="External"/><Relationship Id="rId1904" Type="http://schemas.openxmlformats.org/officeDocument/2006/relationships/hyperlink" Target="http://hdl.handle.net/11017/3215" TargetMode="External"/><Relationship Id="rId485"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692" Type="http://schemas.openxmlformats.org/officeDocument/2006/relationships/hyperlink" Target="http://www.environment.gov.au/marine/fisheries/qld-managed-fisheries" TargetMode="External"/><Relationship Id="rId138" Type="http://schemas.openxmlformats.org/officeDocument/2006/relationships/hyperlink" Target="https://www.thepremier.qld.gov.au/newsroom/progress-report-june-2017.aspx" TargetMode="External"/><Relationship Id="rId345" Type="http://schemas.openxmlformats.org/officeDocument/2006/relationships/hyperlink" Target="http://www.tourismfortomorrow.com/prevwinners/2007winners.htm" TargetMode="External"/><Relationship Id="rId552" Type="http://schemas.openxmlformats.org/officeDocument/2006/relationships/hyperlink" Target="http://www.defence.gov.au/estatemanagement/governance/Policy/Environment/Water/Docs/DefenceEstateWaterStrategyV2May14.pdf" TargetMode="External"/><Relationship Id="rId997" Type="http://schemas.openxmlformats.org/officeDocument/2006/relationships/hyperlink" Target="http://hdl.handle.net/11017/3371" TargetMode="External"/><Relationship Id="rId1182" Type="http://schemas.openxmlformats.org/officeDocument/2006/relationships/hyperlink" Target="http://www.reefplan.qld.gov.au/measuring-success/report-cards/2016/" TargetMode="External"/><Relationship Id="rId2026" Type="http://schemas.openxmlformats.org/officeDocument/2006/relationships/hyperlink" Target="https://www.youtube.com/watch?v=Y2Y_gHuklyc" TargetMode="External"/><Relationship Id="rId205" Type="http://schemas.openxmlformats.org/officeDocument/2006/relationships/hyperlink" Target="http://www.gbrmpa.gov.au/our-partners/reef-guardians" TargetMode="External"/><Relationship Id="rId412" Type="http://schemas.openxmlformats.org/officeDocument/2006/relationships/hyperlink" Target="http://nesptropical.edu.au/wp-content/uploads/2017/06/NESP-TWQ-Project-3.2.3-Factsheet.pdf" TargetMode="External"/><Relationship Id="rId857" Type="http://schemas.openxmlformats.org/officeDocument/2006/relationships/hyperlink" Target="file://Users/andrealeverington/Desktop/outlook%202019/Fishing/Field%20Management%20of%20the%20Great%20Barrier%20Reef%20Marine%20Parkwww.gbrmpa.gov.au/managing-the-reef/how-the-reefs-managed/field-management-of-the-great-barrier-reef-marine-park" TargetMode="External"/><Relationship Id="rId1042" Type="http://schemas.openxmlformats.org/officeDocument/2006/relationships/hyperlink" Target="http://elibrary.gbrmpa.gov.au/jspui/bitstream/11017/3364/1/FMP-Ann-Rep-Summary-2016%E2%80%9317.pdf" TargetMode="External"/><Relationship Id="rId1487" Type="http://schemas.openxmlformats.org/officeDocument/2006/relationships/hyperlink" Target="https://www.google.com.au/url?sa=t&amp;rct=j&amp;q=&amp;esrc=s&amp;source=web&amp;cd=2&amp;ved=0ahUKEwjWhYq84_vWAhWJJJQKHebYBIgQFggsMAE&amp;url=https%3A%2F%2Fwww.tmr.qld.gov.au%2F-%2Fmedia%2Fbusind%2FTransport-sectors%2FPorts%2Fmaintenancedredgingstrategy%2FMaintenance-Dredging-Strategy---November-2016.pdf%3Fla%3Den&amp;usg=AOvVaw0nhn5tAZegVAmoQhew_olB" TargetMode="External"/><Relationship Id="rId1694"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717" Type="http://schemas.openxmlformats.org/officeDocument/2006/relationships/hyperlink" Target="http://onlinelibrary.wiley.com/doi/10.1111/faf.12132/full" TargetMode="External"/><Relationship Id="rId924" Type="http://schemas.openxmlformats.org/officeDocument/2006/relationships/hyperlink" Target="https://environment.ehp.qld.gov.au/heritage-register/" TargetMode="External"/><Relationship Id="rId1347" Type="http://schemas.openxmlformats.org/officeDocument/2006/relationships/hyperlink" Target="https://www.statedevelopment.qld.gov.au/industry-development/port-master-planning-for-priority-ports.html" TargetMode="External"/><Relationship Id="rId1554" Type="http://schemas.openxmlformats.org/officeDocument/2006/relationships/hyperlink" Target="http://www.environment.gov.au/marine/gbr/publications/reef-2050-long-term-sustainability-plan" TargetMode="External"/><Relationship Id="rId1761" Type="http://schemas.openxmlformats.org/officeDocument/2006/relationships/hyperlink" Target="http://www.iala-aism.org/web/index.html" TargetMode="External"/><Relationship Id="rId1999" Type="http://schemas.openxmlformats.org/officeDocument/2006/relationships/hyperlink" Target="https://www.youtube.com/watch?v=ic1Ik7Aemuw" TargetMode="External"/><Relationship Id="rId53" Type="http://schemas.openxmlformats.org/officeDocument/2006/relationships/hyperlink" Target="http://www.environment.gov.au/resource/draft-epbc-act-referral-guidelines-outstanding-universal-value-great-barrier-reef-world" TargetMode="External"/><Relationship Id="rId1207" Type="http://schemas.openxmlformats.org/officeDocument/2006/relationships/hyperlink" Target="http://www.reefplan.qld.gov.au" TargetMode="External"/><Relationship Id="rId1414" Type="http://schemas.openxmlformats.org/officeDocument/2006/relationships/hyperlink" Target="http://www.parliament.qld.gov.au/Documents/TableOffice/TabledPapers/2014/5414T5335.pdf" TargetMode="External"/><Relationship Id="rId1621" Type="http://schemas.openxmlformats.org/officeDocument/2006/relationships/hyperlink" Target="http://dspace-prod.gbrmpa.gov.au/jspui/bitstream/11017/3108/1/GBRMPA-Recreation-Management-Strategy-2012.pdf" TargetMode="External"/><Relationship Id="rId1859" Type="http://schemas.openxmlformats.org/officeDocument/2006/relationships/hyperlink" Target="http://elibrary.gbrmpa.gov.au/jspui/handle/11017/2861" TargetMode="External"/><Relationship Id="rId1719" Type="http://schemas.openxmlformats.org/officeDocument/2006/relationships/hyperlink" Target="https://www.statedevelopment.qld.gov.au/coordinator-general/bundaberg-state-development-area.html" TargetMode="External"/><Relationship Id="rId1926" Type="http://schemas.openxmlformats.org/officeDocument/2006/relationships/hyperlink" Target="https://www.amsa.gov.au/navigation/shipping-management/nesm/documents/nesm-plan-work-program.pdf" TargetMode="External"/><Relationship Id="rId367" Type="http://schemas.openxmlformats.org/officeDocument/2006/relationships/hyperlink" Target="http://thedock.gbrmpa.gov.au/sites/Projects/P000071/Phase%201/Forms/GBRMPA%20Document%20Set/docsethomepage.aspx?ID=2&amp;FolderCTID=0x0120D52000E9B23D596B5B4E6AA2571FCEF8880587009A4BF2A14EFA644FAA1F447CF56EEFF5&amp;List=7aeed9d3-6111-4174-99fc-bca0eb5bebd5&amp;RootFolder=%2Fsites%2FProjects%2FP000071%2FPhase%201%2FConsultant%2Dfinal%2Dreport" TargetMode="External"/><Relationship Id="rId574"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227" Type="http://schemas.openxmlformats.org/officeDocument/2006/relationships/hyperlink" Target="http://www.dilgp.qld.gov.au/planning/state-planning-instruments/state-planning-policy.html" TargetMode="External"/><Relationship Id="rId781" Type="http://schemas.openxmlformats.org/officeDocument/2006/relationships/hyperlink" Target="http://www.environment.gov.au/marine/gbr/protecting-the-reef/intergovernmental-agreement" TargetMode="External"/><Relationship Id="rId879" Type="http://schemas.openxmlformats.org/officeDocument/2006/relationships/hyperlink" Target="https://publications.qld.gov.au/dataset/queensland-sustainable-fisheries-strategy/resource/319c7e02-f07b-4b2e-8fd5-a435d2c2f3c9" TargetMode="External"/><Relationship Id="rId434" Type="http://schemas.openxmlformats.org/officeDocument/2006/relationships/hyperlink" Target="http://www.gbrmpa.gov.au/__data/assets/pdf_file/0006/248991/Social-value-assessment-guidelines.pdf" TargetMode="External"/><Relationship Id="rId641" Type="http://schemas.openxmlformats.org/officeDocument/2006/relationships/hyperlink" Target="https://www.aph.gov.au/Parliamentary_Business/Committees/Senate/Foreign_Affairs_Defence_and_Trade/Defencetraining" TargetMode="External"/><Relationship Id="rId739" Type="http://schemas.openxmlformats.org/officeDocument/2006/relationships/hyperlink" Target="https://publications.qld.gov.au/dataset/queensland-sustainable-fisheries-strategy/resource/319c7e02-f07b-4b2e-8fd5-a435d2c2f3c9" TargetMode="External"/><Relationship Id="rId1064" Type="http://schemas.openxmlformats.org/officeDocument/2006/relationships/hyperlink" Target="http://www.gbrmpa.gov.au/zoning-permits-and-plans/plans-of-management/whitsunday-plan-of-management" TargetMode="External"/><Relationship Id="rId1271" Type="http://schemas.openxmlformats.org/officeDocument/2006/relationships/hyperlink" Target="http://www.gbrmpa.gov.au/managing-the-reef/reef-2050/reef-integrated-monitoring-and-reporting-program" TargetMode="External"/><Relationship Id="rId1369" Type="http://schemas.openxmlformats.org/officeDocument/2006/relationships/hyperlink" Target="http://elibrary.gbrmpa.gov.au/jspui/handle/11017/2935" TargetMode="External"/><Relationship Id="rId1576" Type="http://schemas.openxmlformats.org/officeDocument/2006/relationships/hyperlink" Target="http://www.gbrmpa.gov.au/managing-the-reef/reef-2050/reef-integrated-monitoring-and-reporting-program" TargetMode="External"/><Relationship Id="rId501" Type="http://schemas.openxmlformats.org/officeDocument/2006/relationships/hyperlink" Target="http://www.defence.gov.au/Exercises/TS17/EnvironmentalPlanning.asp" TargetMode="External"/><Relationship Id="rId946" Type="http://schemas.openxmlformats.org/officeDocument/2006/relationships/hyperlink" Target="http://www.environment.gov.au/system/files/resources/cb226e0d-ba51-4946-af5a-24b628958e79/files/australian-heritage-strategy-2015.pdf" TargetMode="External"/><Relationship Id="rId1131" Type="http://schemas.openxmlformats.org/officeDocument/2006/relationships/hyperlink" Target="http://ereefs.org.au/ereefs" TargetMode="External"/><Relationship Id="rId1229" Type="http://schemas.openxmlformats.org/officeDocument/2006/relationships/hyperlink" Target="http://www.environment.gov.au/system/files/consultations/bd6174ee-1a4e-4b6d-b786-2d0675b3dbec/files/draft-national-vessel-strike-strategy.pdf" TargetMode="External"/><Relationship Id="rId1783" Type="http://schemas.openxmlformats.org/officeDocument/2006/relationships/hyperlink" Target="https://www.amsa.gov.au/environment/regulations/gbr-pssa/" TargetMode="External"/><Relationship Id="rId1990" Type="http://schemas.openxmlformats.org/officeDocument/2006/relationships/hyperlink" Target="https://www.daf.qld.gov.au/business-priorities/fisheries/sustainable-fisheries-strategy" TargetMode="External"/><Relationship Id="rId75" Type="http://schemas.openxmlformats.org/officeDocument/2006/relationships/hyperlink" Target="http://www.gbrmpa.gov.au/__data/assets/pdf_file/0003/28254/Coastal-Ecosystems-Assessment-Framework.pdf" TargetMode="External"/><Relationship Id="rId806" Type="http://schemas.openxmlformats.org/officeDocument/2006/relationships/hyperlink" Target="https://publications.qld.gov.au/dataset/queensland-sustainable-fisheries-strategy/resource/319c7e02-f07b-4b2e-8fd5-a435d2c2f3c9" TargetMode="External"/><Relationship Id="rId1436" Type="http://schemas.openxmlformats.org/officeDocument/2006/relationships/hyperlink" Target="http://www.ehp.qld.gov.au/gladstone/index.html" TargetMode="External"/><Relationship Id="rId1643" Type="http://schemas.openxmlformats.org/officeDocument/2006/relationships/hyperlink" Target="http://www.gbrmpa.gov.au/our-partners/reef-guardians/reef-guardian-schools" TargetMode="External"/><Relationship Id="rId1850" Type="http://schemas.openxmlformats.org/officeDocument/2006/relationships/hyperlink" Target="http://www.gbrmpa.gov.au/zoning-permits-and-plans/permits/applications-for-permissions-fees" TargetMode="External"/><Relationship Id="rId1503" Type="http://schemas.openxmlformats.org/officeDocument/2006/relationships/hyperlink" Target="http://waterquality.capeyorknrm.com.au/water-quality/eastern-cape" TargetMode="External"/><Relationship Id="rId1710" Type="http://schemas.openxmlformats.org/officeDocument/2006/relationships/hyperlink" Target="http://whc.unesco.org/en/list/154/documents/" TargetMode="External"/><Relationship Id="rId1948" Type="http://schemas.openxmlformats.org/officeDocument/2006/relationships/hyperlink" Target="http://elibrary.gbrmpa.gov.au/jspui/handle/11017/3215" TargetMode="External"/><Relationship Id="rId291" Type="http://schemas.openxmlformats.org/officeDocument/2006/relationships/hyperlink" Target="http://www.frli.gov.au/ComLaw/Management.nsf/current%5Cbytitle/4C3C28C2F60D7B63CA256F710006F792?OpenDocument" TargetMode="External"/><Relationship Id="rId1808" Type="http://schemas.openxmlformats.org/officeDocument/2006/relationships/hyperlink" Target="http://www.agriculture.gov.au/biosecurity/avm/vessels/ballast" TargetMode="External"/><Relationship Id="rId151" Type="http://schemas.openxmlformats.org/officeDocument/2006/relationships/hyperlink" Target="http://www.dilgp.qld.gov.au/planning/state-planning-instruments/state-planning-policy.html" TargetMode="External"/><Relationship Id="rId389" Type="http://schemas.openxmlformats.org/officeDocument/2006/relationships/hyperlink" Target="http://www.gbrmpa.gov.au/__data/assets/pdf_file/0017/3941/gbrmpa_ManagementCommercialJetSkiOperationsMagneticIsland_2004.pdf" TargetMode="External"/><Relationship Id="rId596" Type="http://schemas.openxmlformats.org/officeDocument/2006/relationships/hyperlink" Target="http://www.defence.gov.au/Exercises/TS17/EnvironmentalPlanning.asp" TargetMode="External"/><Relationship Id="rId249" Type="http://schemas.openxmlformats.org/officeDocument/2006/relationships/hyperlink" Target="https://wetlandinfo.ehp.qld.gov.au/wetlands/facts-maps/get-mapping-help/wetland-maps/" TargetMode="External"/><Relationship Id="rId456" Type="http://schemas.openxmlformats.org/officeDocument/2006/relationships/hyperlink" Target="https://secure.gbrmpa.gov.au/permitsonline/" TargetMode="External"/><Relationship Id="rId663" Type="http://schemas.openxmlformats.org/officeDocument/2006/relationships/hyperlink" Target="https://news.defence.gov.au/media/stories" TargetMode="External"/><Relationship Id="rId870" Type="http://schemas.openxmlformats.org/officeDocument/2006/relationships/hyperlink" Target="http://www.environment.gov.au/coasts/fisheries/qld/east-coast-finfish/pubs/fishery-obs-2011.pdf" TargetMode="External"/><Relationship Id="rId1086" Type="http://schemas.openxmlformats.org/officeDocument/2006/relationships/hyperlink" Target="http://elibrary.gbrmpa.gov.au/jspui/bitstream/11017/3241/5/Traditional-Owner-Heritage-Assessment-Guideline.pdf" TargetMode="External"/><Relationship Id="rId1293" Type="http://schemas.openxmlformats.org/officeDocument/2006/relationships/hyperlink" Target="https://www.tmr.qld.gov.au/-/media/busind/Transport-sectors/Ports/maintenancedredgingstrategy/Schedule-for-State-wide-Maintenance-Dredging-of-Queensland-Ports.pdf?la=en" TargetMode="External"/><Relationship Id="rId109" Type="http://schemas.openxmlformats.org/officeDocument/2006/relationships/hyperlink" Target="http://www.gbrmpa.gov.au/about-us/reef-advisory-committee" TargetMode="External"/><Relationship Id="rId316" Type="http://schemas.openxmlformats.org/officeDocument/2006/relationships/hyperlink" Target="http://www.gbrmpa.gov.au/corp_site/key_issues/tourism/how_to_choose_a_tour/certification" TargetMode="External"/><Relationship Id="rId523" Type="http://schemas.openxmlformats.org/officeDocument/2006/relationships/hyperlink" Target="http://hdl.handle.net/11017/2855" TargetMode="External"/><Relationship Id="rId968" Type="http://schemas.openxmlformats.org/officeDocument/2006/relationships/hyperlink" Target="http://www.gbrmpa.gov.au/__data/assets/pdf_file/0010/3403/GBRMPA_HeritageStrategy.pdf" TargetMode="External"/><Relationship Id="rId1153" Type="http://schemas.openxmlformats.org/officeDocument/2006/relationships/hyperlink" Target="http://www.google.com.au/url?sa=t&amp;rct=j&amp;q=&amp;esrc=s&amp;source=web&amp;cd=3&amp;cad=rja&amp;uact=8&amp;ved=0ahUKEwib3eTUv_vWAhVFHJQKHRKrBSEQFggwMAI&amp;url=http%3A%2F%2Fwww.environment.gov.au%2Fbiodiversity%2Fpublications%2Faustralias-biodiversity-conservation-strategy&amp;usg=AOvVaw3lHUeX3kX2HpUMleJ5eha6" TargetMode="External"/><Relationship Id="rId1598" Type="http://schemas.openxmlformats.org/officeDocument/2006/relationships/hyperlink" Target="http://elibrary.gbrmpa.gov.au/jspui/handle/11017/2855" TargetMode="External"/><Relationship Id="rId97" Type="http://schemas.openxmlformats.org/officeDocument/2006/relationships/hyperlink" Target="http://www.gbrmpa.gov.au/__data/assets/pdf_file/0011/253928/CE-position-statement-draft-May-2017.pdf" TargetMode="External"/><Relationship Id="rId730" Type="http://schemas.openxmlformats.org/officeDocument/2006/relationships/hyperlink" Target="http://www.gbrmpa.gov.au/zoning-permits-and-plans/zoning" TargetMode="External"/><Relationship Id="rId828" Type="http://schemas.openxmlformats.org/officeDocument/2006/relationships/hyperlink" Target="http://frdc.com.au/Archived-Reports/FRDC%20Projects/2010-007-DLD.pdf" TargetMode="External"/><Relationship Id="rId1013" Type="http://schemas.openxmlformats.org/officeDocument/2006/relationships/hyperlink" Target="https://www.youtube.com/watch?v=QpM8lk6U-pk&amp;feature=player_embedded" TargetMode="External"/><Relationship Id="rId1360" Type="http://schemas.openxmlformats.org/officeDocument/2006/relationships/hyperlink" Target="http://www.environment.gov.au/system/files/resources/cb36afd7-7f52-468a-9d69-a6bdd7da156b/files/gbr-state-party-report-2015.pdf" TargetMode="External"/><Relationship Id="rId1458" Type="http://schemas.openxmlformats.org/officeDocument/2006/relationships/hyperlink" Target="https://www.statedevelopment.qld.gov.au/industry-development/port-master-planning-for-priority-ports.html" TargetMode="External"/><Relationship Id="rId1665" Type="http://schemas.openxmlformats.org/officeDocument/2006/relationships/hyperlink" Target="http://www.gbrmpa.gov.au/about-the-reef/how-the-reefs-managed/recreation-in-the-great-barrier-reef-marine-park" TargetMode="External"/><Relationship Id="rId1872" Type="http://schemas.openxmlformats.org/officeDocument/2006/relationships/hyperlink" Target="http://hdl.handle.net/11017/2996" TargetMode="External"/><Relationship Id="rId1220" Type="http://schemas.openxmlformats.org/officeDocument/2006/relationships/hyperlink" Target="http://www.environment.gov.au/system/files/resources/cb36afd7-7f52-468a-9d69-a6bdd7da156b/files/gbr-state-party-report-2015.pdf" TargetMode="External"/><Relationship Id="rId1318" Type="http://schemas.openxmlformats.org/officeDocument/2006/relationships/hyperlink" Target="http://thedock.gbrmpa.gov.au/sites/Projects/P000097/MEA/Evidence-collection-templates/Sustainable%20Ports%20Development%20Act%202015" TargetMode="External"/><Relationship Id="rId1525" Type="http://schemas.openxmlformats.org/officeDocument/2006/relationships/hyperlink" Target="http://elibrary.gbrmpa.gov.au/jspui/handle/11017/3214" TargetMode="External"/><Relationship Id="rId1732" Type="http://schemas.openxmlformats.org/officeDocument/2006/relationships/hyperlink" Target="https://www.amsa.gov.au/forms-and-publications/environment/publications/NP-Reports/documents/Natplan_Review_Report.pdf" TargetMode="External"/><Relationship Id="rId24" Type="http://schemas.openxmlformats.org/officeDocument/2006/relationships/footer" Target="footer2.xml"/><Relationship Id="rId173" Type="http://schemas.openxmlformats.org/officeDocument/2006/relationships/hyperlink" Target="http://www.gbrmpa.gov.au/__data/assets/pdf_file/0011/253928/CE-position-statement-draft-May-2017.pdf" TargetMode="External"/><Relationship Id="rId380" Type="http://schemas.openxmlformats.org/officeDocument/2006/relationships/hyperlink" Target="http://nesptropical.edu.au/index.php/round-3-projects/project-3-2-2/" TargetMode="External"/><Relationship Id="rId240" Type="http://schemas.openxmlformats.org/officeDocument/2006/relationships/hyperlink" Target="http://hdl.handle.net/11017/3229" TargetMode="External"/><Relationship Id="rId478" Type="http://schemas.openxmlformats.org/officeDocument/2006/relationships/hyperlink" Target="http://www.gbrmpa.gov.au/__data/assets/pdf_file/0020/7049/Defence-Management-Agreement-with-GBRMPA.pdf" TargetMode="External"/><Relationship Id="rId685" Type="http://schemas.openxmlformats.org/officeDocument/2006/relationships/hyperlink" Target="http://www.aurecongroup.com/en/talismanSaber/public-environment-report.aspx" TargetMode="External"/><Relationship Id="rId892" Type="http://schemas.openxmlformats.org/officeDocument/2006/relationships/hyperlink" Target="https://www.daf.qld.gov.au/fisheries/monitoring-our-fisheries/data-reports/sustainability-reporting/stock-assessment-reports" TargetMode="External"/><Relationship Id="rId100" Type="http://schemas.openxmlformats.org/officeDocument/2006/relationships/hyperlink" Target="http://www.reefplan.qld.gov.au/about/scientific-consensus-statement/" TargetMode="External"/><Relationship Id="rId338" Type="http://schemas.openxmlformats.org/officeDocument/2006/relationships/hyperlink" Target="http://www.gbrmpa.gov.au/corp_site/key_issues/tourism/management/policies/permits_policy" TargetMode="External"/><Relationship Id="rId545" Type="http://schemas.openxmlformats.org/officeDocument/2006/relationships/hyperlink" Target="http://www.defence.gov.au/Exercises/TS17" TargetMode="External"/><Relationship Id="rId752" Type="http://schemas.openxmlformats.org/officeDocument/2006/relationships/hyperlink" Target="http://www.daff.qld.gov.au/fisheries/consultations-and-legislation/policies/management-and-licensing-policies" TargetMode="External"/><Relationship Id="rId1175" Type="http://schemas.openxmlformats.org/officeDocument/2006/relationships/hyperlink" Target="http://www.gbrmpa.gov.au/__data/assets/pdf_file/0017/4526/GBRMPA_WQualityGuidelinesGBRMP_RevEdition_2010.pdf" TargetMode="External"/><Relationship Id="rId1382" Type="http://schemas.openxmlformats.org/officeDocument/2006/relationships/hyperlink" Target="https://www.tmr.qld.gov.au/-/media/busind/Transport-sectors/Ports/Trade-statistics/2016-trade-stats-docs/Trade-Stats-Report-2016.pdf?la=en" TargetMode="External"/><Relationship Id="rId2019" Type="http://schemas.openxmlformats.org/officeDocument/2006/relationships/hyperlink" Target="https://theconversation.com/traditional-hunting-gets-headlines-but-is-not-the-big-threat-to-turtles-and-dugongs-69038" TargetMode="External"/><Relationship Id="rId405" Type="http://schemas.openxmlformats.org/officeDocument/2006/relationships/hyperlink" Target="http://elibrary.gbrmpa.gov.au/jspui/bitstream/11017/3214/1/Reef-2050-net-benefit-policy-draft-for-consultation.pdf" TargetMode="External"/><Relationship Id="rId612"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1035" Type="http://schemas.openxmlformats.org/officeDocument/2006/relationships/hyperlink" Target="http://elibrary.gbrmpa.gov.au/jspui/handle/11017/3339" TargetMode="External"/><Relationship Id="rId1242" Type="http://schemas.openxmlformats.org/officeDocument/2006/relationships/hyperlink" Target="http://wettropicswaterways.org.au/report-card/" TargetMode="External"/><Relationship Id="rId1687" Type="http://schemas.openxmlformats.org/officeDocument/2006/relationships/hyperlink" Target="https://ladymusgraveexperience.com.au/wp-content/uploads/2017/03/be-pest-free-gbr-broch.pdf" TargetMode="External"/><Relationship Id="rId1894" Type="http://schemas.openxmlformats.org/officeDocument/2006/relationships/hyperlink" Target="http://www.sciencedirect.com/science/article/pii/S0025326X13003822" TargetMode="External"/><Relationship Id="rId917" Type="http://schemas.openxmlformats.org/officeDocument/2006/relationships/hyperlink" Target="http://www.gbrmpa.gov.au/our-partners/reef-guardians/reef-guardian-fishers" TargetMode="External"/><Relationship Id="rId1102" Type="http://schemas.openxmlformats.org/officeDocument/2006/relationships/hyperlink" Target="http://www.gbrmpa.gov.au/our-partners/traditional-owners/story-place" TargetMode="External"/><Relationship Id="rId1547" Type="http://schemas.openxmlformats.org/officeDocument/2006/relationships/hyperlink" Target="http://elibrary.gbrmpa.gov.au/jspui/browse?type=series&amp;order=ASC&amp;rpp=20&amp;value=Marine+Monitoring+Program+-+Inshore+Seagrass" TargetMode="External"/><Relationship Id="rId1754" Type="http://schemas.openxmlformats.org/officeDocument/2006/relationships/hyperlink" Target="http://www.agriculture.gov.au/biosecurity/avm/vessels/ballast/australian-ballast-water-management-requirements" TargetMode="External"/><Relationship Id="rId1961" Type="http://schemas.openxmlformats.org/officeDocument/2006/relationships/hyperlink" Target="http://www.gbrmpa.gov.au/zoning-permits-and-plans/plans-of-management/whitsunday-plan-of-management" TargetMode="External"/><Relationship Id="rId46" Type="http://schemas.openxmlformats.org/officeDocument/2006/relationships/footer" Target="footer4.xml"/><Relationship Id="rId1407" Type="http://schemas.openxmlformats.org/officeDocument/2006/relationships/hyperlink" Target="http://www.gbrmpa.gov.au/outlook-for-the-reef/great-barrier-reef-outlook-report/outlook-online?sq_content_src=%2BdXJsPWh0dHAlM0ElMkYlMkZ3d3ctcmMuZ2JybXBhLmdvdi5hdSUyRl9fZGF0YSUyRmFzc2V0cyUyRnBkZl9maWxlJTJGMDAxOCUyRjQxMzI4JTJGR0JSTVBBLVBPUlRTX01PVV9TRVAwOS5wZGYmYWxsPTE%3D" TargetMode="External"/><Relationship Id="rId1614" Type="http://schemas.openxmlformats.org/officeDocument/2006/relationships/hyperlink" Target="http://www.gbrmpa.gov.au/__data/assets/pdf_file/0017/3392/GBRMPA-ManagementArrangements-SuperyachtsMay-2011.pdf" TargetMode="External"/><Relationship Id="rId1821" Type="http://schemas.openxmlformats.org/officeDocument/2006/relationships/hyperlink" Target="http://www.amsa.gov.au/forms-and-publications/Publications/AMSA439.pdf" TargetMode="External"/><Relationship Id="rId195" Type="http://schemas.openxmlformats.org/officeDocument/2006/relationships/hyperlink" Target="http://www.qccqld.org.au" TargetMode="External"/><Relationship Id="rId1919" Type="http://schemas.openxmlformats.org/officeDocument/2006/relationships/hyperlink" Target="https://www.amsa.gov.au/navigation/shipping-management/nesm/documents/nesm-plan-work-program.pdf" TargetMode="External"/><Relationship Id="rId262" Type="http://schemas.openxmlformats.org/officeDocument/2006/relationships/hyperlink" Target="https://theconversation.com/the-new-great-barrier-reef-pollution-plan-is-better-but-still-not-good-enough-83233" TargetMode="External"/><Relationship Id="rId567" Type="http://schemas.openxmlformats.org/officeDocument/2006/relationships/hyperlink" Target="http://www.defence.gov.au/estatemanagement/governance/Policy/Environment/Water/Docs/DefenceEstateWaterStrategyV2May14.pdf" TargetMode="External"/><Relationship Id="rId1197" Type="http://schemas.openxmlformats.org/officeDocument/2006/relationships/hyperlink" Target="https://www.qld.gov.au/environment/coasts-waterways/reef" TargetMode="External"/><Relationship Id="rId122" Type="http://schemas.openxmlformats.org/officeDocument/2006/relationships/hyperlink" Target="https://www.dilgp.qld.gov.au/planning-reform/plan-making/the-plan-making-framework.html" TargetMode="External"/><Relationship Id="rId774" Type="http://schemas.openxmlformats.org/officeDocument/2006/relationships/hyperlink" Target="https://publications.qld.gov.au/dataset/queensland-sustainable-fisheries-strategy/resource/319c7e02-f07b-4b2e-8fd5-a435d2c2f3c9" TargetMode="External"/><Relationship Id="rId981" Type="http://schemas.openxmlformats.org/officeDocument/2006/relationships/hyperlink" Target="http://elibrary.gbrmpa.gov.au/jspui/handle/11017/3240" TargetMode="External"/><Relationship Id="rId1057" Type="http://schemas.openxmlformats.org/officeDocument/2006/relationships/hyperlink" Target="http://www.gbrmpa.gov.au/our-partners/traditional-owners" TargetMode="External"/><Relationship Id="rId2010" Type="http://schemas.openxmlformats.org/officeDocument/2006/relationships/hyperlink" Target="http://hdl.handle.net/11017/3215" TargetMode="External"/><Relationship Id="rId427" Type="http://schemas.openxmlformats.org/officeDocument/2006/relationships/hyperlink" Target="http://www.environment.gov.au/marine/gbr/publications/reef-2050-long-term-sustainability-plan" TargetMode="External"/><Relationship Id="rId634" Type="http://schemas.openxmlformats.org/officeDocument/2006/relationships/hyperlink" Target="http://www.defence.gov.au/id/derp/qld.asp" TargetMode="External"/><Relationship Id="rId841" Type="http://schemas.openxmlformats.org/officeDocument/2006/relationships/hyperlink" Target="http://marinepalaeoecology.org/wp-content/uploads/2016/05/Thurstan-et-al-2016-Fish-Fisheries.pdf" TargetMode="External"/><Relationship Id="rId1264" Type="http://schemas.openxmlformats.org/officeDocument/2006/relationships/hyperlink" Target="http://www.portsaustralia.com.au/assets/Publications/Ports-Australia-Dredging-Code-of-Practice.pdf" TargetMode="External"/><Relationship Id="rId1471" Type="http://schemas.openxmlformats.org/officeDocument/2006/relationships/hyperlink" Target="https://www.environment.gov.au/epbc/publications/environmental-best-practice-port-development-analysis-international-approaches" TargetMode="External"/><Relationship Id="rId1569" Type="http://schemas.openxmlformats.org/officeDocument/2006/relationships/hyperlink" Target="http://www.gbrmpa.gov.au/managing-the-reef/strategic-assessment" TargetMode="External"/><Relationship Id="rId701" Type="http://schemas.openxmlformats.org/officeDocument/2006/relationships/hyperlink" Target="https://www.daf.qld.gov.au/fisheries/monitoring-our-fisheries/data-reports/sustainability-reporting/stock-status-assessments/summary-2016" TargetMode="External"/><Relationship Id="rId939" Type="http://schemas.openxmlformats.org/officeDocument/2006/relationships/hyperlink" Target="http://hdl.handle.net/11017/3109" TargetMode="External"/><Relationship Id="rId1124" Type="http://schemas.openxmlformats.org/officeDocument/2006/relationships/hyperlink" Target="http://www.reefplan.qld.gov.au/about/" TargetMode="External"/><Relationship Id="rId1331" Type="http://schemas.openxmlformats.org/officeDocument/2006/relationships/hyperlink" Target="http://wettropicswaterways.org.au/report-card/" TargetMode="External"/><Relationship Id="rId1776" Type="http://schemas.openxmlformats.org/officeDocument/2006/relationships/hyperlink" Target="http://www.imo.org/en/About/Conventions/ListOfConventions/Pages/Convention-on-Limitation-of-Liability-for-Maritime-Claims-(LLMC).aspx" TargetMode="External"/><Relationship Id="rId1983" Type="http://schemas.openxmlformats.org/officeDocument/2006/relationships/hyperlink" Target="http://elibrary.gbrmpa.gov.au/jspui/handle/11017/3339" TargetMode="External"/><Relationship Id="rId68" Type="http://schemas.openxmlformats.org/officeDocument/2006/relationships/hyperlink" Target="https://wetlandinfo.ehp.qld.gov.au/wetlands/management/pressures/lacustrine-palustrine-threats/" TargetMode="External"/><Relationship Id="rId1429" Type="http://schemas.openxmlformats.org/officeDocument/2006/relationships/hyperlink" Target="http://www.gbrmpa.gov.au/__data/assets/pdf_file/0015/3390/GBRMPA-zoning-plan-2003.pdf" TargetMode="External"/><Relationship Id="rId1636" Type="http://schemas.openxmlformats.org/officeDocument/2006/relationships/hyperlink" Target="http://elibrary.gbrmpa.gov.au/jspui/handle/11017/2861" TargetMode="External"/><Relationship Id="rId1843" Type="http://schemas.openxmlformats.org/officeDocument/2006/relationships/hyperlink" Target="http://thedock.gbrmpa.gov.au/sites/FieldManagement/IM/Documents/2016-2017%20EXERCISE/Exercise%20Pallarenda%20Report.pdf" TargetMode="External"/><Relationship Id="rId1703" Type="http://schemas.openxmlformats.org/officeDocument/2006/relationships/hyperlink" Target="https://www.amsa.gov.au/environment/regulations/gbr-pssa/" TargetMode="External"/><Relationship Id="rId1910" Type="http://schemas.openxmlformats.org/officeDocument/2006/relationships/hyperlink" Target="http://hdl.handle.net/11017/3239" TargetMode="External"/><Relationship Id="rId284" Type="http://schemas.openxmlformats.org/officeDocument/2006/relationships/hyperlink" Target="http://www.dsdip.qld.gov.au/resources/factsheet/planning/coastal-protection-sprp.pdf" TargetMode="External"/><Relationship Id="rId491" Type="http://schemas.openxmlformats.org/officeDocument/2006/relationships/hyperlink" Target="http://www.defence.gov.au/estatemanagement/governance/Policy/Environment/Policy/EnvironmentalPolicy2016.PDF" TargetMode="External"/><Relationship Id="rId144" Type="http://schemas.openxmlformats.org/officeDocument/2006/relationships/hyperlink" Target="https://wetlandinfo.ehp.qld.gov.au/resources/static/pdf/management/policy/wetlands-gbr-strategy2016-21v13.pdf" TargetMode="External"/><Relationship Id="rId589" Type="http://schemas.openxmlformats.org/officeDocument/2006/relationships/hyperlink" Target="https://teq.queensland.com/~/media/2F723DDC6133437E84FE4FC493ABBBF8.ashx" TargetMode="External"/><Relationship Id="rId796" Type="http://schemas.openxmlformats.org/officeDocument/2006/relationships/hyperlink" Target="https://publications.qld.gov.au/dataset/queensland-sustainable-fisheries-strategy/resource/319c7e02-f07b-4b2e-8fd5-a435d2c2f3c9" TargetMode="External"/><Relationship Id="rId351" Type="http://schemas.openxmlformats.org/officeDocument/2006/relationships/hyperlink" Target="http://www2.dpi.qld.gov.au/extra/era/index.html" TargetMode="External"/><Relationship Id="rId449" Type="http://schemas.openxmlformats.org/officeDocument/2006/relationships/hyperlink" Target="http://sharepoint-ent/SPRS/KRM/IS/SitePages/eLibrary.aspx" TargetMode="External"/><Relationship Id="rId656" Type="http://schemas.openxmlformats.org/officeDocument/2006/relationships/hyperlink" Target="http://www.defence.gov.au/Exercises/TS17/EnvironmentalPlanning.asp" TargetMode="External"/><Relationship Id="rId863" Type="http://schemas.openxmlformats.org/officeDocument/2006/relationships/hyperlink" Target="http://www.daff.qld.gov.au/28_15487.htm" TargetMode="External"/><Relationship Id="rId1079" Type="http://schemas.openxmlformats.org/officeDocument/2006/relationships/hyperlink" Target="https://environment.ehp.qld.gov.au/land-sea-rangers/" TargetMode="External"/><Relationship Id="rId1286" Type="http://schemas.openxmlformats.org/officeDocument/2006/relationships/hyperlink" Target="http://elibrary.gbrmpa.gov.au/jspui/handle/11017/595" TargetMode="External"/><Relationship Id="rId1493" Type="http://schemas.openxmlformats.org/officeDocument/2006/relationships/hyperlink" Target="https://www.google.com.au/url?sa=t&amp;rct=j&amp;q=&amp;esrc=s&amp;source=web&amp;cd=2&amp;ved=0ahUKEwjWhYq84_vWAhWJJJQKHebYBIgQFggsMAE&amp;url=https%3A%2F%2Fwww.tmr.qld.gov.au%2F-%2Fmedia%2Fbusind%2FTransport-sectors%2FPorts%2Fmaintenancedredgingstrategy%2FMaintenance-Dredging-Strategy---November-2016.pdf%3Fla%3Den&amp;usg=AOvVaw0nhn5tAZegVAmoQhew_olB" TargetMode="External"/><Relationship Id="rId211" Type="http://schemas.openxmlformats.org/officeDocument/2006/relationships/hyperlink" Target="http://www.creektocoral.org/wqip/index.html" TargetMode="External"/><Relationship Id="rId309" Type="http://schemas.openxmlformats.org/officeDocument/2006/relationships/hyperlink" Target="https://www.reefplan.qld.gov.au/implementation/research-development/" TargetMode="External"/><Relationship Id="rId516" Type="http://schemas.openxmlformats.org/officeDocument/2006/relationships/hyperlink" Target="https://link.springer.com/article/10.1007/s00343-010-9113-3" TargetMode="External"/><Relationship Id="rId1146" Type="http://schemas.openxmlformats.org/officeDocument/2006/relationships/hyperlink" Target="https://www.ehp.qld.gov.au/water/policy/water_quality_improvement_plans.html" TargetMode="External"/><Relationship Id="rId1798" Type="http://schemas.openxmlformats.org/officeDocument/2006/relationships/hyperlink" Target="https://www.amsa.gov.au/navigation/shipping-management/nesm/" TargetMode="External"/><Relationship Id="rId723" Type="http://schemas.openxmlformats.org/officeDocument/2006/relationships/hyperlink" Target="https://publications.qld.gov.au/dataset/queensland-sustainable-fisheries-strategy/resource/319c7e02-f07b-4b2e-8fd5-a435d2c2f3c9" TargetMode="External"/><Relationship Id="rId930" Type="http://schemas.openxmlformats.org/officeDocument/2006/relationships/hyperlink" Target="http://hdl.handle.net/11017/3369" TargetMode="External"/><Relationship Id="rId1006" Type="http://schemas.openxmlformats.org/officeDocument/2006/relationships/hyperlink" Target="http://hdl.handle.net/11017/3372" TargetMode="External"/><Relationship Id="rId1353" Type="http://schemas.openxmlformats.org/officeDocument/2006/relationships/hyperlink" Target="https://www.statedevelopment.qld.gov.au/industry-development/port-master-planning-for-priority-ports.html" TargetMode="External"/><Relationship Id="rId1560" Type="http://schemas.openxmlformats.org/officeDocument/2006/relationships/hyperlink" Target="http://www.environment.gov.au/marine/gbr/publications/improved-dredge-material-management-great-barrier-reef-region" TargetMode="External"/><Relationship Id="rId1658" Type="http://schemas.openxmlformats.org/officeDocument/2006/relationships/hyperlink" Target="http://elibrary.gbrmpa.gov.au/jspui/bitstream/11017/3219/1/GBRMPA-ManagementArrangements-SuperyachtsMay-2011.pdf" TargetMode="External"/><Relationship Id="rId1865" Type="http://schemas.openxmlformats.org/officeDocument/2006/relationships/hyperlink" Target="http://www.environment.gov.au/science/nerp" TargetMode="External"/><Relationship Id="rId1213" Type="http://schemas.openxmlformats.org/officeDocument/2006/relationships/hyperlink" Target="http://www.environment.gov.au/system/files/resources/cb36afd7-7f52-468a-9d69-a6bdd7da156b/files/gbr-state-party-report-2015.pdf" TargetMode="External"/><Relationship Id="rId1420" Type="http://schemas.openxmlformats.org/officeDocument/2006/relationships/hyperlink" Target="https://www.statedevelopment.qld.gov.au/industry-development/port-master-planning-for-priority-ports.html" TargetMode="External"/><Relationship Id="rId1518" Type="http://schemas.openxmlformats.org/officeDocument/2006/relationships/hyperlink" Target="https://www.ehp.qld.gov.au/water/policy/water_quality_improvement_plans.html" TargetMode="External"/><Relationship Id="rId1725" Type="http://schemas.openxmlformats.org/officeDocument/2006/relationships/hyperlink" Target="https://www.amsa.gov.au/environment/regulations/gbr-pssa/" TargetMode="External"/><Relationship Id="rId1932" Type="http://schemas.openxmlformats.org/officeDocument/2006/relationships/hyperlink" Target="http://www.amsa.gov.au/forms-and-publications/environment/publications/Annual-Reports/NatPlan-YIR15-16.pdf" TargetMode="External"/><Relationship Id="rId17" Type="http://schemas.openxmlformats.org/officeDocument/2006/relationships/hyperlink" Target="http://creativecommons.org/licences/by/4.0" TargetMode="External"/><Relationship Id="rId166" Type="http://schemas.openxmlformats.org/officeDocument/2006/relationships/hyperlink" Target="http://qldspatial.information.qld.gov.au/catalogue/custom/detail.page?fid=%7b5C4F6187-2637-4CF1-B25B-7FD284D92D07%7d" TargetMode="External"/><Relationship Id="rId373" Type="http://schemas.openxmlformats.org/officeDocument/2006/relationships/hyperlink" Target="https://soe.environment.gov.au/download/reports" TargetMode="External"/><Relationship Id="rId580" Type="http://schemas.openxmlformats.org/officeDocument/2006/relationships/hyperlink" Target="http://www.defence.gov.au/Budget/17-18/2017-18_Defence_PBS_00_Complete.pdf" TargetMode="External"/><Relationship Id="rId1" Type="http://schemas.openxmlformats.org/officeDocument/2006/relationships/customXml" Target="../customXml/item1.xml"/><Relationship Id="rId233" Type="http://schemas.openxmlformats.org/officeDocument/2006/relationships/hyperlink" Target="http://www.reefplan.qld.gov.au/about/assets/2017-scientific-consensus-statement-summary-chap04.pdf" TargetMode="External"/><Relationship Id="rId440" Type="http://schemas.openxmlformats.org/officeDocument/2006/relationships/hyperlink" Target="http://www.environment.gov.au/marine/gbr/publications/reef-2050-long-term-sustainability-plan" TargetMode="External"/><Relationship Id="rId678" Type="http://schemas.openxmlformats.org/officeDocument/2006/relationships/hyperlink" Target="http://onlinelibrary.wiley.com/doi/10.1111/j.1748-7692.2000.tb00965.x/epdf" TargetMode="External"/><Relationship Id="rId885" Type="http://schemas.openxmlformats.org/officeDocument/2006/relationships/hyperlink" Target="https://www.daf.qld.gov.au/fisheries/consultations-and-legislation/reviews-surveys-and-consultations/green-paper-on-fisheries-management-reform-in-queensland" TargetMode="External"/><Relationship Id="rId1070" Type="http://schemas.openxmlformats.org/officeDocument/2006/relationships/hyperlink" Target="http://hdl.handle.net/11017/3215" TargetMode="External"/><Relationship Id="rId300" Type="http://schemas.openxmlformats.org/officeDocument/2006/relationships/hyperlink" Target="http://www.gbrmpa.gov.au/corp_site/key_issues/tourism/management/policies" TargetMode="External"/><Relationship Id="rId538" Type="http://schemas.openxmlformats.org/officeDocument/2006/relationships/hyperlink" Target="http://www.defence.gov.au/estatemanagement/governance/Policy/Environment/Water/Docs/DefenceEstateWaterStrategyV2May14.pdf" TargetMode="External"/><Relationship Id="rId745" Type="http://schemas.openxmlformats.org/officeDocument/2006/relationships/hyperlink" Target="https://www.daf.qld.gov.au/corporate-publications" TargetMode="External"/><Relationship Id="rId952" Type="http://schemas.openxmlformats.org/officeDocument/2006/relationships/hyperlink" Target="https://www.environment.gov.au/system/files/resources/d98b3e53-146b-4b9c-a84a-2a22454b9a83/files/reef-2050-long-term-sustainability-plan.pdf" TargetMode="External"/><Relationship Id="rId1168" Type="http://schemas.openxmlformats.org/officeDocument/2006/relationships/hyperlink" Target="http://www.reefplan.qld.gov.au/measuring-success/paddock-to-reef/" TargetMode="External"/><Relationship Id="rId1375" Type="http://schemas.openxmlformats.org/officeDocument/2006/relationships/hyperlink" Target="http://riverhealth.org.au/report_card/ehi/2015/overview" TargetMode="External"/><Relationship Id="rId1582" Type="http://schemas.openxmlformats.org/officeDocument/2006/relationships/hyperlink" Target="https://www.industry.gov.au/Office-of-the-Chief-Economist/Publications/Pages/Resources-and-energy-quarterly.aspx" TargetMode="External"/><Relationship Id="rId81" Type="http://schemas.openxmlformats.org/officeDocument/2006/relationships/hyperlink" Target="https://wetlandinfo.ehp.qld.gov.au/wetlands/about-us/qld-wetland-program.html" TargetMode="External"/><Relationship Id="rId605" Type="http://schemas.openxmlformats.org/officeDocument/2006/relationships/hyperlink" Target="http://www.defence.gov.au/Exercises/TS17/EnvironmentalPlanning.asp" TargetMode="External"/><Relationship Id="rId812" Type="http://schemas.openxmlformats.org/officeDocument/2006/relationships/hyperlink" Target="https://www.daf.qld.gov.au/fisheries/sustainable-fisheries-strategy/vessel-tracking/satellite-tracking" TargetMode="External"/><Relationship Id="rId1028" Type="http://schemas.openxmlformats.org/officeDocument/2006/relationships/hyperlink" Target="http://elibrary.gbrmpa.gov.au/jspui/handle/11017/3339" TargetMode="External"/><Relationship Id="rId1235" Type="http://schemas.openxmlformats.org/officeDocument/2006/relationships/hyperlink" Target="http://www.gbrmpa.gov.au/managing-the-reef/strategic-assessment" TargetMode="External"/><Relationship Id="rId1442" Type="http://schemas.openxmlformats.org/officeDocument/2006/relationships/hyperlink" Target="http://seltmp.eatlas.org.au/seltmp/ports-and-shipping" TargetMode="External"/><Relationship Id="rId1887" Type="http://schemas.openxmlformats.org/officeDocument/2006/relationships/hyperlink" Target="http://hdl.handle.net/11017/3238" TargetMode="External"/><Relationship Id="rId1302" Type="http://schemas.openxmlformats.org/officeDocument/2006/relationships/hyperlink" Target="https://www.townsville-port.com.au/projects-development/port-planning/" TargetMode="External"/><Relationship Id="rId1747" Type="http://schemas.openxmlformats.org/officeDocument/2006/relationships/hyperlink" Target="http://theconversation.com/shipping-in-the-great-barrier-reef-the-miners-highway-39251" TargetMode="External"/><Relationship Id="rId1954" Type="http://schemas.openxmlformats.org/officeDocument/2006/relationships/hyperlink" Target="https://www.daf.qld.gov.au/__data/assets/pdf_file/0020/75530/animal-care-protection-traditional-hunting-dugongs-turtles.pdf" TargetMode="External"/><Relationship Id="rId39" Type="http://schemas.openxmlformats.org/officeDocument/2006/relationships/hyperlink" Target="http://www.environment.gov.au/system/files/resources/8b9fd5af-99ce-4a18-9ca5-6bb1829fd9e1/files/gbr-independent-review.pdf" TargetMode="External"/><Relationship Id="rId1607" Type="http://schemas.openxmlformats.org/officeDocument/2006/relationships/hyperlink" Target="https://www.environment.gov.au/system/files/resources/7524507e-37a6-4cff-9195-cb5fe19d8f52/files/gbr-aesthetic-values.pdf" TargetMode="External"/><Relationship Id="rId1814" Type="http://schemas.openxmlformats.org/officeDocument/2006/relationships/hyperlink" Target="http://www.gbrmpa.gov.au/managing-the-reef/how-the-reefs-managed/Managing-multiple-uses/ports/dredging-and-dredge-material-disposal" TargetMode="External"/><Relationship Id="rId188" Type="http://schemas.openxmlformats.org/officeDocument/2006/relationships/hyperlink" Target="http://thedock.gbrmpa.gov.au/sites/Projects/P000097/MEA/Justification-Tables/Join%20a%20community%20organisation" TargetMode="External"/><Relationship Id="rId395" Type="http://schemas.openxmlformats.org/officeDocument/2006/relationships/hyperlink" Target="http://www.environment.gov.au/epbc/publications/coag-agreement/index.html" TargetMode="External"/><Relationship Id="rId255" Type="http://schemas.openxmlformats.org/officeDocument/2006/relationships/hyperlink" Target="http://www.reefplan.qld.gov.au/about/assets/2017-scientific-consensus-statement-summary-chap04.pdf" TargetMode="External"/><Relationship Id="rId462" Type="http://schemas.openxmlformats.org/officeDocument/2006/relationships/hyperlink" Target="http://www.gbrmpa.gov.au/about-us/local-marine-advisory-committees" TargetMode="External"/><Relationship Id="rId1092" Type="http://schemas.openxmlformats.org/officeDocument/2006/relationships/hyperlink" Target="http://hdl.handle.net/11017/3215" TargetMode="External"/><Relationship Id="rId1397" Type="http://schemas.openxmlformats.org/officeDocument/2006/relationships/hyperlink" Target="http://www.seagrasswatch.org/about.html" TargetMode="External"/><Relationship Id="rId115" Type="http://schemas.openxmlformats.org/officeDocument/2006/relationships/hyperlink" Target="http://www.gbrmpa.gov.au/__data/assets/pdf_file/0011/253928/CE-position-statement-draft-May-2017.pdf" TargetMode="External"/><Relationship Id="rId322" Type="http://schemas.openxmlformats.org/officeDocument/2006/relationships/hyperlink" Target="http://greatbarrierreefcitizenscience.org.au/about-us" TargetMode="External"/><Relationship Id="rId767" Type="http://schemas.openxmlformats.org/officeDocument/2006/relationships/hyperlink" Target="https://www2.deloitte.com/content/dam/Deloitte/au/Documents/Economics/deloitte-au-economics-great-barrier-reef-executive-summary-130717.pdf" TargetMode="External"/><Relationship Id="rId974" Type="http://schemas.openxmlformats.org/officeDocument/2006/relationships/hyperlink" Target="http://www.environment.gov.au/minister/frydenberg/media-releases/mr20161129.html" TargetMode="External"/><Relationship Id="rId2003" Type="http://schemas.openxmlformats.org/officeDocument/2006/relationships/hyperlink" Target="http://thedock.gbrmpa.gov.au/sites/Indigenous/Admin/Reporting/_layouts/DocIdRedir.aspx?ID=INDIGENOUS-17-112" TargetMode="External"/><Relationship Id="rId627" Type="http://schemas.openxmlformats.org/officeDocument/2006/relationships/hyperlink" Target="http://www.defence.gov.au/estatemanagement/governance/Policy/Environment/Heritage/Docs/DefenceHeritageStrategy.pdf" TargetMode="External"/><Relationship Id="rId834" Type="http://schemas.openxmlformats.org/officeDocument/2006/relationships/hyperlink" Target="https://publications.qld.gov.au/dataset/queensland-sustainable-fisheries-strategy/resource/319c7e02-f07b-4b2e-8fd5-a435d2c2f3c9" TargetMode="External"/><Relationship Id="rId1257" Type="http://schemas.openxmlformats.org/officeDocument/2006/relationships/hyperlink" Target="https://www.statedevelopment.qld.gov.au/resources/project/abbot-point-apx/abbot-pt-eis-vol-02-main-report.pdf" TargetMode="External"/><Relationship Id="rId1464" Type="http://schemas.openxmlformats.org/officeDocument/2006/relationships/hyperlink" Target="http://www.nqdrytropics.com.au/wqip2016/" TargetMode="External"/><Relationship Id="rId1671"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901" Type="http://schemas.openxmlformats.org/officeDocument/2006/relationships/hyperlink" Target="http://www.gbrmpa.gov.au/media-room/latest-news/compliance/2017/illegal-recreational-fishing-fine-increased-to-$2100" TargetMode="External"/><Relationship Id="rId1117" Type="http://schemas.openxmlformats.org/officeDocument/2006/relationships/hyperlink" Target="http://www.reefplan.qld.gov.au/about/" TargetMode="External"/><Relationship Id="rId1324" Type="http://schemas.openxmlformats.org/officeDocument/2006/relationships/hyperlink" Target="http://www.gbrmpa.gov.au/managing-the-reef/reef-2050/reef-integrated-monitoring-and-reporting-program" TargetMode="External"/><Relationship Id="rId1531" Type="http://schemas.openxmlformats.org/officeDocument/2006/relationships/hyperlink" Target="http://elibrary.gbrmpa.gov.au/jspui/handle/11017/2935" TargetMode="External"/><Relationship Id="rId1769" Type="http://schemas.openxmlformats.org/officeDocument/2006/relationships/hyperlink" Target="http://www.agriculture.gov.au/pests-diseases-weeds/marine-pests/review-national-marine-pest-biosecurity" TargetMode="External"/><Relationship Id="rId1976" Type="http://schemas.openxmlformats.org/officeDocument/2006/relationships/hyperlink" Target="http://www.gbrmpa.gov.au/zoning-permits-and-plans/plans-of-management/whitsunday-plan-of-management" TargetMode="External"/><Relationship Id="rId30" Type="http://schemas.openxmlformats.org/officeDocument/2006/relationships/hyperlink" Target="http://www.defence.gov.au/UXO/What/_Master/Docs/CommonwealthPolicyOnTheManagementOfLandAffectedByUnexplodedOrdnance-19May99.pdf" TargetMode="External"/><Relationship Id="rId1629" Type="http://schemas.openxmlformats.org/officeDocument/2006/relationships/hyperlink" Target="http://www.gbrmpa.gov.au/__data/assets/pdf_file/0016/3940/gbrmpa_NoStructuresSubZones_2006.pdf" TargetMode="External"/><Relationship Id="rId1836" Type="http://schemas.openxmlformats.org/officeDocument/2006/relationships/hyperlink" Target="http://elibrary.gbrmpa.gov.au/jspui/handle/11017/3220" TargetMode="External"/><Relationship Id="rId1903" Type="http://schemas.openxmlformats.org/officeDocument/2006/relationships/hyperlink" Target="http://www.environment.gov.au/sustainability/regional-development/gbr/publications/gbr-anchorage-management.html" TargetMode="External"/><Relationship Id="rId277" Type="http://schemas.openxmlformats.org/officeDocument/2006/relationships/hyperlink" Target="http://www.gbrmpa.gov.au/corp_site/management/who_participates/consultation_community_involvement/rac_tourism/advisory_committee" TargetMode="External"/><Relationship Id="rId484" Type="http://schemas.openxmlformats.org/officeDocument/2006/relationships/hyperlink" Target="http://elibrary.gbrmpa.gov.au/jspui/handle/11017/2861" TargetMode="External"/><Relationship Id="rId137" Type="http://schemas.openxmlformats.org/officeDocument/2006/relationships/hyperlink" Target="https://wetlandinfo.ehp.qld.gov.au/resources/static/pdf/management/policy/wetlands-gbr-strategy2016-21v13.pdf" TargetMode="External"/><Relationship Id="rId344" Type="http://schemas.openxmlformats.org/officeDocument/2006/relationships/hyperlink" Target="http://www.gbrmpa.gov.au/visit-the-reef/choose-a-high-standard-operator/high-standard-tourism-operation" TargetMode="External"/><Relationship Id="rId691" Type="http://schemas.openxmlformats.org/officeDocument/2006/relationships/hyperlink" Target="https://www.daf.qld.gov.au/fisheries/commercial-fisheries/queenslands-commercial-fisheries" TargetMode="External"/><Relationship Id="rId789" Type="http://schemas.openxmlformats.org/officeDocument/2006/relationships/hyperlink" Target="http://www.gbrmpa.gov.au/managing-the-reef/how-the-reefs-managed/fisheries-in-the-marine-park/east-coast-otter-trawl-fishery/ecological-risk-assessment-of-trawling" TargetMode="External"/><Relationship Id="rId996" Type="http://schemas.openxmlformats.org/officeDocument/2006/relationships/hyperlink" Target="http://hdl.handle.net/11017/3370" TargetMode="External"/><Relationship Id="rId2025" Type="http://schemas.openxmlformats.org/officeDocument/2006/relationships/hyperlink" Target="https://www.youtube.com/watch?v=Y2Y_gHuklyc" TargetMode="External"/><Relationship Id="rId551" Type="http://schemas.openxmlformats.org/officeDocument/2006/relationships/hyperlink" Target="http://www.defence.gov.au/estatemanagement/governance/Policy/Environment/EnergyEfficiency/Docs/DefenceEstateEnergyStrategyV2May14.pdf" TargetMode="External"/><Relationship Id="rId649" Type="http://schemas.openxmlformats.org/officeDocument/2006/relationships/hyperlink" Target="http://www.defence.gov.au/estatemanagement/governance/Policy/Environment/Heritage/Docs/HeritageToolkit.pdf" TargetMode="External"/><Relationship Id="rId856" Type="http://schemas.openxmlformats.org/officeDocument/2006/relationships/hyperlink" Target="https://publications.qld.gov.au/dataset/queensland-fisheries-harvest-strategy" TargetMode="External"/><Relationship Id="rId1181" Type="http://schemas.openxmlformats.org/officeDocument/2006/relationships/hyperlink" Target="http://www.reefplan.qld.gov.au/measuring-success/report-cards/" TargetMode="External"/><Relationship Id="rId1279" Type="http://schemas.openxmlformats.org/officeDocument/2006/relationships/hyperlink" Target="https://www.legislation.qld.gov.au/view/html/inforce/current/act-1995-002" TargetMode="External"/><Relationship Id="rId1486"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204" Type="http://schemas.openxmlformats.org/officeDocument/2006/relationships/hyperlink" Target="http://www.cms.bmpgrazing.com.au/" TargetMode="External"/><Relationship Id="rId411" Type="http://schemas.openxmlformats.org/officeDocument/2006/relationships/hyperlink" Target="http://www.ehp.qld.gov.au/water/policy/pdf/capricorn-curtis-ev-economic-social-impacts.pdf" TargetMode="External"/><Relationship Id="rId509" Type="http://schemas.openxmlformats.org/officeDocument/2006/relationships/hyperlink" Target="http://www.abc.net.au/radionational/programs/lawreport/sea-noise-pollution/7793280" TargetMode="External"/><Relationship Id="rId1041" Type="http://schemas.openxmlformats.org/officeDocument/2006/relationships/hyperlink" Target="http://hdl.handle.net/11017/3215" TargetMode="External"/><Relationship Id="rId1139" Type="http://schemas.openxmlformats.org/officeDocument/2006/relationships/hyperlink" Target="http://elibrary.gbrmpa.gov.au/jspui/handle/11017/2861" TargetMode="External"/><Relationship Id="rId1346" Type="http://schemas.openxmlformats.org/officeDocument/2006/relationships/hyperlink" Target="http://thedock.gbrmpa.gov.au/sites/Projects/P000097/MEA/Evidence-collection-templates/Sustainable%20Ports%20Development%20Act%202015" TargetMode="External"/><Relationship Id="rId1693" Type="http://schemas.openxmlformats.org/officeDocument/2006/relationships/hyperlink" Target="http://www.gbrmpa.gov.au/managing-the-reef/threats-to-the-reef/marine-debris" TargetMode="External"/><Relationship Id="rId1998" Type="http://schemas.openxmlformats.org/officeDocument/2006/relationships/hyperlink" Target="http://thedock.gbrmpa.gov.au/sites/Indigenous/Admin/Reporting/_layouts/DocIdRedir.aspx?ID=INDIGENOUS-17-112" TargetMode="External"/><Relationship Id="rId716" Type="http://schemas.openxmlformats.org/officeDocument/2006/relationships/hyperlink" Target="http://www.frdc.com.au/Archived-Reports/FRDC%20Projects/2010-006-DLD.pdf" TargetMode="External"/><Relationship Id="rId923" Type="http://schemas.openxmlformats.org/officeDocument/2006/relationships/hyperlink" Target="http://www.environment.gov.au/heritage/places/commonwealth/index.html" TargetMode="External"/><Relationship Id="rId1553" Type="http://schemas.openxmlformats.org/officeDocument/2006/relationships/hyperlink" Target="http://staging.gpcl.com.au/SiteAssets/Annual%20Reports/GPC_2015-16_Annual_Report.PDF" TargetMode="External"/><Relationship Id="rId1760" Type="http://schemas.openxmlformats.org/officeDocument/2006/relationships/hyperlink" Target="http://nesptropical.edu.au/index.php/round-1-projects/project-1-10/" TargetMode="External"/><Relationship Id="rId1858" Type="http://schemas.openxmlformats.org/officeDocument/2006/relationships/hyperlink" Target="http://www.environment.gov.au/sustainability/regional-development/gbr/publications/gbr-anchorage-management.html" TargetMode="External"/><Relationship Id="rId52" Type="http://schemas.openxmlformats.org/officeDocument/2006/relationships/hyperlink" Target="http://elibrary.gbrmpa.gov.au/jspui/handle/11017/2855" TargetMode="External"/><Relationship Id="rId1206" Type="http://schemas.openxmlformats.org/officeDocument/2006/relationships/hyperlink" Target="http://www.ehp.qld.gov.au/assets/documents/reef/gbrwst-finalreport-2016.pdf" TargetMode="External"/><Relationship Id="rId1413" Type="http://schemas.openxmlformats.org/officeDocument/2006/relationships/hyperlink" Target="https://www.statedevelopment.qld.gov.au/industry-development/port-master-planning-for-priority-ports.html" TargetMode="External"/><Relationship Id="rId1620" Type="http://schemas.openxmlformats.org/officeDocument/2006/relationships/hyperlink" Target="http://www.gbrmpa.gov.au/zoning-permits-and-plans/plans-of-management/whitsunday-plan-of-management" TargetMode="External"/><Relationship Id="rId1718" Type="http://schemas.openxmlformats.org/officeDocument/2006/relationships/hyperlink" Target="http://www.amsa.gov.au/forms-and-publications/about-amsa/publications/Annual-Reports/2014-2015/page-contents/full-report.pdf" TargetMode="External"/><Relationship Id="rId1925" Type="http://schemas.openxmlformats.org/officeDocument/2006/relationships/hyperlink" Target="https://www.amsa.gov.au/navigation/shipping-management/nesm/documents/nesm-plan-work-program.pdf" TargetMode="External"/><Relationship Id="rId299" Type="http://schemas.openxmlformats.org/officeDocument/2006/relationships/hyperlink" Target="http://www.gbrmpa.gov.au/__data/assets/pdf_file/0004/3892/gbrmpa_ManagementOfTouristFlightsInTheVicinityOfMagneticIsland_2009.pdf" TargetMode="External"/><Relationship Id="rId159" Type="http://schemas.openxmlformats.org/officeDocument/2006/relationships/hyperlink" Target="http://www.dilgp.qld.gov.au/planning/state-planning-instruments/state-planning-policy.html" TargetMode="External"/><Relationship Id="rId366" Type="http://schemas.openxmlformats.org/officeDocument/2006/relationships/hyperlink" Target="http://nesptropical.edu.au/index.php/round-3-projects/project-3-2-2/" TargetMode="External"/><Relationship Id="rId573" Type="http://schemas.openxmlformats.org/officeDocument/2006/relationships/hyperlink" Target="http://hdl.handle.net/11017/3165" TargetMode="External"/><Relationship Id="rId780" Type="http://schemas.openxmlformats.org/officeDocument/2006/relationships/hyperlink" Target="https://publications.qld.gov.au/dataset/queensland-sustainable-fisheries-strategy/resource/319c7e02-f07b-4b2e-8fd5-a435d2c2f3c9" TargetMode="External"/><Relationship Id="rId226" Type="http://schemas.openxmlformats.org/officeDocument/2006/relationships/hyperlink" Target="http://www.reefplan.qld.gov.au/about/" TargetMode="External"/><Relationship Id="rId433" Type="http://schemas.openxmlformats.org/officeDocument/2006/relationships/hyperlink" Target="http://elibrary.gbrmpa.gov.au/jspui/bitstream/11017/3214/1/Reef-2050-net-benefit-policy-draft-for-consultation.pdf" TargetMode="External"/><Relationship Id="rId878" Type="http://schemas.openxmlformats.org/officeDocument/2006/relationships/hyperlink" Target="https://www.researchgate.net/publication/272158690_Implications_of_climate_change_on_fisheries_resources_of_northern_Australia_Part_1_Vulnerability_assessment_and_adaptations" TargetMode="External"/><Relationship Id="rId1063" Type="http://schemas.openxmlformats.org/officeDocument/2006/relationships/hyperlink" Target="http://elibrary.gbrmpa.gov.au/jspui/handle/11017/3339" TargetMode="External"/><Relationship Id="rId1270" Type="http://schemas.openxmlformats.org/officeDocument/2006/relationships/hyperlink" Target="https://www.statedevelopment.qld.gov.au/industry-development/sustainable-ports-development-act-2015.html" TargetMode="External"/><Relationship Id="rId640" Type="http://schemas.openxmlformats.org/officeDocument/2006/relationships/hyperlink" Target="http://www.gbrmpa.gov.au/about-us/corporate-information/annual-report/annual-report-2015-16" TargetMode="External"/><Relationship Id="rId738" Type="http://schemas.openxmlformats.org/officeDocument/2006/relationships/hyperlink" Target="https://www.daf.qld.gov.au/business-priorities/fisheries/sustainable-fisheries-strategy/fisheries-reforms" TargetMode="External"/><Relationship Id="rId945" Type="http://schemas.openxmlformats.org/officeDocument/2006/relationships/hyperlink" Target="http://www.environment.gov.au/soe/2011/report/marine-environment" TargetMode="External"/><Relationship Id="rId1368" Type="http://schemas.openxmlformats.org/officeDocument/2006/relationships/hyperlink" Target="http://www.environment.gov.au/sustainability/regional-development/gbr/publications/gbr-ports-environmental-standards.html" TargetMode="External"/><Relationship Id="rId1575" Type="http://schemas.openxmlformats.org/officeDocument/2006/relationships/hyperlink" Target="http://www.environment.gov.au/system/files/resources/cb36afd7-7f52-468a-9d69-a6bdd7da156b/files/gbr-state-party-report-2015.pdf" TargetMode="External"/><Relationship Id="rId1782" Type="http://schemas.openxmlformats.org/officeDocument/2006/relationships/hyperlink" Target="http://www.gbrmpa.gov.au/managing-the-reef/how-the-reefs-managed/Managing-multiple-uses/shipping/designated-shipping-areas" TargetMode="External"/><Relationship Id="rId74" Type="http://schemas.openxmlformats.org/officeDocument/2006/relationships/hyperlink" Target="https://wetlandinfo.ehp.qld.gov.au/wetlands/management/policy-legislation/" TargetMode="External"/><Relationship Id="rId500" Type="http://schemas.openxmlformats.org/officeDocument/2006/relationships/hyperlink" Target="http://elibrary.gbrmpa.gov.au/jspui/handle/11017/2861" TargetMode="External"/><Relationship Id="rId805" Type="http://schemas.openxmlformats.org/officeDocument/2006/relationships/hyperlink" Target="http://www.environment.gov.au/marine/fisheries/qld-managed-fisheries" TargetMode="External"/><Relationship Id="rId1130" Type="http://schemas.openxmlformats.org/officeDocument/2006/relationships/hyperlink" Target="http://www.gbrmpa.gov.au/managing-the-reef/how-the-reefs-managed/reef-2050-marine-monitoring-program/marine-monitoring-program-publications" TargetMode="External"/><Relationship Id="rId1228" Type="http://schemas.openxmlformats.org/officeDocument/2006/relationships/hyperlink" Target="http://staging.gpcl.com.au/SiteAssets/Annual%20Reports/GPC_2015-16_Annual_Report.PDF" TargetMode="External"/><Relationship Id="rId1435" Type="http://schemas.openxmlformats.org/officeDocument/2006/relationships/hyperlink" Target="http://elibrary.gbrmpa.gov.au/jspui/handle/11017/3214" TargetMode="External"/><Relationship Id="rId1642" Type="http://schemas.openxmlformats.org/officeDocument/2006/relationships/hyperlink" Target="http://www.ouchvolunteers.com/" TargetMode="External"/><Relationship Id="rId1947" Type="http://schemas.openxmlformats.org/officeDocument/2006/relationships/hyperlink" Target="http://www.gbrmpa.gov.au/zoning-permits-and-plans/plans-of-management/whitsunday-plan-of-management" TargetMode="External"/><Relationship Id="rId1502" Type="http://schemas.openxmlformats.org/officeDocument/2006/relationships/hyperlink" Target="http://www.fba.org.au/planning-for-water-quality-improvement/" TargetMode="External"/><Relationship Id="rId1807" Type="http://schemas.openxmlformats.org/officeDocument/2006/relationships/hyperlink" Target="http://www.agriculture.gov.au/SiteCollectionDocuments/pests-diseases-weeds/marine-pests/monitoring-marine-pests.pdf" TargetMode="External"/><Relationship Id="rId290" Type="http://schemas.openxmlformats.org/officeDocument/2006/relationships/hyperlink" Target="http://hdl.handle.net/11017/3246" TargetMode="External"/><Relationship Id="rId388" Type="http://schemas.openxmlformats.org/officeDocument/2006/relationships/hyperlink" Target="http://www.gbrmpa.gov.au/__data/assets/pdf_file/0008/3986/gbrmpa_IndigenousParticipationPositionStatement_2005.pdf" TargetMode="External"/><Relationship Id="rId150" Type="http://schemas.openxmlformats.org/officeDocument/2006/relationships/hyperlink" Target="https://www.ehp.qld.gov.au/water/policy/" TargetMode="External"/><Relationship Id="rId595" Type="http://schemas.openxmlformats.org/officeDocument/2006/relationships/hyperlink" Target="http://www.defence.gov.au/estatemanagement/governance/Policy/Environment/Heritage/Docs/HeritageToolkit.pdf" TargetMode="External"/><Relationship Id="rId248" Type="http://schemas.openxmlformats.org/officeDocument/2006/relationships/hyperlink" Target="http://www.gbrmpa.gov.au/managing-the-reef/reef-2050/reef-integrated-monitoring-and-reporting-program" TargetMode="External"/><Relationship Id="rId455" Type="http://schemas.openxmlformats.org/officeDocument/2006/relationships/hyperlink" Target="https://qldglobe.information.qld.gov.au/" TargetMode="External"/><Relationship Id="rId662" Type="http://schemas.openxmlformats.org/officeDocument/2006/relationships/hyperlink" Target="http://www.defence.gov.au/Exercises/TS17/EnvironmentalPlanning.asp" TargetMode="External"/><Relationship Id="rId1085" Type="http://schemas.openxmlformats.org/officeDocument/2006/relationships/hyperlink" Target="https://www.youtube.com/watch?v=elAWJiHAKVY" TargetMode="External"/><Relationship Id="rId1292" Type="http://schemas.openxmlformats.org/officeDocument/2006/relationships/hyperlink" Target="http://www.gbrmpa.gov.au/__data/assets/pdf_file/0015/3390/GBRMPA-zoning-plan-2003.pdf" TargetMode="External"/><Relationship Id="rId108" Type="http://schemas.openxmlformats.org/officeDocument/2006/relationships/hyperlink" Target="http://www.environment.gov.au/marine/gbr/reef2050/advisory-bodies" TargetMode="External"/><Relationship Id="rId315" Type="http://schemas.openxmlformats.org/officeDocument/2006/relationships/hyperlink" Target="http://www.gbrmpa.gov.au/onboard/home/marine_park/management_arrangements/eyes_ears_reporting" TargetMode="External"/><Relationship Id="rId522" Type="http://schemas.openxmlformats.org/officeDocument/2006/relationships/hyperlink" Target="http://www.defence.gov.au/environment/impact.htm" TargetMode="External"/><Relationship Id="rId967" Type="http://schemas.openxmlformats.org/officeDocument/2006/relationships/hyperlink" Target="http://nesptropical.edu.au/index.php/round-3-projects/project-3-2-3/" TargetMode="External"/><Relationship Id="rId1152" Type="http://schemas.openxmlformats.org/officeDocument/2006/relationships/hyperlink" Target="https://www.ehp.qld.gov.au/water/policy/basin-map.html" TargetMode="External"/><Relationship Id="rId1597" Type="http://schemas.openxmlformats.org/officeDocument/2006/relationships/hyperlink" Target="https://www2.deloitte.com/content/dam/Deloitte/au/Documents/Economics/deloitte-au-economics-great-barrier-reef-230617.pdf" TargetMode="External"/><Relationship Id="rId96" Type="http://schemas.openxmlformats.org/officeDocument/2006/relationships/hyperlink" Target="http://www.reefplan.qld.gov.au/about/" TargetMode="External"/><Relationship Id="rId827" Type="http://schemas.openxmlformats.org/officeDocument/2006/relationships/hyperlink" Target="https://publications.qld.gov.au/dataset/queensland-sustainable-fisheries-strategy/resource/319c7e02-f07b-4b2e-8fd5-a435d2c2f3c9" TargetMode="External"/><Relationship Id="rId1012" Type="http://schemas.openxmlformats.org/officeDocument/2006/relationships/hyperlink" Target="http://www.gbrmpa.gov.au/media-room/latest-news/heritage/2017/celebrating-great-barrier-reef-heritage" TargetMode="External"/><Relationship Id="rId1457" Type="http://schemas.openxmlformats.org/officeDocument/2006/relationships/hyperlink" Target="http://www.gbrmpa.gov.au/managing-the-reef/reef-integrated-monitoring-and-reporting-program" TargetMode="External"/><Relationship Id="rId1664" Type="http://schemas.openxmlformats.org/officeDocument/2006/relationships/hyperlink" Target="https://www2.deloitte.com/content/dam/Deloitte/au/Documents/future-of-cities/deloitte-future-of-cities-confidently-queensland-270717.pdf" TargetMode="External"/><Relationship Id="rId1871" Type="http://schemas.openxmlformats.org/officeDocument/2006/relationships/hyperlink" Target="http://www.environment.gov.au/sustainability/regional-development/gbr/publications/gbr-anchorage-management.html" TargetMode="External"/><Relationship Id="rId1317" Type="http://schemas.openxmlformats.org/officeDocument/2006/relationships/hyperlink" Target="https://www.google.com.au/url?sa=t&amp;rct=j&amp;q=&amp;esrc=s&amp;source=web&amp;cd=2&amp;ved=0ahUKEwjWhYq84_vWAhWJJJQKHebYBIgQFggsMAE&amp;url=https%3A%2F%2Fwww.tmr.qld.gov.au%2F-%2Fmedia%2Fbusind%2FTransport-sectors%2FPorts%2Fmaintenancedredgingstrategy%2FMaintenance-Dredging-Strategy---November-2016.pdf%3Fla%3Den&amp;usg=AOvVaw0nhn5tAZegVAmoQhew_olB" TargetMode="External"/><Relationship Id="rId1524" Type="http://schemas.openxmlformats.org/officeDocument/2006/relationships/hyperlink" Target="http://elibrary.gbrmpa.gov.au/jspui/handle/11017/3213" TargetMode="External"/><Relationship Id="rId1731" Type="http://schemas.openxmlformats.org/officeDocument/2006/relationships/hyperlink" Target="http://www.amsa.gov.au/forms-and-publications/environment/publications/Other-Reports/index.asp" TargetMode="External"/><Relationship Id="rId1969" Type="http://schemas.openxmlformats.org/officeDocument/2006/relationships/hyperlink" Target="http://www.gbrmpa.gov.au/zoning-permits-and-plans/plans-of-management/whitsunday-plan-of-management" TargetMode="External"/><Relationship Id="rId23" Type="http://schemas.openxmlformats.org/officeDocument/2006/relationships/footer" Target="footer1.xml"/><Relationship Id="rId1829" Type="http://schemas.openxmlformats.org/officeDocument/2006/relationships/hyperlink" Target="http://hdl.handle.net/11017/3282" TargetMode="External"/><Relationship Id="rId172"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477" Type="http://schemas.openxmlformats.org/officeDocument/2006/relationships/hyperlink" Target="http://www.gbrmpa.gov.au/__data/assets/pdf_file/0013/7051/strategic_env_assessment_defence.pdf.pdf" TargetMode="External"/><Relationship Id="rId684" Type="http://schemas.openxmlformats.org/officeDocument/2006/relationships/hyperlink" Target="https://link.springer.com/article/10.1007/s00343-010-9113-3" TargetMode="External"/><Relationship Id="rId337" Type="http://schemas.openxmlformats.org/officeDocument/2006/relationships/hyperlink" Target="http://www.gbrmpa.gov.au/corp_site/management/site_management" TargetMode="External"/><Relationship Id="rId891" Type="http://schemas.openxmlformats.org/officeDocument/2006/relationships/hyperlink" Target="https://www.daf.qld.gov.au/fisheries/monitoring-our-fisheries/data-reports/sustainability-reporting/stock-status-assessments/summary-2016" TargetMode="External"/><Relationship Id="rId989" Type="http://schemas.openxmlformats.org/officeDocument/2006/relationships/hyperlink" Target="https://www.ninneyrise.com/audios-and-photos.html" TargetMode="External"/><Relationship Id="rId2018" Type="http://schemas.openxmlformats.org/officeDocument/2006/relationships/hyperlink" Target="https://theconversation.com/traditional-hunting-gets-headlines-but-is-not-the-big-threat-to-turtles-and-dugongs-69038" TargetMode="External"/><Relationship Id="rId544" Type="http://schemas.openxmlformats.org/officeDocument/2006/relationships/hyperlink" Target="http://www.defence.gov.au/Exercises/TS17/EnvironmentalPlanning.asp" TargetMode="External"/><Relationship Id="rId751" Type="http://schemas.openxmlformats.org/officeDocument/2006/relationships/hyperlink" Target="https://publications.qld.gov.au/dataset/queensland-sustainable-fisheries-strategy/resource/319c7e02-f07b-4b2e-8fd5-a435d2c2f3c9" TargetMode="External"/><Relationship Id="rId849" Type="http://schemas.openxmlformats.org/officeDocument/2006/relationships/hyperlink" Target="http://www.fao.org/docrep/016/i2708e/i2708e00.pdf" TargetMode="External"/><Relationship Id="rId1174" Type="http://schemas.openxmlformats.org/officeDocument/2006/relationships/hyperlink" Target="http://www.reefplan.qld.gov.au/measuring-success/report-cards/2016/" TargetMode="External"/><Relationship Id="rId1381" Type="http://schemas.openxmlformats.org/officeDocument/2006/relationships/hyperlink" Target="https://www.tmr.qld.gov.au/business-industry/Transport-sectors/Ports/Trade-statistics-for-Queensland-ports" TargetMode="External"/><Relationship Id="rId1479" Type="http://schemas.openxmlformats.org/officeDocument/2006/relationships/hyperlink" Target="http://elibrary.gbrmpa.gov.au/jspui/handle/11017/595" TargetMode="External"/><Relationship Id="rId1686" Type="http://schemas.openxmlformats.org/officeDocument/2006/relationships/hyperlink" Target="http://www.gbrmpa.gov.au/corp_site/info_services/publications/newsletters/searead2" TargetMode="External"/><Relationship Id="rId404" Type="http://schemas.openxmlformats.org/officeDocument/2006/relationships/hyperlink" Target="http://elibrary.gbrmpa.gov.au/jspui/bitstream/11017/3213/1/Reef-2050-cumulative-impact-mngt-draft-for-public-consultation.pdf" TargetMode="External"/><Relationship Id="rId611" Type="http://schemas.openxmlformats.org/officeDocument/2006/relationships/hyperlink" Target="https://link.springer.com/article/10.1007/s00343-010-9113-3" TargetMode="External"/><Relationship Id="rId1034" Type="http://schemas.openxmlformats.org/officeDocument/2006/relationships/hyperlink" Target="http://elibrary.gbrmpa.gov.au/jspui/bitstream/11017/3364/1/FMP-Ann-Rep-Summary-2016%E2%80%9317.pdf" TargetMode="External"/><Relationship Id="rId1241" Type="http://schemas.openxmlformats.org/officeDocument/2006/relationships/hyperlink" Target="http://ghhp.org.au/report-cards/2016" TargetMode="External"/><Relationship Id="rId1339" Type="http://schemas.openxmlformats.org/officeDocument/2006/relationships/hyperlink" Target="https://www.google.com.au/url?sa=t&amp;rct=j&amp;q=&amp;esrc=s&amp;source=web&amp;cd=2&amp;ved=0ahUKEwjWhYq84_vWAhWJJJQKHebYBIgQFggsMAE&amp;url=https%3A%2F%2Fwww.tmr.qld.gov.au%2F-%2Fmedia%2Fbusind%2FTransport-sectors%2FPorts%2Fmaintenancedredgingstrategy%2FMaintenance-Dredging-Strategy---November-2016.pdf%3Fla%3Den&amp;usg=AOvVaw0nhn5tAZegVAmoQhew_olB" TargetMode="External"/><Relationship Id="rId1893" Type="http://schemas.openxmlformats.org/officeDocument/2006/relationships/hyperlink" Target="http://www.gbrmpa.gov.au/media-room/latest-news/consultation/2017/consultation-open-on-the-great-barrier-reef-cruise-ship-policy" TargetMode="External"/><Relationship Id="rId709" Type="http://schemas.openxmlformats.org/officeDocument/2006/relationships/hyperlink" Target="https://publications.qld.gov.au/dataset/queensland-sustainable-fisheries-strategy/resource/319c7e02-f07b-4b2e-8fd5-a435d2c2f3c9" TargetMode="External"/><Relationship Id="rId916" Type="http://schemas.openxmlformats.org/officeDocument/2006/relationships/hyperlink" Target="http://seltmp.eatlas.org.au/media/835" TargetMode="External"/><Relationship Id="rId1101" Type="http://schemas.openxmlformats.org/officeDocument/2006/relationships/hyperlink" Target="http://elibrary.gbrmpa.gov.au/jspui/handle/11017/3339" TargetMode="External"/><Relationship Id="rId1546" Type="http://schemas.openxmlformats.org/officeDocument/2006/relationships/hyperlink" Target="http://www.gbrmpa.gov.au/managing-the-reef/reef-2050/reef-integrated-monitoring-and-reporting-program" TargetMode="External"/><Relationship Id="rId1753" Type="http://schemas.openxmlformats.org/officeDocument/2006/relationships/hyperlink" Target="http://www.agriculture.gov.au/biosecurity/avm/vessels/ballast" TargetMode="External"/><Relationship Id="rId1960" Type="http://schemas.openxmlformats.org/officeDocument/2006/relationships/hyperlink" Target="https://www.environment.gov.au/system/files/resources/d98b3e53-146b-4b9c-a84a-2a22454b9a83/files/reef-2050-long-term-sustainability-plan.pdf" TargetMode="External"/><Relationship Id="rId45" Type="http://schemas.openxmlformats.org/officeDocument/2006/relationships/header" Target="header6.xml"/><Relationship Id="rId1406" Type="http://schemas.openxmlformats.org/officeDocument/2006/relationships/hyperlink" Target="http://www.portsaustralia.com.au/assets/Publications/Ports-Australia-Dredging-Code-of-Practice.pdf" TargetMode="External"/><Relationship Id="rId1613" Type="http://schemas.openxmlformats.org/officeDocument/2006/relationships/hyperlink" Target="http://dspace-prod.gbrmpa.gov.au/jspui/bitstream/11017/3108/1/GBRMPA-Recreation-Management-Strategy-2012.pdf" TargetMode="External"/><Relationship Id="rId1820" Type="http://schemas.openxmlformats.org/officeDocument/2006/relationships/hyperlink" Target="https://gate.gbrmpa.gov.au/OR2019/Shared%20Documents/Shipping%20References/Anchoragesjurisdictionalarrangementspaper%20(1).pdf" TargetMode="External"/><Relationship Id="rId194" Type="http://schemas.openxmlformats.org/officeDocument/2006/relationships/hyperlink" Target="http://www.coastcare.com.au" TargetMode="External"/><Relationship Id="rId1918" Type="http://schemas.openxmlformats.org/officeDocument/2006/relationships/hyperlink" Target="https://www.amsa.gov.au/navigation/shipping-management/nesm/documents/nesm-plan-work-program.pdf" TargetMode="External"/><Relationship Id="rId261" Type="http://schemas.openxmlformats.org/officeDocument/2006/relationships/hyperlink" Target="http://www.reefplan.qld.gov.au/about/scientific-consensus-statement/" TargetMode="External"/><Relationship Id="rId499" Type="http://schemas.openxmlformats.org/officeDocument/2006/relationships/hyperlink" Target="http://www.environment.gov.au/system/files/resources/797b46e9-af09-48ab-835b-2a5350f89ba1/files/gbr-strat-assessment-ind-review-report.pdf" TargetMode="External"/><Relationship Id="rId359" Type="http://schemas.openxmlformats.org/officeDocument/2006/relationships/hyperlink" Target="http://hdl.handle.net/11017/3246" TargetMode="External"/><Relationship Id="rId566" Type="http://schemas.openxmlformats.org/officeDocument/2006/relationships/hyperlink" Target="https://www.google.com/url?q=http://www.gbrmpa.gov.au/__data/assets/pdf_file/0007/248632/2016-2020-MOU_Defence.pdf&amp;sa=U&amp;ved=0ahUKEwjBhbTC8I_WAhWETbwKHdwICjsQFggKMAI&amp;client=internal-uds-cse&amp;usg=AFQjCNGUAVLyNKUsZi1MRfa7FapSf1N32Q" TargetMode="External"/><Relationship Id="rId773" Type="http://schemas.openxmlformats.org/officeDocument/2006/relationships/hyperlink" Target="http://www.sciencedirect.com/science/article/pii/S0921800917305633" TargetMode="External"/><Relationship Id="rId1196" Type="http://schemas.openxmlformats.org/officeDocument/2006/relationships/hyperlink" Target="http://www.gbrmpa.gov.au/managing-the-reef/how-the-reefs-managed/reef-2050-marine-monitoring-program/marine-monitoring-program-publications" TargetMode="External"/><Relationship Id="rId121" Type="http://schemas.openxmlformats.org/officeDocument/2006/relationships/hyperlink" Target="http://www.terrain.org.au/" TargetMode="External"/><Relationship Id="rId219" Type="http://schemas.openxmlformats.org/officeDocument/2006/relationships/hyperlink" Target="http://www.reefplan.qld.gov.au/about/assets/2017-scientific-consensus-statement-summary.pdf" TargetMode="External"/><Relationship Id="rId426" Type="http://schemas.openxmlformats.org/officeDocument/2006/relationships/hyperlink" Target="http://www.gbrmpa.gov.au/managing-the-reef/reef-2050/reef-integrated-monitoring-and-reporting-program" TargetMode="External"/><Relationship Id="rId633" Type="http://schemas.openxmlformats.org/officeDocument/2006/relationships/hyperlink" Target="http://www.aurecongroup.com/en/talismanSaber/public-environment-report.aspx" TargetMode="External"/><Relationship Id="rId980" Type="http://schemas.openxmlformats.org/officeDocument/2006/relationships/hyperlink" Target="http://elibrary.gbrmpa.gov.au/jspui/handle/11017/3235" TargetMode="External"/><Relationship Id="rId1056" Type="http://schemas.openxmlformats.org/officeDocument/2006/relationships/hyperlink" Target="https://www.npsr.qld.gov.au/managing/plans-strategies/" TargetMode="External"/><Relationship Id="rId1263" Type="http://schemas.openxmlformats.org/officeDocument/2006/relationships/hyperlink" Target="http://www.environment.gov.au/system/files/resources/cb36afd7-7f52-468a-9d69-a6bdd7da156b/files/gbr-state-party-report-2015.pdf" TargetMode="External"/><Relationship Id="rId840" Type="http://schemas.openxmlformats.org/officeDocument/2006/relationships/hyperlink" Target="https://www.daf.qld.gov.au/fisheries/monitoring-our-fisheries/data-reports/sustainability-reporting/stock-assessment-reports/stock-assessment-of-the-queensland-and-new-south-wales-pearl-perch-glaucosoma-scapulare-fishery" TargetMode="External"/><Relationship Id="rId938" Type="http://schemas.openxmlformats.org/officeDocument/2006/relationships/hyperlink" Target="http://elibrary.gbrmpa.gov.au/jspui/handle/11017/2983" TargetMode="External"/><Relationship Id="rId1470" Type="http://schemas.openxmlformats.org/officeDocument/2006/relationships/hyperlink" Target="http://www.gbrmpa.gov.au/managing-the-reef/reef-2050/reef-2050-long-term-sustainability-plan" TargetMode="External"/><Relationship Id="rId1568" Type="http://schemas.openxmlformats.org/officeDocument/2006/relationships/hyperlink" Target="http://www.gbrmpa.gov.au/managing-the-reef/strategic-assessment" TargetMode="External"/><Relationship Id="rId1775" Type="http://schemas.openxmlformats.org/officeDocument/2006/relationships/hyperlink" Target="https://data.marinemammals.gov.au/report/shipstrike" TargetMode="External"/><Relationship Id="rId67" Type="http://schemas.openxmlformats.org/officeDocument/2006/relationships/hyperlink" Target="https://wetlandinfo.ehp.qld.gov.au/wetlands/assessment/monitoring/" TargetMode="External"/><Relationship Id="rId700" Type="http://schemas.openxmlformats.org/officeDocument/2006/relationships/hyperlink" Target="https://www.daf.qld.gov.au/fisheries/monitoring-our-fisheries/data-reports/sustainability-reporting" TargetMode="External"/><Relationship Id="rId1123" Type="http://schemas.openxmlformats.org/officeDocument/2006/relationships/hyperlink" Target="http://www.reefplan.qld.gov.au/measuring-success/report-cards/" TargetMode="External"/><Relationship Id="rId1330" Type="http://schemas.openxmlformats.org/officeDocument/2006/relationships/hyperlink" Target="http://ghhp.org.au/report-cards/2016" TargetMode="External"/><Relationship Id="rId1428" Type="http://schemas.openxmlformats.org/officeDocument/2006/relationships/hyperlink" Target="https://www.legislation.gov.au/Details/C2016C00777" TargetMode="External"/><Relationship Id="rId1635" Type="http://schemas.openxmlformats.org/officeDocument/2006/relationships/hyperlink" Target="http://elibrary.gbrmpa.gov.au/jspui/bitstream/11017/2787/1/GBR%20BCS%2029%20April%202013_BD2_MAR.pdf" TargetMode="External"/><Relationship Id="rId1982" Type="http://schemas.openxmlformats.org/officeDocument/2006/relationships/hyperlink" Target="http://elibrary.gbrmpa.gov.au/jspui/handle/11017/3224" TargetMode="External"/><Relationship Id="rId1842" Type="http://schemas.openxmlformats.org/officeDocument/2006/relationships/hyperlink" Target="http://www.amsa.gov.au/forms-and-publications/about-amsa/publications/Annual-Reports/2016-2017/AMSA-Annual-Report-2016-17.pdf" TargetMode="External"/><Relationship Id="rId1702" Type="http://schemas.openxmlformats.org/officeDocument/2006/relationships/hyperlink" Target="https://researchonline.jcu.edu.au/39919/" TargetMode="External"/><Relationship Id="rId283" Type="http://schemas.openxmlformats.org/officeDocument/2006/relationships/hyperlink" Target="http://www.gbrmpa.gov.au/__data/assets/word_doc/0018/144135/Marine-Tourism-Contingency-Plan.docx" TargetMode="External"/><Relationship Id="rId490" Type="http://schemas.openxmlformats.org/officeDocument/2006/relationships/hyperlink" Target="http://www.google.com.au/url?sa=t&amp;rct=j&amp;q=&amp;esrc=s&amp;source=web&amp;cd=3&amp;cad=rja&amp;uact=8&amp;ved=0ahUKEwj1jZPq6Y_WAhXHvrwKHY8nBrcQFgg0MAI&amp;url=http%3A%2F%2Fwww.defence.gov.au%2Festatemanagement%2Fgovernance%2FPolicy%2FEnvironment%2FPolicy%2FEnvironmentStrategy2016.PDF&amp;usg=AFQjCNFC9xBKIti6HZ8J6G2k5X_OVkGtFg" TargetMode="External"/><Relationship Id="rId143" Type="http://schemas.openxmlformats.org/officeDocument/2006/relationships/hyperlink" Target="http://www.gbrmpa.gov.au/__data/assets/pdf_file/0011/253928/CE-position-statement-draft-May-2017.pdf" TargetMode="External"/><Relationship Id="rId350" Type="http://schemas.openxmlformats.org/officeDocument/2006/relationships/hyperlink" Target="http://sharepoint-ent/SPRS/KRM/IS/SitePages/eLibrary.aspx" TargetMode="External"/><Relationship Id="rId588" Type="http://schemas.openxmlformats.org/officeDocument/2006/relationships/hyperlink" Target="http://www.defence.gov.au/Exercises/TS17" TargetMode="External"/><Relationship Id="rId795" Type="http://schemas.openxmlformats.org/officeDocument/2006/relationships/hyperlink" Target="http://www.gbrmpa.gov.au/zoning-permits-and-plans/special-management-areas/protecting-our-maritime-cultural-heritage" TargetMode="External"/><Relationship Id="rId9" Type="http://schemas.openxmlformats.org/officeDocument/2006/relationships/webSettings" Target="webSettings.xml"/><Relationship Id="rId210" Type="http://schemas.openxmlformats.org/officeDocument/2006/relationships/hyperlink" Target="http://waterquality.capeyorknrm.com.au/water-quality/eastern-cape" TargetMode="External"/><Relationship Id="rId448" Type="http://schemas.openxmlformats.org/officeDocument/2006/relationships/hyperlink" Target="http://esri-102-app.gbrmpa.gov.au/reefexplorer" TargetMode="External"/><Relationship Id="rId655" Type="http://schemas.openxmlformats.org/officeDocument/2006/relationships/hyperlink" Target="https://link.springer.com/article/10.1007/s00343-010-9113-3" TargetMode="External"/><Relationship Id="rId862" Type="http://schemas.openxmlformats.org/officeDocument/2006/relationships/hyperlink" Target="https://www.rockhamptonregion.qld.gov.au/CouncilServices/Major-Projects/Rockhampton-Recreational-Fishing-Development-Strategy" TargetMode="External"/><Relationship Id="rId1078" Type="http://schemas.openxmlformats.org/officeDocument/2006/relationships/hyperlink" Target="https://www.pmc.gov.au/indigenous-affairs/environment/indigenous-land-and-sea-management-projects" TargetMode="External"/><Relationship Id="rId1285" Type="http://schemas.openxmlformats.org/officeDocument/2006/relationships/hyperlink" Target="http://elibrary.gbrmpa.gov.au/jspui/handle/11017/2935" TargetMode="External"/><Relationship Id="rId1492" Type="http://schemas.openxmlformats.org/officeDocument/2006/relationships/hyperlink" Target="https://www.statedevelopment.qld.gov.au/industry-development/port-master-planning-for-priority-ports.html" TargetMode="External"/><Relationship Id="rId308" Type="http://schemas.openxmlformats.org/officeDocument/2006/relationships/hyperlink" Target="http://www.gbrmpa.gov.au/media-room/latest-news/consultation/2016/public-comment-invited-on-proposed-permission-system-improvements" TargetMode="External"/><Relationship Id="rId515" Type="http://schemas.openxmlformats.org/officeDocument/2006/relationships/hyperlink" Target="http://www.defence.gov.au/Exercises/TS17/EnvironmentalPlanning.asp" TargetMode="External"/><Relationship Id="rId722" Type="http://schemas.openxmlformats.org/officeDocument/2006/relationships/hyperlink" Target="http://www.environment.gov.au/protection/assessments/strategic/great-barrier-reef" TargetMode="External"/><Relationship Id="rId1145" Type="http://schemas.openxmlformats.org/officeDocument/2006/relationships/hyperlink" Target="https://www.ehp.qld.gov.au/water/policy/water_quality_improvement_plans.html" TargetMode="External"/><Relationship Id="rId1352" Type="http://schemas.openxmlformats.org/officeDocument/2006/relationships/hyperlink" Target="http://www.gbrmpa.gov.au/zoning-permits-and-plans/plans-of-management" TargetMode="External"/><Relationship Id="rId1797" Type="http://schemas.openxmlformats.org/officeDocument/2006/relationships/hyperlink" Target="http://www.amsa.gov.au/forms-and-publications/Publications/AMSA439.pdf" TargetMode="External"/><Relationship Id="rId89" Type="http://schemas.openxmlformats.org/officeDocument/2006/relationships/hyperlink" Target="https://www.ehp.qld.gov.au/water/pdf/factsheet-evs-wqos-epp-water.pdf" TargetMode="External"/><Relationship Id="rId1005" Type="http://schemas.openxmlformats.org/officeDocument/2006/relationships/hyperlink" Target="http://hdl.handle.net/11017/3371" TargetMode="External"/><Relationship Id="rId1212" Type="http://schemas.openxmlformats.org/officeDocument/2006/relationships/hyperlink" Target="http://www.environment.gov.au/marine/gbr/publications/reef-2050-plan-annual-report-implementation-strategy" TargetMode="External"/><Relationship Id="rId1657" Type="http://schemas.openxmlformats.org/officeDocument/2006/relationships/hyperlink" Target="http://www.gbrmpa.gov.au/about-us/local-marine-advisory-committees" TargetMode="External"/><Relationship Id="rId1864" Type="http://schemas.openxmlformats.org/officeDocument/2006/relationships/hyperlink" Target="https://www.environment.gov.au/science/nesp" TargetMode="External"/><Relationship Id="rId1517" Type="http://schemas.openxmlformats.org/officeDocument/2006/relationships/hyperlink" Target="http://www.gbrmpa.gov.au/managing-the-reef/reef-2050/reef-integrated-monitoring-and-reporting-program" TargetMode="External"/><Relationship Id="rId1724" Type="http://schemas.openxmlformats.org/officeDocument/2006/relationships/hyperlink" Target="http://www.amsa.gov.au/forms-and-publications/about-amsa/publications/Corporate-Plans/index.asp" TargetMode="External"/><Relationship Id="rId16" Type="http://schemas.openxmlformats.org/officeDocument/2006/relationships/image" Target="media/image5.png"/><Relationship Id="rId1931" Type="http://schemas.openxmlformats.org/officeDocument/2006/relationships/hyperlink" Target="http://www.statedevelopment.qld.gov.au/resources/great-barrier-reef-coastal-zone-strategic-assessment-final-reports.html" TargetMode="External"/><Relationship Id="rId165" Type="http://schemas.openxmlformats.org/officeDocument/2006/relationships/hyperlink" Target="http://www.gbrmpa.gov.au/__data/assets/pdf_file/0011/253928/CE-position-statement-draft-May-2017.pdf" TargetMode="External"/><Relationship Id="rId372" Type="http://schemas.openxmlformats.org/officeDocument/2006/relationships/hyperlink" Target="http://www.environment.gov.au/system/files/resources/cb36afd7-7f52-468a-9d69-a6bdd7da156b/files/gbr-state-party-report-2015.pdf" TargetMode="External"/><Relationship Id="rId677" Type="http://schemas.openxmlformats.org/officeDocument/2006/relationships/hyperlink" Target="http://www.defence.gov.au/environment/swbta/Defence%20SOE%20report_chapter%209f.pdf" TargetMode="External"/><Relationship Id="rId232" Type="http://schemas.openxmlformats.org/officeDocument/2006/relationships/hyperlink" Target="http://www.reefplan.qld.gov.au/about/" TargetMode="External"/><Relationship Id="rId884" Type="http://schemas.openxmlformats.org/officeDocument/2006/relationships/hyperlink" Target="https://publications.qld.gov.au/dataset/queensland-sustainable-fisheries-strategy/resource/319c7e02-f07b-4b2e-8fd5-a435d2c2f3c9" TargetMode="External"/><Relationship Id="rId537" Type="http://schemas.openxmlformats.org/officeDocument/2006/relationships/hyperlink" Target="http://www.defence.gov.au/estatemanagement/governance/Policy/Environment/EnergyEfficiency/Docs/DefenceEstateEnergyStrategyV2May14.pdf" TargetMode="External"/><Relationship Id="rId744" Type="http://schemas.openxmlformats.org/officeDocument/2006/relationships/hyperlink" Target="https://www.daf.qld.gov.au/business-priorities/fisheries/sustainable-fisheries-strategy/harvest-strategy" TargetMode="External"/><Relationship Id="rId951" Type="http://schemas.openxmlformats.org/officeDocument/2006/relationships/hyperlink" Target="http://www.ehp.qld.gov.au/assets/documents/land/heritage/heritage-strategy.pdf" TargetMode="External"/><Relationship Id="rId1167" Type="http://schemas.openxmlformats.org/officeDocument/2006/relationships/hyperlink" Target="http://www.reefplan.qld.gov.au/measuring-success/paddock-to-reef/" TargetMode="External"/><Relationship Id="rId1374" Type="http://schemas.openxmlformats.org/officeDocument/2006/relationships/hyperlink" Target="http://healthyriverstoreef.org.au/report-card-results/" TargetMode="External"/><Relationship Id="rId1581" Type="http://schemas.openxmlformats.org/officeDocument/2006/relationships/hyperlink" Target="http://www.environment.gov.au/marine/gbr/publications/reef-2050-long-term-sustainability-plan" TargetMode="External"/><Relationship Id="rId1679" Type="http://schemas.openxmlformats.org/officeDocument/2006/relationships/hyperlink" Target="http://elibrary.gbrmpa.gov.au/jspui/bitstream/11017/3364/1/FMP-Ann-Rep-Summary-2016%E2%80%9317.pdf" TargetMode="External"/><Relationship Id="rId80" Type="http://schemas.openxmlformats.org/officeDocument/2006/relationships/hyperlink" Target="https://wetlandinfo.ehp.qld.gov.au/wetlands/management/wetland-values/" TargetMode="External"/><Relationship Id="rId604" Type="http://schemas.openxmlformats.org/officeDocument/2006/relationships/hyperlink" Target="http://www.aurecongroup.com/en/talismanSaber/public-environment-report.aspx" TargetMode="External"/><Relationship Id="rId811" Type="http://schemas.openxmlformats.org/officeDocument/2006/relationships/hyperlink" Target="https://publications.qld.gov.au/dataset/queensland-sustainable-fisheries-strategy/resource/319c7e02-f07b-4b2e-8fd5-a435d2c2f3c9" TargetMode="External"/><Relationship Id="rId1027" Type="http://schemas.openxmlformats.org/officeDocument/2006/relationships/hyperlink" Target="http://www.gbrmpa.gov.au/zoning-permits-and-plans/plans-of-management/whitsunday-plan-of-management" TargetMode="External"/><Relationship Id="rId1234" Type="http://schemas.openxmlformats.org/officeDocument/2006/relationships/hyperlink" Target="http://www.environment.gov.au/resource/economic-contribution-great-barrier-reef-march-2013" TargetMode="External"/><Relationship Id="rId1441" Type="http://schemas.openxmlformats.org/officeDocument/2006/relationships/hyperlink" Target="https://file.ac/fSFmYS7Errs/" TargetMode="External"/><Relationship Id="rId1886" Type="http://schemas.openxmlformats.org/officeDocument/2006/relationships/hyperlink" Target="http://hdl.handle.net/11017/3235" TargetMode="External"/><Relationship Id="rId909" Type="http://schemas.openxmlformats.org/officeDocument/2006/relationships/hyperlink" Target="http://www.gbrmpa.gov.au/media-room/latest-news/compliance/2017/illegal-recreational-fishing-fine-increased-to-$2100" TargetMode="External"/><Relationship Id="rId1301" Type="http://schemas.openxmlformats.org/officeDocument/2006/relationships/hyperlink" Target="http://nqbp.com.au/wp-content/uploads/2017/06/Sustainability-Plan-.pdf" TargetMode="External"/><Relationship Id="rId1539" Type="http://schemas.openxmlformats.org/officeDocument/2006/relationships/hyperlink" Target="http://www.creektocoral.org/wqip/index.html" TargetMode="External"/><Relationship Id="rId1746" Type="http://schemas.openxmlformats.org/officeDocument/2006/relationships/hyperlink" Target="https://soe.environment.gov.au/theme/marine-environment/topic/2016/marine-vessel-activity" TargetMode="External"/><Relationship Id="rId1953" Type="http://schemas.openxmlformats.org/officeDocument/2006/relationships/hyperlink" Target="https://theconversation.com/traditional-hunting-gets-headlines-but-is-not-the-big-threat-to-turtles-and-dugongs-69038" TargetMode="External"/><Relationship Id="rId38" Type="http://schemas.openxmlformats.org/officeDocument/2006/relationships/hyperlink" Target="http://elibrary.gbrmpa.gov.au/jspui/bitstream/11017/3316/1/Marine-Tourism-Contingency-Plan.pdf" TargetMode="External"/><Relationship Id="rId1606" Type="http://schemas.openxmlformats.org/officeDocument/2006/relationships/hyperlink" Target="http://www.gbrmpa.gov.au/about-the-reef/how-the-reefs-managed/recreation-in-the-great-barrier-reef-marine-park" TargetMode="External"/><Relationship Id="rId1813" Type="http://schemas.openxmlformats.org/officeDocument/2006/relationships/hyperlink" Target="http://www.statedevelopment.qld.gov.au/industry-development/sustainable-port-development.html" TargetMode="External"/><Relationship Id="rId187" Type="http://schemas.openxmlformats.org/officeDocument/2006/relationships/hyperlink" Target="http://www.gbrmpa.gov.au/our-partners/reef-guardians" TargetMode="External"/><Relationship Id="rId394" Type="http://schemas.openxmlformats.org/officeDocument/2006/relationships/hyperlink" Target="http://www.environment.gov.au/about/esd/publications/igae/index.html" TargetMode="External"/><Relationship Id="rId254" Type="http://schemas.openxmlformats.org/officeDocument/2006/relationships/hyperlink" Target="https://wetlandinfo.ehp.qld.gov.au/wetlands/" TargetMode="External"/><Relationship Id="rId699" Type="http://schemas.openxmlformats.org/officeDocument/2006/relationships/hyperlink" Target="https://publications.qld.gov.au/dataset/queensland-sustainable-fisheries-strategy/resource/319c7e02-f07b-4b2e-8fd5-a435d2c2f3c9" TargetMode="External"/><Relationship Id="rId1091" Type="http://schemas.openxmlformats.org/officeDocument/2006/relationships/hyperlink" Target="http://hdl.handle.net/11017/3241" TargetMode="External"/><Relationship Id="rId114" Type="http://schemas.openxmlformats.org/officeDocument/2006/relationships/hyperlink" Target="https://www.ehp.qld.gov.au/coastal/development/" TargetMode="External"/><Relationship Id="rId461" Type="http://schemas.openxmlformats.org/officeDocument/2006/relationships/hyperlink" Target="http://www.gbrmpa.gov.au/eye-on-the-reef/f?p=150:LOGIN:14197687303369:::::" TargetMode="External"/><Relationship Id="rId559" Type="http://schemas.openxmlformats.org/officeDocument/2006/relationships/hyperlink" Target="http://www.defence.gov.au/EstateManagement/Governance/Docs/DefenceEstateStrategy2016-36.pdf" TargetMode="External"/><Relationship Id="rId766" Type="http://schemas.openxmlformats.org/officeDocument/2006/relationships/hyperlink" Target="https://publications.qld.gov.au/dataset/queensland-sustainable-fisheries-strategy/resource/319c7e02-f07b-4b2e-8fd5-a435d2c2f3c9" TargetMode="External"/><Relationship Id="rId1189" Type="http://schemas.openxmlformats.org/officeDocument/2006/relationships/hyperlink" Target="http://www.gbrmpa.gov.au/managing-the-reef/reef-2050/reef-integrated-monitoring-and-reporting-program" TargetMode="External"/><Relationship Id="rId1396" Type="http://schemas.openxmlformats.org/officeDocument/2006/relationships/hyperlink" Target="http://elibrary.gbrmpa.gov.au/jspui/handle/11017/3238" TargetMode="External"/><Relationship Id="rId321" Type="http://schemas.openxmlformats.org/officeDocument/2006/relationships/hyperlink" Target="https://www.barrierreef.org/the-foundation" TargetMode="External"/><Relationship Id="rId419" Type="http://schemas.openxmlformats.org/officeDocument/2006/relationships/hyperlink" Target="http://hdl.handle.net/11017/3235" TargetMode="External"/><Relationship Id="rId626" Type="http://schemas.openxmlformats.org/officeDocument/2006/relationships/hyperlink" Target="http://www.defence.gov.au/estatemanagement/governance/Policy/Environment/Water/Docs/DefenceEstateWaterStrategyV2May14.pdf" TargetMode="External"/><Relationship Id="rId973" Type="http://schemas.openxmlformats.org/officeDocument/2006/relationships/hyperlink" Target="http://thedock.gbrmpa.gov.au/sites/Projects/P000020/_layouts/DocIdRedir.aspx?ID=PROJ-56-182" TargetMode="External"/><Relationship Id="rId1049" Type="http://schemas.openxmlformats.org/officeDocument/2006/relationships/hyperlink" Target="https://eatlas.org.au/nwa/indigenous/guide" TargetMode="External"/><Relationship Id="rId1256" Type="http://schemas.openxmlformats.org/officeDocument/2006/relationships/hyperlink" Target="http://elibrary.gbrmpa.gov.au/jspui/handle/11017/3213" TargetMode="External"/><Relationship Id="rId2002" Type="http://schemas.openxmlformats.org/officeDocument/2006/relationships/hyperlink" Target="http://thedock.gbrmpa.gov.au/sites/Indigenous/Admin/Reporting/_layouts/DocIdRedir.aspx?ID=INDIGENOUS-17-97" TargetMode="External"/><Relationship Id="rId833" Type="http://schemas.openxmlformats.org/officeDocument/2006/relationships/hyperlink" Target="http://www.environment.gov.au/marine/fisheries/qld-managed-fisheries" TargetMode="External"/><Relationship Id="rId1116" Type="http://schemas.openxmlformats.org/officeDocument/2006/relationships/hyperlink" Target="http://www.reefplan.qld.gov.au/about/catchment-targets/" TargetMode="External"/><Relationship Id="rId1463" Type="http://schemas.openxmlformats.org/officeDocument/2006/relationships/hyperlink" Target="http://www.creektocoral.org/wqip/index.html" TargetMode="External"/><Relationship Id="rId1670" Type="http://schemas.openxmlformats.org/officeDocument/2006/relationships/hyperlink" Target="http://www.gbrmpa.gov.au/corp_site/key_issues/tourism/recreation" TargetMode="External"/><Relationship Id="rId1768" Type="http://schemas.openxmlformats.org/officeDocument/2006/relationships/hyperlink" Target="http://www.agriculture.gov.au/pests-diseases-weeds/marine-pests" TargetMode="External"/><Relationship Id="rId900" Type="http://schemas.openxmlformats.org/officeDocument/2006/relationships/hyperlink" Target="http://www.gbrmpa.gov.au/media-room/latest-news/compliance/2017/ramped-up-patrols-to-target-fishing-hotspots-this-school-holidays" TargetMode="External"/><Relationship Id="rId1323" Type="http://schemas.openxmlformats.org/officeDocument/2006/relationships/hyperlink" Target="http://www.gbrmpa.gov.au/__data/assets/pdf_file/0018/26532/Guidelines-on-Hydrodynamics-Modelling-15-Aug-2012.pdf" TargetMode="External"/><Relationship Id="rId1530" Type="http://schemas.openxmlformats.org/officeDocument/2006/relationships/hyperlink" Target="https://www.google.com.au/url?sa=t&amp;rct=j&amp;q=&amp;esrc=s&amp;source=web&amp;cd=6&amp;cad=rja&amp;uact=8&amp;ved=0ahUKEwiK8ein7JHWAhWONpQKHRiUDcwQFghIMAU&amp;url=https%3A%2F%2Fwww.statedevelopment.qld.gov.au%2Fresources%2Freport%2Fgbr%2Fgbr-strategic-assessment-supplementary-strategic-assessment-report.pdf&amp;usg=AFQjCNGRwDwOh1xGPF1sY6dDGx9lojNZTQ" TargetMode="External"/><Relationship Id="rId1628" Type="http://schemas.openxmlformats.org/officeDocument/2006/relationships/hyperlink" Target="http://www.gbrmpa.gov.au/__data/assets/pdf_file/0017/3833/gbrmpa_WhaleandDolphinConservationPolicy_2000.pdf" TargetMode="External"/><Relationship Id="rId1975" Type="http://schemas.openxmlformats.org/officeDocument/2006/relationships/hyperlink" Target="https://www.environment.gov.au/system/files/resources/d98b3e53-146b-4b9c-a84a-2a22454b9a83/files/reef-2050-long-term-sustainability-plan.pdf" TargetMode="External"/><Relationship Id="rId1835" Type="http://schemas.openxmlformats.org/officeDocument/2006/relationships/hyperlink" Target="http://www.gbrmpa.gov.au/visit-the-reef/plans-of-management/whitsunday-plan-of-management/superyacht-anchorages-in-the-whitsundays" TargetMode="External"/><Relationship Id="rId1902" Type="http://schemas.openxmlformats.org/officeDocument/2006/relationships/hyperlink" Target="http://www.environment.gov.au/sustainability/regional-development/gbr/publications/gbr-anchorage-management.html" TargetMode="External"/><Relationship Id="rId276" Type="http://schemas.openxmlformats.org/officeDocument/2006/relationships/hyperlink" Target="http://www.gbrmpa.gov.au/our-partners/tourism-industry" TargetMode="External"/><Relationship Id="rId483" Type="http://schemas.openxmlformats.org/officeDocument/2006/relationships/hyperlink" Target="http://www.gbrmpa.gov.au/__data/assets/pdf_file/0008/248633/2014_Strategic-Environmental-Assessment_Defence.pdf" TargetMode="External"/><Relationship Id="rId690" Type="http://schemas.openxmlformats.org/officeDocument/2006/relationships/hyperlink" Target="http://www.environment.gov.au/protection/assessments/strategic/great-barrier-reef" TargetMode="External"/><Relationship Id="rId136" Type="http://schemas.openxmlformats.org/officeDocument/2006/relationships/hyperlink" Target="http://www.environment.gov.au/marine/gbr/publications/policy-guideline-decision-makers" TargetMode="External"/><Relationship Id="rId343" Type="http://schemas.openxmlformats.org/officeDocument/2006/relationships/hyperlink" Target="http://hdl.handle.net/11017/3215" TargetMode="External"/><Relationship Id="rId550" Type="http://schemas.openxmlformats.org/officeDocument/2006/relationships/hyperlink" Target="http://www.defence.gov.au/estatemanagement/Governance/Policy/Environment/Default.asp" TargetMode="External"/><Relationship Id="rId788" Type="http://schemas.openxmlformats.org/officeDocument/2006/relationships/hyperlink" Target="https://www.daf.qld.gov.au/fisheries/monitoring-our-fisheries/commercial-fisheries/data-reports/sustainability-reporting/ecological-risk-assessments" TargetMode="External"/><Relationship Id="rId995" Type="http://schemas.openxmlformats.org/officeDocument/2006/relationships/hyperlink" Target="http://www.nerptropical.edu.au/sites/default/files/publications/files/NERP-TE-PROJECT-10.1-FINAL-REPORT-COMPLETE.pdf" TargetMode="External"/><Relationship Id="rId1180" Type="http://schemas.openxmlformats.org/officeDocument/2006/relationships/hyperlink" Target="http://www.reefplan.qld.gov.au/about/" TargetMode="External"/><Relationship Id="rId2024" Type="http://schemas.openxmlformats.org/officeDocument/2006/relationships/hyperlink" Target="https://www.youtube.com/watch?v=ic1Ik7Aemuw" TargetMode="External"/><Relationship Id="rId203" Type="http://schemas.openxmlformats.org/officeDocument/2006/relationships/hyperlink" Target="https://www.qld.gov.au/environment/agriculture/sustainable-farming/nrm-investment-program" TargetMode="External"/><Relationship Id="rId648" Type="http://schemas.openxmlformats.org/officeDocument/2006/relationships/hyperlink" Target="http://australia.icomos.org/publications/charters/" TargetMode="External"/><Relationship Id="rId855" Type="http://schemas.openxmlformats.org/officeDocument/2006/relationships/hyperlink" Target="https://publications.qld.gov.au/dataset/queensland-sustainable-fisheries-strategy/resource/319c7e02-f07b-4b2e-8fd5-a435d2c2f3c9" TargetMode="External"/><Relationship Id="rId1040" Type="http://schemas.openxmlformats.org/officeDocument/2006/relationships/hyperlink" Target="file:///C:\Users\andrealeverington\Dropbox\protected%20area%20solutions\consultancies\GBRMPA%20outlook\tables\tables_Draft%20final\&#8226;%09http:\www.gbrmpa.gov.au\our-partners\traditional-owners\traditional-owners-of-the-great-barrier-reef" TargetMode="External"/><Relationship Id="rId1278" Type="http://schemas.openxmlformats.org/officeDocument/2006/relationships/hyperlink" Target="https://www.msq.qld.gov.au/Marine-pollution" TargetMode="External"/><Relationship Id="rId1485" Type="http://schemas.openxmlformats.org/officeDocument/2006/relationships/hyperlink" Target="http://www.parliament.qld.gov.au/Documents/TableOffice/TabledPapers/2014/5414T5335.pdf" TargetMode="External"/><Relationship Id="rId1692" Type="http://schemas.openxmlformats.org/officeDocument/2006/relationships/hyperlink" Target="http://www.ouchvolunteers.com/" TargetMode="External"/><Relationship Id="rId410" Type="http://schemas.openxmlformats.org/officeDocument/2006/relationships/hyperlink" Target="https://www.reefplan.qld.gov.au/about/reef-science/scientific-consensus-statement/" TargetMode="External"/><Relationship Id="rId508" Type="http://schemas.openxmlformats.org/officeDocument/2006/relationships/hyperlink" Target="http://www.navy.gov.au/about/organisation/environment" TargetMode="External"/><Relationship Id="rId715" Type="http://schemas.openxmlformats.org/officeDocument/2006/relationships/hyperlink" Target="http://www.gbrmpa.gov.au/about-the-reef/biodiversity/biodiversity-conservation-strategy-2013/vulnerability-assessments" TargetMode="External"/><Relationship Id="rId922" Type="http://schemas.openxmlformats.org/officeDocument/2006/relationships/hyperlink" Target="http://www.environment.gov.au/heritage/ahdb/index.html" TargetMode="External"/><Relationship Id="rId1138" Type="http://schemas.openxmlformats.org/officeDocument/2006/relationships/hyperlink" Target="http://www.reefplan.qld.gov.au/measuring-success/paddock-to-reef/" TargetMode="External"/><Relationship Id="rId1345" Type="http://schemas.openxmlformats.org/officeDocument/2006/relationships/hyperlink" Target="http://www.environment.gov.au/marine/gbr/publications/improved-dredge-material-management-great-barrier-reef-region" TargetMode="External"/><Relationship Id="rId1552" Type="http://schemas.openxmlformats.org/officeDocument/2006/relationships/hyperlink" Target="https://www.portsnorth.com.au/environment-community/community/" TargetMode="External"/><Relationship Id="rId1997" Type="http://schemas.openxmlformats.org/officeDocument/2006/relationships/hyperlink" Target="http://thedock.gbrmpa.gov.au/sites/Indigenous/Admin/Reporting/_layouts/DocIdRedir.aspx?ID=INDIGENOUS-17-97" TargetMode="External"/><Relationship Id="rId1205" Type="http://schemas.openxmlformats.org/officeDocument/2006/relationships/hyperlink" Target="http://www.reefplan.qld.gov.au/about/assets/2017-scientific-consensus-statement-summary-chap04.pdf" TargetMode="External"/><Relationship Id="rId1857" Type="http://schemas.openxmlformats.org/officeDocument/2006/relationships/hyperlink" Target="http://www.amsa.gov.au/forms-and-publications/about-amsa/publications/Annual-Reports/2016-2017/AMSA-Annual-Report-2016-17.pdf" TargetMode="External"/><Relationship Id="rId51" Type="http://schemas.openxmlformats.org/officeDocument/2006/relationships/hyperlink" Target="http://www.environment.gov.au/marine/gbr/publications/reef-2050-plan-update-on-progress" TargetMode="External"/><Relationship Id="rId1412" Type="http://schemas.openxmlformats.org/officeDocument/2006/relationships/hyperlink" Target="https://www.statedevelopment.qld.gov.au/industry-development/port-master-planning-for-priority-ports.html" TargetMode="External"/><Relationship Id="rId1717" Type="http://schemas.openxmlformats.org/officeDocument/2006/relationships/hyperlink" Target="http://elibrary.gbrmpa.gov.au/jspui/browse?type=series&amp;order=ASC&amp;rpp=20&amp;value=Permission+system" TargetMode="External"/><Relationship Id="rId1924" Type="http://schemas.openxmlformats.org/officeDocument/2006/relationships/hyperlink" Target="https://www.amsa.gov.au/navigation/shipping-management/nesm/documents/nesm-plan-work-program.pdf" TargetMode="External"/><Relationship Id="rId298" Type="http://schemas.openxmlformats.org/officeDocument/2006/relationships/hyperlink" Target="http://www.gbrmpa.gov.au/__data/assets/pdf_file/0017/3392/GBRMPA-ManagementArrangements-SuperyachtsMay-2011.pdf" TargetMode="External"/><Relationship Id="rId158" Type="http://schemas.openxmlformats.org/officeDocument/2006/relationships/hyperlink" Target="http://elibrary.gbrmpa.gov.au/jspui/bitstream/11017/3213/1/Reef-2050-cumulative-impact-mngt-draft-for-public-consultation.pdf" TargetMode="External"/><Relationship Id="rId365" Type="http://schemas.openxmlformats.org/officeDocument/2006/relationships/hyperlink" Target="https://www2.deloitte.com/content/dam/Deloitte/au/Documents/Economics/deloitte-au-economics-great-barrier-reef-230617.pdf" TargetMode="External"/><Relationship Id="rId572" Type="http://schemas.openxmlformats.org/officeDocument/2006/relationships/hyperlink" Target="http://hdl.handle.net/11017/2860" TargetMode="External"/><Relationship Id="rId225" Type="http://schemas.openxmlformats.org/officeDocument/2006/relationships/hyperlink" Target="https://www2.deloitte.com/content/dam/Deloitte/au/Documents/Economics/deloitte-au-economics-great-barrier-reef-230617.pdf" TargetMode="External"/><Relationship Id="rId432" Type="http://schemas.openxmlformats.org/officeDocument/2006/relationships/hyperlink" Target="http://elibrary.gbrmpa.gov.au/jspui/bitstream/11017/3213/1/Reef-2050-cumulative-impact-mngt-draft-for-public-consultation.pdf" TargetMode="External"/><Relationship Id="rId877" Type="http://schemas.openxmlformats.org/officeDocument/2006/relationships/hyperlink" Target="https://www.daf.qld.gov.au/fisheries/monitoring-our-fisheries/data-reports/sustainability-reporting/stock-status-assessments/summary-2016" TargetMode="External"/><Relationship Id="rId1062" Type="http://schemas.openxmlformats.org/officeDocument/2006/relationships/hyperlink" Target="https://www.environment.gov.au/system/files/resources/d98b3e53-146b-4b9c-a84a-2a22454b9a83/files/reef-2050-long-term-sustainability-plan.pdf" TargetMode="External"/><Relationship Id="rId737" Type="http://schemas.openxmlformats.org/officeDocument/2006/relationships/hyperlink" Target="https://www.daf.qld.gov.au/business-priorities/fisheries/sustainable-fisheries-strategy/harvest-strategy" TargetMode="External"/><Relationship Id="rId944" Type="http://schemas.openxmlformats.org/officeDocument/2006/relationships/hyperlink" Target="http://www.environment.gov.au/heritage/publications/gbr/gbr-state-party-report-feb13.html" TargetMode="External"/><Relationship Id="rId1367" Type="http://schemas.openxmlformats.org/officeDocument/2006/relationships/hyperlink" Target="http://www.environment.gov.au/sustainability/regional-development/gbr/publications/gbr-dredge-material-management.html" TargetMode="External"/><Relationship Id="rId1574" Type="http://schemas.openxmlformats.org/officeDocument/2006/relationships/hyperlink" Target="http://www.environment.gov.au/coasts/gbr/gladstone/pubs/gladstone-review-initial-report.pdf" TargetMode="External"/><Relationship Id="rId1781" Type="http://schemas.openxmlformats.org/officeDocument/2006/relationships/hyperlink" Target="http://adl.brs.gov.au/mapserv/marinepest/html/emerg.php" TargetMode="External"/><Relationship Id="rId73" Type="http://schemas.openxmlformats.org/officeDocument/2006/relationships/hyperlink" Target="https://wetlandinfo.ehp.qld.gov.au/wetlands/ecology/processes-systems/water/catchment-stories/" TargetMode="External"/><Relationship Id="rId804" Type="http://schemas.openxmlformats.org/officeDocument/2006/relationships/hyperlink" Target="https://www.daf.qld.gov.au/fisheries/monitoring-our-fisheries/data-reports/sustainability-reporting/stock-status-assessments/summary-2016" TargetMode="External"/><Relationship Id="rId1227" Type="http://schemas.openxmlformats.org/officeDocument/2006/relationships/hyperlink" Target="http://ghhp.org.au/assets/documents/tech-report/2016%20Technical%20Report.pdf" TargetMode="External"/><Relationship Id="rId1434" Type="http://schemas.openxmlformats.org/officeDocument/2006/relationships/hyperlink" Target="http://elibrary.gbrmpa.gov.au/jspui/handle/11017/3213" TargetMode="External"/><Relationship Id="rId1641" Type="http://schemas.openxmlformats.org/officeDocument/2006/relationships/hyperlink" Target="https://www2.deloitte.com/content/dam/Deloitte/au/Documents/future-of-cities/deloitte-future-of-cities-confidently-queensland-270717.pdf" TargetMode="External"/><Relationship Id="rId1879" Type="http://schemas.openxmlformats.org/officeDocument/2006/relationships/hyperlink" Target="http://hdl.handle.net/11017/2957" TargetMode="External"/><Relationship Id="rId1501" Type="http://schemas.openxmlformats.org/officeDocument/2006/relationships/hyperlink" Target="https://terrain.org.au/projects/water-quality-improvement-plan/" TargetMode="External"/><Relationship Id="rId1739" Type="http://schemas.openxmlformats.org/officeDocument/2006/relationships/hyperlink" Target="http://www.statedevelopment.qld.gov.au/resources/great-barrier-reef-coastal-zone-strategic-assessment-final-reports.html" TargetMode="External"/><Relationship Id="rId1946" Type="http://schemas.openxmlformats.org/officeDocument/2006/relationships/hyperlink" Target="http://www.statedevelopment.qld.gov.au/resources/great-barrier-reef-coastal-zone-strategic-assessment-final-reports.html" TargetMode="External"/><Relationship Id="rId1806" Type="http://schemas.openxmlformats.org/officeDocument/2006/relationships/hyperlink" Target="http://www.agriculture.gov.au/pests-diseases-weeds/marine-pests/review-national-marine-pest-biosecurity" TargetMode="External"/><Relationship Id="rId387" Type="http://schemas.openxmlformats.org/officeDocument/2006/relationships/hyperlink" Target="http://www.gbrmpa.gov.au/__data/assets/pdf_file/0004/3892/gbrmpa_ManagementOfTouristFlightsInTheVicinityOfMagneticIsland_2009.pdf" TargetMode="External"/><Relationship Id="rId594" Type="http://schemas.openxmlformats.org/officeDocument/2006/relationships/hyperlink" Target="http://australia.icomos.org/publications/charters/" TargetMode="External"/><Relationship Id="rId247" Type="http://schemas.openxmlformats.org/officeDocument/2006/relationships/hyperlink" Target="http://darts.information.qld.gov.au/darts/" TargetMode="External"/><Relationship Id="rId899" Type="http://schemas.openxmlformats.org/officeDocument/2006/relationships/hyperlink" Target="http://elibrary.gbrmpa.gov.au/jspui/bitstream/11017/3252/1/Spearfishing-map.pdf" TargetMode="External"/><Relationship Id="rId1084" Type="http://schemas.openxmlformats.org/officeDocument/2006/relationships/hyperlink" Target="http://www.gbrmpa.gov.au/our-partners/reef-advisory-committee/indigenous-reef-advisory-committee" TargetMode="External"/><Relationship Id="rId107" Type="http://schemas.openxmlformats.org/officeDocument/2006/relationships/hyperlink" Target="http://www.environment.gov.au/water/wetlands/ramsar" TargetMode="External"/><Relationship Id="rId454" Type="http://schemas.openxmlformats.org/officeDocument/2006/relationships/hyperlink" Target="http://www.gbrmpa.gov.au/ReefExplorer/" TargetMode="External"/><Relationship Id="rId661" Type="http://schemas.openxmlformats.org/officeDocument/2006/relationships/hyperlink" Target="http://www.defence.gov.au/Exercises/TS17" TargetMode="External"/><Relationship Id="rId759" Type="http://schemas.openxmlformats.org/officeDocument/2006/relationships/hyperlink" Target="https://publications.qld.gov.au/dataset/queensland-sustainable-fisheries-strategy/resource/319c7e02-f07b-4b2e-8fd5-a435d2c2f3c9" TargetMode="External"/><Relationship Id="rId966" Type="http://schemas.openxmlformats.org/officeDocument/2006/relationships/hyperlink" Target="http://elibrary.gbrmpa.gov.au/jspui/bitstream/11017/3385/5/RIMREP-Strategy-Update-2018.pdf" TargetMode="External"/><Relationship Id="rId1291" Type="http://schemas.openxmlformats.org/officeDocument/2006/relationships/hyperlink" Target="http://www.gbrmpa.gov.au/__data/assets/pdf_file/0015/3390/GBRMPA-zoning-plan-2003.pdf" TargetMode="External"/><Relationship Id="rId1389" Type="http://schemas.openxmlformats.org/officeDocument/2006/relationships/hyperlink" Target="http://gpcl.com.au/SiteAssets/Community/GPC_STRETCH_Reconciliation_Action_Plan_2015-2018.pdf" TargetMode="External"/><Relationship Id="rId1596" Type="http://schemas.openxmlformats.org/officeDocument/2006/relationships/hyperlink" Target="http://www.gbrmpa.gov.au/__data/assets/pdf_file/0017/3392/GBRMPA-ManagementArrangements-SuperyachtsMay-2011.pdf" TargetMode="External"/><Relationship Id="rId314" Type="http://schemas.openxmlformats.org/officeDocument/2006/relationships/hyperlink" Target="http://www.gbrmpa.gov.au/onboard/home/marine_park/management_arrangements/reporting" TargetMode="External"/><Relationship Id="rId521" Type="http://schemas.openxmlformats.org/officeDocument/2006/relationships/hyperlink" Target="http://www.defence.gov.au/estatemanagement/Governance/Policy/Environment/EIA/Default.asp" TargetMode="External"/><Relationship Id="rId619" Type="http://schemas.openxmlformats.org/officeDocument/2006/relationships/hyperlink" Target="http://catalogue.nla.gov.au/Record/3061828" TargetMode="External"/><Relationship Id="rId1151" Type="http://schemas.openxmlformats.org/officeDocument/2006/relationships/hyperlink" Target="http://www.ehp.qld.gov.au/water/policy/protection-policy-draft.html" TargetMode="External"/><Relationship Id="rId1249" Type="http://schemas.openxmlformats.org/officeDocument/2006/relationships/hyperlink" Target="http://elibrary.gbrmpa.gov.au/jspui/handle/11017/2935" TargetMode="External"/><Relationship Id="rId95" Type="http://schemas.openxmlformats.org/officeDocument/2006/relationships/hyperlink" Target="http://www.reefplan.qld.gov.au/about/scientific-consensus-statement/" TargetMode="External"/><Relationship Id="rId826" Type="http://schemas.openxmlformats.org/officeDocument/2006/relationships/hyperlink" Target="https://www.daf.qld.gov.au/fisheries/monitoring-our-fisheries/recreational-fisheries/statewide-and-regional-recreational-fishing-survey" TargetMode="External"/><Relationship Id="rId1011" Type="http://schemas.openxmlformats.org/officeDocument/2006/relationships/hyperlink" Target="http://hdl.handle.net/11017/3369" TargetMode="External"/><Relationship Id="rId1109" Type="http://schemas.openxmlformats.org/officeDocument/2006/relationships/hyperlink" Target="https://www.youtube.com/watch?v=elAWJiHAKVY" TargetMode="External"/><Relationship Id="rId1456" Type="http://schemas.openxmlformats.org/officeDocument/2006/relationships/hyperlink" Target="https://www.statedevelopment.qld.gov.au/industry-development/sustainable-ports-development-act-2015.html" TargetMode="External"/><Relationship Id="rId1663" Type="http://schemas.openxmlformats.org/officeDocument/2006/relationships/hyperlink" Target="https://www2.deloitte.com/content/dam/Deloitte/au/Documents/Economics/deloitte-au-economics-great-barrier-reef-230617.pdf" TargetMode="External"/><Relationship Id="rId1870" Type="http://schemas.openxmlformats.org/officeDocument/2006/relationships/hyperlink" Target="http://hdl.handle.net/11017/2977" TargetMode="External"/><Relationship Id="rId1968" Type="http://schemas.openxmlformats.org/officeDocument/2006/relationships/hyperlink" Target="https://www.environment.gov.au/system/files/resources/d98b3e53-146b-4b9c-a84a-2a22454b9a83/files/reef-2050-long-term-sustainability-plan.pdf" TargetMode="External"/><Relationship Id="rId1316" Type="http://schemas.openxmlformats.org/officeDocument/2006/relationships/hyperlink" Target="http://elibrary.gbrmpa.gov.au/jspui/handle/11017/595" TargetMode="External"/><Relationship Id="rId1523" Type="http://schemas.openxmlformats.org/officeDocument/2006/relationships/hyperlink" Target="http://www.nqdrytropics.com.au/wqip2016/" TargetMode="External"/><Relationship Id="rId1730" Type="http://schemas.openxmlformats.org/officeDocument/2006/relationships/hyperlink" Target="http://hdl.handle.net/11017/682" TargetMode="External"/><Relationship Id="rId22" Type="http://schemas.openxmlformats.org/officeDocument/2006/relationships/hyperlink" Target="http://www.gbrmpa.gov.au/" TargetMode="External"/><Relationship Id="rId1828" Type="http://schemas.openxmlformats.org/officeDocument/2006/relationships/hyperlink" Target="https://www.amsa.gov.au/navigation/quick-guide-gbr-torres/" TargetMode="External"/><Relationship Id="rId171" Type="http://schemas.openxmlformats.org/officeDocument/2006/relationships/hyperlink" Target="http://elibrary.gbrmpa.gov.au/jspui/handle/11017/2861" TargetMode="External"/><Relationship Id="rId269" Type="http://schemas.openxmlformats.org/officeDocument/2006/relationships/hyperlink" Target="http://www.gbrmpa.gov.au/sightings-network/" TargetMode="External"/><Relationship Id="rId476" Type="http://schemas.openxmlformats.org/officeDocument/2006/relationships/hyperlink" Target="https://abgc.org.au/projects-resources/best-management-practices-bmp/" TargetMode="External"/><Relationship Id="rId683" Type="http://schemas.openxmlformats.org/officeDocument/2006/relationships/hyperlink" Target="http://www.defence.gov.au/Exercises/TS17/EnvironmentalPlanning.asp" TargetMode="External"/><Relationship Id="rId890" Type="http://schemas.openxmlformats.org/officeDocument/2006/relationships/hyperlink" Target="http://www.gbrmpa.gov.au/about-the-reef/biodiversity/biodiversity-conservation-strategy-for-public-consultation/vulnerability-assessments" TargetMode="External"/><Relationship Id="rId129" Type="http://schemas.openxmlformats.org/officeDocument/2006/relationships/hyperlink" Target="https://dilgp.qld.gov.au/resources/policy/sdap/v2-1/sdap.pdf" TargetMode="External"/><Relationship Id="rId336" Type="http://schemas.openxmlformats.org/officeDocument/2006/relationships/hyperlink" Target="http://www.gbrmpa.gov.au/corp_site/management/site_management" TargetMode="External"/><Relationship Id="rId543" Type="http://schemas.openxmlformats.org/officeDocument/2006/relationships/hyperlink" Target="http://www.gbrmpa.gov.au/__data/assets/pdf_file/0008/248633/2014_Strategic-Environmental-Assessment_Defence.pdf" TargetMode="External"/><Relationship Id="rId988" Type="http://schemas.openxmlformats.org/officeDocument/2006/relationships/hyperlink" Target="http://thedock.gbrmpa.gov.au/sites/Projects/P000020/_layouts/DocIdRedir.aspx?ID=PROJ-56-190" TargetMode="External"/><Relationship Id="rId1173" Type="http://schemas.openxmlformats.org/officeDocument/2006/relationships/hyperlink" Target="https://www2.deloitte.com/content/dam/Deloitte/au/Documents/Economics/deloitte-au-economics-great-barrier-reef-230617.pdf" TargetMode="External"/><Relationship Id="rId1380" Type="http://schemas.openxmlformats.org/officeDocument/2006/relationships/hyperlink" Target="https://www.ehp.qld.gov.au/water/policy/pdf/capricorn-curtis-ev-economic-social-impacts.pdf" TargetMode="External"/><Relationship Id="rId2017" Type="http://schemas.openxmlformats.org/officeDocument/2006/relationships/hyperlink" Target="https://www.youtube.com/watch?v=Y2Y_gHuklyc" TargetMode="External"/><Relationship Id="rId403" Type="http://schemas.openxmlformats.org/officeDocument/2006/relationships/hyperlink" Target="http://www.gbrmpa.gov.au/__data/assets/pdf_file/0006/248982/Joint-Marine-Parks-permissions-guidelines.pdf" TargetMode="External"/><Relationship Id="rId750" Type="http://schemas.openxmlformats.org/officeDocument/2006/relationships/hyperlink" Target="https://www.facebook.com/FisheriesQueensland" TargetMode="External"/><Relationship Id="rId848" Type="http://schemas.openxmlformats.org/officeDocument/2006/relationships/hyperlink" Target="https://researchonline.jcu.edu.au/29814/" TargetMode="External"/><Relationship Id="rId1033" Type="http://schemas.openxmlformats.org/officeDocument/2006/relationships/hyperlink" Target="https://www.npsr.qld.gov.au/raineisland/" TargetMode="External"/><Relationship Id="rId1478" Type="http://schemas.openxmlformats.org/officeDocument/2006/relationships/hyperlink" Target="http://elibrary.gbrmpa.gov.au/jspui/handle/11017/3214" TargetMode="External"/><Relationship Id="rId1685" Type="http://schemas.openxmlformats.org/officeDocument/2006/relationships/hyperlink" Target="https://www.qld.gov.au/environment/parks/permits/marine" TargetMode="External"/><Relationship Id="rId1892" Type="http://schemas.openxmlformats.org/officeDocument/2006/relationships/hyperlink" Target="http://www.amsa.gov.au/navigation/services/aton/lighthouses/" TargetMode="External"/><Relationship Id="rId610" Type="http://schemas.openxmlformats.org/officeDocument/2006/relationships/hyperlink" Target="http://www.gbrmpa.gov.au/__data/assets/pdf_file/0008/248633/2014_Strategic-Environmental-Assessment_Defence.pdf" TargetMode="External"/><Relationship Id="rId708" Type="http://schemas.openxmlformats.org/officeDocument/2006/relationships/hyperlink" Target="http://www.environment.gov.au/protection/assessments/strategic/great-barrier-reef" TargetMode="External"/><Relationship Id="rId915" Type="http://schemas.openxmlformats.org/officeDocument/2006/relationships/hyperlink" Target="https://www.daf.qld.gov.au/fisheries/monitoring-our-fisheries/recreational-fisheries/statewide-and-regional-recreational-fishing-survey" TargetMode="External"/><Relationship Id="rId1240" Type="http://schemas.openxmlformats.org/officeDocument/2006/relationships/hyperlink" Target="http://riverhealth.org.au/report_card/ehi/2015/overview" TargetMode="External"/><Relationship Id="rId1338" Type="http://schemas.openxmlformats.org/officeDocument/2006/relationships/hyperlink" Target="http://hdl.handle.net/11017/3009" TargetMode="External"/><Relationship Id="rId1545" Type="http://schemas.openxmlformats.org/officeDocument/2006/relationships/hyperlink" Target="https://file.ac/fSFmYS7Errs/" TargetMode="External"/><Relationship Id="rId1100" Type="http://schemas.openxmlformats.org/officeDocument/2006/relationships/hyperlink" Target="http://elibrary.gbrmpa.gov.au/jspui/handle/11017/3339" TargetMode="External"/><Relationship Id="rId1405" Type="http://schemas.openxmlformats.org/officeDocument/2006/relationships/hyperlink" Target="http://thedock.gbrmpa.gov.au/sites/Projects/P000097/MEA/Evidence-collection-templates/Sustainable%20Ports%20Development%20Act%202015" TargetMode="External"/><Relationship Id="rId1752" Type="http://schemas.openxmlformats.org/officeDocument/2006/relationships/hyperlink" Target="https://www.msq.qld.gov.au/Marine-pollution/Contingency-plans" TargetMode="External"/><Relationship Id="rId44" Type="http://schemas.openxmlformats.org/officeDocument/2006/relationships/header" Target="header5.xml"/><Relationship Id="rId1612" Type="http://schemas.openxmlformats.org/officeDocument/2006/relationships/hyperlink" Target="http://www.gbrmpa.gov.au/about-us/local-marine-advisory-committees" TargetMode="External"/><Relationship Id="rId1917" Type="http://schemas.openxmlformats.org/officeDocument/2006/relationships/hyperlink" Target="http://www.amsa.gov.au/forms-and-publications/about-amsa/publications/Annual-Reports/2015-2016/page-contents/AMSA-Annual-Report-2015-16.pdf" TargetMode="External"/><Relationship Id="rId193" Type="http://schemas.openxmlformats.org/officeDocument/2006/relationships/hyperlink" Target="http://www.wildlife.org.au" TargetMode="External"/><Relationship Id="rId498" Type="http://schemas.openxmlformats.org/officeDocument/2006/relationships/hyperlink" Target="http://hdl.handle.net/11017/2855" TargetMode="External"/><Relationship Id="rId260" Type="http://schemas.openxmlformats.org/officeDocument/2006/relationships/hyperlink" Target="http://www.environment.gov.au/system/files/resources/cb36afd7-7f52-468a-9d69-a6bdd7da156b/files/gbr-state-party-report-2015.pdf" TargetMode="External"/><Relationship Id="rId120" Type="http://schemas.openxmlformats.org/officeDocument/2006/relationships/hyperlink" Target="http://reefcatchments.com.au/" TargetMode="External"/><Relationship Id="rId358" Type="http://schemas.openxmlformats.org/officeDocument/2006/relationships/hyperlink" Target="http://hdl.handle.net/11017/2872" TargetMode="External"/><Relationship Id="rId565" Type="http://schemas.openxmlformats.org/officeDocument/2006/relationships/hyperlink" Target="http://www.defence.gov.au/uxo/" TargetMode="External"/><Relationship Id="rId772" Type="http://schemas.openxmlformats.org/officeDocument/2006/relationships/hyperlink" Target="http://www.sciencedirect.com/science/article/pii/S0308597X13001279" TargetMode="External"/><Relationship Id="rId1195" Type="http://schemas.openxmlformats.org/officeDocument/2006/relationships/hyperlink" Target="http://aims.gov.au/docs/research/monitoring/reef/sampling-methods.html" TargetMode="External"/><Relationship Id="rId218" Type="http://schemas.openxmlformats.org/officeDocument/2006/relationships/hyperlink" Target="http://www.gbrmpa.gov.au/__data/assets/pdf_file/0017/2807/GBRMPA-permit-application-general-activities.pdf" TargetMode="External"/><Relationship Id="rId425" Type="http://schemas.openxmlformats.org/officeDocument/2006/relationships/hyperlink" Target="http://www.reefplan.qld.gov.au/about/scientific-consensus-statement/" TargetMode="External"/><Relationship Id="rId632" Type="http://schemas.openxmlformats.org/officeDocument/2006/relationships/hyperlink" Target="http://www.defence.gov.au/environment/pfas/Townsville/Default.asp" TargetMode="External"/><Relationship Id="rId1055" Type="http://schemas.openxmlformats.org/officeDocument/2006/relationships/hyperlink" Target="https://eatlas.org.au/nwa/indigenous/guide" TargetMode="External"/><Relationship Id="rId1262" Type="http://schemas.openxmlformats.org/officeDocument/2006/relationships/hyperlink" Target="http://www.environment.gov.au/sustainability/regional-development/gbr/publications/gbr-ports-environmental-standards.html" TargetMode="External"/><Relationship Id="rId937" Type="http://schemas.openxmlformats.org/officeDocument/2006/relationships/hyperlink" Target="http://search.informit.com.au/documentSummary;dn=952527306859388;res=IELHSS?" TargetMode="External"/><Relationship Id="rId1122" Type="http://schemas.openxmlformats.org/officeDocument/2006/relationships/hyperlink" Target="http://www.reefplan.qld.gov.au/measuring-success/paddock-to-reef/" TargetMode="External"/><Relationship Id="rId1567" Type="http://schemas.openxmlformats.org/officeDocument/2006/relationships/hyperlink" Target="http://www.gbrmpa.gov.au/managing-the-reef/reef-2050/reef-integrated-monitoring-and-reporting-program" TargetMode="External"/><Relationship Id="rId1774" Type="http://schemas.openxmlformats.org/officeDocument/2006/relationships/hyperlink" Target="http://www.amsa.gov.au/forms-and-publications/about-amsa/publications/Annual-Reports/2015-2016/page-contents/AMSA-Annual-Report-2015-16.pdf" TargetMode="External"/><Relationship Id="rId1981" Type="http://schemas.openxmlformats.org/officeDocument/2006/relationships/hyperlink" Target="https://www.youtube.com/watch?v=ic1Ik7Aemuw" TargetMode="External"/><Relationship Id="rId66" Type="http://schemas.openxmlformats.org/officeDocument/2006/relationships/hyperlink" Target="https://wetlandinfo.ehp.qld.gov.au/wetlands/facts-maps/study-area-great-barrier-reef/" TargetMode="External"/><Relationship Id="rId1427" Type="http://schemas.openxmlformats.org/officeDocument/2006/relationships/hyperlink" Target="https://www.legislation.qld.gov.au/view/html/inforce/current/act-1971-055" TargetMode="External"/><Relationship Id="rId1634" Type="http://schemas.openxmlformats.org/officeDocument/2006/relationships/hyperlink" Target="http://www.gbrmpa.gov.au/__data/assets/pdf_file/0006/28257/Informing-the-Outlook-for-Great-Barrier-Reef-coastal-ecosystems.pdf" TargetMode="External"/><Relationship Id="rId1841" Type="http://schemas.openxmlformats.org/officeDocument/2006/relationships/hyperlink" Target="https://www.amsa.gov.au/navigation/shipping-management/nesm/" TargetMode="External"/><Relationship Id="rId1939" Type="http://schemas.openxmlformats.org/officeDocument/2006/relationships/hyperlink" Target="http://www.statedevelopment.qld.gov.au/resources/great-barrier-reef-coastal-zone-strategic-assessment-final-reports.html" TargetMode="External"/><Relationship Id="rId1701" Type="http://schemas.openxmlformats.org/officeDocument/2006/relationships/hyperlink" Target="http://www.amsa.gov.au/forms-and-publications/Publications/AMSA439.pdf" TargetMode="External"/><Relationship Id="rId282" Type="http://schemas.openxmlformats.org/officeDocument/2006/relationships/hyperlink" Target="http://www.gbrmpa.gov.au/__data/assets/pdf_file/0018/29421/Marine_Tourism_Framework_A4-Access.pdf" TargetMode="External"/><Relationship Id="rId587" Type="http://schemas.openxmlformats.org/officeDocument/2006/relationships/hyperlink" Target="http://www.defence.gov.au/Exercises/TS17/EnvironmentalPlanning.asp" TargetMode="External"/><Relationship Id="rId8" Type="http://schemas.openxmlformats.org/officeDocument/2006/relationships/settings" Target="settings.xml"/><Relationship Id="rId142" Type="http://schemas.openxmlformats.org/officeDocument/2006/relationships/hyperlink" Target="http://www.environment.gov.au/marine/gbr/publications/reef-2050-long-term-sustainability-plan" TargetMode="External"/><Relationship Id="rId447" Type="http://schemas.openxmlformats.org/officeDocument/2006/relationships/hyperlink" Target="https://www.google.com.au/url?sa=t&amp;rct=j&amp;q=&amp;esrc=s&amp;source=web&amp;cd=1&amp;cad=rja&amp;uact=8&amp;ved=0ahUKEwijhu2I5LDXAhUInZQKHV8uAagQFggmMAA&amp;url=https%3A%2F%2Fsecure.gbrmpa.gov.au%2FEMC%2F&amp;usg=AOvVaw0FxiOttNph5_lfWHRDbJyy" TargetMode="External"/><Relationship Id="rId794" Type="http://schemas.openxmlformats.org/officeDocument/2006/relationships/hyperlink" Target="https://publications.qld.gov.au/dataset/queensland-sustainable-fisheries-strategy/resource/319c7e02-f07b-4b2e-8fd5-a435d2c2f3c9" TargetMode="External"/><Relationship Id="rId1077" Type="http://schemas.openxmlformats.org/officeDocument/2006/relationships/hyperlink" Target="https://www.npsr.qld.gov.au/managing/plans-strategies/" TargetMode="External"/><Relationship Id="rId654" Type="http://schemas.openxmlformats.org/officeDocument/2006/relationships/hyperlink" Target="http://www.defence.gov.au/estatemanagement/governance/Policy/Environment/Water/Docs/DefenceEstateWaterStrategyV2May14.pdf" TargetMode="External"/><Relationship Id="rId861" Type="http://schemas.openxmlformats.org/officeDocument/2006/relationships/hyperlink" Target="https://www.daf.qld.gov.au/fisheries/sustainable-fisheries-strategy/fishery-working-groups" TargetMode="External"/><Relationship Id="rId959" Type="http://schemas.openxmlformats.org/officeDocument/2006/relationships/hyperlink" Target="http://www.environment.gov.au/heritage/publications/australian-underwater-cultural-heritage-intergovernmental-agreement" TargetMode="External"/><Relationship Id="rId1284" Type="http://schemas.openxmlformats.org/officeDocument/2006/relationships/hyperlink" Target="https://www.google.com.au/url?sa=t&amp;rct=j&amp;q=&amp;esrc=s&amp;source=web&amp;cd=2&amp;ved=0ahUKEwjWhYq84_vWAhWJJJQKHebYBIgQFggsMAE&amp;url=https%3A%2F%2Fwww.tmr.qld.gov.au%2F-%2Fmedia%2Fbusind%2FTransport-sectors%2FPorts%2Fmaintenancedredgingstrategy%2FMaintenance-Dredging-Strategy---November-2016.pdf%3Fla%3Den&amp;usg=AOvVaw0nhn5tAZegVAmoQhew_olB" TargetMode="External"/><Relationship Id="rId1491" Type="http://schemas.openxmlformats.org/officeDocument/2006/relationships/hyperlink" Target="http://thedock.gbrmpa.gov.au/sites/Projects/P000097/MEA/Evidence-collection-templates/Sustainable%20Ports%20Development%20Act%202015" TargetMode="External"/><Relationship Id="rId1589" Type="http://schemas.openxmlformats.org/officeDocument/2006/relationships/hyperlink" Target="https://www.portsnorth.com.au/news-publications/annual-reports/" TargetMode="External"/><Relationship Id="rId307" Type="http://schemas.openxmlformats.org/officeDocument/2006/relationships/hyperlink" Target="http://hdl.handle.net/11017/3221" TargetMode="External"/><Relationship Id="rId514" Type="http://schemas.openxmlformats.org/officeDocument/2006/relationships/hyperlink" Target="http://www.google.com.au/url?sa=t&amp;rct=j&amp;q=&amp;esrc=s&amp;source=web&amp;cd=2&amp;cad=rja&amp;uact=8&amp;ved=0ahUKEwje0buj8I_WAhVDXbwKHTiDB4IQjBAILTAB&amp;url=http%3A%2F%2Fwww.defence.gov.au%2Fwhitepaper%2Fdocs%2F2016-defence-white-paper.pdf&amp;usg=AFQjCNGajfiCD9iVxCUPOmSh1jQI4W75Lg" TargetMode="External"/><Relationship Id="rId721" Type="http://schemas.openxmlformats.org/officeDocument/2006/relationships/hyperlink" Target="http://www.environment.gov.au/marine/marine-species/sharks/hammerhead" TargetMode="External"/><Relationship Id="rId1144" Type="http://schemas.openxmlformats.org/officeDocument/2006/relationships/hyperlink" Target="http://www.environment.gov.au/marine/gbr/reef2050/advisory-bodies" TargetMode="External"/><Relationship Id="rId1351" Type="http://schemas.openxmlformats.org/officeDocument/2006/relationships/hyperlink" Target="http://www.gbrmpa.gov.au/zoning-permits-and-plans/site-specific-management/" TargetMode="External"/><Relationship Id="rId1449" Type="http://schemas.openxmlformats.org/officeDocument/2006/relationships/hyperlink" Target="http://elibrary.gbrmpa.gov.au/jspui/handle/11017/3240" TargetMode="External"/><Relationship Id="rId1796" Type="http://schemas.openxmlformats.org/officeDocument/2006/relationships/hyperlink" Target="http://www.amsa.gov.au/forms-and-publications/about-amsa/publications/Annual-Reports/2015-2016/page-contents/AMSA-Annual-Report-2015-16.pdf" TargetMode="External"/><Relationship Id="rId88" Type="http://schemas.openxmlformats.org/officeDocument/2006/relationships/hyperlink" Target="http://www.reefplan.qld.gov.au/" TargetMode="External"/><Relationship Id="rId819" Type="http://schemas.openxmlformats.org/officeDocument/2006/relationships/hyperlink" Target="https://www.daf.qld.gov.au/business-priorities/fisheries/consultations-and-legislation/reviews-surveys-and-consultations/scallop-fishing-closures" TargetMode="External"/><Relationship Id="rId1004" Type="http://schemas.openxmlformats.org/officeDocument/2006/relationships/hyperlink" Target="http://hdl.handle.net/11017/3370" TargetMode="External"/><Relationship Id="rId1211" Type="http://schemas.openxmlformats.org/officeDocument/2006/relationships/hyperlink" Target="http://www.reefplan.qld.gov.au" TargetMode="External"/><Relationship Id="rId1656" Type="http://schemas.openxmlformats.org/officeDocument/2006/relationships/hyperlink" Target="http://thedock.gbrmpa.gov.au/sites/Projects/P000097/MEA/Evidence-collection-templates/&#8226;%09%20http:/www.gbrmpa.gov.au/about-the-reef/how-the-reefs-managed/recreation-in-the-great-barrier-reef-marine-park" TargetMode="External"/><Relationship Id="rId1863" Type="http://schemas.openxmlformats.org/officeDocument/2006/relationships/hyperlink" Target="http://hdl.handle.net/11017/2871" TargetMode="External"/><Relationship Id="rId1309" Type="http://schemas.openxmlformats.org/officeDocument/2006/relationships/hyperlink" Target="https://www.statedevelopment.qld.gov.au/assessments-and-approvals/projects-draft-environmental-impact-statement-documents.html" TargetMode="External"/><Relationship Id="rId1516" Type="http://schemas.openxmlformats.org/officeDocument/2006/relationships/hyperlink" Target="https://www.statedevelopment.qld.gov.au/industry-development/port-master-planning-for-priority-ports.html" TargetMode="External"/><Relationship Id="rId1723" Type="http://schemas.openxmlformats.org/officeDocument/2006/relationships/hyperlink" Target="http://www.statedevelopment.qld.gov.au/resources/great-barrier-reef-coastal-zone-strategic-assessment-final-reports.html" TargetMode="External"/><Relationship Id="rId1930" Type="http://schemas.openxmlformats.org/officeDocument/2006/relationships/hyperlink" Target="http://elibrary.gbrmpa.gov.au/jspui/handle/11017/2861" TargetMode="External"/><Relationship Id="rId15" Type="http://schemas.openxmlformats.org/officeDocument/2006/relationships/image" Target="media/image4.png"/><Relationship Id="rId164" Type="http://schemas.openxmlformats.org/officeDocument/2006/relationships/hyperlink" Target="http://www.environment.gov.au/marine/gbr/protecting-the-reef/intergovernmental-agreement" TargetMode="External"/><Relationship Id="rId371" Type="http://schemas.openxmlformats.org/officeDocument/2006/relationships/hyperlink" Target="http://www.environment.gov.au/marine/gbr/publications/reef-2050-long-term-sustainability-plan" TargetMode="External"/><Relationship Id="rId469" Type="http://schemas.openxmlformats.org/officeDocument/2006/relationships/hyperlink" Target="http://www.abs.gov.au/ausstats/abs@.nsf/mf/4680.0" TargetMode="External"/><Relationship Id="rId676" Type="http://schemas.openxmlformats.org/officeDocument/2006/relationships/hyperlink" Target="http://elibrary.gbrmpa.gov.au/jspui/bitstream/11017/386/1/Monitoring-green-turtle-population-dynamics-in-Shoalwater-Bay-2000-2004.pdf" TargetMode="External"/><Relationship Id="rId883" Type="http://schemas.openxmlformats.org/officeDocument/2006/relationships/hyperlink" Target="https://publications.qld.gov.au/dataset/queensland-sustainable-fisheries-strategy/resource/319c7e02-f07b-4b2e-8fd5-a435d2c2f3c9" TargetMode="External"/><Relationship Id="rId1099" Type="http://schemas.openxmlformats.org/officeDocument/2006/relationships/hyperlink" Target="http://elibrary.gbrmpa.gov.au/jspui/handle/11017/3339" TargetMode="External"/><Relationship Id="rId231" Type="http://schemas.openxmlformats.org/officeDocument/2006/relationships/hyperlink" Target="http://www.environment.gov.au/marine/gbr/publications/reef-2050-long-term-sustainability-plan" TargetMode="External"/><Relationship Id="rId329" Type="http://schemas.openxmlformats.org/officeDocument/2006/relationships/hyperlink" Target="http://www.gbrmpa.gov.au/visit-the-reef/choose-a-high-standard-operator" TargetMode="External"/><Relationship Id="rId536" Type="http://schemas.openxmlformats.org/officeDocument/2006/relationships/hyperlink" Target="http://www.defence.gov.au/Exercises/TS17" TargetMode="External"/><Relationship Id="rId1166" Type="http://schemas.openxmlformats.org/officeDocument/2006/relationships/hyperlink" Target="http://www.gbrmpa.gov.au/managing-the-reef/reef-integrated-monitoring-and-reporting-program/program-delivery" TargetMode="External"/><Relationship Id="rId1373" Type="http://schemas.openxmlformats.org/officeDocument/2006/relationships/hyperlink" Target="http://www.reefplan.qld.gov.au/measuring-success/" TargetMode="External"/><Relationship Id="rId743" Type="http://schemas.openxmlformats.org/officeDocument/2006/relationships/hyperlink" Target="file://Users/andrealeverington/Desktop/outlook%202019/Fishing/Field%20Management%20of%20the%20Great%20Barrier%20Reef%20Marine%20Parkwww.gbrmpa.gov.au/managing-the-reef/how-the-reefs-managed/field-management-of-the-great-barrier-reef-marine-park" TargetMode="External"/><Relationship Id="rId950" Type="http://schemas.openxmlformats.org/officeDocument/2006/relationships/hyperlink" Target="https://espace.library.uq.edu.au/view/UQ:84658" TargetMode="External"/><Relationship Id="rId1026" Type="http://schemas.openxmlformats.org/officeDocument/2006/relationships/hyperlink" Target="http://www.gbrmpa.gov.au/managing-the-reef/reef-2050/reef-integrated-monitoring-and-reporting-program" TargetMode="External"/><Relationship Id="rId1580" Type="http://schemas.openxmlformats.org/officeDocument/2006/relationships/hyperlink" Target="http://www.environment.gov.au/system/files/resources/ea14e16d-15c1-4599-ac4a-53b9f1375f59/files/reef-2050-investment-framework.pdf" TargetMode="External"/><Relationship Id="rId1678" Type="http://schemas.openxmlformats.org/officeDocument/2006/relationships/hyperlink" Target="http://www.gbrmpa.gov.au/about-us/corporate-information/annual-report" TargetMode="External"/><Relationship Id="rId1885" Type="http://schemas.openxmlformats.org/officeDocument/2006/relationships/hyperlink" Target="http://hdl.handle.net/11017/3239" TargetMode="External"/><Relationship Id="rId603" Type="http://schemas.openxmlformats.org/officeDocument/2006/relationships/hyperlink" Target="https://link.springer.com/article/10.1007/s00343-010-9113-3" TargetMode="External"/><Relationship Id="rId810" Type="http://schemas.openxmlformats.org/officeDocument/2006/relationships/hyperlink" Target="https://www.daf.qld.gov.au/business-priorities/fisheries/sustainable-fisheries-strategy/fisheries-reforms" TargetMode="External"/><Relationship Id="rId908" Type="http://schemas.openxmlformats.org/officeDocument/2006/relationships/hyperlink" Target="http://www.gbrmpa.gov.au/media-room/latest-news/compliance/2017/ramped-up-patrols-to-target-fishing-hotspots-this-school-holidays" TargetMode="External"/><Relationship Id="rId1233" Type="http://schemas.openxmlformats.org/officeDocument/2006/relationships/hyperlink" Target="https://file.ac/fSFmYS7Errs/" TargetMode="External"/><Relationship Id="rId1440" Type="http://schemas.openxmlformats.org/officeDocument/2006/relationships/hyperlink" Target="http://elibrary.gbrmpa.gov.au/jspui/handle/11017/2935" TargetMode="External"/><Relationship Id="rId1538" Type="http://schemas.openxmlformats.org/officeDocument/2006/relationships/hyperlink" Target="http://waterquality.capeyorknrm.com.au/water-quality/eastern-cape" TargetMode="External"/><Relationship Id="rId1300" Type="http://schemas.openxmlformats.org/officeDocument/2006/relationships/hyperlink" Target="http://nqbp.com.au/wp-content/uploads/2017/03/Environment-and-Planning-Policy-Tasks-2016-2017.pdf" TargetMode="External"/><Relationship Id="rId1745" Type="http://schemas.openxmlformats.org/officeDocument/2006/relationships/hyperlink" Target="https://www.nespmarine.edu.au/project/project-c5-quantification-national-ship-strike-risk" TargetMode="External"/><Relationship Id="rId1952" Type="http://schemas.openxmlformats.org/officeDocument/2006/relationships/hyperlink" Target="http://www.capeyorknrm.com.au/project/2228" TargetMode="External"/><Relationship Id="rId37" Type="http://schemas.openxmlformats.org/officeDocument/2006/relationships/hyperlink" Target="http://elibrary.gbrmpa.gov.au/jspui/bitstream/11017/3227/1/Managing-Research-in-the-GBRMP.pdf" TargetMode="External"/><Relationship Id="rId1605" Type="http://schemas.openxmlformats.org/officeDocument/2006/relationships/hyperlink" Target="http://elibrary.gbrmpa.gov.au/jspui/bitstream/11017/3228/1/Social-Value-Assessment-Guidelines.pdf" TargetMode="External"/><Relationship Id="rId1812" Type="http://schemas.openxmlformats.org/officeDocument/2006/relationships/hyperlink" Target="https://www.tmr.qld.gov.au/business-industry/Transport-sectors/Ports/Maintenance-dredging-strategy" TargetMode="External"/><Relationship Id="rId186" Type="http://schemas.openxmlformats.org/officeDocument/2006/relationships/hyperlink" Target="http://www.cleanupaustraliaday.org.au/" TargetMode="External"/><Relationship Id="rId393" Type="http://schemas.openxmlformats.org/officeDocument/2006/relationships/hyperlink" Target="http://elibrary.gbrmpa.gov.au/jspui/bitstream/11017/3214/1/Reef-2050-net-benefit-policy-draft-for-consultation.pdf" TargetMode="External"/><Relationship Id="rId253" Type="http://schemas.openxmlformats.org/officeDocument/2006/relationships/hyperlink" Target="http://www.reefplan.qld.gov.au/measuring-success/report-cards/" TargetMode="External"/><Relationship Id="rId460" Type="http://schemas.openxmlformats.org/officeDocument/2006/relationships/hyperlink" Target="https://qpws.usedirect.com/qpws/" TargetMode="External"/><Relationship Id="rId698" Type="http://schemas.openxmlformats.org/officeDocument/2006/relationships/hyperlink" Target="http://www.environment.gov.au/marine/fisheries/qld-managed-fisheries" TargetMode="External"/><Relationship Id="rId1090" Type="http://schemas.openxmlformats.org/officeDocument/2006/relationships/hyperlink" Target="http://elibrary.gbrmpa.gov.au/jspui/handle/11017/3229" TargetMode="External"/><Relationship Id="rId113" Type="http://schemas.openxmlformats.org/officeDocument/2006/relationships/hyperlink" Target="http://www.gbrmpa.gov.au/managing-the-reef/reef-2050/reef-integrated-monitoring-and-reporting-program" TargetMode="External"/><Relationship Id="rId320" Type="http://schemas.openxmlformats.org/officeDocument/2006/relationships/hyperlink" Target="https://citizensgbr.org/" TargetMode="External"/><Relationship Id="rId558" Type="http://schemas.openxmlformats.org/officeDocument/2006/relationships/hyperlink" Target="http://www.defence.gov.au/estatemanagement/Governance/Policy/Environment/EIA/Default.asp" TargetMode="External"/><Relationship Id="rId765" Type="http://schemas.openxmlformats.org/officeDocument/2006/relationships/hyperlink" Target="https://www.researchgate.net/publication/272158690_Implications_of_climate_change_on_fisheries_resources_of_northern_Australia_Part_1_Vulnerability_assessment_and_adaptations" TargetMode="External"/><Relationship Id="rId972" Type="http://schemas.openxmlformats.org/officeDocument/2006/relationships/hyperlink" Target="http://thedock.gbrmpa.gov.au/sites/Projects/P000020/_layouts/DocIdRedir.aspx?ID=PROJ-56-181" TargetMode="External"/><Relationship Id="rId1188" Type="http://schemas.openxmlformats.org/officeDocument/2006/relationships/hyperlink" Target="http://eatlas.org.au/content/about-e-atlas" TargetMode="External"/><Relationship Id="rId1395" Type="http://schemas.openxmlformats.org/officeDocument/2006/relationships/hyperlink" Target="http://elibrary.gbrmpa.gov.au/jspui/handle/11017/3240" TargetMode="External"/><Relationship Id="rId2001" Type="http://schemas.openxmlformats.org/officeDocument/2006/relationships/hyperlink" Target="http://hdl.handle.net/11017/3215" TargetMode="External"/><Relationship Id="rId418" Type="http://schemas.openxmlformats.org/officeDocument/2006/relationships/hyperlink" Target="http://elibrary.gbrmpa.gov.au/jspui/handle/11017/3241" TargetMode="External"/><Relationship Id="rId625" Type="http://schemas.openxmlformats.org/officeDocument/2006/relationships/hyperlink" Target="http://www.defence.gov.au/estatemanagement/governance/Policy/Environment/EnergyEfficiency/Docs/DefenceEstateEnergyStrategyV2May14.pdf" TargetMode="External"/><Relationship Id="rId832" Type="http://schemas.openxmlformats.org/officeDocument/2006/relationships/hyperlink" Target="http://onlinelibrary.wiley.com/doi/10.1111/cobi.12940/abstract" TargetMode="External"/><Relationship Id="rId1048" Type="http://schemas.openxmlformats.org/officeDocument/2006/relationships/hyperlink" Target="http://dawulwuru.com.au/files/4314/0360/2666/Yirrganydji_Plan_Online.pdf" TargetMode="External"/><Relationship Id="rId1255" Type="http://schemas.openxmlformats.org/officeDocument/2006/relationships/hyperlink" Target="http://thedock.gbrmpa.gov.au/sites/Projects/P000057/Offsets/Reef-2050-offset-guideline-draft-for-public-consultation.pdf" TargetMode="External"/><Relationship Id="rId1462" Type="http://schemas.openxmlformats.org/officeDocument/2006/relationships/hyperlink" Target="http://waterquality.capeyorknrm.com.au/water-quality/eastern-cape" TargetMode="External"/><Relationship Id="rId1115" Type="http://schemas.openxmlformats.org/officeDocument/2006/relationships/hyperlink" Target="http://www.reefplan.qld.gov.au/about/assets/2017-scientific-consensus-statement-summary.pdf" TargetMode="External"/><Relationship Id="rId1322" Type="http://schemas.openxmlformats.org/officeDocument/2006/relationships/hyperlink" Target="https://www.tmr.qld.gov.au/business-industry/transport-sectors/ports/maintenance-dredging-strategy" TargetMode="External"/><Relationship Id="rId1767" Type="http://schemas.openxmlformats.org/officeDocument/2006/relationships/hyperlink" Target="http://hdl.handle.net/11017/3245" TargetMode="External"/><Relationship Id="rId1974" Type="http://schemas.openxmlformats.org/officeDocument/2006/relationships/hyperlink" Target="http://elibrary.gbrmpa.gov.au/jspui/handle/11017/3339" TargetMode="External"/><Relationship Id="rId59" Type="http://schemas.openxmlformats.org/officeDocument/2006/relationships/hyperlink" Target="https://wetlandinfo.ehp.qld.gov.au/wetlands/management/national-international-important-wetlands/" TargetMode="External"/><Relationship Id="rId1627" Type="http://schemas.openxmlformats.org/officeDocument/2006/relationships/hyperlink" Target="http://www.gbrmpa.gov.au/__data/assets/pdf_file/0003/16968/Structures-Policy-reviewed-2010.pdf" TargetMode="External"/><Relationship Id="rId1834" Type="http://schemas.openxmlformats.org/officeDocument/2006/relationships/hyperlink" Target="http://www.gbrmpa.gov.au/managing-the-reef/how-the-reefs-managed/Managing-multiple-uses/shipping/compulsory-pilotage" TargetMode="External"/><Relationship Id="rId1901" Type="http://schemas.openxmlformats.org/officeDocument/2006/relationships/hyperlink" Target="http://www.gbrmpa.gov.au/managing-the-reef/reef-2050/reef-2050-plan-draft-policies-and-guideline-consultation/Reef-2050-draft-policies" TargetMode="External"/><Relationship Id="rId275" Type="http://schemas.openxmlformats.org/officeDocument/2006/relationships/hyperlink" Target="http://www.gbrmpa.gov.au/visit-the-reef/visitor-contributions/gbr_visitation/numbers" TargetMode="External"/><Relationship Id="rId482" Type="http://schemas.openxmlformats.org/officeDocument/2006/relationships/hyperlink" Target="https://www.eianz.org/document/item/2862" TargetMode="External"/><Relationship Id="rId135" Type="http://schemas.openxmlformats.org/officeDocument/2006/relationships/hyperlink" Target="http://www.gbrmpa.gov.au/__data/assets/pdf_file/0011/253928/CE-position-statement-draft-May-2017.pdf" TargetMode="External"/><Relationship Id="rId342" Type="http://schemas.openxmlformats.org/officeDocument/2006/relationships/hyperlink" Target="http://www.gbrmpa.gov.au/our-partners/reef-advisory-committee/indigenous-reef-advisory-committee" TargetMode="External"/><Relationship Id="rId787" Type="http://schemas.openxmlformats.org/officeDocument/2006/relationships/hyperlink" Target="https://publications.qld.gov.au/dataset/queensland-sustainable-fisheries-strategy/resource/319c7e02-f07b-4b2e-8fd5-a435d2c2f3c9" TargetMode="External"/><Relationship Id="rId994" Type="http://schemas.openxmlformats.org/officeDocument/2006/relationships/hyperlink" Target="https://www.qld.gov.au/environment/assets/documents/land/heritage/heritage-impact-statement.pdf" TargetMode="External"/><Relationship Id="rId2023" Type="http://schemas.openxmlformats.org/officeDocument/2006/relationships/hyperlink" Target="https://www.countryneedspeople.org.au/working_for_our_country_report" TargetMode="External"/><Relationship Id="rId202" Type="http://schemas.openxmlformats.org/officeDocument/2006/relationships/hyperlink" Target="http://www.environment.gov.au/marine/gbr/reeftrust/addressing-stream-bank-gully-erosion" TargetMode="External"/><Relationship Id="rId647" Type="http://schemas.openxmlformats.org/officeDocument/2006/relationships/hyperlink" Target="http://www.defence.gov.au/EstateManagement/Governance/Docs/DefenceEstateStrategy2016-36.pdf" TargetMode="External"/><Relationship Id="rId854" Type="http://schemas.openxmlformats.org/officeDocument/2006/relationships/hyperlink" Target="http://www.environment.gov.au/coasts/fisheries/qld/east-coast-finfish/pubs/fishery-obs-2011.pdf" TargetMode="External"/><Relationship Id="rId1277" Type="http://schemas.openxmlformats.org/officeDocument/2006/relationships/hyperlink" Target="https://www.tmr.qld.gov.au/business-industry/Transport-sectors/Ports" TargetMode="External"/><Relationship Id="rId1484" Type="http://schemas.openxmlformats.org/officeDocument/2006/relationships/hyperlink" Target="https://www.statedevelopment.qld.gov.au/industry-development/port-master-planning-for-priority-ports.html" TargetMode="External"/><Relationship Id="rId1691" Type="http://schemas.openxmlformats.org/officeDocument/2006/relationships/hyperlink" Target="http://www.gbrmpa.gov.au/managing-the-reef/how-the-reefs-managed/eye-on-the-reef" TargetMode="External"/><Relationship Id="rId507" Type="http://schemas.openxmlformats.org/officeDocument/2006/relationships/hyperlink" Target="http://www.environment.gov.au/marine/marine-species/cetaceans/sonar-seismic-impacts" TargetMode="External"/><Relationship Id="rId714" Type="http://schemas.openxmlformats.org/officeDocument/2006/relationships/hyperlink" Target="http://www.environment.gov.au/system/files/pages/c5ce4081-6461-467e-a397-275b82a45307/files/east-coast-finfish-assessment-sep2016.pdf" TargetMode="External"/><Relationship Id="rId921" Type="http://schemas.openxmlformats.org/officeDocument/2006/relationships/hyperlink" Target="http://www.environment.gov.au/marine/gbr/publications/defining-aesthetic-values-great-barrier-reef-world-heritage-area-february-2013" TargetMode="External"/><Relationship Id="rId1137" Type="http://schemas.openxmlformats.org/officeDocument/2006/relationships/hyperlink" Target="http://www.reefplan.qld.gov.au/measuring-success/report-cards/" TargetMode="External"/><Relationship Id="rId1344" Type="http://schemas.openxmlformats.org/officeDocument/2006/relationships/hyperlink" Target="http://hdl.handle.net/11017/3009" TargetMode="External"/><Relationship Id="rId1551" Type="http://schemas.openxmlformats.org/officeDocument/2006/relationships/hyperlink" Target="https://www.townsville-port.com.au/environment-community/community/our-community/" TargetMode="External"/><Relationship Id="rId1789" Type="http://schemas.openxmlformats.org/officeDocument/2006/relationships/hyperlink" Target="https://www.amsa.gov.au/navigation/services/ais/" TargetMode="External"/><Relationship Id="rId1996" Type="http://schemas.openxmlformats.org/officeDocument/2006/relationships/hyperlink" Target="https://www.youtube.com/watch?v=ic1Ik7Aemuw" TargetMode="External"/><Relationship Id="rId50" Type="http://schemas.openxmlformats.org/officeDocument/2006/relationships/hyperlink" Target="http://www.gbrmpa.gov.au/__data/assets/pdf_file/0013/4513/gbrmpa_fauna_flora_full.pdf" TargetMode="External"/><Relationship Id="rId1204" Type="http://schemas.openxmlformats.org/officeDocument/2006/relationships/hyperlink" Target="https://www.reefplan.qld.gov.au/about/targets/" TargetMode="External"/><Relationship Id="rId1411" Type="http://schemas.openxmlformats.org/officeDocument/2006/relationships/hyperlink" Target="http://www.gbrmpa.gov.au/managing-the-reef/reef-integrated-monitoring-and-reporting-program" TargetMode="External"/><Relationship Id="rId1649" Type="http://schemas.openxmlformats.org/officeDocument/2006/relationships/hyperlink" Target="http://www.gbrmpa.gov.au/about-us/reef-advisory-committee/tourism-and-recreation-reef-advisory-committee" TargetMode="External"/><Relationship Id="rId1856" Type="http://schemas.openxmlformats.org/officeDocument/2006/relationships/hyperlink" Target="http://www.amsa.gov.au/forms-and-publications/about-amsa/publications/Annual-Reports/2015-2016/page-contents/AMSA-Annual-Report-2015-16.pdf" TargetMode="External"/><Relationship Id="rId1509" Type="http://schemas.openxmlformats.org/officeDocument/2006/relationships/hyperlink" Target="http://www.environment.gov.au/marine/gbr/publications/improved-dredge-material-management-great-barrier-reef-region" TargetMode="External"/><Relationship Id="rId1716" Type="http://schemas.openxmlformats.org/officeDocument/2006/relationships/hyperlink" Target="http://hdl.handle.net/11017/3224" TargetMode="External"/><Relationship Id="rId1923" Type="http://schemas.openxmlformats.org/officeDocument/2006/relationships/hyperlink" Target="https://www.amsa.gov.au/navigation/shipping-management/nesm/documents/nesm-plan-work-program.pdf" TargetMode="External"/><Relationship Id="rId297" Type="http://schemas.openxmlformats.org/officeDocument/2006/relationships/hyperlink" Target="http://thedock.gbrmpa.gov.au/sites/Projects/P000097/MEA/Justification-Tables/&#8226;%09http:/www.gbrmpa.gov.au/__data/assets/pdf_file/0018/29421/Marine_Tourism_Framework_A4-Access.pdf" TargetMode="External"/><Relationship Id="rId157" Type="http://schemas.openxmlformats.org/officeDocument/2006/relationships/hyperlink" Target="http://www.gbrmpa.gov.au/__data/assets/pdf_file/0011/253928/CE-position-statement-draft-May-2017.pdf" TargetMode="External"/><Relationship Id="rId364" Type="http://schemas.openxmlformats.org/officeDocument/2006/relationships/hyperlink" Target="http://www.abs.gov.au/ausstats/abs@.nsf/mf/4680.0" TargetMode="External"/><Relationship Id="rId571" Type="http://schemas.openxmlformats.org/officeDocument/2006/relationships/hyperlink" Target="http://www.gbrmpa.gov.au/__data/assets/pdf_file/0008/248633/2014_Strategic-Environmental-Assessment_Defence.pdf" TargetMode="External"/><Relationship Id="rId669" Type="http://schemas.openxmlformats.org/officeDocument/2006/relationships/hyperlink" Target="http://www.defence.gov.au/Exercises/TS17" TargetMode="External"/><Relationship Id="rId876" Type="http://schemas.openxmlformats.org/officeDocument/2006/relationships/hyperlink" Target="https://publications.qld.gov.au/dataset/queensland-sustainable-fisheries-strategy/resource/319c7e02-f07b-4b2e-8fd5-a435d2c2f3c9" TargetMode="External"/><Relationship Id="rId1299" Type="http://schemas.openxmlformats.org/officeDocument/2006/relationships/hyperlink" Target="http://nqbp.com.au/wp-content/uploads/2017/06/Port-of-Abbot-Point-Ambient-Coral-Monitoring-Program.pdf" TargetMode="External"/><Relationship Id="rId224" Type="http://schemas.openxmlformats.org/officeDocument/2006/relationships/hyperlink" Target="http://www.reefplan.qld.gov.au/about/scientific-consensus-statement/" TargetMode="External"/><Relationship Id="rId431" Type="http://schemas.openxmlformats.org/officeDocument/2006/relationships/hyperlink" Target="http://www.environment.gov.au/system/files/resources/cb36afd7-7f52-468a-9d69-a6bdd7da156b/files/gbr-state-party-report-2015.pdf" TargetMode="External"/><Relationship Id="rId529" Type="http://schemas.openxmlformats.org/officeDocument/2006/relationships/hyperlink" Target="http://www.defence.gov.au/estatemanagement/Governance/Policy/Environment/Default.asp" TargetMode="External"/><Relationship Id="rId736" Type="http://schemas.openxmlformats.org/officeDocument/2006/relationships/hyperlink" Target="https://publications.qld.gov.au/dataset/queensland-sustainable-fisheries-strategy/resource/319c7e02-f07b-4b2e-8fd5-a435d2c2f3c9" TargetMode="External"/><Relationship Id="rId1061" Type="http://schemas.openxmlformats.org/officeDocument/2006/relationships/hyperlink" Target="http://www.gbrmpa.gov.au/zoning-permits-and-plans/plans-of-management/whitsunday-plan-of-management" TargetMode="External"/><Relationship Id="rId1159" Type="http://schemas.openxmlformats.org/officeDocument/2006/relationships/hyperlink" Target="http://www.gbrmpa.gov.au/managing-the-reef/reef-2050/reef-integrated-monitoring-and-reporting-program" TargetMode="External"/><Relationship Id="rId1366" Type="http://schemas.openxmlformats.org/officeDocument/2006/relationships/hyperlink" Target="http://elibrary.gbrmpa.gov.au/jspui/handle/11017/2935" TargetMode="External"/><Relationship Id="rId943" Type="http://schemas.openxmlformats.org/officeDocument/2006/relationships/hyperlink" Target="http://search.informit.com.au/documentSummary;dn=952527306859388;res=IELHSS?" TargetMode="External"/><Relationship Id="rId1019" Type="http://schemas.openxmlformats.org/officeDocument/2006/relationships/hyperlink" Target="http://elibrary.gbrmpa.gov.au/jspui/handle/11017/2861" TargetMode="External"/><Relationship Id="rId1573" Type="http://schemas.openxmlformats.org/officeDocument/2006/relationships/hyperlink" Target="http://www.ehp.qld.gov.au/gladstone/index.html" TargetMode="External"/><Relationship Id="rId1780" Type="http://schemas.openxmlformats.org/officeDocument/2006/relationships/hyperlink" Target="http://www.amsa.gov.au/community/consultation/documents/NESMP-August-2013.pdf" TargetMode="External"/><Relationship Id="rId1878" Type="http://schemas.openxmlformats.org/officeDocument/2006/relationships/hyperlink" Target="http://hdl.handle.net/11017/3228" TargetMode="External"/><Relationship Id="rId72" Type="http://schemas.openxmlformats.org/officeDocument/2006/relationships/hyperlink" Target="https://wetlandinfo.ehp.qld.gov.au/resources/static/pdf/ecology/connectivity/walking-the-landscape-15-02-13.pdf" TargetMode="External"/><Relationship Id="rId803" Type="http://schemas.openxmlformats.org/officeDocument/2006/relationships/hyperlink" Target="https://www.daf.qld.gov.au/fisheries/monitoring-our-fisheries/data-reports/sustainability-reporting/performance-measurement-systems" TargetMode="External"/><Relationship Id="rId1226" Type="http://schemas.openxmlformats.org/officeDocument/2006/relationships/hyperlink" Target="https://file.ac/fSFmYS7Errs/" TargetMode="External"/><Relationship Id="rId1433" Type="http://schemas.openxmlformats.org/officeDocument/2006/relationships/hyperlink" Target="http://rc.ghhp.org.au/" TargetMode="External"/><Relationship Id="rId1640" Type="http://schemas.openxmlformats.org/officeDocument/2006/relationships/hyperlink" Target="https://www2.deloitte.com/content/dam/Deloitte/au/Documents/Economics/deloitte-au-economics-great-barrier-reef-230617.pdf" TargetMode="External"/><Relationship Id="rId1738" Type="http://schemas.openxmlformats.org/officeDocument/2006/relationships/hyperlink" Target="http://elibrary.gbrmpa.gov.au/jspui/handle/11017/2861" TargetMode="External"/><Relationship Id="rId1500" Type="http://schemas.openxmlformats.org/officeDocument/2006/relationships/hyperlink" Target="https://www.ehp.qld.gov.au/water/policy/water_quality_improvement_plans.html" TargetMode="External"/><Relationship Id="rId1945" Type="http://schemas.openxmlformats.org/officeDocument/2006/relationships/hyperlink" Target="http://elibrary.gbrmpa.gov.au/jspui/handle/11017/2861" TargetMode="External"/><Relationship Id="rId1805" Type="http://schemas.openxmlformats.org/officeDocument/2006/relationships/hyperlink" Target="http://www.agriculture.gov.au/pests-diseases-weeds/marine-pests" TargetMode="External"/><Relationship Id="rId179" Type="http://schemas.openxmlformats.org/officeDocument/2006/relationships/hyperlink" Target="http://www.seagrasswatch.org/" TargetMode="External"/><Relationship Id="rId386" Type="http://schemas.openxmlformats.org/officeDocument/2006/relationships/hyperlink" Target="http://www.environment.gov.au/marine/gbr/publications/reef-2050-long-term-sustainability-plan" TargetMode="External"/><Relationship Id="rId593" Type="http://schemas.openxmlformats.org/officeDocument/2006/relationships/hyperlink" Target="http://www.environment.gov.au/heritage/ahc/publications/ask-first-guide-respecting-indigenous-heritage-places-and-values"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aph.gov.au/Parliamentary_Business/Committees/House_of_Representatives_Committees?url=environ/landinq/landrpt/content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PROJ-1406403117-1377</_dlc_DocId>
    <_dlc_DocIdUrl xmlns="8ccc4631-9afc-4718-b120-5e2e37a03cc7">
      <Url>http://thedock.gbrmpa.gov.au/sites/Projects/P000097/_layouts/DocIdRedir.aspx?ID=PROJ-1406403117-1377</Url>
      <Description>PROJ-1406403117-1377</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814BC735DD961E4DB6598E55B86DF418" ma:contentTypeVersion="11" ma:contentTypeDescription="" ma:contentTypeScope="" ma:versionID="27adf23095fcb0b4d10ddd0bdf8a8be5">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502f10ce6d70b504ba1fe842292cbd8"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1741C6-8E10-45A0-8E97-6FE5B62B926A}"/>
</file>

<file path=customXml/itemProps2.xml><?xml version="1.0" encoding="utf-8"?>
<ds:datastoreItem xmlns:ds="http://schemas.openxmlformats.org/officeDocument/2006/customXml" ds:itemID="{CB46FF2F-238D-424A-BB16-3F226DBCFEC0}"/>
</file>

<file path=customXml/itemProps3.xml><?xml version="1.0" encoding="utf-8"?>
<ds:datastoreItem xmlns:ds="http://schemas.openxmlformats.org/officeDocument/2006/customXml" ds:itemID="{9E682563-D724-4BA5-B233-BEC2E535B113}"/>
</file>

<file path=customXml/itemProps4.xml><?xml version="1.0" encoding="utf-8"?>
<ds:datastoreItem xmlns:ds="http://schemas.openxmlformats.org/officeDocument/2006/customXml" ds:itemID="{27BB09E2-8B7D-4F04-BBD5-12728A435139}"/>
</file>

<file path=customXml/itemProps5.xml><?xml version="1.0" encoding="utf-8"?>
<ds:datastoreItem xmlns:ds="http://schemas.openxmlformats.org/officeDocument/2006/customXml" ds:itemID="{B2E0878A-2B0D-4269-ADCF-6F0A2C62F696}"/>
</file>

<file path=docProps/app.xml><?xml version="1.0" encoding="utf-8"?>
<Properties xmlns="http://schemas.openxmlformats.org/officeDocument/2006/extended-properties" xmlns:vt="http://schemas.openxmlformats.org/officeDocument/2006/docPropsVTypes">
  <Template>Normal</Template>
  <TotalTime>125</TotalTime>
  <Pages>522</Pages>
  <Words>227624</Words>
  <Characters>1297462</Characters>
  <Application>Microsoft Office Word</Application>
  <DocSecurity>0</DocSecurity>
  <Lines>10812</Lines>
  <Paragraphs>3044</Paragraphs>
  <ScaleCrop>false</ScaleCrop>
  <HeadingPairs>
    <vt:vector size="2" baseType="variant">
      <vt:variant>
        <vt:lpstr>Title</vt:lpstr>
      </vt:variant>
      <vt:variant>
        <vt:i4>1</vt:i4>
      </vt:variant>
    </vt:vector>
  </HeadingPairs>
  <TitlesOfParts>
    <vt:vector size="1" baseType="lpstr">
      <vt:lpstr>Management-effectiveness-report-final-09102018</vt:lpstr>
    </vt:vector>
  </TitlesOfParts>
  <Company/>
  <LinksUpToDate>false</LinksUpToDate>
  <CharactersWithSpaces>1522042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Management-effectiveness-report-final-09102018</dc:title>
  <dc:subject/>
  <dc:creator>Fiona Leverington</dc:creator>
  <cp:keywords/>
  <dc:description/>
  <cp:lastModifiedBy>Susan Sobtzick</cp:lastModifiedBy>
  <cp:revision>16</cp:revision>
  <cp:lastPrinted>2019-07-22T00:02:00Z</cp:lastPrinted>
  <dcterms:created xsi:type="dcterms:W3CDTF">2019-07-16T07:11:00Z</dcterms:created>
  <dcterms:modified xsi:type="dcterms:W3CDTF">2019-07-23T03:46:00Z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0x010100441936E5D27A4AF2935B3316DA024CF200814BC735DD961E4DB6598E55B86DF418</vt:lpwstr>
  </property>
  <property fmtid="{D5CDD505-2E9C-101B-9397-08002B2CF9AE}" pid="3" name="_dlc_DocIdItemGuid">
    <vt:lpwstr>31212460-b0e1-4308-8591-3f110e9da07f</vt:lpwstr>
  </property>
  <property fmtid="{D5CDD505-2E9C-101B-9397-08002B2CF9AE}" pid="4" name="RecordPoint_WorkflowType">
    <vt:lpwstr>ActiveSubmit</vt:lpwstr>
  </property>
  <property fmtid="{D5CDD505-2E9C-101B-9397-08002B2CF9AE}" pid="5" name="RecordPoint_ActiveItemSiteId">
    <vt:lpwstr>{8ce9eba2-d4a5-4da0-9276-1d47a92e9210}</vt:lpwstr>
  </property>
  <property fmtid="{D5CDD505-2E9C-101B-9397-08002B2CF9AE}" pid="6" name="RecordPoint_ActiveItemListId">
    <vt:lpwstr>{c1b02a81-7e91-4365-97f3-ccaf568ec912}</vt:lpwstr>
  </property>
  <property fmtid="{D5CDD505-2E9C-101B-9397-08002B2CF9AE}" pid="7" name="RecordPoint_ActiveItemUniqueId">
    <vt:lpwstr>{31212460-b0e1-4308-8591-3f110e9da07f}</vt:lpwstr>
  </property>
  <property fmtid="{D5CDD505-2E9C-101B-9397-08002B2CF9AE}" pid="8" name="RecordPoint_ActiveItemWebId">
    <vt:lpwstr>{bdbfc7f6-81fa-446f-9c2f-c76241cd69d2}</vt:lpwstr>
  </property>
  <property fmtid="{D5CDD505-2E9C-101B-9397-08002B2CF9AE}" pid="9" name="RecordPoint_SubmissionDate">
    <vt:lpwstr/>
  </property>
  <property fmtid="{D5CDD505-2E9C-101B-9397-08002B2CF9AE}" pid="10" name="RecordPoint_RecordNumberSubmitted">
    <vt:lpwstr/>
  </property>
  <property fmtid="{D5CDD505-2E9C-101B-9397-08002B2CF9AE}" pid="11" name="RecordPoint_ActiveItemMoved">
    <vt:lpwstr/>
  </property>
  <property fmtid="{D5CDD505-2E9C-101B-9397-08002B2CF9AE}" pid="12" name="RecordPoint_SubmissionCompleted">
    <vt:lpwstr/>
  </property>
  <property fmtid="{D5CDD505-2E9C-101B-9397-08002B2CF9AE}" pid="13" name="RecordPoint_RecordFormat">
    <vt:lpwstr/>
  </property>
</Properties>
</file>